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98D5C" w14:textId="6A526010" w:rsidR="005D092F" w:rsidRPr="00CD68BA" w:rsidRDefault="005D092F" w:rsidP="00A06718">
      <w:pPr>
        <w:pStyle w:val="Ttulo"/>
        <w:spacing w:before="0" w:after="0"/>
        <w:ind w:left="-142" w:right="-4"/>
        <w:rPr>
          <w:rFonts w:eastAsia="MS Mincho"/>
          <w:lang w:val="es-CR"/>
        </w:rPr>
      </w:pPr>
    </w:p>
    <w:p w14:paraId="753C3E38" w14:textId="597958BB" w:rsidR="000E52AE" w:rsidRPr="00CD68BA" w:rsidRDefault="000E52AE" w:rsidP="00A06718">
      <w:pPr>
        <w:pStyle w:val="Ttulo"/>
        <w:spacing w:before="0" w:after="0"/>
        <w:ind w:left="-142" w:right="-4"/>
        <w:rPr>
          <w:rFonts w:eastAsia="MS Mincho"/>
          <w:lang w:val="es-CR"/>
        </w:rPr>
      </w:pPr>
    </w:p>
    <w:p w14:paraId="1F4DDEBE" w14:textId="7223B0DA" w:rsidR="000E52AE" w:rsidRPr="00CD68BA" w:rsidRDefault="000E52AE" w:rsidP="00A06718">
      <w:pPr>
        <w:pStyle w:val="Ttulo"/>
        <w:spacing w:before="0" w:after="0"/>
        <w:ind w:left="-142" w:right="-4"/>
        <w:rPr>
          <w:rFonts w:eastAsia="MS Mincho"/>
          <w:lang w:val="es-CR"/>
        </w:rPr>
      </w:pPr>
    </w:p>
    <w:p w14:paraId="5E448990" w14:textId="6034C717" w:rsidR="000E52AE" w:rsidRPr="00CD68BA" w:rsidRDefault="000E52AE" w:rsidP="00A06718">
      <w:pPr>
        <w:pStyle w:val="Ttulo"/>
        <w:spacing w:before="0" w:after="0"/>
        <w:ind w:left="-142" w:right="-4"/>
        <w:rPr>
          <w:rFonts w:eastAsia="MS Mincho"/>
          <w:lang w:val="es-CR"/>
        </w:rPr>
      </w:pPr>
    </w:p>
    <w:p w14:paraId="63C6AAC0" w14:textId="1CF53E19" w:rsidR="000E52AE" w:rsidRPr="00CD68BA" w:rsidRDefault="000E52AE" w:rsidP="00A06718">
      <w:pPr>
        <w:pStyle w:val="Ttulo"/>
        <w:spacing w:before="0" w:after="0"/>
        <w:ind w:left="-142" w:right="-4"/>
        <w:rPr>
          <w:rFonts w:eastAsia="MS Mincho"/>
          <w:lang w:val="es-CR"/>
        </w:rPr>
      </w:pPr>
    </w:p>
    <w:p w14:paraId="075C07B2" w14:textId="77777777" w:rsidR="000E52AE" w:rsidRPr="00CD68BA" w:rsidRDefault="000E52AE" w:rsidP="00A06718">
      <w:pPr>
        <w:pStyle w:val="Ttulo"/>
        <w:spacing w:before="0" w:after="0"/>
        <w:ind w:left="-142" w:right="-4"/>
        <w:rPr>
          <w:rFonts w:eastAsia="MS Mincho"/>
          <w:lang w:val="es-CR"/>
        </w:rPr>
      </w:pPr>
    </w:p>
    <w:p w14:paraId="036B20C4" w14:textId="77777777" w:rsidR="000E52AE" w:rsidRPr="00CD68BA" w:rsidRDefault="000E52AE" w:rsidP="00A06718">
      <w:pPr>
        <w:pStyle w:val="Ttulo"/>
        <w:spacing w:before="0" w:after="0"/>
        <w:ind w:left="-142" w:right="-4"/>
        <w:rPr>
          <w:rFonts w:eastAsia="MS Mincho"/>
          <w:lang w:val="es-CR"/>
        </w:rPr>
      </w:pPr>
    </w:p>
    <w:p w14:paraId="2E80F7C3" w14:textId="039487FE" w:rsidR="00C10DAE" w:rsidRPr="00CD68BA" w:rsidRDefault="00C10DAE" w:rsidP="00A06718">
      <w:pPr>
        <w:pStyle w:val="Ttulo"/>
        <w:spacing w:before="0" w:after="0"/>
        <w:ind w:left="-142" w:right="-4"/>
        <w:rPr>
          <w:rFonts w:eastAsia="MS Mincho"/>
          <w:lang w:val="es-CR"/>
        </w:rPr>
      </w:pPr>
      <w:r w:rsidRPr="00CD68BA">
        <w:rPr>
          <w:rFonts w:eastAsia="MS Mincho"/>
          <w:lang w:val="es-CR"/>
        </w:rPr>
        <w:t>CORTE INTERAMERICANA DE DERECHOS HUMANOS</w:t>
      </w:r>
    </w:p>
    <w:p w14:paraId="7431DCC2" w14:textId="6EEE1F9D" w:rsidR="000E52AE" w:rsidRPr="00CD68BA" w:rsidRDefault="000E52AE" w:rsidP="00A06718">
      <w:pPr>
        <w:pStyle w:val="Ttulo"/>
        <w:spacing w:before="0" w:after="0"/>
        <w:ind w:left="-142" w:right="-4"/>
        <w:rPr>
          <w:rFonts w:eastAsia="MS Mincho"/>
          <w:lang w:val="es-CR"/>
        </w:rPr>
      </w:pPr>
    </w:p>
    <w:p w14:paraId="403FC5F8" w14:textId="77777777" w:rsidR="00A06718" w:rsidRPr="00CD68BA" w:rsidRDefault="00A06718" w:rsidP="00A06718">
      <w:pPr>
        <w:pStyle w:val="Ttulo"/>
        <w:spacing w:before="0" w:after="0"/>
        <w:ind w:left="-142" w:right="-4"/>
        <w:rPr>
          <w:rFonts w:eastAsia="MS Mincho"/>
          <w:lang w:val="es-CR"/>
        </w:rPr>
      </w:pPr>
    </w:p>
    <w:p w14:paraId="24ADB88D" w14:textId="7504FB5A" w:rsidR="00C10DAE" w:rsidRPr="00CD68BA" w:rsidRDefault="006B794F" w:rsidP="00A06718">
      <w:pPr>
        <w:spacing w:before="0" w:after="0"/>
        <w:jc w:val="center"/>
        <w:rPr>
          <w:rFonts w:cs="Verdana Bold"/>
          <w:b/>
          <w:bCs/>
          <w:iCs/>
          <w:caps/>
          <w:szCs w:val="20"/>
          <w:lang w:val="es-CR"/>
        </w:rPr>
      </w:pPr>
      <w:r w:rsidRPr="00CD68BA">
        <w:rPr>
          <w:rFonts w:cs="Verdana Bold"/>
          <w:b/>
          <w:bCs/>
          <w:iCs/>
          <w:caps/>
          <w:szCs w:val="20"/>
          <w:lang w:val="es-CR"/>
        </w:rPr>
        <w:t xml:space="preserve">Caso </w:t>
      </w:r>
      <w:r w:rsidR="009479AF" w:rsidRPr="00CD68BA">
        <w:rPr>
          <w:rFonts w:cs="Verdana Bold"/>
          <w:b/>
          <w:bCs/>
          <w:iCs/>
          <w:caps/>
          <w:szCs w:val="20"/>
          <w:lang w:val="es-CR"/>
        </w:rPr>
        <w:t>Sales pimenta</w:t>
      </w:r>
      <w:r w:rsidR="00C10DAE" w:rsidRPr="00CD68BA">
        <w:rPr>
          <w:rFonts w:cs="Verdana Bold"/>
          <w:b/>
          <w:bCs/>
          <w:iCs/>
          <w:caps/>
          <w:szCs w:val="20"/>
          <w:lang w:val="es-CR"/>
        </w:rPr>
        <w:t xml:space="preserve"> VS. b</w:t>
      </w:r>
      <w:r w:rsidR="009479AF" w:rsidRPr="00CD68BA">
        <w:rPr>
          <w:rFonts w:cs="Verdana Bold"/>
          <w:b/>
          <w:bCs/>
          <w:iCs/>
          <w:caps/>
          <w:szCs w:val="20"/>
          <w:lang w:val="es-CR"/>
        </w:rPr>
        <w:t>rasil</w:t>
      </w:r>
    </w:p>
    <w:p w14:paraId="5B2BADEB" w14:textId="37754560" w:rsidR="000E52AE" w:rsidRPr="00CD68BA" w:rsidRDefault="000E52AE" w:rsidP="00A06718">
      <w:pPr>
        <w:spacing w:before="0" w:after="0"/>
        <w:jc w:val="center"/>
        <w:rPr>
          <w:b/>
          <w:i/>
          <w:smallCaps/>
          <w:szCs w:val="20"/>
          <w:lang w:val="es-CR" w:eastAsia="es-ES"/>
        </w:rPr>
      </w:pPr>
    </w:p>
    <w:p w14:paraId="28F35249" w14:textId="77777777" w:rsidR="00A06718" w:rsidRPr="00CD68BA" w:rsidRDefault="00A06718" w:rsidP="00A06718">
      <w:pPr>
        <w:spacing w:before="0" w:after="0"/>
        <w:jc w:val="center"/>
        <w:rPr>
          <w:b/>
          <w:i/>
          <w:smallCaps/>
          <w:szCs w:val="20"/>
          <w:lang w:val="es-CR" w:eastAsia="es-ES"/>
        </w:rPr>
      </w:pPr>
    </w:p>
    <w:p w14:paraId="378DC25A" w14:textId="410B4AE2" w:rsidR="00C10DAE" w:rsidRPr="00CD68BA" w:rsidRDefault="00C10DAE" w:rsidP="00A06718">
      <w:pPr>
        <w:pStyle w:val="Ttulo"/>
        <w:spacing w:before="0" w:after="0"/>
        <w:ind w:left="-142" w:right="-4"/>
        <w:rPr>
          <w:rFonts w:eastAsia="MS Mincho"/>
          <w:lang w:val="es-CR"/>
        </w:rPr>
      </w:pPr>
      <w:r w:rsidRPr="00CD68BA">
        <w:rPr>
          <w:rFonts w:eastAsia="MS Mincho"/>
          <w:lang w:val="es-CR"/>
        </w:rPr>
        <w:t xml:space="preserve">SENTENCIA DE </w:t>
      </w:r>
      <w:r w:rsidR="00591E0A" w:rsidRPr="00CD68BA">
        <w:rPr>
          <w:rFonts w:eastAsia="MS Mincho"/>
          <w:lang w:val="es-CR"/>
        </w:rPr>
        <w:t xml:space="preserve">30 </w:t>
      </w:r>
      <w:r w:rsidRPr="00CD68BA">
        <w:rPr>
          <w:rFonts w:eastAsia="MS Mincho"/>
          <w:lang w:val="es-CR"/>
        </w:rPr>
        <w:t xml:space="preserve">DE </w:t>
      </w:r>
      <w:r w:rsidR="009479AF" w:rsidRPr="00CD68BA">
        <w:rPr>
          <w:rFonts w:eastAsia="MS Mincho"/>
          <w:lang w:val="es-CR"/>
        </w:rPr>
        <w:t>JUNI</w:t>
      </w:r>
      <w:r w:rsidR="00154259" w:rsidRPr="00CD68BA">
        <w:rPr>
          <w:rFonts w:eastAsia="MS Mincho"/>
          <w:lang w:val="es-CR"/>
        </w:rPr>
        <w:t>O</w:t>
      </w:r>
      <w:r w:rsidR="006B794F" w:rsidRPr="00CD68BA">
        <w:rPr>
          <w:rFonts w:eastAsia="MS Mincho"/>
          <w:lang w:val="es-CR"/>
        </w:rPr>
        <w:t xml:space="preserve"> </w:t>
      </w:r>
      <w:r w:rsidR="002027EA" w:rsidRPr="00CD68BA">
        <w:rPr>
          <w:rFonts w:eastAsia="MS Mincho"/>
          <w:lang w:val="es-CR"/>
        </w:rPr>
        <w:t xml:space="preserve">DE </w:t>
      </w:r>
      <w:r w:rsidR="005258E9" w:rsidRPr="00CD68BA">
        <w:rPr>
          <w:rFonts w:eastAsia="MS Mincho"/>
          <w:lang w:val="es-CR"/>
        </w:rPr>
        <w:t>202</w:t>
      </w:r>
      <w:r w:rsidR="00A417FE" w:rsidRPr="00CD68BA">
        <w:rPr>
          <w:rFonts w:eastAsia="MS Mincho"/>
          <w:lang w:val="es-CR"/>
        </w:rPr>
        <w:t>2</w:t>
      </w:r>
    </w:p>
    <w:p w14:paraId="5465DB53" w14:textId="77777777" w:rsidR="00C10DAE" w:rsidRPr="00CD68BA" w:rsidRDefault="00C10DAE" w:rsidP="00A06718">
      <w:pPr>
        <w:pStyle w:val="Subttulo"/>
        <w:spacing w:before="0" w:after="0"/>
        <w:ind w:left="-142" w:right="-4"/>
        <w:rPr>
          <w:i w:val="0"/>
          <w:iCs w:val="0"/>
          <w:szCs w:val="20"/>
          <w:lang w:val="es-CR"/>
        </w:rPr>
      </w:pPr>
      <w:r w:rsidRPr="00CD68BA">
        <w:rPr>
          <w:i w:val="0"/>
          <w:iCs w:val="0"/>
          <w:szCs w:val="20"/>
          <w:lang w:val="es-CR"/>
        </w:rPr>
        <w:t>(</w:t>
      </w:r>
      <w:r w:rsidR="006B794F" w:rsidRPr="00CD68BA">
        <w:rPr>
          <w:szCs w:val="20"/>
          <w:lang w:val="es-CR"/>
        </w:rPr>
        <w:t xml:space="preserve">Excepciones preliminares, </w:t>
      </w:r>
      <w:r w:rsidRPr="00CD68BA">
        <w:rPr>
          <w:szCs w:val="20"/>
          <w:lang w:val="es-CR"/>
        </w:rPr>
        <w:t>Fondo, Reparaciones y Costas</w:t>
      </w:r>
      <w:r w:rsidRPr="00CD68BA">
        <w:rPr>
          <w:i w:val="0"/>
          <w:iCs w:val="0"/>
          <w:szCs w:val="20"/>
          <w:lang w:val="es-CR"/>
        </w:rPr>
        <w:t>)</w:t>
      </w:r>
    </w:p>
    <w:p w14:paraId="1B2C1800" w14:textId="77777777" w:rsidR="000E52AE" w:rsidRPr="00CD68BA" w:rsidRDefault="000E52AE" w:rsidP="00A06718">
      <w:pPr>
        <w:spacing w:before="0" w:after="0"/>
        <w:rPr>
          <w:szCs w:val="20"/>
          <w:lang w:val="es-CR"/>
        </w:rPr>
      </w:pPr>
    </w:p>
    <w:p w14:paraId="68C75F6B" w14:textId="77777777" w:rsidR="000E52AE" w:rsidRPr="00CD68BA" w:rsidRDefault="000E52AE" w:rsidP="00A06718">
      <w:pPr>
        <w:spacing w:before="0" w:after="0"/>
        <w:rPr>
          <w:szCs w:val="20"/>
          <w:lang w:val="es-CR"/>
        </w:rPr>
      </w:pPr>
    </w:p>
    <w:p w14:paraId="697E5AAD" w14:textId="77777777" w:rsidR="0063762B" w:rsidRPr="00CD68BA" w:rsidRDefault="0063762B" w:rsidP="00A06718">
      <w:pPr>
        <w:spacing w:before="0" w:after="0"/>
        <w:rPr>
          <w:szCs w:val="20"/>
          <w:lang w:val="es-CR"/>
        </w:rPr>
      </w:pPr>
    </w:p>
    <w:p w14:paraId="0A0330F5" w14:textId="77777777" w:rsidR="000E52AE" w:rsidRPr="00CD68BA" w:rsidRDefault="000E52AE" w:rsidP="00A06718">
      <w:pPr>
        <w:spacing w:before="0" w:after="0"/>
        <w:rPr>
          <w:szCs w:val="20"/>
          <w:lang w:val="es-CR"/>
        </w:rPr>
      </w:pPr>
    </w:p>
    <w:p w14:paraId="629BD6D1" w14:textId="0D5ED46E" w:rsidR="00C10DAE" w:rsidRPr="00CD68BA" w:rsidRDefault="00C10DAE" w:rsidP="00A06718">
      <w:pPr>
        <w:spacing w:before="0" w:after="0"/>
        <w:rPr>
          <w:i/>
          <w:szCs w:val="20"/>
          <w:lang w:val="es-CR"/>
        </w:rPr>
      </w:pPr>
      <w:r w:rsidRPr="00CD68BA">
        <w:rPr>
          <w:szCs w:val="20"/>
          <w:lang w:val="es-CR"/>
        </w:rPr>
        <w:t xml:space="preserve">En el </w:t>
      </w:r>
      <w:r w:rsidR="006B794F" w:rsidRPr="00CD68BA">
        <w:rPr>
          <w:i/>
          <w:szCs w:val="20"/>
          <w:lang w:val="es-CR"/>
        </w:rPr>
        <w:t xml:space="preserve">Caso </w:t>
      </w:r>
      <w:r w:rsidR="009479AF" w:rsidRPr="00CD68BA">
        <w:rPr>
          <w:i/>
          <w:szCs w:val="20"/>
          <w:lang w:val="es-CR"/>
        </w:rPr>
        <w:t>Sales Pimenta</w:t>
      </w:r>
      <w:r w:rsidR="003E3FC4" w:rsidRPr="00CD68BA">
        <w:rPr>
          <w:i/>
          <w:szCs w:val="20"/>
          <w:lang w:val="es-CR"/>
        </w:rPr>
        <w:t xml:space="preserve"> Vs. </w:t>
      </w:r>
      <w:r w:rsidR="00170716" w:rsidRPr="00CD68BA">
        <w:rPr>
          <w:i/>
          <w:szCs w:val="20"/>
          <w:lang w:val="es-CR"/>
        </w:rPr>
        <w:t>B</w:t>
      </w:r>
      <w:r w:rsidR="009479AF" w:rsidRPr="00CD68BA">
        <w:rPr>
          <w:i/>
          <w:szCs w:val="20"/>
          <w:lang w:val="es-CR"/>
        </w:rPr>
        <w:t>rasil</w:t>
      </w:r>
      <w:r w:rsidRPr="00CD68BA">
        <w:rPr>
          <w:i/>
          <w:szCs w:val="20"/>
          <w:lang w:val="es-CR"/>
        </w:rPr>
        <w:t>,</w:t>
      </w:r>
    </w:p>
    <w:p w14:paraId="0F8CFDB3" w14:textId="77777777" w:rsidR="00C10DAE" w:rsidRPr="00CD68BA" w:rsidRDefault="00C10DAE" w:rsidP="00A06718">
      <w:pPr>
        <w:spacing w:before="0" w:after="0"/>
        <w:rPr>
          <w:i/>
          <w:szCs w:val="20"/>
          <w:lang w:val="es-CR"/>
        </w:rPr>
      </w:pPr>
    </w:p>
    <w:p w14:paraId="2EED737A" w14:textId="6044D4FC" w:rsidR="00C10DAE" w:rsidRPr="00CD68BA" w:rsidRDefault="00C10DAE" w:rsidP="00A06718">
      <w:pPr>
        <w:spacing w:before="0" w:after="0"/>
        <w:ind w:right="-4"/>
        <w:rPr>
          <w:szCs w:val="20"/>
          <w:lang w:val="es-CR"/>
        </w:rPr>
      </w:pPr>
      <w:r w:rsidRPr="00CD68BA">
        <w:rPr>
          <w:szCs w:val="20"/>
          <w:lang w:val="es-CR"/>
        </w:rPr>
        <w:t>la Corte Interamericana de Derechos Humanos (en adelante “</w:t>
      </w:r>
      <w:r w:rsidR="00713D88" w:rsidRPr="00CD68BA">
        <w:rPr>
          <w:szCs w:val="20"/>
          <w:lang w:val="es-CR"/>
        </w:rPr>
        <w:t xml:space="preserve">la </w:t>
      </w:r>
      <w:r w:rsidRPr="00CD68BA">
        <w:rPr>
          <w:szCs w:val="20"/>
          <w:lang w:val="es-CR"/>
        </w:rPr>
        <w:t>Corte Interamericana”, “</w:t>
      </w:r>
      <w:r w:rsidR="00713D88" w:rsidRPr="00CD68BA">
        <w:rPr>
          <w:szCs w:val="20"/>
          <w:lang w:val="es-CR"/>
        </w:rPr>
        <w:t xml:space="preserve">la </w:t>
      </w:r>
      <w:r w:rsidRPr="00CD68BA">
        <w:rPr>
          <w:szCs w:val="20"/>
          <w:lang w:val="es-CR"/>
        </w:rPr>
        <w:t>Corte” o “</w:t>
      </w:r>
      <w:r w:rsidR="00713D88" w:rsidRPr="00CD68BA">
        <w:rPr>
          <w:szCs w:val="20"/>
          <w:lang w:val="es-CR"/>
        </w:rPr>
        <w:t xml:space="preserve">este </w:t>
      </w:r>
      <w:r w:rsidRPr="00CD68BA">
        <w:rPr>
          <w:szCs w:val="20"/>
          <w:lang w:val="es-CR"/>
        </w:rPr>
        <w:t xml:space="preserve">Tribunal”), integrada por los siguientes </w:t>
      </w:r>
      <w:r w:rsidR="001467D5" w:rsidRPr="00CD68BA">
        <w:rPr>
          <w:szCs w:val="20"/>
          <w:lang w:val="es-CR"/>
        </w:rPr>
        <w:t>j</w:t>
      </w:r>
      <w:r w:rsidRPr="00CD68BA">
        <w:rPr>
          <w:szCs w:val="20"/>
          <w:lang w:val="es-CR"/>
        </w:rPr>
        <w:t>ueces</w:t>
      </w:r>
      <w:r w:rsidR="001467D5" w:rsidRPr="00CD68BA">
        <w:rPr>
          <w:szCs w:val="20"/>
          <w:lang w:val="es-CR"/>
        </w:rPr>
        <w:t xml:space="preserve"> y juezas</w:t>
      </w:r>
      <w:bookmarkStart w:id="0" w:name="_Hlk114574452"/>
      <w:r w:rsidR="00921EB5" w:rsidRPr="00CD68BA">
        <w:rPr>
          <w:rStyle w:val="Refdenotaalpie"/>
          <w:lang w:val="es-CR"/>
        </w:rPr>
        <w:footnoteReference w:customMarkFollows="1" w:id="1"/>
        <w:t>*</w:t>
      </w:r>
      <w:bookmarkEnd w:id="0"/>
      <w:r w:rsidRPr="00CD68BA">
        <w:rPr>
          <w:szCs w:val="20"/>
          <w:lang w:val="es-CR"/>
        </w:rPr>
        <w:t>:</w:t>
      </w:r>
    </w:p>
    <w:p w14:paraId="6673D2AE" w14:textId="77777777" w:rsidR="00C10DAE" w:rsidRPr="00CD68BA" w:rsidRDefault="00C10DAE" w:rsidP="00A06718">
      <w:pPr>
        <w:spacing w:before="0" w:after="0"/>
        <w:ind w:right="-4"/>
        <w:rPr>
          <w:szCs w:val="20"/>
          <w:lang w:val="es-CR"/>
        </w:rPr>
      </w:pPr>
    </w:p>
    <w:p w14:paraId="0466425E" w14:textId="43EC2D75" w:rsidR="00C10DAE" w:rsidRPr="00CD68BA" w:rsidRDefault="00FE6873" w:rsidP="00A16037">
      <w:pPr>
        <w:pStyle w:val="citaindirecta"/>
        <w:spacing w:before="0" w:after="0"/>
        <w:ind w:left="0" w:right="-6"/>
        <w:rPr>
          <w:lang w:val="es-CR"/>
        </w:rPr>
      </w:pPr>
      <w:bookmarkStart w:id="1" w:name="_Hlk115253750"/>
      <w:r w:rsidRPr="00CD68BA">
        <w:rPr>
          <w:lang w:val="es-CR"/>
        </w:rPr>
        <w:t>Ricardo C. Pérez Manrique</w:t>
      </w:r>
      <w:r w:rsidR="004C7D74" w:rsidRPr="00CD68BA">
        <w:rPr>
          <w:lang w:val="es-CR"/>
        </w:rPr>
        <w:t>, Presidente;</w:t>
      </w:r>
    </w:p>
    <w:p w14:paraId="620CCBDD" w14:textId="51870EFC" w:rsidR="005258E9" w:rsidRPr="00CD68BA" w:rsidRDefault="005258E9" w:rsidP="00A16037">
      <w:pPr>
        <w:pStyle w:val="citaindirecta"/>
        <w:spacing w:before="0" w:after="0"/>
        <w:ind w:left="0" w:right="-6"/>
        <w:rPr>
          <w:lang w:val="es-CR"/>
        </w:rPr>
      </w:pPr>
      <w:r w:rsidRPr="00CD68BA">
        <w:rPr>
          <w:lang w:val="es-CR"/>
        </w:rPr>
        <w:t xml:space="preserve">Humberto Antonio </w:t>
      </w:r>
      <w:r w:rsidR="004C7D74" w:rsidRPr="00CD68BA">
        <w:rPr>
          <w:lang w:val="es-CR"/>
        </w:rPr>
        <w:t>Sierra Port</w:t>
      </w:r>
      <w:r w:rsidR="00F15199" w:rsidRPr="00CD68BA">
        <w:rPr>
          <w:lang w:val="es-CR"/>
        </w:rPr>
        <w:t>o</w:t>
      </w:r>
      <w:r w:rsidR="004C7D74" w:rsidRPr="00CD68BA">
        <w:rPr>
          <w:lang w:val="es-CR"/>
        </w:rPr>
        <w:t>, Vicepresidente;</w:t>
      </w:r>
    </w:p>
    <w:p w14:paraId="1FF5D493" w14:textId="77777777" w:rsidR="004C7D74" w:rsidRPr="00CD68BA" w:rsidRDefault="004C7D74" w:rsidP="00A16037">
      <w:pPr>
        <w:pStyle w:val="citaindirecta"/>
        <w:spacing w:before="0" w:after="0"/>
        <w:ind w:left="0" w:right="-6"/>
        <w:rPr>
          <w:lang w:val="es-CR"/>
        </w:rPr>
      </w:pPr>
      <w:r w:rsidRPr="00CD68BA">
        <w:rPr>
          <w:lang w:val="es-CR"/>
        </w:rPr>
        <w:t>Eduardo Ferrer Mac-Gregor Poisot, Juez;</w:t>
      </w:r>
    </w:p>
    <w:p w14:paraId="34E8C579" w14:textId="77777777" w:rsidR="004C7D74" w:rsidRPr="00CD68BA" w:rsidRDefault="004C7D74" w:rsidP="00A16037">
      <w:pPr>
        <w:pStyle w:val="citaindirecta"/>
        <w:spacing w:before="0" w:after="0"/>
        <w:ind w:left="0" w:right="-6"/>
        <w:rPr>
          <w:lang w:val="es-CR"/>
        </w:rPr>
      </w:pPr>
      <w:r w:rsidRPr="00CD68BA">
        <w:rPr>
          <w:lang w:val="es-CR"/>
        </w:rPr>
        <w:t>Nancy Hernández López, Jueza;</w:t>
      </w:r>
    </w:p>
    <w:p w14:paraId="60EC8407" w14:textId="64211235" w:rsidR="004C7D74" w:rsidRPr="00CD68BA" w:rsidRDefault="004C7D74" w:rsidP="00A16037">
      <w:pPr>
        <w:pStyle w:val="citaindirecta"/>
        <w:spacing w:before="0" w:after="0"/>
        <w:ind w:left="0" w:right="-6"/>
        <w:rPr>
          <w:lang w:val="es-CR"/>
        </w:rPr>
      </w:pPr>
      <w:r w:rsidRPr="00CD68BA">
        <w:rPr>
          <w:lang w:val="es-CR"/>
        </w:rPr>
        <w:t>Verónica Gómez, Jueza</w:t>
      </w:r>
      <w:r w:rsidR="004F535F" w:rsidRPr="00CD68BA">
        <w:rPr>
          <w:lang w:val="es-CR"/>
        </w:rPr>
        <w:t>, y</w:t>
      </w:r>
    </w:p>
    <w:p w14:paraId="6C91EEE9" w14:textId="337E3619" w:rsidR="004C7D74" w:rsidRPr="00CD68BA" w:rsidRDefault="004C7D74" w:rsidP="00A16037">
      <w:pPr>
        <w:pStyle w:val="citaindirecta"/>
        <w:spacing w:before="0" w:after="0"/>
        <w:ind w:left="0" w:right="-6"/>
        <w:rPr>
          <w:lang w:val="es-CR"/>
        </w:rPr>
      </w:pPr>
      <w:r w:rsidRPr="00CD68BA">
        <w:rPr>
          <w:lang w:val="es-CR"/>
        </w:rPr>
        <w:t>Patricia Pérez Gol</w:t>
      </w:r>
      <w:r w:rsidR="00526BB3" w:rsidRPr="00CD68BA">
        <w:rPr>
          <w:lang w:val="es-CR"/>
        </w:rPr>
        <w:t>d</w:t>
      </w:r>
      <w:r w:rsidRPr="00CD68BA">
        <w:rPr>
          <w:lang w:val="es-CR"/>
        </w:rPr>
        <w:t>berg,</w:t>
      </w:r>
      <w:r w:rsidR="00B53A38" w:rsidRPr="00CD68BA">
        <w:rPr>
          <w:lang w:val="es-CR"/>
        </w:rPr>
        <w:t xml:space="preserve"> </w:t>
      </w:r>
      <w:r w:rsidRPr="00CD68BA">
        <w:rPr>
          <w:lang w:val="es-CR"/>
        </w:rPr>
        <w:t>Jueza</w:t>
      </w:r>
      <w:r w:rsidR="00640B19" w:rsidRPr="00CD68BA">
        <w:rPr>
          <w:lang w:val="es-CR"/>
        </w:rPr>
        <w:t>;</w:t>
      </w:r>
      <w:bookmarkEnd w:id="1"/>
      <w:r w:rsidRPr="00CD68BA">
        <w:rPr>
          <w:lang w:val="es-CR"/>
        </w:rPr>
        <w:t xml:space="preserve"> </w:t>
      </w:r>
    </w:p>
    <w:p w14:paraId="230EB3DD" w14:textId="77777777" w:rsidR="004C7D74" w:rsidRPr="00CD68BA" w:rsidRDefault="004C7D74" w:rsidP="00A16037">
      <w:pPr>
        <w:pStyle w:val="citaindirecta"/>
        <w:spacing w:before="0" w:after="0"/>
        <w:ind w:left="0" w:right="-6"/>
        <w:rPr>
          <w:lang w:val="es-CR"/>
        </w:rPr>
      </w:pPr>
    </w:p>
    <w:p w14:paraId="0616E713" w14:textId="7A2DAB56" w:rsidR="00C10DAE" w:rsidRPr="00CD68BA" w:rsidRDefault="006B794F" w:rsidP="00A16037">
      <w:pPr>
        <w:spacing w:before="0" w:after="0"/>
        <w:ind w:right="-4"/>
        <w:rPr>
          <w:szCs w:val="20"/>
          <w:lang w:val="es-CR"/>
        </w:rPr>
      </w:pPr>
      <w:r w:rsidRPr="00CD68BA">
        <w:rPr>
          <w:szCs w:val="20"/>
          <w:lang w:val="es-CR"/>
        </w:rPr>
        <w:t>presente</w:t>
      </w:r>
      <w:r w:rsidR="001905FD" w:rsidRPr="00CD68BA">
        <w:rPr>
          <w:szCs w:val="20"/>
          <w:lang w:val="es-CR"/>
        </w:rPr>
        <w:t>s</w:t>
      </w:r>
      <w:r w:rsidR="00C10DAE" w:rsidRPr="00CD68BA">
        <w:rPr>
          <w:szCs w:val="20"/>
          <w:lang w:val="es-CR"/>
        </w:rPr>
        <w:t>, además,</w:t>
      </w:r>
    </w:p>
    <w:p w14:paraId="37AB89D0" w14:textId="77777777" w:rsidR="00C10DAE" w:rsidRPr="00CD68BA" w:rsidRDefault="00C10DAE" w:rsidP="00A16037">
      <w:pPr>
        <w:spacing w:before="0" w:after="0"/>
        <w:ind w:right="-4"/>
        <w:rPr>
          <w:szCs w:val="20"/>
          <w:lang w:val="es-CR"/>
        </w:rPr>
      </w:pPr>
    </w:p>
    <w:p w14:paraId="4AD2B618" w14:textId="77777777" w:rsidR="00C10DAE" w:rsidRPr="00CD68BA" w:rsidRDefault="00C10DAE" w:rsidP="00A16037">
      <w:pPr>
        <w:spacing w:before="0" w:after="0"/>
        <w:ind w:right="-6"/>
        <w:rPr>
          <w:szCs w:val="20"/>
          <w:lang w:val="es-CR"/>
        </w:rPr>
      </w:pPr>
      <w:r w:rsidRPr="00CD68BA">
        <w:rPr>
          <w:szCs w:val="20"/>
          <w:lang w:val="es-CR"/>
        </w:rPr>
        <w:t>Pablo Saavedra Alessandri, Secretario, y</w:t>
      </w:r>
    </w:p>
    <w:p w14:paraId="10A0A624" w14:textId="2D395CC7" w:rsidR="004B543A" w:rsidRPr="00CD68BA" w:rsidRDefault="00280DD7" w:rsidP="00A16037">
      <w:pPr>
        <w:spacing w:before="0" w:after="0"/>
        <w:ind w:right="-6"/>
        <w:rPr>
          <w:szCs w:val="20"/>
          <w:lang w:val="es-CR"/>
        </w:rPr>
      </w:pPr>
      <w:r w:rsidRPr="00CD68BA">
        <w:rPr>
          <w:szCs w:val="20"/>
          <w:lang w:val="es-CR"/>
        </w:rPr>
        <w:t>Romina I. Sijniensky, Secretaria Adjunta</w:t>
      </w:r>
      <w:r w:rsidR="003814A0" w:rsidRPr="00CD68BA">
        <w:rPr>
          <w:szCs w:val="20"/>
          <w:lang w:val="es-CR"/>
        </w:rPr>
        <w:t>,</w:t>
      </w:r>
    </w:p>
    <w:p w14:paraId="7E126A5F" w14:textId="77777777" w:rsidR="00C10DAE" w:rsidRPr="00CD68BA" w:rsidRDefault="00C10DAE" w:rsidP="00A06718">
      <w:pPr>
        <w:spacing w:before="0" w:after="0"/>
        <w:ind w:left="708" w:right="-6"/>
        <w:rPr>
          <w:szCs w:val="20"/>
          <w:lang w:val="es-CR"/>
        </w:rPr>
      </w:pPr>
    </w:p>
    <w:p w14:paraId="2387C0AA" w14:textId="0BEE25FE" w:rsidR="00C10DAE" w:rsidRPr="00CD68BA" w:rsidRDefault="00C10DAE" w:rsidP="00A06718">
      <w:pPr>
        <w:spacing w:before="0" w:after="0"/>
        <w:ind w:right="-4"/>
        <w:rPr>
          <w:szCs w:val="20"/>
          <w:lang w:val="es-CR"/>
        </w:rPr>
      </w:pPr>
      <w:r w:rsidRPr="00CD68BA">
        <w:rPr>
          <w:szCs w:val="20"/>
          <w:lang w:val="es-CR"/>
        </w:rPr>
        <w:t>de conformidad con los artículos 62.3 y 63.1 de la Convención Americana sobre Derechos Humanos (en adelante</w:t>
      </w:r>
      <w:r w:rsidR="004F535F" w:rsidRPr="00CD68BA">
        <w:rPr>
          <w:szCs w:val="20"/>
          <w:lang w:val="es-CR"/>
        </w:rPr>
        <w:t xml:space="preserve"> también</w:t>
      </w:r>
      <w:r w:rsidRPr="00CD68BA">
        <w:rPr>
          <w:szCs w:val="20"/>
          <w:lang w:val="es-CR"/>
        </w:rPr>
        <w:t xml:space="preserve"> “</w:t>
      </w:r>
      <w:r w:rsidR="00E56F72" w:rsidRPr="00CD68BA">
        <w:rPr>
          <w:szCs w:val="20"/>
          <w:lang w:val="es-CR"/>
        </w:rPr>
        <w:t xml:space="preserve">la </w:t>
      </w:r>
      <w:r w:rsidRPr="00CD68BA">
        <w:rPr>
          <w:szCs w:val="20"/>
          <w:lang w:val="es-CR"/>
        </w:rPr>
        <w:t>Convención Americana” o “</w:t>
      </w:r>
      <w:r w:rsidR="00E56F72" w:rsidRPr="00CD68BA">
        <w:rPr>
          <w:szCs w:val="20"/>
          <w:lang w:val="es-CR"/>
        </w:rPr>
        <w:t xml:space="preserve">la </w:t>
      </w:r>
      <w:r w:rsidRPr="00CD68BA">
        <w:rPr>
          <w:szCs w:val="20"/>
          <w:lang w:val="es-CR"/>
        </w:rPr>
        <w:t xml:space="preserve">Convención”) y con los artículos 31, 32, </w:t>
      </w:r>
      <w:r w:rsidR="00BB2718" w:rsidRPr="00CD68BA">
        <w:rPr>
          <w:szCs w:val="20"/>
          <w:lang w:val="es-CR"/>
        </w:rPr>
        <w:t xml:space="preserve">42, </w:t>
      </w:r>
      <w:r w:rsidRPr="00CD68BA">
        <w:rPr>
          <w:szCs w:val="20"/>
          <w:lang w:val="es-CR"/>
        </w:rPr>
        <w:t>65 y 67 del Reglamento de la Corte (en adelante también “</w:t>
      </w:r>
      <w:r w:rsidR="00E56F72" w:rsidRPr="00CD68BA">
        <w:rPr>
          <w:szCs w:val="20"/>
          <w:lang w:val="es-CR"/>
        </w:rPr>
        <w:t xml:space="preserve">el </w:t>
      </w:r>
      <w:r w:rsidRPr="00CD68BA">
        <w:rPr>
          <w:szCs w:val="20"/>
          <w:lang w:val="es-CR"/>
        </w:rPr>
        <w:t>Reglamento”), dicta la presente Sentencia</w:t>
      </w:r>
      <w:r w:rsidR="00170716" w:rsidRPr="00CD68BA">
        <w:rPr>
          <w:szCs w:val="20"/>
          <w:lang w:val="es-CR"/>
        </w:rPr>
        <w:t>, que se estructura en el siguiente orden:</w:t>
      </w:r>
    </w:p>
    <w:p w14:paraId="29F700DE" w14:textId="77777777" w:rsidR="006E3E32" w:rsidRPr="00CD68BA" w:rsidRDefault="006E3E32" w:rsidP="00A06718">
      <w:pPr>
        <w:spacing w:before="0" w:after="0"/>
        <w:jc w:val="center"/>
        <w:rPr>
          <w:rFonts w:cs="Verdana Bold"/>
          <w:b/>
          <w:bCs/>
          <w:i/>
          <w:sz w:val="18"/>
          <w:szCs w:val="20"/>
          <w:lang w:val="es-CR"/>
        </w:rPr>
      </w:pPr>
      <w:r w:rsidRPr="00CD68BA">
        <w:rPr>
          <w:rFonts w:cs="Verdana Bold"/>
          <w:b/>
          <w:bCs/>
          <w:i/>
          <w:sz w:val="18"/>
          <w:szCs w:val="20"/>
          <w:lang w:val="es-CR"/>
        </w:rPr>
        <w:br/>
      </w:r>
    </w:p>
    <w:p w14:paraId="03E90697" w14:textId="77777777" w:rsidR="006E3E32" w:rsidRPr="00CD68BA" w:rsidRDefault="006E3E32" w:rsidP="00A06718">
      <w:pPr>
        <w:spacing w:before="0" w:after="0"/>
        <w:rPr>
          <w:rFonts w:cs="Verdana Bold"/>
          <w:b/>
          <w:bCs/>
          <w:i/>
          <w:sz w:val="18"/>
          <w:szCs w:val="20"/>
          <w:lang w:val="es-CR"/>
        </w:rPr>
      </w:pPr>
      <w:r w:rsidRPr="00CD68BA">
        <w:rPr>
          <w:rFonts w:cs="Verdana Bold"/>
          <w:b/>
          <w:bCs/>
          <w:i/>
          <w:sz w:val="18"/>
          <w:szCs w:val="20"/>
          <w:lang w:val="es-CR"/>
        </w:rPr>
        <w:br w:type="page"/>
      </w:r>
    </w:p>
    <w:p w14:paraId="1DAE7C57" w14:textId="34439BD7" w:rsidR="0044009A" w:rsidRPr="00CD68BA" w:rsidRDefault="009C0AF3" w:rsidP="00A06718">
      <w:pPr>
        <w:spacing w:before="0" w:after="0"/>
        <w:jc w:val="center"/>
        <w:rPr>
          <w:rFonts w:cs="Verdana Bold"/>
          <w:b/>
          <w:bCs/>
          <w:iCs/>
          <w:caps/>
          <w:szCs w:val="20"/>
          <w:lang w:val="es-CR"/>
        </w:rPr>
      </w:pPr>
      <w:r w:rsidRPr="00CD68BA">
        <w:rPr>
          <w:rFonts w:cs="Verdana Bold"/>
          <w:b/>
          <w:bCs/>
          <w:iCs/>
          <w:szCs w:val="20"/>
          <w:lang w:val="es-CR"/>
        </w:rPr>
        <w:lastRenderedPageBreak/>
        <w:t>TABLA DE CONTENIDO</w:t>
      </w:r>
    </w:p>
    <w:p w14:paraId="49E4D2E6" w14:textId="77777777" w:rsidR="00C10DAE" w:rsidRPr="00CD68BA" w:rsidRDefault="00C10DAE" w:rsidP="00A06718">
      <w:pPr>
        <w:spacing w:before="0" w:after="0"/>
        <w:ind w:right="-4"/>
        <w:jc w:val="left"/>
        <w:rPr>
          <w:szCs w:val="20"/>
          <w:lang w:val="es-CR"/>
        </w:rPr>
      </w:pPr>
    </w:p>
    <w:sdt>
      <w:sdtPr>
        <w:rPr>
          <w:rFonts w:ascii="Verdana" w:eastAsia="Batang" w:hAnsi="Verdana" w:cs="Times"/>
          <w:b w:val="0"/>
          <w:bCs w:val="0"/>
          <w:color w:val="auto"/>
          <w:sz w:val="20"/>
          <w:szCs w:val="20"/>
          <w:lang w:val="es-ES_tradnl" w:eastAsia="en-US"/>
        </w:rPr>
        <w:id w:val="-1332759945"/>
        <w:docPartObj>
          <w:docPartGallery w:val="Table of Contents"/>
          <w:docPartUnique/>
        </w:docPartObj>
      </w:sdtPr>
      <w:sdtContent>
        <w:p w14:paraId="6B92C82C" w14:textId="6953B35D" w:rsidR="009C0AF3" w:rsidRPr="00CD68BA" w:rsidRDefault="009C0AF3" w:rsidP="00A06718">
          <w:pPr>
            <w:pStyle w:val="TtuloTDC"/>
            <w:spacing w:before="0" w:line="240" w:lineRule="auto"/>
            <w:rPr>
              <w:rFonts w:ascii="Verdana" w:hAnsi="Verdana"/>
              <w:sz w:val="20"/>
              <w:szCs w:val="20"/>
            </w:rPr>
          </w:pPr>
        </w:p>
        <w:p w14:paraId="3E840F2C" w14:textId="59B892EE" w:rsidR="0053383B" w:rsidRPr="00CD68BA" w:rsidRDefault="009C0AF3">
          <w:pPr>
            <w:pStyle w:val="TDC1"/>
            <w:rPr>
              <w:rFonts w:asciiTheme="minorHAnsi" w:eastAsiaTheme="minorEastAsia" w:hAnsiTheme="minorHAnsi" w:cstheme="minorBidi"/>
              <w:b w:val="0"/>
              <w:sz w:val="22"/>
              <w:szCs w:val="22"/>
              <w:lang w:val="es-CR"/>
            </w:rPr>
          </w:pPr>
          <w:r w:rsidRPr="00CD68BA">
            <w:rPr>
              <w:sz w:val="20"/>
              <w:szCs w:val="20"/>
              <w:lang w:val="es-CR"/>
            </w:rPr>
            <w:fldChar w:fldCharType="begin"/>
          </w:r>
          <w:r w:rsidRPr="00CD68BA">
            <w:rPr>
              <w:sz w:val="20"/>
              <w:szCs w:val="20"/>
              <w:lang w:val="es-CR"/>
            </w:rPr>
            <w:instrText xml:space="preserve"> TOC \o "1-3" \h \z \u </w:instrText>
          </w:r>
          <w:r w:rsidRPr="00CD68BA">
            <w:rPr>
              <w:sz w:val="20"/>
              <w:szCs w:val="20"/>
              <w:lang w:val="es-CR"/>
            </w:rPr>
            <w:fldChar w:fldCharType="separate"/>
          </w:r>
          <w:hyperlink w:anchor="_Toc114778756" w:history="1">
            <w:r w:rsidR="0053383B" w:rsidRPr="00CD68BA">
              <w:rPr>
                <w:rStyle w:val="Hipervnculo"/>
                <w:lang w:val="es-CR"/>
              </w:rPr>
              <w:t>I INTRODUCCIÓN DE LA CAUSA Y OBJETO DE LA CONTROVERSIA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_Toc114778756 \h </w:instrText>
            </w:r>
            <w:r w:rsidR="0053383B" w:rsidRPr="00CD68BA">
              <w:rPr>
                <w:webHidden/>
                <w:lang w:val="es-CR"/>
              </w:rPr>
            </w:r>
            <w:r w:rsidR="0053383B" w:rsidRPr="00CD68BA">
              <w:rPr>
                <w:webHidden/>
                <w:lang w:val="es-CR"/>
              </w:rPr>
              <w:fldChar w:fldCharType="separate"/>
            </w:r>
            <w:r w:rsidR="009D33A1">
              <w:rPr>
                <w:noProof/>
                <w:webHidden/>
                <w:lang w:val="es-CR"/>
              </w:rPr>
              <w:t>4</w:t>
            </w:r>
            <w:r w:rsidR="0053383B" w:rsidRPr="00CD68BA">
              <w:rPr>
                <w:webHidden/>
                <w:lang w:val="es-CR"/>
              </w:rPr>
              <w:fldChar w:fldCharType="end"/>
            </w:r>
          </w:hyperlink>
        </w:p>
        <w:p w14:paraId="6B46F2C2" w14:textId="24849143" w:rsidR="0053383B" w:rsidRPr="00CD68BA" w:rsidRDefault="00000000">
          <w:pPr>
            <w:pStyle w:val="TDC1"/>
            <w:rPr>
              <w:rFonts w:asciiTheme="minorHAnsi" w:eastAsiaTheme="minorEastAsia" w:hAnsiTheme="minorHAnsi" w:cstheme="minorBidi"/>
              <w:b w:val="0"/>
              <w:sz w:val="22"/>
              <w:szCs w:val="22"/>
              <w:lang w:val="es-CR"/>
            </w:rPr>
          </w:pPr>
          <w:hyperlink w:anchor="_Toc114778757" w:history="1">
            <w:r w:rsidR="0053383B" w:rsidRPr="00CD68BA">
              <w:rPr>
                <w:rStyle w:val="Hipervnculo"/>
                <w:lang w:val="es-CR"/>
              </w:rPr>
              <w:t>II PROCEDIMIENTO ANTE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_Toc114778757 \h </w:instrText>
            </w:r>
            <w:r w:rsidR="0053383B" w:rsidRPr="00CD68BA">
              <w:rPr>
                <w:webHidden/>
                <w:lang w:val="es-CR"/>
              </w:rPr>
            </w:r>
            <w:r w:rsidR="0053383B" w:rsidRPr="00CD68BA">
              <w:rPr>
                <w:webHidden/>
                <w:lang w:val="es-CR"/>
              </w:rPr>
              <w:fldChar w:fldCharType="separate"/>
            </w:r>
            <w:r w:rsidR="009D33A1">
              <w:rPr>
                <w:noProof/>
                <w:webHidden/>
                <w:lang w:val="es-CR"/>
              </w:rPr>
              <w:t>5</w:t>
            </w:r>
            <w:r w:rsidR="0053383B" w:rsidRPr="00CD68BA">
              <w:rPr>
                <w:webHidden/>
                <w:lang w:val="es-CR"/>
              </w:rPr>
              <w:fldChar w:fldCharType="end"/>
            </w:r>
          </w:hyperlink>
        </w:p>
        <w:p w14:paraId="1BDBEC46" w14:textId="11A1ABEC" w:rsidR="0053383B" w:rsidRPr="00CD68BA" w:rsidRDefault="00000000">
          <w:pPr>
            <w:pStyle w:val="TDC1"/>
            <w:rPr>
              <w:rFonts w:asciiTheme="minorHAnsi" w:eastAsiaTheme="minorEastAsia" w:hAnsiTheme="minorHAnsi" w:cstheme="minorBidi"/>
              <w:b w:val="0"/>
              <w:sz w:val="22"/>
              <w:szCs w:val="22"/>
              <w:lang w:val="es-CR"/>
            </w:rPr>
          </w:pPr>
          <w:hyperlink w:anchor="_Toc114778758" w:history="1">
            <w:r w:rsidR="0053383B" w:rsidRPr="00CD68BA">
              <w:rPr>
                <w:rStyle w:val="Hipervnculo"/>
                <w:lang w:val="es-CR"/>
              </w:rPr>
              <w:t>III COMPETENCIA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_Toc114778758 \h </w:instrText>
            </w:r>
            <w:r w:rsidR="0053383B" w:rsidRPr="00CD68BA">
              <w:rPr>
                <w:webHidden/>
                <w:lang w:val="es-CR"/>
              </w:rPr>
            </w:r>
            <w:r w:rsidR="0053383B" w:rsidRPr="00CD68BA">
              <w:rPr>
                <w:webHidden/>
                <w:lang w:val="es-CR"/>
              </w:rPr>
              <w:fldChar w:fldCharType="separate"/>
            </w:r>
            <w:r w:rsidR="009D33A1">
              <w:rPr>
                <w:noProof/>
                <w:webHidden/>
                <w:lang w:val="es-CR"/>
              </w:rPr>
              <w:t>7</w:t>
            </w:r>
            <w:r w:rsidR="0053383B" w:rsidRPr="00CD68BA">
              <w:rPr>
                <w:webHidden/>
                <w:lang w:val="es-CR"/>
              </w:rPr>
              <w:fldChar w:fldCharType="end"/>
            </w:r>
          </w:hyperlink>
        </w:p>
        <w:p w14:paraId="5F03ED34" w14:textId="66B2541D" w:rsidR="0053383B" w:rsidRPr="00CD68BA" w:rsidRDefault="00000000">
          <w:pPr>
            <w:pStyle w:val="TDC1"/>
            <w:rPr>
              <w:rFonts w:asciiTheme="minorHAnsi" w:eastAsiaTheme="minorEastAsia" w:hAnsiTheme="minorHAnsi" w:cstheme="minorBidi"/>
              <w:b w:val="0"/>
              <w:sz w:val="22"/>
              <w:szCs w:val="22"/>
              <w:lang w:val="es-CR"/>
            </w:rPr>
          </w:pPr>
          <w:hyperlink w:anchor="_Toc114778759" w:history="1">
            <w:r w:rsidR="0053383B" w:rsidRPr="00CD68BA">
              <w:rPr>
                <w:rStyle w:val="Hipervnculo"/>
                <w:lang w:val="es-CR"/>
              </w:rPr>
              <w:t>IV</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_Toc114778759 \h </w:instrText>
            </w:r>
            <w:r w:rsidR="0053383B" w:rsidRPr="00CD68BA">
              <w:rPr>
                <w:webHidden/>
                <w:lang w:val="es-CR"/>
              </w:rPr>
            </w:r>
            <w:r w:rsidR="0053383B" w:rsidRPr="00CD68BA">
              <w:rPr>
                <w:webHidden/>
                <w:lang w:val="es-CR"/>
              </w:rPr>
              <w:fldChar w:fldCharType="separate"/>
            </w:r>
            <w:r w:rsidR="009D33A1">
              <w:rPr>
                <w:noProof/>
                <w:webHidden/>
                <w:lang w:val="es-CR"/>
              </w:rPr>
              <w:t>7</w:t>
            </w:r>
            <w:r w:rsidR="0053383B" w:rsidRPr="00CD68BA">
              <w:rPr>
                <w:webHidden/>
                <w:lang w:val="es-CR"/>
              </w:rPr>
              <w:fldChar w:fldCharType="end"/>
            </w:r>
          </w:hyperlink>
        </w:p>
        <w:p w14:paraId="34AFD170" w14:textId="77C7FBC4" w:rsidR="0053383B" w:rsidRPr="00CD68BA" w:rsidRDefault="00000000">
          <w:pPr>
            <w:pStyle w:val="TDC1"/>
            <w:rPr>
              <w:rFonts w:asciiTheme="minorHAnsi" w:eastAsiaTheme="minorEastAsia" w:hAnsiTheme="minorHAnsi" w:cstheme="minorBidi"/>
              <w:b w:val="0"/>
              <w:sz w:val="22"/>
              <w:szCs w:val="22"/>
              <w:lang w:val="es-CR"/>
            </w:rPr>
          </w:pPr>
          <w:hyperlink w:anchor="_Toc114778760" w:history="1">
            <w:r w:rsidR="0053383B" w:rsidRPr="00CD68BA">
              <w:rPr>
                <w:rStyle w:val="Hipervnculo"/>
                <w:lang w:val="es-CR"/>
              </w:rPr>
              <w:t>EXCEPCIONES PRELIMINARES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_Toc114778760 \h </w:instrText>
            </w:r>
            <w:r w:rsidR="0053383B" w:rsidRPr="00CD68BA">
              <w:rPr>
                <w:webHidden/>
                <w:lang w:val="es-CR"/>
              </w:rPr>
            </w:r>
            <w:r w:rsidR="0053383B" w:rsidRPr="00CD68BA">
              <w:rPr>
                <w:webHidden/>
                <w:lang w:val="es-CR"/>
              </w:rPr>
              <w:fldChar w:fldCharType="separate"/>
            </w:r>
            <w:r w:rsidR="009D33A1">
              <w:rPr>
                <w:noProof/>
                <w:webHidden/>
                <w:lang w:val="es-CR"/>
              </w:rPr>
              <w:t>7</w:t>
            </w:r>
            <w:r w:rsidR="0053383B" w:rsidRPr="00CD68BA">
              <w:rPr>
                <w:webHidden/>
                <w:lang w:val="es-CR"/>
              </w:rPr>
              <w:fldChar w:fldCharType="end"/>
            </w:r>
          </w:hyperlink>
        </w:p>
        <w:p w14:paraId="58027E97" w14:textId="3758AFD7"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761" w:history="1">
            <w:r w:rsidR="0053383B" w:rsidRPr="00CD68BA">
              <w:rPr>
                <w:rStyle w:val="Hipervnculo"/>
                <w:i/>
                <w:iCs/>
                <w:lang w:val="es-CR"/>
              </w:rPr>
              <w:t>A.</w:t>
            </w:r>
            <w:r w:rsidR="0053383B" w:rsidRPr="00CD68BA">
              <w:rPr>
                <w:rFonts w:asciiTheme="minorHAnsi" w:eastAsiaTheme="minorEastAsia" w:hAnsiTheme="minorHAnsi" w:cstheme="minorBidi"/>
                <w:smallCaps w:val="0"/>
                <w:sz w:val="22"/>
                <w:szCs w:val="22"/>
                <w:lang w:val="es-CR"/>
              </w:rPr>
              <w:tab/>
            </w:r>
            <w:r w:rsidR="0053383B" w:rsidRPr="00CD68BA">
              <w:rPr>
                <w:rStyle w:val="Hipervnculo"/>
                <w:i/>
                <w:iCs/>
                <w:lang w:val="es-CR"/>
              </w:rPr>
              <w:t>Incompetencia ratione temporis en cuanto a los hechos anteriores a la fecha de reconocimiento de la jurisdicción de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_Toc114778761 \h </w:instrText>
            </w:r>
            <w:r w:rsidR="0053383B" w:rsidRPr="00CD68BA">
              <w:rPr>
                <w:webHidden/>
                <w:lang w:val="es-CR"/>
              </w:rPr>
            </w:r>
            <w:r w:rsidR="0053383B" w:rsidRPr="00CD68BA">
              <w:rPr>
                <w:webHidden/>
                <w:lang w:val="es-CR"/>
              </w:rPr>
              <w:fldChar w:fldCharType="separate"/>
            </w:r>
            <w:r w:rsidR="009D33A1">
              <w:rPr>
                <w:noProof/>
                <w:webHidden/>
                <w:lang w:val="es-CR"/>
              </w:rPr>
              <w:t>7</w:t>
            </w:r>
            <w:r w:rsidR="0053383B" w:rsidRPr="00CD68BA">
              <w:rPr>
                <w:webHidden/>
                <w:lang w:val="es-CR"/>
              </w:rPr>
              <w:fldChar w:fldCharType="end"/>
            </w:r>
          </w:hyperlink>
        </w:p>
        <w:p w14:paraId="72BF5CF1" w14:textId="2707EAD3" w:rsidR="0053383B" w:rsidRPr="00CD68BA" w:rsidRDefault="00000000">
          <w:pPr>
            <w:pStyle w:val="TDC3"/>
            <w:tabs>
              <w:tab w:val="left" w:pos="1100"/>
              <w:tab w:val="right" w:leader="dot" w:pos="10070"/>
            </w:tabs>
            <w:rPr>
              <w:rFonts w:asciiTheme="minorHAnsi" w:eastAsiaTheme="minorEastAsia" w:hAnsiTheme="minorHAnsi" w:cstheme="minorBidi"/>
              <w:sz w:val="22"/>
              <w:szCs w:val="22"/>
              <w:lang w:val="es-CR"/>
            </w:rPr>
          </w:pPr>
          <w:hyperlink w:anchor="_Toc114778762" w:history="1">
            <w:r w:rsidR="0053383B" w:rsidRPr="00CD68BA">
              <w:rPr>
                <w:rStyle w:val="Hipervnculo"/>
                <w:rFonts w:eastAsia="Verdana" w:cs="Verdana"/>
                <w:i/>
                <w:iCs/>
                <w:spacing w:val="-2"/>
                <w:w w:val="99"/>
                <w:lang w:val="es-CR"/>
              </w:rPr>
              <w:t>A.1.</w:t>
            </w:r>
            <w:r w:rsidR="0053383B" w:rsidRPr="00CD68BA">
              <w:rPr>
                <w:rFonts w:asciiTheme="minorHAnsi" w:eastAsiaTheme="minorEastAsia" w:hAnsiTheme="minorHAnsi" w:cstheme="minorBidi"/>
                <w:sz w:val="22"/>
                <w:szCs w:val="22"/>
                <w:lang w:val="es-CR"/>
              </w:rPr>
              <w:tab/>
            </w:r>
            <w:r w:rsidR="0053383B" w:rsidRPr="00CD68BA">
              <w:rPr>
                <w:rStyle w:val="Hipervnculo"/>
                <w:i/>
                <w:iCs/>
                <w:lang w:val="es-CR"/>
              </w:rPr>
              <w:t>Alegatos de las partes y de la Comisión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_Toc114778762 \h </w:instrText>
            </w:r>
            <w:r w:rsidR="0053383B" w:rsidRPr="00CD68BA">
              <w:rPr>
                <w:webHidden/>
                <w:lang w:val="es-CR"/>
              </w:rPr>
            </w:r>
            <w:r w:rsidR="0053383B" w:rsidRPr="00CD68BA">
              <w:rPr>
                <w:webHidden/>
                <w:lang w:val="es-CR"/>
              </w:rPr>
              <w:fldChar w:fldCharType="separate"/>
            </w:r>
            <w:r w:rsidR="009D33A1">
              <w:rPr>
                <w:noProof/>
                <w:webHidden/>
                <w:lang w:val="es-CR"/>
              </w:rPr>
              <w:t>7</w:t>
            </w:r>
            <w:r w:rsidR="0053383B" w:rsidRPr="00CD68BA">
              <w:rPr>
                <w:webHidden/>
                <w:lang w:val="es-CR"/>
              </w:rPr>
              <w:fldChar w:fldCharType="end"/>
            </w:r>
          </w:hyperlink>
        </w:p>
        <w:p w14:paraId="325D6D95" w14:textId="24BD0038"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63" w:history="1">
            <w:r w:rsidR="0053383B" w:rsidRPr="00CD68BA">
              <w:rPr>
                <w:rStyle w:val="Hipervnculo"/>
                <w:i/>
                <w:iCs/>
                <w:lang w:val="es-CR"/>
              </w:rPr>
              <w:t>A.2. Consideraciones de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_Toc114778763 \h </w:instrText>
            </w:r>
            <w:r w:rsidR="0053383B" w:rsidRPr="00CD68BA">
              <w:rPr>
                <w:webHidden/>
                <w:lang w:val="es-CR"/>
              </w:rPr>
            </w:r>
            <w:r w:rsidR="0053383B" w:rsidRPr="00CD68BA">
              <w:rPr>
                <w:webHidden/>
                <w:lang w:val="es-CR"/>
              </w:rPr>
              <w:fldChar w:fldCharType="separate"/>
            </w:r>
            <w:r w:rsidR="009D33A1">
              <w:rPr>
                <w:noProof/>
                <w:webHidden/>
                <w:lang w:val="es-CR"/>
              </w:rPr>
              <w:t>8</w:t>
            </w:r>
            <w:r w:rsidR="0053383B" w:rsidRPr="00CD68BA">
              <w:rPr>
                <w:webHidden/>
                <w:lang w:val="es-CR"/>
              </w:rPr>
              <w:fldChar w:fldCharType="end"/>
            </w:r>
          </w:hyperlink>
        </w:p>
        <w:p w14:paraId="4541B37D" w14:textId="75F215F5"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764" w:history="1">
            <w:r w:rsidR="0053383B" w:rsidRPr="00CD68BA">
              <w:rPr>
                <w:rStyle w:val="Hipervnculo"/>
                <w:i/>
                <w:iCs/>
                <w:lang w:val="es-CR"/>
              </w:rPr>
              <w:t>B.</w:t>
            </w:r>
            <w:r w:rsidR="0053383B" w:rsidRPr="00CD68BA">
              <w:rPr>
                <w:rFonts w:asciiTheme="minorHAnsi" w:eastAsiaTheme="minorEastAsia" w:hAnsiTheme="minorHAnsi" w:cstheme="minorBidi"/>
                <w:smallCaps w:val="0"/>
                <w:sz w:val="22"/>
                <w:szCs w:val="22"/>
                <w:lang w:val="es-CR"/>
              </w:rPr>
              <w:tab/>
            </w:r>
            <w:r w:rsidR="0053383B" w:rsidRPr="00CD68BA">
              <w:rPr>
                <w:rStyle w:val="Hipervnculo"/>
                <w:i/>
                <w:iCs/>
                <w:lang w:val="es-CR"/>
              </w:rPr>
              <w:t>Excepción preliminar de falta de agotamiento de recursos internos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_Toc114778764 \h </w:instrText>
            </w:r>
            <w:r w:rsidR="0053383B" w:rsidRPr="00CD68BA">
              <w:rPr>
                <w:webHidden/>
                <w:lang w:val="es-CR"/>
              </w:rPr>
            </w:r>
            <w:r w:rsidR="0053383B" w:rsidRPr="00CD68BA">
              <w:rPr>
                <w:webHidden/>
                <w:lang w:val="es-CR"/>
              </w:rPr>
              <w:fldChar w:fldCharType="separate"/>
            </w:r>
            <w:r w:rsidR="009D33A1">
              <w:rPr>
                <w:noProof/>
                <w:webHidden/>
                <w:lang w:val="es-CR"/>
              </w:rPr>
              <w:t>9</w:t>
            </w:r>
            <w:r w:rsidR="0053383B" w:rsidRPr="00CD68BA">
              <w:rPr>
                <w:webHidden/>
                <w:lang w:val="es-CR"/>
              </w:rPr>
              <w:fldChar w:fldCharType="end"/>
            </w:r>
          </w:hyperlink>
        </w:p>
        <w:p w14:paraId="048F8B65" w14:textId="5A2A3139"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65" w:history="1">
            <w:r w:rsidR="0053383B" w:rsidRPr="00CD68BA">
              <w:rPr>
                <w:rStyle w:val="Hipervnculo"/>
                <w:i/>
                <w:iCs/>
                <w:lang w:val="es-CR"/>
              </w:rPr>
              <w:t>B.1. Alegatos de las partes y de la Comisión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_Toc114778765 \h </w:instrText>
            </w:r>
            <w:r w:rsidR="0053383B" w:rsidRPr="00CD68BA">
              <w:rPr>
                <w:webHidden/>
                <w:lang w:val="es-CR"/>
              </w:rPr>
            </w:r>
            <w:r w:rsidR="0053383B" w:rsidRPr="00CD68BA">
              <w:rPr>
                <w:webHidden/>
                <w:lang w:val="es-CR"/>
              </w:rPr>
              <w:fldChar w:fldCharType="separate"/>
            </w:r>
            <w:r w:rsidR="009D33A1">
              <w:rPr>
                <w:noProof/>
                <w:webHidden/>
                <w:lang w:val="es-CR"/>
              </w:rPr>
              <w:t>9</w:t>
            </w:r>
            <w:r w:rsidR="0053383B" w:rsidRPr="00CD68BA">
              <w:rPr>
                <w:webHidden/>
                <w:lang w:val="es-CR"/>
              </w:rPr>
              <w:fldChar w:fldCharType="end"/>
            </w:r>
          </w:hyperlink>
        </w:p>
        <w:p w14:paraId="11E35206" w14:textId="23598800"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66" w:history="1">
            <w:r w:rsidR="0053383B" w:rsidRPr="00CD68BA">
              <w:rPr>
                <w:rStyle w:val="Hipervnculo"/>
                <w:i/>
                <w:iCs/>
                <w:lang w:val="es-CR"/>
              </w:rPr>
              <w:t>B.2. Consideraciones de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_Toc114778766 \h </w:instrText>
            </w:r>
            <w:r w:rsidR="0053383B" w:rsidRPr="00CD68BA">
              <w:rPr>
                <w:webHidden/>
                <w:lang w:val="es-CR"/>
              </w:rPr>
            </w:r>
            <w:r w:rsidR="0053383B" w:rsidRPr="00CD68BA">
              <w:rPr>
                <w:webHidden/>
                <w:lang w:val="es-CR"/>
              </w:rPr>
              <w:fldChar w:fldCharType="separate"/>
            </w:r>
            <w:r w:rsidR="009D33A1">
              <w:rPr>
                <w:noProof/>
                <w:webHidden/>
                <w:lang w:val="es-CR"/>
              </w:rPr>
              <w:t>10</w:t>
            </w:r>
            <w:r w:rsidR="0053383B" w:rsidRPr="00CD68BA">
              <w:rPr>
                <w:webHidden/>
                <w:lang w:val="es-CR"/>
              </w:rPr>
              <w:fldChar w:fldCharType="end"/>
            </w:r>
          </w:hyperlink>
        </w:p>
        <w:p w14:paraId="58CE69B9" w14:textId="28DE90FF"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767" w:history="1">
            <w:r w:rsidR="0053383B" w:rsidRPr="00CD68BA">
              <w:rPr>
                <w:rStyle w:val="Hipervnculo"/>
                <w:i/>
                <w:iCs/>
                <w:lang w:val="es-CR"/>
              </w:rPr>
              <w:t>C.</w:t>
            </w:r>
            <w:r w:rsidR="0053383B" w:rsidRPr="00CD68BA">
              <w:rPr>
                <w:rFonts w:asciiTheme="minorHAnsi" w:eastAsiaTheme="minorEastAsia" w:hAnsiTheme="minorHAnsi" w:cstheme="minorBidi"/>
                <w:smallCaps w:val="0"/>
                <w:sz w:val="22"/>
                <w:szCs w:val="22"/>
                <w:lang w:val="es-CR"/>
              </w:rPr>
              <w:tab/>
            </w:r>
            <w:r w:rsidR="0053383B" w:rsidRPr="00CD68BA">
              <w:rPr>
                <w:rStyle w:val="Hipervnculo"/>
                <w:i/>
                <w:iCs/>
                <w:lang w:val="es-CR"/>
              </w:rPr>
              <w:t>Incompetencia ratione materia por la violación al principio de subsidiariedad (excepción de cuarta instancia)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_Toc114778767 \h </w:instrText>
            </w:r>
            <w:r w:rsidR="0053383B" w:rsidRPr="00CD68BA">
              <w:rPr>
                <w:webHidden/>
                <w:lang w:val="es-CR"/>
              </w:rPr>
            </w:r>
            <w:r w:rsidR="0053383B" w:rsidRPr="00CD68BA">
              <w:rPr>
                <w:webHidden/>
                <w:lang w:val="es-CR"/>
              </w:rPr>
              <w:fldChar w:fldCharType="separate"/>
            </w:r>
            <w:r w:rsidR="009D33A1">
              <w:rPr>
                <w:noProof/>
                <w:webHidden/>
                <w:lang w:val="es-CR"/>
              </w:rPr>
              <w:t>10</w:t>
            </w:r>
            <w:r w:rsidR="0053383B" w:rsidRPr="00CD68BA">
              <w:rPr>
                <w:webHidden/>
                <w:lang w:val="es-CR"/>
              </w:rPr>
              <w:fldChar w:fldCharType="end"/>
            </w:r>
          </w:hyperlink>
        </w:p>
        <w:p w14:paraId="01BACB3B" w14:textId="6515BCC7"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68" w:history="1">
            <w:r w:rsidR="0053383B" w:rsidRPr="00CD68BA">
              <w:rPr>
                <w:rStyle w:val="Hipervnculo"/>
                <w:i/>
                <w:iCs/>
                <w:lang w:val="es-CR"/>
              </w:rPr>
              <w:t>C.1. Alegatos de las partes y de la Comisión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_Toc114778768 \h </w:instrText>
            </w:r>
            <w:r w:rsidR="0053383B" w:rsidRPr="00CD68BA">
              <w:rPr>
                <w:webHidden/>
                <w:lang w:val="es-CR"/>
              </w:rPr>
            </w:r>
            <w:r w:rsidR="0053383B" w:rsidRPr="00CD68BA">
              <w:rPr>
                <w:webHidden/>
                <w:lang w:val="es-CR"/>
              </w:rPr>
              <w:fldChar w:fldCharType="separate"/>
            </w:r>
            <w:r w:rsidR="009D33A1">
              <w:rPr>
                <w:noProof/>
                <w:webHidden/>
                <w:lang w:val="es-CR"/>
              </w:rPr>
              <w:t>10</w:t>
            </w:r>
            <w:r w:rsidR="0053383B" w:rsidRPr="00CD68BA">
              <w:rPr>
                <w:webHidden/>
                <w:lang w:val="es-CR"/>
              </w:rPr>
              <w:fldChar w:fldCharType="end"/>
            </w:r>
          </w:hyperlink>
        </w:p>
        <w:p w14:paraId="761354EC" w14:textId="02100750"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69" w:history="1">
            <w:r w:rsidR="0053383B" w:rsidRPr="00CD68BA">
              <w:rPr>
                <w:rStyle w:val="Hipervnculo"/>
                <w:i/>
                <w:iCs/>
                <w:lang w:val="es-CR"/>
              </w:rPr>
              <w:t>C.2. Consideraciones de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_Toc114778769 \h </w:instrText>
            </w:r>
            <w:r w:rsidR="0053383B" w:rsidRPr="00CD68BA">
              <w:rPr>
                <w:webHidden/>
                <w:lang w:val="es-CR"/>
              </w:rPr>
            </w:r>
            <w:r w:rsidR="0053383B" w:rsidRPr="00CD68BA">
              <w:rPr>
                <w:webHidden/>
                <w:lang w:val="es-CR"/>
              </w:rPr>
              <w:fldChar w:fldCharType="separate"/>
            </w:r>
            <w:r w:rsidR="009D33A1">
              <w:rPr>
                <w:noProof/>
                <w:webHidden/>
                <w:lang w:val="es-CR"/>
              </w:rPr>
              <w:t>11</w:t>
            </w:r>
            <w:r w:rsidR="0053383B" w:rsidRPr="00CD68BA">
              <w:rPr>
                <w:webHidden/>
                <w:lang w:val="es-CR"/>
              </w:rPr>
              <w:fldChar w:fldCharType="end"/>
            </w:r>
          </w:hyperlink>
        </w:p>
        <w:p w14:paraId="5EADCE4E" w14:textId="4B3BE052" w:rsidR="0053383B" w:rsidRPr="00CD68BA" w:rsidRDefault="00000000">
          <w:pPr>
            <w:pStyle w:val="TDC1"/>
            <w:rPr>
              <w:rFonts w:asciiTheme="minorHAnsi" w:eastAsiaTheme="minorEastAsia" w:hAnsiTheme="minorHAnsi" w:cstheme="minorBidi"/>
              <w:b w:val="0"/>
              <w:sz w:val="22"/>
              <w:szCs w:val="22"/>
              <w:lang w:val="es-CR"/>
            </w:rPr>
          </w:pPr>
          <w:hyperlink w:anchor="_Toc114778770" w:history="1">
            <w:r w:rsidR="0053383B" w:rsidRPr="00CD68BA">
              <w:rPr>
                <w:rStyle w:val="Hipervnculo"/>
                <w:lang w:val="es-CR"/>
              </w:rPr>
              <w:t>V CONSIDERACIONES PREVIAS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_Toc114778770 \h </w:instrText>
            </w:r>
            <w:r w:rsidR="0053383B" w:rsidRPr="00CD68BA">
              <w:rPr>
                <w:webHidden/>
                <w:lang w:val="es-CR"/>
              </w:rPr>
            </w:r>
            <w:r w:rsidR="0053383B" w:rsidRPr="00CD68BA">
              <w:rPr>
                <w:webHidden/>
                <w:lang w:val="es-CR"/>
              </w:rPr>
              <w:fldChar w:fldCharType="separate"/>
            </w:r>
            <w:r w:rsidR="009D33A1">
              <w:rPr>
                <w:noProof/>
                <w:webHidden/>
                <w:lang w:val="es-CR"/>
              </w:rPr>
              <w:t>11</w:t>
            </w:r>
            <w:r w:rsidR="0053383B" w:rsidRPr="00CD68BA">
              <w:rPr>
                <w:webHidden/>
                <w:lang w:val="es-CR"/>
              </w:rPr>
              <w:fldChar w:fldCharType="end"/>
            </w:r>
          </w:hyperlink>
        </w:p>
        <w:p w14:paraId="4CD07EBF" w14:textId="180EC44E" w:rsidR="0053383B" w:rsidRPr="00CD68BA" w:rsidRDefault="00000000">
          <w:pPr>
            <w:pStyle w:val="TDC1"/>
            <w:rPr>
              <w:rFonts w:asciiTheme="minorHAnsi" w:eastAsiaTheme="minorEastAsia" w:hAnsiTheme="minorHAnsi" w:cstheme="minorBidi"/>
              <w:b w:val="0"/>
              <w:sz w:val="22"/>
              <w:szCs w:val="22"/>
              <w:lang w:val="es-CR"/>
            </w:rPr>
          </w:pPr>
          <w:hyperlink w:anchor="_Toc114778771" w:history="1">
            <w:r w:rsidR="0053383B" w:rsidRPr="00CD68BA">
              <w:rPr>
                <w:rStyle w:val="Hipervnculo"/>
                <w:lang w:val="es-CR"/>
              </w:rPr>
              <w:t>VI PRUEBA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_Toc114778771 \h </w:instrText>
            </w:r>
            <w:r w:rsidR="0053383B" w:rsidRPr="00CD68BA">
              <w:rPr>
                <w:webHidden/>
                <w:lang w:val="es-CR"/>
              </w:rPr>
            </w:r>
            <w:r w:rsidR="0053383B" w:rsidRPr="00CD68BA">
              <w:rPr>
                <w:webHidden/>
                <w:lang w:val="es-CR"/>
              </w:rPr>
              <w:fldChar w:fldCharType="separate"/>
            </w:r>
            <w:r w:rsidR="009D33A1">
              <w:rPr>
                <w:noProof/>
                <w:webHidden/>
                <w:lang w:val="es-CR"/>
              </w:rPr>
              <w:t>11</w:t>
            </w:r>
            <w:r w:rsidR="0053383B" w:rsidRPr="00CD68BA">
              <w:rPr>
                <w:webHidden/>
                <w:lang w:val="es-CR"/>
              </w:rPr>
              <w:fldChar w:fldCharType="end"/>
            </w:r>
          </w:hyperlink>
        </w:p>
        <w:p w14:paraId="759B3B40" w14:textId="1A2ADF89" w:rsidR="0053383B" w:rsidRPr="00CD68BA" w:rsidRDefault="00000000">
          <w:pPr>
            <w:pStyle w:val="TDC2"/>
            <w:rPr>
              <w:rFonts w:asciiTheme="minorHAnsi" w:eastAsiaTheme="minorEastAsia" w:hAnsiTheme="minorHAnsi" w:cstheme="minorBidi"/>
              <w:smallCaps w:val="0"/>
              <w:sz w:val="22"/>
              <w:szCs w:val="22"/>
              <w:lang w:val="es-CR"/>
            </w:rPr>
          </w:pPr>
          <w:hyperlink w:anchor="_Toc114778772" w:history="1">
            <w:r w:rsidR="0053383B" w:rsidRPr="00CD68BA">
              <w:rPr>
                <w:rStyle w:val="Hipervnculo"/>
                <w:lang w:val="es-CR"/>
              </w:rPr>
              <w:t>A. Admisibilidad de la prueba documental</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_Toc114778772 \h </w:instrText>
            </w:r>
            <w:r w:rsidR="0053383B" w:rsidRPr="00CD68BA">
              <w:rPr>
                <w:webHidden/>
                <w:lang w:val="es-CR"/>
              </w:rPr>
            </w:r>
            <w:r w:rsidR="0053383B" w:rsidRPr="00CD68BA">
              <w:rPr>
                <w:webHidden/>
                <w:lang w:val="es-CR"/>
              </w:rPr>
              <w:fldChar w:fldCharType="separate"/>
            </w:r>
            <w:r w:rsidR="009D33A1">
              <w:rPr>
                <w:noProof/>
                <w:webHidden/>
                <w:lang w:val="es-CR"/>
              </w:rPr>
              <w:t>11</w:t>
            </w:r>
            <w:r w:rsidR="0053383B" w:rsidRPr="00CD68BA">
              <w:rPr>
                <w:webHidden/>
                <w:lang w:val="es-CR"/>
              </w:rPr>
              <w:fldChar w:fldCharType="end"/>
            </w:r>
          </w:hyperlink>
        </w:p>
        <w:p w14:paraId="5F3D0C98" w14:textId="7AEB8963" w:rsidR="0053383B" w:rsidRPr="00CD68BA" w:rsidRDefault="00000000">
          <w:pPr>
            <w:pStyle w:val="TDC2"/>
            <w:rPr>
              <w:rFonts w:asciiTheme="minorHAnsi" w:eastAsiaTheme="minorEastAsia" w:hAnsiTheme="minorHAnsi" w:cstheme="minorBidi"/>
              <w:smallCaps w:val="0"/>
              <w:sz w:val="22"/>
              <w:szCs w:val="22"/>
              <w:lang w:val="es-CR"/>
            </w:rPr>
          </w:pPr>
          <w:hyperlink w:anchor="_Toc114778773" w:history="1">
            <w:r w:rsidR="0053383B" w:rsidRPr="00CD68BA">
              <w:rPr>
                <w:rStyle w:val="Hipervnculo"/>
                <w:iCs/>
                <w:lang w:val="es-CR"/>
              </w:rPr>
              <w:t>B.</w:t>
            </w:r>
            <w:r w:rsidR="0053383B" w:rsidRPr="00CD68BA">
              <w:rPr>
                <w:rStyle w:val="Hipervnculo"/>
                <w:i/>
                <w:lang w:val="es-CR"/>
              </w:rPr>
              <w:t xml:space="preserve"> </w:t>
            </w:r>
            <w:r w:rsidR="0053383B" w:rsidRPr="00CD68BA">
              <w:rPr>
                <w:rStyle w:val="Hipervnculo"/>
                <w:lang w:val="es-CR"/>
              </w:rPr>
              <w:t>Admisibilidad de la prueba testimonial y pericial</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_Toc114778773 \h </w:instrText>
            </w:r>
            <w:r w:rsidR="0053383B" w:rsidRPr="00CD68BA">
              <w:rPr>
                <w:webHidden/>
                <w:lang w:val="es-CR"/>
              </w:rPr>
            </w:r>
            <w:r w:rsidR="0053383B" w:rsidRPr="00CD68BA">
              <w:rPr>
                <w:webHidden/>
                <w:lang w:val="es-CR"/>
              </w:rPr>
              <w:fldChar w:fldCharType="separate"/>
            </w:r>
            <w:r w:rsidR="009D33A1">
              <w:rPr>
                <w:noProof/>
                <w:webHidden/>
                <w:lang w:val="es-CR"/>
              </w:rPr>
              <w:t>13</w:t>
            </w:r>
            <w:r w:rsidR="0053383B" w:rsidRPr="00CD68BA">
              <w:rPr>
                <w:webHidden/>
                <w:lang w:val="es-CR"/>
              </w:rPr>
              <w:fldChar w:fldCharType="end"/>
            </w:r>
          </w:hyperlink>
        </w:p>
        <w:p w14:paraId="44191748" w14:textId="349D0BA5" w:rsidR="0053383B" w:rsidRPr="00CD68BA" w:rsidRDefault="00000000">
          <w:pPr>
            <w:pStyle w:val="TDC1"/>
            <w:rPr>
              <w:rFonts w:asciiTheme="minorHAnsi" w:eastAsiaTheme="minorEastAsia" w:hAnsiTheme="minorHAnsi" w:cstheme="minorBidi"/>
              <w:b w:val="0"/>
              <w:sz w:val="22"/>
              <w:szCs w:val="22"/>
              <w:lang w:val="es-CR"/>
            </w:rPr>
          </w:pPr>
          <w:hyperlink w:anchor="_Toc114778774" w:history="1">
            <w:r w:rsidR="0053383B" w:rsidRPr="00CD68BA">
              <w:rPr>
                <w:rStyle w:val="Hipervnculo"/>
                <w:lang w:val="es-CR"/>
              </w:rPr>
              <w:t>VII HECHOS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_Toc114778774 \h </w:instrText>
            </w:r>
            <w:r w:rsidR="0053383B" w:rsidRPr="00CD68BA">
              <w:rPr>
                <w:webHidden/>
                <w:lang w:val="es-CR"/>
              </w:rPr>
            </w:r>
            <w:r w:rsidR="0053383B" w:rsidRPr="00CD68BA">
              <w:rPr>
                <w:webHidden/>
                <w:lang w:val="es-CR"/>
              </w:rPr>
              <w:fldChar w:fldCharType="separate"/>
            </w:r>
            <w:r w:rsidR="009D33A1">
              <w:rPr>
                <w:noProof/>
                <w:webHidden/>
                <w:lang w:val="es-CR"/>
              </w:rPr>
              <w:t>13</w:t>
            </w:r>
            <w:r w:rsidR="0053383B" w:rsidRPr="00CD68BA">
              <w:rPr>
                <w:webHidden/>
                <w:lang w:val="es-CR"/>
              </w:rPr>
              <w:fldChar w:fldCharType="end"/>
            </w:r>
          </w:hyperlink>
        </w:p>
        <w:p w14:paraId="119F0CDC" w14:textId="7EAB8FDF" w:rsidR="0053383B" w:rsidRPr="00CD68BA" w:rsidRDefault="00000000">
          <w:pPr>
            <w:pStyle w:val="TDC2"/>
            <w:rPr>
              <w:rFonts w:asciiTheme="minorHAnsi" w:eastAsiaTheme="minorEastAsia" w:hAnsiTheme="minorHAnsi" w:cstheme="minorBidi"/>
              <w:smallCaps w:val="0"/>
              <w:sz w:val="22"/>
              <w:szCs w:val="22"/>
              <w:lang w:val="es-CR"/>
            </w:rPr>
          </w:pPr>
          <w:hyperlink w:anchor="_Toc114778775" w:history="1">
            <w:r w:rsidR="0053383B" w:rsidRPr="00CD68BA">
              <w:rPr>
                <w:rStyle w:val="Hipervnculo"/>
                <w:lang w:val="es-CR"/>
              </w:rPr>
              <w:t>A. Contexto de violencia e impunidad relacionado con la lucha por la tierra en Brasil</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_Toc114778775 \h </w:instrText>
            </w:r>
            <w:r w:rsidR="0053383B" w:rsidRPr="00CD68BA">
              <w:rPr>
                <w:webHidden/>
                <w:lang w:val="es-CR"/>
              </w:rPr>
            </w:r>
            <w:r w:rsidR="0053383B" w:rsidRPr="00CD68BA">
              <w:rPr>
                <w:webHidden/>
                <w:lang w:val="es-CR"/>
              </w:rPr>
              <w:fldChar w:fldCharType="separate"/>
            </w:r>
            <w:r w:rsidR="009D33A1">
              <w:rPr>
                <w:noProof/>
                <w:webHidden/>
                <w:lang w:val="es-CR"/>
              </w:rPr>
              <w:t>13</w:t>
            </w:r>
            <w:r w:rsidR="0053383B" w:rsidRPr="00CD68BA">
              <w:rPr>
                <w:webHidden/>
                <w:lang w:val="es-CR"/>
              </w:rPr>
              <w:fldChar w:fldCharType="end"/>
            </w:r>
          </w:hyperlink>
        </w:p>
        <w:p w14:paraId="1DBD1663" w14:textId="2C599E52" w:rsidR="0053383B" w:rsidRPr="00CD68BA" w:rsidRDefault="00000000">
          <w:pPr>
            <w:pStyle w:val="TDC2"/>
            <w:rPr>
              <w:rFonts w:asciiTheme="minorHAnsi" w:eastAsiaTheme="minorEastAsia" w:hAnsiTheme="minorHAnsi" w:cstheme="minorBidi"/>
              <w:smallCaps w:val="0"/>
              <w:sz w:val="22"/>
              <w:szCs w:val="22"/>
              <w:lang w:val="es-CR"/>
            </w:rPr>
          </w:pPr>
          <w:hyperlink w:anchor="_Toc114778776" w:history="1">
            <w:r w:rsidR="0053383B" w:rsidRPr="00CD68BA">
              <w:rPr>
                <w:rStyle w:val="Hipervnculo"/>
                <w:lang w:val="es-CR"/>
              </w:rPr>
              <w:t>B. Antecedentes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_Toc114778776 \h </w:instrText>
            </w:r>
            <w:r w:rsidR="0053383B" w:rsidRPr="00CD68BA">
              <w:rPr>
                <w:webHidden/>
                <w:lang w:val="es-CR"/>
              </w:rPr>
            </w:r>
            <w:r w:rsidR="0053383B" w:rsidRPr="00CD68BA">
              <w:rPr>
                <w:webHidden/>
                <w:lang w:val="es-CR"/>
              </w:rPr>
              <w:fldChar w:fldCharType="separate"/>
            </w:r>
            <w:r w:rsidR="009D33A1">
              <w:rPr>
                <w:noProof/>
                <w:webHidden/>
                <w:lang w:val="es-CR"/>
              </w:rPr>
              <w:t>16</w:t>
            </w:r>
            <w:r w:rsidR="0053383B" w:rsidRPr="00CD68BA">
              <w:rPr>
                <w:webHidden/>
                <w:lang w:val="es-CR"/>
              </w:rPr>
              <w:fldChar w:fldCharType="end"/>
            </w:r>
          </w:hyperlink>
        </w:p>
        <w:p w14:paraId="7A108BDC" w14:textId="07CD0D18" w:rsidR="0053383B" w:rsidRPr="00CD68BA" w:rsidRDefault="00000000" w:rsidP="001B7DC9">
          <w:pPr>
            <w:pStyle w:val="TDC2"/>
            <w:ind w:left="450"/>
            <w:rPr>
              <w:rFonts w:asciiTheme="minorHAnsi" w:eastAsiaTheme="minorEastAsia" w:hAnsiTheme="minorHAnsi" w:cstheme="minorBidi"/>
              <w:smallCaps w:val="0"/>
              <w:sz w:val="22"/>
              <w:szCs w:val="22"/>
              <w:lang w:val="es-CR"/>
            </w:rPr>
          </w:pPr>
          <w:hyperlink w:anchor="_Toc114778777" w:history="1">
            <w:r w:rsidR="0053383B" w:rsidRPr="00CD68BA">
              <w:rPr>
                <w:rStyle w:val="Hipervnculo"/>
                <w:i/>
                <w:iCs/>
                <w:lang w:val="es-CR"/>
              </w:rPr>
              <w:t>B.1.</w:t>
            </w:r>
            <w:r w:rsidR="0053383B" w:rsidRPr="00CD68BA">
              <w:rPr>
                <w:rStyle w:val="Hipervnculo"/>
                <w:lang w:val="es-CR"/>
              </w:rPr>
              <w:t xml:space="preserve"> Sobre Gabriel Sales Pimenta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_Toc114778777 \h </w:instrText>
            </w:r>
            <w:r w:rsidR="0053383B" w:rsidRPr="00CD68BA">
              <w:rPr>
                <w:webHidden/>
                <w:lang w:val="es-CR"/>
              </w:rPr>
            </w:r>
            <w:r w:rsidR="0053383B" w:rsidRPr="00CD68BA">
              <w:rPr>
                <w:webHidden/>
                <w:lang w:val="es-CR"/>
              </w:rPr>
              <w:fldChar w:fldCharType="separate"/>
            </w:r>
            <w:r w:rsidR="009D33A1">
              <w:rPr>
                <w:noProof/>
                <w:webHidden/>
                <w:lang w:val="es-CR"/>
              </w:rPr>
              <w:t>16</w:t>
            </w:r>
            <w:r w:rsidR="0053383B" w:rsidRPr="00CD68BA">
              <w:rPr>
                <w:webHidden/>
                <w:lang w:val="es-CR"/>
              </w:rPr>
              <w:fldChar w:fldCharType="end"/>
            </w:r>
          </w:hyperlink>
        </w:p>
        <w:p w14:paraId="67D26417" w14:textId="0FA10F32" w:rsidR="0053383B" w:rsidRPr="00CD68BA" w:rsidRDefault="00000000" w:rsidP="001B7DC9">
          <w:pPr>
            <w:pStyle w:val="TDC2"/>
            <w:ind w:left="450"/>
            <w:rPr>
              <w:rFonts w:asciiTheme="minorHAnsi" w:eastAsiaTheme="minorEastAsia" w:hAnsiTheme="minorHAnsi" w:cstheme="minorBidi"/>
              <w:smallCaps w:val="0"/>
              <w:sz w:val="22"/>
              <w:szCs w:val="22"/>
              <w:lang w:val="es-CR"/>
            </w:rPr>
          </w:pPr>
          <w:hyperlink w:anchor="_Toc114778778" w:history="1">
            <w:r w:rsidR="0053383B" w:rsidRPr="00CD68BA">
              <w:rPr>
                <w:rStyle w:val="Hipervnculo"/>
                <w:i/>
                <w:iCs/>
                <w:lang w:val="es-CR"/>
              </w:rPr>
              <w:t>B.2. El desalojo de los trabajadores rurales de Pau Seco y la acción realizada por Gabriel Sales Pimenta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_Toc114778778 \h </w:instrText>
            </w:r>
            <w:r w:rsidR="0053383B" w:rsidRPr="00CD68BA">
              <w:rPr>
                <w:webHidden/>
                <w:lang w:val="es-CR"/>
              </w:rPr>
            </w:r>
            <w:r w:rsidR="0053383B" w:rsidRPr="00CD68BA">
              <w:rPr>
                <w:webHidden/>
                <w:lang w:val="es-CR"/>
              </w:rPr>
              <w:fldChar w:fldCharType="separate"/>
            </w:r>
            <w:r w:rsidR="009D33A1">
              <w:rPr>
                <w:noProof/>
                <w:webHidden/>
                <w:lang w:val="es-CR"/>
              </w:rPr>
              <w:t>17</w:t>
            </w:r>
            <w:r w:rsidR="0053383B" w:rsidRPr="00CD68BA">
              <w:rPr>
                <w:webHidden/>
                <w:lang w:val="es-CR"/>
              </w:rPr>
              <w:fldChar w:fldCharType="end"/>
            </w:r>
          </w:hyperlink>
        </w:p>
        <w:p w14:paraId="0D56B939" w14:textId="4EC79F12" w:rsidR="0053383B" w:rsidRPr="00CD68BA" w:rsidRDefault="00000000" w:rsidP="001B7DC9">
          <w:pPr>
            <w:pStyle w:val="TDC2"/>
            <w:ind w:left="450"/>
            <w:rPr>
              <w:rFonts w:asciiTheme="minorHAnsi" w:eastAsiaTheme="minorEastAsia" w:hAnsiTheme="minorHAnsi" w:cstheme="minorBidi"/>
              <w:smallCaps w:val="0"/>
              <w:sz w:val="22"/>
              <w:szCs w:val="22"/>
              <w:lang w:val="es-CR"/>
            </w:rPr>
          </w:pPr>
          <w:hyperlink w:anchor="_Toc114778779" w:history="1">
            <w:r w:rsidR="0053383B" w:rsidRPr="00CD68BA">
              <w:rPr>
                <w:rStyle w:val="Hipervnculo"/>
                <w:bCs/>
                <w:i/>
                <w:iCs/>
                <w:lang w:val="es-CR"/>
              </w:rPr>
              <w:t xml:space="preserve">B.3. </w:t>
            </w:r>
            <w:r w:rsidR="0053383B" w:rsidRPr="00CD68BA">
              <w:rPr>
                <w:rStyle w:val="Hipervnculo"/>
                <w:bCs/>
                <w:lang w:val="es-CR"/>
              </w:rPr>
              <w:t>Las amenazas contra los trabajadores rurales y Gabriel Sales Pimenta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_Toc114778779 \h </w:instrText>
            </w:r>
            <w:r w:rsidR="0053383B" w:rsidRPr="00CD68BA">
              <w:rPr>
                <w:webHidden/>
                <w:lang w:val="es-CR"/>
              </w:rPr>
            </w:r>
            <w:r w:rsidR="0053383B" w:rsidRPr="00CD68BA">
              <w:rPr>
                <w:webHidden/>
                <w:lang w:val="es-CR"/>
              </w:rPr>
              <w:fldChar w:fldCharType="separate"/>
            </w:r>
            <w:r w:rsidR="009D33A1">
              <w:rPr>
                <w:noProof/>
                <w:webHidden/>
                <w:lang w:val="es-CR"/>
              </w:rPr>
              <w:t>18</w:t>
            </w:r>
            <w:r w:rsidR="0053383B" w:rsidRPr="00CD68BA">
              <w:rPr>
                <w:webHidden/>
                <w:lang w:val="es-CR"/>
              </w:rPr>
              <w:fldChar w:fldCharType="end"/>
            </w:r>
          </w:hyperlink>
        </w:p>
        <w:p w14:paraId="530C84A4" w14:textId="19A279AE" w:rsidR="0053383B" w:rsidRPr="00CD68BA" w:rsidRDefault="00000000" w:rsidP="001B7DC9">
          <w:pPr>
            <w:pStyle w:val="TDC2"/>
            <w:ind w:left="450"/>
            <w:rPr>
              <w:rFonts w:asciiTheme="minorHAnsi" w:eastAsiaTheme="minorEastAsia" w:hAnsiTheme="minorHAnsi" w:cstheme="minorBidi"/>
              <w:smallCaps w:val="0"/>
              <w:sz w:val="22"/>
              <w:szCs w:val="22"/>
              <w:lang w:val="es-CR"/>
            </w:rPr>
          </w:pPr>
          <w:hyperlink w:anchor="_Toc114778780" w:history="1">
            <w:r w:rsidR="0053383B" w:rsidRPr="00CD68BA">
              <w:rPr>
                <w:rStyle w:val="Hipervnculo"/>
                <w:i/>
                <w:iCs/>
                <w:lang w:val="es-CR"/>
              </w:rPr>
              <w:t>B.4. La muerte de Gabriel Sales Pimenta y la investigación policial</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_Toc114778780 \h </w:instrText>
            </w:r>
            <w:r w:rsidR="0053383B" w:rsidRPr="00CD68BA">
              <w:rPr>
                <w:webHidden/>
                <w:lang w:val="es-CR"/>
              </w:rPr>
            </w:r>
            <w:r w:rsidR="0053383B" w:rsidRPr="00CD68BA">
              <w:rPr>
                <w:webHidden/>
                <w:lang w:val="es-CR"/>
              </w:rPr>
              <w:fldChar w:fldCharType="separate"/>
            </w:r>
            <w:r w:rsidR="009D33A1">
              <w:rPr>
                <w:noProof/>
                <w:webHidden/>
                <w:lang w:val="es-CR"/>
              </w:rPr>
              <w:t>18</w:t>
            </w:r>
            <w:r w:rsidR="0053383B" w:rsidRPr="00CD68BA">
              <w:rPr>
                <w:webHidden/>
                <w:lang w:val="es-CR"/>
              </w:rPr>
              <w:fldChar w:fldCharType="end"/>
            </w:r>
          </w:hyperlink>
        </w:p>
        <w:p w14:paraId="2249659E" w14:textId="18EB0E0C" w:rsidR="0053383B" w:rsidRPr="00CD68BA" w:rsidRDefault="00000000" w:rsidP="001B7DC9">
          <w:pPr>
            <w:pStyle w:val="TDC2"/>
            <w:ind w:left="450"/>
            <w:rPr>
              <w:rFonts w:asciiTheme="minorHAnsi" w:eastAsiaTheme="minorEastAsia" w:hAnsiTheme="minorHAnsi" w:cstheme="minorBidi"/>
              <w:smallCaps w:val="0"/>
              <w:sz w:val="22"/>
              <w:szCs w:val="22"/>
              <w:lang w:val="es-CR"/>
            </w:rPr>
          </w:pPr>
          <w:hyperlink w:anchor="_Toc114778781" w:history="1">
            <w:r w:rsidR="0053383B" w:rsidRPr="00CD68BA">
              <w:rPr>
                <w:rStyle w:val="Hipervnculo"/>
                <w:i/>
                <w:iCs/>
                <w:lang w:val="es-CR"/>
              </w:rPr>
              <w:t>B.5. El desarrollo del proceso penal hasta el 10 de diciembre de 1998</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_Toc114778781 \h </w:instrText>
            </w:r>
            <w:r w:rsidR="0053383B" w:rsidRPr="00CD68BA">
              <w:rPr>
                <w:webHidden/>
                <w:lang w:val="es-CR"/>
              </w:rPr>
            </w:r>
            <w:r w:rsidR="0053383B" w:rsidRPr="00CD68BA">
              <w:rPr>
                <w:webHidden/>
                <w:lang w:val="es-CR"/>
              </w:rPr>
              <w:fldChar w:fldCharType="separate"/>
            </w:r>
            <w:r w:rsidR="009D33A1">
              <w:rPr>
                <w:noProof/>
                <w:webHidden/>
                <w:lang w:val="es-CR"/>
              </w:rPr>
              <w:t>19</w:t>
            </w:r>
            <w:r w:rsidR="0053383B" w:rsidRPr="00CD68BA">
              <w:rPr>
                <w:webHidden/>
                <w:lang w:val="es-CR"/>
              </w:rPr>
              <w:fldChar w:fldCharType="end"/>
            </w:r>
          </w:hyperlink>
        </w:p>
        <w:p w14:paraId="74CC104C" w14:textId="221AE552" w:rsidR="0053383B" w:rsidRPr="00CD68BA" w:rsidRDefault="00000000">
          <w:pPr>
            <w:pStyle w:val="TDC2"/>
            <w:rPr>
              <w:rFonts w:asciiTheme="minorHAnsi" w:eastAsiaTheme="minorEastAsia" w:hAnsiTheme="minorHAnsi" w:cstheme="minorBidi"/>
              <w:smallCaps w:val="0"/>
              <w:sz w:val="22"/>
              <w:szCs w:val="22"/>
              <w:lang w:val="es-CR"/>
            </w:rPr>
          </w:pPr>
          <w:hyperlink w:anchor="_Toc114778782" w:history="1">
            <w:r w:rsidR="0053383B" w:rsidRPr="00CD68BA">
              <w:rPr>
                <w:rStyle w:val="Hipervnculo"/>
                <w:lang w:val="es-CR"/>
              </w:rPr>
              <w:t>C. Hechos autónomos posteriores al reconocimiento de la competencia contenciosa de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_Toc114778782 \h </w:instrText>
            </w:r>
            <w:r w:rsidR="0053383B" w:rsidRPr="00CD68BA">
              <w:rPr>
                <w:webHidden/>
                <w:lang w:val="es-CR"/>
              </w:rPr>
            </w:r>
            <w:r w:rsidR="0053383B" w:rsidRPr="00CD68BA">
              <w:rPr>
                <w:webHidden/>
                <w:lang w:val="es-CR"/>
              </w:rPr>
              <w:fldChar w:fldCharType="separate"/>
            </w:r>
            <w:r w:rsidR="009D33A1">
              <w:rPr>
                <w:noProof/>
                <w:webHidden/>
                <w:lang w:val="es-CR"/>
              </w:rPr>
              <w:t>21</w:t>
            </w:r>
            <w:r w:rsidR="0053383B" w:rsidRPr="00CD68BA">
              <w:rPr>
                <w:webHidden/>
                <w:lang w:val="es-CR"/>
              </w:rPr>
              <w:fldChar w:fldCharType="end"/>
            </w:r>
          </w:hyperlink>
        </w:p>
        <w:p w14:paraId="539A32C3" w14:textId="2A29275D" w:rsidR="0053383B" w:rsidRPr="00CD68BA" w:rsidRDefault="00000000" w:rsidP="001B7DC9">
          <w:pPr>
            <w:pStyle w:val="TDC2"/>
            <w:ind w:left="450"/>
            <w:rPr>
              <w:rFonts w:asciiTheme="minorHAnsi" w:eastAsiaTheme="minorEastAsia" w:hAnsiTheme="minorHAnsi" w:cstheme="minorBidi"/>
              <w:smallCaps w:val="0"/>
              <w:sz w:val="22"/>
              <w:szCs w:val="22"/>
              <w:lang w:val="es-CR"/>
            </w:rPr>
          </w:pPr>
          <w:hyperlink w:anchor="_Toc114778783" w:history="1">
            <w:r w:rsidR="0053383B" w:rsidRPr="00CD68BA">
              <w:rPr>
                <w:rStyle w:val="Hipervnculo"/>
                <w:lang w:val="es-CR"/>
              </w:rPr>
              <w:t xml:space="preserve">C.1. </w:t>
            </w:r>
            <w:r w:rsidR="0053383B" w:rsidRPr="00CD68BA">
              <w:rPr>
                <w:rStyle w:val="Hipervnculo"/>
                <w:i/>
                <w:iCs/>
                <w:lang w:val="es-CR"/>
              </w:rPr>
              <w:t>Hechos autónomos sucedidos en el marco del proceso penal, con posterioridad al 10 de diciembre de 1998</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_Toc114778783 \h </w:instrText>
            </w:r>
            <w:r w:rsidR="0053383B" w:rsidRPr="00CD68BA">
              <w:rPr>
                <w:webHidden/>
                <w:lang w:val="es-CR"/>
              </w:rPr>
            </w:r>
            <w:r w:rsidR="0053383B" w:rsidRPr="00CD68BA">
              <w:rPr>
                <w:webHidden/>
                <w:lang w:val="es-CR"/>
              </w:rPr>
              <w:fldChar w:fldCharType="separate"/>
            </w:r>
            <w:r w:rsidR="009D33A1">
              <w:rPr>
                <w:noProof/>
                <w:webHidden/>
                <w:lang w:val="es-CR"/>
              </w:rPr>
              <w:t>21</w:t>
            </w:r>
            <w:r w:rsidR="0053383B" w:rsidRPr="00CD68BA">
              <w:rPr>
                <w:webHidden/>
                <w:lang w:val="es-CR"/>
              </w:rPr>
              <w:fldChar w:fldCharType="end"/>
            </w:r>
          </w:hyperlink>
        </w:p>
        <w:p w14:paraId="5D9A461E" w14:textId="7EA8DFA5" w:rsidR="0053383B" w:rsidRPr="00CD68BA" w:rsidRDefault="00000000" w:rsidP="001B7DC9">
          <w:pPr>
            <w:pStyle w:val="TDC2"/>
            <w:ind w:left="450"/>
            <w:rPr>
              <w:rFonts w:asciiTheme="minorHAnsi" w:eastAsiaTheme="minorEastAsia" w:hAnsiTheme="minorHAnsi" w:cstheme="minorBidi"/>
              <w:smallCaps w:val="0"/>
              <w:sz w:val="22"/>
              <w:szCs w:val="22"/>
              <w:lang w:val="es-CR"/>
            </w:rPr>
          </w:pPr>
          <w:hyperlink w:anchor="_Toc114778784" w:history="1">
            <w:r w:rsidR="0053383B" w:rsidRPr="00CD68BA">
              <w:rPr>
                <w:rStyle w:val="Hipervnculo"/>
                <w:lang w:val="es-CR"/>
              </w:rPr>
              <w:t xml:space="preserve">C.2. </w:t>
            </w:r>
            <w:r w:rsidR="0053383B" w:rsidRPr="00CD68BA">
              <w:rPr>
                <w:rStyle w:val="Hipervnculo"/>
                <w:i/>
                <w:lang w:val="es-CR"/>
              </w:rPr>
              <w:t>Medidas adicionales realizadas por los familiares de Gabriel Sales Pimenta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_Toc114778784 \h </w:instrText>
            </w:r>
            <w:r w:rsidR="0053383B" w:rsidRPr="00CD68BA">
              <w:rPr>
                <w:webHidden/>
                <w:lang w:val="es-CR"/>
              </w:rPr>
            </w:r>
            <w:r w:rsidR="0053383B" w:rsidRPr="00CD68BA">
              <w:rPr>
                <w:webHidden/>
                <w:lang w:val="es-CR"/>
              </w:rPr>
              <w:fldChar w:fldCharType="separate"/>
            </w:r>
            <w:r w:rsidR="009D33A1">
              <w:rPr>
                <w:noProof/>
                <w:webHidden/>
                <w:lang w:val="es-CR"/>
              </w:rPr>
              <w:t>23</w:t>
            </w:r>
            <w:r w:rsidR="0053383B" w:rsidRPr="00CD68BA">
              <w:rPr>
                <w:webHidden/>
                <w:lang w:val="es-CR"/>
              </w:rPr>
              <w:fldChar w:fldCharType="end"/>
            </w:r>
          </w:hyperlink>
        </w:p>
        <w:p w14:paraId="0280E097" w14:textId="101617C8" w:rsidR="0053383B" w:rsidRPr="00CD68BA" w:rsidRDefault="00000000">
          <w:pPr>
            <w:pStyle w:val="TDC1"/>
            <w:rPr>
              <w:rFonts w:asciiTheme="minorHAnsi" w:eastAsiaTheme="minorEastAsia" w:hAnsiTheme="minorHAnsi" w:cstheme="minorBidi"/>
              <w:b w:val="0"/>
              <w:sz w:val="22"/>
              <w:szCs w:val="22"/>
              <w:lang w:val="es-CR"/>
            </w:rPr>
          </w:pPr>
          <w:hyperlink w:anchor="_Toc114778785" w:history="1">
            <w:r w:rsidR="0053383B" w:rsidRPr="00CD68BA">
              <w:rPr>
                <w:rStyle w:val="Hipervnculo"/>
                <w:lang w:val="es-CR"/>
              </w:rPr>
              <w:t>VIII FONDO</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_Toc114778785 \h </w:instrText>
            </w:r>
            <w:r w:rsidR="0053383B" w:rsidRPr="00CD68BA">
              <w:rPr>
                <w:webHidden/>
                <w:lang w:val="es-CR"/>
              </w:rPr>
            </w:r>
            <w:r w:rsidR="0053383B" w:rsidRPr="00CD68BA">
              <w:rPr>
                <w:webHidden/>
                <w:lang w:val="es-CR"/>
              </w:rPr>
              <w:fldChar w:fldCharType="separate"/>
            </w:r>
            <w:r w:rsidR="009D33A1">
              <w:rPr>
                <w:noProof/>
                <w:webHidden/>
                <w:lang w:val="es-CR"/>
              </w:rPr>
              <w:t>24</w:t>
            </w:r>
            <w:r w:rsidR="0053383B" w:rsidRPr="00CD68BA">
              <w:rPr>
                <w:webHidden/>
                <w:lang w:val="es-CR"/>
              </w:rPr>
              <w:fldChar w:fldCharType="end"/>
            </w:r>
          </w:hyperlink>
        </w:p>
        <w:p w14:paraId="2534C5B7" w14:textId="6728A3A3" w:rsidR="0053383B" w:rsidRPr="00CD68BA" w:rsidRDefault="00000000">
          <w:pPr>
            <w:pStyle w:val="TDC1"/>
            <w:rPr>
              <w:rFonts w:asciiTheme="minorHAnsi" w:eastAsiaTheme="minorEastAsia" w:hAnsiTheme="minorHAnsi" w:cstheme="minorBidi"/>
              <w:b w:val="0"/>
              <w:sz w:val="22"/>
              <w:szCs w:val="22"/>
              <w:lang w:val="es-CR"/>
            </w:rPr>
          </w:pPr>
          <w:hyperlink w:anchor="_Toc114778786" w:history="1">
            <w:r w:rsidR="0053383B" w:rsidRPr="00CD68BA">
              <w:rPr>
                <w:rStyle w:val="Hipervnculo"/>
                <w:lang w:val="es-CR"/>
              </w:rPr>
              <w:t>VIII-1</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_Toc114778786 \h </w:instrText>
            </w:r>
            <w:r w:rsidR="0053383B" w:rsidRPr="00CD68BA">
              <w:rPr>
                <w:webHidden/>
                <w:lang w:val="es-CR"/>
              </w:rPr>
            </w:r>
            <w:r w:rsidR="0053383B" w:rsidRPr="00CD68BA">
              <w:rPr>
                <w:webHidden/>
                <w:lang w:val="es-CR"/>
              </w:rPr>
              <w:fldChar w:fldCharType="separate"/>
            </w:r>
            <w:r w:rsidR="009D33A1">
              <w:rPr>
                <w:noProof/>
                <w:webHidden/>
                <w:lang w:val="es-CR"/>
              </w:rPr>
              <w:t>24</w:t>
            </w:r>
            <w:r w:rsidR="0053383B" w:rsidRPr="00CD68BA">
              <w:rPr>
                <w:webHidden/>
                <w:lang w:val="es-CR"/>
              </w:rPr>
              <w:fldChar w:fldCharType="end"/>
            </w:r>
          </w:hyperlink>
        </w:p>
        <w:p w14:paraId="7491D48C" w14:textId="1D1D885B" w:rsidR="0053383B" w:rsidRPr="00CD68BA" w:rsidRDefault="00000000">
          <w:pPr>
            <w:pStyle w:val="TDC1"/>
            <w:rPr>
              <w:rFonts w:asciiTheme="minorHAnsi" w:eastAsiaTheme="minorEastAsia" w:hAnsiTheme="minorHAnsi" w:cstheme="minorBidi"/>
              <w:b w:val="0"/>
              <w:sz w:val="22"/>
              <w:szCs w:val="22"/>
              <w:lang w:val="es-CR"/>
            </w:rPr>
          </w:pPr>
          <w:hyperlink w:anchor="_Toc114778787" w:history="1">
            <w:r w:rsidR="0053383B" w:rsidRPr="00CD68BA">
              <w:rPr>
                <w:rStyle w:val="Hipervnculo"/>
                <w:lang w:val="es-CR"/>
              </w:rPr>
              <w:t>DERECHOS A LAS GARANTÍAS JUDICIALES Y A LA PROTECCIÓN JUDICIAL, ASÍ COMO EL DERECHO A LA VERDAD, EN RELACIÓN CON LAS OBLIGACIONES DE RESPETO Y GARANTÍA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_Toc114778787 \h </w:instrText>
            </w:r>
            <w:r w:rsidR="0053383B" w:rsidRPr="00CD68BA">
              <w:rPr>
                <w:webHidden/>
                <w:lang w:val="es-CR"/>
              </w:rPr>
            </w:r>
            <w:r w:rsidR="0053383B" w:rsidRPr="00CD68BA">
              <w:rPr>
                <w:webHidden/>
                <w:lang w:val="es-CR"/>
              </w:rPr>
              <w:fldChar w:fldCharType="separate"/>
            </w:r>
            <w:r w:rsidR="009D33A1">
              <w:rPr>
                <w:noProof/>
                <w:webHidden/>
                <w:lang w:val="es-CR"/>
              </w:rPr>
              <w:t>24</w:t>
            </w:r>
            <w:r w:rsidR="0053383B" w:rsidRPr="00CD68BA">
              <w:rPr>
                <w:webHidden/>
                <w:lang w:val="es-CR"/>
              </w:rPr>
              <w:fldChar w:fldCharType="end"/>
            </w:r>
          </w:hyperlink>
        </w:p>
        <w:p w14:paraId="1993F240" w14:textId="7E16FF0D" w:rsidR="0053383B" w:rsidRPr="00CD68BA" w:rsidRDefault="00000000">
          <w:pPr>
            <w:pStyle w:val="TDC1"/>
            <w:rPr>
              <w:rFonts w:asciiTheme="minorHAnsi" w:eastAsiaTheme="minorEastAsia" w:hAnsiTheme="minorHAnsi" w:cstheme="minorBidi"/>
              <w:b w:val="0"/>
              <w:sz w:val="22"/>
              <w:szCs w:val="22"/>
              <w:lang w:val="es-CR"/>
            </w:rPr>
          </w:pPr>
          <w:hyperlink w:anchor="_Toc114778788" w:history="1">
            <w:r w:rsidR="0053383B" w:rsidRPr="00CD68BA">
              <w:rPr>
                <w:rStyle w:val="Hipervnculo"/>
                <w:i/>
                <w:iCs/>
                <w:lang w:val="es-CR"/>
              </w:rPr>
              <w:t>A. Argumentos de las partes y de la Comisión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_Toc114778788 \h </w:instrText>
            </w:r>
            <w:r w:rsidR="0053383B" w:rsidRPr="00CD68BA">
              <w:rPr>
                <w:webHidden/>
                <w:lang w:val="es-CR"/>
              </w:rPr>
            </w:r>
            <w:r w:rsidR="0053383B" w:rsidRPr="00CD68BA">
              <w:rPr>
                <w:webHidden/>
                <w:lang w:val="es-CR"/>
              </w:rPr>
              <w:fldChar w:fldCharType="separate"/>
            </w:r>
            <w:r w:rsidR="009D33A1">
              <w:rPr>
                <w:noProof/>
                <w:webHidden/>
                <w:lang w:val="es-CR"/>
              </w:rPr>
              <w:t>24</w:t>
            </w:r>
            <w:r w:rsidR="0053383B" w:rsidRPr="00CD68BA">
              <w:rPr>
                <w:webHidden/>
                <w:lang w:val="es-CR"/>
              </w:rPr>
              <w:fldChar w:fldCharType="end"/>
            </w:r>
          </w:hyperlink>
        </w:p>
        <w:p w14:paraId="5BC15099" w14:textId="60EFECE2" w:rsidR="0053383B" w:rsidRPr="00CD68BA" w:rsidRDefault="00000000">
          <w:pPr>
            <w:pStyle w:val="TDC1"/>
            <w:rPr>
              <w:rFonts w:asciiTheme="minorHAnsi" w:eastAsiaTheme="minorEastAsia" w:hAnsiTheme="minorHAnsi" w:cstheme="minorBidi"/>
              <w:b w:val="0"/>
              <w:sz w:val="22"/>
              <w:szCs w:val="22"/>
              <w:lang w:val="es-CR"/>
            </w:rPr>
          </w:pPr>
          <w:hyperlink w:anchor="_Toc114778789" w:history="1">
            <w:r w:rsidR="0053383B" w:rsidRPr="00CD68BA">
              <w:rPr>
                <w:rStyle w:val="Hipervnculo"/>
                <w:i/>
                <w:iCs/>
                <w:lang w:val="es-CR"/>
              </w:rPr>
              <w:t>B. Consideraciones de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_Toc114778789 \h </w:instrText>
            </w:r>
            <w:r w:rsidR="0053383B" w:rsidRPr="00CD68BA">
              <w:rPr>
                <w:webHidden/>
                <w:lang w:val="es-CR"/>
              </w:rPr>
            </w:r>
            <w:r w:rsidR="0053383B" w:rsidRPr="00CD68BA">
              <w:rPr>
                <w:webHidden/>
                <w:lang w:val="es-CR"/>
              </w:rPr>
              <w:fldChar w:fldCharType="separate"/>
            </w:r>
            <w:r w:rsidR="009D33A1">
              <w:rPr>
                <w:noProof/>
                <w:webHidden/>
                <w:lang w:val="es-CR"/>
              </w:rPr>
              <w:t>26</w:t>
            </w:r>
            <w:r w:rsidR="0053383B" w:rsidRPr="00CD68BA">
              <w:rPr>
                <w:webHidden/>
                <w:lang w:val="es-CR"/>
              </w:rPr>
              <w:fldChar w:fldCharType="end"/>
            </w:r>
          </w:hyperlink>
        </w:p>
        <w:p w14:paraId="223DE523" w14:textId="3DFDBE8E"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90" w:history="1">
            <w:r w:rsidR="0053383B" w:rsidRPr="00CD68BA">
              <w:rPr>
                <w:rStyle w:val="Hipervnculo"/>
                <w:i/>
                <w:iCs/>
                <w:lang w:val="es-CR"/>
              </w:rPr>
              <w:t>b.1 Debida diligencia en el proceso penal</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_Toc114778790 \h </w:instrText>
            </w:r>
            <w:r w:rsidR="0053383B" w:rsidRPr="00CD68BA">
              <w:rPr>
                <w:webHidden/>
                <w:lang w:val="es-CR"/>
              </w:rPr>
            </w:r>
            <w:r w:rsidR="0053383B" w:rsidRPr="00CD68BA">
              <w:rPr>
                <w:webHidden/>
                <w:lang w:val="es-CR"/>
              </w:rPr>
              <w:fldChar w:fldCharType="separate"/>
            </w:r>
            <w:r w:rsidR="009D33A1">
              <w:rPr>
                <w:noProof/>
                <w:webHidden/>
                <w:lang w:val="es-CR"/>
              </w:rPr>
              <w:t>28</w:t>
            </w:r>
            <w:r w:rsidR="0053383B" w:rsidRPr="00CD68BA">
              <w:rPr>
                <w:webHidden/>
                <w:lang w:val="es-CR"/>
              </w:rPr>
              <w:fldChar w:fldCharType="end"/>
            </w:r>
          </w:hyperlink>
        </w:p>
        <w:p w14:paraId="3B8C243D" w14:textId="4CD1FC49"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91" w:history="1">
            <w:r w:rsidR="0053383B" w:rsidRPr="00CD68BA">
              <w:rPr>
                <w:rStyle w:val="Hipervnculo"/>
                <w:i/>
                <w:iCs/>
                <w:lang w:val="es-CR"/>
              </w:rPr>
              <w:t>b.2 Plazo razonable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_Toc114778791 \h </w:instrText>
            </w:r>
            <w:r w:rsidR="0053383B" w:rsidRPr="00CD68BA">
              <w:rPr>
                <w:webHidden/>
                <w:lang w:val="es-CR"/>
              </w:rPr>
            </w:r>
            <w:r w:rsidR="0053383B" w:rsidRPr="00CD68BA">
              <w:rPr>
                <w:webHidden/>
                <w:lang w:val="es-CR"/>
              </w:rPr>
              <w:fldChar w:fldCharType="separate"/>
            </w:r>
            <w:r w:rsidR="009D33A1">
              <w:rPr>
                <w:noProof/>
                <w:webHidden/>
                <w:lang w:val="es-CR"/>
              </w:rPr>
              <w:t>32</w:t>
            </w:r>
            <w:r w:rsidR="0053383B" w:rsidRPr="00CD68BA">
              <w:rPr>
                <w:webHidden/>
                <w:lang w:val="es-CR"/>
              </w:rPr>
              <w:fldChar w:fldCharType="end"/>
            </w:r>
          </w:hyperlink>
        </w:p>
        <w:p w14:paraId="0A571EAA" w14:textId="55136B33"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92" w:history="1">
            <w:r w:rsidR="0053383B" w:rsidRPr="00CD68BA">
              <w:rPr>
                <w:rStyle w:val="Hipervnculo"/>
                <w:i/>
                <w:iCs/>
                <w:lang w:val="es-CR"/>
              </w:rPr>
              <w:t>b.3 Derecho a la verdad</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_Toc114778792 \h </w:instrText>
            </w:r>
            <w:r w:rsidR="0053383B" w:rsidRPr="00CD68BA">
              <w:rPr>
                <w:webHidden/>
                <w:lang w:val="es-CR"/>
              </w:rPr>
            </w:r>
            <w:r w:rsidR="0053383B" w:rsidRPr="00CD68BA">
              <w:rPr>
                <w:webHidden/>
                <w:lang w:val="es-CR"/>
              </w:rPr>
              <w:fldChar w:fldCharType="separate"/>
            </w:r>
            <w:r w:rsidR="009D33A1">
              <w:rPr>
                <w:noProof/>
                <w:webHidden/>
                <w:lang w:val="es-CR"/>
              </w:rPr>
              <w:t>35</w:t>
            </w:r>
            <w:r w:rsidR="0053383B" w:rsidRPr="00CD68BA">
              <w:rPr>
                <w:webHidden/>
                <w:lang w:val="es-CR"/>
              </w:rPr>
              <w:fldChar w:fldCharType="end"/>
            </w:r>
          </w:hyperlink>
        </w:p>
        <w:p w14:paraId="4B4025D1" w14:textId="73A6EF02" w:rsidR="0053383B" w:rsidRPr="00CD68BA" w:rsidRDefault="00000000">
          <w:pPr>
            <w:pStyle w:val="TDC3"/>
            <w:tabs>
              <w:tab w:val="right" w:leader="dot" w:pos="10070"/>
            </w:tabs>
            <w:rPr>
              <w:rFonts w:asciiTheme="minorHAnsi" w:eastAsiaTheme="minorEastAsia" w:hAnsiTheme="minorHAnsi" w:cstheme="minorBidi"/>
              <w:sz w:val="22"/>
              <w:szCs w:val="22"/>
              <w:lang w:val="es-CR"/>
            </w:rPr>
          </w:pPr>
          <w:hyperlink w:anchor="_Toc114778793" w:history="1">
            <w:r w:rsidR="0053383B" w:rsidRPr="00CD68BA">
              <w:rPr>
                <w:rStyle w:val="Hipervnculo"/>
                <w:i/>
                <w:iCs/>
                <w:lang w:val="es-CR"/>
              </w:rPr>
              <w:t>b.4 Conclusión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_Toc114778793 \h </w:instrText>
            </w:r>
            <w:r w:rsidR="0053383B" w:rsidRPr="00CD68BA">
              <w:rPr>
                <w:webHidden/>
                <w:lang w:val="es-CR"/>
              </w:rPr>
            </w:r>
            <w:r w:rsidR="0053383B" w:rsidRPr="00CD68BA">
              <w:rPr>
                <w:webHidden/>
                <w:lang w:val="es-CR"/>
              </w:rPr>
              <w:fldChar w:fldCharType="separate"/>
            </w:r>
            <w:r w:rsidR="009D33A1">
              <w:rPr>
                <w:noProof/>
                <w:webHidden/>
                <w:lang w:val="es-CR"/>
              </w:rPr>
              <w:t>36</w:t>
            </w:r>
            <w:r w:rsidR="0053383B" w:rsidRPr="00CD68BA">
              <w:rPr>
                <w:webHidden/>
                <w:lang w:val="es-CR"/>
              </w:rPr>
              <w:fldChar w:fldCharType="end"/>
            </w:r>
          </w:hyperlink>
        </w:p>
        <w:p w14:paraId="76F79665" w14:textId="42DAE15A" w:rsidR="0053383B" w:rsidRPr="00CD68BA" w:rsidRDefault="00000000">
          <w:pPr>
            <w:pStyle w:val="TDC1"/>
            <w:rPr>
              <w:rFonts w:asciiTheme="minorHAnsi" w:eastAsiaTheme="minorEastAsia" w:hAnsiTheme="minorHAnsi" w:cstheme="minorBidi"/>
              <w:b w:val="0"/>
              <w:sz w:val="22"/>
              <w:szCs w:val="22"/>
              <w:lang w:val="es-CR"/>
            </w:rPr>
          </w:pPr>
          <w:hyperlink w:anchor="_Toc114778794" w:history="1">
            <w:r w:rsidR="0053383B" w:rsidRPr="00CD68BA">
              <w:rPr>
                <w:rStyle w:val="Hipervnculo"/>
                <w:lang w:val="es-CR"/>
              </w:rPr>
              <w:t>VIII-2</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_Toc114778794 \h </w:instrText>
            </w:r>
            <w:r w:rsidR="0053383B" w:rsidRPr="00CD68BA">
              <w:rPr>
                <w:webHidden/>
                <w:lang w:val="es-CR"/>
              </w:rPr>
            </w:r>
            <w:r w:rsidR="0053383B" w:rsidRPr="00CD68BA">
              <w:rPr>
                <w:webHidden/>
                <w:lang w:val="es-CR"/>
              </w:rPr>
              <w:fldChar w:fldCharType="separate"/>
            </w:r>
            <w:r w:rsidR="009D33A1">
              <w:rPr>
                <w:noProof/>
                <w:webHidden/>
                <w:lang w:val="es-CR"/>
              </w:rPr>
              <w:t>36</w:t>
            </w:r>
            <w:r w:rsidR="0053383B" w:rsidRPr="00CD68BA">
              <w:rPr>
                <w:webHidden/>
                <w:lang w:val="es-CR"/>
              </w:rPr>
              <w:fldChar w:fldCharType="end"/>
            </w:r>
          </w:hyperlink>
        </w:p>
        <w:p w14:paraId="135187DF" w14:textId="4EB97F9C" w:rsidR="0053383B" w:rsidRPr="00CD68BA" w:rsidRDefault="00000000">
          <w:pPr>
            <w:pStyle w:val="TDC1"/>
            <w:rPr>
              <w:rFonts w:asciiTheme="minorHAnsi" w:eastAsiaTheme="minorEastAsia" w:hAnsiTheme="minorHAnsi" w:cstheme="minorBidi"/>
              <w:b w:val="0"/>
              <w:sz w:val="22"/>
              <w:szCs w:val="22"/>
              <w:lang w:val="es-CR"/>
            </w:rPr>
          </w:pPr>
          <w:hyperlink w:anchor="_Toc114778795" w:history="1">
            <w:r w:rsidR="0053383B" w:rsidRPr="00CD68BA">
              <w:rPr>
                <w:rStyle w:val="Hipervnculo"/>
                <w:lang w:val="es-CR"/>
              </w:rPr>
              <w:t>DERECHO A LA INTEGRIDAD PERSONAL,</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_Toc114778795 \h </w:instrText>
            </w:r>
            <w:r w:rsidR="0053383B" w:rsidRPr="00CD68BA">
              <w:rPr>
                <w:webHidden/>
                <w:lang w:val="es-CR"/>
              </w:rPr>
            </w:r>
            <w:r w:rsidR="0053383B" w:rsidRPr="00CD68BA">
              <w:rPr>
                <w:webHidden/>
                <w:lang w:val="es-CR"/>
              </w:rPr>
              <w:fldChar w:fldCharType="separate"/>
            </w:r>
            <w:r w:rsidR="009D33A1">
              <w:rPr>
                <w:noProof/>
                <w:webHidden/>
                <w:lang w:val="es-CR"/>
              </w:rPr>
              <w:t>36</w:t>
            </w:r>
            <w:r w:rsidR="0053383B" w:rsidRPr="00CD68BA">
              <w:rPr>
                <w:webHidden/>
                <w:lang w:val="es-CR"/>
              </w:rPr>
              <w:fldChar w:fldCharType="end"/>
            </w:r>
          </w:hyperlink>
        </w:p>
        <w:p w14:paraId="39D62E22" w14:textId="5A982468" w:rsidR="0053383B" w:rsidRPr="00CD68BA" w:rsidRDefault="00000000">
          <w:pPr>
            <w:pStyle w:val="TDC1"/>
            <w:rPr>
              <w:rFonts w:asciiTheme="minorHAnsi" w:eastAsiaTheme="minorEastAsia" w:hAnsiTheme="minorHAnsi" w:cstheme="minorBidi"/>
              <w:b w:val="0"/>
              <w:sz w:val="22"/>
              <w:szCs w:val="22"/>
              <w:lang w:val="es-CR"/>
            </w:rPr>
          </w:pPr>
          <w:hyperlink w:anchor="_Toc114778796" w:history="1">
            <w:r w:rsidR="0053383B" w:rsidRPr="00CD68BA">
              <w:rPr>
                <w:rStyle w:val="Hipervnculo"/>
                <w:lang w:val="es-CR"/>
              </w:rPr>
              <w:t>EN RELACIÓN CON EL DEBER DE RESPETAR Y GARANTIZAR LOS DERECHOS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_Toc114778796 \h </w:instrText>
            </w:r>
            <w:r w:rsidR="0053383B" w:rsidRPr="00CD68BA">
              <w:rPr>
                <w:webHidden/>
                <w:lang w:val="es-CR"/>
              </w:rPr>
            </w:r>
            <w:r w:rsidR="0053383B" w:rsidRPr="00CD68BA">
              <w:rPr>
                <w:webHidden/>
                <w:lang w:val="es-CR"/>
              </w:rPr>
              <w:fldChar w:fldCharType="separate"/>
            </w:r>
            <w:r w:rsidR="009D33A1">
              <w:rPr>
                <w:noProof/>
                <w:webHidden/>
                <w:lang w:val="es-CR"/>
              </w:rPr>
              <w:t>36</w:t>
            </w:r>
            <w:r w:rsidR="0053383B" w:rsidRPr="00CD68BA">
              <w:rPr>
                <w:webHidden/>
                <w:lang w:val="es-CR"/>
              </w:rPr>
              <w:fldChar w:fldCharType="end"/>
            </w:r>
          </w:hyperlink>
        </w:p>
        <w:p w14:paraId="68B4AA10" w14:textId="0153AA63"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797" w:history="1">
            <w:r w:rsidR="0053383B" w:rsidRPr="00CD68BA">
              <w:rPr>
                <w:rStyle w:val="Hipervnculo"/>
                <w:i/>
                <w:iCs/>
                <w:lang w:val="es-CR"/>
              </w:rPr>
              <w:t>A.</w:t>
            </w:r>
            <w:r w:rsidR="0053383B" w:rsidRPr="00CD68BA">
              <w:rPr>
                <w:rFonts w:asciiTheme="minorHAnsi" w:eastAsiaTheme="minorEastAsia" w:hAnsiTheme="minorHAnsi" w:cstheme="minorBidi"/>
                <w:smallCaps w:val="0"/>
                <w:sz w:val="22"/>
                <w:szCs w:val="22"/>
                <w:lang w:val="es-CR"/>
              </w:rPr>
              <w:tab/>
            </w:r>
            <w:r w:rsidR="0053383B" w:rsidRPr="00CD68BA">
              <w:rPr>
                <w:rStyle w:val="Hipervnculo"/>
                <w:i/>
                <w:iCs/>
                <w:lang w:val="es-CR"/>
              </w:rPr>
              <w:t>Argumentos de las partes y de la Comisión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_Toc114778797 \h </w:instrText>
            </w:r>
            <w:r w:rsidR="0053383B" w:rsidRPr="00CD68BA">
              <w:rPr>
                <w:webHidden/>
                <w:lang w:val="es-CR"/>
              </w:rPr>
            </w:r>
            <w:r w:rsidR="0053383B" w:rsidRPr="00CD68BA">
              <w:rPr>
                <w:webHidden/>
                <w:lang w:val="es-CR"/>
              </w:rPr>
              <w:fldChar w:fldCharType="separate"/>
            </w:r>
            <w:r w:rsidR="009D33A1">
              <w:rPr>
                <w:noProof/>
                <w:webHidden/>
                <w:lang w:val="es-CR"/>
              </w:rPr>
              <w:t>36</w:t>
            </w:r>
            <w:r w:rsidR="0053383B" w:rsidRPr="00CD68BA">
              <w:rPr>
                <w:webHidden/>
                <w:lang w:val="es-CR"/>
              </w:rPr>
              <w:fldChar w:fldCharType="end"/>
            </w:r>
          </w:hyperlink>
        </w:p>
        <w:p w14:paraId="75ED0E3D" w14:textId="320B442E" w:rsidR="0053383B" w:rsidRPr="00CD68BA" w:rsidRDefault="00000000">
          <w:pPr>
            <w:pStyle w:val="TDC2"/>
            <w:rPr>
              <w:rFonts w:asciiTheme="minorHAnsi" w:eastAsiaTheme="minorEastAsia" w:hAnsiTheme="minorHAnsi" w:cstheme="minorBidi"/>
              <w:smallCaps w:val="0"/>
              <w:sz w:val="22"/>
              <w:szCs w:val="22"/>
              <w:lang w:val="es-CR"/>
            </w:rPr>
          </w:pPr>
          <w:hyperlink w:anchor="_Toc114778798" w:history="1">
            <w:r w:rsidR="0053383B" w:rsidRPr="00CD68BA">
              <w:rPr>
                <w:rStyle w:val="Hipervnculo"/>
                <w:i/>
                <w:iCs/>
                <w:lang w:val="es-CR" w:eastAsia="zh-CN"/>
              </w:rPr>
              <w:t>B. Consideraciones de la Corte</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_Toc114778798 \h </w:instrText>
            </w:r>
            <w:r w:rsidR="0053383B" w:rsidRPr="00CD68BA">
              <w:rPr>
                <w:webHidden/>
                <w:lang w:val="es-CR"/>
              </w:rPr>
            </w:r>
            <w:r w:rsidR="0053383B" w:rsidRPr="00CD68BA">
              <w:rPr>
                <w:webHidden/>
                <w:lang w:val="es-CR"/>
              </w:rPr>
              <w:fldChar w:fldCharType="separate"/>
            </w:r>
            <w:r w:rsidR="009D33A1">
              <w:rPr>
                <w:noProof/>
                <w:webHidden/>
                <w:lang w:val="es-CR"/>
              </w:rPr>
              <w:t>37</w:t>
            </w:r>
            <w:r w:rsidR="0053383B" w:rsidRPr="00CD68BA">
              <w:rPr>
                <w:webHidden/>
                <w:lang w:val="es-CR"/>
              </w:rPr>
              <w:fldChar w:fldCharType="end"/>
            </w:r>
          </w:hyperlink>
        </w:p>
        <w:p w14:paraId="22481F9D" w14:textId="3425DD25" w:rsidR="0053383B" w:rsidRPr="00CD68BA" w:rsidRDefault="00000000">
          <w:pPr>
            <w:pStyle w:val="TDC1"/>
            <w:rPr>
              <w:rFonts w:asciiTheme="minorHAnsi" w:eastAsiaTheme="minorEastAsia" w:hAnsiTheme="minorHAnsi" w:cstheme="minorBidi"/>
              <w:b w:val="0"/>
              <w:sz w:val="22"/>
              <w:szCs w:val="22"/>
              <w:lang w:val="es-CR"/>
            </w:rPr>
          </w:pPr>
          <w:hyperlink w:anchor="_Toc114778799" w:history="1">
            <w:r w:rsidR="0053383B" w:rsidRPr="00CD68BA">
              <w:rPr>
                <w:rStyle w:val="Hipervnculo"/>
                <w:lang w:val="es-CR"/>
              </w:rPr>
              <w:t>IX REPARACIONES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_Toc114778799 \h </w:instrText>
            </w:r>
            <w:r w:rsidR="0053383B" w:rsidRPr="00CD68BA">
              <w:rPr>
                <w:webHidden/>
                <w:lang w:val="es-CR"/>
              </w:rPr>
            </w:r>
            <w:r w:rsidR="0053383B" w:rsidRPr="00CD68BA">
              <w:rPr>
                <w:webHidden/>
                <w:lang w:val="es-CR"/>
              </w:rPr>
              <w:fldChar w:fldCharType="separate"/>
            </w:r>
            <w:r w:rsidR="009D33A1">
              <w:rPr>
                <w:noProof/>
                <w:webHidden/>
                <w:lang w:val="es-CR"/>
              </w:rPr>
              <w:t>39</w:t>
            </w:r>
            <w:r w:rsidR="0053383B" w:rsidRPr="00CD68BA">
              <w:rPr>
                <w:webHidden/>
                <w:lang w:val="es-CR"/>
              </w:rPr>
              <w:fldChar w:fldCharType="end"/>
            </w:r>
          </w:hyperlink>
        </w:p>
        <w:p w14:paraId="43F1A1C7" w14:textId="70CAFE50"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0" w:history="1">
            <w:r w:rsidR="0053383B" w:rsidRPr="00CD68BA">
              <w:rPr>
                <w:rStyle w:val="Hipervnculo"/>
                <w:lang w:val="es-CR"/>
              </w:rPr>
              <w:t>A.</w:t>
            </w:r>
            <w:r w:rsidR="0053383B" w:rsidRPr="00CD68BA">
              <w:rPr>
                <w:rFonts w:asciiTheme="minorHAnsi" w:eastAsiaTheme="minorEastAsia" w:hAnsiTheme="minorHAnsi" w:cstheme="minorBidi"/>
                <w:smallCaps w:val="0"/>
                <w:sz w:val="22"/>
                <w:szCs w:val="22"/>
                <w:lang w:val="es-CR"/>
              </w:rPr>
              <w:tab/>
            </w:r>
            <w:r w:rsidR="0053383B" w:rsidRPr="00CD68BA">
              <w:rPr>
                <w:rStyle w:val="Hipervnculo"/>
                <w:lang w:val="es-CR"/>
              </w:rPr>
              <w:t>Parte Lesionada</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_Toc114778800 \h </w:instrText>
            </w:r>
            <w:r w:rsidR="0053383B" w:rsidRPr="00CD68BA">
              <w:rPr>
                <w:webHidden/>
                <w:lang w:val="es-CR"/>
              </w:rPr>
            </w:r>
            <w:r w:rsidR="0053383B" w:rsidRPr="00CD68BA">
              <w:rPr>
                <w:webHidden/>
                <w:lang w:val="es-CR"/>
              </w:rPr>
              <w:fldChar w:fldCharType="separate"/>
            </w:r>
            <w:r w:rsidR="009D33A1">
              <w:rPr>
                <w:noProof/>
                <w:webHidden/>
                <w:lang w:val="es-CR"/>
              </w:rPr>
              <w:t>39</w:t>
            </w:r>
            <w:r w:rsidR="0053383B" w:rsidRPr="00CD68BA">
              <w:rPr>
                <w:webHidden/>
                <w:lang w:val="es-CR"/>
              </w:rPr>
              <w:fldChar w:fldCharType="end"/>
            </w:r>
          </w:hyperlink>
        </w:p>
        <w:p w14:paraId="27D81DAB" w14:textId="174A1D55"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1" w:history="1">
            <w:r w:rsidR="0053383B" w:rsidRPr="00CD68BA">
              <w:rPr>
                <w:rStyle w:val="Hipervnculo"/>
                <w:lang w:val="es-CR"/>
              </w:rPr>
              <w:t>B.</w:t>
            </w:r>
            <w:r w:rsidR="0053383B" w:rsidRPr="00CD68BA">
              <w:rPr>
                <w:rFonts w:asciiTheme="minorHAnsi" w:eastAsiaTheme="minorEastAsia" w:hAnsiTheme="minorHAnsi" w:cstheme="minorBidi"/>
                <w:smallCaps w:val="0"/>
                <w:sz w:val="22"/>
                <w:szCs w:val="22"/>
                <w:lang w:val="es-CR"/>
              </w:rPr>
              <w:tab/>
            </w:r>
            <w:r w:rsidR="0053383B" w:rsidRPr="00CD68BA">
              <w:rPr>
                <w:rStyle w:val="Hipervnculo"/>
                <w:lang w:val="es-CR"/>
              </w:rPr>
              <w:t>Obligación de investigar los hechos e identificar, juzgar y, en su caso, sancionar a los responsables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_Toc114778801 \h </w:instrText>
            </w:r>
            <w:r w:rsidR="0053383B" w:rsidRPr="00CD68BA">
              <w:rPr>
                <w:webHidden/>
                <w:lang w:val="es-CR"/>
              </w:rPr>
            </w:r>
            <w:r w:rsidR="0053383B" w:rsidRPr="00CD68BA">
              <w:rPr>
                <w:webHidden/>
                <w:lang w:val="es-CR"/>
              </w:rPr>
              <w:fldChar w:fldCharType="separate"/>
            </w:r>
            <w:r w:rsidR="009D33A1">
              <w:rPr>
                <w:noProof/>
                <w:webHidden/>
                <w:lang w:val="es-CR"/>
              </w:rPr>
              <w:t>40</w:t>
            </w:r>
            <w:r w:rsidR="0053383B" w:rsidRPr="00CD68BA">
              <w:rPr>
                <w:webHidden/>
                <w:lang w:val="es-CR"/>
              </w:rPr>
              <w:fldChar w:fldCharType="end"/>
            </w:r>
          </w:hyperlink>
        </w:p>
        <w:p w14:paraId="28F702D0" w14:textId="5FD3AFBC"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2" w:history="1">
            <w:r w:rsidR="0053383B" w:rsidRPr="00CD68BA">
              <w:rPr>
                <w:rStyle w:val="Hipervnculo"/>
                <w:rFonts w:eastAsia="Verdana" w:cs="Verdana"/>
                <w:iCs/>
                <w:spacing w:val="-2"/>
                <w:lang w:val="es-CR"/>
              </w:rPr>
              <w:t>C.</w:t>
            </w:r>
            <w:r w:rsidR="0053383B" w:rsidRPr="00CD68BA">
              <w:rPr>
                <w:rFonts w:asciiTheme="minorHAnsi" w:eastAsiaTheme="minorEastAsia" w:hAnsiTheme="minorHAnsi" w:cstheme="minorBidi"/>
                <w:smallCaps w:val="0"/>
                <w:sz w:val="22"/>
                <w:szCs w:val="22"/>
                <w:lang w:val="es-CR"/>
              </w:rPr>
              <w:tab/>
            </w:r>
            <w:r w:rsidR="0053383B" w:rsidRPr="00CD68BA">
              <w:rPr>
                <w:rStyle w:val="Hipervnculo"/>
                <w:iCs/>
                <w:lang w:val="es-CR"/>
              </w:rPr>
              <w:t>Medida de rehabilitación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_Toc114778802 \h </w:instrText>
            </w:r>
            <w:r w:rsidR="0053383B" w:rsidRPr="00CD68BA">
              <w:rPr>
                <w:webHidden/>
                <w:lang w:val="es-CR"/>
              </w:rPr>
            </w:r>
            <w:r w:rsidR="0053383B" w:rsidRPr="00CD68BA">
              <w:rPr>
                <w:webHidden/>
                <w:lang w:val="es-CR"/>
              </w:rPr>
              <w:fldChar w:fldCharType="separate"/>
            </w:r>
            <w:r w:rsidR="009D33A1">
              <w:rPr>
                <w:noProof/>
                <w:webHidden/>
                <w:lang w:val="es-CR"/>
              </w:rPr>
              <w:t>41</w:t>
            </w:r>
            <w:r w:rsidR="0053383B" w:rsidRPr="00CD68BA">
              <w:rPr>
                <w:webHidden/>
                <w:lang w:val="es-CR"/>
              </w:rPr>
              <w:fldChar w:fldCharType="end"/>
            </w:r>
          </w:hyperlink>
        </w:p>
        <w:p w14:paraId="2733A94D" w14:textId="288C2B23"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3" w:history="1">
            <w:r w:rsidR="0053383B" w:rsidRPr="00CD68BA">
              <w:rPr>
                <w:rStyle w:val="Hipervnculo"/>
                <w:lang w:val="es-CR"/>
              </w:rPr>
              <w:t>D.</w:t>
            </w:r>
            <w:r w:rsidR="0053383B" w:rsidRPr="00CD68BA">
              <w:rPr>
                <w:rFonts w:asciiTheme="minorHAnsi" w:eastAsiaTheme="minorEastAsia" w:hAnsiTheme="minorHAnsi" w:cstheme="minorBidi"/>
                <w:smallCaps w:val="0"/>
                <w:sz w:val="22"/>
                <w:szCs w:val="22"/>
                <w:lang w:val="es-CR"/>
              </w:rPr>
              <w:tab/>
            </w:r>
            <w:r w:rsidR="0053383B" w:rsidRPr="00CD68BA">
              <w:rPr>
                <w:rStyle w:val="Hipervnculo"/>
                <w:lang w:val="es-CR"/>
              </w:rPr>
              <w:t>Medidas de satisfacción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_Toc114778803 \h </w:instrText>
            </w:r>
            <w:r w:rsidR="0053383B" w:rsidRPr="00CD68BA">
              <w:rPr>
                <w:webHidden/>
                <w:lang w:val="es-CR"/>
              </w:rPr>
            </w:r>
            <w:r w:rsidR="0053383B" w:rsidRPr="00CD68BA">
              <w:rPr>
                <w:webHidden/>
                <w:lang w:val="es-CR"/>
              </w:rPr>
              <w:fldChar w:fldCharType="separate"/>
            </w:r>
            <w:r w:rsidR="009D33A1">
              <w:rPr>
                <w:noProof/>
                <w:webHidden/>
                <w:lang w:val="es-CR"/>
              </w:rPr>
              <w:t>42</w:t>
            </w:r>
            <w:r w:rsidR="0053383B" w:rsidRPr="00CD68BA">
              <w:rPr>
                <w:webHidden/>
                <w:lang w:val="es-CR"/>
              </w:rPr>
              <w:fldChar w:fldCharType="end"/>
            </w:r>
          </w:hyperlink>
        </w:p>
        <w:p w14:paraId="03F2AA3F" w14:textId="025D2A73"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4" w:history="1">
            <w:r w:rsidR="0053383B" w:rsidRPr="00CD68BA">
              <w:rPr>
                <w:rStyle w:val="Hipervnculo"/>
                <w:lang w:val="es-CR"/>
              </w:rPr>
              <w:t>E.</w:t>
            </w:r>
            <w:r w:rsidR="0053383B" w:rsidRPr="00CD68BA">
              <w:rPr>
                <w:rFonts w:asciiTheme="minorHAnsi" w:eastAsiaTheme="minorEastAsia" w:hAnsiTheme="minorHAnsi" w:cstheme="minorBidi"/>
                <w:smallCaps w:val="0"/>
                <w:sz w:val="22"/>
                <w:szCs w:val="22"/>
                <w:lang w:val="es-CR"/>
              </w:rPr>
              <w:tab/>
            </w:r>
            <w:r w:rsidR="0053383B" w:rsidRPr="00CD68BA">
              <w:rPr>
                <w:rStyle w:val="Hipervnculo"/>
                <w:lang w:val="es-CR"/>
              </w:rPr>
              <w:t>Garantías de no repetición</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_Toc114778804 \h </w:instrText>
            </w:r>
            <w:r w:rsidR="0053383B" w:rsidRPr="00CD68BA">
              <w:rPr>
                <w:webHidden/>
                <w:lang w:val="es-CR"/>
              </w:rPr>
            </w:r>
            <w:r w:rsidR="0053383B" w:rsidRPr="00CD68BA">
              <w:rPr>
                <w:webHidden/>
                <w:lang w:val="es-CR"/>
              </w:rPr>
              <w:fldChar w:fldCharType="separate"/>
            </w:r>
            <w:r w:rsidR="009D33A1">
              <w:rPr>
                <w:noProof/>
                <w:webHidden/>
                <w:lang w:val="es-CR"/>
              </w:rPr>
              <w:t>44</w:t>
            </w:r>
            <w:r w:rsidR="0053383B" w:rsidRPr="00CD68BA">
              <w:rPr>
                <w:webHidden/>
                <w:lang w:val="es-CR"/>
              </w:rPr>
              <w:fldChar w:fldCharType="end"/>
            </w:r>
          </w:hyperlink>
        </w:p>
        <w:p w14:paraId="0F79DA01" w14:textId="5F957C6A"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5" w:history="1">
            <w:r w:rsidR="0053383B" w:rsidRPr="00CD68BA">
              <w:rPr>
                <w:rStyle w:val="Hipervnculo"/>
                <w:lang w:val="es-CR"/>
              </w:rPr>
              <w:t>F.</w:t>
            </w:r>
            <w:r w:rsidR="0053383B" w:rsidRPr="00CD68BA">
              <w:rPr>
                <w:rFonts w:asciiTheme="minorHAnsi" w:eastAsiaTheme="minorEastAsia" w:hAnsiTheme="minorHAnsi" w:cstheme="minorBidi"/>
                <w:smallCaps w:val="0"/>
                <w:sz w:val="22"/>
                <w:szCs w:val="22"/>
                <w:lang w:val="es-CR"/>
              </w:rPr>
              <w:tab/>
            </w:r>
            <w:r w:rsidR="0053383B" w:rsidRPr="00CD68BA">
              <w:rPr>
                <w:rStyle w:val="Hipervnculo"/>
                <w:lang w:val="es-CR"/>
              </w:rPr>
              <w:t>Indemnizaciones compensatorias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_Toc114778805 \h </w:instrText>
            </w:r>
            <w:r w:rsidR="0053383B" w:rsidRPr="00CD68BA">
              <w:rPr>
                <w:webHidden/>
                <w:lang w:val="es-CR"/>
              </w:rPr>
            </w:r>
            <w:r w:rsidR="0053383B" w:rsidRPr="00CD68BA">
              <w:rPr>
                <w:webHidden/>
                <w:lang w:val="es-CR"/>
              </w:rPr>
              <w:fldChar w:fldCharType="separate"/>
            </w:r>
            <w:r w:rsidR="009D33A1">
              <w:rPr>
                <w:noProof/>
                <w:webHidden/>
                <w:lang w:val="es-CR"/>
              </w:rPr>
              <w:t>51</w:t>
            </w:r>
            <w:r w:rsidR="0053383B" w:rsidRPr="00CD68BA">
              <w:rPr>
                <w:webHidden/>
                <w:lang w:val="es-CR"/>
              </w:rPr>
              <w:fldChar w:fldCharType="end"/>
            </w:r>
          </w:hyperlink>
        </w:p>
        <w:p w14:paraId="50AD04CC" w14:textId="295C21F7"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6" w:history="1">
            <w:r w:rsidR="0053383B" w:rsidRPr="00CD68BA">
              <w:rPr>
                <w:rStyle w:val="Hipervnculo"/>
                <w:lang w:val="es-CR"/>
              </w:rPr>
              <w:t>G.</w:t>
            </w:r>
            <w:r w:rsidR="0053383B" w:rsidRPr="00CD68BA">
              <w:rPr>
                <w:rFonts w:asciiTheme="minorHAnsi" w:eastAsiaTheme="minorEastAsia" w:hAnsiTheme="minorHAnsi" w:cstheme="minorBidi"/>
                <w:smallCaps w:val="0"/>
                <w:sz w:val="22"/>
                <w:szCs w:val="22"/>
                <w:lang w:val="es-CR"/>
              </w:rPr>
              <w:tab/>
            </w:r>
            <w:r w:rsidR="0053383B" w:rsidRPr="00CD68BA">
              <w:rPr>
                <w:rStyle w:val="Hipervnculo"/>
                <w:lang w:val="es-CR"/>
              </w:rPr>
              <w:t>Costas y Gastos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_Toc114778806 \h </w:instrText>
            </w:r>
            <w:r w:rsidR="0053383B" w:rsidRPr="00CD68BA">
              <w:rPr>
                <w:webHidden/>
                <w:lang w:val="es-CR"/>
              </w:rPr>
            </w:r>
            <w:r w:rsidR="0053383B" w:rsidRPr="00CD68BA">
              <w:rPr>
                <w:webHidden/>
                <w:lang w:val="es-CR"/>
              </w:rPr>
              <w:fldChar w:fldCharType="separate"/>
            </w:r>
            <w:r w:rsidR="009D33A1">
              <w:rPr>
                <w:noProof/>
                <w:webHidden/>
                <w:lang w:val="es-CR"/>
              </w:rPr>
              <w:t>52</w:t>
            </w:r>
            <w:r w:rsidR="0053383B" w:rsidRPr="00CD68BA">
              <w:rPr>
                <w:webHidden/>
                <w:lang w:val="es-CR"/>
              </w:rPr>
              <w:fldChar w:fldCharType="end"/>
            </w:r>
          </w:hyperlink>
        </w:p>
        <w:p w14:paraId="189DD4F0" w14:textId="7E4B3585" w:rsidR="0053383B" w:rsidRPr="00CD68BA" w:rsidRDefault="00000000">
          <w:pPr>
            <w:pStyle w:val="TDC2"/>
            <w:tabs>
              <w:tab w:val="left" w:pos="660"/>
            </w:tabs>
            <w:rPr>
              <w:rFonts w:asciiTheme="minorHAnsi" w:eastAsiaTheme="minorEastAsia" w:hAnsiTheme="minorHAnsi" w:cstheme="minorBidi"/>
              <w:smallCaps w:val="0"/>
              <w:sz w:val="22"/>
              <w:szCs w:val="22"/>
              <w:lang w:val="es-CR"/>
            </w:rPr>
          </w:pPr>
          <w:hyperlink w:anchor="_Toc114778807" w:history="1">
            <w:r w:rsidR="0053383B" w:rsidRPr="00CD68BA">
              <w:rPr>
                <w:rStyle w:val="Hipervnculo"/>
                <w:lang w:val="es-CR"/>
              </w:rPr>
              <w:t>H.</w:t>
            </w:r>
            <w:r w:rsidR="0053383B" w:rsidRPr="00CD68BA">
              <w:rPr>
                <w:rFonts w:asciiTheme="minorHAnsi" w:eastAsiaTheme="minorEastAsia" w:hAnsiTheme="minorHAnsi" w:cstheme="minorBidi"/>
                <w:smallCaps w:val="0"/>
                <w:sz w:val="22"/>
                <w:szCs w:val="22"/>
                <w:lang w:val="es-CR"/>
              </w:rPr>
              <w:tab/>
            </w:r>
            <w:r w:rsidR="0053383B" w:rsidRPr="00CD68BA">
              <w:rPr>
                <w:rStyle w:val="Hipervnculo"/>
                <w:lang w:val="es-CR"/>
              </w:rPr>
              <w:t>Modalidad de cumplimiento de los pagos ordenados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_Toc114778807 \h </w:instrText>
            </w:r>
            <w:r w:rsidR="0053383B" w:rsidRPr="00CD68BA">
              <w:rPr>
                <w:webHidden/>
                <w:lang w:val="es-CR"/>
              </w:rPr>
            </w:r>
            <w:r w:rsidR="0053383B" w:rsidRPr="00CD68BA">
              <w:rPr>
                <w:webHidden/>
                <w:lang w:val="es-CR"/>
              </w:rPr>
              <w:fldChar w:fldCharType="separate"/>
            </w:r>
            <w:r w:rsidR="009D33A1">
              <w:rPr>
                <w:noProof/>
                <w:webHidden/>
                <w:lang w:val="es-CR"/>
              </w:rPr>
              <w:t>54</w:t>
            </w:r>
            <w:r w:rsidR="0053383B" w:rsidRPr="00CD68BA">
              <w:rPr>
                <w:webHidden/>
                <w:lang w:val="es-CR"/>
              </w:rPr>
              <w:fldChar w:fldCharType="end"/>
            </w:r>
          </w:hyperlink>
        </w:p>
        <w:p w14:paraId="79FEB1F5" w14:textId="1353D62C" w:rsidR="0053383B" w:rsidRPr="00CD68BA" w:rsidRDefault="00000000">
          <w:pPr>
            <w:pStyle w:val="TDC1"/>
            <w:rPr>
              <w:rFonts w:asciiTheme="minorHAnsi" w:eastAsiaTheme="minorEastAsia" w:hAnsiTheme="minorHAnsi" w:cstheme="minorBidi"/>
              <w:b w:val="0"/>
              <w:sz w:val="22"/>
              <w:szCs w:val="22"/>
              <w:lang w:val="es-CR"/>
            </w:rPr>
          </w:pPr>
          <w:hyperlink w:anchor="_Toc114778808" w:history="1">
            <w:r w:rsidR="0053383B" w:rsidRPr="00CD68BA">
              <w:rPr>
                <w:rStyle w:val="Hipervnculo"/>
                <w:lang w:val="es-CR"/>
              </w:rPr>
              <w:t>X PUNTOS RESOLUTIVOS</w:t>
            </w:r>
            <w:r w:rsidR="0053383B" w:rsidRPr="00CD68BA">
              <w:rPr>
                <w:webHidden/>
                <w:lang w:val="es-CR"/>
              </w:rPr>
              <w:tab/>
            </w:r>
            <w:r w:rsidR="0053383B" w:rsidRPr="00CD68BA">
              <w:rPr>
                <w:webHidden/>
                <w:lang w:val="es-CR"/>
              </w:rPr>
              <w:fldChar w:fldCharType="begin"/>
            </w:r>
            <w:r w:rsidR="0053383B" w:rsidRPr="00CD68BA">
              <w:rPr>
                <w:webHidden/>
                <w:lang w:val="es-CR"/>
              </w:rPr>
              <w:instrText xml:space="preserve"> PAGEREF _Toc114778808 \h </w:instrText>
            </w:r>
            <w:r w:rsidR="0053383B" w:rsidRPr="00CD68BA">
              <w:rPr>
                <w:webHidden/>
                <w:lang w:val="es-CR"/>
              </w:rPr>
            </w:r>
            <w:r w:rsidR="0053383B" w:rsidRPr="00CD68BA">
              <w:rPr>
                <w:webHidden/>
                <w:lang w:val="es-CR"/>
              </w:rPr>
              <w:fldChar w:fldCharType="separate"/>
            </w:r>
            <w:r w:rsidR="009D33A1">
              <w:rPr>
                <w:noProof/>
                <w:webHidden/>
                <w:lang w:val="es-CR"/>
              </w:rPr>
              <w:t>55</w:t>
            </w:r>
            <w:r w:rsidR="0053383B" w:rsidRPr="00CD68BA">
              <w:rPr>
                <w:webHidden/>
                <w:lang w:val="es-CR"/>
              </w:rPr>
              <w:fldChar w:fldCharType="end"/>
            </w:r>
          </w:hyperlink>
        </w:p>
        <w:p w14:paraId="7916401C" w14:textId="3AFDFBBD" w:rsidR="009C0AF3" w:rsidRPr="00CD68BA" w:rsidRDefault="009C0AF3" w:rsidP="00A06718">
          <w:pPr>
            <w:spacing w:before="0" w:after="0"/>
            <w:rPr>
              <w:szCs w:val="20"/>
              <w:lang w:val="es-CR"/>
            </w:rPr>
          </w:pPr>
          <w:r w:rsidRPr="00CD68BA">
            <w:rPr>
              <w:b/>
              <w:bCs/>
              <w:szCs w:val="20"/>
              <w:lang w:val="es-CR"/>
            </w:rPr>
            <w:fldChar w:fldCharType="end"/>
          </w:r>
        </w:p>
      </w:sdtContent>
    </w:sdt>
    <w:p w14:paraId="0501661C" w14:textId="096E03DF" w:rsidR="00B24B92" w:rsidRPr="00CD68BA" w:rsidRDefault="00B24B92" w:rsidP="00A06718">
      <w:pPr>
        <w:spacing w:before="0" w:after="0"/>
        <w:rPr>
          <w:b/>
          <w:sz w:val="18"/>
          <w:lang w:val="es-CR"/>
        </w:rPr>
      </w:pPr>
      <w:r w:rsidRPr="00CD68BA">
        <w:rPr>
          <w:b/>
          <w:sz w:val="18"/>
          <w:lang w:val="es-CR"/>
        </w:rPr>
        <w:br w:type="page"/>
      </w:r>
    </w:p>
    <w:p w14:paraId="5C97369C" w14:textId="77777777" w:rsidR="006058B8" w:rsidRPr="00CD68BA" w:rsidRDefault="006058B8" w:rsidP="00A06718">
      <w:pPr>
        <w:spacing w:before="0" w:after="0"/>
        <w:ind w:right="-4"/>
        <w:jc w:val="left"/>
        <w:rPr>
          <w:sz w:val="18"/>
          <w:szCs w:val="18"/>
          <w:lang w:val="es-CR"/>
        </w:rPr>
      </w:pPr>
    </w:p>
    <w:p w14:paraId="21B6EC75" w14:textId="621B0F5C" w:rsidR="00C10DAE" w:rsidRPr="00CD68BA" w:rsidRDefault="00F0482A" w:rsidP="00A06718">
      <w:pPr>
        <w:pStyle w:val="Ttulo1"/>
        <w:spacing w:before="0" w:after="0"/>
        <w:rPr>
          <w:lang w:val="es-CR"/>
        </w:rPr>
      </w:pPr>
      <w:bookmarkStart w:id="2" w:name="_Toc369989729"/>
      <w:bookmarkStart w:id="3" w:name="_Toc438132269"/>
      <w:bookmarkStart w:id="4" w:name="_Toc288744729"/>
      <w:bookmarkStart w:id="5" w:name="_Toc460237942"/>
      <w:bookmarkStart w:id="6" w:name="_Toc460238239"/>
      <w:bookmarkStart w:id="7" w:name="_Toc470105092"/>
      <w:bookmarkStart w:id="8" w:name="_Toc114778756"/>
      <w:r w:rsidRPr="00CD68BA">
        <w:rPr>
          <w:lang w:val="es-CR"/>
        </w:rPr>
        <w:t>I</w:t>
      </w:r>
      <w:r w:rsidRPr="00CD68BA">
        <w:rPr>
          <w:lang w:val="es-CR"/>
        </w:rPr>
        <w:br/>
      </w:r>
      <w:r w:rsidR="00C10DAE" w:rsidRPr="00CD68BA">
        <w:rPr>
          <w:lang w:val="es-CR"/>
        </w:rPr>
        <w:t>INTRODUCCIÓN DE LA CAUSA Y OBJETO DE LA CONTROVERSIA</w:t>
      </w:r>
      <w:bookmarkEnd w:id="2"/>
      <w:bookmarkEnd w:id="3"/>
      <w:bookmarkEnd w:id="4"/>
      <w:bookmarkEnd w:id="5"/>
      <w:bookmarkEnd w:id="6"/>
      <w:bookmarkEnd w:id="7"/>
      <w:bookmarkEnd w:id="8"/>
    </w:p>
    <w:p w14:paraId="35AB14BD" w14:textId="77777777" w:rsidR="00913D77" w:rsidRPr="00CD68BA" w:rsidRDefault="00913D77" w:rsidP="00A06718">
      <w:pPr>
        <w:spacing w:before="0" w:after="0"/>
        <w:ind w:right="4"/>
        <w:rPr>
          <w:szCs w:val="20"/>
          <w:lang w:val="es-CR"/>
        </w:rPr>
      </w:pPr>
    </w:p>
    <w:p w14:paraId="01216D09" w14:textId="016E1AC2" w:rsidR="00D67118" w:rsidRPr="00CD68BA" w:rsidRDefault="00C10DAE" w:rsidP="00A06718">
      <w:pPr>
        <w:numPr>
          <w:ilvl w:val="0"/>
          <w:numId w:val="1"/>
        </w:numPr>
        <w:spacing w:before="0" w:after="0"/>
        <w:ind w:left="0" w:right="4" w:firstLine="0"/>
        <w:rPr>
          <w:szCs w:val="20"/>
          <w:lang w:val="es-CR"/>
        </w:rPr>
      </w:pPr>
      <w:r w:rsidRPr="00CD68BA">
        <w:rPr>
          <w:i/>
          <w:szCs w:val="20"/>
          <w:lang w:val="es-CR"/>
        </w:rPr>
        <w:t>El caso sometido a la Corte.</w:t>
      </w:r>
      <w:r w:rsidRPr="00CD68BA">
        <w:rPr>
          <w:szCs w:val="20"/>
          <w:lang w:val="es-CR"/>
        </w:rPr>
        <w:t xml:space="preserve"> – </w:t>
      </w:r>
      <w:r w:rsidR="00805806" w:rsidRPr="00CD68BA">
        <w:rPr>
          <w:szCs w:val="20"/>
          <w:lang w:val="es-CR"/>
        </w:rPr>
        <w:t xml:space="preserve">El 4 de diciembre de 2020 la Comisión Interamericana de Derechos Humanos (en adelante </w:t>
      </w:r>
      <w:r w:rsidR="00805806" w:rsidRPr="00CD68BA">
        <w:rPr>
          <w:rFonts w:cs="Arial"/>
          <w:lang w:val="es-CR"/>
        </w:rPr>
        <w:t>también</w:t>
      </w:r>
      <w:r w:rsidR="00805806" w:rsidRPr="00CD68BA">
        <w:rPr>
          <w:szCs w:val="20"/>
          <w:lang w:val="es-CR"/>
        </w:rPr>
        <w:t xml:space="preserve"> “la Comisión Interamericana” o “la Comisión”) sometió a la jurisdicción de la Corte el caso </w:t>
      </w:r>
      <w:r w:rsidR="00805806" w:rsidRPr="00CD68BA">
        <w:rPr>
          <w:iCs/>
          <w:szCs w:val="20"/>
          <w:lang w:val="es-CR"/>
        </w:rPr>
        <w:t>“Gabriel Sales Pimenta”</w:t>
      </w:r>
      <w:r w:rsidR="00805806" w:rsidRPr="00CD68BA">
        <w:rPr>
          <w:szCs w:val="20"/>
          <w:lang w:val="es-CR"/>
        </w:rPr>
        <w:t xml:space="preserve"> contra la República Federativa de Brasil (en adelante “el Estado” o “Brasil”). Según la Comisión, la controversia versa sobre la alegada responsabilidad internacional de Brasil por la supuesta situación de impunidad en la que se encontrarían los hechos relacionados con la muerte de Gabriel Sales Pimenta, abogado del Sindicato de los Trabajadores Rurales de Marabá. </w:t>
      </w:r>
      <w:r w:rsidR="005D3DA0" w:rsidRPr="00CD68BA">
        <w:rPr>
          <w:szCs w:val="20"/>
          <w:lang w:val="es-CR"/>
        </w:rPr>
        <w:t>Debido a</w:t>
      </w:r>
      <w:r w:rsidR="00805806" w:rsidRPr="00CD68BA">
        <w:rPr>
          <w:szCs w:val="20"/>
          <w:lang w:val="es-CR"/>
        </w:rPr>
        <w:t xml:space="preserve"> su trabajo, la presunta víctima habría recibido varias amenazas de muerte, por lo que habría solicitado protección estatal en múltiples ocasiones ante la Secretaría de Seguridad Pública </w:t>
      </w:r>
      <w:r w:rsidR="00D60E30" w:rsidRPr="00CD68BA">
        <w:rPr>
          <w:szCs w:val="20"/>
          <w:lang w:val="es-CR"/>
        </w:rPr>
        <w:t>en</w:t>
      </w:r>
      <w:r w:rsidR="00805806" w:rsidRPr="00CD68BA">
        <w:rPr>
          <w:szCs w:val="20"/>
          <w:lang w:val="es-CR"/>
        </w:rPr>
        <w:t xml:space="preserve"> Belém, en el </w:t>
      </w:r>
      <w:r w:rsidR="000F3E00" w:rsidRPr="00CD68BA">
        <w:rPr>
          <w:szCs w:val="20"/>
          <w:lang w:val="es-CR"/>
        </w:rPr>
        <w:t>e</w:t>
      </w:r>
      <w:r w:rsidR="00805806" w:rsidRPr="00CD68BA">
        <w:rPr>
          <w:szCs w:val="20"/>
          <w:lang w:val="es-CR"/>
        </w:rPr>
        <w:t xml:space="preserve">stado de Pará. Finalmente, habría sido </w:t>
      </w:r>
      <w:r w:rsidR="00644107" w:rsidRPr="00CD68BA">
        <w:rPr>
          <w:szCs w:val="20"/>
          <w:lang w:val="es-CR"/>
        </w:rPr>
        <w:t xml:space="preserve">muerto </w:t>
      </w:r>
      <w:r w:rsidR="00805806" w:rsidRPr="00CD68BA">
        <w:rPr>
          <w:szCs w:val="20"/>
          <w:lang w:val="es-CR"/>
        </w:rPr>
        <w:t xml:space="preserve">el 18 de julio de 1982. Según la Comisión, dicha muerte </w:t>
      </w:r>
      <w:r w:rsidR="005D3DA0" w:rsidRPr="00CD68BA">
        <w:rPr>
          <w:szCs w:val="20"/>
          <w:lang w:val="es-CR"/>
        </w:rPr>
        <w:t>se habría producido</w:t>
      </w:r>
      <w:r w:rsidR="00805806" w:rsidRPr="00CD68BA">
        <w:rPr>
          <w:szCs w:val="20"/>
          <w:lang w:val="es-CR"/>
        </w:rPr>
        <w:t xml:space="preserve"> en un contexto de violencia relacionada con las demandas de tierra y la reforma agraria en Brasil. La Comisión concluyó que la investigación de los hechos relacionados con la muerte de Gabriel Sales Pimenta, que finalizó en 2006 con una decisión </w:t>
      </w:r>
      <w:r w:rsidR="005D3DA0" w:rsidRPr="00CD68BA">
        <w:rPr>
          <w:szCs w:val="20"/>
          <w:lang w:val="es-CR"/>
        </w:rPr>
        <w:t>que declaró</w:t>
      </w:r>
      <w:r w:rsidR="00805806" w:rsidRPr="00CD68BA">
        <w:rPr>
          <w:szCs w:val="20"/>
          <w:lang w:val="es-CR"/>
        </w:rPr>
        <w:t xml:space="preserve"> la prescripción, estuvo marcada por omisiones del Estado. La Comisión estableció que las autoridades no actuaron con la debida diligencia ni en un plazo razonable. Concluyó, además, que Brasil violó el derecho a la integridad personal en perjuicio de los familiares de Gabriel Sales Pimenta. En consecuencia, la Comisión </w:t>
      </w:r>
      <w:r w:rsidR="00B940D0" w:rsidRPr="00CD68BA">
        <w:rPr>
          <w:szCs w:val="20"/>
          <w:lang w:val="es-CR"/>
        </w:rPr>
        <w:t>adujo</w:t>
      </w:r>
      <w:r w:rsidR="00CA029D" w:rsidRPr="00CD68BA">
        <w:rPr>
          <w:szCs w:val="20"/>
          <w:lang w:val="es-CR"/>
        </w:rPr>
        <w:t xml:space="preserve"> que el Estado es </w:t>
      </w:r>
      <w:r w:rsidR="00805806" w:rsidRPr="00CD68BA">
        <w:rPr>
          <w:szCs w:val="20"/>
          <w:lang w:val="es-CR"/>
        </w:rPr>
        <w:t>responsab</w:t>
      </w:r>
      <w:r w:rsidR="00CA029D" w:rsidRPr="00CD68BA">
        <w:rPr>
          <w:szCs w:val="20"/>
          <w:lang w:val="es-CR"/>
        </w:rPr>
        <w:t>le</w:t>
      </w:r>
      <w:r w:rsidR="00805806" w:rsidRPr="00CD68BA">
        <w:rPr>
          <w:szCs w:val="20"/>
          <w:lang w:val="es-CR"/>
        </w:rPr>
        <w:t xml:space="preserve"> por la violación de los derechos a la integridad personal, las garantías judiciales y la protección judicial, establecidos en los artículos 5.1, 8.1 y 25.1 de la Convención Americana, en relación con las obligaciones contenidas en su artículo 1.1, en perjuicio de los familiares de Gabriel Sales Pimienta identificados en el Informe de Fondo No. 144/19 (en adelante “Informe de Fondo” o “Informe No. 144/19”). </w:t>
      </w:r>
    </w:p>
    <w:p w14:paraId="74FAF657" w14:textId="77777777" w:rsidR="00913D77" w:rsidRPr="00CD68BA" w:rsidRDefault="00913D77" w:rsidP="00A06718">
      <w:pPr>
        <w:spacing w:before="0" w:after="0"/>
        <w:ind w:right="4"/>
        <w:rPr>
          <w:szCs w:val="20"/>
          <w:lang w:val="es-CR"/>
        </w:rPr>
      </w:pPr>
    </w:p>
    <w:p w14:paraId="4A4D9A61" w14:textId="59C7167D" w:rsidR="00C10DAE" w:rsidRPr="00CD68BA" w:rsidRDefault="00C10DAE" w:rsidP="00A06718">
      <w:pPr>
        <w:numPr>
          <w:ilvl w:val="0"/>
          <w:numId w:val="1"/>
        </w:numPr>
        <w:spacing w:before="0" w:after="0"/>
        <w:ind w:left="0" w:right="4" w:firstLine="0"/>
        <w:rPr>
          <w:szCs w:val="20"/>
          <w:lang w:val="es-CR"/>
        </w:rPr>
      </w:pPr>
      <w:bookmarkStart w:id="9" w:name="_Ref363651855"/>
      <w:r w:rsidRPr="00CD68BA">
        <w:rPr>
          <w:i/>
          <w:szCs w:val="20"/>
          <w:lang w:val="es-CR"/>
        </w:rPr>
        <w:t xml:space="preserve">Trámite ante la Comisión. </w:t>
      </w:r>
      <w:r w:rsidRPr="00CD68BA">
        <w:rPr>
          <w:szCs w:val="20"/>
          <w:lang w:val="es-CR"/>
        </w:rPr>
        <w:t>– El trámite ante la Comisión fue el siguiente:</w:t>
      </w:r>
      <w:bookmarkEnd w:id="9"/>
    </w:p>
    <w:p w14:paraId="45B691AD" w14:textId="0AC1469F" w:rsidR="00913D77" w:rsidRPr="00CD68BA" w:rsidRDefault="00913D77" w:rsidP="00A06718">
      <w:pPr>
        <w:spacing w:before="0" w:after="0"/>
        <w:ind w:right="4"/>
        <w:rPr>
          <w:szCs w:val="20"/>
          <w:lang w:val="es-CR"/>
        </w:rPr>
      </w:pPr>
    </w:p>
    <w:p w14:paraId="6A24D627" w14:textId="7530F03E" w:rsidR="001F5A4A" w:rsidRPr="00CD68BA" w:rsidRDefault="001F5A4A" w:rsidP="00A06718">
      <w:pPr>
        <w:pStyle w:val="Prrafodelista"/>
        <w:widowControl w:val="0"/>
        <w:numPr>
          <w:ilvl w:val="1"/>
          <w:numId w:val="8"/>
        </w:numPr>
        <w:spacing w:before="0" w:after="0"/>
        <w:ind w:left="993" w:hanging="426"/>
        <w:contextualSpacing w:val="0"/>
        <w:rPr>
          <w:szCs w:val="20"/>
          <w:lang w:val="es-CR"/>
        </w:rPr>
      </w:pPr>
      <w:r w:rsidRPr="00CD68BA">
        <w:rPr>
          <w:i/>
          <w:szCs w:val="20"/>
          <w:lang w:val="es-CR"/>
        </w:rPr>
        <w:t xml:space="preserve">Petición. </w:t>
      </w:r>
      <w:r w:rsidRPr="00CD68BA">
        <w:rPr>
          <w:szCs w:val="20"/>
          <w:lang w:val="es-CR"/>
        </w:rPr>
        <w:t>– El 9 de noviembre de 2006 la Comisión Pastoral de la Tierra y el Centro por la Justicia y el Derecho Internacional presentaron la petición inicial ante la Comisión.</w:t>
      </w:r>
    </w:p>
    <w:p w14:paraId="223896E6" w14:textId="77777777" w:rsidR="001F5A4A" w:rsidRPr="00CD68BA" w:rsidRDefault="001F5A4A" w:rsidP="00A06718">
      <w:pPr>
        <w:pStyle w:val="Prrafodelista"/>
        <w:widowControl w:val="0"/>
        <w:tabs>
          <w:tab w:val="left" w:pos="1134"/>
        </w:tabs>
        <w:spacing w:before="0" w:after="0"/>
        <w:ind w:left="993" w:hanging="426"/>
        <w:contextualSpacing w:val="0"/>
        <w:rPr>
          <w:szCs w:val="20"/>
          <w:lang w:val="es-CR"/>
        </w:rPr>
      </w:pPr>
    </w:p>
    <w:p w14:paraId="7001AB47" w14:textId="71A9D3A1" w:rsidR="001F5A4A" w:rsidRPr="00CD68BA" w:rsidRDefault="001F5A4A" w:rsidP="00A06718">
      <w:pPr>
        <w:pStyle w:val="Prrafodelista"/>
        <w:widowControl w:val="0"/>
        <w:numPr>
          <w:ilvl w:val="1"/>
          <w:numId w:val="8"/>
        </w:numPr>
        <w:spacing w:before="0" w:after="0"/>
        <w:ind w:left="993" w:hanging="426"/>
        <w:contextualSpacing w:val="0"/>
        <w:rPr>
          <w:szCs w:val="20"/>
          <w:lang w:val="es-CR"/>
        </w:rPr>
      </w:pPr>
      <w:r w:rsidRPr="00CD68BA">
        <w:rPr>
          <w:i/>
          <w:szCs w:val="20"/>
          <w:lang w:val="es-CR"/>
        </w:rPr>
        <w:t>Informe de Admisibilidad.</w:t>
      </w:r>
      <w:r w:rsidRPr="00CD68BA">
        <w:rPr>
          <w:szCs w:val="20"/>
          <w:lang w:val="es-CR"/>
        </w:rPr>
        <w:t xml:space="preserve"> – El 17 de octubre de 2008 la Comisión aprobó el Informe de Admisibilidad No. 73/08, que fue notificado a las partes el 15 de diciembre de 2008.</w:t>
      </w:r>
    </w:p>
    <w:p w14:paraId="0B14A5B4" w14:textId="77777777" w:rsidR="001F5A4A" w:rsidRPr="00CD68BA" w:rsidRDefault="001F5A4A" w:rsidP="00A06718">
      <w:pPr>
        <w:pStyle w:val="Prrafodelista"/>
        <w:spacing w:before="0" w:after="0"/>
        <w:contextualSpacing w:val="0"/>
        <w:rPr>
          <w:szCs w:val="20"/>
          <w:lang w:val="es-CR"/>
        </w:rPr>
      </w:pPr>
    </w:p>
    <w:p w14:paraId="56C2413C" w14:textId="47386CF7" w:rsidR="00D27BBD" w:rsidRPr="00CD68BA" w:rsidRDefault="001F5A4A" w:rsidP="00A06718">
      <w:pPr>
        <w:pStyle w:val="Prrafodelista"/>
        <w:widowControl w:val="0"/>
        <w:numPr>
          <w:ilvl w:val="1"/>
          <w:numId w:val="8"/>
        </w:numPr>
        <w:spacing w:before="0" w:after="0"/>
        <w:ind w:left="993" w:hanging="426"/>
        <w:contextualSpacing w:val="0"/>
        <w:rPr>
          <w:szCs w:val="20"/>
          <w:lang w:val="es-CR"/>
        </w:rPr>
      </w:pPr>
      <w:r w:rsidRPr="00CD68BA">
        <w:rPr>
          <w:i/>
          <w:szCs w:val="20"/>
          <w:lang w:val="es-CR"/>
        </w:rPr>
        <w:t>Informe de Fondo</w:t>
      </w:r>
      <w:r w:rsidRPr="00CD68BA">
        <w:rPr>
          <w:szCs w:val="20"/>
          <w:lang w:val="es-CR"/>
        </w:rPr>
        <w:t xml:space="preserve">. – </w:t>
      </w:r>
      <w:r w:rsidR="007F3CBC" w:rsidRPr="00CD68BA">
        <w:rPr>
          <w:szCs w:val="20"/>
          <w:lang w:val="es-CR"/>
        </w:rPr>
        <w:t>El 28 de septiembre de 2019 l</w:t>
      </w:r>
      <w:r w:rsidRPr="00CD68BA">
        <w:rPr>
          <w:szCs w:val="20"/>
          <w:lang w:val="es-CR"/>
        </w:rPr>
        <w:t>a Comisión aprobó el Informe de Fondo, en el que llegó a una serie de conclusiones y formuló distintas recomendaciones al Estado.</w:t>
      </w:r>
    </w:p>
    <w:p w14:paraId="1F59A273" w14:textId="77777777" w:rsidR="00D27BBD" w:rsidRPr="00CD68BA" w:rsidRDefault="00D27BBD" w:rsidP="00A06718">
      <w:pPr>
        <w:pStyle w:val="Prrafodelista"/>
        <w:spacing w:before="0" w:after="0"/>
        <w:contextualSpacing w:val="0"/>
        <w:rPr>
          <w:i/>
          <w:szCs w:val="20"/>
          <w:lang w:val="es-CR"/>
        </w:rPr>
      </w:pPr>
    </w:p>
    <w:p w14:paraId="688AC34C" w14:textId="7750263E" w:rsidR="001F5A4A" w:rsidRPr="00CD68BA" w:rsidRDefault="001F5A4A" w:rsidP="00A06718">
      <w:pPr>
        <w:pStyle w:val="Prrafodelista"/>
        <w:widowControl w:val="0"/>
        <w:numPr>
          <w:ilvl w:val="1"/>
          <w:numId w:val="8"/>
        </w:numPr>
        <w:spacing w:before="0" w:after="0"/>
        <w:ind w:left="993" w:hanging="426"/>
        <w:contextualSpacing w:val="0"/>
        <w:rPr>
          <w:szCs w:val="20"/>
          <w:lang w:val="es-CR"/>
        </w:rPr>
      </w:pPr>
      <w:r w:rsidRPr="00CD68BA">
        <w:rPr>
          <w:i/>
          <w:szCs w:val="20"/>
          <w:lang w:val="es-CR"/>
        </w:rPr>
        <w:t>Notificación al Estado.</w:t>
      </w:r>
      <w:r w:rsidR="007373A8" w:rsidRPr="00CD68BA">
        <w:rPr>
          <w:szCs w:val="20"/>
          <w:lang w:val="es-CR"/>
        </w:rPr>
        <w:t xml:space="preserve"> </w:t>
      </w:r>
      <w:r w:rsidRPr="00CD68BA">
        <w:rPr>
          <w:szCs w:val="20"/>
          <w:lang w:val="es-CR"/>
        </w:rPr>
        <w:t xml:space="preserve">– El Informe de Fondo fue notificado al Estado mediante comunicación de 4 de diciembre de 2019, </w:t>
      </w:r>
      <w:r w:rsidR="00502F82" w:rsidRPr="00CD68BA">
        <w:rPr>
          <w:szCs w:val="20"/>
          <w:lang w:val="es-CR"/>
        </w:rPr>
        <w:t>con un</w:t>
      </w:r>
      <w:r w:rsidRPr="00CD68BA">
        <w:rPr>
          <w:szCs w:val="20"/>
          <w:lang w:val="es-CR"/>
        </w:rPr>
        <w:t xml:space="preserve"> plazo de dos meses para que informara sobre el cumplimiento de las recomendaciones formuladas. La Comisión otorgó tres prórrogas</w:t>
      </w:r>
      <w:r w:rsidR="00D27BBD" w:rsidRPr="00CD68BA">
        <w:rPr>
          <w:szCs w:val="20"/>
          <w:lang w:val="es-CR"/>
        </w:rPr>
        <w:t xml:space="preserve"> al Estado</w:t>
      </w:r>
      <w:r w:rsidRPr="00CD68BA">
        <w:rPr>
          <w:szCs w:val="20"/>
          <w:lang w:val="es-CR"/>
        </w:rPr>
        <w:t>. El 20 de noviembre de 2020 Brasil solicitó una cuarta prórroga. Al evaluar dicha solicitud, la Comisión indicó</w:t>
      </w:r>
      <w:r w:rsidR="0041592B" w:rsidRPr="00CD68BA">
        <w:rPr>
          <w:szCs w:val="20"/>
          <w:lang w:val="es-CR"/>
        </w:rPr>
        <w:t xml:space="preserve"> que, a pesar del</w:t>
      </w:r>
      <w:r w:rsidRPr="00CD68BA">
        <w:rPr>
          <w:szCs w:val="20"/>
          <w:lang w:val="es-CR"/>
        </w:rPr>
        <w:t xml:space="preserve"> transcur</w:t>
      </w:r>
      <w:r w:rsidR="0041592B" w:rsidRPr="00CD68BA">
        <w:rPr>
          <w:szCs w:val="20"/>
          <w:lang w:val="es-CR"/>
        </w:rPr>
        <w:t>so de</w:t>
      </w:r>
      <w:r w:rsidRPr="00CD68BA">
        <w:rPr>
          <w:szCs w:val="20"/>
          <w:lang w:val="es-CR"/>
        </w:rPr>
        <w:t xml:space="preserve"> casi un año desde la notificación del </w:t>
      </w:r>
      <w:r w:rsidR="007373A8" w:rsidRPr="00CD68BA">
        <w:rPr>
          <w:szCs w:val="20"/>
          <w:lang w:val="es-CR"/>
        </w:rPr>
        <w:t>I</w:t>
      </w:r>
      <w:r w:rsidRPr="00CD68BA">
        <w:rPr>
          <w:szCs w:val="20"/>
          <w:lang w:val="es-CR"/>
        </w:rPr>
        <w:t>nforme</w:t>
      </w:r>
      <w:r w:rsidR="0041592B" w:rsidRPr="00CD68BA">
        <w:rPr>
          <w:szCs w:val="20"/>
          <w:lang w:val="es-CR"/>
        </w:rPr>
        <w:t xml:space="preserve"> de Fondo</w:t>
      </w:r>
      <w:r w:rsidRPr="00CD68BA">
        <w:rPr>
          <w:szCs w:val="20"/>
          <w:lang w:val="es-CR"/>
        </w:rPr>
        <w:t xml:space="preserve">, el Estado había sostenido que la reapertura de la investigación penal </w:t>
      </w:r>
      <w:r w:rsidR="0041592B" w:rsidRPr="00CD68BA">
        <w:rPr>
          <w:szCs w:val="20"/>
          <w:lang w:val="es-CR"/>
        </w:rPr>
        <w:t>sería</w:t>
      </w:r>
      <w:r w:rsidRPr="00CD68BA">
        <w:rPr>
          <w:szCs w:val="20"/>
          <w:lang w:val="es-CR"/>
        </w:rPr>
        <w:t xml:space="preserve"> inviable y aún no había presentado una propuesta de indemnización concreta, </w:t>
      </w:r>
      <w:r w:rsidR="006A3FC1" w:rsidRPr="00CD68BA">
        <w:rPr>
          <w:szCs w:val="20"/>
          <w:lang w:val="es-CR"/>
        </w:rPr>
        <w:t>de modo que</w:t>
      </w:r>
      <w:r w:rsidR="00AF1850" w:rsidRPr="00CD68BA">
        <w:rPr>
          <w:szCs w:val="20"/>
          <w:lang w:val="es-CR"/>
        </w:rPr>
        <w:t xml:space="preserve"> la Comisión</w:t>
      </w:r>
      <w:r w:rsidR="006A3FC1" w:rsidRPr="00CD68BA">
        <w:rPr>
          <w:szCs w:val="20"/>
          <w:lang w:val="es-CR"/>
        </w:rPr>
        <w:t xml:space="preserve"> no vislumbraba el</w:t>
      </w:r>
      <w:r w:rsidRPr="00CD68BA">
        <w:rPr>
          <w:szCs w:val="20"/>
          <w:lang w:val="es-CR"/>
        </w:rPr>
        <w:t xml:space="preserve"> cumplimiento de las recomendaciones </w:t>
      </w:r>
      <w:r w:rsidR="006A3FC1" w:rsidRPr="00CD68BA">
        <w:rPr>
          <w:szCs w:val="20"/>
          <w:lang w:val="es-CR"/>
        </w:rPr>
        <w:t>ni</w:t>
      </w:r>
      <w:r w:rsidRPr="00CD68BA">
        <w:rPr>
          <w:szCs w:val="20"/>
          <w:lang w:val="es-CR"/>
        </w:rPr>
        <w:t xml:space="preserve"> avances sustantivos encaminados en tal dirección.</w:t>
      </w:r>
    </w:p>
    <w:p w14:paraId="6EF44B68" w14:textId="77777777" w:rsidR="00640788" w:rsidRPr="00CD68BA" w:rsidRDefault="00640788" w:rsidP="00872D31">
      <w:pPr>
        <w:pStyle w:val="Prrafodelista"/>
        <w:widowControl w:val="0"/>
        <w:spacing w:before="0" w:after="0"/>
        <w:ind w:left="0"/>
        <w:contextualSpacing w:val="0"/>
        <w:rPr>
          <w:szCs w:val="20"/>
          <w:lang w:val="es-CR"/>
        </w:rPr>
      </w:pPr>
    </w:p>
    <w:p w14:paraId="12E98EAA" w14:textId="1B7F940F" w:rsidR="001F5A4A" w:rsidRPr="00CD68BA" w:rsidRDefault="001F5A4A" w:rsidP="00A06718">
      <w:pPr>
        <w:pStyle w:val="Prrafodelista"/>
        <w:widowControl w:val="0"/>
        <w:numPr>
          <w:ilvl w:val="0"/>
          <w:numId w:val="1"/>
        </w:numPr>
        <w:spacing w:before="0" w:after="0"/>
        <w:ind w:left="0" w:firstLine="0"/>
        <w:contextualSpacing w:val="0"/>
        <w:rPr>
          <w:szCs w:val="20"/>
          <w:lang w:val="es-CR"/>
        </w:rPr>
      </w:pPr>
      <w:r w:rsidRPr="00CD68BA">
        <w:rPr>
          <w:i/>
          <w:szCs w:val="20"/>
          <w:lang w:val="es-CR"/>
        </w:rPr>
        <w:t>Sometimiento a la Corte</w:t>
      </w:r>
      <w:r w:rsidRPr="00CD68BA">
        <w:rPr>
          <w:szCs w:val="20"/>
          <w:lang w:val="es-CR"/>
        </w:rPr>
        <w:t>. – El 4 de diciembre de 2020 la Comisión sometió</w:t>
      </w:r>
      <w:r w:rsidR="00640788" w:rsidRPr="00CD68BA">
        <w:rPr>
          <w:szCs w:val="20"/>
          <w:lang w:val="es-CR"/>
        </w:rPr>
        <w:t xml:space="preserve"> a la Corte “los hechos que comenzaron o continuaron ocurriendo con posterioridad” a la fecha de la ratificación de la Convención Americana por parte de Brasil</w:t>
      </w:r>
      <w:r w:rsidRPr="00CD68BA">
        <w:rPr>
          <w:szCs w:val="20"/>
          <w:lang w:val="es-CR"/>
        </w:rPr>
        <w:t>, según indicó, “teniendo en cuenta</w:t>
      </w:r>
      <w:r w:rsidRPr="00CD68BA">
        <w:rPr>
          <w:rFonts w:eastAsiaTheme="minorHAnsi" w:cs="Cambria"/>
          <w:szCs w:val="20"/>
          <w:lang w:val="es-CR"/>
        </w:rPr>
        <w:t xml:space="preserve"> </w:t>
      </w:r>
      <w:r w:rsidRPr="00CD68BA">
        <w:rPr>
          <w:szCs w:val="20"/>
          <w:lang w:val="es-CR"/>
        </w:rPr>
        <w:t xml:space="preserve">la necesidad de </w:t>
      </w:r>
      <w:r w:rsidRPr="00CD68BA">
        <w:rPr>
          <w:szCs w:val="20"/>
          <w:lang w:val="es-CR"/>
        </w:rPr>
        <w:lastRenderedPageBreak/>
        <w:t>obtención de justicia y reparación para las [presuntas] víctimas”</w:t>
      </w:r>
      <w:r w:rsidRPr="00CD68BA">
        <w:rPr>
          <w:rStyle w:val="Refdenotaalpie"/>
          <w:lang w:val="es-CR"/>
        </w:rPr>
        <w:footnoteReference w:id="2"/>
      </w:r>
      <w:r w:rsidRPr="00CD68BA">
        <w:rPr>
          <w:szCs w:val="20"/>
          <w:lang w:val="es-CR"/>
        </w:rPr>
        <w:t xml:space="preserve">. </w:t>
      </w:r>
      <w:r w:rsidRPr="00CD68BA">
        <w:rPr>
          <w:rFonts w:eastAsia="Verdana" w:cs="Verdana"/>
          <w:szCs w:val="20"/>
          <w:lang w:val="es-CR"/>
        </w:rPr>
        <w:t>Este Tribunal nota con preocupación qu</w:t>
      </w:r>
      <w:r w:rsidR="00C06ED3" w:rsidRPr="00CD68BA">
        <w:rPr>
          <w:rFonts w:eastAsia="Verdana" w:cs="Verdana"/>
          <w:szCs w:val="20"/>
          <w:lang w:val="es-CR"/>
        </w:rPr>
        <w:t>e,</w:t>
      </w:r>
      <w:r w:rsidRPr="00CD68BA">
        <w:rPr>
          <w:rFonts w:eastAsia="Verdana" w:cs="Verdana"/>
          <w:szCs w:val="20"/>
          <w:lang w:val="es-CR"/>
        </w:rPr>
        <w:t xml:space="preserve"> entre la presentación de la petición inicial ante la Comisión y el sometimiento del caso ante la Corte</w:t>
      </w:r>
      <w:r w:rsidR="00C06ED3" w:rsidRPr="00CD68BA">
        <w:rPr>
          <w:rFonts w:eastAsia="Verdana" w:cs="Verdana"/>
          <w:szCs w:val="20"/>
          <w:lang w:val="es-CR"/>
        </w:rPr>
        <w:t>,</w:t>
      </w:r>
      <w:r w:rsidRPr="00CD68BA">
        <w:rPr>
          <w:rFonts w:eastAsia="Verdana" w:cs="Verdana"/>
          <w:szCs w:val="20"/>
          <w:lang w:val="es-CR"/>
        </w:rPr>
        <w:t xml:space="preserve"> transcurrieron más de catorce años.</w:t>
      </w:r>
    </w:p>
    <w:p w14:paraId="2512C6C2" w14:textId="77777777" w:rsidR="001F5A4A" w:rsidRPr="00CD68BA" w:rsidRDefault="001F5A4A" w:rsidP="00A06718">
      <w:pPr>
        <w:pStyle w:val="Prrafodelista"/>
        <w:spacing w:before="0" w:after="0"/>
        <w:contextualSpacing w:val="0"/>
        <w:rPr>
          <w:i/>
          <w:szCs w:val="20"/>
          <w:lang w:val="es-CR"/>
        </w:rPr>
      </w:pPr>
    </w:p>
    <w:p w14:paraId="33BEFEFB" w14:textId="6F70CAE3" w:rsidR="001F5A4A" w:rsidRPr="00CD68BA" w:rsidRDefault="001F5A4A" w:rsidP="00A06718">
      <w:pPr>
        <w:pStyle w:val="Prrafodelista"/>
        <w:widowControl w:val="0"/>
        <w:numPr>
          <w:ilvl w:val="0"/>
          <w:numId w:val="1"/>
        </w:numPr>
        <w:spacing w:before="0" w:after="0"/>
        <w:ind w:left="0" w:firstLine="0"/>
        <w:contextualSpacing w:val="0"/>
        <w:rPr>
          <w:szCs w:val="20"/>
          <w:lang w:val="es-CR"/>
        </w:rPr>
      </w:pPr>
      <w:r w:rsidRPr="00CD68BA">
        <w:rPr>
          <w:i/>
          <w:szCs w:val="20"/>
          <w:lang w:val="es-CR"/>
        </w:rPr>
        <w:t>Solicitudes de la Comisión.</w:t>
      </w:r>
      <w:r w:rsidRPr="00CD68BA">
        <w:rPr>
          <w:szCs w:val="20"/>
          <w:lang w:val="es-CR"/>
        </w:rPr>
        <w:t xml:space="preserve"> – Con base en lo anterior, la Comisión solicitó a la Corte que declar</w:t>
      </w:r>
      <w:r w:rsidR="00103E54" w:rsidRPr="00CD68BA">
        <w:rPr>
          <w:szCs w:val="20"/>
          <w:lang w:val="es-CR"/>
        </w:rPr>
        <w:t>e</w:t>
      </w:r>
      <w:r w:rsidRPr="00CD68BA">
        <w:rPr>
          <w:szCs w:val="20"/>
          <w:lang w:val="es-CR"/>
        </w:rPr>
        <w:t xml:space="preserve"> la responsabilidad internacional del Estado de Brasil por la</w:t>
      </w:r>
      <w:r w:rsidR="0031202B" w:rsidRPr="00CD68BA">
        <w:rPr>
          <w:szCs w:val="20"/>
          <w:lang w:val="es-CR"/>
        </w:rPr>
        <w:t xml:space="preserve">s violaciones indicadas en el </w:t>
      </w:r>
      <w:r w:rsidR="00497FF0" w:rsidRPr="00CD68BA">
        <w:rPr>
          <w:szCs w:val="20"/>
          <w:lang w:val="es-CR"/>
        </w:rPr>
        <w:t xml:space="preserve">Informe de Fondo que son posteriores al 10 de diciembre de 1998 </w:t>
      </w:r>
      <w:r w:rsidR="0031202B" w:rsidRPr="00CD68BA">
        <w:rPr>
          <w:szCs w:val="20"/>
          <w:lang w:val="es-CR"/>
        </w:rPr>
        <w:t>(</w:t>
      </w:r>
      <w:r w:rsidR="0031202B" w:rsidRPr="00CD68BA">
        <w:rPr>
          <w:i/>
          <w:iCs/>
          <w:szCs w:val="20"/>
          <w:lang w:val="es-CR"/>
        </w:rPr>
        <w:t>supra</w:t>
      </w:r>
      <w:r w:rsidR="0031202B" w:rsidRPr="00CD68BA">
        <w:rPr>
          <w:szCs w:val="20"/>
          <w:lang w:val="es-CR"/>
        </w:rPr>
        <w:t xml:space="preserve"> párr. 1)</w:t>
      </w:r>
      <w:r w:rsidRPr="00CD68BA">
        <w:rPr>
          <w:szCs w:val="20"/>
          <w:lang w:val="es-CR"/>
        </w:rPr>
        <w:t>.</w:t>
      </w:r>
      <w:r w:rsidR="00103E54" w:rsidRPr="00CD68BA">
        <w:rPr>
          <w:szCs w:val="20"/>
          <w:lang w:val="es-CR"/>
        </w:rPr>
        <w:t xml:space="preserve"> </w:t>
      </w:r>
      <w:r w:rsidR="00103E54" w:rsidRPr="00CD68BA">
        <w:rPr>
          <w:rFonts w:eastAsia="Calibri" w:cs="Verdana"/>
          <w:szCs w:val="20"/>
          <w:lang w:val="es-CR"/>
        </w:rPr>
        <w:t>Adicionalmente</w:t>
      </w:r>
      <w:r w:rsidR="00103E54" w:rsidRPr="00CD68BA">
        <w:rPr>
          <w:szCs w:val="20"/>
          <w:lang w:val="es-CR"/>
        </w:rPr>
        <w:t>, solicitó a la Corte que ordene al Estado determinadas medidas de reparación (</w:t>
      </w:r>
      <w:r w:rsidR="00103E54" w:rsidRPr="00CD68BA">
        <w:rPr>
          <w:i/>
          <w:szCs w:val="20"/>
          <w:lang w:val="es-CR"/>
        </w:rPr>
        <w:t>infra</w:t>
      </w:r>
      <w:r w:rsidR="00103E54" w:rsidRPr="00CD68BA">
        <w:rPr>
          <w:szCs w:val="20"/>
          <w:lang w:val="es-CR"/>
        </w:rPr>
        <w:t xml:space="preserve"> Capítulo </w:t>
      </w:r>
      <w:r w:rsidR="009E1908" w:rsidRPr="00CD68BA">
        <w:rPr>
          <w:szCs w:val="20"/>
          <w:lang w:val="es-CR"/>
        </w:rPr>
        <w:t>IX</w:t>
      </w:r>
      <w:r w:rsidR="00103E54" w:rsidRPr="00CD68BA">
        <w:rPr>
          <w:szCs w:val="20"/>
          <w:lang w:val="es-CR"/>
        </w:rPr>
        <w:t>)</w:t>
      </w:r>
    </w:p>
    <w:p w14:paraId="55497ED4" w14:textId="77777777" w:rsidR="00913D77" w:rsidRPr="00CD68BA" w:rsidRDefault="00913D77" w:rsidP="00A06718">
      <w:pPr>
        <w:spacing w:before="0" w:after="0"/>
        <w:ind w:right="4"/>
        <w:rPr>
          <w:iCs/>
          <w:szCs w:val="20"/>
          <w:lang w:val="es-CR"/>
        </w:rPr>
      </w:pPr>
    </w:p>
    <w:p w14:paraId="6C66C47E" w14:textId="00596A90" w:rsidR="009B488E" w:rsidRPr="00CD68BA" w:rsidRDefault="00F0482A" w:rsidP="00A06718">
      <w:pPr>
        <w:pStyle w:val="Ttulo1"/>
        <w:spacing w:before="0" w:after="0"/>
        <w:rPr>
          <w:lang w:val="es-CR"/>
        </w:rPr>
      </w:pPr>
      <w:bookmarkStart w:id="10" w:name="_Toc359314415"/>
      <w:bookmarkStart w:id="11" w:name="_Toc361671572"/>
      <w:bookmarkStart w:id="12" w:name="_Toc361671992"/>
      <w:bookmarkStart w:id="13" w:name="_Toc361732789"/>
      <w:bookmarkStart w:id="14" w:name="_Toc361732832"/>
      <w:bookmarkStart w:id="15" w:name="_Toc362456863"/>
      <w:bookmarkStart w:id="16" w:name="_Toc365021392"/>
      <w:bookmarkStart w:id="17" w:name="_Toc369076778"/>
      <w:bookmarkStart w:id="18" w:name="_Toc369989362"/>
      <w:bookmarkStart w:id="19" w:name="_Toc369989449"/>
      <w:bookmarkStart w:id="20" w:name="_Toc369989730"/>
      <w:bookmarkStart w:id="21" w:name="_Toc438132270"/>
      <w:bookmarkStart w:id="22" w:name="_Toc311128156"/>
      <w:bookmarkStart w:id="23" w:name="_Toc311128353"/>
      <w:bookmarkStart w:id="24" w:name="_Toc460237943"/>
      <w:bookmarkStart w:id="25" w:name="_Toc460238240"/>
      <w:bookmarkStart w:id="26" w:name="_Toc470105093"/>
      <w:bookmarkStart w:id="27" w:name="_Toc114778757"/>
      <w:r w:rsidRPr="00CD68BA">
        <w:rPr>
          <w:lang w:val="es-CR"/>
        </w:rPr>
        <w:t>II</w:t>
      </w:r>
      <w:r w:rsidRPr="00CD68BA">
        <w:rPr>
          <w:lang w:val="es-CR"/>
        </w:rPr>
        <w:br/>
      </w:r>
      <w:r w:rsidR="00296C50" w:rsidRPr="00CD68BA">
        <w:rPr>
          <w:lang w:val="es-CR"/>
        </w:rPr>
        <w:t>PROCEDIMIENTO ANTE LA CORTE</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6D877DBC" w14:textId="77777777" w:rsidR="00913D77" w:rsidRPr="00CD68BA" w:rsidRDefault="00913D77" w:rsidP="00A06718">
      <w:pPr>
        <w:spacing w:before="0" w:after="0"/>
        <w:ind w:right="4"/>
        <w:rPr>
          <w:szCs w:val="20"/>
          <w:lang w:val="es-CR"/>
        </w:rPr>
      </w:pPr>
    </w:p>
    <w:p w14:paraId="3D8D0DA9" w14:textId="3735FBCE" w:rsidR="00296C50" w:rsidRPr="00CD68BA" w:rsidRDefault="00296C50" w:rsidP="00A06718">
      <w:pPr>
        <w:numPr>
          <w:ilvl w:val="0"/>
          <w:numId w:val="1"/>
        </w:numPr>
        <w:spacing w:before="0" w:after="0"/>
        <w:ind w:left="0" w:right="4" w:firstLine="0"/>
        <w:rPr>
          <w:szCs w:val="20"/>
          <w:lang w:val="es-CR"/>
        </w:rPr>
      </w:pPr>
      <w:r w:rsidRPr="00CD68BA">
        <w:rPr>
          <w:i/>
          <w:szCs w:val="20"/>
          <w:lang w:val="es-CR" w:eastAsia="es-ES"/>
        </w:rPr>
        <w:t xml:space="preserve">Notificación al Estado y </w:t>
      </w:r>
      <w:r w:rsidR="007B4864" w:rsidRPr="00CD68BA">
        <w:rPr>
          <w:i/>
          <w:szCs w:val="20"/>
          <w:lang w:val="es-CR" w:eastAsia="es-ES"/>
        </w:rPr>
        <w:t xml:space="preserve">a </w:t>
      </w:r>
      <w:r w:rsidR="005E78E9" w:rsidRPr="00CD68BA">
        <w:rPr>
          <w:i/>
          <w:szCs w:val="20"/>
          <w:lang w:val="es-CR" w:eastAsia="es-ES"/>
        </w:rPr>
        <w:t>l</w:t>
      </w:r>
      <w:r w:rsidR="007B4864" w:rsidRPr="00CD68BA">
        <w:rPr>
          <w:i/>
          <w:szCs w:val="20"/>
          <w:lang w:val="es-CR" w:eastAsia="es-ES"/>
        </w:rPr>
        <w:t>os</w:t>
      </w:r>
      <w:r w:rsidR="005E78E9" w:rsidRPr="00CD68BA">
        <w:rPr>
          <w:i/>
          <w:szCs w:val="20"/>
          <w:lang w:val="es-CR" w:eastAsia="es-ES"/>
        </w:rPr>
        <w:t xml:space="preserve"> </w:t>
      </w:r>
      <w:r w:rsidRPr="00CD68BA">
        <w:rPr>
          <w:i/>
          <w:szCs w:val="20"/>
          <w:lang w:val="es-CR" w:eastAsia="es-ES"/>
        </w:rPr>
        <w:t>representante</w:t>
      </w:r>
      <w:r w:rsidR="007B4864" w:rsidRPr="00CD68BA">
        <w:rPr>
          <w:i/>
          <w:szCs w:val="20"/>
          <w:lang w:val="es-CR" w:eastAsia="es-ES"/>
        </w:rPr>
        <w:t>s</w:t>
      </w:r>
      <w:r w:rsidRPr="00CD68BA">
        <w:rPr>
          <w:i/>
          <w:szCs w:val="20"/>
          <w:lang w:val="es-CR" w:eastAsia="es-ES"/>
        </w:rPr>
        <w:t>.</w:t>
      </w:r>
      <w:r w:rsidRPr="00CD68BA">
        <w:rPr>
          <w:szCs w:val="20"/>
          <w:lang w:val="es-CR" w:eastAsia="es-ES"/>
        </w:rPr>
        <w:t xml:space="preserve"> – </w:t>
      </w:r>
      <w:r w:rsidR="007B4864" w:rsidRPr="00CD68BA">
        <w:rPr>
          <w:lang w:val="es-CR"/>
        </w:rPr>
        <w:t>El sometimiento del caso fue notificado al Estado</w:t>
      </w:r>
      <w:r w:rsidR="007B4864" w:rsidRPr="00CD68BA">
        <w:rPr>
          <w:rStyle w:val="Refdenotaalpie"/>
          <w:lang w:val="es-CR"/>
        </w:rPr>
        <w:footnoteReference w:id="3"/>
      </w:r>
      <w:r w:rsidR="007B4864" w:rsidRPr="00CD68BA">
        <w:rPr>
          <w:lang w:val="es-CR"/>
        </w:rPr>
        <w:t xml:space="preserve"> y a la representación de las presuntas víctimas</w:t>
      </w:r>
      <w:r w:rsidR="007B4864" w:rsidRPr="00CD68BA">
        <w:rPr>
          <w:rStyle w:val="Refdenotaalpie"/>
          <w:lang w:val="es-CR"/>
        </w:rPr>
        <w:footnoteReference w:id="4"/>
      </w:r>
      <w:r w:rsidR="007B4864" w:rsidRPr="00CD68BA">
        <w:rPr>
          <w:lang w:val="es-CR"/>
        </w:rPr>
        <w:t xml:space="preserve"> (en adelante “los representantes”)</w:t>
      </w:r>
      <w:r w:rsidR="007B4864" w:rsidRPr="00CD68BA">
        <w:rPr>
          <w:rFonts w:cs="Arial"/>
          <w:lang w:val="es-CR"/>
        </w:rPr>
        <w:t xml:space="preserve">, </w:t>
      </w:r>
      <w:r w:rsidR="007B4864" w:rsidRPr="00CD68BA">
        <w:rPr>
          <w:lang w:val="es-CR"/>
        </w:rPr>
        <w:t>mediante comunicaciones de 9 de febrero de 2021.</w:t>
      </w:r>
    </w:p>
    <w:p w14:paraId="55AE594D" w14:textId="77777777" w:rsidR="00913D77" w:rsidRPr="00CD68BA" w:rsidRDefault="00913D77" w:rsidP="00A06718">
      <w:pPr>
        <w:spacing w:before="0" w:after="0"/>
        <w:ind w:right="4"/>
        <w:rPr>
          <w:szCs w:val="20"/>
          <w:lang w:val="es-CR"/>
        </w:rPr>
      </w:pPr>
    </w:p>
    <w:p w14:paraId="4AF9165F" w14:textId="6DD33268" w:rsidR="00682C13" w:rsidRPr="00CD68BA" w:rsidRDefault="00296C50" w:rsidP="00A06718">
      <w:pPr>
        <w:numPr>
          <w:ilvl w:val="0"/>
          <w:numId w:val="1"/>
        </w:numPr>
        <w:spacing w:before="0" w:after="0"/>
        <w:ind w:left="0" w:right="4" w:firstLine="0"/>
        <w:rPr>
          <w:szCs w:val="20"/>
          <w:lang w:val="es-CR" w:eastAsia="es-ES"/>
        </w:rPr>
      </w:pPr>
      <w:r w:rsidRPr="00CD68BA">
        <w:rPr>
          <w:i/>
          <w:szCs w:val="20"/>
          <w:lang w:val="es-CR" w:eastAsia="es-ES"/>
        </w:rPr>
        <w:t>Escrito de solicitudes, argumentos y pruebas</w:t>
      </w:r>
      <w:r w:rsidRPr="00CD68BA">
        <w:rPr>
          <w:szCs w:val="20"/>
          <w:lang w:val="es-CR" w:eastAsia="es-ES"/>
        </w:rPr>
        <w:t>.</w:t>
      </w:r>
      <w:r w:rsidR="0028664A" w:rsidRPr="00CD68BA">
        <w:rPr>
          <w:szCs w:val="20"/>
          <w:lang w:val="es-CR" w:eastAsia="es-ES"/>
        </w:rPr>
        <w:t xml:space="preserve"> </w:t>
      </w:r>
      <w:r w:rsidRPr="00CD68BA">
        <w:rPr>
          <w:szCs w:val="20"/>
          <w:lang w:val="es-CR" w:eastAsia="es-ES"/>
        </w:rPr>
        <w:t>–</w:t>
      </w:r>
      <w:r w:rsidR="00AB2A47" w:rsidRPr="00CD68BA">
        <w:rPr>
          <w:i/>
          <w:lang w:val="es-CR"/>
        </w:rPr>
        <w:t xml:space="preserve"> </w:t>
      </w:r>
      <w:r w:rsidR="00122826" w:rsidRPr="00CD68BA">
        <w:rPr>
          <w:rFonts w:cs="Arial"/>
          <w:lang w:val="es-CR"/>
        </w:rPr>
        <w:t xml:space="preserve">El 12 de abril de 2021 </w:t>
      </w:r>
      <w:r w:rsidR="00122826" w:rsidRPr="00CD68BA">
        <w:rPr>
          <w:lang w:val="es-CR"/>
        </w:rPr>
        <w:t>l</w:t>
      </w:r>
      <w:r w:rsidR="00AB2A47" w:rsidRPr="00CD68BA">
        <w:rPr>
          <w:lang w:val="es-CR"/>
        </w:rPr>
        <w:t xml:space="preserve">os representantes </w:t>
      </w:r>
      <w:r w:rsidR="00AB2A47" w:rsidRPr="00CD68BA">
        <w:rPr>
          <w:rFonts w:cs="Arial"/>
          <w:lang w:val="es-CR"/>
        </w:rPr>
        <w:t xml:space="preserve">presentaron el escrito de solicitudes, argumentos y pruebas </w:t>
      </w:r>
      <w:r w:rsidR="00AB2A47" w:rsidRPr="00CD68BA">
        <w:rPr>
          <w:lang w:val="es-CR"/>
        </w:rPr>
        <w:t>(en adelante “escrito de solicitudes y argumentos”)</w:t>
      </w:r>
      <w:r w:rsidR="00AB2A47" w:rsidRPr="00CD68BA">
        <w:rPr>
          <w:rFonts w:cs="Arial"/>
          <w:lang w:val="es-CR"/>
        </w:rPr>
        <w:t xml:space="preserve">. </w:t>
      </w:r>
      <w:r w:rsidR="00590927" w:rsidRPr="00CD68BA">
        <w:rPr>
          <w:rFonts w:cs="Arial"/>
          <w:lang w:val="es-CR"/>
        </w:rPr>
        <w:t>Se adhirieron</w:t>
      </w:r>
      <w:r w:rsidR="00AB2A47" w:rsidRPr="00CD68BA">
        <w:rPr>
          <w:rFonts w:cs="Arial"/>
          <w:lang w:val="es-CR"/>
        </w:rPr>
        <w:t xml:space="preserve"> a las consideraciones expuestas por la Comisión en su Informe de Fondo, y alegaron </w:t>
      </w:r>
      <w:r w:rsidR="00FE75FD" w:rsidRPr="00CD68BA">
        <w:rPr>
          <w:rFonts w:cs="Arial"/>
          <w:lang w:val="es-CR"/>
        </w:rPr>
        <w:t>que profundizarían</w:t>
      </w:r>
      <w:r w:rsidR="00AB2A47" w:rsidRPr="00CD68BA">
        <w:rPr>
          <w:rFonts w:cs="Arial"/>
          <w:lang w:val="es-CR"/>
        </w:rPr>
        <w:t xml:space="preserve"> en determinaciones de hecho a </w:t>
      </w:r>
      <w:r w:rsidR="00196E4D" w:rsidRPr="00CD68BA">
        <w:rPr>
          <w:rFonts w:cs="Arial"/>
          <w:lang w:val="es-CR"/>
        </w:rPr>
        <w:t>fin</w:t>
      </w:r>
      <w:r w:rsidR="00AB2A47" w:rsidRPr="00CD68BA">
        <w:rPr>
          <w:rFonts w:cs="Arial"/>
          <w:lang w:val="es-CR"/>
        </w:rPr>
        <w:t xml:space="preserve"> de “aclarar o explicar” las indicadas en el Informe de Fondo. Adicionalmente, solicitaron que se declar</w:t>
      </w:r>
      <w:r w:rsidR="00122826" w:rsidRPr="00CD68BA">
        <w:rPr>
          <w:rFonts w:cs="Arial"/>
          <w:lang w:val="es-CR"/>
        </w:rPr>
        <w:t>e</w:t>
      </w:r>
      <w:r w:rsidR="00AB2A47" w:rsidRPr="00CD68BA">
        <w:rPr>
          <w:rFonts w:cs="Arial"/>
          <w:lang w:val="es-CR"/>
        </w:rPr>
        <w:t xml:space="preserve"> la responsabilidad internacional del Estado por la violación al derecho a la verdad en perjuicio de la </w:t>
      </w:r>
      <w:r w:rsidR="00F14FA5" w:rsidRPr="00CD68BA">
        <w:rPr>
          <w:rFonts w:cs="Arial"/>
          <w:lang w:val="es-CR"/>
        </w:rPr>
        <w:t>f</w:t>
      </w:r>
      <w:r w:rsidR="00AB2A47" w:rsidRPr="00CD68BA">
        <w:rPr>
          <w:rFonts w:cs="Arial"/>
          <w:lang w:val="es-CR"/>
        </w:rPr>
        <w:t>amilia de Gabriel Sales Pimenta y de la “sociedad brasileña</w:t>
      </w:r>
      <w:r w:rsidR="00122826" w:rsidRPr="00CD68BA">
        <w:rPr>
          <w:rFonts w:cs="Arial"/>
          <w:lang w:val="es-CR"/>
        </w:rPr>
        <w:t xml:space="preserve"> como un todo</w:t>
      </w:r>
      <w:r w:rsidR="00AB2A47" w:rsidRPr="00CD68BA">
        <w:rPr>
          <w:rFonts w:cs="Arial"/>
          <w:lang w:val="es-CR"/>
        </w:rPr>
        <w:t xml:space="preserve">”, de conformidad con los artículos 8, </w:t>
      </w:r>
      <w:r w:rsidR="00AB2A47" w:rsidRPr="00CD68BA">
        <w:rPr>
          <w:rFonts w:cs="Arial"/>
          <w:szCs w:val="20"/>
          <w:lang w:val="es-CR"/>
        </w:rPr>
        <w:t>11, 13 y 25 de la Convención Americana.</w:t>
      </w:r>
      <w:r w:rsidR="00AB2A47" w:rsidRPr="00CD68BA">
        <w:rPr>
          <w:rFonts w:cs="Verdana"/>
          <w:szCs w:val="20"/>
          <w:lang w:val="es-CR"/>
        </w:rPr>
        <w:t xml:space="preserve"> Asimismo, las presuntas víctimas solicitaron, a través de su representación, acogerse al Fondo de Asistencia Legal de Víctimas de la Corte Interamericana (en adelante “Fondo de Asistencia de la Corte”</w:t>
      </w:r>
      <w:r w:rsidR="00994AA0" w:rsidRPr="00CD68BA">
        <w:rPr>
          <w:rFonts w:cs="Verdana"/>
          <w:szCs w:val="20"/>
          <w:lang w:val="es-CR"/>
        </w:rPr>
        <w:t xml:space="preserve"> o</w:t>
      </w:r>
      <w:r w:rsidR="00AB2A47" w:rsidRPr="00CD68BA">
        <w:rPr>
          <w:rFonts w:cs="Verdana"/>
          <w:szCs w:val="20"/>
          <w:lang w:val="es-CR"/>
        </w:rPr>
        <w:t xml:space="preserve"> “</w:t>
      </w:r>
      <w:r w:rsidR="00AE557F" w:rsidRPr="00CD68BA">
        <w:rPr>
          <w:rFonts w:cs="Verdana"/>
          <w:szCs w:val="20"/>
          <w:lang w:val="es-CR"/>
        </w:rPr>
        <w:t xml:space="preserve">el </w:t>
      </w:r>
      <w:r w:rsidR="00AB2A47" w:rsidRPr="00CD68BA">
        <w:rPr>
          <w:rFonts w:cs="Verdana"/>
          <w:szCs w:val="20"/>
          <w:lang w:val="es-CR"/>
        </w:rPr>
        <w:t>Fondo”).</w:t>
      </w:r>
    </w:p>
    <w:p w14:paraId="61121A2A" w14:textId="77777777" w:rsidR="00682C13" w:rsidRPr="00CD68BA" w:rsidRDefault="00682C13" w:rsidP="00A06718">
      <w:pPr>
        <w:spacing w:before="0" w:after="0"/>
        <w:rPr>
          <w:i/>
          <w:szCs w:val="20"/>
          <w:lang w:val="es-CR"/>
        </w:rPr>
      </w:pPr>
    </w:p>
    <w:p w14:paraId="7B9CB94E" w14:textId="227FCD58" w:rsidR="0042197B" w:rsidRPr="00CD68BA" w:rsidRDefault="00682C13" w:rsidP="00A06718">
      <w:pPr>
        <w:numPr>
          <w:ilvl w:val="0"/>
          <w:numId w:val="1"/>
        </w:numPr>
        <w:spacing w:before="0" w:after="0"/>
        <w:ind w:left="0" w:right="4" w:firstLine="0"/>
        <w:rPr>
          <w:szCs w:val="20"/>
          <w:lang w:val="es-CR" w:eastAsia="es-ES"/>
        </w:rPr>
      </w:pPr>
      <w:r w:rsidRPr="00CD68BA">
        <w:rPr>
          <w:i/>
          <w:szCs w:val="20"/>
          <w:lang w:val="es-CR"/>
        </w:rPr>
        <w:t>Escrito de excepciones preliminares y de contestación.</w:t>
      </w:r>
      <w:r w:rsidRPr="00CD68BA">
        <w:rPr>
          <w:szCs w:val="20"/>
          <w:lang w:val="es-CR"/>
        </w:rPr>
        <w:t xml:space="preserve"> – </w:t>
      </w:r>
      <w:r w:rsidR="00495554" w:rsidRPr="00CD68BA">
        <w:rPr>
          <w:rFonts w:cs="Arial"/>
          <w:szCs w:val="20"/>
          <w:lang w:val="es-CR"/>
        </w:rPr>
        <w:t xml:space="preserve">El 4 de agosto de 2021 </w:t>
      </w:r>
      <w:r w:rsidR="00495554" w:rsidRPr="00CD68BA">
        <w:rPr>
          <w:szCs w:val="20"/>
          <w:lang w:val="es-CR"/>
        </w:rPr>
        <w:t>e</w:t>
      </w:r>
      <w:r w:rsidRPr="00CD68BA">
        <w:rPr>
          <w:szCs w:val="20"/>
          <w:lang w:val="es-CR"/>
        </w:rPr>
        <w:t xml:space="preserve">l Estado </w:t>
      </w:r>
      <w:r w:rsidRPr="00CD68BA">
        <w:rPr>
          <w:rFonts w:cs="Arial"/>
          <w:szCs w:val="20"/>
          <w:lang w:val="es-CR"/>
        </w:rPr>
        <w:t>presentó su escrito de contestación al sometimiento e Informe de Fondo</w:t>
      </w:r>
      <w:r w:rsidR="00F14FA5" w:rsidRPr="00CD68BA">
        <w:rPr>
          <w:rFonts w:cs="Arial"/>
          <w:szCs w:val="20"/>
          <w:lang w:val="es-CR"/>
        </w:rPr>
        <w:t>,</w:t>
      </w:r>
      <w:r w:rsidRPr="00CD68BA">
        <w:rPr>
          <w:rFonts w:cs="Arial"/>
          <w:szCs w:val="20"/>
          <w:lang w:val="es-CR"/>
        </w:rPr>
        <w:t xml:space="preserve"> y al escrito de solicitudes y argumentos (en adelante “escrito de contestación”). </w:t>
      </w:r>
      <w:r w:rsidRPr="00CD68BA">
        <w:rPr>
          <w:szCs w:val="20"/>
          <w:lang w:val="es-CR"/>
        </w:rPr>
        <w:t xml:space="preserve">En dicho escrito, Brasil </w:t>
      </w:r>
      <w:r w:rsidRPr="00CD68BA">
        <w:rPr>
          <w:rFonts w:cs="Arial"/>
          <w:szCs w:val="20"/>
          <w:lang w:val="es-CR"/>
        </w:rPr>
        <w:t xml:space="preserve">planteó tres excepciones preliminares y se opuso a las violaciones alegadas. Asimismo, se opuso a las medidas de reparación propuestas por los representantes y la Comisión. </w:t>
      </w:r>
    </w:p>
    <w:p w14:paraId="55161742" w14:textId="77777777" w:rsidR="0042197B" w:rsidRPr="00CD68BA" w:rsidRDefault="0042197B" w:rsidP="00A06718">
      <w:pPr>
        <w:pStyle w:val="Prrafodelista"/>
        <w:spacing w:before="0" w:after="0"/>
        <w:ind w:left="0"/>
        <w:contextualSpacing w:val="0"/>
        <w:rPr>
          <w:i/>
          <w:szCs w:val="20"/>
          <w:lang w:val="es-CR"/>
        </w:rPr>
      </w:pPr>
    </w:p>
    <w:p w14:paraId="6E4C158F" w14:textId="303B83D4" w:rsidR="0042197B" w:rsidRPr="00CD68BA" w:rsidRDefault="00682C13" w:rsidP="00A06718">
      <w:pPr>
        <w:numPr>
          <w:ilvl w:val="0"/>
          <w:numId w:val="1"/>
        </w:numPr>
        <w:spacing w:before="0" w:after="0"/>
        <w:ind w:left="0" w:right="4" w:firstLine="0"/>
        <w:rPr>
          <w:szCs w:val="20"/>
          <w:lang w:val="es-CR" w:eastAsia="es-ES"/>
        </w:rPr>
      </w:pPr>
      <w:r w:rsidRPr="00CD68BA">
        <w:rPr>
          <w:i/>
          <w:szCs w:val="20"/>
          <w:lang w:val="es-CR"/>
        </w:rPr>
        <w:t xml:space="preserve">Observaciones a las excepciones preliminares. </w:t>
      </w:r>
      <w:r w:rsidRPr="00CD68BA">
        <w:rPr>
          <w:szCs w:val="20"/>
          <w:lang w:val="es-CR"/>
        </w:rPr>
        <w:t>– Mediante escritos de 25 de octubre de 2021</w:t>
      </w:r>
      <w:r w:rsidRPr="00CD68BA">
        <w:rPr>
          <w:rFonts w:cs="Arial"/>
          <w:szCs w:val="20"/>
          <w:lang w:val="es-CR"/>
        </w:rPr>
        <w:t>, la Comisión y los representantes, respectivamente,</w:t>
      </w:r>
      <w:r w:rsidRPr="00CD68BA">
        <w:rPr>
          <w:szCs w:val="20"/>
          <w:lang w:val="es-CR"/>
        </w:rPr>
        <w:t xml:space="preserve"> presentaron sus observaciones a las excepciones preliminares opuestas por el Estado.</w:t>
      </w:r>
    </w:p>
    <w:p w14:paraId="2E9FD646" w14:textId="77777777" w:rsidR="0042197B" w:rsidRPr="00CD68BA" w:rsidRDefault="0042197B" w:rsidP="00A06718">
      <w:pPr>
        <w:pStyle w:val="Prrafodelista"/>
        <w:spacing w:before="0" w:after="0"/>
        <w:ind w:left="0"/>
        <w:contextualSpacing w:val="0"/>
        <w:rPr>
          <w:i/>
          <w:szCs w:val="20"/>
          <w:lang w:val="es-CR"/>
        </w:rPr>
      </w:pPr>
    </w:p>
    <w:p w14:paraId="6A5D06CA" w14:textId="215411C1" w:rsidR="0042197B" w:rsidRPr="00CD68BA" w:rsidRDefault="00682C13" w:rsidP="00A06718">
      <w:pPr>
        <w:numPr>
          <w:ilvl w:val="0"/>
          <w:numId w:val="1"/>
        </w:numPr>
        <w:spacing w:before="0" w:after="0"/>
        <w:ind w:left="0" w:right="4" w:firstLine="0"/>
        <w:rPr>
          <w:szCs w:val="20"/>
          <w:lang w:val="es-CR" w:eastAsia="es-ES"/>
        </w:rPr>
      </w:pPr>
      <w:r w:rsidRPr="00CD68BA">
        <w:rPr>
          <w:i/>
          <w:szCs w:val="20"/>
          <w:lang w:val="es-CR"/>
        </w:rPr>
        <w:lastRenderedPageBreak/>
        <w:t>Audiencia Pública</w:t>
      </w:r>
      <w:r w:rsidRPr="00CD68BA">
        <w:rPr>
          <w:szCs w:val="20"/>
          <w:lang w:val="es-CR"/>
        </w:rPr>
        <w:t>. – Mediante Resolución de 17 de febrero de 2022, la Presidencia de la Corte convocó a las partes y a la Comisión a una audiencia pública sobre las excepciones preliminares, y eventuales fondo, reparaciones y costas</w:t>
      </w:r>
      <w:r w:rsidRPr="00CD68BA">
        <w:rPr>
          <w:rStyle w:val="Refdenotaalpie"/>
          <w:lang w:val="es-CR"/>
        </w:rPr>
        <w:footnoteReference w:id="5"/>
      </w:r>
      <w:r w:rsidRPr="00CD68BA">
        <w:rPr>
          <w:szCs w:val="20"/>
          <w:lang w:val="es-CR"/>
        </w:rPr>
        <w:t xml:space="preserve">. </w:t>
      </w:r>
      <w:r w:rsidR="007D7831" w:rsidRPr="00CD68BA">
        <w:rPr>
          <w:iCs/>
          <w:szCs w:val="20"/>
          <w:lang w:val="es-CR"/>
        </w:rPr>
        <w:t>L</w:t>
      </w:r>
      <w:r w:rsidR="00BE1B29" w:rsidRPr="00CD68BA">
        <w:rPr>
          <w:iCs/>
          <w:szCs w:val="20"/>
          <w:lang w:val="es-CR"/>
        </w:rPr>
        <w:t>a audiencia pública</w:t>
      </w:r>
      <w:r w:rsidR="00BE1B29" w:rsidRPr="00CD68BA">
        <w:rPr>
          <w:szCs w:val="20"/>
          <w:lang w:val="es-CR"/>
        </w:rPr>
        <w:t xml:space="preserve"> </w:t>
      </w:r>
      <w:r w:rsidRPr="00CD68BA">
        <w:rPr>
          <w:szCs w:val="20"/>
          <w:lang w:val="es-CR"/>
        </w:rPr>
        <w:t>se celebró el 22 y 23 de marzo de 2022 de manera virtual, durante el 147° Período Ordinario de Sesiones de la Corte</w:t>
      </w:r>
      <w:r w:rsidRPr="00CD68BA">
        <w:rPr>
          <w:rStyle w:val="Refdenotaalpie"/>
          <w:lang w:val="es-CR"/>
        </w:rPr>
        <w:footnoteReference w:id="6"/>
      </w:r>
      <w:r w:rsidRPr="00CD68BA">
        <w:rPr>
          <w:szCs w:val="20"/>
          <w:lang w:val="es-CR"/>
        </w:rPr>
        <w:t>.</w:t>
      </w:r>
      <w:r w:rsidR="00BE1B29" w:rsidRPr="00CD68BA">
        <w:rPr>
          <w:szCs w:val="20"/>
          <w:lang w:val="es-CR"/>
        </w:rPr>
        <w:t xml:space="preserve"> </w:t>
      </w:r>
    </w:p>
    <w:p w14:paraId="453C1C92" w14:textId="77777777" w:rsidR="0042197B" w:rsidRPr="00CD68BA" w:rsidRDefault="0042197B" w:rsidP="00A06718">
      <w:pPr>
        <w:pStyle w:val="Prrafodelista"/>
        <w:spacing w:before="0" w:after="0"/>
        <w:ind w:left="0"/>
        <w:contextualSpacing w:val="0"/>
        <w:rPr>
          <w:i/>
          <w:iCs/>
          <w:szCs w:val="20"/>
          <w:lang w:val="es-CR"/>
        </w:rPr>
      </w:pPr>
    </w:p>
    <w:p w14:paraId="67F610A1" w14:textId="248DD280" w:rsidR="0042197B" w:rsidRPr="00CD68BA" w:rsidRDefault="00682C13" w:rsidP="00A06718">
      <w:pPr>
        <w:numPr>
          <w:ilvl w:val="0"/>
          <w:numId w:val="1"/>
        </w:numPr>
        <w:spacing w:before="0" w:after="0"/>
        <w:ind w:left="0" w:right="4" w:firstLine="0"/>
        <w:rPr>
          <w:szCs w:val="20"/>
          <w:lang w:val="es-CR" w:eastAsia="es-ES"/>
        </w:rPr>
      </w:pPr>
      <w:r w:rsidRPr="00CD68BA">
        <w:rPr>
          <w:i/>
          <w:iCs/>
          <w:szCs w:val="20"/>
          <w:lang w:val="es-CR"/>
        </w:rPr>
        <w:t xml:space="preserve">Amici </w:t>
      </w:r>
      <w:r w:rsidR="00734F80" w:rsidRPr="00CD68BA">
        <w:rPr>
          <w:i/>
          <w:iCs/>
          <w:szCs w:val="20"/>
          <w:lang w:val="es-CR"/>
        </w:rPr>
        <w:t>C</w:t>
      </w:r>
      <w:r w:rsidRPr="00CD68BA">
        <w:rPr>
          <w:i/>
          <w:iCs/>
          <w:szCs w:val="20"/>
          <w:lang w:val="es-CR"/>
        </w:rPr>
        <w:t>uriae</w:t>
      </w:r>
      <w:r w:rsidRPr="00CD68BA">
        <w:rPr>
          <w:szCs w:val="20"/>
          <w:lang w:val="es-CR"/>
        </w:rPr>
        <w:t>. – El Tribunal recibió ocho</w:t>
      </w:r>
      <w:r w:rsidR="0042197B" w:rsidRPr="00CD68BA">
        <w:rPr>
          <w:szCs w:val="20"/>
          <w:lang w:val="es-CR"/>
        </w:rPr>
        <w:t xml:space="preserve"> escritos de</w:t>
      </w:r>
      <w:r w:rsidRPr="00CD68BA">
        <w:rPr>
          <w:szCs w:val="20"/>
          <w:lang w:val="es-CR"/>
        </w:rPr>
        <w:t xml:space="preserve"> </w:t>
      </w:r>
      <w:r w:rsidRPr="00CD68BA">
        <w:rPr>
          <w:i/>
          <w:iCs/>
          <w:szCs w:val="20"/>
          <w:lang w:val="es-CR"/>
        </w:rPr>
        <w:t>amicus curiae</w:t>
      </w:r>
      <w:r w:rsidRPr="00CD68BA">
        <w:rPr>
          <w:szCs w:val="20"/>
          <w:lang w:val="es-CR"/>
        </w:rPr>
        <w:t xml:space="preserve"> presentados por: 1) la Clínica Interamericana de Derechos Humanos de la Universidad Federal de Rio de Janeiro y la Clínica de Derechos Fundamentales y Transparencia de la Universidad Federal de Juiz de Fora</w:t>
      </w:r>
      <w:r w:rsidRPr="00CD68BA">
        <w:rPr>
          <w:rStyle w:val="Refdenotaalpie"/>
          <w:lang w:val="es-CR"/>
        </w:rPr>
        <w:footnoteReference w:id="7"/>
      </w:r>
      <w:r w:rsidRPr="00CD68BA">
        <w:rPr>
          <w:szCs w:val="20"/>
          <w:lang w:val="es-CR"/>
        </w:rPr>
        <w:t>; 2) la Clínica de Derechos Humanos de la Amaz</w:t>
      </w:r>
      <w:r w:rsidR="00F71D71" w:rsidRPr="00CD68BA">
        <w:rPr>
          <w:szCs w:val="20"/>
          <w:lang w:val="es-CR"/>
        </w:rPr>
        <w:t>o</w:t>
      </w:r>
      <w:r w:rsidRPr="00CD68BA">
        <w:rPr>
          <w:szCs w:val="20"/>
          <w:lang w:val="es-CR"/>
        </w:rPr>
        <w:t>nia</w:t>
      </w:r>
      <w:r w:rsidR="00E46192" w:rsidRPr="00CD68BA">
        <w:rPr>
          <w:szCs w:val="20"/>
          <w:lang w:val="es-CR"/>
        </w:rPr>
        <w:t xml:space="preserve"> de la Universidad Federal de Pará y la </w:t>
      </w:r>
      <w:r w:rsidR="00433EE2" w:rsidRPr="00CD68BA">
        <w:rPr>
          <w:szCs w:val="20"/>
          <w:lang w:val="es-CR"/>
        </w:rPr>
        <w:t>D</w:t>
      </w:r>
      <w:r w:rsidR="00E46192" w:rsidRPr="00CD68BA">
        <w:rPr>
          <w:szCs w:val="20"/>
          <w:lang w:val="es-CR"/>
        </w:rPr>
        <w:t>efensoría Pública del estado de Pará</w:t>
      </w:r>
      <w:r w:rsidRPr="00CD68BA">
        <w:rPr>
          <w:rStyle w:val="Refdenotaalpie"/>
          <w:lang w:val="es-CR"/>
        </w:rPr>
        <w:footnoteReference w:id="8"/>
      </w:r>
      <w:r w:rsidRPr="00CD68BA">
        <w:rPr>
          <w:szCs w:val="20"/>
          <w:lang w:val="es-CR"/>
        </w:rPr>
        <w:t>; 3) el Consejo Federal de la Orden de Abogados de Brasil y el Centro de Estudios en Sistemas de Derechos Humanos de la Universidad Federal de Paraná</w:t>
      </w:r>
      <w:r w:rsidRPr="00CD68BA">
        <w:rPr>
          <w:rStyle w:val="Refdenotaalpie"/>
          <w:lang w:val="es-CR"/>
        </w:rPr>
        <w:footnoteReference w:id="9"/>
      </w:r>
      <w:r w:rsidRPr="00CD68BA">
        <w:rPr>
          <w:szCs w:val="20"/>
          <w:lang w:val="es-CR"/>
        </w:rPr>
        <w:t xml:space="preserve">; 4) la Orden de </w:t>
      </w:r>
      <w:r w:rsidR="00433EE2" w:rsidRPr="00CD68BA">
        <w:rPr>
          <w:szCs w:val="20"/>
          <w:lang w:val="es-CR"/>
        </w:rPr>
        <w:t>A</w:t>
      </w:r>
      <w:r w:rsidRPr="00CD68BA">
        <w:rPr>
          <w:szCs w:val="20"/>
          <w:lang w:val="es-CR"/>
        </w:rPr>
        <w:t>bogados de Brasil, Sección de Minas Gerais</w:t>
      </w:r>
      <w:r w:rsidRPr="00CD68BA">
        <w:rPr>
          <w:rStyle w:val="Refdenotaalpie"/>
          <w:lang w:val="es-CR"/>
        </w:rPr>
        <w:footnoteReference w:id="10"/>
      </w:r>
      <w:r w:rsidRPr="00CD68BA">
        <w:rPr>
          <w:szCs w:val="20"/>
          <w:lang w:val="es-CR"/>
        </w:rPr>
        <w:t xml:space="preserve">; 5) </w:t>
      </w:r>
      <w:r w:rsidR="00C7319C" w:rsidRPr="00CD68BA">
        <w:rPr>
          <w:szCs w:val="20"/>
          <w:lang w:val="es-CR"/>
        </w:rPr>
        <w:t xml:space="preserve">el </w:t>
      </w:r>
      <w:r w:rsidRPr="00CD68BA">
        <w:rPr>
          <w:szCs w:val="20"/>
          <w:lang w:val="es-CR"/>
        </w:rPr>
        <w:t>Sindicato de Abogados del estado de Minas Gerais</w:t>
      </w:r>
      <w:r w:rsidR="0098333C" w:rsidRPr="00CD68BA">
        <w:rPr>
          <w:szCs w:val="20"/>
          <w:lang w:val="es-CR"/>
        </w:rPr>
        <w:t xml:space="preserve"> (SINAD MG)</w:t>
      </w:r>
      <w:r w:rsidRPr="00CD68BA">
        <w:rPr>
          <w:rStyle w:val="Refdenotaalpie"/>
          <w:lang w:val="es-CR"/>
        </w:rPr>
        <w:footnoteReference w:id="11"/>
      </w:r>
      <w:r w:rsidRPr="00CD68BA">
        <w:rPr>
          <w:szCs w:val="20"/>
          <w:lang w:val="es-CR"/>
        </w:rPr>
        <w:t xml:space="preserve">; 6) la Clínica de </w:t>
      </w:r>
      <w:r w:rsidR="00C7319C" w:rsidRPr="00CD68BA">
        <w:rPr>
          <w:szCs w:val="20"/>
          <w:lang w:val="es-CR"/>
        </w:rPr>
        <w:t>D</w:t>
      </w:r>
      <w:r w:rsidRPr="00CD68BA">
        <w:rPr>
          <w:szCs w:val="20"/>
          <w:lang w:val="es-CR"/>
        </w:rPr>
        <w:t xml:space="preserve">erechos Humanos y Derecho </w:t>
      </w:r>
      <w:r w:rsidR="00C7319C" w:rsidRPr="00CD68BA">
        <w:rPr>
          <w:szCs w:val="20"/>
          <w:lang w:val="es-CR"/>
        </w:rPr>
        <w:t>A</w:t>
      </w:r>
      <w:r w:rsidRPr="00CD68BA">
        <w:rPr>
          <w:szCs w:val="20"/>
          <w:lang w:val="es-CR"/>
        </w:rPr>
        <w:t xml:space="preserve">mbiental de la Universidad del estado de </w:t>
      </w:r>
      <w:r w:rsidRPr="00CD68BA">
        <w:rPr>
          <w:szCs w:val="20"/>
          <w:lang w:val="es-CR"/>
        </w:rPr>
        <w:lastRenderedPageBreak/>
        <w:t>Amazonas</w:t>
      </w:r>
      <w:r w:rsidRPr="00CD68BA">
        <w:rPr>
          <w:rStyle w:val="Refdenotaalpie"/>
          <w:lang w:val="es-CR"/>
        </w:rPr>
        <w:footnoteReference w:id="12"/>
      </w:r>
      <w:r w:rsidRPr="00CD68BA">
        <w:rPr>
          <w:szCs w:val="20"/>
          <w:lang w:val="es-CR"/>
        </w:rPr>
        <w:t xml:space="preserve">; 7) </w:t>
      </w:r>
      <w:r w:rsidR="00C7319C" w:rsidRPr="00CD68BA">
        <w:rPr>
          <w:szCs w:val="20"/>
          <w:lang w:val="es-CR"/>
        </w:rPr>
        <w:t xml:space="preserve">la </w:t>
      </w:r>
      <w:r w:rsidRPr="00CD68BA">
        <w:rPr>
          <w:szCs w:val="20"/>
          <w:lang w:val="es-CR"/>
        </w:rPr>
        <w:t>Asociación Brasileña de Abogados del Pueblo “Gabriel Pimenta”</w:t>
      </w:r>
      <w:r w:rsidRPr="00CD68BA">
        <w:rPr>
          <w:rStyle w:val="Refdenotaalpie"/>
          <w:lang w:val="es-CR"/>
        </w:rPr>
        <w:footnoteReference w:id="13"/>
      </w:r>
      <w:r w:rsidR="00C7319C" w:rsidRPr="00CD68BA">
        <w:rPr>
          <w:szCs w:val="20"/>
          <w:lang w:val="es-CR"/>
        </w:rPr>
        <w:t xml:space="preserve">, y </w:t>
      </w:r>
      <w:r w:rsidR="00F71D71" w:rsidRPr="00CD68BA">
        <w:rPr>
          <w:szCs w:val="20"/>
          <w:lang w:val="es-CR"/>
        </w:rPr>
        <w:t>8</w:t>
      </w:r>
      <w:r w:rsidRPr="00CD68BA">
        <w:rPr>
          <w:szCs w:val="20"/>
          <w:lang w:val="es-CR"/>
        </w:rPr>
        <w:t>) la Clínica de Derechos Humanos de la Universidad Federal de Bah</w:t>
      </w:r>
      <w:r w:rsidR="00D84530" w:rsidRPr="00CD68BA">
        <w:rPr>
          <w:szCs w:val="20"/>
          <w:lang w:val="es-CR"/>
        </w:rPr>
        <w:t>í</w:t>
      </w:r>
      <w:r w:rsidRPr="00CD68BA">
        <w:rPr>
          <w:szCs w:val="20"/>
          <w:lang w:val="es-CR"/>
        </w:rPr>
        <w:t>a</w:t>
      </w:r>
      <w:r w:rsidRPr="00CD68BA">
        <w:rPr>
          <w:rStyle w:val="Refdenotaalpie"/>
          <w:lang w:val="es-CR"/>
        </w:rPr>
        <w:footnoteReference w:id="14"/>
      </w:r>
      <w:r w:rsidRPr="00CD68BA">
        <w:rPr>
          <w:szCs w:val="20"/>
          <w:lang w:val="es-CR"/>
        </w:rPr>
        <w:t xml:space="preserve">. </w:t>
      </w:r>
    </w:p>
    <w:p w14:paraId="5064611A" w14:textId="77777777" w:rsidR="0042197B" w:rsidRPr="00CD68BA" w:rsidRDefault="0042197B" w:rsidP="00A06718">
      <w:pPr>
        <w:pStyle w:val="Prrafodelista"/>
        <w:spacing w:before="0" w:after="0"/>
        <w:ind w:left="0"/>
        <w:contextualSpacing w:val="0"/>
        <w:rPr>
          <w:i/>
          <w:szCs w:val="20"/>
          <w:lang w:val="es-CR"/>
        </w:rPr>
      </w:pPr>
    </w:p>
    <w:p w14:paraId="4404D9B9" w14:textId="2343187A" w:rsidR="0042197B" w:rsidRPr="00CD68BA" w:rsidRDefault="00682C13" w:rsidP="00A06718">
      <w:pPr>
        <w:numPr>
          <w:ilvl w:val="0"/>
          <w:numId w:val="1"/>
        </w:numPr>
        <w:spacing w:before="0" w:after="0"/>
        <w:ind w:left="0" w:right="4" w:firstLine="0"/>
        <w:rPr>
          <w:szCs w:val="20"/>
          <w:lang w:val="es-CR" w:eastAsia="es-ES"/>
        </w:rPr>
      </w:pPr>
      <w:r w:rsidRPr="00CD68BA">
        <w:rPr>
          <w:i/>
          <w:szCs w:val="20"/>
          <w:lang w:val="es-CR"/>
        </w:rPr>
        <w:t>Alegatos y observaciones finales escritos</w:t>
      </w:r>
      <w:r w:rsidRPr="00CD68BA">
        <w:rPr>
          <w:szCs w:val="20"/>
          <w:lang w:val="es-CR"/>
        </w:rPr>
        <w:t xml:space="preserve">. – </w:t>
      </w:r>
      <w:r w:rsidR="00BB0056" w:rsidRPr="00CD68BA">
        <w:rPr>
          <w:szCs w:val="20"/>
          <w:lang w:val="es-CR"/>
        </w:rPr>
        <w:t xml:space="preserve">Los días </w:t>
      </w:r>
      <w:r w:rsidRPr="00CD68BA">
        <w:rPr>
          <w:szCs w:val="20"/>
          <w:lang w:val="es-CR"/>
        </w:rPr>
        <w:t xml:space="preserve">20 y 22 de abril de 2022, el Estado, los representantes y la Comisión, remitieron, respectivamente, sus </w:t>
      </w:r>
      <w:r w:rsidR="005463A5" w:rsidRPr="00CD68BA">
        <w:rPr>
          <w:szCs w:val="20"/>
          <w:lang w:val="es-CR"/>
        </w:rPr>
        <w:t xml:space="preserve">alegatos finales escritos y sus </w:t>
      </w:r>
      <w:r w:rsidRPr="00CD68BA">
        <w:rPr>
          <w:szCs w:val="20"/>
          <w:lang w:val="es-CR"/>
        </w:rPr>
        <w:t>observaciones finales escritas.</w:t>
      </w:r>
    </w:p>
    <w:p w14:paraId="75D04133" w14:textId="77777777" w:rsidR="0042197B" w:rsidRPr="00CD68BA" w:rsidRDefault="0042197B" w:rsidP="00A06718">
      <w:pPr>
        <w:pStyle w:val="Prrafodelista"/>
        <w:spacing w:before="0" w:after="0"/>
        <w:ind w:left="0"/>
        <w:contextualSpacing w:val="0"/>
        <w:rPr>
          <w:rFonts w:eastAsia="Verdana" w:cs="Verdana"/>
          <w:i/>
          <w:szCs w:val="20"/>
          <w:lang w:val="es-CR"/>
        </w:rPr>
      </w:pPr>
    </w:p>
    <w:p w14:paraId="3AE22FD6" w14:textId="081E8B3C" w:rsidR="0042197B" w:rsidRPr="00CD68BA" w:rsidRDefault="00682C13" w:rsidP="00A06718">
      <w:pPr>
        <w:numPr>
          <w:ilvl w:val="0"/>
          <w:numId w:val="1"/>
        </w:numPr>
        <w:spacing w:before="0" w:after="0"/>
        <w:ind w:left="0" w:right="4" w:firstLine="0"/>
        <w:rPr>
          <w:szCs w:val="20"/>
          <w:lang w:val="es-CR" w:eastAsia="es-ES"/>
        </w:rPr>
      </w:pPr>
      <w:r w:rsidRPr="00CD68BA">
        <w:rPr>
          <w:rFonts w:eastAsia="Verdana" w:cs="Verdana"/>
          <w:i/>
          <w:szCs w:val="20"/>
          <w:lang w:val="es-CR"/>
        </w:rPr>
        <w:t xml:space="preserve">Observaciones a los anexos a los alegatos finales. </w:t>
      </w:r>
      <w:r w:rsidRPr="00CD68BA">
        <w:rPr>
          <w:rFonts w:eastAsia="Verdana" w:cs="Verdana"/>
          <w:szCs w:val="20"/>
          <w:lang w:val="es-CR"/>
        </w:rPr>
        <w:t xml:space="preserve">– El </w:t>
      </w:r>
      <w:r w:rsidR="00A90C23" w:rsidRPr="00CD68BA">
        <w:rPr>
          <w:rFonts w:eastAsia="Verdana" w:cs="Verdana"/>
          <w:szCs w:val="20"/>
          <w:lang w:val="es-CR"/>
        </w:rPr>
        <w:t>23 de mayo de 2022, el Estado se pronunció sobre los anexos presentados por los representantes.</w:t>
      </w:r>
      <w:r w:rsidR="002776AF" w:rsidRPr="00CD68BA">
        <w:rPr>
          <w:b/>
          <w:szCs w:val="20"/>
          <w:lang w:val="es-CR"/>
        </w:rPr>
        <w:t xml:space="preserve"> </w:t>
      </w:r>
      <w:r w:rsidR="002776AF" w:rsidRPr="00CD68BA">
        <w:rPr>
          <w:rFonts w:eastAsia="Verdana" w:cs="Verdana"/>
          <w:szCs w:val="20"/>
          <w:lang w:val="es-CR"/>
        </w:rPr>
        <w:t>El 25 de mayo de 2022, la Comisión señaló no tener observaciones sobre los anexos a los alegatos finales escritos de las partes, y los representantes presentaron observaciones sobre los anexos a los alegatos finales escritos del Estado.</w:t>
      </w:r>
      <w:r w:rsidR="00C77F17" w:rsidRPr="00CD68BA">
        <w:rPr>
          <w:rFonts w:eastAsia="Verdana" w:cs="Verdana"/>
          <w:szCs w:val="20"/>
          <w:lang w:val="es-CR"/>
        </w:rPr>
        <w:t xml:space="preserve"> </w:t>
      </w:r>
    </w:p>
    <w:p w14:paraId="0B67AC4A" w14:textId="77777777" w:rsidR="00CE2CC2" w:rsidRPr="00CD68BA" w:rsidRDefault="00CE2CC2" w:rsidP="00A06718">
      <w:pPr>
        <w:pStyle w:val="Prrafodelista"/>
        <w:spacing w:before="0" w:after="0"/>
        <w:contextualSpacing w:val="0"/>
        <w:rPr>
          <w:szCs w:val="20"/>
          <w:lang w:val="es-CR" w:eastAsia="es-ES"/>
        </w:rPr>
      </w:pPr>
    </w:p>
    <w:p w14:paraId="339D792A" w14:textId="33F112C9" w:rsidR="00CE2CC2" w:rsidRPr="00CD68BA" w:rsidRDefault="00CE2CC2" w:rsidP="00A06718">
      <w:pPr>
        <w:numPr>
          <w:ilvl w:val="0"/>
          <w:numId w:val="1"/>
        </w:numPr>
        <w:spacing w:before="0" w:after="0"/>
        <w:ind w:left="0" w:right="4" w:firstLine="0"/>
        <w:rPr>
          <w:szCs w:val="20"/>
          <w:lang w:val="es-CR" w:eastAsia="es-ES"/>
        </w:rPr>
      </w:pPr>
      <w:r w:rsidRPr="00CD68BA">
        <w:rPr>
          <w:i/>
          <w:iCs/>
          <w:szCs w:val="20"/>
          <w:lang w:val="es-CR" w:eastAsia="es-ES"/>
        </w:rPr>
        <w:t>Fondo de Asistencia Legal a V</w:t>
      </w:r>
      <w:r w:rsidR="00F15199" w:rsidRPr="00CD68BA">
        <w:rPr>
          <w:i/>
          <w:iCs/>
          <w:szCs w:val="20"/>
          <w:lang w:val="es-CR" w:eastAsia="es-ES"/>
        </w:rPr>
        <w:t>í</w:t>
      </w:r>
      <w:r w:rsidRPr="00CD68BA">
        <w:rPr>
          <w:i/>
          <w:iCs/>
          <w:szCs w:val="20"/>
          <w:lang w:val="es-CR" w:eastAsia="es-ES"/>
        </w:rPr>
        <w:t>ctimas</w:t>
      </w:r>
      <w:r w:rsidRPr="00CD68BA">
        <w:rPr>
          <w:szCs w:val="20"/>
          <w:lang w:val="es-CR" w:eastAsia="es-ES"/>
        </w:rPr>
        <w:t xml:space="preserve">. – El </w:t>
      </w:r>
      <w:r w:rsidR="00992FE5" w:rsidRPr="00CD68BA">
        <w:rPr>
          <w:szCs w:val="20"/>
          <w:lang w:val="es-CR" w:eastAsia="es-ES"/>
        </w:rPr>
        <w:t>22</w:t>
      </w:r>
      <w:r w:rsidRPr="00CD68BA">
        <w:rPr>
          <w:szCs w:val="20"/>
          <w:lang w:val="es-CR" w:eastAsia="es-ES"/>
        </w:rPr>
        <w:t xml:space="preserve"> de abril de 2022</w:t>
      </w:r>
      <w:r w:rsidR="00992FE5" w:rsidRPr="00CD68BA">
        <w:rPr>
          <w:szCs w:val="20"/>
          <w:lang w:val="es-CR" w:eastAsia="es-ES"/>
        </w:rPr>
        <w:t xml:space="preserve">, juntamente con sus alegatos finales escritos, los representantes informaron a la Corte </w:t>
      </w:r>
      <w:r w:rsidR="00B71564" w:rsidRPr="00CD68BA">
        <w:rPr>
          <w:szCs w:val="20"/>
          <w:lang w:val="es-CR" w:eastAsia="es-ES"/>
        </w:rPr>
        <w:t xml:space="preserve">que no presentarían documentos de los gastos </w:t>
      </w:r>
      <w:r w:rsidR="00F42797" w:rsidRPr="00CD68BA">
        <w:rPr>
          <w:szCs w:val="20"/>
          <w:lang w:val="es-CR" w:eastAsia="es-ES"/>
        </w:rPr>
        <w:t xml:space="preserve">de </w:t>
      </w:r>
      <w:r w:rsidR="00B71564" w:rsidRPr="00CD68BA">
        <w:rPr>
          <w:szCs w:val="20"/>
          <w:lang w:val="es-CR" w:eastAsia="es-ES"/>
        </w:rPr>
        <w:t>las declaraciones que se costearían con el</w:t>
      </w:r>
      <w:r w:rsidR="00992FE5" w:rsidRPr="00CD68BA">
        <w:rPr>
          <w:szCs w:val="20"/>
          <w:lang w:val="es-CR" w:eastAsia="es-ES"/>
        </w:rPr>
        <w:t xml:space="preserve"> F</w:t>
      </w:r>
      <w:r w:rsidR="00811C85" w:rsidRPr="00CD68BA">
        <w:rPr>
          <w:szCs w:val="20"/>
          <w:lang w:val="es-CR" w:eastAsia="es-ES"/>
        </w:rPr>
        <w:t xml:space="preserve">ondo de </w:t>
      </w:r>
      <w:r w:rsidR="00992FE5" w:rsidRPr="00CD68BA">
        <w:rPr>
          <w:szCs w:val="20"/>
          <w:lang w:val="es-CR" w:eastAsia="es-ES"/>
        </w:rPr>
        <w:t>A</w:t>
      </w:r>
      <w:r w:rsidR="00811C85" w:rsidRPr="00CD68BA">
        <w:rPr>
          <w:szCs w:val="20"/>
          <w:lang w:val="es-CR" w:eastAsia="es-ES"/>
        </w:rPr>
        <w:t>sistencia de la Corte</w:t>
      </w:r>
      <w:r w:rsidR="00992FE5" w:rsidRPr="00CD68BA">
        <w:rPr>
          <w:szCs w:val="20"/>
          <w:lang w:val="es-CR" w:eastAsia="es-ES"/>
        </w:rPr>
        <w:t xml:space="preserve">, toda vez que </w:t>
      </w:r>
      <w:r w:rsidR="0035369B" w:rsidRPr="00CD68BA">
        <w:rPr>
          <w:szCs w:val="20"/>
          <w:lang w:val="es-CR" w:eastAsia="es-ES"/>
        </w:rPr>
        <w:t>tales gastos</w:t>
      </w:r>
      <w:r w:rsidR="00B71564" w:rsidRPr="00CD68BA">
        <w:rPr>
          <w:szCs w:val="20"/>
          <w:lang w:val="es-CR" w:eastAsia="es-ES"/>
        </w:rPr>
        <w:t xml:space="preserve"> </w:t>
      </w:r>
      <w:r w:rsidR="00992FE5" w:rsidRPr="00CD68BA">
        <w:rPr>
          <w:szCs w:val="20"/>
          <w:lang w:val="es-CR" w:eastAsia="es-ES"/>
        </w:rPr>
        <w:t>no ha</w:t>
      </w:r>
      <w:r w:rsidR="00B71564" w:rsidRPr="00CD68BA">
        <w:rPr>
          <w:szCs w:val="20"/>
          <w:lang w:val="es-CR" w:eastAsia="es-ES"/>
        </w:rPr>
        <w:t>bían</w:t>
      </w:r>
      <w:r w:rsidR="00992FE5" w:rsidRPr="00CD68BA">
        <w:rPr>
          <w:szCs w:val="20"/>
          <w:lang w:val="es-CR" w:eastAsia="es-ES"/>
        </w:rPr>
        <w:t xml:space="preserve"> sido </w:t>
      </w:r>
      <w:r w:rsidR="00B62BB1" w:rsidRPr="00CD68BA">
        <w:rPr>
          <w:szCs w:val="20"/>
          <w:lang w:val="es-CR" w:eastAsia="es-ES"/>
        </w:rPr>
        <w:t>sustanciales</w:t>
      </w:r>
      <w:r w:rsidR="00992FE5" w:rsidRPr="00CD68BA">
        <w:rPr>
          <w:szCs w:val="20"/>
          <w:lang w:val="es-CR" w:eastAsia="es-ES"/>
        </w:rPr>
        <w:t xml:space="preserve">. </w:t>
      </w:r>
      <w:r w:rsidR="00B71564" w:rsidRPr="00CD68BA">
        <w:rPr>
          <w:szCs w:val="20"/>
          <w:lang w:val="es-CR" w:eastAsia="es-ES"/>
        </w:rPr>
        <w:t>De es</w:t>
      </w:r>
      <w:r w:rsidR="00AE557F" w:rsidRPr="00CD68BA">
        <w:rPr>
          <w:szCs w:val="20"/>
          <w:lang w:val="es-CR" w:eastAsia="es-ES"/>
        </w:rPr>
        <w:t>t</w:t>
      </w:r>
      <w:r w:rsidR="00B71564" w:rsidRPr="00CD68BA">
        <w:rPr>
          <w:szCs w:val="20"/>
          <w:lang w:val="es-CR" w:eastAsia="es-ES"/>
        </w:rPr>
        <w:t>e modo, e</w:t>
      </w:r>
      <w:r w:rsidR="00AE557F" w:rsidRPr="00CD68BA">
        <w:rPr>
          <w:szCs w:val="20"/>
          <w:lang w:val="es-CR" w:eastAsia="es-ES"/>
        </w:rPr>
        <w:t>l</w:t>
      </w:r>
      <w:r w:rsidR="00B71564" w:rsidRPr="00CD68BA">
        <w:rPr>
          <w:szCs w:val="20"/>
          <w:lang w:val="es-CR" w:eastAsia="es-ES"/>
        </w:rPr>
        <w:t xml:space="preserve"> Tribunal </w:t>
      </w:r>
      <w:r w:rsidR="002E08D7" w:rsidRPr="00CD68BA">
        <w:rPr>
          <w:szCs w:val="20"/>
          <w:lang w:val="es-CR" w:eastAsia="es-ES"/>
        </w:rPr>
        <w:t>considera que los representantes han desistido de</w:t>
      </w:r>
      <w:r w:rsidR="002120D5" w:rsidRPr="00CD68BA">
        <w:rPr>
          <w:szCs w:val="20"/>
          <w:lang w:val="es-CR" w:eastAsia="es-ES"/>
        </w:rPr>
        <w:t xml:space="preserve"> </w:t>
      </w:r>
      <w:r w:rsidR="002E08D7" w:rsidRPr="00CD68BA">
        <w:rPr>
          <w:szCs w:val="20"/>
          <w:lang w:val="es-CR" w:eastAsia="es-ES"/>
        </w:rPr>
        <w:t>l</w:t>
      </w:r>
      <w:r w:rsidR="002120D5" w:rsidRPr="00CD68BA">
        <w:rPr>
          <w:szCs w:val="20"/>
          <w:lang w:val="es-CR" w:eastAsia="es-ES"/>
        </w:rPr>
        <w:t>a utilización del referido</w:t>
      </w:r>
      <w:r w:rsidR="002E08D7" w:rsidRPr="00CD68BA">
        <w:rPr>
          <w:szCs w:val="20"/>
          <w:lang w:val="es-CR" w:eastAsia="es-ES"/>
        </w:rPr>
        <w:t xml:space="preserve"> F</w:t>
      </w:r>
      <w:r w:rsidR="002120D5" w:rsidRPr="00CD68BA">
        <w:rPr>
          <w:szCs w:val="20"/>
          <w:lang w:val="es-CR" w:eastAsia="es-ES"/>
        </w:rPr>
        <w:t>ondo</w:t>
      </w:r>
      <w:r w:rsidR="002E08D7" w:rsidRPr="00CD68BA">
        <w:rPr>
          <w:szCs w:val="20"/>
          <w:lang w:val="es-CR" w:eastAsia="es-ES"/>
        </w:rPr>
        <w:t xml:space="preserve"> y cierra el expediente de gastos</w:t>
      </w:r>
      <w:r w:rsidR="00F30420" w:rsidRPr="00CD68BA">
        <w:rPr>
          <w:szCs w:val="20"/>
          <w:lang w:val="es-CR" w:eastAsia="es-ES"/>
        </w:rPr>
        <w:t xml:space="preserve"> correspondiente</w:t>
      </w:r>
      <w:r w:rsidRPr="00CD68BA">
        <w:rPr>
          <w:szCs w:val="20"/>
          <w:lang w:val="es-CR" w:eastAsia="es-ES"/>
        </w:rPr>
        <w:t>.</w:t>
      </w:r>
    </w:p>
    <w:p w14:paraId="117C8A7C" w14:textId="77777777" w:rsidR="0042197B" w:rsidRPr="00CD68BA" w:rsidRDefault="0042197B" w:rsidP="00A06718">
      <w:pPr>
        <w:pStyle w:val="Prrafodelista"/>
        <w:spacing w:before="0" w:after="0"/>
        <w:ind w:left="0"/>
        <w:contextualSpacing w:val="0"/>
        <w:rPr>
          <w:szCs w:val="20"/>
          <w:lang w:val="es-CR"/>
        </w:rPr>
      </w:pPr>
    </w:p>
    <w:p w14:paraId="2DC58FD7" w14:textId="3859F877" w:rsidR="00682C13" w:rsidRPr="00CD68BA" w:rsidRDefault="00682C13" w:rsidP="00A06718">
      <w:pPr>
        <w:numPr>
          <w:ilvl w:val="0"/>
          <w:numId w:val="1"/>
        </w:numPr>
        <w:spacing w:before="0" w:after="0"/>
        <w:ind w:left="0" w:right="4" w:firstLine="0"/>
        <w:rPr>
          <w:szCs w:val="20"/>
          <w:lang w:val="es-CR" w:eastAsia="es-ES"/>
        </w:rPr>
      </w:pPr>
      <w:r w:rsidRPr="00CD68BA">
        <w:rPr>
          <w:szCs w:val="20"/>
          <w:lang w:val="es-CR"/>
        </w:rPr>
        <w:t>La Corte deliberó la presente Sentencia</w:t>
      </w:r>
      <w:r w:rsidR="00AF45B7" w:rsidRPr="00CD68BA">
        <w:rPr>
          <w:szCs w:val="20"/>
          <w:lang w:val="es-CR"/>
        </w:rPr>
        <w:t xml:space="preserve"> </w:t>
      </w:r>
      <w:r w:rsidRPr="00CD68BA">
        <w:rPr>
          <w:szCs w:val="20"/>
          <w:lang w:val="es-CR"/>
        </w:rPr>
        <w:t xml:space="preserve">durante los días </w:t>
      </w:r>
      <w:r w:rsidR="006B4249" w:rsidRPr="00CD68BA">
        <w:rPr>
          <w:szCs w:val="20"/>
          <w:lang w:val="es-CR"/>
        </w:rPr>
        <w:t>25</w:t>
      </w:r>
      <w:r w:rsidR="00C7319C" w:rsidRPr="00CD68BA">
        <w:rPr>
          <w:szCs w:val="20"/>
          <w:lang w:val="es-CR"/>
        </w:rPr>
        <w:t>,</w:t>
      </w:r>
      <w:r w:rsidRPr="00CD68BA">
        <w:rPr>
          <w:szCs w:val="20"/>
          <w:lang w:val="es-CR"/>
        </w:rPr>
        <w:t xml:space="preserve"> </w:t>
      </w:r>
      <w:r w:rsidR="006B4249" w:rsidRPr="00CD68BA">
        <w:rPr>
          <w:szCs w:val="20"/>
          <w:lang w:val="es-CR"/>
        </w:rPr>
        <w:t>27</w:t>
      </w:r>
      <w:r w:rsidR="00C7319C" w:rsidRPr="00CD68BA">
        <w:rPr>
          <w:szCs w:val="20"/>
          <w:lang w:val="es-CR"/>
        </w:rPr>
        <w:t xml:space="preserve"> y 30</w:t>
      </w:r>
      <w:r w:rsidRPr="00CD68BA">
        <w:rPr>
          <w:szCs w:val="20"/>
          <w:lang w:val="es-CR"/>
        </w:rPr>
        <w:t xml:space="preserve"> de </w:t>
      </w:r>
      <w:r w:rsidR="007445E2" w:rsidRPr="00CD68BA">
        <w:rPr>
          <w:szCs w:val="20"/>
          <w:lang w:val="es-CR"/>
        </w:rPr>
        <w:t>junio</w:t>
      </w:r>
      <w:r w:rsidRPr="00CD68BA">
        <w:rPr>
          <w:szCs w:val="20"/>
          <w:lang w:val="es-CR"/>
        </w:rPr>
        <w:t xml:space="preserve"> de 2022.</w:t>
      </w:r>
    </w:p>
    <w:p w14:paraId="2242A49E" w14:textId="77777777" w:rsidR="000A7F0C" w:rsidRPr="00CD68BA" w:rsidRDefault="000A7F0C" w:rsidP="00A06718">
      <w:pPr>
        <w:pStyle w:val="Estilo1"/>
        <w:tabs>
          <w:tab w:val="left" w:pos="709"/>
          <w:tab w:val="left" w:pos="1134"/>
        </w:tabs>
        <w:spacing w:before="0" w:after="0"/>
        <w:ind w:left="0" w:right="-4" w:firstLine="0"/>
        <w:rPr>
          <w:rFonts w:cs="Verdana"/>
          <w:i w:val="0"/>
          <w:szCs w:val="20"/>
          <w:lang w:val="es-CR" w:eastAsia="es-ES"/>
        </w:rPr>
      </w:pPr>
    </w:p>
    <w:p w14:paraId="1526A1C7" w14:textId="549F7F43" w:rsidR="00296C50" w:rsidRPr="00CD68BA" w:rsidRDefault="00F0482A" w:rsidP="00A06718">
      <w:pPr>
        <w:pStyle w:val="Ttulo1"/>
        <w:spacing w:before="0" w:after="0"/>
        <w:rPr>
          <w:lang w:val="es-CR"/>
        </w:rPr>
      </w:pPr>
      <w:bookmarkStart w:id="30" w:name="_Toc460237944"/>
      <w:bookmarkStart w:id="31" w:name="_Toc460238241"/>
      <w:bookmarkStart w:id="32" w:name="_Toc470105094"/>
      <w:bookmarkStart w:id="33" w:name="_Toc114778758"/>
      <w:r w:rsidRPr="00CD68BA">
        <w:rPr>
          <w:lang w:val="es-CR"/>
        </w:rPr>
        <w:t>III</w:t>
      </w:r>
      <w:r w:rsidRPr="00CD68BA">
        <w:rPr>
          <w:lang w:val="es-CR"/>
        </w:rPr>
        <w:br/>
      </w:r>
      <w:r w:rsidR="00296C50" w:rsidRPr="00CD68BA">
        <w:rPr>
          <w:lang w:val="es-CR"/>
        </w:rPr>
        <w:t>COMPETENCIA</w:t>
      </w:r>
      <w:bookmarkEnd w:id="30"/>
      <w:bookmarkEnd w:id="31"/>
      <w:bookmarkEnd w:id="32"/>
      <w:bookmarkEnd w:id="33"/>
    </w:p>
    <w:p w14:paraId="005B519D" w14:textId="77777777" w:rsidR="000A7F0C" w:rsidRPr="00CD68BA" w:rsidRDefault="000A7F0C" w:rsidP="00A06718">
      <w:pPr>
        <w:pStyle w:val="Prrafodelista"/>
        <w:autoSpaceDE w:val="0"/>
        <w:autoSpaceDN w:val="0"/>
        <w:adjustRightInd w:val="0"/>
        <w:spacing w:before="0" w:after="0"/>
        <w:ind w:left="0"/>
        <w:contextualSpacing w:val="0"/>
        <w:rPr>
          <w:szCs w:val="20"/>
          <w:lang w:val="es-CR"/>
        </w:rPr>
      </w:pPr>
    </w:p>
    <w:p w14:paraId="3E563AF4" w14:textId="77777777" w:rsidR="000222A0" w:rsidRPr="00CD68BA" w:rsidRDefault="000222A0" w:rsidP="00A06718">
      <w:pPr>
        <w:numPr>
          <w:ilvl w:val="0"/>
          <w:numId w:val="1"/>
        </w:numPr>
        <w:spacing w:before="0" w:after="0"/>
        <w:ind w:left="0" w:right="4" w:firstLine="0"/>
        <w:rPr>
          <w:szCs w:val="20"/>
          <w:lang w:val="es-CR" w:eastAsia="es-ES"/>
        </w:rPr>
      </w:pPr>
      <w:r w:rsidRPr="00CD68BA">
        <w:rPr>
          <w:szCs w:val="20"/>
          <w:lang w:val="es-CR"/>
        </w:rPr>
        <w:t>La Corte Interamericana es competente para conocer del presente caso, en los términos del artículo 62.3 de la Convención Americana, en virtud de que Brasil es Estado Parte en dicho instrumento desde el 25 de septiembre de 1992 y reconoció la competencia contenciosa de este Tribunal el 10 de diciembre de 1998.</w:t>
      </w:r>
    </w:p>
    <w:p w14:paraId="41BB36C8" w14:textId="77777777" w:rsidR="000A7F0C" w:rsidRPr="00CD68BA" w:rsidRDefault="000A7F0C" w:rsidP="00A06718">
      <w:pPr>
        <w:pStyle w:val="Prrafodelista"/>
        <w:autoSpaceDE w:val="0"/>
        <w:autoSpaceDN w:val="0"/>
        <w:adjustRightInd w:val="0"/>
        <w:spacing w:before="0" w:after="0"/>
        <w:ind w:left="0"/>
        <w:contextualSpacing w:val="0"/>
        <w:rPr>
          <w:szCs w:val="20"/>
          <w:lang w:val="es-CR"/>
        </w:rPr>
      </w:pPr>
    </w:p>
    <w:p w14:paraId="0A2CDE7D" w14:textId="34E75487" w:rsidR="00187CF2" w:rsidRPr="00CD68BA" w:rsidRDefault="00187CF2" w:rsidP="00A06718">
      <w:pPr>
        <w:pStyle w:val="Ttulo1"/>
        <w:spacing w:before="0" w:after="0"/>
        <w:rPr>
          <w:lang w:val="es-CR"/>
        </w:rPr>
      </w:pPr>
      <w:bookmarkStart w:id="34" w:name="_Toc100230453"/>
      <w:bookmarkStart w:id="35" w:name="_Toc114778759"/>
      <w:bookmarkStart w:id="36" w:name="_Toc470105095"/>
      <w:bookmarkStart w:id="37" w:name="_Toc438132275"/>
      <w:bookmarkStart w:id="38" w:name="_Toc315133577"/>
      <w:bookmarkStart w:id="39" w:name="_Toc316919762"/>
      <w:bookmarkStart w:id="40" w:name="_Toc329703867"/>
      <w:bookmarkStart w:id="41" w:name="_Toc336638904"/>
      <w:bookmarkStart w:id="42" w:name="_Toc359314424"/>
      <w:bookmarkStart w:id="43" w:name="_Toc361671574"/>
      <w:bookmarkStart w:id="44" w:name="_Toc361671994"/>
      <w:bookmarkStart w:id="45" w:name="_Toc361732791"/>
      <w:bookmarkStart w:id="46" w:name="_Toc361732834"/>
      <w:bookmarkStart w:id="47" w:name="_Toc362456865"/>
      <w:bookmarkStart w:id="48" w:name="_Toc365021394"/>
      <w:bookmarkStart w:id="49" w:name="_Toc369076780"/>
      <w:bookmarkStart w:id="50" w:name="_Toc369989372"/>
      <w:bookmarkStart w:id="51" w:name="_Toc369989459"/>
      <w:bookmarkStart w:id="52" w:name="_Toc369989740"/>
      <w:bookmarkStart w:id="53" w:name="_Toc311128165"/>
      <w:bookmarkStart w:id="54" w:name="_Toc311128362"/>
      <w:bookmarkStart w:id="55" w:name="_Toc442082545"/>
      <w:bookmarkStart w:id="56" w:name="_Toc460237945"/>
      <w:bookmarkStart w:id="57" w:name="_Toc460238242"/>
      <w:r w:rsidRPr="00CD68BA">
        <w:rPr>
          <w:lang w:val="es-CR"/>
        </w:rPr>
        <w:t>IV</w:t>
      </w:r>
      <w:bookmarkEnd w:id="34"/>
      <w:bookmarkEnd w:id="35"/>
    </w:p>
    <w:p w14:paraId="766024B1" w14:textId="77777777" w:rsidR="00187CF2" w:rsidRPr="00CD68BA" w:rsidRDefault="00187CF2" w:rsidP="00A06718">
      <w:pPr>
        <w:pStyle w:val="Ttulo1"/>
        <w:spacing w:before="0" w:after="0"/>
        <w:rPr>
          <w:lang w:val="es-CR"/>
        </w:rPr>
      </w:pPr>
      <w:bookmarkStart w:id="58" w:name="_Toc114778760"/>
      <w:r w:rsidRPr="00CD68BA">
        <w:rPr>
          <w:lang w:val="es-CR"/>
        </w:rPr>
        <w:t>EXCEPCIONES PRELIMINARES</w:t>
      </w:r>
      <w:bookmarkEnd w:id="58"/>
    </w:p>
    <w:p w14:paraId="6E7C8CED" w14:textId="77777777" w:rsidR="009B505B" w:rsidRPr="00CD68BA" w:rsidRDefault="009B505B" w:rsidP="00A06718">
      <w:pPr>
        <w:spacing w:before="0" w:after="0"/>
        <w:ind w:right="4"/>
        <w:rPr>
          <w:szCs w:val="20"/>
          <w:lang w:val="es-CR" w:eastAsia="es-ES"/>
        </w:rPr>
      </w:pPr>
    </w:p>
    <w:p w14:paraId="208641D6" w14:textId="00D4603C" w:rsidR="000222A0" w:rsidRPr="00CD68BA" w:rsidRDefault="000222A0" w:rsidP="00A06718">
      <w:pPr>
        <w:numPr>
          <w:ilvl w:val="0"/>
          <w:numId w:val="1"/>
        </w:numPr>
        <w:spacing w:before="0" w:after="0"/>
        <w:ind w:left="0" w:right="4" w:firstLine="0"/>
        <w:rPr>
          <w:szCs w:val="20"/>
          <w:lang w:val="es-CR" w:eastAsia="es-ES"/>
        </w:rPr>
      </w:pPr>
      <w:r w:rsidRPr="00CD68BA">
        <w:rPr>
          <w:szCs w:val="20"/>
          <w:lang w:val="es-CR"/>
        </w:rPr>
        <w:t xml:space="preserve">En el caso </w:t>
      </w:r>
      <w:r w:rsidRPr="00CD68BA">
        <w:rPr>
          <w:i/>
          <w:iCs/>
          <w:szCs w:val="20"/>
          <w:lang w:val="es-CR"/>
        </w:rPr>
        <w:t>sub judice</w:t>
      </w:r>
      <w:r w:rsidRPr="00CD68BA">
        <w:rPr>
          <w:szCs w:val="20"/>
          <w:lang w:val="es-CR"/>
        </w:rPr>
        <w:t xml:space="preserve">, el </w:t>
      </w:r>
      <w:r w:rsidRPr="00CD68BA">
        <w:rPr>
          <w:b/>
          <w:bCs/>
          <w:i/>
          <w:iCs/>
          <w:szCs w:val="20"/>
          <w:lang w:val="es-CR"/>
        </w:rPr>
        <w:t>Estado</w:t>
      </w:r>
      <w:r w:rsidRPr="00CD68BA">
        <w:rPr>
          <w:szCs w:val="20"/>
          <w:lang w:val="es-CR"/>
        </w:rPr>
        <w:t xml:space="preserve"> opuso tres excepciones preliminares, que se detallan a continuación. </w:t>
      </w:r>
    </w:p>
    <w:p w14:paraId="27E49DC6" w14:textId="77777777" w:rsidR="00187CF2" w:rsidRPr="00CD68BA" w:rsidRDefault="00187CF2" w:rsidP="00A06718">
      <w:pPr>
        <w:pStyle w:val="Prrafodelista"/>
        <w:autoSpaceDE w:val="0"/>
        <w:autoSpaceDN w:val="0"/>
        <w:adjustRightInd w:val="0"/>
        <w:spacing w:before="0" w:after="0"/>
        <w:ind w:left="0"/>
        <w:contextualSpacing w:val="0"/>
        <w:rPr>
          <w:szCs w:val="20"/>
          <w:lang w:val="es-CR"/>
        </w:rPr>
      </w:pPr>
    </w:p>
    <w:p w14:paraId="42FD3080" w14:textId="280E4180" w:rsidR="00AA3017" w:rsidRPr="00CD68BA" w:rsidRDefault="009456AA" w:rsidP="00A06718">
      <w:pPr>
        <w:pStyle w:val="Estilo3"/>
        <w:spacing w:line="240" w:lineRule="auto"/>
        <w:ind w:left="720"/>
        <w:rPr>
          <w:i/>
          <w:iCs/>
        </w:rPr>
      </w:pPr>
      <w:bookmarkStart w:id="59" w:name="_Toc1630853"/>
      <w:r w:rsidRPr="00CD68BA">
        <w:t xml:space="preserve"> </w:t>
      </w:r>
      <w:bookmarkStart w:id="60" w:name="_Toc114778761"/>
      <w:bookmarkEnd w:id="59"/>
      <w:r w:rsidR="00444B83" w:rsidRPr="00CD68BA">
        <w:rPr>
          <w:i/>
          <w:iCs/>
        </w:rPr>
        <w:t>Incompetencia ratione temporis en cuanto a los hechos anteriores a la fecha de reconocimiento de la jurisdicción de la Corte</w:t>
      </w:r>
      <w:bookmarkEnd w:id="60"/>
    </w:p>
    <w:p w14:paraId="5CF68C33" w14:textId="77777777" w:rsidR="00535BDC" w:rsidRPr="00CD68BA" w:rsidRDefault="00535BDC" w:rsidP="00A06718">
      <w:pPr>
        <w:spacing w:before="0" w:after="0"/>
        <w:rPr>
          <w:lang w:val="es-CR"/>
        </w:rPr>
      </w:pPr>
    </w:p>
    <w:p w14:paraId="38E61567" w14:textId="6368F1EF" w:rsidR="0082273F" w:rsidRPr="00CD68BA" w:rsidRDefault="0082273F" w:rsidP="00A06718">
      <w:pPr>
        <w:pStyle w:val="Ttulo3"/>
        <w:numPr>
          <w:ilvl w:val="2"/>
          <w:numId w:val="9"/>
        </w:numPr>
        <w:spacing w:before="0" w:after="0"/>
        <w:ind w:left="1350" w:hanging="630"/>
        <w:jc w:val="both"/>
        <w:rPr>
          <w:b w:val="0"/>
          <w:bCs w:val="0"/>
          <w:i/>
          <w:iCs/>
          <w:szCs w:val="20"/>
          <w:lang w:val="es-CR"/>
        </w:rPr>
      </w:pPr>
      <w:bookmarkStart w:id="61" w:name="_Toc85001865"/>
      <w:bookmarkStart w:id="62" w:name="_Toc114778762"/>
      <w:r w:rsidRPr="00CD68BA">
        <w:rPr>
          <w:b w:val="0"/>
          <w:bCs w:val="0"/>
          <w:i/>
          <w:iCs/>
          <w:szCs w:val="20"/>
          <w:lang w:val="es-CR"/>
        </w:rPr>
        <w:t>Alegatos de</w:t>
      </w:r>
      <w:r w:rsidR="00EF0E3A" w:rsidRPr="00CD68BA">
        <w:rPr>
          <w:b w:val="0"/>
          <w:bCs w:val="0"/>
          <w:i/>
          <w:iCs/>
          <w:szCs w:val="20"/>
          <w:lang w:val="es-CR"/>
        </w:rPr>
        <w:t xml:space="preserve"> las</w:t>
      </w:r>
      <w:r w:rsidR="007F7778" w:rsidRPr="00CD68BA">
        <w:rPr>
          <w:b w:val="0"/>
          <w:bCs w:val="0"/>
          <w:i/>
          <w:iCs/>
          <w:szCs w:val="20"/>
          <w:lang w:val="es-CR"/>
        </w:rPr>
        <w:t xml:space="preserve"> </w:t>
      </w:r>
      <w:r w:rsidR="00EF0E3A" w:rsidRPr="00CD68BA">
        <w:rPr>
          <w:b w:val="0"/>
          <w:bCs w:val="0"/>
          <w:i/>
          <w:iCs/>
          <w:szCs w:val="20"/>
          <w:lang w:val="es-CR"/>
        </w:rPr>
        <w:t>partes</w:t>
      </w:r>
      <w:r w:rsidR="007F7778" w:rsidRPr="00CD68BA">
        <w:rPr>
          <w:b w:val="0"/>
          <w:bCs w:val="0"/>
          <w:i/>
          <w:iCs/>
          <w:szCs w:val="20"/>
          <w:lang w:val="es-CR"/>
        </w:rPr>
        <w:t xml:space="preserve"> y </w:t>
      </w:r>
      <w:r w:rsidR="003D1F1E" w:rsidRPr="00CD68BA">
        <w:rPr>
          <w:b w:val="0"/>
          <w:bCs w:val="0"/>
          <w:i/>
          <w:iCs/>
          <w:szCs w:val="20"/>
          <w:lang w:val="es-CR"/>
        </w:rPr>
        <w:t xml:space="preserve">de </w:t>
      </w:r>
      <w:r w:rsidRPr="00CD68BA">
        <w:rPr>
          <w:b w:val="0"/>
          <w:bCs w:val="0"/>
          <w:i/>
          <w:iCs/>
          <w:szCs w:val="20"/>
          <w:lang w:val="es-CR"/>
        </w:rPr>
        <w:t>la Comisión</w:t>
      </w:r>
      <w:bookmarkEnd w:id="61"/>
      <w:bookmarkEnd w:id="62"/>
    </w:p>
    <w:p w14:paraId="5A88A4C8" w14:textId="77777777" w:rsidR="00535BDC" w:rsidRPr="00CD68BA" w:rsidRDefault="00535BDC" w:rsidP="00A06718">
      <w:pPr>
        <w:spacing w:before="0" w:after="0"/>
        <w:rPr>
          <w:lang w:val="es-CR"/>
        </w:rPr>
      </w:pPr>
    </w:p>
    <w:p w14:paraId="1FD03527" w14:textId="5ED03AAF" w:rsidR="00F02DA9" w:rsidRPr="00CD68BA" w:rsidRDefault="00F02DA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eastAsia="es-ES"/>
        </w:rPr>
        <w:lastRenderedPageBreak/>
        <w:t xml:space="preserve">El </w:t>
      </w:r>
      <w:r w:rsidRPr="00CD68BA">
        <w:rPr>
          <w:rFonts w:eastAsia="Calibri"/>
          <w:b/>
          <w:i/>
          <w:szCs w:val="20"/>
          <w:lang w:val="es-CR"/>
        </w:rPr>
        <w:t>Estado</w:t>
      </w:r>
      <w:r w:rsidRPr="00CD68BA">
        <w:rPr>
          <w:b/>
          <w:szCs w:val="20"/>
          <w:lang w:val="es-CR" w:eastAsia="es-ES"/>
        </w:rPr>
        <w:t xml:space="preserve"> </w:t>
      </w:r>
      <w:r w:rsidRPr="00CD68BA">
        <w:rPr>
          <w:szCs w:val="20"/>
          <w:lang w:val="es-CR" w:eastAsia="es-ES"/>
        </w:rPr>
        <w:t xml:space="preserve">solicitó que la Corte declare su incompetencia </w:t>
      </w:r>
      <w:r w:rsidRPr="00CD68BA">
        <w:rPr>
          <w:i/>
          <w:szCs w:val="20"/>
          <w:lang w:val="es-CR" w:eastAsia="es-ES"/>
        </w:rPr>
        <w:t xml:space="preserve">ratione temporis </w:t>
      </w:r>
      <w:r w:rsidRPr="00CD68BA">
        <w:rPr>
          <w:szCs w:val="20"/>
          <w:lang w:val="es-CR" w:eastAsia="es-ES"/>
        </w:rPr>
        <w:t>respecto a las supuestas violaciones de derechos humanos que ocurrieron o tuvieron inicio antes del 10 de diciembre de 1998. Señaló que la Comisión sometió a la Corte hechos sucedidos entre el 25 de septiembre de 1992</w:t>
      </w:r>
      <w:r w:rsidR="0036373B" w:rsidRPr="00CD68BA">
        <w:rPr>
          <w:rStyle w:val="Refdenotaalpie"/>
          <w:lang w:val="es-CR"/>
        </w:rPr>
        <w:footnoteReference w:id="15"/>
      </w:r>
      <w:r w:rsidRPr="00CD68BA">
        <w:rPr>
          <w:szCs w:val="20"/>
          <w:lang w:val="es-CR" w:eastAsia="es-ES"/>
        </w:rPr>
        <w:t xml:space="preserve"> y el 10 de diciembre de 1998, los cuales se </w:t>
      </w:r>
      <w:r w:rsidR="00562117" w:rsidRPr="00CD68BA">
        <w:rPr>
          <w:szCs w:val="20"/>
          <w:lang w:val="es-CR" w:eastAsia="es-ES"/>
        </w:rPr>
        <w:t>encontrarían</w:t>
      </w:r>
      <w:r w:rsidRPr="00CD68BA">
        <w:rPr>
          <w:szCs w:val="20"/>
          <w:lang w:val="es-CR" w:eastAsia="es-ES"/>
        </w:rPr>
        <w:t xml:space="preserve"> fuera de la competencia del Tribunal. De igual manera, adujo que la Corte posee competencia solamente para analizar las posibles violaciones, en los términos sometidos por la Comisión, resultantes de </w:t>
      </w:r>
      <w:r w:rsidR="00BB0056" w:rsidRPr="00CD68BA">
        <w:rPr>
          <w:szCs w:val="20"/>
          <w:lang w:val="es-CR" w:eastAsia="es-ES"/>
        </w:rPr>
        <w:t xml:space="preserve">los </w:t>
      </w:r>
      <w:r w:rsidRPr="00CD68BA">
        <w:rPr>
          <w:szCs w:val="20"/>
          <w:lang w:val="es-CR" w:eastAsia="es-ES"/>
        </w:rPr>
        <w:t>hechos comprobadamente iniciados o que deberían haberse iniciado después del 10 de diciembre de 1998</w:t>
      </w:r>
      <w:r w:rsidR="006B6AF8" w:rsidRPr="00CD68BA">
        <w:rPr>
          <w:szCs w:val="20"/>
          <w:lang w:val="es-CR" w:eastAsia="es-ES"/>
        </w:rPr>
        <w:t>,</w:t>
      </w:r>
      <w:r w:rsidRPr="00CD68BA">
        <w:rPr>
          <w:szCs w:val="20"/>
          <w:lang w:val="es-CR" w:eastAsia="es-ES"/>
        </w:rPr>
        <w:t xml:space="preserve"> y que constituyan violaciones específicas y autónomas de denegación de justicia. Finalmente, indicó que</w:t>
      </w:r>
      <w:r w:rsidR="006B6AF8" w:rsidRPr="00CD68BA">
        <w:rPr>
          <w:szCs w:val="20"/>
          <w:lang w:val="es-CR" w:eastAsia="es-ES"/>
        </w:rPr>
        <w:t>,</w:t>
      </w:r>
      <w:r w:rsidRPr="00CD68BA">
        <w:rPr>
          <w:szCs w:val="20"/>
          <w:lang w:val="es-CR" w:eastAsia="es-ES"/>
        </w:rPr>
        <w:t xml:space="preserve"> tanto la Comisión como los representantes</w:t>
      </w:r>
      <w:r w:rsidR="006B6AF8" w:rsidRPr="00CD68BA">
        <w:rPr>
          <w:szCs w:val="20"/>
          <w:lang w:val="es-CR" w:eastAsia="es-ES"/>
        </w:rPr>
        <w:t>,</w:t>
      </w:r>
      <w:r w:rsidRPr="00CD68BA">
        <w:rPr>
          <w:szCs w:val="20"/>
          <w:lang w:val="es-CR" w:eastAsia="es-ES"/>
        </w:rPr>
        <w:t xml:space="preserve"> no identificaron los hechos específicos y autónomos ocurridos después de diciembre de 1998 que constituirían una violación de la Convención, razón por la cual</w:t>
      </w:r>
      <w:r w:rsidR="006B6AF8" w:rsidRPr="00CD68BA">
        <w:rPr>
          <w:szCs w:val="20"/>
          <w:lang w:val="es-CR" w:eastAsia="es-ES"/>
        </w:rPr>
        <w:t xml:space="preserve"> alegó que</w:t>
      </w:r>
      <w:r w:rsidRPr="00CD68BA">
        <w:rPr>
          <w:szCs w:val="20"/>
          <w:lang w:val="es-CR" w:eastAsia="es-ES"/>
        </w:rPr>
        <w:t xml:space="preserve"> el caso debería ser inadmitido.</w:t>
      </w:r>
    </w:p>
    <w:p w14:paraId="5FC82A46" w14:textId="77777777" w:rsidR="00F02DA9" w:rsidRPr="00CD68BA" w:rsidRDefault="00F02DA9" w:rsidP="00A06718">
      <w:pPr>
        <w:pStyle w:val="Prrafodelista"/>
        <w:autoSpaceDE w:val="0"/>
        <w:autoSpaceDN w:val="0"/>
        <w:adjustRightInd w:val="0"/>
        <w:spacing w:before="0" w:after="0"/>
        <w:ind w:left="0"/>
        <w:contextualSpacing w:val="0"/>
        <w:rPr>
          <w:szCs w:val="20"/>
          <w:lang w:val="es-CR"/>
        </w:rPr>
      </w:pPr>
    </w:p>
    <w:p w14:paraId="19264342" w14:textId="37E8DFC0" w:rsidR="00F02DA9" w:rsidRPr="00CD68BA" w:rsidRDefault="00F02DA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eastAsia="es-ES"/>
        </w:rPr>
        <w:t xml:space="preserve">La </w:t>
      </w:r>
      <w:r w:rsidRPr="00CD68BA">
        <w:rPr>
          <w:b/>
          <w:i/>
          <w:szCs w:val="20"/>
          <w:lang w:val="es-CR" w:eastAsia="es-ES"/>
        </w:rPr>
        <w:t xml:space="preserve">Comisión </w:t>
      </w:r>
      <w:r w:rsidRPr="00CD68BA">
        <w:rPr>
          <w:szCs w:val="20"/>
          <w:lang w:val="es-CR" w:eastAsia="es-ES"/>
        </w:rPr>
        <w:t>destacó que el sometimiento del caso se refiere</w:t>
      </w:r>
      <w:r w:rsidRPr="00CD68BA">
        <w:rPr>
          <w:szCs w:val="20"/>
          <w:lang w:val="es-CR"/>
        </w:rPr>
        <w:t xml:space="preserve"> </w:t>
      </w:r>
      <w:r w:rsidRPr="00CD68BA">
        <w:rPr>
          <w:szCs w:val="20"/>
          <w:lang w:val="es-CR" w:eastAsia="es-ES"/>
        </w:rPr>
        <w:t xml:space="preserve">exclusivamente a los hechos que comenzaron </w:t>
      </w:r>
      <w:r w:rsidR="00B62BB1" w:rsidRPr="00CD68BA">
        <w:rPr>
          <w:szCs w:val="20"/>
          <w:lang w:val="es-CR" w:eastAsia="es-ES"/>
        </w:rPr>
        <w:t xml:space="preserve">a ocurrir </w:t>
      </w:r>
      <w:r w:rsidRPr="00CD68BA">
        <w:rPr>
          <w:szCs w:val="20"/>
          <w:lang w:val="es-CR" w:eastAsia="es-ES"/>
        </w:rPr>
        <w:t>o continuaron ocurriendo con posterioridad al 10 de diciembre de 1998</w:t>
      </w:r>
      <w:r w:rsidR="00B43A71" w:rsidRPr="00CD68BA">
        <w:rPr>
          <w:szCs w:val="20"/>
          <w:lang w:val="es-CR" w:eastAsia="es-ES"/>
        </w:rPr>
        <w:t>,</w:t>
      </w:r>
      <w:r w:rsidR="00D6485A" w:rsidRPr="00CD68BA">
        <w:rPr>
          <w:szCs w:val="20"/>
          <w:lang w:val="es-CR" w:eastAsia="es-ES"/>
        </w:rPr>
        <w:t xml:space="preserve"> que se refieren principalmente </w:t>
      </w:r>
      <w:r w:rsidR="00B43A71" w:rsidRPr="00CD68BA">
        <w:rPr>
          <w:szCs w:val="20"/>
          <w:lang w:val="es-CR" w:eastAsia="es-ES"/>
        </w:rPr>
        <w:t>a</w:t>
      </w:r>
      <w:r w:rsidRPr="00CD68BA">
        <w:rPr>
          <w:szCs w:val="20"/>
          <w:lang w:val="es-CR" w:eastAsia="es-ES"/>
        </w:rPr>
        <w:t xml:space="preserve"> la </w:t>
      </w:r>
      <w:r w:rsidR="00D6485A" w:rsidRPr="00CD68BA">
        <w:rPr>
          <w:szCs w:val="20"/>
          <w:lang w:val="es-CR" w:eastAsia="es-ES"/>
        </w:rPr>
        <w:t xml:space="preserve">alegada </w:t>
      </w:r>
      <w:r w:rsidRPr="00CD68BA">
        <w:rPr>
          <w:szCs w:val="20"/>
          <w:lang w:val="es-CR" w:eastAsia="es-ES"/>
        </w:rPr>
        <w:t>falta de debida diligencia en la investigación</w:t>
      </w:r>
      <w:r w:rsidR="00B43A71" w:rsidRPr="00CD68BA">
        <w:rPr>
          <w:szCs w:val="20"/>
          <w:lang w:val="es-CR" w:eastAsia="es-ES"/>
        </w:rPr>
        <w:t>,</w:t>
      </w:r>
      <w:r w:rsidRPr="00CD68BA">
        <w:rPr>
          <w:szCs w:val="20"/>
          <w:lang w:val="es-CR" w:eastAsia="es-ES"/>
        </w:rPr>
        <w:t xml:space="preserve"> y los factores que han </w:t>
      </w:r>
      <w:r w:rsidR="00D6485A" w:rsidRPr="00CD68BA">
        <w:rPr>
          <w:szCs w:val="20"/>
          <w:lang w:val="es-CR" w:eastAsia="es-ES"/>
        </w:rPr>
        <w:t>supuestamente conllevado a</w:t>
      </w:r>
      <w:r w:rsidRPr="00CD68BA">
        <w:rPr>
          <w:szCs w:val="20"/>
          <w:lang w:val="es-CR" w:eastAsia="es-ES"/>
        </w:rPr>
        <w:t xml:space="preserve"> una denegación de justicia. Además, recordó que la Corte ya ha establecido que “puede conocer de los actos o hechos que hayan tenido lugar con posterioridad a la fecha [de] dicho reconocimiento y que hayan generado violaciones de derechos humanos de ejecución instantánea y continuada o permanente”. </w:t>
      </w:r>
    </w:p>
    <w:p w14:paraId="1606787E" w14:textId="77777777" w:rsidR="00F02DA9" w:rsidRPr="00CD68BA" w:rsidRDefault="00F02DA9" w:rsidP="00A06718">
      <w:pPr>
        <w:pStyle w:val="Prrafodelista"/>
        <w:spacing w:before="0" w:after="0"/>
        <w:contextualSpacing w:val="0"/>
        <w:rPr>
          <w:szCs w:val="20"/>
          <w:lang w:val="es-CR"/>
        </w:rPr>
      </w:pPr>
    </w:p>
    <w:p w14:paraId="4DC9F003" w14:textId="5753EF30" w:rsidR="00B347CB" w:rsidRPr="00CD68BA" w:rsidRDefault="00F02DA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rPr>
        <w:t xml:space="preserve">Los </w:t>
      </w:r>
      <w:r w:rsidRPr="00CD68BA">
        <w:rPr>
          <w:b/>
          <w:i/>
          <w:szCs w:val="20"/>
          <w:lang w:val="es-CR"/>
        </w:rPr>
        <w:t>representantes</w:t>
      </w:r>
      <w:r w:rsidRPr="00CD68BA">
        <w:rPr>
          <w:szCs w:val="20"/>
          <w:lang w:val="es-CR"/>
        </w:rPr>
        <w:t xml:space="preserve"> rechazaron la posición del Estado en cuanto a que el Tribunal </w:t>
      </w:r>
      <w:r w:rsidR="00B23009" w:rsidRPr="00CD68BA">
        <w:rPr>
          <w:szCs w:val="20"/>
          <w:lang w:val="es-CR"/>
        </w:rPr>
        <w:t xml:space="preserve">únicamente </w:t>
      </w:r>
      <w:r w:rsidRPr="00CD68BA">
        <w:rPr>
          <w:szCs w:val="20"/>
          <w:lang w:val="es-CR"/>
        </w:rPr>
        <w:t xml:space="preserve">podría conocer las posibles violaciones de los artículos 5.1, 8.1 y 25.1 de la Convención Americana iniciadas o que debieron haberse iniciado </w:t>
      </w:r>
      <w:r w:rsidR="00B23009" w:rsidRPr="00CD68BA">
        <w:rPr>
          <w:szCs w:val="20"/>
          <w:lang w:val="es-CR"/>
        </w:rPr>
        <w:t>después</w:t>
      </w:r>
      <w:r w:rsidRPr="00CD68BA">
        <w:rPr>
          <w:szCs w:val="20"/>
          <w:lang w:val="es-CR"/>
        </w:rPr>
        <w:t xml:space="preserve"> de</w:t>
      </w:r>
      <w:r w:rsidR="00B23009" w:rsidRPr="00CD68BA">
        <w:rPr>
          <w:szCs w:val="20"/>
          <w:lang w:val="es-CR"/>
        </w:rPr>
        <w:t>l</w:t>
      </w:r>
      <w:r w:rsidRPr="00CD68BA">
        <w:rPr>
          <w:szCs w:val="20"/>
          <w:lang w:val="es-CR"/>
        </w:rPr>
        <w:t xml:space="preserve"> </w:t>
      </w:r>
      <w:r w:rsidR="00B23009" w:rsidRPr="00CD68BA">
        <w:rPr>
          <w:szCs w:val="20"/>
          <w:lang w:val="es-CR" w:eastAsia="es-ES"/>
        </w:rPr>
        <w:t>10 de diciembre de 1998</w:t>
      </w:r>
      <w:r w:rsidRPr="00CD68BA">
        <w:rPr>
          <w:szCs w:val="20"/>
          <w:lang w:val="es-CR"/>
        </w:rPr>
        <w:t>, ya que</w:t>
      </w:r>
      <w:r w:rsidR="00B23009" w:rsidRPr="00CD68BA">
        <w:rPr>
          <w:szCs w:val="20"/>
          <w:lang w:val="es-CR"/>
        </w:rPr>
        <w:t xml:space="preserve">, según </w:t>
      </w:r>
      <w:r w:rsidR="00B43A71" w:rsidRPr="00CD68BA">
        <w:rPr>
          <w:szCs w:val="20"/>
          <w:lang w:val="es-CR"/>
        </w:rPr>
        <w:t>indicaron</w:t>
      </w:r>
      <w:r w:rsidR="00B23009" w:rsidRPr="00CD68BA">
        <w:rPr>
          <w:szCs w:val="20"/>
          <w:lang w:val="es-CR"/>
        </w:rPr>
        <w:t>:</w:t>
      </w:r>
      <w:r w:rsidRPr="00CD68BA">
        <w:rPr>
          <w:szCs w:val="20"/>
          <w:lang w:val="es-CR"/>
        </w:rPr>
        <w:t xml:space="preserve"> i) la Corte es competente para conocer hechos </w:t>
      </w:r>
      <w:r w:rsidR="00B23009" w:rsidRPr="00CD68BA">
        <w:rPr>
          <w:szCs w:val="20"/>
          <w:lang w:val="es-CR"/>
        </w:rPr>
        <w:t xml:space="preserve">cuyo </w:t>
      </w:r>
      <w:r w:rsidRPr="00CD68BA">
        <w:rPr>
          <w:szCs w:val="20"/>
          <w:lang w:val="es-CR"/>
        </w:rPr>
        <w:t>inicio de su ejecución fuera anterior a la referida fecha, y ii) tanto la Comisión como los representantes identificaron violaciones específicas y autónomas a los artículos 8 y 25 de la Convención Americana</w:t>
      </w:r>
      <w:r w:rsidR="00DF1FD7" w:rsidRPr="00CD68BA">
        <w:rPr>
          <w:szCs w:val="20"/>
          <w:lang w:val="es-CR"/>
        </w:rPr>
        <w:t>,</w:t>
      </w:r>
      <w:r w:rsidR="00CB12F4" w:rsidRPr="00CD68BA">
        <w:rPr>
          <w:szCs w:val="20"/>
          <w:lang w:val="es-CR"/>
        </w:rPr>
        <w:t xml:space="preserve"> posteriores a la fecha de reconocimiento de la competencia de la Corte por parte de Brasil</w:t>
      </w:r>
      <w:r w:rsidRPr="00CD68BA">
        <w:rPr>
          <w:szCs w:val="20"/>
          <w:lang w:val="es-CR"/>
        </w:rPr>
        <w:t xml:space="preserve">. </w:t>
      </w:r>
    </w:p>
    <w:p w14:paraId="62C9F0E9" w14:textId="54AA362C" w:rsidR="00187CF2" w:rsidRPr="00CD68BA" w:rsidRDefault="00187CF2" w:rsidP="00A06718">
      <w:pPr>
        <w:pStyle w:val="Prrafodelista"/>
        <w:autoSpaceDE w:val="0"/>
        <w:autoSpaceDN w:val="0"/>
        <w:adjustRightInd w:val="0"/>
        <w:spacing w:before="0" w:after="0"/>
        <w:ind w:left="0"/>
        <w:contextualSpacing w:val="0"/>
        <w:rPr>
          <w:szCs w:val="20"/>
          <w:lang w:val="es-CR"/>
        </w:rPr>
      </w:pPr>
    </w:p>
    <w:p w14:paraId="0181C931" w14:textId="2E205F4C" w:rsidR="00AF2493" w:rsidRPr="00CD68BA" w:rsidRDefault="00AF2493" w:rsidP="00A06718">
      <w:pPr>
        <w:pStyle w:val="Ttulo3"/>
        <w:spacing w:before="0" w:after="0"/>
        <w:ind w:left="1260" w:hanging="540"/>
        <w:jc w:val="both"/>
        <w:rPr>
          <w:b w:val="0"/>
          <w:bCs w:val="0"/>
          <w:i/>
          <w:iCs/>
          <w:szCs w:val="20"/>
          <w:lang w:val="es-CR"/>
        </w:rPr>
      </w:pPr>
      <w:bookmarkStart w:id="63" w:name="_Toc114778763"/>
      <w:r w:rsidRPr="00CD68BA">
        <w:rPr>
          <w:b w:val="0"/>
          <w:bCs w:val="0"/>
          <w:i/>
          <w:iCs/>
          <w:szCs w:val="20"/>
          <w:lang w:val="es-CR"/>
        </w:rPr>
        <w:t>A.2. Consideraciones de la Corte</w:t>
      </w:r>
      <w:bookmarkEnd w:id="63"/>
    </w:p>
    <w:p w14:paraId="6B100662" w14:textId="77777777" w:rsidR="00AF2493" w:rsidRPr="00CD68BA" w:rsidRDefault="00AF2493" w:rsidP="00A06718">
      <w:pPr>
        <w:spacing w:before="0" w:after="0"/>
        <w:rPr>
          <w:lang w:val="es-CR"/>
        </w:rPr>
      </w:pPr>
    </w:p>
    <w:p w14:paraId="6E06EFC0" w14:textId="376B29DE" w:rsidR="002A0527" w:rsidRPr="00CD68BA" w:rsidRDefault="009B505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rPr>
        <w:t>L</w:t>
      </w:r>
      <w:r w:rsidR="00622C21" w:rsidRPr="00CD68BA">
        <w:rPr>
          <w:rFonts w:cs="Verdana"/>
          <w:szCs w:val="20"/>
          <w:lang w:val="es-CR"/>
        </w:rPr>
        <w:t>a Corte ha reiterado</w:t>
      </w:r>
      <w:r w:rsidRPr="00CD68BA">
        <w:rPr>
          <w:rFonts w:cs="Verdana"/>
          <w:szCs w:val="20"/>
          <w:lang w:val="es-CR"/>
        </w:rPr>
        <w:t xml:space="preserve"> </w:t>
      </w:r>
      <w:r w:rsidR="0006117D" w:rsidRPr="00CD68BA">
        <w:rPr>
          <w:rFonts w:cs="Verdana"/>
          <w:szCs w:val="20"/>
          <w:lang w:val="es-CR"/>
        </w:rPr>
        <w:t xml:space="preserve">que en virtud del principio de irretroactividad </w:t>
      </w:r>
      <w:r w:rsidR="00622C21" w:rsidRPr="00CD68BA">
        <w:rPr>
          <w:rFonts w:cs="Verdana"/>
          <w:szCs w:val="20"/>
          <w:lang w:val="es-CR"/>
        </w:rPr>
        <w:t>no puede ejercer su competencia contenciosa para aplicar la Convención Americana respecto a hechos ocurridos con anterioridad al reconocimiento de su competencia</w:t>
      </w:r>
      <w:r w:rsidR="0006117D" w:rsidRPr="00CD68BA">
        <w:rPr>
          <w:rFonts w:cs="Verdana"/>
          <w:szCs w:val="20"/>
          <w:lang w:val="es-CR"/>
        </w:rPr>
        <w:t xml:space="preserve"> por parte de</w:t>
      </w:r>
      <w:r w:rsidR="00677B0C" w:rsidRPr="00CD68BA">
        <w:rPr>
          <w:rFonts w:cs="Verdana"/>
          <w:szCs w:val="20"/>
          <w:lang w:val="es-CR"/>
        </w:rPr>
        <w:t>l</w:t>
      </w:r>
      <w:r w:rsidR="0006117D" w:rsidRPr="00CD68BA">
        <w:rPr>
          <w:rFonts w:cs="Verdana"/>
          <w:szCs w:val="20"/>
          <w:lang w:val="es-CR"/>
        </w:rPr>
        <w:t xml:space="preserve"> Estado</w:t>
      </w:r>
      <w:r w:rsidR="00622C21" w:rsidRPr="00CD68BA">
        <w:rPr>
          <w:rStyle w:val="Refdenotaalpie"/>
          <w:rFonts w:cs="Verdana"/>
          <w:lang w:val="es-CR"/>
        </w:rPr>
        <w:footnoteReference w:id="16"/>
      </w:r>
      <w:r w:rsidR="00622C21" w:rsidRPr="00CD68BA">
        <w:rPr>
          <w:rFonts w:cs="Verdana"/>
          <w:szCs w:val="20"/>
          <w:lang w:val="es-CR"/>
        </w:rPr>
        <w:t xml:space="preserve">. No obstante, este Tribunal ha determinado </w:t>
      </w:r>
      <w:r w:rsidR="0006117D" w:rsidRPr="00CD68BA">
        <w:rPr>
          <w:rFonts w:cs="Verdana"/>
          <w:szCs w:val="20"/>
          <w:lang w:val="es-CR"/>
        </w:rPr>
        <w:t>que puede ejercer</w:t>
      </w:r>
      <w:r w:rsidR="003B3B92" w:rsidRPr="00CD68BA">
        <w:rPr>
          <w:rFonts w:cs="Verdana"/>
          <w:szCs w:val="20"/>
          <w:lang w:val="es-CR"/>
        </w:rPr>
        <w:t>la</w:t>
      </w:r>
      <w:r w:rsidR="0006117D" w:rsidRPr="00CD68BA">
        <w:rPr>
          <w:rFonts w:cs="Verdana"/>
          <w:szCs w:val="20"/>
          <w:lang w:val="es-CR"/>
        </w:rPr>
        <w:t xml:space="preserve"> </w:t>
      </w:r>
      <w:r w:rsidR="00677B0C" w:rsidRPr="00CD68BA">
        <w:rPr>
          <w:rFonts w:cs="Verdana"/>
          <w:szCs w:val="20"/>
          <w:lang w:val="es-CR"/>
        </w:rPr>
        <w:t>en cuanto a</w:t>
      </w:r>
      <w:r w:rsidR="0006117D" w:rsidRPr="00CD68BA">
        <w:rPr>
          <w:rFonts w:cs="Verdana"/>
          <w:szCs w:val="20"/>
          <w:lang w:val="es-CR"/>
        </w:rPr>
        <w:t xml:space="preserve"> </w:t>
      </w:r>
      <w:r w:rsidR="00622C21" w:rsidRPr="00CD68BA">
        <w:rPr>
          <w:szCs w:val="20"/>
          <w:lang w:val="es-CR"/>
        </w:rPr>
        <w:t>violaciones de derechos humanos de carácter continuo o permanente</w:t>
      </w:r>
      <w:r w:rsidR="0006117D" w:rsidRPr="00CD68BA">
        <w:rPr>
          <w:szCs w:val="20"/>
          <w:lang w:val="es-CR"/>
        </w:rPr>
        <w:t xml:space="preserve"> que tuvieron inicio antes de la fecha del reconocimiento de su competencia contenciosa por parte de un Estado y que continúan con posterioridad a dicho reconocimiento</w:t>
      </w:r>
      <w:r w:rsidR="00622C21" w:rsidRPr="00CD68BA">
        <w:rPr>
          <w:rStyle w:val="Refdenotaalpie"/>
          <w:lang w:val="es-CR"/>
        </w:rPr>
        <w:footnoteReference w:id="17"/>
      </w:r>
      <w:r w:rsidR="00622C21" w:rsidRPr="00CD68BA">
        <w:rPr>
          <w:szCs w:val="20"/>
          <w:lang w:val="es-CR"/>
        </w:rPr>
        <w:t xml:space="preserve">. </w:t>
      </w:r>
      <w:r w:rsidR="0006117D" w:rsidRPr="00CD68BA">
        <w:rPr>
          <w:szCs w:val="20"/>
          <w:lang w:val="es-CR"/>
        </w:rPr>
        <w:t xml:space="preserve">También ha establecido que es competente para conocer violaciones ocurridas en el marco de </w:t>
      </w:r>
      <w:r w:rsidR="00622C21" w:rsidRPr="00CD68BA">
        <w:rPr>
          <w:szCs w:val="20"/>
          <w:lang w:val="es-CR"/>
        </w:rPr>
        <w:t xml:space="preserve">un proceso o investigación judicial, </w:t>
      </w:r>
      <w:r w:rsidR="00622C21" w:rsidRPr="00CD68BA">
        <w:rPr>
          <w:color w:val="000000"/>
          <w:szCs w:val="20"/>
          <w:shd w:val="clear" w:color="auto" w:fill="FFFFFF"/>
          <w:lang w:val="es-CR"/>
        </w:rPr>
        <w:t>aun cuando el mism</w:t>
      </w:r>
      <w:r w:rsidR="00622C21" w:rsidRPr="00CD68BA">
        <w:rPr>
          <w:bCs/>
          <w:color w:val="000000"/>
          <w:szCs w:val="20"/>
          <w:shd w:val="clear" w:color="auto" w:fill="FFFFFF"/>
          <w:lang w:val="es-CR"/>
        </w:rPr>
        <w:t>o hubier</w:t>
      </w:r>
      <w:r w:rsidR="004135CC" w:rsidRPr="00CD68BA">
        <w:rPr>
          <w:bCs/>
          <w:color w:val="000000"/>
          <w:szCs w:val="20"/>
          <w:shd w:val="clear" w:color="auto" w:fill="FFFFFF"/>
          <w:lang w:val="es-CR"/>
        </w:rPr>
        <w:t>a</w:t>
      </w:r>
      <w:r w:rsidR="00622C21" w:rsidRPr="00CD68BA">
        <w:rPr>
          <w:bCs/>
          <w:color w:val="000000"/>
          <w:szCs w:val="20"/>
          <w:shd w:val="clear" w:color="auto" w:fill="FFFFFF"/>
          <w:lang w:val="es-CR"/>
        </w:rPr>
        <w:t xml:space="preserve"> iniciado antes de tal reconocimiento,</w:t>
      </w:r>
      <w:r w:rsidR="00622C21" w:rsidRPr="00CD68BA">
        <w:rPr>
          <w:szCs w:val="20"/>
          <w:lang w:val="es-CR"/>
        </w:rPr>
        <w:t xml:space="preserve"> </w:t>
      </w:r>
      <w:r w:rsidR="0006117D" w:rsidRPr="00CD68BA">
        <w:rPr>
          <w:szCs w:val="20"/>
          <w:lang w:val="es-CR"/>
        </w:rPr>
        <w:lastRenderedPageBreak/>
        <w:t>cuando tales violaciones tiene</w:t>
      </w:r>
      <w:r w:rsidR="00DA35F1" w:rsidRPr="00CD68BA">
        <w:rPr>
          <w:szCs w:val="20"/>
          <w:lang w:val="es-CR"/>
        </w:rPr>
        <w:t>n</w:t>
      </w:r>
      <w:r w:rsidR="0006117D" w:rsidRPr="00CD68BA">
        <w:rPr>
          <w:szCs w:val="20"/>
          <w:lang w:val="es-CR"/>
        </w:rPr>
        <w:t xml:space="preserve"> origen en </w:t>
      </w:r>
      <w:r w:rsidR="00622C21" w:rsidRPr="00CD68BA">
        <w:rPr>
          <w:szCs w:val="20"/>
          <w:lang w:val="es-CR"/>
        </w:rPr>
        <w:t xml:space="preserve">hechos independientes </w:t>
      </w:r>
      <w:r w:rsidR="00622C21" w:rsidRPr="00CD68BA">
        <w:rPr>
          <w:color w:val="000000"/>
          <w:szCs w:val="20"/>
          <w:shd w:val="clear" w:color="auto" w:fill="FFFFFF"/>
          <w:lang w:val="es-CR"/>
        </w:rPr>
        <w:t>ocurridos con posterioridad a la fecha de reconocimiento de la competencia del Tribunal</w:t>
      </w:r>
      <w:r w:rsidR="00622C21" w:rsidRPr="00CD68BA">
        <w:rPr>
          <w:rStyle w:val="Refdenotaalpie"/>
          <w:bCs/>
          <w:color w:val="000000"/>
          <w:shd w:val="clear" w:color="auto" w:fill="FFFFFF"/>
          <w:lang w:val="es-CR"/>
        </w:rPr>
        <w:footnoteReference w:id="18"/>
      </w:r>
      <w:r w:rsidR="00622C21" w:rsidRPr="00CD68BA">
        <w:rPr>
          <w:bCs/>
          <w:color w:val="000000"/>
          <w:szCs w:val="20"/>
          <w:shd w:val="clear" w:color="auto" w:fill="FFFFFF"/>
          <w:lang w:val="es-CR"/>
        </w:rPr>
        <w:t>.</w:t>
      </w:r>
    </w:p>
    <w:p w14:paraId="19F9E30A" w14:textId="77777777" w:rsidR="002A0527" w:rsidRPr="00CD68BA" w:rsidRDefault="002A0527" w:rsidP="00A06718">
      <w:pPr>
        <w:pStyle w:val="Prrafodelista"/>
        <w:spacing w:before="0" w:after="0"/>
        <w:contextualSpacing w:val="0"/>
        <w:rPr>
          <w:rFonts w:eastAsia="Verdana" w:cs="Verdana"/>
          <w:szCs w:val="20"/>
          <w:lang w:val="es-CR"/>
        </w:rPr>
      </w:pPr>
    </w:p>
    <w:p w14:paraId="27E27540" w14:textId="0CA1635B" w:rsidR="002A0527" w:rsidRPr="00CD68BA" w:rsidRDefault="00622C21"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rFonts w:eastAsia="Verdana" w:cs="Verdana"/>
          <w:szCs w:val="20"/>
          <w:lang w:val="es-CR"/>
        </w:rPr>
        <w:t>Sobre este particular, en su jurisprudencia constante, la Corte ha establecido que puede examinar y pronunciarse sobre alegadas violaciones referidas a actos o decisiones que ocurrieron con posterioridad a la fecha de reconocimiento de la competencia contenciosa de la Corte, aun cuando el proceso judicial haya tenido inicio en una fecha anterior a dicho reconocimiento</w:t>
      </w:r>
      <w:r w:rsidR="0043479B" w:rsidRPr="00CD68BA">
        <w:rPr>
          <w:rStyle w:val="Refdenotaalpie"/>
          <w:bCs/>
          <w:color w:val="000000"/>
          <w:shd w:val="clear" w:color="auto" w:fill="FFFFFF"/>
          <w:lang w:val="es-CR"/>
        </w:rPr>
        <w:footnoteReference w:id="19"/>
      </w:r>
      <w:r w:rsidRPr="00CD68BA">
        <w:rPr>
          <w:rFonts w:eastAsia="Verdana" w:cs="Verdana"/>
          <w:szCs w:val="20"/>
          <w:lang w:val="es-CR"/>
        </w:rPr>
        <w:t>.</w:t>
      </w:r>
    </w:p>
    <w:p w14:paraId="7E6FC723" w14:textId="77777777" w:rsidR="002A0527" w:rsidRPr="00CD68BA" w:rsidRDefault="002A0527" w:rsidP="00A06718">
      <w:pPr>
        <w:pStyle w:val="Prrafodelista"/>
        <w:spacing w:before="0" w:after="0"/>
        <w:contextualSpacing w:val="0"/>
        <w:rPr>
          <w:szCs w:val="20"/>
          <w:lang w:val="es-CR" w:eastAsia="es-ES"/>
        </w:rPr>
      </w:pPr>
    </w:p>
    <w:p w14:paraId="20E3EC37" w14:textId="2A0AA62F" w:rsidR="00622C21" w:rsidRPr="00CD68BA" w:rsidRDefault="00622C21"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eastAsia="es-ES"/>
        </w:rPr>
        <w:t xml:space="preserve">Tomando </w:t>
      </w:r>
      <w:r w:rsidR="00D221DF" w:rsidRPr="00CD68BA">
        <w:rPr>
          <w:szCs w:val="20"/>
          <w:lang w:val="es-CR" w:eastAsia="es-ES"/>
        </w:rPr>
        <w:t xml:space="preserve">en consideración </w:t>
      </w:r>
      <w:r w:rsidRPr="00CD68BA">
        <w:rPr>
          <w:szCs w:val="20"/>
          <w:lang w:val="es-CR" w:eastAsia="es-ES"/>
        </w:rPr>
        <w:t>lo anterior y, en virtud de</w:t>
      </w:r>
      <w:r w:rsidR="000F5465" w:rsidRPr="00CD68BA">
        <w:rPr>
          <w:szCs w:val="20"/>
          <w:lang w:val="es-CR" w:eastAsia="es-ES"/>
        </w:rPr>
        <w:t>l análisis del expediente del caso, el Tribunal constata que,</w:t>
      </w:r>
      <w:r w:rsidR="008C41AC" w:rsidRPr="00CD68BA">
        <w:rPr>
          <w:szCs w:val="20"/>
          <w:lang w:val="es-CR" w:eastAsia="es-ES"/>
        </w:rPr>
        <w:t xml:space="preserve"> tanto</w:t>
      </w:r>
      <w:r w:rsidR="000F5465" w:rsidRPr="00CD68BA">
        <w:rPr>
          <w:szCs w:val="20"/>
          <w:lang w:val="es-CR" w:eastAsia="es-ES"/>
        </w:rPr>
        <w:t xml:space="preserve"> en el Informe de Fondo</w:t>
      </w:r>
      <w:r w:rsidR="008C41AC" w:rsidRPr="00CD68BA">
        <w:rPr>
          <w:szCs w:val="20"/>
          <w:lang w:val="es-CR" w:eastAsia="es-ES"/>
        </w:rPr>
        <w:t>, como</w:t>
      </w:r>
      <w:r w:rsidR="000F5465" w:rsidRPr="00CD68BA">
        <w:rPr>
          <w:szCs w:val="20"/>
          <w:lang w:val="es-CR" w:eastAsia="es-ES"/>
        </w:rPr>
        <w:t xml:space="preserve"> en el escrito de solicitudes y argumentos, se </w:t>
      </w:r>
      <w:r w:rsidR="008C41AC" w:rsidRPr="00CD68BA">
        <w:rPr>
          <w:szCs w:val="20"/>
          <w:lang w:val="es-CR" w:eastAsia="es-ES"/>
        </w:rPr>
        <w:t xml:space="preserve">identificaron </w:t>
      </w:r>
      <w:r w:rsidR="000F5465" w:rsidRPr="00CD68BA">
        <w:rPr>
          <w:szCs w:val="20"/>
          <w:lang w:val="es-CR" w:eastAsia="es-ES"/>
        </w:rPr>
        <w:t xml:space="preserve">distintos hechos autónomos supuestamente acaecidos </w:t>
      </w:r>
      <w:r w:rsidR="007860C2" w:rsidRPr="00CD68BA">
        <w:rPr>
          <w:szCs w:val="20"/>
          <w:lang w:val="es-CR" w:eastAsia="es-ES"/>
        </w:rPr>
        <w:t xml:space="preserve">en el marco </w:t>
      </w:r>
      <w:r w:rsidR="0033670C" w:rsidRPr="00CD68BA">
        <w:rPr>
          <w:szCs w:val="20"/>
          <w:lang w:val="es-CR" w:eastAsia="es-ES"/>
        </w:rPr>
        <w:t>del proceso</w:t>
      </w:r>
      <w:r w:rsidR="007860C2" w:rsidRPr="00CD68BA">
        <w:rPr>
          <w:szCs w:val="20"/>
          <w:lang w:val="es-CR" w:eastAsia="es-ES"/>
        </w:rPr>
        <w:t xml:space="preserve"> penal y civil</w:t>
      </w:r>
      <w:r w:rsidR="00B54D4A" w:rsidRPr="00CD68BA">
        <w:rPr>
          <w:szCs w:val="20"/>
          <w:lang w:val="es-CR" w:eastAsia="es-ES"/>
        </w:rPr>
        <w:t>,</w:t>
      </w:r>
      <w:r w:rsidR="007860C2" w:rsidRPr="00CD68BA">
        <w:rPr>
          <w:szCs w:val="20"/>
          <w:lang w:val="es-CR" w:eastAsia="es-ES"/>
        </w:rPr>
        <w:t xml:space="preserve"> con </w:t>
      </w:r>
      <w:r w:rsidR="000F5465" w:rsidRPr="00CD68BA">
        <w:rPr>
          <w:szCs w:val="20"/>
          <w:lang w:val="es-CR" w:eastAsia="es-ES"/>
        </w:rPr>
        <w:t>posterior</w:t>
      </w:r>
      <w:r w:rsidR="007860C2" w:rsidRPr="00CD68BA">
        <w:rPr>
          <w:szCs w:val="20"/>
          <w:lang w:val="es-CR" w:eastAsia="es-ES"/>
        </w:rPr>
        <w:t xml:space="preserve">idad al </w:t>
      </w:r>
      <w:r w:rsidRPr="00CD68BA">
        <w:rPr>
          <w:szCs w:val="20"/>
          <w:lang w:val="es-CR" w:eastAsia="es-ES"/>
        </w:rPr>
        <w:t>10 de diciembre de 1998</w:t>
      </w:r>
      <w:r w:rsidR="007860C2" w:rsidRPr="00CD68BA">
        <w:rPr>
          <w:szCs w:val="20"/>
          <w:lang w:val="es-CR" w:eastAsia="es-ES"/>
        </w:rPr>
        <w:t>, fecha de</w:t>
      </w:r>
      <w:r w:rsidR="008C41AC" w:rsidRPr="00CD68BA">
        <w:rPr>
          <w:szCs w:val="20"/>
          <w:lang w:val="es-CR" w:eastAsia="es-ES"/>
        </w:rPr>
        <w:t>l</w:t>
      </w:r>
      <w:r w:rsidR="007860C2" w:rsidRPr="00CD68BA">
        <w:rPr>
          <w:szCs w:val="20"/>
          <w:lang w:val="es-CR" w:eastAsia="es-ES"/>
        </w:rPr>
        <w:t xml:space="preserve"> reconocimiento de la competencia contenciosa de la Corte. Por ende, al tener competencia temporal para pronunciarse sobre los referidos hechos</w:t>
      </w:r>
      <w:r w:rsidR="00962561" w:rsidRPr="00CD68BA">
        <w:rPr>
          <w:szCs w:val="20"/>
          <w:lang w:val="es-CR" w:eastAsia="es-ES"/>
        </w:rPr>
        <w:t xml:space="preserve">, el Tribunal </w:t>
      </w:r>
      <w:r w:rsidR="007860C2" w:rsidRPr="00CD68BA">
        <w:rPr>
          <w:szCs w:val="20"/>
          <w:lang w:val="es-CR" w:eastAsia="es-ES"/>
        </w:rPr>
        <w:t>desestima</w:t>
      </w:r>
      <w:r w:rsidRPr="00CD68BA">
        <w:rPr>
          <w:szCs w:val="20"/>
          <w:lang w:val="es-CR" w:eastAsia="es-ES"/>
        </w:rPr>
        <w:t xml:space="preserve"> la </w:t>
      </w:r>
      <w:r w:rsidR="007860C2" w:rsidRPr="00CD68BA">
        <w:rPr>
          <w:szCs w:val="20"/>
          <w:lang w:val="es-CR" w:eastAsia="es-ES"/>
        </w:rPr>
        <w:t xml:space="preserve">presente </w:t>
      </w:r>
      <w:r w:rsidRPr="00CD68BA">
        <w:rPr>
          <w:szCs w:val="20"/>
          <w:lang w:val="es-CR" w:eastAsia="es-ES"/>
        </w:rPr>
        <w:t xml:space="preserve">excepción preliminar. </w:t>
      </w:r>
    </w:p>
    <w:p w14:paraId="16B83000" w14:textId="7494B70F" w:rsidR="00BC11EB" w:rsidRPr="00CD68BA" w:rsidRDefault="00BC11EB" w:rsidP="00A06718">
      <w:pPr>
        <w:pStyle w:val="Prrafodelista"/>
        <w:autoSpaceDE w:val="0"/>
        <w:autoSpaceDN w:val="0"/>
        <w:adjustRightInd w:val="0"/>
        <w:spacing w:before="0" w:after="0"/>
        <w:ind w:left="0"/>
        <w:contextualSpacing w:val="0"/>
        <w:rPr>
          <w:szCs w:val="20"/>
          <w:lang w:val="es-CR"/>
        </w:rPr>
      </w:pPr>
    </w:p>
    <w:p w14:paraId="1D345D8F" w14:textId="2229FA0A" w:rsidR="00187CF2" w:rsidRPr="00CD68BA" w:rsidRDefault="00AD05C1" w:rsidP="00A06718">
      <w:pPr>
        <w:pStyle w:val="Estilo3"/>
        <w:spacing w:line="240" w:lineRule="auto"/>
        <w:ind w:left="720"/>
        <w:rPr>
          <w:i/>
          <w:iCs/>
        </w:rPr>
      </w:pPr>
      <w:bookmarkStart w:id="64" w:name="_Toc1630855"/>
      <w:bookmarkStart w:id="65" w:name="_Toc1630854"/>
      <w:r w:rsidRPr="00CD68BA">
        <w:t xml:space="preserve"> </w:t>
      </w:r>
      <w:bookmarkStart w:id="66" w:name="_Toc114778764"/>
      <w:bookmarkEnd w:id="64"/>
      <w:r w:rsidR="00444B83" w:rsidRPr="00CD68BA">
        <w:rPr>
          <w:i/>
          <w:iCs/>
        </w:rPr>
        <w:t>Excepción preliminar de falta de agotamiento de recursos internos</w:t>
      </w:r>
      <w:bookmarkEnd w:id="66"/>
    </w:p>
    <w:p w14:paraId="17F8E666" w14:textId="77777777" w:rsidR="00535BDC" w:rsidRPr="00CD68BA" w:rsidRDefault="00535BDC" w:rsidP="00A06718">
      <w:pPr>
        <w:spacing w:before="0" w:after="0"/>
        <w:rPr>
          <w:lang w:val="es-CR"/>
        </w:rPr>
      </w:pPr>
    </w:p>
    <w:p w14:paraId="42AB8DD4" w14:textId="142FEA46" w:rsidR="00535BDC" w:rsidRPr="00CD68BA" w:rsidRDefault="00535BDC" w:rsidP="00A06718">
      <w:pPr>
        <w:pStyle w:val="Ttulo3"/>
        <w:spacing w:before="0" w:after="0"/>
        <w:ind w:left="1260" w:hanging="540"/>
        <w:jc w:val="both"/>
        <w:rPr>
          <w:b w:val="0"/>
          <w:bCs w:val="0"/>
          <w:i/>
          <w:iCs/>
          <w:szCs w:val="20"/>
          <w:lang w:val="es-CR"/>
        </w:rPr>
      </w:pPr>
      <w:bookmarkStart w:id="67" w:name="_Toc114778765"/>
      <w:r w:rsidRPr="00CD68BA">
        <w:rPr>
          <w:b w:val="0"/>
          <w:bCs w:val="0"/>
          <w:i/>
          <w:iCs/>
          <w:szCs w:val="20"/>
          <w:lang w:val="es-CR"/>
        </w:rPr>
        <w:t xml:space="preserve">B.1. </w:t>
      </w:r>
      <w:r w:rsidR="007F7778" w:rsidRPr="00CD68BA">
        <w:rPr>
          <w:b w:val="0"/>
          <w:bCs w:val="0"/>
          <w:i/>
          <w:iCs/>
          <w:szCs w:val="20"/>
          <w:lang w:val="es-CR"/>
        </w:rPr>
        <w:t>Alegatos de</w:t>
      </w:r>
      <w:r w:rsidR="00EF0E3A" w:rsidRPr="00CD68BA">
        <w:rPr>
          <w:b w:val="0"/>
          <w:bCs w:val="0"/>
          <w:i/>
          <w:iCs/>
          <w:szCs w:val="20"/>
          <w:lang w:val="es-CR"/>
        </w:rPr>
        <w:t xml:space="preserve"> las partes</w:t>
      </w:r>
      <w:r w:rsidR="007F7778" w:rsidRPr="00CD68BA">
        <w:rPr>
          <w:b w:val="0"/>
          <w:bCs w:val="0"/>
          <w:i/>
          <w:iCs/>
          <w:szCs w:val="20"/>
          <w:lang w:val="es-CR"/>
        </w:rPr>
        <w:t xml:space="preserve"> y</w:t>
      </w:r>
      <w:r w:rsidR="003D1F1E" w:rsidRPr="00CD68BA">
        <w:rPr>
          <w:b w:val="0"/>
          <w:bCs w:val="0"/>
          <w:i/>
          <w:iCs/>
          <w:szCs w:val="20"/>
          <w:lang w:val="es-CR"/>
        </w:rPr>
        <w:t xml:space="preserve"> de</w:t>
      </w:r>
      <w:r w:rsidR="007F7778" w:rsidRPr="00CD68BA">
        <w:rPr>
          <w:b w:val="0"/>
          <w:bCs w:val="0"/>
          <w:i/>
          <w:iCs/>
          <w:szCs w:val="20"/>
          <w:lang w:val="es-CR"/>
        </w:rPr>
        <w:t xml:space="preserve"> la Comisión</w:t>
      </w:r>
      <w:bookmarkEnd w:id="67"/>
    </w:p>
    <w:p w14:paraId="6327E388" w14:textId="77777777" w:rsidR="00535BDC" w:rsidRPr="00CD68BA" w:rsidRDefault="00535BDC" w:rsidP="00A06718">
      <w:pPr>
        <w:spacing w:before="0" w:after="0"/>
        <w:rPr>
          <w:lang w:val="es-CR"/>
        </w:rPr>
      </w:pPr>
    </w:p>
    <w:p w14:paraId="36F7E377" w14:textId="0C08AC43" w:rsidR="000A04AD" w:rsidRPr="00CD68BA" w:rsidRDefault="0079633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eastAsia="es-ES"/>
        </w:rPr>
        <w:t xml:space="preserve">El </w:t>
      </w:r>
      <w:r w:rsidRPr="00CD68BA">
        <w:rPr>
          <w:b/>
          <w:i/>
          <w:lang w:val="es-CR" w:eastAsia="es-ES"/>
        </w:rPr>
        <w:t xml:space="preserve">Estado </w:t>
      </w:r>
      <w:r w:rsidRPr="00CD68BA">
        <w:rPr>
          <w:lang w:val="es-CR" w:eastAsia="es-ES"/>
        </w:rPr>
        <w:t>argumentó que</w:t>
      </w:r>
      <w:r w:rsidRPr="00CD68BA">
        <w:rPr>
          <w:rFonts w:eastAsia="Calibri"/>
          <w:lang w:val="es-CR"/>
        </w:rPr>
        <w:t xml:space="preserve"> </w:t>
      </w:r>
      <w:r w:rsidRPr="00CD68BA">
        <w:rPr>
          <w:lang w:val="es-CR" w:eastAsia="es-ES"/>
        </w:rPr>
        <w:t>hay prueba “irrefutable” de que los representantes presentaron su caso ante el Sistema Interamericano sin haber cumplido con el previo agotamiento de los recursos internos. En ese sentido, indicó que</w:t>
      </w:r>
      <w:r w:rsidR="00D221DF" w:rsidRPr="00CD68BA">
        <w:rPr>
          <w:lang w:val="es-CR" w:eastAsia="es-ES"/>
        </w:rPr>
        <w:t>,</w:t>
      </w:r>
      <w:r w:rsidRPr="00CD68BA">
        <w:rPr>
          <w:lang w:val="es-CR" w:eastAsia="es-ES"/>
        </w:rPr>
        <w:t xml:space="preserve"> en noviembre de 2006</w:t>
      </w:r>
      <w:r w:rsidR="00D221DF" w:rsidRPr="00CD68BA">
        <w:rPr>
          <w:lang w:val="es-CR" w:eastAsia="es-ES"/>
        </w:rPr>
        <w:t>,</w:t>
      </w:r>
      <w:r w:rsidRPr="00CD68BA">
        <w:rPr>
          <w:lang w:val="es-CR" w:eastAsia="es-ES"/>
        </w:rPr>
        <w:t xml:space="preserve"> el presente caso fue remitido a la Comisión; en el 2007, las presuntas víctimas hicieron uso de las acciones internas para buscar la responsabilidad administrativa y civil del Estado ante el Consejo Nacional de Justic</w:t>
      </w:r>
      <w:r w:rsidR="00305301" w:rsidRPr="00CD68BA">
        <w:rPr>
          <w:lang w:val="es-CR" w:eastAsia="es-ES"/>
        </w:rPr>
        <w:t>i</w:t>
      </w:r>
      <w:r w:rsidRPr="00CD68BA">
        <w:rPr>
          <w:lang w:val="es-CR" w:eastAsia="es-ES"/>
        </w:rPr>
        <w:t xml:space="preserve">a, y en el 2008, la madre de Gabriel Sales Pimenta solicitó una indemnización por daños morales. Por otro lado, manifestó que los recursos tendientes a </w:t>
      </w:r>
      <w:r w:rsidR="00DA35F1" w:rsidRPr="00CD68BA">
        <w:rPr>
          <w:lang w:val="es-CR" w:eastAsia="es-ES"/>
        </w:rPr>
        <w:t>determinar</w:t>
      </w:r>
      <w:r w:rsidRPr="00CD68BA">
        <w:rPr>
          <w:lang w:val="es-CR" w:eastAsia="es-ES"/>
        </w:rPr>
        <w:t xml:space="preserve"> la responsabilidad estatal con relación a su obligación de investigar y sancionar a los responsables de la muerte del señor Sales Pimenta fueron accionados y tramitados sin que </w:t>
      </w:r>
      <w:r w:rsidR="00DA35F1" w:rsidRPr="00CD68BA">
        <w:rPr>
          <w:lang w:val="es-CR" w:eastAsia="es-ES"/>
        </w:rPr>
        <w:t xml:space="preserve">el Estado impidiera </w:t>
      </w:r>
      <w:r w:rsidRPr="00CD68BA">
        <w:rPr>
          <w:lang w:val="es-CR" w:eastAsia="es-ES"/>
        </w:rPr>
        <w:t xml:space="preserve">el acceso a tales recursos o </w:t>
      </w:r>
      <w:r w:rsidR="00DA35F1" w:rsidRPr="00CD68BA">
        <w:rPr>
          <w:lang w:val="es-CR" w:eastAsia="es-ES"/>
        </w:rPr>
        <w:t xml:space="preserve">hubiera </w:t>
      </w:r>
      <w:r w:rsidRPr="00CD68BA">
        <w:rPr>
          <w:lang w:val="es-CR" w:eastAsia="es-ES"/>
        </w:rPr>
        <w:t>una demora injustificada.</w:t>
      </w:r>
    </w:p>
    <w:p w14:paraId="44E55663" w14:textId="77777777" w:rsidR="000A04AD" w:rsidRPr="00CD68BA" w:rsidRDefault="000A04AD" w:rsidP="00A06718">
      <w:pPr>
        <w:pStyle w:val="Prrafodelista"/>
        <w:autoSpaceDE w:val="0"/>
        <w:autoSpaceDN w:val="0"/>
        <w:adjustRightInd w:val="0"/>
        <w:spacing w:before="0" w:after="0"/>
        <w:ind w:left="0"/>
        <w:contextualSpacing w:val="0"/>
        <w:rPr>
          <w:szCs w:val="20"/>
          <w:lang w:val="es-CR"/>
        </w:rPr>
      </w:pPr>
    </w:p>
    <w:p w14:paraId="42601283" w14:textId="1A4F392C" w:rsidR="002A4EA9" w:rsidRPr="00CD68BA" w:rsidRDefault="0079633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eastAsia="es-ES"/>
        </w:rPr>
        <w:t xml:space="preserve">La </w:t>
      </w:r>
      <w:r w:rsidRPr="00CD68BA">
        <w:rPr>
          <w:b/>
          <w:i/>
          <w:lang w:val="es-CR" w:eastAsia="es-ES"/>
        </w:rPr>
        <w:t>Comisión</w:t>
      </w:r>
      <w:r w:rsidRPr="00CD68BA">
        <w:rPr>
          <w:lang w:val="es-CR" w:eastAsia="es-ES"/>
        </w:rPr>
        <w:t xml:space="preserve"> recordó que la Convención Americana le atribuye directamente las decisiones en materia de admisibilidad y que</w:t>
      </w:r>
      <w:r w:rsidR="00A74D68" w:rsidRPr="00CD68BA">
        <w:rPr>
          <w:lang w:val="es-CR" w:eastAsia="es-ES"/>
        </w:rPr>
        <w:t>,</w:t>
      </w:r>
      <w:r w:rsidRPr="00CD68BA">
        <w:rPr>
          <w:lang w:val="es-CR" w:eastAsia="es-ES"/>
        </w:rPr>
        <w:t xml:space="preserve"> conforme a las reglas contenidas en dicho instrumento y en el Reglamento de la Comisión, el estudio de admisibilidad efectuado no debería ser objeto de un nuevo examen. Puntualizó que dio por cumplido el requisito de agotamiento de los recursos internos al haberse extinguido la acción penal por medio de </w:t>
      </w:r>
      <w:r w:rsidR="002A4EA9" w:rsidRPr="00CD68BA">
        <w:rPr>
          <w:lang w:val="es-CR" w:eastAsia="es-ES"/>
        </w:rPr>
        <w:t xml:space="preserve">una </w:t>
      </w:r>
      <w:r w:rsidRPr="00CD68BA">
        <w:rPr>
          <w:lang w:val="es-CR" w:eastAsia="es-ES"/>
        </w:rPr>
        <w:t xml:space="preserve">sentencia definitiva. Por otro lado, recordó que, </w:t>
      </w:r>
      <w:r w:rsidRPr="00CD68BA">
        <w:rPr>
          <w:lang w:val="es-CR"/>
        </w:rPr>
        <w:t xml:space="preserve">tratándose de presuntas violaciones al derecho a la vida, los recursos internos que deben tomarse en cuenta para efectos de admisibilidad son los relacionados con la investigación penal y </w:t>
      </w:r>
      <w:r w:rsidR="007E1DD0" w:rsidRPr="00CD68BA">
        <w:rPr>
          <w:lang w:val="es-CR"/>
        </w:rPr>
        <w:t xml:space="preserve">la </w:t>
      </w:r>
      <w:r w:rsidRPr="00CD68BA">
        <w:rPr>
          <w:lang w:val="es-CR"/>
        </w:rPr>
        <w:t>eventual sanción de los responsables.</w:t>
      </w:r>
      <w:r w:rsidRPr="00CD68BA">
        <w:rPr>
          <w:b/>
          <w:lang w:val="es-CR"/>
        </w:rPr>
        <w:t xml:space="preserve"> </w:t>
      </w:r>
      <w:r w:rsidRPr="00CD68BA">
        <w:rPr>
          <w:lang w:val="es-CR"/>
        </w:rPr>
        <w:t xml:space="preserve">Finalmente, señaló que el Estado no presentó </w:t>
      </w:r>
      <w:r w:rsidRPr="00CD68BA">
        <w:rPr>
          <w:rFonts w:cs="Cambria"/>
          <w:lang w:val="es-CR"/>
        </w:rPr>
        <w:t>la excepción de falta de agotamiento de recursos internos en el momento procesal</w:t>
      </w:r>
      <w:r w:rsidRPr="00CD68BA">
        <w:rPr>
          <w:lang w:val="es-CR" w:eastAsia="es-ES"/>
        </w:rPr>
        <w:t xml:space="preserve"> </w:t>
      </w:r>
      <w:r w:rsidRPr="00CD68BA">
        <w:rPr>
          <w:rFonts w:cs="Cambria"/>
          <w:lang w:val="es-CR"/>
        </w:rPr>
        <w:t>oportuno.</w:t>
      </w:r>
    </w:p>
    <w:p w14:paraId="6E9CBB4B" w14:textId="77777777" w:rsidR="002A4EA9" w:rsidRPr="00CD68BA" w:rsidRDefault="002A4EA9" w:rsidP="00A06718">
      <w:pPr>
        <w:pStyle w:val="Prrafodelista"/>
        <w:spacing w:before="0" w:after="0"/>
        <w:contextualSpacing w:val="0"/>
        <w:rPr>
          <w:lang w:val="es-CR"/>
        </w:rPr>
      </w:pPr>
    </w:p>
    <w:p w14:paraId="320340D5" w14:textId="7A3B0428" w:rsidR="00796338" w:rsidRPr="00CD68BA" w:rsidRDefault="0079633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Los </w:t>
      </w:r>
      <w:r w:rsidRPr="00CD68BA">
        <w:rPr>
          <w:b/>
          <w:i/>
          <w:lang w:val="es-CR"/>
        </w:rPr>
        <w:t xml:space="preserve">representantes </w:t>
      </w:r>
      <w:r w:rsidRPr="00CD68BA">
        <w:rPr>
          <w:lang w:val="es-CR" w:eastAsia="es-ES"/>
        </w:rPr>
        <w:t>señalaron que el Estado, en sus primeras manifestaciones ante la Comisión, no hizo ninguna mención a la falta de agotamiento de los recursos internos, lo cual habría significado una renuncia tácita a</w:t>
      </w:r>
      <w:r w:rsidR="007E1DD0" w:rsidRPr="00CD68BA">
        <w:rPr>
          <w:lang w:val="es-CR" w:eastAsia="es-ES"/>
        </w:rPr>
        <w:t>l</w:t>
      </w:r>
      <w:r w:rsidRPr="00CD68BA">
        <w:rPr>
          <w:lang w:val="es-CR" w:eastAsia="es-ES"/>
        </w:rPr>
        <w:t xml:space="preserve"> </w:t>
      </w:r>
      <w:r w:rsidR="00DE2297" w:rsidRPr="00CD68BA">
        <w:rPr>
          <w:lang w:val="es-CR" w:eastAsia="es-ES"/>
        </w:rPr>
        <w:t xml:space="preserve">presentar </w:t>
      </w:r>
      <w:r w:rsidRPr="00CD68BA">
        <w:rPr>
          <w:lang w:val="es-CR" w:eastAsia="es-ES"/>
        </w:rPr>
        <w:t>esta excepción preliminar.</w:t>
      </w:r>
      <w:r w:rsidRPr="00CD68BA">
        <w:rPr>
          <w:b/>
          <w:lang w:val="es-CR" w:eastAsia="es-ES"/>
        </w:rPr>
        <w:t xml:space="preserve"> </w:t>
      </w:r>
      <w:r w:rsidRPr="00CD68BA">
        <w:rPr>
          <w:lang w:val="es-CR" w:eastAsia="es-ES"/>
        </w:rPr>
        <w:t>Indicaron también que los recursos internos indicados por el Estado no eran adecuados para reparar las alegadas violaciones, y que</w:t>
      </w:r>
      <w:r w:rsidR="00335A71" w:rsidRPr="00CD68BA">
        <w:rPr>
          <w:lang w:val="es-CR" w:eastAsia="es-ES"/>
        </w:rPr>
        <w:t xml:space="preserve"> </w:t>
      </w:r>
      <w:r w:rsidRPr="00CD68BA">
        <w:rPr>
          <w:lang w:val="es-CR" w:eastAsia="es-ES"/>
        </w:rPr>
        <w:t xml:space="preserve">ya están agotados en el presente momento. Agregaron que el Estado no demostró por qué el recurso administrativo ante el Consejo Nacional de Justicia y la acción indemnizatoria </w:t>
      </w:r>
      <w:r w:rsidR="00647427" w:rsidRPr="00CD68BA">
        <w:rPr>
          <w:lang w:val="es-CR" w:eastAsia="es-ES"/>
        </w:rPr>
        <w:t xml:space="preserve">eran </w:t>
      </w:r>
      <w:r w:rsidRPr="00CD68BA">
        <w:rPr>
          <w:lang w:val="es-CR" w:eastAsia="es-ES"/>
        </w:rPr>
        <w:t>recursos adecuados.</w:t>
      </w:r>
    </w:p>
    <w:bookmarkEnd w:id="65"/>
    <w:p w14:paraId="5FBC389B" w14:textId="716C14DF" w:rsidR="0079640B" w:rsidRPr="00CD68BA" w:rsidRDefault="0079640B" w:rsidP="00A06718">
      <w:pPr>
        <w:pStyle w:val="Prrafodelista"/>
        <w:autoSpaceDE w:val="0"/>
        <w:autoSpaceDN w:val="0"/>
        <w:adjustRightInd w:val="0"/>
        <w:spacing w:before="0" w:after="0"/>
        <w:ind w:left="0"/>
        <w:contextualSpacing w:val="0"/>
        <w:rPr>
          <w:szCs w:val="20"/>
          <w:highlight w:val="yellow"/>
          <w:lang w:val="es-CR"/>
        </w:rPr>
      </w:pPr>
    </w:p>
    <w:p w14:paraId="0FE240F0" w14:textId="0D7FC87A" w:rsidR="00AF2493" w:rsidRPr="00CD68BA" w:rsidRDefault="00AF2493" w:rsidP="00A06718">
      <w:pPr>
        <w:pStyle w:val="Ttulo3"/>
        <w:spacing w:before="0" w:after="0"/>
        <w:ind w:left="1260" w:hanging="540"/>
        <w:jc w:val="both"/>
        <w:rPr>
          <w:b w:val="0"/>
          <w:bCs w:val="0"/>
          <w:i/>
          <w:iCs/>
          <w:szCs w:val="20"/>
          <w:lang w:val="es-CR"/>
        </w:rPr>
      </w:pPr>
      <w:bookmarkStart w:id="68" w:name="_Toc114778766"/>
      <w:r w:rsidRPr="00CD68BA">
        <w:rPr>
          <w:b w:val="0"/>
          <w:bCs w:val="0"/>
          <w:i/>
          <w:iCs/>
          <w:szCs w:val="20"/>
          <w:lang w:val="es-CR"/>
        </w:rPr>
        <w:t>B.2. Consideraciones de la Corte</w:t>
      </w:r>
      <w:bookmarkEnd w:id="68"/>
    </w:p>
    <w:p w14:paraId="75E1E138" w14:textId="77777777" w:rsidR="00AF2493" w:rsidRPr="00CD68BA" w:rsidRDefault="00AF2493" w:rsidP="00A06718">
      <w:pPr>
        <w:spacing w:before="0" w:after="0"/>
        <w:rPr>
          <w:lang w:val="es-CR"/>
        </w:rPr>
      </w:pPr>
    </w:p>
    <w:p w14:paraId="613A2C64" w14:textId="76A99CFD" w:rsidR="00530423" w:rsidRPr="00CD68BA" w:rsidRDefault="00923195"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eastAsia="es-ES"/>
        </w:rPr>
        <w:t xml:space="preserve">La Corte </w:t>
      </w:r>
      <w:r w:rsidRPr="00CD68BA">
        <w:rPr>
          <w:rFonts w:cs="Verdana"/>
          <w:lang w:val="es-CR"/>
        </w:rPr>
        <w:t>recuerda que el</w:t>
      </w:r>
      <w:r w:rsidR="0079640B" w:rsidRPr="00CD68BA">
        <w:rPr>
          <w:rFonts w:cs="Verdana"/>
          <w:lang w:val="es-CR"/>
        </w:rPr>
        <w:t xml:space="preserve"> artículo 46.1.a) de la Convención Americana dispone que, para determinar la admisibilidad de una petición o comunicación presentada ante la Comisión Interamericana, de conformidad con los artículos 44 o 45 de la Convención, </w:t>
      </w:r>
      <w:r w:rsidR="007E17E1" w:rsidRPr="00CD68BA">
        <w:rPr>
          <w:rFonts w:cs="Verdana"/>
          <w:lang w:val="es-CR"/>
        </w:rPr>
        <w:t>“</w:t>
      </w:r>
      <w:r w:rsidR="0079640B" w:rsidRPr="00CD68BA">
        <w:rPr>
          <w:rFonts w:cs="Verdana"/>
          <w:lang w:val="es-CR"/>
        </w:rPr>
        <w:t>es necesario que se hayan interpuesto y agotado los recursos de la jurisdicción interna, conforme a los principios del Derecho Internacional generalmente reconocidos</w:t>
      </w:r>
      <w:r w:rsidR="007E17E1" w:rsidRPr="00CD68BA">
        <w:rPr>
          <w:rFonts w:cs="Verdana"/>
          <w:lang w:val="es-CR"/>
        </w:rPr>
        <w:t>”</w:t>
      </w:r>
      <w:r w:rsidR="0079640B" w:rsidRPr="00CD68BA">
        <w:rPr>
          <w:rFonts w:cs="Verdana"/>
          <w:lang w:val="es-CR"/>
        </w:rPr>
        <w:t>.</w:t>
      </w:r>
    </w:p>
    <w:p w14:paraId="013DAC49" w14:textId="77777777" w:rsidR="00923195" w:rsidRPr="00CD68BA" w:rsidRDefault="00923195" w:rsidP="00A06718">
      <w:pPr>
        <w:pStyle w:val="Prrafodelista"/>
        <w:spacing w:before="0" w:after="0"/>
        <w:contextualSpacing w:val="0"/>
        <w:rPr>
          <w:szCs w:val="20"/>
          <w:lang w:val="es-CR"/>
        </w:rPr>
      </w:pPr>
    </w:p>
    <w:p w14:paraId="4F81B2F2" w14:textId="3CB81BDE" w:rsidR="00923195" w:rsidRPr="00CD68BA" w:rsidRDefault="004A67E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eastAsia="es-ES"/>
        </w:rPr>
        <w:t>En distintas oportunidades, e</w:t>
      </w:r>
      <w:r w:rsidR="00923195" w:rsidRPr="00CD68BA">
        <w:rPr>
          <w:lang w:val="es-CR" w:eastAsia="es-ES"/>
        </w:rPr>
        <w:t xml:space="preserve">l Tribunal </w:t>
      </w:r>
      <w:r w:rsidRPr="00CD68BA">
        <w:rPr>
          <w:lang w:val="es-CR" w:eastAsia="es-ES"/>
        </w:rPr>
        <w:t>ha precisado que el momento procesal oportuno para que el Estado presente una eventual objeción relativa a la falta de agotamiento de recursos internos es</w:t>
      </w:r>
      <w:r w:rsidR="000D2CE6" w:rsidRPr="00CD68BA">
        <w:rPr>
          <w:lang w:val="es-CR" w:eastAsia="es-ES"/>
        </w:rPr>
        <w:t xml:space="preserve"> </w:t>
      </w:r>
      <w:r w:rsidRPr="00CD68BA">
        <w:rPr>
          <w:lang w:val="es-CR" w:eastAsia="es-ES"/>
        </w:rPr>
        <w:t>el procedimiento de admisibilidad ante la Comisión</w:t>
      </w:r>
      <w:r w:rsidR="005B43C1" w:rsidRPr="00CD68BA">
        <w:rPr>
          <w:lang w:val="es-CR" w:eastAsia="es-ES"/>
        </w:rPr>
        <w:t xml:space="preserve"> Interamericana</w:t>
      </w:r>
      <w:r w:rsidRPr="00CD68BA">
        <w:rPr>
          <w:rStyle w:val="Refdenotaalpie"/>
          <w:bCs/>
          <w:color w:val="000000"/>
          <w:shd w:val="clear" w:color="auto" w:fill="FFFFFF"/>
          <w:lang w:val="es-CR"/>
        </w:rPr>
        <w:footnoteReference w:id="20"/>
      </w:r>
      <w:r w:rsidRPr="00CD68BA">
        <w:rPr>
          <w:lang w:val="es-CR" w:eastAsia="es-ES"/>
        </w:rPr>
        <w:t xml:space="preserve">. </w:t>
      </w:r>
      <w:r w:rsidR="006B4373" w:rsidRPr="00CD68BA">
        <w:rPr>
          <w:lang w:val="es-CR" w:eastAsia="es-ES"/>
        </w:rPr>
        <w:t>De no presentarse en su debido momento, el Estado pierde la posibilidad de hacer uso de ese medio de defensa ante este Tribunal</w:t>
      </w:r>
      <w:r w:rsidR="006B4373" w:rsidRPr="00CD68BA">
        <w:rPr>
          <w:rStyle w:val="Refdenotaalpie"/>
          <w:bCs/>
          <w:color w:val="000000"/>
          <w:shd w:val="clear" w:color="auto" w:fill="FFFFFF"/>
          <w:lang w:val="es-CR"/>
        </w:rPr>
        <w:footnoteReference w:id="21"/>
      </w:r>
      <w:r w:rsidR="006B4373" w:rsidRPr="00CD68BA">
        <w:rPr>
          <w:lang w:val="es-CR" w:eastAsia="es-ES"/>
        </w:rPr>
        <w:t xml:space="preserve">. </w:t>
      </w:r>
    </w:p>
    <w:p w14:paraId="1A4FB56E" w14:textId="77777777" w:rsidR="00530423" w:rsidRPr="00CD68BA" w:rsidRDefault="00530423" w:rsidP="00A06718">
      <w:pPr>
        <w:pStyle w:val="Prrafodelista"/>
        <w:spacing w:before="0" w:after="0"/>
        <w:contextualSpacing w:val="0"/>
        <w:rPr>
          <w:rFonts w:cs="Verdana"/>
          <w:lang w:val="es-CR"/>
        </w:rPr>
      </w:pPr>
    </w:p>
    <w:p w14:paraId="33D787B3" w14:textId="314B1E35" w:rsidR="00187CF2" w:rsidRPr="00CD68BA" w:rsidRDefault="0079640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eastAsia="es-ES"/>
        </w:rPr>
        <w:t>Del análisis del expediente ante la Comisión</w:t>
      </w:r>
      <w:r w:rsidR="00A66A6F" w:rsidRPr="00CD68BA">
        <w:rPr>
          <w:lang w:val="es-CR" w:eastAsia="es-ES"/>
        </w:rPr>
        <w:t xml:space="preserve"> Interamericana</w:t>
      </w:r>
      <w:r w:rsidRPr="00CD68BA">
        <w:rPr>
          <w:lang w:val="es-CR" w:eastAsia="es-ES"/>
        </w:rPr>
        <w:t xml:space="preserve">, </w:t>
      </w:r>
      <w:r w:rsidR="00582F27" w:rsidRPr="00CD68BA">
        <w:rPr>
          <w:lang w:val="es-CR" w:eastAsia="es-ES"/>
        </w:rPr>
        <w:t>el Tribunal verifica</w:t>
      </w:r>
      <w:r w:rsidRPr="00CD68BA">
        <w:rPr>
          <w:lang w:val="es-CR" w:eastAsia="es-ES"/>
        </w:rPr>
        <w:t xml:space="preserve"> que</w:t>
      </w:r>
      <w:r w:rsidR="00CA0B94" w:rsidRPr="00CD68BA">
        <w:rPr>
          <w:lang w:val="es-CR" w:eastAsia="es-ES"/>
        </w:rPr>
        <w:t>,</w:t>
      </w:r>
      <w:r w:rsidRPr="00CD68BA">
        <w:rPr>
          <w:lang w:val="es-CR" w:eastAsia="es-ES"/>
        </w:rPr>
        <w:t xml:space="preserve"> </w:t>
      </w:r>
      <w:r w:rsidR="00350D07" w:rsidRPr="00CD68BA">
        <w:rPr>
          <w:lang w:val="es-CR" w:eastAsia="es-ES"/>
        </w:rPr>
        <w:t xml:space="preserve">el </w:t>
      </w:r>
      <w:r w:rsidR="00CA0B94" w:rsidRPr="00CD68BA">
        <w:rPr>
          <w:lang w:val="es-CR" w:eastAsia="es-ES"/>
        </w:rPr>
        <w:t>31</w:t>
      </w:r>
      <w:r w:rsidR="00350D07" w:rsidRPr="00CD68BA">
        <w:rPr>
          <w:lang w:val="es-CR" w:eastAsia="es-ES"/>
        </w:rPr>
        <w:t xml:space="preserve"> de </w:t>
      </w:r>
      <w:r w:rsidR="00CA0B94" w:rsidRPr="00CD68BA">
        <w:rPr>
          <w:lang w:val="es-CR" w:eastAsia="es-ES"/>
        </w:rPr>
        <w:t xml:space="preserve">enero </w:t>
      </w:r>
      <w:r w:rsidR="00350D07" w:rsidRPr="00CD68BA">
        <w:rPr>
          <w:lang w:val="es-CR" w:eastAsia="es-ES"/>
        </w:rPr>
        <w:t xml:space="preserve">de </w:t>
      </w:r>
      <w:r w:rsidR="00CA0B94" w:rsidRPr="00CD68BA">
        <w:rPr>
          <w:lang w:val="es-CR" w:eastAsia="es-ES"/>
        </w:rPr>
        <w:t>2007,</w:t>
      </w:r>
      <w:r w:rsidR="00350D07" w:rsidRPr="00CD68BA">
        <w:rPr>
          <w:lang w:val="es-CR" w:eastAsia="es-ES"/>
        </w:rPr>
        <w:t xml:space="preserve"> la Comisión notificó </w:t>
      </w:r>
      <w:r w:rsidR="00685421" w:rsidRPr="00CD68BA">
        <w:rPr>
          <w:lang w:val="es-CR" w:eastAsia="es-ES"/>
        </w:rPr>
        <w:t xml:space="preserve">al Estado de </w:t>
      </w:r>
      <w:r w:rsidR="00350D07" w:rsidRPr="00CD68BA">
        <w:rPr>
          <w:lang w:val="es-CR" w:eastAsia="es-ES"/>
        </w:rPr>
        <w:t xml:space="preserve">la denuncia </w:t>
      </w:r>
      <w:r w:rsidR="00685421" w:rsidRPr="00CD68BA">
        <w:rPr>
          <w:lang w:val="es-CR" w:eastAsia="es-ES"/>
        </w:rPr>
        <w:t>presentada por los peticionarios</w:t>
      </w:r>
      <w:r w:rsidR="00CA0B94" w:rsidRPr="00CD68BA">
        <w:rPr>
          <w:lang w:val="es-CR" w:eastAsia="es-ES"/>
        </w:rPr>
        <w:t xml:space="preserve">, y </w:t>
      </w:r>
      <w:r w:rsidR="009945B6" w:rsidRPr="00CD68BA">
        <w:rPr>
          <w:lang w:val="es-CR" w:eastAsia="es-ES"/>
        </w:rPr>
        <w:t>Brasil se pronunció</w:t>
      </w:r>
      <w:r w:rsidR="00CA0B94" w:rsidRPr="00CD68BA">
        <w:rPr>
          <w:lang w:val="es-CR" w:eastAsia="es-ES"/>
        </w:rPr>
        <w:t xml:space="preserve"> en </w:t>
      </w:r>
      <w:r w:rsidR="009945B6" w:rsidRPr="00CD68BA">
        <w:rPr>
          <w:lang w:val="es-CR" w:eastAsia="es-ES"/>
        </w:rPr>
        <w:t>tre</w:t>
      </w:r>
      <w:r w:rsidR="00CA0B94" w:rsidRPr="00CD68BA">
        <w:rPr>
          <w:lang w:val="es-CR" w:eastAsia="es-ES"/>
        </w:rPr>
        <w:t xml:space="preserve">s ocasiones distintas, anteriores al Informe de Admisibilidad de </w:t>
      </w:r>
      <w:r w:rsidR="00685421" w:rsidRPr="00CD68BA">
        <w:rPr>
          <w:szCs w:val="20"/>
          <w:lang w:val="es-CR"/>
        </w:rPr>
        <w:t>17 de octubre de 2008</w:t>
      </w:r>
      <w:r w:rsidR="00CA0B94" w:rsidRPr="00CD68BA">
        <w:rPr>
          <w:lang w:val="es-CR" w:eastAsia="es-ES"/>
        </w:rPr>
        <w:t xml:space="preserve">: </w:t>
      </w:r>
      <w:r w:rsidR="00837D1C" w:rsidRPr="00CD68BA">
        <w:rPr>
          <w:lang w:val="es-CR" w:eastAsia="es-ES"/>
        </w:rPr>
        <w:t>el 4 de junio de 2007</w:t>
      </w:r>
      <w:r w:rsidR="00350D07" w:rsidRPr="00CD68BA">
        <w:rPr>
          <w:lang w:val="es-CR" w:eastAsia="es-ES"/>
        </w:rPr>
        <w:t xml:space="preserve">, </w:t>
      </w:r>
      <w:r w:rsidR="00CA0B94" w:rsidRPr="00CD68BA">
        <w:rPr>
          <w:lang w:val="es-CR" w:eastAsia="es-ES"/>
        </w:rPr>
        <w:t>en</w:t>
      </w:r>
      <w:r w:rsidR="00350D07" w:rsidRPr="00CD68BA">
        <w:rPr>
          <w:lang w:val="es-CR" w:eastAsia="es-ES"/>
        </w:rPr>
        <w:t xml:space="preserve"> su contestación</w:t>
      </w:r>
      <w:r w:rsidR="009945B6" w:rsidRPr="00CD68BA">
        <w:rPr>
          <w:lang w:val="es-CR" w:eastAsia="es-ES"/>
        </w:rPr>
        <w:t>;</w:t>
      </w:r>
      <w:r w:rsidR="00CA0B94" w:rsidRPr="00CD68BA">
        <w:rPr>
          <w:lang w:val="es-CR" w:eastAsia="es-ES"/>
        </w:rPr>
        <w:t xml:space="preserve"> </w:t>
      </w:r>
      <w:r w:rsidR="009945B6" w:rsidRPr="00CD68BA">
        <w:rPr>
          <w:lang w:val="es-CR" w:eastAsia="es-ES"/>
        </w:rPr>
        <w:t xml:space="preserve">el 29 de agosto de 2007, en un escrito </w:t>
      </w:r>
      <w:r w:rsidR="009F22DB" w:rsidRPr="00CD68BA">
        <w:rPr>
          <w:lang w:val="es-CR" w:eastAsia="es-ES"/>
        </w:rPr>
        <w:t>de observaciones en cuanto a las informaciones adicionales presentadas por los peticionarios</w:t>
      </w:r>
      <w:r w:rsidR="009945B6" w:rsidRPr="00CD68BA">
        <w:rPr>
          <w:lang w:val="es-CR" w:eastAsia="es-ES"/>
        </w:rPr>
        <w:t xml:space="preserve">, </w:t>
      </w:r>
      <w:r w:rsidR="00CA0B94" w:rsidRPr="00CD68BA">
        <w:rPr>
          <w:lang w:val="es-CR" w:eastAsia="es-ES"/>
        </w:rPr>
        <w:t xml:space="preserve">y el </w:t>
      </w:r>
      <w:r w:rsidR="00D0791D" w:rsidRPr="00CD68BA">
        <w:rPr>
          <w:lang w:val="es-CR" w:eastAsia="es-ES"/>
        </w:rPr>
        <w:t>3 de enero de 2008</w:t>
      </w:r>
      <w:r w:rsidR="00CA0B94" w:rsidRPr="00CD68BA">
        <w:rPr>
          <w:lang w:val="es-CR" w:eastAsia="es-ES"/>
        </w:rPr>
        <w:t xml:space="preserve">, </w:t>
      </w:r>
      <w:r w:rsidR="009945B6" w:rsidRPr="00CD68BA">
        <w:rPr>
          <w:lang w:val="es-CR" w:eastAsia="es-ES"/>
        </w:rPr>
        <w:t xml:space="preserve">en </w:t>
      </w:r>
      <w:r w:rsidR="00CA0B94" w:rsidRPr="00CD68BA">
        <w:rPr>
          <w:lang w:val="es-CR" w:eastAsia="es-ES"/>
        </w:rPr>
        <w:t>un escrito</w:t>
      </w:r>
      <w:r w:rsidR="00D0791D" w:rsidRPr="00CD68BA">
        <w:rPr>
          <w:lang w:val="es-CR" w:eastAsia="es-ES"/>
        </w:rPr>
        <w:t xml:space="preserve"> de observaciones adicionales sobre la admisibilidad</w:t>
      </w:r>
      <w:r w:rsidR="00CA0B94" w:rsidRPr="00CD68BA">
        <w:rPr>
          <w:lang w:val="es-CR" w:eastAsia="es-ES"/>
        </w:rPr>
        <w:t xml:space="preserve">. </w:t>
      </w:r>
      <w:r w:rsidR="00350D07" w:rsidRPr="00CD68BA">
        <w:rPr>
          <w:lang w:val="es-CR" w:eastAsia="es-ES"/>
        </w:rPr>
        <w:t>La Corte advierte que</w:t>
      </w:r>
      <w:r w:rsidR="00D30D9E" w:rsidRPr="00CD68BA">
        <w:rPr>
          <w:lang w:val="es-CR" w:eastAsia="es-ES"/>
        </w:rPr>
        <w:t>,</w:t>
      </w:r>
      <w:r w:rsidR="00350D07" w:rsidRPr="00CD68BA">
        <w:rPr>
          <w:lang w:val="es-CR" w:eastAsia="es-ES"/>
        </w:rPr>
        <w:t xml:space="preserve"> </w:t>
      </w:r>
      <w:r w:rsidR="0065107E" w:rsidRPr="00CD68BA">
        <w:rPr>
          <w:lang w:val="es-CR" w:eastAsia="es-ES"/>
        </w:rPr>
        <w:t>en</w:t>
      </w:r>
      <w:r w:rsidR="00350D07" w:rsidRPr="00CD68BA">
        <w:rPr>
          <w:lang w:val="es-CR" w:eastAsia="es-ES"/>
        </w:rPr>
        <w:t xml:space="preserve"> ninguna de las referidas comunicaciones</w:t>
      </w:r>
      <w:r w:rsidR="00D30D9E" w:rsidRPr="00CD68BA">
        <w:rPr>
          <w:lang w:val="es-CR" w:eastAsia="es-ES"/>
        </w:rPr>
        <w:t>,</w:t>
      </w:r>
      <w:r w:rsidR="00350D07" w:rsidRPr="00CD68BA">
        <w:rPr>
          <w:lang w:val="es-CR" w:eastAsia="es-ES"/>
        </w:rPr>
        <w:t xml:space="preserve"> hay constancia de algún alegato estatal dirigido a cuestionar el agotamiento de los recursos internos, por lo cual se concluye que </w:t>
      </w:r>
      <w:r w:rsidRPr="00CD68BA">
        <w:rPr>
          <w:lang w:val="es-CR" w:eastAsia="es-ES"/>
        </w:rPr>
        <w:t xml:space="preserve">el Estado no alegó la falta de agotamiento de recursos internos </w:t>
      </w:r>
      <w:r w:rsidR="00A66A6F" w:rsidRPr="00CD68BA">
        <w:rPr>
          <w:szCs w:val="20"/>
          <w:lang w:val="es-CR"/>
        </w:rPr>
        <w:t xml:space="preserve">en el momento procesal oportuno, es decir, </w:t>
      </w:r>
      <w:r w:rsidRPr="00CD68BA">
        <w:rPr>
          <w:lang w:val="es-CR" w:eastAsia="es-ES"/>
        </w:rPr>
        <w:t>durante la etapa de admisibilidad</w:t>
      </w:r>
      <w:r w:rsidR="00A66A6F" w:rsidRPr="00CD68BA">
        <w:rPr>
          <w:lang w:val="es-CR" w:eastAsia="es-ES"/>
        </w:rPr>
        <w:t xml:space="preserve"> del caso ante la Comisión</w:t>
      </w:r>
      <w:r w:rsidRPr="00CD68BA">
        <w:rPr>
          <w:lang w:val="es-CR" w:eastAsia="es-ES"/>
        </w:rPr>
        <w:t>. Por tal razón</w:t>
      </w:r>
      <w:r w:rsidR="007D0E28" w:rsidRPr="00CD68BA">
        <w:rPr>
          <w:lang w:val="es-CR" w:eastAsia="es-ES"/>
        </w:rPr>
        <w:t>,</w:t>
      </w:r>
      <w:r w:rsidRPr="00CD68BA">
        <w:rPr>
          <w:lang w:val="es-CR" w:eastAsia="es-ES"/>
        </w:rPr>
        <w:t xml:space="preserve"> y en conformidad con la jurisprudencia constante del Tribunal, </w:t>
      </w:r>
      <w:r w:rsidR="00787778" w:rsidRPr="00CD68BA">
        <w:rPr>
          <w:szCs w:val="20"/>
          <w:lang w:val="es-CR"/>
        </w:rPr>
        <w:t xml:space="preserve">la Corte resuelve desestimar la excepción preliminar </w:t>
      </w:r>
      <w:r w:rsidR="00787778" w:rsidRPr="00CD68BA">
        <w:rPr>
          <w:lang w:val="es-CR" w:eastAsia="es-ES"/>
        </w:rPr>
        <w:t xml:space="preserve">en </w:t>
      </w:r>
      <w:r w:rsidR="00676F72" w:rsidRPr="00CD68BA">
        <w:rPr>
          <w:lang w:val="es-CR" w:eastAsia="es-ES"/>
        </w:rPr>
        <w:t>estudio</w:t>
      </w:r>
      <w:r w:rsidR="00787778" w:rsidRPr="00CD68BA">
        <w:rPr>
          <w:szCs w:val="20"/>
          <w:lang w:val="es-CR"/>
        </w:rPr>
        <w:t>.</w:t>
      </w:r>
      <w:r w:rsidR="00E63D0D" w:rsidRPr="00CD68BA">
        <w:rPr>
          <w:szCs w:val="20"/>
          <w:lang w:val="es-CR"/>
        </w:rPr>
        <w:t xml:space="preserve"> </w:t>
      </w:r>
    </w:p>
    <w:p w14:paraId="6E7DA4E8" w14:textId="77777777" w:rsidR="00187CF2" w:rsidRPr="00CD68BA" w:rsidRDefault="00187CF2" w:rsidP="00A06718">
      <w:pPr>
        <w:autoSpaceDE w:val="0"/>
        <w:autoSpaceDN w:val="0"/>
        <w:adjustRightInd w:val="0"/>
        <w:spacing w:before="0" w:after="0"/>
        <w:rPr>
          <w:szCs w:val="20"/>
          <w:u w:val="single"/>
          <w:lang w:val="es-CR"/>
        </w:rPr>
      </w:pPr>
    </w:p>
    <w:p w14:paraId="652C520A" w14:textId="79B1CB01" w:rsidR="00187CF2" w:rsidRPr="00CD68BA" w:rsidRDefault="00963AB1" w:rsidP="00A06718">
      <w:pPr>
        <w:pStyle w:val="Estilo3"/>
        <w:spacing w:line="240" w:lineRule="auto"/>
        <w:ind w:left="720"/>
        <w:rPr>
          <w:i/>
          <w:iCs/>
        </w:rPr>
      </w:pPr>
      <w:r w:rsidRPr="00CD68BA">
        <w:t xml:space="preserve"> </w:t>
      </w:r>
      <w:bookmarkStart w:id="69" w:name="_Toc114778767"/>
      <w:r w:rsidR="00444B83" w:rsidRPr="00CD68BA">
        <w:rPr>
          <w:i/>
          <w:iCs/>
        </w:rPr>
        <w:t>Incompetencia ratione materia por la violación al principio de subsidiariedad (excepción de cuarta instancia)</w:t>
      </w:r>
      <w:bookmarkEnd w:id="69"/>
    </w:p>
    <w:p w14:paraId="06034E7B" w14:textId="134D62B1" w:rsidR="00187CF2" w:rsidRPr="00CD68BA" w:rsidRDefault="00187CF2" w:rsidP="00A06718">
      <w:pPr>
        <w:spacing w:before="0" w:after="0"/>
        <w:rPr>
          <w:lang w:val="es-CR"/>
        </w:rPr>
      </w:pPr>
    </w:p>
    <w:p w14:paraId="3412C102" w14:textId="7F34A2F6" w:rsidR="007F7778" w:rsidRPr="00CD68BA" w:rsidRDefault="007F7778" w:rsidP="00A06718">
      <w:pPr>
        <w:pStyle w:val="Ttulo3"/>
        <w:spacing w:before="0" w:after="0"/>
        <w:ind w:left="1260" w:hanging="540"/>
        <w:jc w:val="both"/>
        <w:rPr>
          <w:b w:val="0"/>
          <w:bCs w:val="0"/>
          <w:i/>
          <w:iCs/>
          <w:szCs w:val="20"/>
          <w:lang w:val="es-CR"/>
        </w:rPr>
      </w:pPr>
      <w:bookmarkStart w:id="70" w:name="_Toc114778768"/>
      <w:r w:rsidRPr="00CD68BA">
        <w:rPr>
          <w:b w:val="0"/>
          <w:bCs w:val="0"/>
          <w:i/>
          <w:iCs/>
          <w:szCs w:val="20"/>
          <w:lang w:val="es-CR"/>
        </w:rPr>
        <w:t>C.1. Alegatos de</w:t>
      </w:r>
      <w:r w:rsidR="002515E5" w:rsidRPr="00CD68BA">
        <w:rPr>
          <w:b w:val="0"/>
          <w:bCs w:val="0"/>
          <w:i/>
          <w:iCs/>
          <w:szCs w:val="20"/>
          <w:lang w:val="es-CR"/>
        </w:rPr>
        <w:t xml:space="preserve"> las partes y</w:t>
      </w:r>
      <w:r w:rsidR="003D1F1E" w:rsidRPr="00CD68BA">
        <w:rPr>
          <w:b w:val="0"/>
          <w:bCs w:val="0"/>
          <w:i/>
          <w:iCs/>
          <w:szCs w:val="20"/>
          <w:lang w:val="es-CR"/>
        </w:rPr>
        <w:t xml:space="preserve"> de</w:t>
      </w:r>
      <w:r w:rsidRPr="00CD68BA">
        <w:rPr>
          <w:b w:val="0"/>
          <w:bCs w:val="0"/>
          <w:i/>
          <w:iCs/>
          <w:szCs w:val="20"/>
          <w:lang w:val="es-CR"/>
        </w:rPr>
        <w:t xml:space="preserve"> la Comisión</w:t>
      </w:r>
      <w:bookmarkEnd w:id="70"/>
    </w:p>
    <w:p w14:paraId="32BD9F29" w14:textId="77777777" w:rsidR="007F7778" w:rsidRPr="00CD68BA" w:rsidRDefault="007F7778" w:rsidP="00A06718">
      <w:pPr>
        <w:spacing w:before="0" w:after="0"/>
        <w:rPr>
          <w:lang w:val="es-CR"/>
        </w:rPr>
      </w:pPr>
    </w:p>
    <w:p w14:paraId="36FD3B8D" w14:textId="530F444B" w:rsidR="00210CF3" w:rsidRPr="00CD68BA" w:rsidRDefault="00187CF2" w:rsidP="00A06718">
      <w:pPr>
        <w:pStyle w:val="Prrafodelista"/>
        <w:numPr>
          <w:ilvl w:val="0"/>
          <w:numId w:val="16"/>
        </w:numPr>
        <w:autoSpaceDE w:val="0"/>
        <w:autoSpaceDN w:val="0"/>
        <w:adjustRightInd w:val="0"/>
        <w:spacing w:before="0" w:after="0"/>
        <w:ind w:left="0" w:firstLine="0"/>
        <w:contextualSpacing w:val="0"/>
        <w:rPr>
          <w:rFonts w:eastAsia="Times New Roman" w:cs="Times New Roman"/>
          <w:szCs w:val="20"/>
          <w:lang w:val="es-CR" w:eastAsia="es-CR"/>
        </w:rPr>
      </w:pPr>
      <w:r w:rsidRPr="00CD68BA">
        <w:rPr>
          <w:szCs w:val="20"/>
          <w:lang w:val="es-CR"/>
        </w:rPr>
        <w:t xml:space="preserve">El </w:t>
      </w:r>
      <w:r w:rsidRPr="00CD68BA">
        <w:rPr>
          <w:b/>
          <w:i/>
          <w:szCs w:val="20"/>
          <w:lang w:val="es-CR"/>
        </w:rPr>
        <w:t>Estado</w:t>
      </w:r>
      <w:r w:rsidRPr="00CD68BA">
        <w:rPr>
          <w:szCs w:val="20"/>
          <w:lang w:val="es-CR"/>
        </w:rPr>
        <w:t xml:space="preserve"> </w:t>
      </w:r>
      <w:r w:rsidR="00210CF3" w:rsidRPr="00CD68BA">
        <w:rPr>
          <w:lang w:val="es-CR"/>
        </w:rPr>
        <w:t xml:space="preserve">alegó que </w:t>
      </w:r>
      <w:r w:rsidR="00A6319D" w:rsidRPr="00CD68BA">
        <w:rPr>
          <w:lang w:val="es-CR"/>
        </w:rPr>
        <w:t xml:space="preserve">el examen </w:t>
      </w:r>
      <w:r w:rsidR="0024749B" w:rsidRPr="00CD68BA">
        <w:rPr>
          <w:lang w:val="es-CR"/>
        </w:rPr>
        <w:t xml:space="preserve">por parte de la Corte </w:t>
      </w:r>
      <w:r w:rsidR="00210CF3" w:rsidRPr="00CD68BA">
        <w:rPr>
          <w:lang w:val="es-CR"/>
        </w:rPr>
        <w:t xml:space="preserve">de los hechos y las conclusiones alcanzadas en cuanto a la acción penal </w:t>
      </w:r>
      <w:r w:rsidR="00D51500" w:rsidRPr="00CD68BA">
        <w:rPr>
          <w:lang w:val="es-CR"/>
        </w:rPr>
        <w:t>No</w:t>
      </w:r>
      <w:r w:rsidR="0024749B" w:rsidRPr="00CD68BA">
        <w:rPr>
          <w:lang w:val="es-CR"/>
        </w:rPr>
        <w:t>.</w:t>
      </w:r>
      <w:r w:rsidR="00210CF3" w:rsidRPr="00CD68BA">
        <w:rPr>
          <w:lang w:val="es-CR"/>
        </w:rPr>
        <w:t xml:space="preserve"> 028.1986.2.00004-9 y la acción indemnizatoria </w:t>
      </w:r>
      <w:r w:rsidR="00D51500" w:rsidRPr="00CD68BA">
        <w:rPr>
          <w:lang w:val="es-CR"/>
        </w:rPr>
        <w:t>No</w:t>
      </w:r>
      <w:r w:rsidR="0024749B" w:rsidRPr="00CD68BA">
        <w:rPr>
          <w:lang w:val="es-CR"/>
        </w:rPr>
        <w:t>.</w:t>
      </w:r>
      <w:r w:rsidR="00210CF3" w:rsidRPr="00CD68BA">
        <w:rPr>
          <w:lang w:val="es-CR"/>
        </w:rPr>
        <w:t xml:space="preserve"> 007348.91.2007.814.0028 sería contrari</w:t>
      </w:r>
      <w:r w:rsidR="00B364C9" w:rsidRPr="00CD68BA">
        <w:rPr>
          <w:lang w:val="es-CR"/>
        </w:rPr>
        <w:t>o</w:t>
      </w:r>
      <w:r w:rsidR="00210CF3" w:rsidRPr="00CD68BA">
        <w:rPr>
          <w:lang w:val="es-CR"/>
        </w:rPr>
        <w:t xml:space="preserve"> al principio de </w:t>
      </w:r>
      <w:r w:rsidR="00210CF3" w:rsidRPr="00CD68BA">
        <w:rPr>
          <w:lang w:val="es-CR" w:eastAsia="es-ES"/>
        </w:rPr>
        <w:t>subsidiariedad</w:t>
      </w:r>
      <w:r w:rsidR="0024749B" w:rsidRPr="00CD68BA">
        <w:rPr>
          <w:lang w:val="es-CR" w:eastAsia="es-ES"/>
        </w:rPr>
        <w:t xml:space="preserve"> del </w:t>
      </w:r>
      <w:r w:rsidR="00CD2EEE" w:rsidRPr="00CD68BA">
        <w:rPr>
          <w:lang w:val="es-CR" w:eastAsia="es-ES"/>
        </w:rPr>
        <w:t>S</w:t>
      </w:r>
      <w:r w:rsidR="0024749B" w:rsidRPr="00CD68BA">
        <w:rPr>
          <w:lang w:val="es-CR" w:eastAsia="es-ES"/>
        </w:rPr>
        <w:t xml:space="preserve">istema </w:t>
      </w:r>
      <w:r w:rsidR="00CD2EEE" w:rsidRPr="00CD68BA">
        <w:rPr>
          <w:lang w:val="es-CR" w:eastAsia="es-ES"/>
        </w:rPr>
        <w:t>I</w:t>
      </w:r>
      <w:r w:rsidR="0024749B" w:rsidRPr="00CD68BA">
        <w:rPr>
          <w:lang w:val="es-CR" w:eastAsia="es-ES"/>
        </w:rPr>
        <w:t>nteramericano</w:t>
      </w:r>
      <w:r w:rsidR="00210CF3" w:rsidRPr="00CD68BA">
        <w:rPr>
          <w:lang w:val="es-CR"/>
        </w:rPr>
        <w:t xml:space="preserve">. Ello considerando que el Estado, por medio de las autoridades domésticas competentes y recursos de investigación adecuados y efectivos, </w:t>
      </w:r>
      <w:r w:rsidR="0024749B" w:rsidRPr="00CD68BA">
        <w:rPr>
          <w:lang w:val="es-CR"/>
        </w:rPr>
        <w:t xml:space="preserve">habría </w:t>
      </w:r>
      <w:r w:rsidR="00210CF3" w:rsidRPr="00CD68BA">
        <w:rPr>
          <w:lang w:val="es-CR"/>
        </w:rPr>
        <w:t>aplic</w:t>
      </w:r>
      <w:r w:rsidR="0024749B" w:rsidRPr="00CD68BA">
        <w:rPr>
          <w:lang w:val="es-CR"/>
        </w:rPr>
        <w:t>ado</w:t>
      </w:r>
      <w:r w:rsidR="00210CF3" w:rsidRPr="00CD68BA">
        <w:rPr>
          <w:lang w:val="es-CR"/>
        </w:rPr>
        <w:t xml:space="preserve"> la ley procesal penal y las garantías constitucionales y legales.</w:t>
      </w:r>
    </w:p>
    <w:p w14:paraId="6BBD6931" w14:textId="77777777" w:rsidR="00210CF3" w:rsidRPr="00CD68BA" w:rsidRDefault="00210CF3" w:rsidP="00A06718">
      <w:pPr>
        <w:pStyle w:val="Prrafodelista"/>
        <w:autoSpaceDE w:val="0"/>
        <w:autoSpaceDN w:val="0"/>
        <w:adjustRightInd w:val="0"/>
        <w:spacing w:before="0" w:after="0"/>
        <w:ind w:left="0"/>
        <w:contextualSpacing w:val="0"/>
        <w:rPr>
          <w:rFonts w:eastAsia="Times New Roman" w:cs="Times New Roman"/>
          <w:szCs w:val="20"/>
          <w:highlight w:val="yellow"/>
          <w:lang w:val="es-CR" w:eastAsia="es-CR"/>
        </w:rPr>
      </w:pPr>
    </w:p>
    <w:p w14:paraId="7BDED12E" w14:textId="59316FF1" w:rsidR="00CD2EEE" w:rsidRPr="00CD68BA" w:rsidRDefault="00210CF3" w:rsidP="00EE6124">
      <w:pPr>
        <w:pStyle w:val="Prrafodelista"/>
        <w:numPr>
          <w:ilvl w:val="0"/>
          <w:numId w:val="16"/>
        </w:numPr>
        <w:autoSpaceDE w:val="0"/>
        <w:autoSpaceDN w:val="0"/>
        <w:adjustRightInd w:val="0"/>
        <w:spacing w:before="0" w:after="0"/>
        <w:ind w:left="0" w:firstLine="0"/>
        <w:contextualSpacing w:val="0"/>
        <w:rPr>
          <w:lang w:val="es-CR"/>
        </w:rPr>
      </w:pPr>
      <w:r w:rsidRPr="00CD68BA">
        <w:rPr>
          <w:lang w:val="es-CR" w:eastAsia="es-ES"/>
        </w:rPr>
        <w:t xml:space="preserve">La </w:t>
      </w:r>
      <w:r w:rsidRPr="00CD68BA">
        <w:rPr>
          <w:b/>
          <w:i/>
          <w:lang w:val="es-CR" w:eastAsia="es-ES"/>
        </w:rPr>
        <w:t xml:space="preserve">Comisión </w:t>
      </w:r>
      <w:r w:rsidRPr="00CD68BA">
        <w:rPr>
          <w:lang w:val="es-CR"/>
        </w:rPr>
        <w:t>destacó que el Informe de Fondo se centró en determinar si en el marco de los procesos internos se violaron los derechos a las garantías judiciales y a la protección judicial de las</w:t>
      </w:r>
      <w:r w:rsidR="008C61D7" w:rsidRPr="00CD68BA">
        <w:rPr>
          <w:lang w:val="es-CR"/>
        </w:rPr>
        <w:t xml:space="preserve"> presuntas</w:t>
      </w:r>
      <w:r w:rsidRPr="00CD68BA">
        <w:rPr>
          <w:lang w:val="es-CR"/>
        </w:rPr>
        <w:t xml:space="preserve"> víctimas, no en revisar las decisiones de las autoridades nacionales.</w:t>
      </w:r>
    </w:p>
    <w:p w14:paraId="4B4A36CC" w14:textId="77777777" w:rsidR="00210CF3" w:rsidRPr="00CD68BA" w:rsidRDefault="00210CF3" w:rsidP="00A06718">
      <w:pPr>
        <w:pStyle w:val="Prrafodelista"/>
        <w:spacing w:before="0" w:after="0"/>
        <w:contextualSpacing w:val="0"/>
        <w:rPr>
          <w:lang w:val="es-CR"/>
        </w:rPr>
      </w:pPr>
    </w:p>
    <w:p w14:paraId="6A5D1A37" w14:textId="1769DA7A" w:rsidR="000E3B23" w:rsidRPr="00CD68BA" w:rsidRDefault="00210CF3" w:rsidP="00A06718">
      <w:pPr>
        <w:pStyle w:val="Prrafodelista"/>
        <w:numPr>
          <w:ilvl w:val="0"/>
          <w:numId w:val="16"/>
        </w:numPr>
        <w:autoSpaceDE w:val="0"/>
        <w:autoSpaceDN w:val="0"/>
        <w:adjustRightInd w:val="0"/>
        <w:spacing w:before="0" w:after="0"/>
        <w:ind w:left="0" w:firstLine="0"/>
        <w:contextualSpacing w:val="0"/>
        <w:rPr>
          <w:rFonts w:eastAsia="Times New Roman" w:cs="Times New Roman"/>
          <w:szCs w:val="20"/>
          <w:lang w:val="es-CR" w:eastAsia="es-CR"/>
        </w:rPr>
      </w:pPr>
      <w:r w:rsidRPr="00CD68BA">
        <w:rPr>
          <w:lang w:val="es-CR"/>
        </w:rPr>
        <w:t xml:space="preserve">Los </w:t>
      </w:r>
      <w:r w:rsidRPr="00CD68BA">
        <w:rPr>
          <w:b/>
          <w:i/>
          <w:lang w:val="es-CR"/>
        </w:rPr>
        <w:t>representantes</w:t>
      </w:r>
      <w:r w:rsidRPr="00CD68BA">
        <w:rPr>
          <w:lang w:val="es-CR"/>
        </w:rPr>
        <w:t xml:space="preserve"> manifestaron que los argumentos presentados por el Estado son cuestionamientos a los alegatos de los representantes</w:t>
      </w:r>
      <w:r w:rsidR="00CD2EEE" w:rsidRPr="00CD68BA">
        <w:rPr>
          <w:lang w:val="es-CR"/>
        </w:rPr>
        <w:t>,</w:t>
      </w:r>
      <w:r w:rsidRPr="00CD68BA">
        <w:rPr>
          <w:lang w:val="es-CR"/>
        </w:rPr>
        <w:t xml:space="preserve"> por lo que constituyen un aspecto de fondo y así deberían ser analizados.</w:t>
      </w:r>
    </w:p>
    <w:p w14:paraId="413FAFB8" w14:textId="50887EB3" w:rsidR="000E3B23" w:rsidRPr="00CD68BA" w:rsidRDefault="000E3B23" w:rsidP="00A06718">
      <w:pPr>
        <w:pStyle w:val="Prrafodelista"/>
        <w:spacing w:before="0" w:after="0"/>
        <w:contextualSpacing w:val="0"/>
        <w:rPr>
          <w:highlight w:val="yellow"/>
          <w:lang w:val="es-CR" w:eastAsia="es-ES"/>
        </w:rPr>
      </w:pPr>
    </w:p>
    <w:p w14:paraId="333474B5" w14:textId="684499F4" w:rsidR="007F7778" w:rsidRPr="00CD68BA" w:rsidRDefault="007F7778" w:rsidP="00A06718">
      <w:pPr>
        <w:pStyle w:val="Ttulo3"/>
        <w:spacing w:before="0" w:after="0"/>
        <w:ind w:left="1260" w:hanging="540"/>
        <w:jc w:val="both"/>
        <w:rPr>
          <w:b w:val="0"/>
          <w:bCs w:val="0"/>
          <w:i/>
          <w:iCs/>
          <w:szCs w:val="20"/>
          <w:lang w:val="es-CR"/>
        </w:rPr>
      </w:pPr>
      <w:bookmarkStart w:id="71" w:name="_Toc114778769"/>
      <w:r w:rsidRPr="00CD68BA">
        <w:rPr>
          <w:b w:val="0"/>
          <w:bCs w:val="0"/>
          <w:i/>
          <w:iCs/>
          <w:szCs w:val="20"/>
          <w:lang w:val="es-CR"/>
        </w:rPr>
        <w:lastRenderedPageBreak/>
        <w:t>C.2. Consideraciones de la Corte</w:t>
      </w:r>
      <w:bookmarkEnd w:id="71"/>
    </w:p>
    <w:p w14:paraId="15B23697" w14:textId="55349EF7" w:rsidR="00676F72" w:rsidRPr="00CD68BA" w:rsidRDefault="00676F72"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00C87052" w14:textId="52EF483F" w:rsidR="00676F72" w:rsidRPr="00CD68BA" w:rsidRDefault="00676F72" w:rsidP="00A06718">
      <w:pPr>
        <w:pStyle w:val="Prrafodelista"/>
        <w:numPr>
          <w:ilvl w:val="0"/>
          <w:numId w:val="16"/>
        </w:numPr>
        <w:autoSpaceDE w:val="0"/>
        <w:autoSpaceDN w:val="0"/>
        <w:adjustRightInd w:val="0"/>
        <w:spacing w:before="0" w:after="0"/>
        <w:ind w:left="0" w:firstLine="0"/>
        <w:contextualSpacing w:val="0"/>
        <w:rPr>
          <w:rFonts w:eastAsia="Times New Roman" w:cs="Times New Roman"/>
          <w:szCs w:val="20"/>
          <w:lang w:val="es-CR" w:eastAsia="es-CR"/>
        </w:rPr>
      </w:pPr>
      <w:r w:rsidRPr="00CD68BA">
        <w:rPr>
          <w:lang w:val="es-CR"/>
        </w:rPr>
        <w:t xml:space="preserve">Esta Corte ha señalado que la determinación sobre si las actuaciones de órganos judiciales constituyen una violación de las obligaciones internacionales del Estado, puede conducir a que deba ocuparse </w:t>
      </w:r>
      <w:r w:rsidR="00335A71" w:rsidRPr="00CD68BA">
        <w:rPr>
          <w:lang w:val="es-CR"/>
        </w:rPr>
        <w:t>a</w:t>
      </w:r>
      <w:r w:rsidRPr="00CD68BA">
        <w:rPr>
          <w:lang w:val="es-CR"/>
        </w:rPr>
        <w:t xml:space="preserve"> examinar los respectivos procesos internos, para establecer su compatibilidad con la Convención Americana</w:t>
      </w:r>
      <w:r w:rsidR="00945C07" w:rsidRPr="00CD68BA">
        <w:rPr>
          <w:rStyle w:val="Refdenotaalpie"/>
          <w:bCs/>
          <w:color w:val="000000"/>
          <w:shd w:val="clear" w:color="auto" w:fill="FFFFFF"/>
          <w:lang w:val="es-CR"/>
        </w:rPr>
        <w:footnoteReference w:id="22"/>
      </w:r>
      <w:r w:rsidRPr="00CD68BA">
        <w:rPr>
          <w:lang w:val="es-CR"/>
        </w:rPr>
        <w:t xml:space="preserve">. En consecuencia, este Tribunal no es una cuarta instancia de revisión judicial, en la medida </w:t>
      </w:r>
      <w:r w:rsidR="0065107E" w:rsidRPr="00CD68BA">
        <w:rPr>
          <w:lang w:val="es-CR"/>
        </w:rPr>
        <w:t>en</w:t>
      </w:r>
      <w:r w:rsidRPr="00CD68BA">
        <w:rPr>
          <w:lang w:val="es-CR"/>
        </w:rPr>
        <w:t xml:space="preserve"> que examina la conformidad de las decisiones judiciales internas con la Convención Americana</w:t>
      </w:r>
      <w:r w:rsidR="00335A71" w:rsidRPr="00CD68BA">
        <w:rPr>
          <w:lang w:val="es-CR"/>
        </w:rPr>
        <w:t>,</w:t>
      </w:r>
      <w:r w:rsidRPr="00CD68BA">
        <w:rPr>
          <w:lang w:val="es-CR"/>
        </w:rPr>
        <w:t xml:space="preserve"> y no de acuerdo con el derecho interno</w:t>
      </w:r>
      <w:r w:rsidR="00AF7F0C" w:rsidRPr="00CD68BA">
        <w:rPr>
          <w:rStyle w:val="Refdenotaalpie"/>
          <w:bCs/>
          <w:color w:val="000000"/>
          <w:shd w:val="clear" w:color="auto" w:fill="FFFFFF"/>
          <w:lang w:val="es-CR"/>
        </w:rPr>
        <w:footnoteReference w:id="23"/>
      </w:r>
      <w:r w:rsidRPr="00CD68BA">
        <w:rPr>
          <w:lang w:val="es-CR"/>
        </w:rPr>
        <w:t>.</w:t>
      </w:r>
    </w:p>
    <w:p w14:paraId="0E2E8FA1" w14:textId="77777777" w:rsidR="000E3B23" w:rsidRPr="00CD68BA" w:rsidRDefault="000E3B23" w:rsidP="00A06718">
      <w:pPr>
        <w:spacing w:before="0" w:after="0"/>
        <w:rPr>
          <w:lang w:val="es-CR" w:eastAsia="es-ES"/>
        </w:rPr>
      </w:pPr>
    </w:p>
    <w:p w14:paraId="7F2F1C0C" w14:textId="451B72BC" w:rsidR="00F174EE" w:rsidRPr="00CD68BA" w:rsidRDefault="005379D3" w:rsidP="00A06718">
      <w:pPr>
        <w:pStyle w:val="Prrafodelista"/>
        <w:numPr>
          <w:ilvl w:val="0"/>
          <w:numId w:val="16"/>
        </w:numPr>
        <w:autoSpaceDE w:val="0"/>
        <w:autoSpaceDN w:val="0"/>
        <w:adjustRightInd w:val="0"/>
        <w:spacing w:before="0" w:after="0"/>
        <w:ind w:left="0" w:firstLine="0"/>
        <w:contextualSpacing w:val="0"/>
        <w:rPr>
          <w:rFonts w:eastAsia="Times New Roman" w:cs="Times New Roman"/>
          <w:szCs w:val="20"/>
          <w:lang w:val="es-CR" w:eastAsia="es-CR"/>
        </w:rPr>
      </w:pPr>
      <w:r w:rsidRPr="00CD68BA">
        <w:rPr>
          <w:lang w:val="es-CR"/>
        </w:rPr>
        <w:t xml:space="preserve">En el presente caso, </w:t>
      </w:r>
      <w:r w:rsidR="000E3B23" w:rsidRPr="00CD68BA">
        <w:rPr>
          <w:lang w:val="es-CR"/>
        </w:rPr>
        <w:t>la Corte</w:t>
      </w:r>
      <w:r w:rsidR="00510C65" w:rsidRPr="00CD68BA">
        <w:rPr>
          <w:lang w:val="es-CR"/>
        </w:rPr>
        <w:t xml:space="preserve"> constata que tanto la Comisión como los representantes</w:t>
      </w:r>
      <w:r w:rsidR="000E3B23" w:rsidRPr="00CD68BA">
        <w:rPr>
          <w:lang w:val="es-CR"/>
        </w:rPr>
        <w:t xml:space="preserve"> </w:t>
      </w:r>
      <w:r w:rsidR="00510C65" w:rsidRPr="00CD68BA">
        <w:rPr>
          <w:lang w:val="es-CR"/>
        </w:rPr>
        <w:t xml:space="preserve">han presentado alegatos de violaciones </w:t>
      </w:r>
      <w:r w:rsidR="009A6C9D" w:rsidRPr="00CD68BA">
        <w:rPr>
          <w:lang w:val="es-CR"/>
        </w:rPr>
        <w:t>a derechos con</w:t>
      </w:r>
      <w:r w:rsidR="00EE5906" w:rsidRPr="00CD68BA">
        <w:rPr>
          <w:lang w:val="es-CR"/>
        </w:rPr>
        <w:t>sagrados</w:t>
      </w:r>
      <w:r w:rsidR="009A6C9D" w:rsidRPr="00CD68BA">
        <w:rPr>
          <w:lang w:val="es-CR"/>
        </w:rPr>
        <w:t xml:space="preserve"> en la Convención Americana, </w:t>
      </w:r>
      <w:r w:rsidRPr="00CD68BA">
        <w:rPr>
          <w:lang w:val="es-CR"/>
        </w:rPr>
        <w:t xml:space="preserve">supuestamente perpetradas por el Estado, relacionadas específicamente con los procesos internos. </w:t>
      </w:r>
      <w:r w:rsidR="000E3B23" w:rsidRPr="00CD68BA">
        <w:rPr>
          <w:lang w:val="es-CR" w:eastAsia="es-ES"/>
        </w:rPr>
        <w:t xml:space="preserve">En virtud de lo anterior, </w:t>
      </w:r>
      <w:r w:rsidR="003731AB" w:rsidRPr="00CD68BA">
        <w:rPr>
          <w:lang w:val="es-CR" w:eastAsia="es-ES"/>
        </w:rPr>
        <w:t xml:space="preserve">el Tribunal desestima </w:t>
      </w:r>
      <w:r w:rsidR="000E3B23" w:rsidRPr="00CD68BA">
        <w:rPr>
          <w:lang w:val="es-CR" w:eastAsia="es-ES"/>
        </w:rPr>
        <w:t>la</w:t>
      </w:r>
      <w:r w:rsidR="003731AB" w:rsidRPr="00CD68BA">
        <w:rPr>
          <w:lang w:val="es-CR" w:eastAsia="es-ES"/>
        </w:rPr>
        <w:t xml:space="preserve"> presente</w:t>
      </w:r>
      <w:r w:rsidR="000E3B23" w:rsidRPr="00CD68BA">
        <w:rPr>
          <w:lang w:val="es-CR" w:eastAsia="es-ES"/>
        </w:rPr>
        <w:t xml:space="preserve"> excepción preliminar.</w:t>
      </w:r>
      <w:r w:rsidR="007D6A15" w:rsidRPr="00CD68BA">
        <w:rPr>
          <w:lang w:val="es-CR" w:eastAsia="es-ES"/>
        </w:rPr>
        <w:t xml:space="preserve"> </w:t>
      </w:r>
    </w:p>
    <w:p w14:paraId="71D85661" w14:textId="77777777" w:rsidR="00F174EE" w:rsidRPr="00CD68BA" w:rsidRDefault="00F174EE" w:rsidP="00A06718">
      <w:pPr>
        <w:autoSpaceDE w:val="0"/>
        <w:autoSpaceDN w:val="0"/>
        <w:adjustRightInd w:val="0"/>
        <w:spacing w:before="0" w:after="0"/>
        <w:rPr>
          <w:szCs w:val="20"/>
          <w:lang w:val="es-CR"/>
        </w:rPr>
      </w:pPr>
    </w:p>
    <w:p w14:paraId="1376CE90" w14:textId="67610B66" w:rsidR="00F174EE" w:rsidRPr="00CD68BA" w:rsidRDefault="00F174EE" w:rsidP="00A06718">
      <w:pPr>
        <w:pStyle w:val="Ttulo1"/>
        <w:spacing w:before="0" w:after="0"/>
        <w:rPr>
          <w:lang w:val="es-CR"/>
        </w:rPr>
      </w:pPr>
      <w:bookmarkStart w:id="72" w:name="_Toc114778770"/>
      <w:r w:rsidRPr="00CD68BA">
        <w:rPr>
          <w:lang w:val="es-CR"/>
        </w:rPr>
        <w:t>V</w:t>
      </w:r>
      <w:r w:rsidRPr="00CD68BA">
        <w:rPr>
          <w:lang w:val="es-CR"/>
        </w:rPr>
        <w:br/>
        <w:t>CONSIDERACIONES PREVIAS</w:t>
      </w:r>
      <w:bookmarkEnd w:id="72"/>
    </w:p>
    <w:p w14:paraId="15F06679" w14:textId="77777777" w:rsidR="00581ADE" w:rsidRPr="00CD68BA" w:rsidRDefault="00581ADE" w:rsidP="00A06718">
      <w:pPr>
        <w:pStyle w:val="Prrafodelista"/>
        <w:autoSpaceDE w:val="0"/>
        <w:autoSpaceDN w:val="0"/>
        <w:adjustRightInd w:val="0"/>
        <w:spacing w:before="0" w:after="0"/>
        <w:ind w:left="0"/>
        <w:contextualSpacing w:val="0"/>
        <w:rPr>
          <w:szCs w:val="20"/>
          <w:lang w:val="es-CR"/>
        </w:rPr>
      </w:pPr>
    </w:p>
    <w:p w14:paraId="26B2F660" w14:textId="3EBB2173" w:rsidR="00F174EE" w:rsidRPr="00CD68BA" w:rsidRDefault="00863F67"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rPr>
        <w:t>En su escrito de contestación, e</w:t>
      </w:r>
      <w:r w:rsidR="00716FBD" w:rsidRPr="00CD68BA">
        <w:rPr>
          <w:szCs w:val="20"/>
          <w:lang w:val="es-CR"/>
        </w:rPr>
        <w:t xml:space="preserve">l </w:t>
      </w:r>
      <w:r w:rsidR="00716FBD" w:rsidRPr="00CD68BA">
        <w:rPr>
          <w:b/>
          <w:i/>
          <w:szCs w:val="20"/>
          <w:lang w:val="es-CR"/>
        </w:rPr>
        <w:t>Estado</w:t>
      </w:r>
      <w:r w:rsidR="00716FBD" w:rsidRPr="00CD68BA">
        <w:rPr>
          <w:szCs w:val="20"/>
          <w:lang w:val="es-CR"/>
        </w:rPr>
        <w:t xml:space="preserve"> </w:t>
      </w:r>
      <w:r w:rsidRPr="00CD68BA">
        <w:rPr>
          <w:szCs w:val="20"/>
          <w:lang w:val="es-CR"/>
        </w:rPr>
        <w:t>argumentó la imposibilidad de la Corte para conocer la alegada violación al derecho a la verdad en perjuicio de la familia de Gabriel Sales Pimenta y de la sociedad brasileña como un todo, debido a que se encuentra fuera del objeto de análisis fijado por la Comisión en su Informe de Fondo</w:t>
      </w:r>
      <w:r w:rsidR="00282954" w:rsidRPr="00CD68BA">
        <w:rPr>
          <w:szCs w:val="20"/>
          <w:lang w:val="es-CR"/>
        </w:rPr>
        <w:t>.</w:t>
      </w:r>
      <w:r w:rsidRPr="00CD68BA">
        <w:rPr>
          <w:szCs w:val="20"/>
          <w:lang w:val="es-CR"/>
        </w:rPr>
        <w:t xml:space="preserve"> </w:t>
      </w:r>
    </w:p>
    <w:p w14:paraId="5C1C41C5" w14:textId="03B35DA4" w:rsidR="00D2464B" w:rsidRPr="00CD68BA" w:rsidRDefault="00D2464B" w:rsidP="00A06718">
      <w:pPr>
        <w:pStyle w:val="Prrafodelista"/>
        <w:autoSpaceDE w:val="0"/>
        <w:autoSpaceDN w:val="0"/>
        <w:adjustRightInd w:val="0"/>
        <w:spacing w:before="0" w:after="0"/>
        <w:ind w:left="0"/>
        <w:contextualSpacing w:val="0"/>
        <w:rPr>
          <w:szCs w:val="20"/>
          <w:lang w:val="es-CR"/>
        </w:rPr>
      </w:pPr>
    </w:p>
    <w:p w14:paraId="131C13F4" w14:textId="7C870A44" w:rsidR="00671245" w:rsidRPr="00CD68BA" w:rsidRDefault="00671245" w:rsidP="00A06718">
      <w:pPr>
        <w:pStyle w:val="Prrafodelista"/>
        <w:numPr>
          <w:ilvl w:val="0"/>
          <w:numId w:val="16"/>
        </w:numPr>
        <w:spacing w:before="0" w:after="0"/>
        <w:ind w:left="0" w:firstLine="0"/>
        <w:contextualSpacing w:val="0"/>
        <w:rPr>
          <w:szCs w:val="20"/>
          <w:lang w:val="es-CR"/>
        </w:rPr>
      </w:pPr>
      <w:r w:rsidRPr="00CD68BA">
        <w:rPr>
          <w:szCs w:val="20"/>
          <w:lang w:val="es-CR"/>
        </w:rPr>
        <w:t xml:space="preserve">La </w:t>
      </w:r>
      <w:r w:rsidRPr="00CD68BA">
        <w:rPr>
          <w:b/>
          <w:bCs/>
          <w:i/>
          <w:iCs/>
          <w:szCs w:val="20"/>
          <w:lang w:val="es-CR"/>
        </w:rPr>
        <w:t>Corte</w:t>
      </w:r>
      <w:r w:rsidRPr="00CD68BA">
        <w:rPr>
          <w:szCs w:val="20"/>
          <w:lang w:val="es-CR"/>
        </w:rPr>
        <w:t xml:space="preserve"> reitera que las presuntas víctimas y sus representantes pueden invocar la violación de derechos distintos a los comprendidos en el Informe de Fondo, siempre que se mantengan dentro del marco fáctico definido por la Comisión, en tanto son las presuntas víctimas las titulares de todos los derechos consagrados en la Convención Americana. En esos casos, corresponde a la Corte decidir sobre la procedencia de alegatos relativos al marco fáctico, en resguardo del equilibrio procesal de las partes</w:t>
      </w:r>
      <w:r w:rsidRPr="00CD68BA">
        <w:rPr>
          <w:rStyle w:val="Refdenotaalpie"/>
          <w:bCs/>
          <w:color w:val="000000"/>
          <w:shd w:val="clear" w:color="auto" w:fill="FFFFFF"/>
          <w:lang w:val="es-CR"/>
        </w:rPr>
        <w:footnoteReference w:id="24"/>
      </w:r>
      <w:r w:rsidRPr="00CD68BA">
        <w:rPr>
          <w:szCs w:val="20"/>
          <w:lang w:val="es-CR"/>
        </w:rPr>
        <w:t xml:space="preserve">. </w:t>
      </w:r>
    </w:p>
    <w:p w14:paraId="411F44C8" w14:textId="77777777" w:rsidR="00671245" w:rsidRPr="00CD68BA" w:rsidRDefault="00671245" w:rsidP="00A06718">
      <w:pPr>
        <w:pStyle w:val="Prrafodelista"/>
        <w:autoSpaceDE w:val="0"/>
        <w:autoSpaceDN w:val="0"/>
        <w:adjustRightInd w:val="0"/>
        <w:spacing w:before="0" w:after="0"/>
        <w:ind w:left="0"/>
        <w:contextualSpacing w:val="0"/>
        <w:rPr>
          <w:szCs w:val="20"/>
          <w:lang w:val="es-CR"/>
        </w:rPr>
      </w:pPr>
    </w:p>
    <w:p w14:paraId="6A48E893" w14:textId="6DCEA39F" w:rsidR="00370C01" w:rsidRPr="00CD68BA" w:rsidRDefault="00671245"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rPr>
        <w:t>En el presente caso</w:t>
      </w:r>
      <w:r w:rsidR="00282954" w:rsidRPr="00CD68BA">
        <w:rPr>
          <w:szCs w:val="20"/>
          <w:lang w:val="es-CR"/>
        </w:rPr>
        <w:t>, e</w:t>
      </w:r>
      <w:r w:rsidR="00D2464B" w:rsidRPr="00CD68BA">
        <w:rPr>
          <w:szCs w:val="20"/>
          <w:lang w:val="es-CR"/>
        </w:rPr>
        <w:t>l Tribunal nota que, si bien la Comisión no concluyó que h</w:t>
      </w:r>
      <w:r w:rsidR="00335A71" w:rsidRPr="00CD68BA">
        <w:rPr>
          <w:szCs w:val="20"/>
          <w:lang w:val="es-CR"/>
        </w:rPr>
        <w:t>ubo</w:t>
      </w:r>
      <w:r w:rsidR="00D23863" w:rsidRPr="00CD68BA">
        <w:rPr>
          <w:szCs w:val="20"/>
          <w:lang w:val="es-CR"/>
        </w:rPr>
        <w:t xml:space="preserve"> </w:t>
      </w:r>
      <w:r w:rsidR="00D2464B" w:rsidRPr="00CD68BA">
        <w:rPr>
          <w:szCs w:val="20"/>
          <w:lang w:val="es-CR"/>
        </w:rPr>
        <w:t xml:space="preserve">una violación </w:t>
      </w:r>
      <w:r w:rsidR="00D23863" w:rsidRPr="00CD68BA">
        <w:rPr>
          <w:szCs w:val="20"/>
          <w:lang w:val="es-CR"/>
        </w:rPr>
        <w:t>específica a</w:t>
      </w:r>
      <w:r w:rsidR="00D2464B" w:rsidRPr="00CD68BA">
        <w:rPr>
          <w:szCs w:val="20"/>
          <w:lang w:val="es-CR"/>
        </w:rPr>
        <w:t xml:space="preserve">l derecho a la verdad en su Informe de Fondo, los </w:t>
      </w:r>
      <w:r w:rsidR="00697379" w:rsidRPr="00CD68BA">
        <w:rPr>
          <w:szCs w:val="20"/>
          <w:lang w:val="es-CR"/>
        </w:rPr>
        <w:t xml:space="preserve">argumentos de los </w:t>
      </w:r>
      <w:r w:rsidR="00D2464B" w:rsidRPr="00CD68BA">
        <w:rPr>
          <w:szCs w:val="20"/>
          <w:lang w:val="es-CR"/>
        </w:rPr>
        <w:t xml:space="preserve">representantes </w:t>
      </w:r>
      <w:r w:rsidR="00F85A93" w:rsidRPr="00CD68BA">
        <w:rPr>
          <w:szCs w:val="20"/>
          <w:lang w:val="es-CR"/>
        </w:rPr>
        <w:t xml:space="preserve">respecto a dicha violación </w:t>
      </w:r>
      <w:r w:rsidR="00697379" w:rsidRPr="00CD68BA">
        <w:rPr>
          <w:szCs w:val="20"/>
          <w:lang w:val="es-CR"/>
        </w:rPr>
        <w:t>no se</w:t>
      </w:r>
      <w:r w:rsidR="00F85A93" w:rsidRPr="00CD68BA">
        <w:rPr>
          <w:szCs w:val="20"/>
          <w:lang w:val="es-CR"/>
        </w:rPr>
        <w:t xml:space="preserve"> bas</w:t>
      </w:r>
      <w:r w:rsidR="00697379" w:rsidRPr="00CD68BA">
        <w:rPr>
          <w:szCs w:val="20"/>
          <w:lang w:val="es-CR"/>
        </w:rPr>
        <w:t>an</w:t>
      </w:r>
      <w:r w:rsidR="00F85A93" w:rsidRPr="00CD68BA">
        <w:rPr>
          <w:szCs w:val="20"/>
          <w:lang w:val="es-CR"/>
        </w:rPr>
        <w:t xml:space="preserve"> </w:t>
      </w:r>
      <w:r w:rsidR="00697379" w:rsidRPr="00CD68BA">
        <w:rPr>
          <w:szCs w:val="20"/>
          <w:lang w:val="es-CR"/>
        </w:rPr>
        <w:t>en</w:t>
      </w:r>
      <w:r w:rsidR="00D2464B" w:rsidRPr="00CD68BA">
        <w:rPr>
          <w:szCs w:val="20"/>
          <w:lang w:val="es-CR"/>
        </w:rPr>
        <w:t xml:space="preserve"> hechos nuevos</w:t>
      </w:r>
      <w:r w:rsidR="00F85A93" w:rsidRPr="00CD68BA">
        <w:rPr>
          <w:szCs w:val="20"/>
          <w:lang w:val="es-CR"/>
        </w:rPr>
        <w:t xml:space="preserve">, sino </w:t>
      </w:r>
      <w:r w:rsidR="00697379" w:rsidRPr="00CD68BA">
        <w:rPr>
          <w:szCs w:val="20"/>
          <w:lang w:val="es-CR"/>
        </w:rPr>
        <w:t>en</w:t>
      </w:r>
      <w:r w:rsidR="00F85A93" w:rsidRPr="00CD68BA">
        <w:rPr>
          <w:szCs w:val="20"/>
          <w:lang w:val="es-CR"/>
        </w:rPr>
        <w:t xml:space="preserve"> los hechos que forman parte d</w:t>
      </w:r>
      <w:r w:rsidR="00D2464B" w:rsidRPr="00CD68BA">
        <w:rPr>
          <w:szCs w:val="20"/>
          <w:lang w:val="es-CR"/>
        </w:rPr>
        <w:t>el marco fá</w:t>
      </w:r>
      <w:r w:rsidR="00A22536" w:rsidRPr="00CD68BA">
        <w:rPr>
          <w:szCs w:val="20"/>
          <w:lang w:val="es-CR"/>
        </w:rPr>
        <w:t>c</w:t>
      </w:r>
      <w:r w:rsidR="00D2464B" w:rsidRPr="00CD68BA">
        <w:rPr>
          <w:szCs w:val="20"/>
          <w:lang w:val="es-CR"/>
        </w:rPr>
        <w:t xml:space="preserve">tico establecido </w:t>
      </w:r>
      <w:r w:rsidR="00F85A93" w:rsidRPr="00CD68BA">
        <w:rPr>
          <w:szCs w:val="20"/>
          <w:lang w:val="es-CR"/>
        </w:rPr>
        <w:t>en dicho Informe.</w:t>
      </w:r>
      <w:r w:rsidR="00D2464B" w:rsidRPr="00CD68BA">
        <w:rPr>
          <w:szCs w:val="20"/>
          <w:lang w:val="es-CR"/>
        </w:rPr>
        <w:t xml:space="preserve"> </w:t>
      </w:r>
      <w:r w:rsidR="00F85A93" w:rsidRPr="00CD68BA">
        <w:rPr>
          <w:szCs w:val="20"/>
          <w:lang w:val="es-CR"/>
        </w:rPr>
        <w:t xml:space="preserve">Por ende, la Corte está facultada </w:t>
      </w:r>
      <w:r w:rsidR="00C013B9" w:rsidRPr="00CD68BA">
        <w:rPr>
          <w:szCs w:val="20"/>
          <w:lang w:val="es-CR"/>
        </w:rPr>
        <w:t>par</w:t>
      </w:r>
      <w:r w:rsidR="00F85A93" w:rsidRPr="00CD68BA">
        <w:rPr>
          <w:szCs w:val="20"/>
          <w:lang w:val="es-CR"/>
        </w:rPr>
        <w:t xml:space="preserve">a </w:t>
      </w:r>
      <w:r w:rsidRPr="00CD68BA">
        <w:rPr>
          <w:szCs w:val="20"/>
          <w:lang w:val="es-CR"/>
        </w:rPr>
        <w:t>analizar</w:t>
      </w:r>
      <w:r w:rsidR="00F85A93" w:rsidRPr="00CD68BA">
        <w:rPr>
          <w:szCs w:val="20"/>
          <w:lang w:val="es-CR"/>
        </w:rPr>
        <w:t xml:space="preserve"> la alegada violación </w:t>
      </w:r>
      <w:r w:rsidRPr="00CD68BA">
        <w:rPr>
          <w:szCs w:val="20"/>
          <w:lang w:val="es-CR"/>
        </w:rPr>
        <w:t>y</w:t>
      </w:r>
      <w:r w:rsidR="002E3724" w:rsidRPr="00CD68BA">
        <w:rPr>
          <w:szCs w:val="20"/>
          <w:lang w:val="es-CR"/>
        </w:rPr>
        <w:t>, por lo tanto, desestima</w:t>
      </w:r>
      <w:r w:rsidR="00E43C18" w:rsidRPr="00CD68BA">
        <w:rPr>
          <w:szCs w:val="20"/>
          <w:lang w:val="es-CR"/>
        </w:rPr>
        <w:t xml:space="preserve"> el alegato del Estado.</w:t>
      </w:r>
    </w:p>
    <w:p w14:paraId="5D4CB9B8" w14:textId="77777777" w:rsidR="00F174EE" w:rsidRPr="00CD68BA" w:rsidRDefault="00F174EE" w:rsidP="00A06718">
      <w:pPr>
        <w:autoSpaceDE w:val="0"/>
        <w:autoSpaceDN w:val="0"/>
        <w:adjustRightInd w:val="0"/>
        <w:spacing w:before="0" w:after="0"/>
        <w:rPr>
          <w:szCs w:val="20"/>
          <w:lang w:val="es-CR"/>
        </w:rPr>
      </w:pPr>
    </w:p>
    <w:p w14:paraId="5B785B1F" w14:textId="3FAC2B6F" w:rsidR="00296C50" w:rsidRPr="00CD68BA" w:rsidRDefault="00196A80" w:rsidP="00A06718">
      <w:pPr>
        <w:pStyle w:val="Ttulo1"/>
        <w:spacing w:before="0" w:after="0"/>
        <w:rPr>
          <w:lang w:val="es-CR"/>
        </w:rPr>
      </w:pPr>
      <w:bookmarkStart w:id="73" w:name="_Toc470105096"/>
      <w:bookmarkStart w:id="74" w:name="_Toc114778771"/>
      <w:bookmarkEnd w:id="36"/>
      <w:r w:rsidRPr="00CD68BA">
        <w:rPr>
          <w:lang w:val="es-CR"/>
        </w:rPr>
        <w:t>V</w:t>
      </w:r>
      <w:r w:rsidR="00F174EE" w:rsidRPr="00CD68BA">
        <w:rPr>
          <w:lang w:val="es-CR"/>
        </w:rPr>
        <w:t>I</w:t>
      </w:r>
      <w:r w:rsidR="00F0482A" w:rsidRPr="00CD68BA">
        <w:rPr>
          <w:lang w:val="es-CR"/>
        </w:rPr>
        <w:br/>
      </w:r>
      <w:r w:rsidR="00296C50" w:rsidRPr="00CD68BA">
        <w:rPr>
          <w:lang w:val="es-CR"/>
        </w:rPr>
        <w:t>PRUEBA</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73"/>
      <w:bookmarkEnd w:id="74"/>
    </w:p>
    <w:p w14:paraId="7D9BECD2" w14:textId="77777777" w:rsidR="00581ADE" w:rsidRPr="00CD68BA" w:rsidRDefault="00581ADE" w:rsidP="00A06718">
      <w:pPr>
        <w:spacing w:before="0" w:after="0"/>
        <w:rPr>
          <w:lang w:val="es-CR"/>
        </w:rPr>
      </w:pPr>
    </w:p>
    <w:p w14:paraId="334C88DB" w14:textId="16FE03AA" w:rsidR="00296C50" w:rsidRPr="00CD68BA" w:rsidRDefault="00AD05C1" w:rsidP="00A06718">
      <w:pPr>
        <w:pStyle w:val="Estilo3"/>
        <w:numPr>
          <w:ilvl w:val="0"/>
          <w:numId w:val="0"/>
        </w:numPr>
        <w:spacing w:line="240" w:lineRule="auto"/>
        <w:ind w:left="360"/>
      </w:pPr>
      <w:bookmarkStart w:id="75" w:name="_Toc460237946"/>
      <w:bookmarkStart w:id="76" w:name="_Toc460238243"/>
      <w:bookmarkStart w:id="77" w:name="_Toc470105097"/>
      <w:bookmarkStart w:id="78" w:name="_Toc114778772"/>
      <w:bookmarkStart w:id="79" w:name="_Toc460237947"/>
      <w:bookmarkStart w:id="80" w:name="_Toc460238244"/>
      <w:bookmarkStart w:id="81" w:name="_Toc460237948"/>
      <w:bookmarkStart w:id="82" w:name="_Toc460238245"/>
      <w:r w:rsidRPr="00CD68BA">
        <w:t xml:space="preserve">A. </w:t>
      </w:r>
      <w:r w:rsidR="00903995" w:rsidRPr="00CD68BA">
        <w:t>Admisibilidad de la p</w:t>
      </w:r>
      <w:r w:rsidR="00296C50" w:rsidRPr="00CD68BA">
        <w:t>rueba documental</w:t>
      </w:r>
      <w:bookmarkEnd w:id="75"/>
      <w:bookmarkEnd w:id="76"/>
      <w:bookmarkEnd w:id="77"/>
      <w:bookmarkEnd w:id="78"/>
    </w:p>
    <w:p w14:paraId="39515383" w14:textId="77777777" w:rsidR="00581ADE" w:rsidRPr="00CD68BA" w:rsidRDefault="00581ADE" w:rsidP="00A06718">
      <w:pPr>
        <w:pStyle w:val="Prrafodelista"/>
        <w:autoSpaceDE w:val="0"/>
        <w:autoSpaceDN w:val="0"/>
        <w:adjustRightInd w:val="0"/>
        <w:spacing w:before="0" w:after="0"/>
        <w:ind w:left="0"/>
        <w:contextualSpacing w:val="0"/>
        <w:rPr>
          <w:szCs w:val="20"/>
          <w:lang w:val="es-CR"/>
        </w:rPr>
      </w:pPr>
    </w:p>
    <w:p w14:paraId="01F35562" w14:textId="32FA41E9" w:rsidR="00081957" w:rsidRPr="00CD68BA" w:rsidRDefault="00FE6E5A" w:rsidP="00A06718">
      <w:pPr>
        <w:pStyle w:val="Prrafodelista"/>
        <w:numPr>
          <w:ilvl w:val="0"/>
          <w:numId w:val="16"/>
        </w:numPr>
        <w:spacing w:before="0" w:after="0"/>
        <w:ind w:left="0" w:firstLine="0"/>
        <w:contextualSpacing w:val="0"/>
        <w:rPr>
          <w:iCs/>
          <w:szCs w:val="20"/>
          <w:lang w:val="es-CR"/>
        </w:rPr>
      </w:pPr>
      <w:r w:rsidRPr="00CD68BA">
        <w:rPr>
          <w:iCs/>
          <w:szCs w:val="20"/>
          <w:lang w:val="es-CR"/>
        </w:rPr>
        <w:t>El</w:t>
      </w:r>
      <w:bookmarkEnd w:id="79"/>
      <w:bookmarkEnd w:id="80"/>
      <w:r w:rsidR="00642F8B" w:rsidRPr="00CD68BA">
        <w:rPr>
          <w:iCs/>
          <w:szCs w:val="20"/>
          <w:lang w:val="es-CR"/>
        </w:rPr>
        <w:t xml:space="preserve"> Tribunal recibió diversos documentos presentados como prueba por la Comisión, los representantes y el Estado, adjuntos a sus escritos principales (</w:t>
      </w:r>
      <w:r w:rsidR="00642F8B" w:rsidRPr="00CD68BA">
        <w:rPr>
          <w:i/>
          <w:szCs w:val="20"/>
          <w:lang w:val="es-CR"/>
        </w:rPr>
        <w:t>supra</w:t>
      </w:r>
      <w:r w:rsidR="00642F8B" w:rsidRPr="00CD68BA">
        <w:rPr>
          <w:iCs/>
          <w:szCs w:val="20"/>
          <w:lang w:val="es-CR"/>
        </w:rPr>
        <w:t xml:space="preserve"> párrs. 3, 6 y 7). Como en otros casos, la Corte admite aquellos documentos presentados oportunamente (artículo 57 del </w:t>
      </w:r>
      <w:r w:rsidR="00642F8B" w:rsidRPr="00CD68BA">
        <w:rPr>
          <w:iCs/>
          <w:szCs w:val="20"/>
          <w:lang w:val="es-CR"/>
        </w:rPr>
        <w:lastRenderedPageBreak/>
        <w:t>Reglamento)</w:t>
      </w:r>
      <w:r w:rsidR="00C37F32" w:rsidRPr="00CD68BA">
        <w:rPr>
          <w:iCs/>
          <w:vertAlign w:val="superscript"/>
          <w:lang w:val="es-CR"/>
        </w:rPr>
        <w:footnoteReference w:id="25"/>
      </w:r>
      <w:r w:rsidR="00642F8B" w:rsidRPr="00CD68BA">
        <w:rPr>
          <w:iCs/>
          <w:szCs w:val="20"/>
          <w:lang w:val="es-CR"/>
        </w:rPr>
        <w:t xml:space="preserve"> por las partes y la Comisión, cuya admisibilidad no fue controvertida ni objetada, y cuya autenticidad no fue puesta en duda</w:t>
      </w:r>
      <w:r w:rsidR="00C37F32" w:rsidRPr="00CD68BA">
        <w:rPr>
          <w:iCs/>
          <w:vertAlign w:val="superscript"/>
          <w:lang w:val="es-CR"/>
        </w:rPr>
        <w:footnoteReference w:id="26"/>
      </w:r>
      <w:r w:rsidR="00642F8B" w:rsidRPr="00CD68BA">
        <w:rPr>
          <w:iCs/>
          <w:szCs w:val="20"/>
          <w:lang w:val="es-CR"/>
        </w:rPr>
        <w:t>.</w:t>
      </w:r>
    </w:p>
    <w:p w14:paraId="435CD346" w14:textId="77777777" w:rsidR="003D0A11" w:rsidRPr="00CD68BA" w:rsidRDefault="003D0A11" w:rsidP="00A06718">
      <w:pPr>
        <w:pStyle w:val="Prrafodelista"/>
        <w:spacing w:before="0" w:after="0"/>
        <w:ind w:left="0"/>
        <w:contextualSpacing w:val="0"/>
        <w:rPr>
          <w:iCs/>
          <w:szCs w:val="20"/>
          <w:lang w:val="es-CR"/>
        </w:rPr>
      </w:pPr>
    </w:p>
    <w:p w14:paraId="5202CA2B" w14:textId="715841E5" w:rsidR="003D0A11" w:rsidRPr="00CD68BA" w:rsidRDefault="00F3602F" w:rsidP="00A06718">
      <w:pPr>
        <w:pStyle w:val="Prrafodelista"/>
        <w:numPr>
          <w:ilvl w:val="0"/>
          <w:numId w:val="16"/>
        </w:numPr>
        <w:spacing w:before="0" w:after="0"/>
        <w:ind w:left="0" w:firstLine="0"/>
        <w:contextualSpacing w:val="0"/>
        <w:rPr>
          <w:iCs/>
          <w:szCs w:val="20"/>
          <w:lang w:val="es-CR"/>
        </w:rPr>
      </w:pPr>
      <w:r w:rsidRPr="00CD68BA">
        <w:rPr>
          <w:iCs/>
          <w:szCs w:val="20"/>
          <w:lang w:val="es-CR"/>
        </w:rPr>
        <w:t>La Corte nota que</w:t>
      </w:r>
      <w:r w:rsidR="00010884" w:rsidRPr="00CD68BA">
        <w:rPr>
          <w:iCs/>
          <w:szCs w:val="20"/>
          <w:lang w:val="es-CR"/>
        </w:rPr>
        <w:t xml:space="preserve">, </w:t>
      </w:r>
      <w:r w:rsidR="00A22536" w:rsidRPr="00CD68BA">
        <w:rPr>
          <w:iCs/>
          <w:szCs w:val="20"/>
          <w:lang w:val="es-CR"/>
        </w:rPr>
        <w:t>con</w:t>
      </w:r>
      <w:r w:rsidR="00010884" w:rsidRPr="00CD68BA">
        <w:rPr>
          <w:iCs/>
          <w:szCs w:val="20"/>
          <w:lang w:val="es-CR"/>
        </w:rPr>
        <w:t>juntamente con un escrito de</w:t>
      </w:r>
      <w:r w:rsidRPr="00CD68BA">
        <w:rPr>
          <w:iCs/>
          <w:szCs w:val="20"/>
          <w:lang w:val="es-CR"/>
        </w:rPr>
        <w:t xml:space="preserve"> 21 de marzo de 2022, lo</w:t>
      </w:r>
      <w:r w:rsidR="003D0A11" w:rsidRPr="00CD68BA">
        <w:rPr>
          <w:iCs/>
          <w:szCs w:val="20"/>
          <w:lang w:val="es-CR"/>
        </w:rPr>
        <w:t>s representantes</w:t>
      </w:r>
      <w:r w:rsidR="003D0A11" w:rsidRPr="00CD68BA">
        <w:rPr>
          <w:i/>
          <w:szCs w:val="20"/>
          <w:lang w:val="es-CR"/>
        </w:rPr>
        <w:t xml:space="preserve"> </w:t>
      </w:r>
      <w:r w:rsidR="003D0A11" w:rsidRPr="00CD68BA">
        <w:rPr>
          <w:iCs/>
          <w:szCs w:val="20"/>
          <w:lang w:val="es-CR"/>
        </w:rPr>
        <w:t>remitieron</w:t>
      </w:r>
      <w:r w:rsidR="00010884" w:rsidRPr="00CD68BA">
        <w:rPr>
          <w:iCs/>
          <w:szCs w:val="20"/>
          <w:lang w:val="es-CR"/>
        </w:rPr>
        <w:t xml:space="preserve"> tres anexos</w:t>
      </w:r>
      <w:r w:rsidR="00010884" w:rsidRPr="00CD68BA">
        <w:rPr>
          <w:iCs/>
          <w:vertAlign w:val="superscript"/>
          <w:lang w:val="es-CR"/>
        </w:rPr>
        <w:footnoteReference w:id="27"/>
      </w:r>
      <w:r w:rsidR="00010884" w:rsidRPr="00CD68BA">
        <w:rPr>
          <w:iCs/>
          <w:szCs w:val="20"/>
          <w:lang w:val="es-CR"/>
        </w:rPr>
        <w:t>.</w:t>
      </w:r>
      <w:r w:rsidRPr="00CD68BA">
        <w:rPr>
          <w:iCs/>
          <w:szCs w:val="20"/>
          <w:lang w:val="es-CR"/>
        </w:rPr>
        <w:t xml:space="preserve"> </w:t>
      </w:r>
      <w:r w:rsidR="00162967" w:rsidRPr="00CD68BA">
        <w:rPr>
          <w:iCs/>
          <w:szCs w:val="20"/>
          <w:lang w:val="es-CR"/>
        </w:rPr>
        <w:t>Ni el Estado ni la Comisión se opusieron a la presentación de dichos documentos. Asimismo, el Tribunal</w:t>
      </w:r>
      <w:r w:rsidR="00EE4168" w:rsidRPr="00CD68BA">
        <w:rPr>
          <w:iCs/>
          <w:szCs w:val="20"/>
          <w:lang w:val="es-CR"/>
        </w:rPr>
        <w:t xml:space="preserve"> </w:t>
      </w:r>
      <w:r w:rsidR="00947D67" w:rsidRPr="00CD68BA">
        <w:rPr>
          <w:iCs/>
          <w:szCs w:val="20"/>
          <w:lang w:val="es-CR"/>
        </w:rPr>
        <w:t>advierte</w:t>
      </w:r>
      <w:r w:rsidR="00EE4168" w:rsidRPr="00CD68BA">
        <w:rPr>
          <w:iCs/>
          <w:szCs w:val="20"/>
          <w:lang w:val="es-CR"/>
        </w:rPr>
        <w:t xml:space="preserve"> que los mismos constituyen información relativa a hechos posteriores a la presentación del escrito de solicitudes</w:t>
      </w:r>
      <w:r w:rsidR="00947D67" w:rsidRPr="00CD68BA">
        <w:rPr>
          <w:iCs/>
          <w:szCs w:val="20"/>
          <w:lang w:val="es-CR"/>
        </w:rPr>
        <w:t xml:space="preserve"> y</w:t>
      </w:r>
      <w:r w:rsidR="00EE4168" w:rsidRPr="00CD68BA">
        <w:rPr>
          <w:iCs/>
          <w:szCs w:val="20"/>
          <w:lang w:val="es-CR"/>
        </w:rPr>
        <w:t xml:space="preserve"> argumentos, razón por la cual, de conformidad con lo estipulado en el artículo 57.2 del Reglamento de la Corte Interamericana, son admisibles</w:t>
      </w:r>
      <w:r w:rsidR="00947D67" w:rsidRPr="00CD68BA">
        <w:rPr>
          <w:iCs/>
          <w:szCs w:val="20"/>
          <w:lang w:val="es-CR"/>
        </w:rPr>
        <w:t>.</w:t>
      </w:r>
    </w:p>
    <w:p w14:paraId="17E464B6" w14:textId="77777777" w:rsidR="00081957" w:rsidRPr="00CD68BA" w:rsidRDefault="00081957" w:rsidP="00A06718">
      <w:pPr>
        <w:pStyle w:val="Prrafodelista"/>
        <w:spacing w:before="0" w:after="0"/>
        <w:ind w:left="0"/>
        <w:contextualSpacing w:val="0"/>
        <w:rPr>
          <w:iCs/>
          <w:szCs w:val="20"/>
          <w:lang w:val="es-CR"/>
        </w:rPr>
      </w:pPr>
    </w:p>
    <w:p w14:paraId="5297596B" w14:textId="0921CE7D" w:rsidR="004C6158" w:rsidRPr="00CD68BA" w:rsidRDefault="00EA2EA1" w:rsidP="00A06718">
      <w:pPr>
        <w:pStyle w:val="Prrafodelista"/>
        <w:numPr>
          <w:ilvl w:val="0"/>
          <w:numId w:val="16"/>
        </w:numPr>
        <w:spacing w:before="0" w:after="0"/>
        <w:ind w:left="0" w:firstLine="0"/>
        <w:contextualSpacing w:val="0"/>
        <w:rPr>
          <w:iCs/>
          <w:szCs w:val="20"/>
          <w:lang w:val="es-CR"/>
        </w:rPr>
      </w:pPr>
      <w:r w:rsidRPr="00CD68BA">
        <w:rPr>
          <w:iCs/>
          <w:szCs w:val="20"/>
          <w:lang w:val="es-CR"/>
        </w:rPr>
        <w:t>Por otra parte, l</w:t>
      </w:r>
      <w:r w:rsidR="00081957" w:rsidRPr="00CD68BA">
        <w:rPr>
          <w:iCs/>
          <w:szCs w:val="20"/>
          <w:lang w:val="es-CR"/>
        </w:rPr>
        <w:t>a Corte también recibió documentos adjuntos a los alegatos finales escritos presentados por el Estado</w:t>
      </w:r>
      <w:r w:rsidR="006543E6" w:rsidRPr="00CD68BA">
        <w:rPr>
          <w:iCs/>
          <w:vertAlign w:val="superscript"/>
          <w:lang w:val="es-CR"/>
        </w:rPr>
        <w:footnoteReference w:id="28"/>
      </w:r>
      <w:r w:rsidR="00175827" w:rsidRPr="00CD68BA">
        <w:rPr>
          <w:iCs/>
          <w:szCs w:val="20"/>
          <w:lang w:val="es-CR"/>
        </w:rPr>
        <w:t xml:space="preserve"> y los </w:t>
      </w:r>
      <w:r w:rsidR="00175827" w:rsidRPr="00CD68BA">
        <w:rPr>
          <w:i/>
          <w:szCs w:val="20"/>
          <w:lang w:val="es-CR"/>
        </w:rPr>
        <w:t>representantes</w:t>
      </w:r>
      <w:r w:rsidR="006543E6" w:rsidRPr="00CD68BA">
        <w:rPr>
          <w:iCs/>
          <w:vertAlign w:val="superscript"/>
          <w:lang w:val="es-CR"/>
        </w:rPr>
        <w:footnoteReference w:id="29"/>
      </w:r>
      <w:r w:rsidR="00081957" w:rsidRPr="00CD68BA">
        <w:rPr>
          <w:iCs/>
          <w:szCs w:val="20"/>
          <w:lang w:val="es-CR"/>
        </w:rPr>
        <w:t xml:space="preserve">. </w:t>
      </w:r>
      <w:r w:rsidRPr="00CD68BA">
        <w:rPr>
          <w:iCs/>
          <w:szCs w:val="20"/>
          <w:lang w:val="es-CR"/>
        </w:rPr>
        <w:t>Al respecto, la Comisión</w:t>
      </w:r>
      <w:r w:rsidRPr="00CD68BA">
        <w:rPr>
          <w:i/>
          <w:szCs w:val="20"/>
          <w:lang w:val="es-CR"/>
        </w:rPr>
        <w:t xml:space="preserve"> </w:t>
      </w:r>
      <w:r w:rsidRPr="00CD68BA">
        <w:rPr>
          <w:iCs/>
          <w:szCs w:val="20"/>
          <w:lang w:val="es-CR"/>
        </w:rPr>
        <w:t xml:space="preserve">indicó </w:t>
      </w:r>
      <w:r w:rsidR="007E2EC8" w:rsidRPr="00CD68BA">
        <w:rPr>
          <w:iCs/>
          <w:szCs w:val="20"/>
          <w:lang w:val="es-CR"/>
        </w:rPr>
        <w:t xml:space="preserve">no tener observaciones a los documentos presentados como anexos a los alegatos finales </w:t>
      </w:r>
      <w:r w:rsidR="00620ACB" w:rsidRPr="00CD68BA">
        <w:rPr>
          <w:iCs/>
          <w:szCs w:val="20"/>
          <w:lang w:val="es-CR"/>
        </w:rPr>
        <w:t xml:space="preserve">escritos </w:t>
      </w:r>
      <w:r w:rsidR="007E2EC8" w:rsidRPr="00CD68BA">
        <w:rPr>
          <w:iCs/>
          <w:szCs w:val="20"/>
          <w:lang w:val="es-CR"/>
        </w:rPr>
        <w:t>de las partes</w:t>
      </w:r>
      <w:r w:rsidRPr="00CD68BA">
        <w:rPr>
          <w:iCs/>
          <w:szCs w:val="20"/>
          <w:lang w:val="es-CR"/>
        </w:rPr>
        <w:t xml:space="preserve">. </w:t>
      </w:r>
    </w:p>
    <w:p w14:paraId="02BD03E9" w14:textId="77777777" w:rsidR="004C6158" w:rsidRPr="00CD68BA" w:rsidRDefault="004C6158" w:rsidP="00A06718">
      <w:pPr>
        <w:pStyle w:val="Prrafodelista"/>
        <w:spacing w:before="0" w:after="0"/>
        <w:contextualSpacing w:val="0"/>
        <w:rPr>
          <w:iCs/>
          <w:szCs w:val="20"/>
          <w:lang w:val="es-CR"/>
        </w:rPr>
      </w:pPr>
    </w:p>
    <w:p w14:paraId="4F54FFEA" w14:textId="70FB48C8" w:rsidR="009428B7" w:rsidRPr="00CD68BA" w:rsidRDefault="00EA2EA1" w:rsidP="00A06718">
      <w:pPr>
        <w:pStyle w:val="Prrafodelista"/>
        <w:numPr>
          <w:ilvl w:val="0"/>
          <w:numId w:val="16"/>
        </w:numPr>
        <w:spacing w:before="0" w:after="0"/>
        <w:ind w:left="0" w:firstLine="0"/>
        <w:contextualSpacing w:val="0"/>
        <w:rPr>
          <w:iCs/>
          <w:szCs w:val="20"/>
          <w:lang w:val="es-CR"/>
        </w:rPr>
      </w:pPr>
      <w:r w:rsidRPr="00CD68BA">
        <w:rPr>
          <w:iCs/>
          <w:szCs w:val="20"/>
          <w:lang w:val="es-CR"/>
        </w:rPr>
        <w:t>A su vez,</w:t>
      </w:r>
      <w:r w:rsidR="004C6158" w:rsidRPr="00CD68BA">
        <w:rPr>
          <w:iCs/>
          <w:szCs w:val="20"/>
          <w:lang w:val="es-CR"/>
        </w:rPr>
        <w:t xml:space="preserve"> en cuanto a los anexos a los alegatos finales escritos de los representantes, el </w:t>
      </w:r>
      <w:r w:rsidR="004C6158" w:rsidRPr="00CD68BA">
        <w:rPr>
          <w:i/>
          <w:szCs w:val="20"/>
          <w:lang w:val="es-CR"/>
        </w:rPr>
        <w:t xml:space="preserve">Estado </w:t>
      </w:r>
      <w:r w:rsidR="004C6158" w:rsidRPr="00CD68BA">
        <w:rPr>
          <w:iCs/>
          <w:szCs w:val="20"/>
          <w:lang w:val="es-CR"/>
        </w:rPr>
        <w:t>presentó diversas observaciones</w:t>
      </w:r>
      <w:r w:rsidR="009746E4" w:rsidRPr="00CD68BA">
        <w:rPr>
          <w:iCs/>
          <w:szCs w:val="20"/>
          <w:lang w:val="es-CR"/>
        </w:rPr>
        <w:t xml:space="preserve">. No obstante, </w:t>
      </w:r>
      <w:r w:rsidRPr="00CD68BA">
        <w:rPr>
          <w:iCs/>
          <w:szCs w:val="20"/>
          <w:lang w:val="es-CR"/>
        </w:rPr>
        <w:t>dichas consideraciones se refieren a</w:t>
      </w:r>
      <w:r w:rsidR="009746E4" w:rsidRPr="00CD68BA">
        <w:rPr>
          <w:iCs/>
          <w:szCs w:val="20"/>
          <w:lang w:val="es-CR"/>
        </w:rPr>
        <w:t xml:space="preserve">l </w:t>
      </w:r>
      <w:r w:rsidRPr="00CD68BA">
        <w:rPr>
          <w:iCs/>
          <w:szCs w:val="20"/>
          <w:lang w:val="es-CR"/>
        </w:rPr>
        <w:t>valor probatorio</w:t>
      </w:r>
      <w:r w:rsidR="009746E4" w:rsidRPr="00CD68BA">
        <w:rPr>
          <w:iCs/>
          <w:szCs w:val="20"/>
          <w:lang w:val="es-CR"/>
        </w:rPr>
        <w:t xml:space="preserve"> de los documentos</w:t>
      </w:r>
      <w:r w:rsidRPr="00CD68BA">
        <w:rPr>
          <w:iCs/>
          <w:szCs w:val="20"/>
          <w:lang w:val="es-CR"/>
        </w:rPr>
        <w:t>, no a su admisibilidad. En consecuencia, la Corte</w:t>
      </w:r>
      <w:r w:rsidRPr="00CD68BA">
        <w:rPr>
          <w:i/>
          <w:szCs w:val="20"/>
          <w:lang w:val="es-CR"/>
        </w:rPr>
        <w:t xml:space="preserve"> </w:t>
      </w:r>
      <w:r w:rsidRPr="00CD68BA">
        <w:rPr>
          <w:iCs/>
          <w:szCs w:val="20"/>
          <w:lang w:val="es-CR"/>
        </w:rPr>
        <w:t xml:space="preserve">admite los referidos documentos en tanto que los anexos 1 a </w:t>
      </w:r>
      <w:r w:rsidR="007B01BB" w:rsidRPr="00CD68BA">
        <w:rPr>
          <w:iCs/>
          <w:szCs w:val="20"/>
          <w:lang w:val="es-CR"/>
        </w:rPr>
        <w:t>3 se refieren a hechos posteriores al escrito</w:t>
      </w:r>
      <w:r w:rsidRPr="00CD68BA">
        <w:rPr>
          <w:iCs/>
          <w:szCs w:val="20"/>
          <w:lang w:val="es-CR"/>
        </w:rPr>
        <w:t xml:space="preserve"> </w:t>
      </w:r>
      <w:r w:rsidR="007B01BB" w:rsidRPr="00CD68BA">
        <w:rPr>
          <w:iCs/>
          <w:szCs w:val="20"/>
          <w:lang w:val="es-CR"/>
        </w:rPr>
        <w:t>de solicitudes y argumentos y se relaci</w:t>
      </w:r>
      <w:r w:rsidR="008150F4" w:rsidRPr="00CD68BA">
        <w:rPr>
          <w:iCs/>
          <w:szCs w:val="20"/>
          <w:lang w:val="es-CR"/>
        </w:rPr>
        <w:t>o</w:t>
      </w:r>
      <w:r w:rsidR="007B01BB" w:rsidRPr="00CD68BA">
        <w:rPr>
          <w:iCs/>
          <w:szCs w:val="20"/>
          <w:lang w:val="es-CR"/>
        </w:rPr>
        <w:t xml:space="preserve">nan con el alegado contexto </w:t>
      </w:r>
      <w:r w:rsidR="008150F4" w:rsidRPr="00CD68BA">
        <w:rPr>
          <w:iCs/>
          <w:szCs w:val="20"/>
          <w:lang w:val="es-CR"/>
        </w:rPr>
        <w:t xml:space="preserve">de violencia asociada a los conflictos de tierra en Brasil; los anexos 4 y 5 tratan sobre hechos relativos al proceso civil indemnizatorio sucedidos con posterioridad al referido escrito, y </w:t>
      </w:r>
      <w:r w:rsidRPr="00CD68BA">
        <w:rPr>
          <w:iCs/>
          <w:szCs w:val="20"/>
          <w:lang w:val="es-CR"/>
        </w:rPr>
        <w:t xml:space="preserve">los anexos </w:t>
      </w:r>
      <w:r w:rsidR="008150F4" w:rsidRPr="00CD68BA">
        <w:rPr>
          <w:iCs/>
          <w:szCs w:val="20"/>
          <w:lang w:val="es-CR"/>
        </w:rPr>
        <w:t>6 y 7</w:t>
      </w:r>
      <w:r w:rsidRPr="00CD68BA">
        <w:rPr>
          <w:iCs/>
          <w:szCs w:val="20"/>
          <w:lang w:val="es-CR"/>
        </w:rPr>
        <w:t xml:space="preserve"> son documentos aportados como prueba de los gastos incurridos por los representantes en el litigio del presente caso. Las consideraciones efectuadas por Brasil serán tenidas en consideración en la valoración de la prueba.</w:t>
      </w:r>
    </w:p>
    <w:p w14:paraId="3DFE2801" w14:textId="77777777" w:rsidR="00E54BA2" w:rsidRPr="00CD68BA" w:rsidRDefault="00E54BA2" w:rsidP="00A06718">
      <w:pPr>
        <w:pStyle w:val="Prrafodelista"/>
        <w:spacing w:before="0" w:after="0"/>
        <w:contextualSpacing w:val="0"/>
        <w:rPr>
          <w:iCs/>
          <w:szCs w:val="20"/>
          <w:lang w:val="es-CR"/>
        </w:rPr>
      </w:pPr>
    </w:p>
    <w:p w14:paraId="73461524" w14:textId="6D2F8DEC" w:rsidR="00E54BA2" w:rsidRPr="00CD68BA" w:rsidRDefault="00E54BA2" w:rsidP="00A06718">
      <w:pPr>
        <w:pStyle w:val="Prrafodelista"/>
        <w:numPr>
          <w:ilvl w:val="0"/>
          <w:numId w:val="16"/>
        </w:numPr>
        <w:spacing w:before="0" w:after="0"/>
        <w:ind w:left="0" w:firstLine="0"/>
        <w:contextualSpacing w:val="0"/>
        <w:rPr>
          <w:iCs/>
          <w:szCs w:val="20"/>
          <w:lang w:val="es-CR"/>
        </w:rPr>
      </w:pPr>
      <w:r w:rsidRPr="00CD68BA">
        <w:rPr>
          <w:iCs/>
          <w:szCs w:val="20"/>
          <w:lang w:val="es-CR"/>
        </w:rPr>
        <w:t xml:space="preserve">Los representantes, por su parte, </w:t>
      </w:r>
      <w:r w:rsidR="007E2EC8" w:rsidRPr="00CD68BA">
        <w:rPr>
          <w:iCs/>
          <w:szCs w:val="20"/>
          <w:lang w:val="es-CR"/>
        </w:rPr>
        <w:t>objetaron el anexo 4 a los alegatos finales del Estado</w:t>
      </w:r>
      <w:r w:rsidR="00620ACB" w:rsidRPr="00CD68BA">
        <w:rPr>
          <w:iCs/>
          <w:szCs w:val="20"/>
          <w:lang w:val="es-CR"/>
        </w:rPr>
        <w:t xml:space="preserve">, alegando </w:t>
      </w:r>
      <w:r w:rsidR="00903942" w:rsidRPr="00CD68BA">
        <w:rPr>
          <w:iCs/>
          <w:szCs w:val="20"/>
          <w:lang w:val="es-CR"/>
        </w:rPr>
        <w:t xml:space="preserve">que el documento </w:t>
      </w:r>
      <w:r w:rsidR="00EE22CD" w:rsidRPr="00CD68BA">
        <w:rPr>
          <w:iCs/>
          <w:szCs w:val="20"/>
          <w:lang w:val="es-CR"/>
        </w:rPr>
        <w:t xml:space="preserve">fue presentado de forma extemporánea, en tanto fue publicado en 2019, y no responde a la pregunta formulada por </w:t>
      </w:r>
      <w:r w:rsidR="00AD0B30" w:rsidRPr="00CD68BA">
        <w:rPr>
          <w:iCs/>
          <w:szCs w:val="20"/>
          <w:lang w:val="es-CR"/>
        </w:rPr>
        <w:t xml:space="preserve">un </w:t>
      </w:r>
      <w:r w:rsidR="00EE22CD" w:rsidRPr="00CD68BA">
        <w:rPr>
          <w:iCs/>
          <w:szCs w:val="20"/>
          <w:lang w:val="es-CR"/>
        </w:rPr>
        <w:t>jue</w:t>
      </w:r>
      <w:r w:rsidR="00E001AA" w:rsidRPr="00CD68BA">
        <w:rPr>
          <w:iCs/>
          <w:szCs w:val="20"/>
          <w:lang w:val="es-CR"/>
        </w:rPr>
        <w:t xml:space="preserve">z </w:t>
      </w:r>
      <w:r w:rsidR="00EE22CD" w:rsidRPr="00CD68BA">
        <w:rPr>
          <w:iCs/>
          <w:szCs w:val="20"/>
          <w:lang w:val="es-CR"/>
        </w:rPr>
        <w:t>durante la audiencia pública</w:t>
      </w:r>
      <w:r w:rsidR="00D776FA" w:rsidRPr="00CD68BA">
        <w:rPr>
          <w:iCs/>
          <w:szCs w:val="20"/>
          <w:lang w:val="es-CR"/>
        </w:rPr>
        <w:t xml:space="preserve"> celebrada en el presente caso</w:t>
      </w:r>
      <w:r w:rsidR="00EE22CD" w:rsidRPr="00CD68BA">
        <w:rPr>
          <w:iCs/>
          <w:szCs w:val="20"/>
          <w:lang w:val="es-CR"/>
        </w:rPr>
        <w:t xml:space="preserve">. El Tribunal </w:t>
      </w:r>
      <w:r w:rsidR="00B168FD" w:rsidRPr="00CD68BA">
        <w:rPr>
          <w:iCs/>
          <w:szCs w:val="20"/>
          <w:lang w:val="es-CR"/>
        </w:rPr>
        <w:t xml:space="preserve">nota, en efecto, que el referido anexo </w:t>
      </w:r>
      <w:r w:rsidR="00903942" w:rsidRPr="00CD68BA">
        <w:rPr>
          <w:iCs/>
          <w:szCs w:val="20"/>
          <w:lang w:val="es-CR"/>
        </w:rPr>
        <w:t>se refiere a una re</w:t>
      </w:r>
      <w:r w:rsidR="007811A7" w:rsidRPr="00CD68BA">
        <w:rPr>
          <w:iCs/>
          <w:szCs w:val="20"/>
          <w:lang w:val="es-CR"/>
        </w:rPr>
        <w:t xml:space="preserve">solución del Consejo Nacional del Ministerio Público </w:t>
      </w:r>
      <w:r w:rsidR="00B168FD" w:rsidRPr="00CD68BA">
        <w:rPr>
          <w:iCs/>
          <w:szCs w:val="20"/>
          <w:lang w:val="es-CR"/>
        </w:rPr>
        <w:t>de 2019</w:t>
      </w:r>
      <w:r w:rsidR="00D776FA" w:rsidRPr="00CD68BA">
        <w:rPr>
          <w:iCs/>
          <w:szCs w:val="20"/>
          <w:lang w:val="es-CR"/>
        </w:rPr>
        <w:t>,</w:t>
      </w:r>
      <w:r w:rsidR="00B168FD" w:rsidRPr="00CD68BA">
        <w:rPr>
          <w:iCs/>
          <w:szCs w:val="20"/>
          <w:lang w:val="es-CR"/>
        </w:rPr>
        <w:t xml:space="preserve"> </w:t>
      </w:r>
      <w:r w:rsidR="000A0789" w:rsidRPr="00CD68BA">
        <w:rPr>
          <w:iCs/>
          <w:szCs w:val="20"/>
          <w:lang w:val="es-CR"/>
        </w:rPr>
        <w:t>cuyo</w:t>
      </w:r>
      <w:r w:rsidR="007811A7" w:rsidRPr="00CD68BA">
        <w:rPr>
          <w:iCs/>
          <w:szCs w:val="20"/>
          <w:lang w:val="es-CR"/>
        </w:rPr>
        <w:t xml:space="preserve"> objeto es </w:t>
      </w:r>
      <w:r w:rsidR="00A22536" w:rsidRPr="00CD68BA">
        <w:rPr>
          <w:iCs/>
          <w:szCs w:val="20"/>
          <w:lang w:val="es-CR"/>
        </w:rPr>
        <w:t>permitir</w:t>
      </w:r>
      <w:r w:rsidR="00864992" w:rsidRPr="00CD68BA">
        <w:rPr>
          <w:iCs/>
          <w:szCs w:val="20"/>
          <w:lang w:val="es-CR"/>
        </w:rPr>
        <w:t xml:space="preserve"> la participación de</w:t>
      </w:r>
      <w:r w:rsidR="007811A7" w:rsidRPr="00CD68BA">
        <w:rPr>
          <w:iCs/>
          <w:szCs w:val="20"/>
          <w:lang w:val="es-CR"/>
        </w:rPr>
        <w:t xml:space="preserve"> las </w:t>
      </w:r>
      <w:r w:rsidR="007811A7" w:rsidRPr="00CD68BA">
        <w:rPr>
          <w:iCs/>
          <w:szCs w:val="20"/>
          <w:lang w:val="es-CR"/>
        </w:rPr>
        <w:lastRenderedPageBreak/>
        <w:t xml:space="preserve">víctimas de delitos o sus familiares en la investigación </w:t>
      </w:r>
      <w:r w:rsidR="00864992" w:rsidRPr="00CD68BA">
        <w:rPr>
          <w:iCs/>
          <w:szCs w:val="20"/>
          <w:lang w:val="es-CR"/>
        </w:rPr>
        <w:t xml:space="preserve">llevada a cabo por </w:t>
      </w:r>
      <w:r w:rsidR="007811A7" w:rsidRPr="00CD68BA">
        <w:rPr>
          <w:iCs/>
          <w:szCs w:val="20"/>
          <w:lang w:val="es-CR"/>
        </w:rPr>
        <w:t>el Ministerio Público</w:t>
      </w:r>
      <w:r w:rsidR="00B168FD" w:rsidRPr="00CD68BA">
        <w:rPr>
          <w:iCs/>
          <w:szCs w:val="20"/>
          <w:lang w:val="es-CR"/>
        </w:rPr>
        <w:t>, lo cual implica que n</w:t>
      </w:r>
      <w:r w:rsidR="006012A2" w:rsidRPr="00CD68BA">
        <w:rPr>
          <w:iCs/>
          <w:szCs w:val="20"/>
          <w:lang w:val="es-CR"/>
        </w:rPr>
        <w:t>i</w:t>
      </w:r>
      <w:r w:rsidR="00B168FD" w:rsidRPr="00CD68BA">
        <w:rPr>
          <w:iCs/>
          <w:szCs w:val="20"/>
          <w:lang w:val="es-CR"/>
        </w:rPr>
        <w:t xml:space="preserve"> tiene relación con el presente caso, n</w:t>
      </w:r>
      <w:r w:rsidR="006012A2" w:rsidRPr="00CD68BA">
        <w:rPr>
          <w:iCs/>
          <w:szCs w:val="20"/>
          <w:lang w:val="es-CR"/>
        </w:rPr>
        <w:t>i</w:t>
      </w:r>
      <w:r w:rsidR="00B168FD" w:rsidRPr="00CD68BA">
        <w:rPr>
          <w:iCs/>
          <w:szCs w:val="20"/>
          <w:lang w:val="es-CR"/>
        </w:rPr>
        <w:t xml:space="preserve"> responde a pregunta alguna de las juezas </w:t>
      </w:r>
      <w:r w:rsidR="00A22536" w:rsidRPr="00CD68BA">
        <w:rPr>
          <w:iCs/>
          <w:szCs w:val="20"/>
          <w:lang w:val="es-CR"/>
        </w:rPr>
        <w:t>o</w:t>
      </w:r>
      <w:r w:rsidR="00B168FD" w:rsidRPr="00CD68BA">
        <w:rPr>
          <w:iCs/>
          <w:szCs w:val="20"/>
          <w:lang w:val="es-CR"/>
        </w:rPr>
        <w:t xml:space="preserve"> jueces </w:t>
      </w:r>
      <w:r w:rsidR="006740DF" w:rsidRPr="00CD68BA">
        <w:rPr>
          <w:iCs/>
          <w:szCs w:val="20"/>
          <w:lang w:val="es-CR"/>
        </w:rPr>
        <w:t>formula</w:t>
      </w:r>
      <w:r w:rsidR="00B168FD" w:rsidRPr="00CD68BA">
        <w:rPr>
          <w:iCs/>
          <w:szCs w:val="20"/>
          <w:lang w:val="es-CR"/>
        </w:rPr>
        <w:t xml:space="preserve">da al Estado </w:t>
      </w:r>
      <w:r w:rsidR="006012A2" w:rsidRPr="00CD68BA">
        <w:rPr>
          <w:iCs/>
          <w:szCs w:val="20"/>
          <w:lang w:val="es-CR"/>
        </w:rPr>
        <w:t>durante</w:t>
      </w:r>
      <w:r w:rsidR="00B168FD" w:rsidRPr="00CD68BA">
        <w:rPr>
          <w:iCs/>
          <w:szCs w:val="20"/>
          <w:lang w:val="es-CR"/>
        </w:rPr>
        <w:t xml:space="preserve"> la audiencia</w:t>
      </w:r>
      <w:r w:rsidR="006012A2" w:rsidRPr="00CD68BA">
        <w:rPr>
          <w:iCs/>
          <w:szCs w:val="20"/>
          <w:lang w:val="es-CR"/>
        </w:rPr>
        <w:t xml:space="preserve">. </w:t>
      </w:r>
      <w:r w:rsidR="00864992" w:rsidRPr="00CD68BA">
        <w:rPr>
          <w:iCs/>
          <w:szCs w:val="20"/>
          <w:lang w:val="es-CR"/>
        </w:rPr>
        <w:t>Teniendo en cuenta</w:t>
      </w:r>
      <w:r w:rsidR="00E001AA" w:rsidRPr="00CD68BA">
        <w:rPr>
          <w:iCs/>
          <w:szCs w:val="20"/>
          <w:lang w:val="es-CR"/>
        </w:rPr>
        <w:t xml:space="preserve"> </w:t>
      </w:r>
      <w:r w:rsidR="003B5534" w:rsidRPr="00CD68BA">
        <w:rPr>
          <w:iCs/>
          <w:szCs w:val="20"/>
          <w:lang w:val="es-CR"/>
        </w:rPr>
        <w:t xml:space="preserve">lo anterior </w:t>
      </w:r>
      <w:r w:rsidR="00E001AA" w:rsidRPr="00CD68BA">
        <w:rPr>
          <w:iCs/>
          <w:szCs w:val="20"/>
          <w:lang w:val="es-CR"/>
        </w:rPr>
        <w:t>y</w:t>
      </w:r>
      <w:r w:rsidR="00864992" w:rsidRPr="00CD68BA">
        <w:rPr>
          <w:iCs/>
          <w:szCs w:val="20"/>
          <w:lang w:val="es-CR"/>
        </w:rPr>
        <w:t>,</w:t>
      </w:r>
      <w:r w:rsidR="006012A2" w:rsidRPr="00CD68BA">
        <w:rPr>
          <w:iCs/>
          <w:szCs w:val="20"/>
          <w:lang w:val="es-CR"/>
        </w:rPr>
        <w:t xml:space="preserve"> </w:t>
      </w:r>
      <w:r w:rsidR="00864992" w:rsidRPr="00CD68BA">
        <w:rPr>
          <w:iCs/>
          <w:szCs w:val="20"/>
          <w:lang w:val="es-CR"/>
        </w:rPr>
        <w:t>al</w:t>
      </w:r>
      <w:r w:rsidR="006012A2" w:rsidRPr="00CD68BA">
        <w:rPr>
          <w:iCs/>
          <w:szCs w:val="20"/>
          <w:lang w:val="es-CR"/>
        </w:rPr>
        <w:t xml:space="preserve"> ser un documento de fecha anterior a la presentación de la contestación por parte del Estado,</w:t>
      </w:r>
      <w:r w:rsidR="00B168FD" w:rsidRPr="00CD68BA">
        <w:rPr>
          <w:iCs/>
          <w:szCs w:val="20"/>
          <w:lang w:val="es-CR"/>
        </w:rPr>
        <w:t xml:space="preserve"> </w:t>
      </w:r>
      <w:r w:rsidR="00864992" w:rsidRPr="00CD68BA">
        <w:rPr>
          <w:iCs/>
          <w:szCs w:val="20"/>
          <w:lang w:val="es-CR"/>
        </w:rPr>
        <w:t xml:space="preserve">no es admisible por </w:t>
      </w:r>
      <w:r w:rsidR="00903942" w:rsidRPr="00CD68BA">
        <w:rPr>
          <w:iCs/>
          <w:szCs w:val="20"/>
          <w:lang w:val="es-CR"/>
        </w:rPr>
        <w:t>extemporáne</w:t>
      </w:r>
      <w:r w:rsidR="00864992" w:rsidRPr="00CD68BA">
        <w:rPr>
          <w:iCs/>
          <w:szCs w:val="20"/>
          <w:lang w:val="es-CR"/>
        </w:rPr>
        <w:t>o</w:t>
      </w:r>
      <w:r w:rsidR="006012A2" w:rsidRPr="00CD68BA">
        <w:rPr>
          <w:iCs/>
          <w:szCs w:val="20"/>
          <w:lang w:val="es-CR"/>
        </w:rPr>
        <w:t xml:space="preserve">, en los términos del artículo </w:t>
      </w:r>
      <w:r w:rsidR="00C57012" w:rsidRPr="00CD68BA">
        <w:rPr>
          <w:iCs/>
          <w:szCs w:val="20"/>
          <w:lang w:val="es-CR"/>
        </w:rPr>
        <w:t>57.2 del Reglamento de la Corte</w:t>
      </w:r>
      <w:r w:rsidR="006012A2" w:rsidRPr="00CD68BA">
        <w:rPr>
          <w:iCs/>
          <w:szCs w:val="20"/>
          <w:lang w:val="es-CR"/>
        </w:rPr>
        <w:t>.</w:t>
      </w:r>
      <w:r w:rsidR="00903942" w:rsidRPr="00CD68BA">
        <w:rPr>
          <w:iCs/>
          <w:szCs w:val="20"/>
          <w:lang w:val="es-CR"/>
        </w:rPr>
        <w:t xml:space="preserve"> </w:t>
      </w:r>
    </w:p>
    <w:p w14:paraId="7DF37CF1" w14:textId="77777777" w:rsidR="009428B7" w:rsidRPr="00CD68BA" w:rsidRDefault="009428B7" w:rsidP="00A06718">
      <w:pPr>
        <w:pStyle w:val="Prrafodelista"/>
        <w:spacing w:before="0" w:after="0"/>
        <w:ind w:left="0"/>
        <w:contextualSpacing w:val="0"/>
        <w:rPr>
          <w:iCs/>
          <w:szCs w:val="20"/>
          <w:lang w:val="es-CR"/>
        </w:rPr>
      </w:pPr>
    </w:p>
    <w:p w14:paraId="23954D5C" w14:textId="2C2A640B" w:rsidR="00956605" w:rsidRPr="00CD68BA" w:rsidRDefault="00AD05C1" w:rsidP="00A06718">
      <w:pPr>
        <w:pStyle w:val="Estilo3"/>
        <w:numPr>
          <w:ilvl w:val="0"/>
          <w:numId w:val="0"/>
        </w:numPr>
        <w:spacing w:line="240" w:lineRule="auto"/>
        <w:ind w:left="360"/>
        <w:rPr>
          <w:i/>
        </w:rPr>
      </w:pPr>
      <w:bookmarkStart w:id="84" w:name="_Toc9511441"/>
      <w:bookmarkStart w:id="85" w:name="_Toc4402949"/>
      <w:bookmarkStart w:id="86" w:name="_Toc4402710"/>
      <w:bookmarkStart w:id="87" w:name="_Toc27329756"/>
      <w:bookmarkStart w:id="88" w:name="_Toc86742181"/>
      <w:bookmarkStart w:id="89" w:name="_Toc114778773"/>
      <w:r w:rsidRPr="00CD68BA">
        <w:rPr>
          <w:iCs/>
        </w:rPr>
        <w:t>B.</w:t>
      </w:r>
      <w:r w:rsidRPr="00CD68BA">
        <w:rPr>
          <w:i/>
        </w:rPr>
        <w:t xml:space="preserve"> </w:t>
      </w:r>
      <w:bookmarkEnd w:id="84"/>
      <w:bookmarkEnd w:id="85"/>
      <w:bookmarkEnd w:id="86"/>
      <w:bookmarkEnd w:id="87"/>
      <w:bookmarkEnd w:id="88"/>
      <w:r w:rsidR="003E490B" w:rsidRPr="00CD68BA">
        <w:t>Admisibilidad de la prueba testimonial y pericial</w:t>
      </w:r>
      <w:bookmarkEnd w:id="89"/>
    </w:p>
    <w:p w14:paraId="76FD5AEE" w14:textId="77777777" w:rsidR="00581ADE" w:rsidRPr="00CD68BA" w:rsidRDefault="00581ADE" w:rsidP="00A06718">
      <w:pPr>
        <w:pStyle w:val="Prrafodelista"/>
        <w:autoSpaceDE w:val="0"/>
        <w:autoSpaceDN w:val="0"/>
        <w:adjustRightInd w:val="0"/>
        <w:spacing w:before="0" w:after="0"/>
        <w:ind w:left="0"/>
        <w:contextualSpacing w:val="0"/>
        <w:rPr>
          <w:szCs w:val="20"/>
          <w:lang w:val="es-CR"/>
        </w:rPr>
      </w:pPr>
    </w:p>
    <w:p w14:paraId="66ADB4C2" w14:textId="386947BA" w:rsidR="00F42F24" w:rsidRPr="00CD68BA" w:rsidRDefault="00F42F2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rPr>
        <w:t>Este Tribunal estima pertinente admitir las declaraciones rendidas ante fedatario público</w:t>
      </w:r>
      <w:r w:rsidRPr="00CD68BA">
        <w:rPr>
          <w:iCs/>
          <w:vertAlign w:val="superscript"/>
          <w:lang w:val="es-CR"/>
        </w:rPr>
        <w:footnoteReference w:id="30"/>
      </w:r>
      <w:r w:rsidRPr="00CD68BA">
        <w:rPr>
          <w:szCs w:val="20"/>
          <w:lang w:val="es-CR"/>
        </w:rPr>
        <w:t xml:space="preserve"> y en audiencia pública</w:t>
      </w:r>
      <w:r w:rsidRPr="00CD68BA">
        <w:rPr>
          <w:iCs/>
          <w:vertAlign w:val="superscript"/>
          <w:lang w:val="es-CR"/>
        </w:rPr>
        <w:footnoteReference w:id="31"/>
      </w:r>
      <w:r w:rsidRPr="00CD68BA">
        <w:rPr>
          <w:szCs w:val="20"/>
          <w:lang w:val="es-CR"/>
        </w:rPr>
        <w:t>, en la medida en que se ajusten al objeto que fue definido por la Presidencia en la Resolución mediante la cual se ordenó recibirlos y al objeto del presente caso</w:t>
      </w:r>
      <w:r w:rsidRPr="00CD68BA">
        <w:rPr>
          <w:iCs/>
          <w:vertAlign w:val="superscript"/>
          <w:lang w:val="es-CR"/>
        </w:rPr>
        <w:footnoteReference w:id="32"/>
      </w:r>
      <w:r w:rsidRPr="00CD68BA">
        <w:rPr>
          <w:szCs w:val="20"/>
          <w:lang w:val="es-CR"/>
        </w:rPr>
        <w:t>.</w:t>
      </w:r>
    </w:p>
    <w:p w14:paraId="0394832C" w14:textId="1A0B9E22" w:rsidR="003F3AAA" w:rsidRPr="00CD68BA" w:rsidRDefault="00DD5092" w:rsidP="00A06718">
      <w:pPr>
        <w:pStyle w:val="Prrafodelista"/>
        <w:autoSpaceDE w:val="0"/>
        <w:autoSpaceDN w:val="0"/>
        <w:adjustRightInd w:val="0"/>
        <w:spacing w:before="0" w:after="0"/>
        <w:ind w:left="-90"/>
        <w:contextualSpacing w:val="0"/>
        <w:rPr>
          <w:szCs w:val="20"/>
          <w:lang w:val="es-CR"/>
        </w:rPr>
      </w:pPr>
      <w:r w:rsidRPr="00CD68BA">
        <w:rPr>
          <w:szCs w:val="20"/>
          <w:lang w:val="es-CR"/>
        </w:rPr>
        <w:t xml:space="preserve"> </w:t>
      </w:r>
    </w:p>
    <w:p w14:paraId="28D25828" w14:textId="34B0CA64" w:rsidR="00381DB5" w:rsidRPr="00CD68BA" w:rsidRDefault="00381DB5" w:rsidP="00A06718">
      <w:pPr>
        <w:pStyle w:val="Ttulo1"/>
        <w:spacing w:before="0" w:after="0"/>
        <w:rPr>
          <w:lang w:val="es-CR"/>
        </w:rPr>
      </w:pPr>
      <w:bookmarkStart w:id="90" w:name="_Toc470105100"/>
      <w:bookmarkStart w:id="91" w:name="_Toc114778774"/>
      <w:bookmarkEnd w:id="81"/>
      <w:bookmarkEnd w:id="82"/>
      <w:r w:rsidRPr="00CD68BA">
        <w:rPr>
          <w:lang w:val="es-CR"/>
        </w:rPr>
        <w:t>V</w:t>
      </w:r>
      <w:r w:rsidR="004F7ACE" w:rsidRPr="00CD68BA">
        <w:rPr>
          <w:lang w:val="es-CR"/>
        </w:rPr>
        <w:t>I</w:t>
      </w:r>
      <w:r w:rsidRPr="00CD68BA">
        <w:rPr>
          <w:lang w:val="es-CR"/>
        </w:rPr>
        <w:t>I</w:t>
      </w:r>
      <w:r w:rsidRPr="00CD68BA">
        <w:rPr>
          <w:lang w:val="es-CR"/>
        </w:rPr>
        <w:br/>
        <w:t>HECHOS</w:t>
      </w:r>
      <w:bookmarkEnd w:id="90"/>
      <w:bookmarkEnd w:id="91"/>
    </w:p>
    <w:p w14:paraId="36388820" w14:textId="77777777" w:rsidR="00581ADE" w:rsidRPr="00CD68BA" w:rsidRDefault="00581ADE" w:rsidP="00A06718">
      <w:pPr>
        <w:pStyle w:val="Prrafodelista"/>
        <w:autoSpaceDE w:val="0"/>
        <w:autoSpaceDN w:val="0"/>
        <w:adjustRightInd w:val="0"/>
        <w:spacing w:before="0" w:after="0"/>
        <w:ind w:left="0"/>
        <w:contextualSpacing w:val="0"/>
        <w:rPr>
          <w:lang w:val="es-CR"/>
        </w:rPr>
      </w:pPr>
      <w:bookmarkStart w:id="92" w:name="_Toc438132294"/>
      <w:bookmarkStart w:id="93" w:name="_Toc442082547"/>
      <w:bookmarkStart w:id="94" w:name="_Toc460237958"/>
      <w:bookmarkStart w:id="95" w:name="_Toc460238255"/>
      <w:bookmarkStart w:id="96" w:name="_Toc460409658"/>
      <w:bookmarkStart w:id="97" w:name="_Toc460612951"/>
      <w:bookmarkStart w:id="98" w:name="_Toc470105104"/>
      <w:bookmarkStart w:id="99" w:name="_Toc442082558"/>
      <w:bookmarkStart w:id="100" w:name="_Toc460237959"/>
      <w:bookmarkStart w:id="101" w:name="_Toc460238256"/>
      <w:bookmarkStart w:id="102" w:name="_Toc442082559"/>
      <w:bookmarkStart w:id="103" w:name="_Toc460237960"/>
      <w:bookmarkStart w:id="104" w:name="_Toc442082560"/>
      <w:bookmarkStart w:id="105" w:name="_Toc460237961"/>
      <w:bookmarkStart w:id="106" w:name="_Toc460238257"/>
    </w:p>
    <w:p w14:paraId="2CF50D56" w14:textId="53942E59" w:rsidR="004B2A73" w:rsidRPr="00CD68BA" w:rsidRDefault="004B2A7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este capítulo </w:t>
      </w:r>
      <w:r w:rsidR="003A2E79" w:rsidRPr="00CD68BA">
        <w:rPr>
          <w:lang w:val="es-CR"/>
        </w:rPr>
        <w:t xml:space="preserve">la Corte </w:t>
      </w:r>
      <w:r w:rsidRPr="00CD68BA">
        <w:rPr>
          <w:lang w:val="es-CR"/>
        </w:rPr>
        <w:t>establecerá los hechos</w:t>
      </w:r>
      <w:r w:rsidR="003A2E79" w:rsidRPr="00CD68BA">
        <w:rPr>
          <w:lang w:val="es-CR"/>
        </w:rPr>
        <w:t xml:space="preserve"> que se tendrán por probados en </w:t>
      </w:r>
      <w:r w:rsidRPr="00CD68BA">
        <w:rPr>
          <w:lang w:val="es-CR"/>
        </w:rPr>
        <w:t xml:space="preserve">el presente caso, </w:t>
      </w:r>
      <w:r w:rsidR="003A2E79" w:rsidRPr="00CD68BA">
        <w:rPr>
          <w:lang w:val="es-CR"/>
        </w:rPr>
        <w:t>de acuerdo con el acervo probatorio que ha sido admitido y según el marco fáctico establecido en el Informe de Fondo. Además, se incluirán los hechos expuestos por las partes que permitan explicar, aclarar o desestimar ese marco fáctico. De ese modo, el presente capítulo</w:t>
      </w:r>
      <w:r w:rsidRPr="00CD68BA">
        <w:rPr>
          <w:lang w:val="es-CR"/>
        </w:rPr>
        <w:t xml:space="preserve"> está dividido en </w:t>
      </w:r>
      <w:r w:rsidR="00DB7081" w:rsidRPr="00CD68BA">
        <w:rPr>
          <w:lang w:val="es-CR"/>
        </w:rPr>
        <w:t>tres</w:t>
      </w:r>
      <w:r w:rsidRPr="00CD68BA">
        <w:rPr>
          <w:lang w:val="es-CR"/>
        </w:rPr>
        <w:t xml:space="preserve"> partes.</w:t>
      </w:r>
      <w:r w:rsidR="00774C15" w:rsidRPr="00CD68BA">
        <w:rPr>
          <w:lang w:val="es-CR"/>
        </w:rPr>
        <w:t xml:space="preserve"> </w:t>
      </w:r>
      <w:r w:rsidRPr="00CD68BA">
        <w:rPr>
          <w:lang w:val="es-CR"/>
        </w:rPr>
        <w:t xml:space="preserve">La primera, se refiere </w:t>
      </w:r>
      <w:r w:rsidR="00DB7081" w:rsidRPr="00CD68BA">
        <w:rPr>
          <w:lang w:val="es-CR"/>
        </w:rPr>
        <w:t xml:space="preserve">al contexto de violencia </w:t>
      </w:r>
      <w:r w:rsidR="00040922" w:rsidRPr="00CD68BA">
        <w:rPr>
          <w:lang w:val="es-CR"/>
        </w:rPr>
        <w:t xml:space="preserve">e impunidad </w:t>
      </w:r>
      <w:r w:rsidR="00C73CE6" w:rsidRPr="00CD68BA">
        <w:rPr>
          <w:lang w:val="es-CR"/>
        </w:rPr>
        <w:t>relacionad</w:t>
      </w:r>
      <w:r w:rsidR="002366FC" w:rsidRPr="00CD68BA">
        <w:rPr>
          <w:lang w:val="es-CR"/>
        </w:rPr>
        <w:t>a</w:t>
      </w:r>
      <w:r w:rsidR="00C73CE6" w:rsidRPr="00CD68BA">
        <w:rPr>
          <w:lang w:val="es-CR"/>
        </w:rPr>
        <w:t xml:space="preserve"> con la lucha por </w:t>
      </w:r>
      <w:r w:rsidR="00403AEC" w:rsidRPr="00CD68BA">
        <w:rPr>
          <w:lang w:val="es-CR"/>
        </w:rPr>
        <w:t>la tierra</w:t>
      </w:r>
      <w:r w:rsidR="00C73CE6" w:rsidRPr="00CD68BA">
        <w:rPr>
          <w:lang w:val="es-CR"/>
        </w:rPr>
        <w:t xml:space="preserve"> en Brasil</w:t>
      </w:r>
      <w:r w:rsidR="00DB7081" w:rsidRPr="00CD68BA">
        <w:rPr>
          <w:lang w:val="es-CR"/>
        </w:rPr>
        <w:t>. En la segunda parte, est</w:t>
      </w:r>
      <w:r w:rsidR="003A2E79" w:rsidRPr="00CD68BA">
        <w:rPr>
          <w:lang w:val="es-CR"/>
        </w:rPr>
        <w:t>ar</w:t>
      </w:r>
      <w:r w:rsidR="00DB7081" w:rsidRPr="00CD68BA">
        <w:rPr>
          <w:lang w:val="es-CR"/>
        </w:rPr>
        <w:t xml:space="preserve">án </w:t>
      </w:r>
      <w:r w:rsidR="003A2E79" w:rsidRPr="00CD68BA">
        <w:rPr>
          <w:lang w:val="es-CR"/>
        </w:rPr>
        <w:t xml:space="preserve">expuestos </w:t>
      </w:r>
      <w:r w:rsidRPr="00CD68BA">
        <w:rPr>
          <w:lang w:val="es-CR"/>
        </w:rPr>
        <w:t>los hechos anteriores al reconocimiento de la competencia contenciosa de la Corte</w:t>
      </w:r>
      <w:r w:rsidR="000E1D9C" w:rsidRPr="00CD68BA">
        <w:rPr>
          <w:lang w:val="es-CR"/>
        </w:rPr>
        <w:t xml:space="preserve"> por parte del Estado</w:t>
      </w:r>
      <w:r w:rsidRPr="00CD68BA">
        <w:rPr>
          <w:lang w:val="es-CR"/>
        </w:rPr>
        <w:t xml:space="preserve">, por lo que el Tribunal únicamente los considerará como antecedentes </w:t>
      </w:r>
      <w:r w:rsidR="004E1C52" w:rsidRPr="00CD68BA">
        <w:rPr>
          <w:lang w:val="es-CR"/>
        </w:rPr>
        <w:t>de</w:t>
      </w:r>
      <w:r w:rsidRPr="00CD68BA">
        <w:rPr>
          <w:lang w:val="es-CR"/>
        </w:rPr>
        <w:t xml:space="preserve">l caso y no determinará ninguna consecuencia jurídica con base en ellos. La </w:t>
      </w:r>
      <w:r w:rsidR="003A2E79" w:rsidRPr="00CD68BA">
        <w:rPr>
          <w:lang w:val="es-CR"/>
        </w:rPr>
        <w:t>tercera</w:t>
      </w:r>
      <w:r w:rsidRPr="00CD68BA">
        <w:rPr>
          <w:lang w:val="es-CR"/>
        </w:rPr>
        <w:t xml:space="preserve"> parte contiene aquellos hechos acaecidos a partir de la fecha del referido reconocimiento de competencia (</w:t>
      </w:r>
      <w:r w:rsidRPr="00CD68BA">
        <w:rPr>
          <w:i/>
          <w:lang w:val="es-CR"/>
        </w:rPr>
        <w:t>supra</w:t>
      </w:r>
      <w:r w:rsidRPr="00CD68BA">
        <w:rPr>
          <w:lang w:val="es-CR"/>
        </w:rPr>
        <w:t xml:space="preserve"> párr. </w:t>
      </w:r>
      <w:r w:rsidR="008D4B9B" w:rsidRPr="00CD68BA">
        <w:rPr>
          <w:lang w:val="es-CR"/>
        </w:rPr>
        <w:t>15</w:t>
      </w:r>
      <w:r w:rsidRPr="00CD68BA">
        <w:rPr>
          <w:lang w:val="es-CR"/>
        </w:rPr>
        <w:t>).</w:t>
      </w:r>
    </w:p>
    <w:p w14:paraId="500D73D5" w14:textId="77777777" w:rsidR="004B2A73" w:rsidRPr="00CD68BA" w:rsidRDefault="004B2A73" w:rsidP="00A06718">
      <w:pPr>
        <w:autoSpaceDE w:val="0"/>
        <w:autoSpaceDN w:val="0"/>
        <w:adjustRightInd w:val="0"/>
        <w:spacing w:before="0" w:after="0"/>
        <w:rPr>
          <w:lang w:val="es-CR"/>
        </w:rPr>
      </w:pPr>
    </w:p>
    <w:p w14:paraId="36FE5BA5" w14:textId="1BCC6165" w:rsidR="004B2A73" w:rsidRPr="00CD68BA" w:rsidRDefault="00AD05C1" w:rsidP="00A06718">
      <w:pPr>
        <w:pStyle w:val="Estilo3"/>
        <w:numPr>
          <w:ilvl w:val="0"/>
          <w:numId w:val="0"/>
        </w:numPr>
        <w:spacing w:line="240" w:lineRule="auto"/>
        <w:ind w:left="360"/>
      </w:pPr>
      <w:bookmarkStart w:id="107" w:name="_Toc114778775"/>
      <w:r w:rsidRPr="00CD68BA">
        <w:t xml:space="preserve">A. </w:t>
      </w:r>
      <w:r w:rsidR="00F91788" w:rsidRPr="00CD68BA">
        <w:t xml:space="preserve">Contexto de violencia </w:t>
      </w:r>
      <w:r w:rsidR="00040922" w:rsidRPr="00CD68BA">
        <w:t xml:space="preserve">e impunidad </w:t>
      </w:r>
      <w:r w:rsidR="00733671" w:rsidRPr="00CD68BA">
        <w:t>relacionad</w:t>
      </w:r>
      <w:r w:rsidR="00B1338A" w:rsidRPr="00CD68BA">
        <w:t>o</w:t>
      </w:r>
      <w:r w:rsidR="00733671" w:rsidRPr="00CD68BA">
        <w:t xml:space="preserve"> con la lucha por </w:t>
      </w:r>
      <w:r w:rsidR="00403AEC" w:rsidRPr="00CD68BA">
        <w:t>la tierra</w:t>
      </w:r>
      <w:r w:rsidR="00733671" w:rsidRPr="00CD68BA">
        <w:t xml:space="preserve"> </w:t>
      </w:r>
      <w:r w:rsidR="00F91788" w:rsidRPr="00CD68BA">
        <w:t>en Brasil</w:t>
      </w:r>
      <w:bookmarkEnd w:id="107"/>
    </w:p>
    <w:p w14:paraId="5985479E" w14:textId="152AB01D" w:rsidR="00A30F1A" w:rsidRPr="00CD68BA" w:rsidRDefault="00A30F1A" w:rsidP="00A06718">
      <w:pPr>
        <w:spacing w:before="0" w:after="0"/>
        <w:rPr>
          <w:szCs w:val="20"/>
          <w:lang w:val="es-CR"/>
        </w:rPr>
      </w:pPr>
    </w:p>
    <w:p w14:paraId="58BCC990" w14:textId="63F45923" w:rsidR="008E3B01" w:rsidRPr="00CD68BA" w:rsidRDefault="00686C3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Brasil posee un extenso territorio con gran capacidad productiva y de asentamiento social, que desde el per</w:t>
      </w:r>
      <w:r w:rsidR="004E1C52" w:rsidRPr="00CD68BA">
        <w:rPr>
          <w:lang w:val="es-CR"/>
        </w:rPr>
        <w:t>í</w:t>
      </w:r>
      <w:r w:rsidRPr="00CD68BA">
        <w:rPr>
          <w:lang w:val="es-CR"/>
        </w:rPr>
        <w:t xml:space="preserve">odo colonial ha experimentado una distribución desequilibrada de </w:t>
      </w:r>
      <w:r w:rsidR="002366FC" w:rsidRPr="00CD68BA">
        <w:rPr>
          <w:lang w:val="es-CR"/>
        </w:rPr>
        <w:t>la</w:t>
      </w:r>
      <w:r w:rsidRPr="00CD68BA">
        <w:rPr>
          <w:lang w:val="es-CR"/>
        </w:rPr>
        <w:t xml:space="preserve"> propiedad</w:t>
      </w:r>
      <w:r w:rsidRPr="00CD68BA">
        <w:rPr>
          <w:rStyle w:val="Refdenotaalpie"/>
          <w:lang w:val="es-CR"/>
        </w:rPr>
        <w:footnoteReference w:id="33"/>
      </w:r>
      <w:r w:rsidRPr="00CD68BA">
        <w:rPr>
          <w:lang w:val="es-CR"/>
        </w:rPr>
        <w:t xml:space="preserve">. A este respecto, en </w:t>
      </w:r>
      <w:r w:rsidR="00A22192" w:rsidRPr="00CD68BA">
        <w:rPr>
          <w:lang w:val="es-CR"/>
        </w:rPr>
        <w:t>e</w:t>
      </w:r>
      <w:r w:rsidRPr="00CD68BA">
        <w:rPr>
          <w:lang w:val="es-CR"/>
        </w:rPr>
        <w:t xml:space="preserve">l año 1980, los asentamientos rurales con una extensión mayor a 1.000 hectáreas, considerados como grandes asentamientos, representaban </w:t>
      </w:r>
      <w:r w:rsidR="00130026" w:rsidRPr="00CD68BA">
        <w:rPr>
          <w:lang w:val="es-CR"/>
        </w:rPr>
        <w:t xml:space="preserve">el </w:t>
      </w:r>
      <w:r w:rsidRPr="00CD68BA">
        <w:rPr>
          <w:lang w:val="es-CR"/>
        </w:rPr>
        <w:t>0</w:t>
      </w:r>
      <w:r w:rsidR="003C42CC" w:rsidRPr="00CD68BA">
        <w:rPr>
          <w:lang w:val="es-CR"/>
        </w:rPr>
        <w:t>,</w:t>
      </w:r>
      <w:r w:rsidRPr="00CD68BA">
        <w:rPr>
          <w:lang w:val="es-CR"/>
        </w:rPr>
        <w:t>93% del total de los asentamientos rurales, y concentraban el 45</w:t>
      </w:r>
      <w:r w:rsidR="003C42CC" w:rsidRPr="00CD68BA">
        <w:rPr>
          <w:lang w:val="es-CR"/>
        </w:rPr>
        <w:t>,</w:t>
      </w:r>
      <w:r w:rsidRPr="00CD68BA">
        <w:rPr>
          <w:lang w:val="es-CR"/>
        </w:rPr>
        <w:t>10% del área rural total de Brasil</w:t>
      </w:r>
      <w:r w:rsidRPr="00CD68BA">
        <w:rPr>
          <w:rStyle w:val="Refdenotaalpie"/>
          <w:lang w:val="es-CR"/>
        </w:rPr>
        <w:footnoteReference w:id="34"/>
      </w:r>
      <w:r w:rsidRPr="00CD68BA">
        <w:rPr>
          <w:lang w:val="es-CR"/>
        </w:rPr>
        <w:t xml:space="preserve">. Por su parte, los asentamientos con un área inferior a 10 hectáreas </w:t>
      </w:r>
      <w:r w:rsidR="008D380D" w:rsidRPr="00CD68BA">
        <w:rPr>
          <w:lang w:val="es-CR"/>
        </w:rPr>
        <w:t>constituían</w:t>
      </w:r>
      <w:r w:rsidRPr="00CD68BA">
        <w:rPr>
          <w:lang w:val="es-CR"/>
        </w:rPr>
        <w:t xml:space="preserve"> el 50</w:t>
      </w:r>
      <w:r w:rsidR="003C42CC" w:rsidRPr="00CD68BA">
        <w:rPr>
          <w:lang w:val="es-CR"/>
        </w:rPr>
        <w:t>,</w:t>
      </w:r>
      <w:r w:rsidRPr="00CD68BA">
        <w:rPr>
          <w:lang w:val="es-CR"/>
        </w:rPr>
        <w:t xml:space="preserve">35% del total de asentamientos rurales con una </w:t>
      </w:r>
      <w:r w:rsidRPr="00CD68BA">
        <w:rPr>
          <w:lang w:val="es-CR"/>
        </w:rPr>
        <w:lastRenderedPageBreak/>
        <w:t>ocupación de 2</w:t>
      </w:r>
      <w:r w:rsidR="003C42CC" w:rsidRPr="00CD68BA">
        <w:rPr>
          <w:lang w:val="es-CR"/>
        </w:rPr>
        <w:t>,</w:t>
      </w:r>
      <w:r w:rsidRPr="00CD68BA">
        <w:rPr>
          <w:lang w:val="es-CR"/>
        </w:rPr>
        <w:t>47% del área rural total de Brasil</w:t>
      </w:r>
      <w:r w:rsidRPr="00CD68BA">
        <w:rPr>
          <w:rStyle w:val="Refdenotaalpie"/>
          <w:lang w:val="es-CR"/>
        </w:rPr>
        <w:footnoteReference w:id="35"/>
      </w:r>
      <w:r w:rsidRPr="00CD68BA">
        <w:rPr>
          <w:lang w:val="es-CR"/>
        </w:rPr>
        <w:t>.</w:t>
      </w:r>
      <w:r w:rsidR="00FE20A4" w:rsidRPr="00CD68BA">
        <w:rPr>
          <w:b/>
          <w:lang w:val="es-CR"/>
        </w:rPr>
        <w:t xml:space="preserve"> </w:t>
      </w:r>
      <w:r w:rsidR="00E37AD3" w:rsidRPr="00CD68BA">
        <w:rPr>
          <w:lang w:val="es-CR"/>
        </w:rPr>
        <w:t>L</w:t>
      </w:r>
      <w:r w:rsidR="00FE20A4" w:rsidRPr="00CD68BA">
        <w:rPr>
          <w:lang w:val="es-CR"/>
        </w:rPr>
        <w:t>a concentración de tierras en Brasil se ha mantenido estable desde 1980</w:t>
      </w:r>
      <w:r w:rsidR="00FE20A4" w:rsidRPr="00CD68BA">
        <w:rPr>
          <w:rStyle w:val="Refdenotaalpie"/>
          <w:lang w:val="es-CR"/>
        </w:rPr>
        <w:footnoteReference w:id="36"/>
      </w:r>
      <w:r w:rsidR="00FE20A4" w:rsidRPr="00CD68BA">
        <w:rPr>
          <w:lang w:val="es-CR"/>
        </w:rPr>
        <w:t xml:space="preserve">. </w:t>
      </w:r>
      <w:r w:rsidR="00ED7844" w:rsidRPr="00CD68BA">
        <w:rPr>
          <w:lang w:val="es-CR"/>
        </w:rPr>
        <w:t>Los conflictos agrarios existentes en las distintas regiones de Brasil</w:t>
      </w:r>
      <w:r w:rsidR="000F0451" w:rsidRPr="00CD68BA">
        <w:rPr>
          <w:rStyle w:val="Refdenotaalpie"/>
          <w:lang w:val="es-CR"/>
        </w:rPr>
        <w:footnoteReference w:id="37"/>
      </w:r>
      <w:r w:rsidR="00ED7844" w:rsidRPr="00CD68BA">
        <w:rPr>
          <w:lang w:val="es-CR"/>
        </w:rPr>
        <w:t xml:space="preserve"> son resultado de</w:t>
      </w:r>
      <w:r w:rsidR="00C93721" w:rsidRPr="00CD68BA">
        <w:rPr>
          <w:lang w:val="es-CR"/>
        </w:rPr>
        <w:t>, al menos,</w:t>
      </w:r>
      <w:r w:rsidR="00ED7844" w:rsidRPr="00CD68BA">
        <w:rPr>
          <w:lang w:val="es-CR"/>
        </w:rPr>
        <w:t xml:space="preserve"> </w:t>
      </w:r>
      <w:r w:rsidR="0025658F" w:rsidRPr="00CD68BA">
        <w:rPr>
          <w:lang w:val="es-CR"/>
        </w:rPr>
        <w:t>esa gran</w:t>
      </w:r>
      <w:r w:rsidR="00ED7844" w:rsidRPr="00CD68BA">
        <w:rPr>
          <w:lang w:val="es-CR"/>
        </w:rPr>
        <w:t xml:space="preserve"> concentración de tierras</w:t>
      </w:r>
      <w:r w:rsidR="00234F0A" w:rsidRPr="00CD68BA">
        <w:rPr>
          <w:lang w:val="es-CR"/>
        </w:rPr>
        <w:t xml:space="preserve"> en manos de pocos propietarios</w:t>
      </w:r>
      <w:r w:rsidR="00ED7844" w:rsidRPr="00CD68BA">
        <w:rPr>
          <w:rStyle w:val="Refdenotaalpie"/>
          <w:lang w:val="es-CR"/>
        </w:rPr>
        <w:footnoteReference w:id="38"/>
      </w:r>
      <w:r w:rsidR="00C47E35" w:rsidRPr="00CD68BA">
        <w:rPr>
          <w:lang w:val="es-CR"/>
        </w:rPr>
        <w:t>.</w:t>
      </w:r>
    </w:p>
    <w:p w14:paraId="11035E3E" w14:textId="77777777" w:rsidR="008E3B01" w:rsidRPr="00CD68BA" w:rsidRDefault="008E3B01" w:rsidP="00A06718">
      <w:pPr>
        <w:pStyle w:val="Prrafodelista"/>
        <w:autoSpaceDE w:val="0"/>
        <w:autoSpaceDN w:val="0"/>
        <w:adjustRightInd w:val="0"/>
        <w:spacing w:before="0" w:after="0"/>
        <w:ind w:left="0"/>
        <w:contextualSpacing w:val="0"/>
        <w:rPr>
          <w:szCs w:val="20"/>
          <w:lang w:val="es-CR"/>
        </w:rPr>
      </w:pPr>
    </w:p>
    <w:p w14:paraId="3006A9CC" w14:textId="7437F57B" w:rsidR="008E3B01" w:rsidRPr="00CD68BA" w:rsidRDefault="00686C3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Como respuesta a tal concentración de tierras, así como </w:t>
      </w:r>
      <w:r w:rsidR="00384DD2" w:rsidRPr="00CD68BA">
        <w:rPr>
          <w:lang w:val="es-CR"/>
        </w:rPr>
        <w:t xml:space="preserve">a </w:t>
      </w:r>
      <w:r w:rsidRPr="00CD68BA">
        <w:rPr>
          <w:lang w:val="es-CR"/>
        </w:rPr>
        <w:t>la práctica del acaparamiento de tierras (“</w:t>
      </w:r>
      <w:r w:rsidRPr="00CD68BA">
        <w:rPr>
          <w:i/>
          <w:iCs/>
          <w:lang w:val="es-CR"/>
        </w:rPr>
        <w:t>grilagem</w:t>
      </w:r>
      <w:r w:rsidRPr="00CD68BA">
        <w:rPr>
          <w:lang w:val="es-CR"/>
        </w:rPr>
        <w:t>”)</w:t>
      </w:r>
      <w:r w:rsidRPr="00CD68BA">
        <w:rPr>
          <w:rStyle w:val="Refdenotaalpie"/>
          <w:lang w:val="es-CR"/>
        </w:rPr>
        <w:footnoteReference w:id="39"/>
      </w:r>
      <w:r w:rsidRPr="00CD68BA">
        <w:rPr>
          <w:lang w:val="es-CR"/>
        </w:rPr>
        <w:t xml:space="preserve"> y el proceso de modernización y liberalización de la agricultura</w:t>
      </w:r>
      <w:r w:rsidRPr="00CD68BA">
        <w:rPr>
          <w:rStyle w:val="Refdenotaalpie"/>
          <w:lang w:val="es-CR"/>
        </w:rPr>
        <w:footnoteReference w:id="40"/>
      </w:r>
      <w:r w:rsidRPr="00CD68BA">
        <w:rPr>
          <w:lang w:val="es-CR"/>
        </w:rPr>
        <w:t>, distintos movimientos sociales emergieron</w:t>
      </w:r>
      <w:r w:rsidR="00384DD2" w:rsidRPr="00CD68BA">
        <w:rPr>
          <w:lang w:val="es-CR"/>
        </w:rPr>
        <w:t xml:space="preserve"> en Brasil</w:t>
      </w:r>
      <w:r w:rsidRPr="00CD68BA">
        <w:rPr>
          <w:lang w:val="es-CR"/>
        </w:rPr>
        <w:t xml:space="preserve"> a lo largo del siglo XIX y XX, en particular entre los años 1964 a 1985, </w:t>
      </w:r>
      <w:r w:rsidR="007A43E1" w:rsidRPr="00CD68BA">
        <w:rPr>
          <w:lang w:val="es-CR"/>
        </w:rPr>
        <w:t>durante la dictadura militar</w:t>
      </w:r>
      <w:r w:rsidR="00921F85" w:rsidRPr="00CD68BA">
        <w:rPr>
          <w:rStyle w:val="Refdenotaalpie"/>
          <w:lang w:val="es-CR"/>
        </w:rPr>
        <w:footnoteReference w:id="41"/>
      </w:r>
      <w:r w:rsidRPr="00CD68BA">
        <w:rPr>
          <w:lang w:val="es-CR"/>
        </w:rPr>
        <w:t>.</w:t>
      </w:r>
      <w:r w:rsidR="0025658F" w:rsidRPr="00CD68BA">
        <w:rPr>
          <w:lang w:val="es-CR"/>
        </w:rPr>
        <w:t xml:space="preserve"> </w:t>
      </w:r>
    </w:p>
    <w:p w14:paraId="226B8ADE" w14:textId="77777777" w:rsidR="008E3B01" w:rsidRPr="00CD68BA" w:rsidRDefault="008E3B01" w:rsidP="00A06718">
      <w:pPr>
        <w:pStyle w:val="Prrafodelista"/>
        <w:autoSpaceDE w:val="0"/>
        <w:autoSpaceDN w:val="0"/>
        <w:adjustRightInd w:val="0"/>
        <w:spacing w:before="0" w:after="0"/>
        <w:ind w:left="0"/>
        <w:contextualSpacing w:val="0"/>
        <w:rPr>
          <w:lang w:val="es-CR"/>
        </w:rPr>
      </w:pPr>
    </w:p>
    <w:p w14:paraId="6F0B80F4" w14:textId="2C4B4580" w:rsidR="008E3B01" w:rsidRPr="00CD68BA" w:rsidRDefault="00686C3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Durante los años del régimen militar, las organizaciones campesinas, sindicatos y otras formas de asociación que procuraban una reforma agraria fueron </w:t>
      </w:r>
      <w:r w:rsidR="00696F69" w:rsidRPr="00CD68BA">
        <w:rPr>
          <w:lang w:val="es-CR"/>
        </w:rPr>
        <w:t xml:space="preserve">objeto </w:t>
      </w:r>
      <w:r w:rsidRPr="00CD68BA">
        <w:rPr>
          <w:lang w:val="es-CR"/>
        </w:rPr>
        <w:t xml:space="preserve">de </w:t>
      </w:r>
      <w:r w:rsidR="00FB5BDD" w:rsidRPr="00CD68BA">
        <w:rPr>
          <w:lang w:val="es-CR"/>
        </w:rPr>
        <w:t xml:space="preserve">la </w:t>
      </w:r>
      <w:r w:rsidRPr="00CD68BA">
        <w:rPr>
          <w:lang w:val="es-CR"/>
        </w:rPr>
        <w:t xml:space="preserve">represión política y social que buscaba su desarticulación, y </w:t>
      </w:r>
      <w:r w:rsidR="00696F69" w:rsidRPr="00CD68BA">
        <w:rPr>
          <w:lang w:val="es-CR"/>
        </w:rPr>
        <w:t>fueron tildad</w:t>
      </w:r>
      <w:r w:rsidR="00FB5BDD" w:rsidRPr="00CD68BA">
        <w:rPr>
          <w:lang w:val="es-CR"/>
        </w:rPr>
        <w:t>o</w:t>
      </w:r>
      <w:r w:rsidR="00696F69" w:rsidRPr="00CD68BA">
        <w:rPr>
          <w:lang w:val="es-CR"/>
        </w:rPr>
        <w:t xml:space="preserve">s de </w:t>
      </w:r>
      <w:r w:rsidRPr="00CD68BA">
        <w:rPr>
          <w:lang w:val="es-CR"/>
        </w:rPr>
        <w:t>“comunistas” o “subversiv</w:t>
      </w:r>
      <w:r w:rsidR="00FB5BDD" w:rsidRPr="00CD68BA">
        <w:rPr>
          <w:lang w:val="es-CR"/>
        </w:rPr>
        <w:t>o</w:t>
      </w:r>
      <w:r w:rsidRPr="00CD68BA">
        <w:rPr>
          <w:lang w:val="es-CR"/>
        </w:rPr>
        <w:t>s”</w:t>
      </w:r>
      <w:r w:rsidRPr="00CD68BA">
        <w:rPr>
          <w:rStyle w:val="Refdenotaalpie"/>
          <w:lang w:val="es-CR"/>
        </w:rPr>
        <w:footnoteReference w:id="42"/>
      </w:r>
      <w:r w:rsidRPr="00CD68BA">
        <w:rPr>
          <w:lang w:val="es-CR"/>
        </w:rPr>
        <w:t xml:space="preserve">. </w:t>
      </w:r>
      <w:r w:rsidR="0029643A" w:rsidRPr="00CD68BA">
        <w:rPr>
          <w:lang w:val="es-CR"/>
        </w:rPr>
        <w:t>E</w:t>
      </w:r>
      <w:r w:rsidRPr="00CD68BA">
        <w:rPr>
          <w:lang w:val="es-CR"/>
        </w:rPr>
        <w:t xml:space="preserve">ntre 1979 </w:t>
      </w:r>
      <w:r w:rsidR="0065107E" w:rsidRPr="00CD68BA">
        <w:rPr>
          <w:lang w:val="es-CR"/>
        </w:rPr>
        <w:t>y</w:t>
      </w:r>
      <w:r w:rsidRPr="00CD68BA">
        <w:rPr>
          <w:lang w:val="es-CR"/>
        </w:rPr>
        <w:t xml:space="preserve"> 1985, el movimiento represivo se acrecentó en el campo, siendo</w:t>
      </w:r>
      <w:r w:rsidR="00306F1E" w:rsidRPr="00CD68BA">
        <w:rPr>
          <w:lang w:val="es-CR"/>
        </w:rPr>
        <w:t xml:space="preserve"> ese</w:t>
      </w:r>
      <w:r w:rsidRPr="00CD68BA">
        <w:rPr>
          <w:lang w:val="es-CR"/>
        </w:rPr>
        <w:t xml:space="preserve"> uno de los periodos con mayor número de </w:t>
      </w:r>
      <w:r w:rsidR="00F65A92" w:rsidRPr="00CD68BA">
        <w:rPr>
          <w:lang w:val="es-CR"/>
        </w:rPr>
        <w:t xml:space="preserve">muertes y desapariciones de </w:t>
      </w:r>
      <w:r w:rsidRPr="00CD68BA">
        <w:rPr>
          <w:lang w:val="es-CR"/>
        </w:rPr>
        <w:t>trabajadores rurales y</w:t>
      </w:r>
      <w:r w:rsidR="00735DF1" w:rsidRPr="00CD68BA">
        <w:rPr>
          <w:lang w:val="es-CR"/>
        </w:rPr>
        <w:t xml:space="preserve"> de</w:t>
      </w:r>
      <w:r w:rsidRPr="00CD68BA">
        <w:rPr>
          <w:lang w:val="es-CR"/>
        </w:rPr>
        <w:t xml:space="preserve"> </w:t>
      </w:r>
      <w:r w:rsidR="0037526B" w:rsidRPr="00CD68BA">
        <w:rPr>
          <w:lang w:val="es-CR"/>
        </w:rPr>
        <w:t>defensores de sus derechos</w:t>
      </w:r>
      <w:r w:rsidRPr="00CD68BA">
        <w:rPr>
          <w:rStyle w:val="Refdenotaalpie"/>
          <w:lang w:val="es-CR"/>
        </w:rPr>
        <w:footnoteReference w:id="43"/>
      </w:r>
      <w:r w:rsidRPr="00CD68BA">
        <w:rPr>
          <w:lang w:val="es-CR"/>
        </w:rPr>
        <w:t>.</w:t>
      </w:r>
    </w:p>
    <w:p w14:paraId="65EC2BCA" w14:textId="77777777" w:rsidR="008E3B01" w:rsidRPr="00CD68BA" w:rsidRDefault="008E3B01" w:rsidP="00A06718">
      <w:pPr>
        <w:pStyle w:val="Prrafodelista"/>
        <w:spacing w:before="0" w:after="0"/>
        <w:contextualSpacing w:val="0"/>
        <w:rPr>
          <w:lang w:val="es-CR"/>
        </w:rPr>
      </w:pPr>
    </w:p>
    <w:p w14:paraId="04E4C945" w14:textId="01035698" w:rsidR="00686C33" w:rsidRPr="00CD68BA" w:rsidRDefault="00686C3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Concretamente </w:t>
      </w:r>
      <w:r w:rsidR="00612D2B" w:rsidRPr="00CD68BA">
        <w:rPr>
          <w:lang w:val="es-CR"/>
        </w:rPr>
        <w:t>en Brasil</w:t>
      </w:r>
      <w:r w:rsidRPr="00CD68BA">
        <w:rPr>
          <w:lang w:val="es-CR"/>
        </w:rPr>
        <w:t xml:space="preserve">, se conoce que, de 1961 a 1988, fueron </w:t>
      </w:r>
      <w:r w:rsidR="00644107" w:rsidRPr="00CD68BA">
        <w:rPr>
          <w:lang w:val="es-CR"/>
        </w:rPr>
        <w:t xml:space="preserve">muertos </w:t>
      </w:r>
      <w:r w:rsidRPr="00CD68BA">
        <w:rPr>
          <w:lang w:val="es-CR"/>
        </w:rPr>
        <w:t>75 sindicalistas, 14 personas abogadas, 7 personas religiosas, 463 lideresas/líderes de luchas colectivas</w:t>
      </w:r>
      <w:r w:rsidR="00612D2B" w:rsidRPr="00CD68BA">
        <w:rPr>
          <w:lang w:val="es-CR"/>
        </w:rPr>
        <w:t>, entre otras</w:t>
      </w:r>
      <w:r w:rsidRPr="00CD68BA">
        <w:rPr>
          <w:rStyle w:val="Refdenotaalpie"/>
          <w:lang w:val="es-CR"/>
        </w:rPr>
        <w:footnoteReference w:id="44"/>
      </w:r>
      <w:r w:rsidRPr="00CD68BA">
        <w:rPr>
          <w:lang w:val="es-CR"/>
        </w:rPr>
        <w:t>.</w:t>
      </w:r>
      <w:r w:rsidR="00513589" w:rsidRPr="00CD68BA">
        <w:rPr>
          <w:lang w:val="es-CR"/>
        </w:rPr>
        <w:t xml:space="preserve"> Según un informe</w:t>
      </w:r>
      <w:r w:rsidR="00870950" w:rsidRPr="00CD68BA">
        <w:rPr>
          <w:lang w:val="es-CR"/>
        </w:rPr>
        <w:t xml:space="preserve"> estatal de</w:t>
      </w:r>
      <w:r w:rsidR="00513589" w:rsidRPr="00CD68BA">
        <w:rPr>
          <w:lang w:val="es-CR"/>
        </w:rPr>
        <w:t xml:space="preserve"> 2013</w:t>
      </w:r>
      <w:r w:rsidR="0015467D" w:rsidRPr="00CD68BA">
        <w:rPr>
          <w:lang w:val="es-CR"/>
        </w:rPr>
        <w:t>, “</w:t>
      </w:r>
      <w:r w:rsidR="007359C3" w:rsidRPr="00CD68BA">
        <w:rPr>
          <w:lang w:val="es-CR"/>
        </w:rPr>
        <w:t>[s]</w:t>
      </w:r>
      <w:r w:rsidR="0015467D" w:rsidRPr="00CD68BA">
        <w:rPr>
          <w:lang w:val="es-CR"/>
        </w:rPr>
        <w:t>er abogado de campesinos en los tiempos de la dictadura militar era una profesión de alto riesgo […], [r]iesgo de muerte”</w:t>
      </w:r>
      <w:r w:rsidR="007359C3" w:rsidRPr="00CD68BA">
        <w:rPr>
          <w:rStyle w:val="Refdenotaalpie"/>
          <w:lang w:val="es-CR"/>
        </w:rPr>
        <w:footnoteReference w:id="45"/>
      </w:r>
      <w:r w:rsidR="0015467D" w:rsidRPr="00CD68BA">
        <w:rPr>
          <w:lang w:val="es-CR"/>
        </w:rPr>
        <w:t>.</w:t>
      </w:r>
      <w:r w:rsidR="00EB5699" w:rsidRPr="00CD68BA">
        <w:rPr>
          <w:lang w:val="es-CR"/>
        </w:rPr>
        <w:t xml:space="preserve"> El estado de Pará, durante el </w:t>
      </w:r>
      <w:r w:rsidR="00EB5699" w:rsidRPr="00CD68BA">
        <w:rPr>
          <w:lang w:val="es-CR"/>
        </w:rPr>
        <w:lastRenderedPageBreak/>
        <w:t xml:space="preserve">periodo de 1961 a 1988, </w:t>
      </w:r>
      <w:r w:rsidR="008E3A43" w:rsidRPr="00CD68BA">
        <w:rPr>
          <w:lang w:val="es-CR"/>
        </w:rPr>
        <w:t>encabezó</w:t>
      </w:r>
      <w:r w:rsidR="00EB5699" w:rsidRPr="00CD68BA">
        <w:rPr>
          <w:lang w:val="es-CR"/>
        </w:rPr>
        <w:t xml:space="preserve"> el </w:t>
      </w:r>
      <w:r w:rsidR="00EB5699" w:rsidRPr="00CD68BA">
        <w:rPr>
          <w:i/>
          <w:iCs/>
          <w:lang w:val="es-CR"/>
        </w:rPr>
        <w:t>ranking</w:t>
      </w:r>
      <w:r w:rsidR="00EB5699" w:rsidRPr="00CD68BA">
        <w:rPr>
          <w:lang w:val="es-CR"/>
        </w:rPr>
        <w:t xml:space="preserve"> de muertes y desapariciones</w:t>
      </w:r>
      <w:r w:rsidR="00EB5699" w:rsidRPr="00CD68BA">
        <w:rPr>
          <w:rStyle w:val="Refdenotaalpie"/>
          <w:lang w:val="es-CR"/>
        </w:rPr>
        <w:footnoteReference w:id="46"/>
      </w:r>
      <w:r w:rsidR="00EB5699" w:rsidRPr="00CD68BA">
        <w:rPr>
          <w:lang w:val="es-CR"/>
        </w:rPr>
        <w:t xml:space="preserve"> con 528 </w:t>
      </w:r>
      <w:r w:rsidR="00644107" w:rsidRPr="00CD68BA">
        <w:rPr>
          <w:lang w:val="es-CR"/>
        </w:rPr>
        <w:t xml:space="preserve">homicidios </w:t>
      </w:r>
      <w:r w:rsidR="00EB5699" w:rsidRPr="00CD68BA">
        <w:rPr>
          <w:lang w:val="es-CR"/>
        </w:rPr>
        <w:t>entre 1980 a 1993 y 772 entre 1971 y 2004, de los cuales, respectivamente, 239 y 574 sucedieron en el sur del estado</w:t>
      </w:r>
      <w:r w:rsidR="00EB5699" w:rsidRPr="00CD68BA">
        <w:rPr>
          <w:rStyle w:val="Refdenotaalpie"/>
          <w:lang w:val="es-CR"/>
        </w:rPr>
        <w:footnoteReference w:id="47"/>
      </w:r>
      <w:r w:rsidR="00EB5699" w:rsidRPr="00CD68BA">
        <w:rPr>
          <w:lang w:val="es-CR"/>
        </w:rPr>
        <w:t xml:space="preserve">. Pará ha sido </w:t>
      </w:r>
      <w:r w:rsidR="00196D8D" w:rsidRPr="00CD68BA">
        <w:rPr>
          <w:lang w:val="es-CR"/>
        </w:rPr>
        <w:t>señalado</w:t>
      </w:r>
      <w:r w:rsidR="00EB5699" w:rsidRPr="00CD68BA">
        <w:rPr>
          <w:lang w:val="es-CR"/>
        </w:rPr>
        <w:t xml:space="preserve"> por algunos organismos y organizaciones internacionales por los constantes y violentos conflictos relacionados con la lucha por tierras, que han resultado en la muerte de cientos de trabajadores rurales, líderes sindicales, abogados, defensores de derechos humanos, entre otros</w:t>
      </w:r>
      <w:r w:rsidR="00EB5699" w:rsidRPr="00CD68BA">
        <w:rPr>
          <w:rStyle w:val="Refdenotaalpie"/>
          <w:lang w:val="es-CR"/>
        </w:rPr>
        <w:footnoteReference w:id="48"/>
      </w:r>
      <w:r w:rsidR="00EB5699" w:rsidRPr="00CD68BA">
        <w:rPr>
          <w:lang w:val="es-CR"/>
        </w:rPr>
        <w:t>.</w:t>
      </w:r>
    </w:p>
    <w:p w14:paraId="778028A8" w14:textId="77777777" w:rsidR="00686C33" w:rsidRPr="00CD68BA" w:rsidRDefault="00686C33" w:rsidP="00A06718">
      <w:pPr>
        <w:spacing w:before="0" w:after="0"/>
        <w:rPr>
          <w:sz w:val="16"/>
          <w:szCs w:val="16"/>
          <w:lang w:val="es-CR"/>
        </w:rPr>
      </w:pPr>
    </w:p>
    <w:p w14:paraId="4B2AA2E6" w14:textId="781DAC7A" w:rsidR="00A643D3" w:rsidRPr="00CD68BA" w:rsidRDefault="00C27DD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U</w:t>
      </w:r>
      <w:r w:rsidR="00A643D3" w:rsidRPr="00CD68BA">
        <w:rPr>
          <w:lang w:val="es-CR"/>
        </w:rPr>
        <w:t>n estudio llevado a cabo por una agencia estatal concluyó que, en el per</w:t>
      </w:r>
      <w:r w:rsidR="006B61F1" w:rsidRPr="00CD68BA">
        <w:rPr>
          <w:lang w:val="es-CR"/>
        </w:rPr>
        <w:t>í</w:t>
      </w:r>
      <w:r w:rsidR="00A643D3" w:rsidRPr="00CD68BA">
        <w:rPr>
          <w:lang w:val="es-CR"/>
        </w:rPr>
        <w:t>odo del régimen militar, dentro del cual se encuentran los hechos que dieron origen al presente caso:</w:t>
      </w:r>
    </w:p>
    <w:p w14:paraId="7382B008" w14:textId="75462D27" w:rsidR="00A643D3" w:rsidRPr="00CD68BA" w:rsidRDefault="00A643D3" w:rsidP="00A06718">
      <w:pPr>
        <w:tabs>
          <w:tab w:val="left" w:pos="0"/>
        </w:tabs>
        <w:spacing w:before="0" w:after="0"/>
        <w:rPr>
          <w:lang w:val="es-CR"/>
        </w:rPr>
      </w:pPr>
    </w:p>
    <w:p w14:paraId="203F2349" w14:textId="7B7339FA" w:rsidR="00A643D3" w:rsidRPr="00CD68BA" w:rsidRDefault="00A643D3" w:rsidP="00A06718">
      <w:pPr>
        <w:spacing w:before="0" w:after="0"/>
        <w:ind w:left="720" w:right="1350"/>
        <w:rPr>
          <w:sz w:val="16"/>
          <w:szCs w:val="16"/>
          <w:lang w:val="es-CR"/>
        </w:rPr>
      </w:pPr>
      <w:r w:rsidRPr="00CD68BA">
        <w:rPr>
          <w:sz w:val="16"/>
          <w:szCs w:val="16"/>
          <w:lang w:val="es-CR"/>
        </w:rPr>
        <w:t>la violencia privada se llevó a cabo bajo la cobertura y estímulo oficial, con base en compromisos de clase que alia</w:t>
      </w:r>
      <w:r w:rsidR="00805B27" w:rsidRPr="00CD68BA">
        <w:rPr>
          <w:sz w:val="16"/>
          <w:szCs w:val="16"/>
          <w:lang w:val="es-CR"/>
        </w:rPr>
        <w:t>ban</w:t>
      </w:r>
      <w:r w:rsidRPr="00CD68BA">
        <w:rPr>
          <w:sz w:val="16"/>
          <w:szCs w:val="16"/>
          <w:lang w:val="es-CR"/>
        </w:rPr>
        <w:t xml:space="preserve"> los grandes </w:t>
      </w:r>
      <w:r w:rsidR="00805B27" w:rsidRPr="00CD68BA">
        <w:rPr>
          <w:sz w:val="16"/>
          <w:szCs w:val="16"/>
          <w:lang w:val="es-CR"/>
        </w:rPr>
        <w:t>propietarios</w:t>
      </w:r>
      <w:r w:rsidRPr="00CD68BA">
        <w:rPr>
          <w:sz w:val="16"/>
          <w:szCs w:val="16"/>
          <w:lang w:val="es-CR"/>
        </w:rPr>
        <w:t xml:space="preserve"> y empresarios rurales al gobierno militar. La ley de violencia que caracterizó las prácticas </w:t>
      </w:r>
      <w:r w:rsidR="00805B27" w:rsidRPr="00CD68BA">
        <w:rPr>
          <w:sz w:val="16"/>
          <w:szCs w:val="16"/>
          <w:lang w:val="es-CR"/>
        </w:rPr>
        <w:t>de particulares</w:t>
      </w:r>
      <w:r w:rsidRPr="00CD68BA">
        <w:rPr>
          <w:sz w:val="16"/>
          <w:szCs w:val="16"/>
          <w:lang w:val="es-CR"/>
        </w:rPr>
        <w:t xml:space="preserve"> atendió a los intereses defendidos por el régimen para frenar la creciente organización de los trabajadores rurales</w:t>
      </w:r>
      <w:r w:rsidR="00D24823" w:rsidRPr="00CD68BA">
        <w:rPr>
          <w:rStyle w:val="Refdenotaalpie"/>
          <w:sz w:val="16"/>
          <w:szCs w:val="16"/>
          <w:lang w:val="es-CR"/>
        </w:rPr>
        <w:footnoteReference w:id="49"/>
      </w:r>
      <w:r w:rsidRPr="00CD68BA">
        <w:rPr>
          <w:sz w:val="16"/>
          <w:szCs w:val="16"/>
          <w:lang w:val="es-CR"/>
        </w:rPr>
        <w:t>.</w:t>
      </w:r>
    </w:p>
    <w:p w14:paraId="4CFF2796" w14:textId="77777777" w:rsidR="00A643D3" w:rsidRPr="00CD68BA" w:rsidRDefault="00A643D3" w:rsidP="00A06718">
      <w:pPr>
        <w:tabs>
          <w:tab w:val="left" w:pos="0"/>
        </w:tabs>
        <w:spacing w:before="0" w:after="0"/>
        <w:rPr>
          <w:lang w:val="es-CR"/>
        </w:rPr>
      </w:pPr>
    </w:p>
    <w:p w14:paraId="61DA9FCF" w14:textId="6F441378" w:rsidR="00E3589E" w:rsidRPr="00CD68BA" w:rsidRDefault="00C27DD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w:t>
      </w:r>
      <w:r w:rsidR="00AA4935" w:rsidRPr="00CD68BA">
        <w:rPr>
          <w:lang w:val="es-CR"/>
        </w:rPr>
        <w:t>la misma línea</w:t>
      </w:r>
      <w:r w:rsidRPr="00CD68BA">
        <w:rPr>
          <w:lang w:val="es-CR"/>
        </w:rPr>
        <w:t>, la Secretaría de Derechos Humanos de la Presidencia de la República reconoció la colusión de agentes estatales respecto a las persecuciones y homicidios de personas trabajadoras rurales y defensoras de sus derechos</w:t>
      </w:r>
      <w:r w:rsidR="00EF4038" w:rsidRPr="00CD68BA">
        <w:rPr>
          <w:rStyle w:val="Refdenotaalpie"/>
          <w:lang w:val="es-CR"/>
        </w:rPr>
        <w:footnoteReference w:id="50"/>
      </w:r>
      <w:r w:rsidRPr="00CD68BA">
        <w:rPr>
          <w:lang w:val="es-CR"/>
        </w:rPr>
        <w:t xml:space="preserve">. </w:t>
      </w:r>
      <w:r w:rsidR="00AA4935" w:rsidRPr="00CD68BA">
        <w:rPr>
          <w:lang w:val="es-CR"/>
        </w:rPr>
        <w:t>En sentido similar</w:t>
      </w:r>
      <w:r w:rsidRPr="00CD68BA">
        <w:rPr>
          <w:lang w:val="es-CR"/>
        </w:rPr>
        <w:t>,</w:t>
      </w:r>
      <w:r w:rsidR="00AA4935" w:rsidRPr="00CD68BA">
        <w:rPr>
          <w:lang w:val="es-CR"/>
        </w:rPr>
        <w:t xml:space="preserve"> se han pronunciado la Relator</w:t>
      </w:r>
      <w:r w:rsidR="006B61F1" w:rsidRPr="00CD68BA">
        <w:rPr>
          <w:lang w:val="es-CR"/>
        </w:rPr>
        <w:t>í</w:t>
      </w:r>
      <w:r w:rsidR="00AA4935" w:rsidRPr="00CD68BA">
        <w:rPr>
          <w:lang w:val="es-CR"/>
        </w:rPr>
        <w:t xml:space="preserve">a Especial de Naciones Unidas sobre </w:t>
      </w:r>
      <w:r w:rsidR="00E001E2" w:rsidRPr="00CD68BA">
        <w:rPr>
          <w:lang w:val="es-CR"/>
        </w:rPr>
        <w:t>e</w:t>
      </w:r>
      <w:r w:rsidR="00AA4935" w:rsidRPr="00CD68BA">
        <w:rPr>
          <w:lang w:val="es-CR"/>
        </w:rPr>
        <w:t xml:space="preserve">jecuciones </w:t>
      </w:r>
      <w:r w:rsidR="00E001E2" w:rsidRPr="00CD68BA">
        <w:rPr>
          <w:lang w:val="es-CR"/>
        </w:rPr>
        <w:t>e</w:t>
      </w:r>
      <w:r w:rsidR="00AA4935" w:rsidRPr="00CD68BA">
        <w:rPr>
          <w:lang w:val="es-CR"/>
        </w:rPr>
        <w:t xml:space="preserve">xtrajudiciales, </w:t>
      </w:r>
      <w:r w:rsidR="00E001E2" w:rsidRPr="00CD68BA">
        <w:rPr>
          <w:lang w:val="es-CR"/>
        </w:rPr>
        <w:t>s</w:t>
      </w:r>
      <w:r w:rsidR="00AA4935" w:rsidRPr="00CD68BA">
        <w:rPr>
          <w:lang w:val="es-CR"/>
        </w:rPr>
        <w:t xml:space="preserve">umarias o </w:t>
      </w:r>
      <w:r w:rsidR="00E001E2" w:rsidRPr="00CD68BA">
        <w:rPr>
          <w:lang w:val="es-CR"/>
        </w:rPr>
        <w:t>a</w:t>
      </w:r>
      <w:r w:rsidR="00AA4935" w:rsidRPr="00CD68BA">
        <w:rPr>
          <w:lang w:val="es-CR"/>
        </w:rPr>
        <w:t>rbitrarias y la</w:t>
      </w:r>
      <w:r w:rsidR="009A64E1" w:rsidRPr="00CD68BA">
        <w:rPr>
          <w:lang w:val="es-CR"/>
        </w:rPr>
        <w:t xml:space="preserve"> Representante Especial del Secretario General sobre la situación de los defensores de los derechos humanos</w:t>
      </w:r>
      <w:r w:rsidR="00AA4935" w:rsidRPr="00CD68BA">
        <w:rPr>
          <w:rStyle w:val="Refdenotaalpie"/>
          <w:lang w:val="es-CR"/>
        </w:rPr>
        <w:footnoteReference w:id="51"/>
      </w:r>
      <w:r w:rsidR="00AA4935" w:rsidRPr="00CD68BA">
        <w:rPr>
          <w:lang w:val="es-CR"/>
        </w:rPr>
        <w:t>.</w:t>
      </w:r>
    </w:p>
    <w:p w14:paraId="0A290D14" w14:textId="77777777" w:rsidR="00E3589E" w:rsidRPr="00CD68BA" w:rsidRDefault="00E3589E" w:rsidP="00A06718">
      <w:pPr>
        <w:pStyle w:val="PrrafodeSentencia"/>
        <w:rPr>
          <w:rFonts w:eastAsia="Batang"/>
        </w:rPr>
      </w:pPr>
    </w:p>
    <w:p w14:paraId="68A3FB10" w14:textId="61E961FB" w:rsidR="008E3B01" w:rsidRPr="00CD68BA" w:rsidRDefault="00E3589E"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Específicamente en cuanto a la situación de violencia en contra de defensores y defensoras de derechos humanos en el contexto de conflictos rurales, </w:t>
      </w:r>
      <w:r w:rsidR="00FA443F" w:rsidRPr="00CD68BA">
        <w:rPr>
          <w:lang w:val="es-CR"/>
        </w:rPr>
        <w:t xml:space="preserve">hay distintos reportes </w:t>
      </w:r>
      <w:r w:rsidR="004E7156" w:rsidRPr="00CD68BA">
        <w:rPr>
          <w:lang w:val="es-CR"/>
        </w:rPr>
        <w:t>que dan cuenta</w:t>
      </w:r>
      <w:r w:rsidR="004E7156" w:rsidRPr="00CD68BA">
        <w:rPr>
          <w:b/>
          <w:bCs/>
          <w:lang w:val="es-CR"/>
        </w:rPr>
        <w:t xml:space="preserve"> </w:t>
      </w:r>
      <w:r w:rsidR="00FA443F" w:rsidRPr="00CD68BA">
        <w:rPr>
          <w:lang w:val="es-CR"/>
        </w:rPr>
        <w:t xml:space="preserve">de una alta incidencia de amenazas y </w:t>
      </w:r>
      <w:r w:rsidR="00644107" w:rsidRPr="00CD68BA">
        <w:rPr>
          <w:lang w:val="es-CR"/>
        </w:rPr>
        <w:t>homicidios</w:t>
      </w:r>
      <w:r w:rsidR="00FA443F" w:rsidRPr="00CD68BA">
        <w:rPr>
          <w:rStyle w:val="Refdenotaalpie"/>
          <w:lang w:val="es-CR"/>
        </w:rPr>
        <w:footnoteReference w:id="52"/>
      </w:r>
      <w:r w:rsidR="00FA443F" w:rsidRPr="00CD68BA">
        <w:rPr>
          <w:lang w:val="es-CR"/>
        </w:rPr>
        <w:t xml:space="preserve">. </w:t>
      </w:r>
      <w:r w:rsidR="002A5257" w:rsidRPr="00CD68BA">
        <w:rPr>
          <w:lang w:val="es-CR"/>
        </w:rPr>
        <w:t xml:space="preserve">La organización Global Witness, tras un estudio </w:t>
      </w:r>
      <w:r w:rsidR="002A5257" w:rsidRPr="00CD68BA">
        <w:rPr>
          <w:lang w:val="es-CR"/>
        </w:rPr>
        <w:lastRenderedPageBreak/>
        <w:t>realizado con datos de 2002 a 2013 de varios países del mundo, indicó que Brasil es el país más peligroso para la defensa de los derechos sobre la tierra y el medio ambiente</w:t>
      </w:r>
      <w:r w:rsidR="00304371" w:rsidRPr="00CD68BA">
        <w:rPr>
          <w:lang w:val="es-CR"/>
        </w:rPr>
        <w:t>, con 448 casos</w:t>
      </w:r>
      <w:r w:rsidR="00304371" w:rsidRPr="00CD68BA">
        <w:rPr>
          <w:rStyle w:val="Refdenotaalpie"/>
          <w:vertAlign w:val="baseline"/>
          <w:lang w:val="es-CR"/>
        </w:rPr>
        <w:t xml:space="preserve"> </w:t>
      </w:r>
      <w:r w:rsidR="00304371" w:rsidRPr="00CD68BA">
        <w:rPr>
          <w:lang w:val="es-CR"/>
        </w:rPr>
        <w:t>de los 908 a nivel mundial</w:t>
      </w:r>
      <w:r w:rsidR="00C25AB4" w:rsidRPr="00CD68BA">
        <w:rPr>
          <w:rStyle w:val="Refdenotaalpie"/>
          <w:lang w:val="es-CR"/>
        </w:rPr>
        <w:footnoteReference w:id="53"/>
      </w:r>
      <w:r w:rsidR="002A5257" w:rsidRPr="00CD68BA">
        <w:rPr>
          <w:lang w:val="es-CR"/>
        </w:rPr>
        <w:t>.</w:t>
      </w:r>
      <w:r w:rsidR="00403AEC" w:rsidRPr="00CD68BA">
        <w:rPr>
          <w:lang w:val="es-CR"/>
        </w:rPr>
        <w:t xml:space="preserve"> </w:t>
      </w:r>
      <w:r w:rsidR="00B6029F" w:rsidRPr="00CD68BA">
        <w:rPr>
          <w:lang w:val="es-CR"/>
        </w:rPr>
        <w:t xml:space="preserve">Asimismo, en el año 1982, 30 defensores de trabajadores/as rurales fueron </w:t>
      </w:r>
      <w:r w:rsidR="00644107" w:rsidRPr="00CD68BA">
        <w:rPr>
          <w:lang w:val="es-CR"/>
        </w:rPr>
        <w:t>muertos</w:t>
      </w:r>
      <w:r w:rsidR="00B6029F" w:rsidRPr="00CD68BA">
        <w:rPr>
          <w:lang w:val="es-CR"/>
        </w:rPr>
        <w:t>, además de Gabriel Sales Pimenta</w:t>
      </w:r>
      <w:r w:rsidR="004E7156" w:rsidRPr="00CD68BA">
        <w:rPr>
          <w:lang w:val="es-CR"/>
        </w:rPr>
        <w:t>. L</w:t>
      </w:r>
      <w:r w:rsidR="00B6029F" w:rsidRPr="00CD68BA">
        <w:rPr>
          <w:lang w:val="es-CR"/>
        </w:rPr>
        <w:t>a mayoría de estos delitos sucedió en el estado de Pará. En esta línea, en los últimos veinte años, el 35%</w:t>
      </w:r>
      <w:r w:rsidR="00A27C5F" w:rsidRPr="00CD68BA">
        <w:rPr>
          <w:lang w:val="es-CR"/>
        </w:rPr>
        <w:t xml:space="preserve"> de</w:t>
      </w:r>
      <w:r w:rsidR="00B6029F" w:rsidRPr="00CD68BA">
        <w:rPr>
          <w:lang w:val="es-CR"/>
        </w:rPr>
        <w:t xml:space="preserve"> </w:t>
      </w:r>
      <w:r w:rsidR="00644107" w:rsidRPr="00CD68BA">
        <w:rPr>
          <w:lang w:val="es-CR"/>
        </w:rPr>
        <w:t xml:space="preserve">homicidios </w:t>
      </w:r>
      <w:r w:rsidR="00B6029F" w:rsidRPr="00CD68BA">
        <w:rPr>
          <w:lang w:val="es-CR"/>
        </w:rPr>
        <w:t>de trabajadores/as rurales y defensores/as de dichos trabajadores en Brasil ocurrieron en el estado de Pará</w:t>
      </w:r>
      <w:r w:rsidR="00406968" w:rsidRPr="00CD68BA">
        <w:rPr>
          <w:rStyle w:val="Refdenotaalpie"/>
          <w:lang w:val="es-CR"/>
        </w:rPr>
        <w:footnoteReference w:id="54"/>
      </w:r>
      <w:r w:rsidR="00B6029F" w:rsidRPr="00CD68BA">
        <w:rPr>
          <w:lang w:val="es-CR"/>
        </w:rPr>
        <w:t>.</w:t>
      </w:r>
      <w:r w:rsidR="00403AEC" w:rsidRPr="00CD68BA">
        <w:rPr>
          <w:lang w:val="es-CR"/>
        </w:rPr>
        <w:t xml:space="preserve"> </w:t>
      </w:r>
    </w:p>
    <w:p w14:paraId="685BFF6B" w14:textId="77777777" w:rsidR="008E3B01" w:rsidRPr="00CD68BA" w:rsidRDefault="008E3B01" w:rsidP="00A06718">
      <w:pPr>
        <w:pStyle w:val="Prrafodelista"/>
        <w:spacing w:before="0" w:after="0"/>
        <w:contextualSpacing w:val="0"/>
        <w:rPr>
          <w:lang w:val="es-CR"/>
        </w:rPr>
      </w:pPr>
    </w:p>
    <w:p w14:paraId="2D35290E" w14:textId="2EFBB52E" w:rsidR="00686C33" w:rsidRPr="00CD68BA" w:rsidRDefault="003F690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w:t>
      </w:r>
      <w:r w:rsidR="00686C33" w:rsidRPr="00CD68BA">
        <w:rPr>
          <w:lang w:val="es-CR"/>
        </w:rPr>
        <w:t xml:space="preserve"> este marco, se </w:t>
      </w:r>
      <w:r w:rsidRPr="00CD68BA">
        <w:rPr>
          <w:lang w:val="es-CR"/>
        </w:rPr>
        <w:t xml:space="preserve">muestran los </w:t>
      </w:r>
      <w:r w:rsidR="00686C33" w:rsidRPr="00CD68BA">
        <w:rPr>
          <w:lang w:val="es-CR"/>
        </w:rPr>
        <w:t xml:space="preserve">datos relativos a la respuesta judicial </w:t>
      </w:r>
      <w:r w:rsidRPr="00CD68BA">
        <w:rPr>
          <w:lang w:val="es-CR"/>
        </w:rPr>
        <w:t xml:space="preserve">en </w:t>
      </w:r>
      <w:r w:rsidR="00686C33" w:rsidRPr="00CD68BA">
        <w:rPr>
          <w:lang w:val="es-CR"/>
        </w:rPr>
        <w:t xml:space="preserve">aquellos casos de personas trabajadoras rurales </w:t>
      </w:r>
      <w:r w:rsidR="00620503" w:rsidRPr="00CD68BA">
        <w:rPr>
          <w:lang w:val="es-CR"/>
        </w:rPr>
        <w:t xml:space="preserve">muertas </w:t>
      </w:r>
      <w:r w:rsidR="00686C33" w:rsidRPr="00CD68BA">
        <w:rPr>
          <w:lang w:val="es-CR"/>
        </w:rPr>
        <w:t>entre los periodos de 1964 a 2013 en el estado de Pará. A este respecto, entre 1964 y 1998</w:t>
      </w:r>
      <w:r w:rsidR="00686C33" w:rsidRPr="00CD68BA">
        <w:rPr>
          <w:rStyle w:val="Refdenotaalpie"/>
          <w:lang w:val="es-CR"/>
        </w:rPr>
        <w:footnoteReference w:id="55"/>
      </w:r>
      <w:r w:rsidR="00686C33" w:rsidRPr="00CD68BA">
        <w:rPr>
          <w:lang w:val="es-CR"/>
        </w:rPr>
        <w:t xml:space="preserve">, de los 703 casos de trabajadores rurales </w:t>
      </w:r>
      <w:r w:rsidR="00620503" w:rsidRPr="00CD68BA">
        <w:rPr>
          <w:lang w:val="es-CR"/>
        </w:rPr>
        <w:t>víctimas de homicidio</w:t>
      </w:r>
      <w:r w:rsidR="00686C33" w:rsidRPr="00CD68BA">
        <w:rPr>
          <w:lang w:val="es-CR"/>
        </w:rPr>
        <w:t>, el 5,26% de casos fueron juzgados, y solo en 183 casos se inició una investigación, dentro de los cuales, 113 dieron origen a un proceso penal</w:t>
      </w:r>
      <w:r w:rsidR="00686C33" w:rsidRPr="00CD68BA">
        <w:rPr>
          <w:rStyle w:val="Refdenotaalpie"/>
          <w:lang w:val="es-CR"/>
        </w:rPr>
        <w:footnoteReference w:id="56"/>
      </w:r>
      <w:r w:rsidR="00686C33" w:rsidRPr="00CD68BA">
        <w:rPr>
          <w:lang w:val="es-CR"/>
        </w:rPr>
        <w:t xml:space="preserve">. Entre 1985 y marzo de 2001, de los 1.207 casos, 85 personas acusadas tuvieron una sentencia definitiva, resultando en una media de 95% “sin respuesta judicial”. Por su parte, en el sur y sureste del estado de Pará, de los 340 trabajadores rurales </w:t>
      </w:r>
      <w:r w:rsidR="00620503" w:rsidRPr="00CD68BA">
        <w:rPr>
          <w:lang w:val="es-CR"/>
        </w:rPr>
        <w:t xml:space="preserve">muertos </w:t>
      </w:r>
      <w:r w:rsidR="00686C33" w:rsidRPr="00CD68BA">
        <w:rPr>
          <w:lang w:val="es-CR"/>
        </w:rPr>
        <w:t xml:space="preserve">en el mismo periodo de 1985 y marzo de 2001, </w:t>
      </w:r>
      <w:r w:rsidR="002C4EEC" w:rsidRPr="00CD68BA">
        <w:rPr>
          <w:lang w:val="es-CR"/>
        </w:rPr>
        <w:t>dos</w:t>
      </w:r>
      <w:r w:rsidR="00686C33" w:rsidRPr="00CD68BA">
        <w:rPr>
          <w:lang w:val="es-CR"/>
        </w:rPr>
        <w:t xml:space="preserve"> personas fueron</w:t>
      </w:r>
      <w:r w:rsidR="00686C33" w:rsidRPr="00CD68BA">
        <w:rPr>
          <w:rStyle w:val="Refdecomentario"/>
          <w:sz w:val="20"/>
          <w:szCs w:val="20"/>
          <w:lang w:val="es-CR"/>
        </w:rPr>
        <w:t xml:space="preserve"> </w:t>
      </w:r>
      <w:r w:rsidR="00686C33" w:rsidRPr="00CD68BA">
        <w:rPr>
          <w:lang w:val="es-CR"/>
        </w:rPr>
        <w:t xml:space="preserve">juzgadas en forma definitiva, dejando una media de 99,4% del total de los </w:t>
      </w:r>
      <w:r w:rsidR="00620503" w:rsidRPr="00CD68BA">
        <w:rPr>
          <w:lang w:val="es-CR"/>
        </w:rPr>
        <w:t xml:space="preserve">homicidios </w:t>
      </w:r>
      <w:r w:rsidR="00686C33" w:rsidRPr="00CD68BA">
        <w:rPr>
          <w:lang w:val="es-CR"/>
        </w:rPr>
        <w:t>“sin ningún tipo de respuesta judicial, sea de condena o absolución en el ámbito penal”</w:t>
      </w:r>
      <w:r w:rsidR="00686C33" w:rsidRPr="00CD68BA">
        <w:rPr>
          <w:rStyle w:val="Refdenotaalpie"/>
          <w:lang w:val="es-CR"/>
        </w:rPr>
        <w:footnoteReference w:id="57"/>
      </w:r>
      <w:r w:rsidR="00686C33" w:rsidRPr="00CD68BA">
        <w:rPr>
          <w:lang w:val="es-CR"/>
        </w:rPr>
        <w:t xml:space="preserve">. Por otro lado, entre 1985 y el 2013, ocurrieron 428 casos, con un total de 644 </w:t>
      </w:r>
      <w:r w:rsidR="00620503" w:rsidRPr="00CD68BA">
        <w:rPr>
          <w:lang w:val="es-CR"/>
        </w:rPr>
        <w:t xml:space="preserve">homicidios </w:t>
      </w:r>
      <w:r w:rsidR="00686C33" w:rsidRPr="00CD68BA">
        <w:rPr>
          <w:lang w:val="es-CR"/>
        </w:rPr>
        <w:t>relacionados con los conflictos en el campo. De estos, 21 casos fueron elevados a juicio, resultando en 12 autores intelectuales y 17 autores materiales condenados</w:t>
      </w:r>
      <w:r w:rsidR="00686C33" w:rsidRPr="00CD68BA">
        <w:rPr>
          <w:rStyle w:val="Refdenotaalpie"/>
          <w:lang w:val="es-CR"/>
        </w:rPr>
        <w:footnoteReference w:id="58"/>
      </w:r>
      <w:r w:rsidR="00686C33" w:rsidRPr="00CD68BA">
        <w:rPr>
          <w:lang w:val="es-CR"/>
        </w:rPr>
        <w:t xml:space="preserve">. En cuanto al municipio de Marabá del estado de Pará, donde </w:t>
      </w:r>
      <w:r w:rsidR="00D42FCE" w:rsidRPr="00CD68BA">
        <w:rPr>
          <w:lang w:val="es-CR"/>
        </w:rPr>
        <w:t>ocurri</w:t>
      </w:r>
      <w:r w:rsidR="00686C33" w:rsidRPr="00CD68BA">
        <w:rPr>
          <w:lang w:val="es-CR"/>
        </w:rPr>
        <w:t>ó la muerte de Gabriel Sales Pimenta (</w:t>
      </w:r>
      <w:r w:rsidR="00686C33" w:rsidRPr="00CD68BA">
        <w:rPr>
          <w:i/>
          <w:iCs/>
          <w:lang w:val="es-CR"/>
        </w:rPr>
        <w:t xml:space="preserve">infra </w:t>
      </w:r>
      <w:r w:rsidR="006674A7" w:rsidRPr="00CD68BA">
        <w:rPr>
          <w:lang w:val="es-CR"/>
        </w:rPr>
        <w:t>párr.</w:t>
      </w:r>
      <w:r w:rsidR="006674A7" w:rsidRPr="00CD68BA">
        <w:rPr>
          <w:i/>
          <w:iCs/>
          <w:lang w:val="es-CR"/>
        </w:rPr>
        <w:t xml:space="preserve"> </w:t>
      </w:r>
      <w:r w:rsidR="00E26866" w:rsidRPr="00CD68BA">
        <w:rPr>
          <w:lang w:val="es-CR"/>
        </w:rPr>
        <w:t>56</w:t>
      </w:r>
      <w:r w:rsidR="00686C33" w:rsidRPr="00CD68BA">
        <w:rPr>
          <w:i/>
          <w:iCs/>
          <w:lang w:val="es-CR"/>
        </w:rPr>
        <w:t>)</w:t>
      </w:r>
      <w:r w:rsidR="00686C33" w:rsidRPr="00CD68BA">
        <w:rPr>
          <w:lang w:val="es-CR"/>
        </w:rPr>
        <w:t>, la tasa de impunidad fue de 100%, entre 1975 y 2005</w:t>
      </w:r>
      <w:r w:rsidR="00686C33" w:rsidRPr="00CD68BA">
        <w:rPr>
          <w:rStyle w:val="Refdenotaalpie"/>
          <w:lang w:val="es-CR"/>
        </w:rPr>
        <w:footnoteReference w:id="59"/>
      </w:r>
      <w:r w:rsidR="00686C33" w:rsidRPr="00CD68BA">
        <w:rPr>
          <w:lang w:val="es-CR"/>
        </w:rPr>
        <w:t>.</w:t>
      </w:r>
    </w:p>
    <w:p w14:paraId="2F6B4A46" w14:textId="77777777" w:rsidR="00686C33" w:rsidRPr="00CD68BA" w:rsidRDefault="00686C33" w:rsidP="00A06718">
      <w:pPr>
        <w:pStyle w:val="Prrafodelista"/>
        <w:tabs>
          <w:tab w:val="left" w:pos="0"/>
        </w:tabs>
        <w:spacing w:before="0" w:after="0"/>
        <w:ind w:left="0"/>
        <w:contextualSpacing w:val="0"/>
        <w:rPr>
          <w:lang w:val="es-CR"/>
        </w:rPr>
      </w:pPr>
    </w:p>
    <w:p w14:paraId="28C987F2" w14:textId="61E052BC" w:rsidR="00DC3753" w:rsidRPr="009655A3" w:rsidRDefault="00DC3753" w:rsidP="00A06718">
      <w:pPr>
        <w:pStyle w:val="Estilo3"/>
        <w:numPr>
          <w:ilvl w:val="0"/>
          <w:numId w:val="0"/>
        </w:numPr>
        <w:spacing w:line="240" w:lineRule="auto"/>
        <w:ind w:left="360"/>
        <w:rPr>
          <w:lang w:val="pt-BR"/>
        </w:rPr>
      </w:pPr>
      <w:bookmarkStart w:id="112" w:name="_Toc114778776"/>
      <w:r w:rsidRPr="009655A3">
        <w:rPr>
          <w:lang w:val="pt-BR"/>
        </w:rPr>
        <w:t>B. Antecedentes</w:t>
      </w:r>
      <w:bookmarkEnd w:id="112"/>
      <w:r w:rsidR="005837BF" w:rsidRPr="009655A3">
        <w:rPr>
          <w:lang w:val="pt-BR"/>
        </w:rPr>
        <w:t xml:space="preserve"> </w:t>
      </w:r>
    </w:p>
    <w:p w14:paraId="656BF3E6" w14:textId="77777777" w:rsidR="00FB5AC7" w:rsidRPr="009655A3" w:rsidRDefault="00FB5AC7" w:rsidP="00A06718">
      <w:pPr>
        <w:spacing w:before="0" w:after="0"/>
        <w:rPr>
          <w:lang w:val="pt-BR"/>
        </w:rPr>
      </w:pPr>
    </w:p>
    <w:p w14:paraId="5A4D8351" w14:textId="540FCFD9" w:rsidR="00A865B6" w:rsidRPr="009655A3" w:rsidRDefault="002060F6" w:rsidP="00A06718">
      <w:pPr>
        <w:pStyle w:val="Estilo4"/>
        <w:ind w:left="851"/>
        <w:rPr>
          <w:lang w:val="pt-BR"/>
        </w:rPr>
      </w:pPr>
      <w:bookmarkStart w:id="113" w:name="_Toc114778777"/>
      <w:r w:rsidRPr="009655A3">
        <w:rPr>
          <w:i/>
          <w:iCs/>
          <w:lang w:val="pt-BR"/>
        </w:rPr>
        <w:t>B</w:t>
      </w:r>
      <w:r w:rsidR="004B2A73" w:rsidRPr="009655A3">
        <w:rPr>
          <w:i/>
          <w:iCs/>
          <w:lang w:val="pt-BR"/>
        </w:rPr>
        <w:t>.1.</w:t>
      </w:r>
      <w:r w:rsidR="004B2A73" w:rsidRPr="009655A3">
        <w:rPr>
          <w:lang w:val="pt-BR"/>
        </w:rPr>
        <w:t xml:space="preserve"> </w:t>
      </w:r>
      <w:r w:rsidR="00A865B6" w:rsidRPr="009655A3">
        <w:rPr>
          <w:lang w:val="pt-BR"/>
        </w:rPr>
        <w:t>Sobre Gabriel Sales Pimenta</w:t>
      </w:r>
      <w:bookmarkEnd w:id="113"/>
    </w:p>
    <w:p w14:paraId="177F079F" w14:textId="10A8A6BE" w:rsidR="00A865B6" w:rsidRPr="009655A3" w:rsidRDefault="00A865B6" w:rsidP="00A06718">
      <w:pPr>
        <w:spacing w:before="0" w:after="0"/>
        <w:rPr>
          <w:lang w:val="pt-BR"/>
        </w:rPr>
      </w:pPr>
    </w:p>
    <w:p w14:paraId="4F1763D2" w14:textId="3780890F" w:rsidR="00921C96" w:rsidRPr="00CD68BA" w:rsidRDefault="00921C96"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Gabriel Sales Pimenta era un joven de 27 años </w:t>
      </w:r>
      <w:r w:rsidR="00E131CF" w:rsidRPr="00CD68BA">
        <w:rPr>
          <w:lang w:val="es-CR"/>
        </w:rPr>
        <w:t>al momento de su muerte</w:t>
      </w:r>
      <w:r w:rsidRPr="00CD68BA">
        <w:rPr>
          <w:lang w:val="es-CR"/>
        </w:rPr>
        <w:t>, oriundo del municipio de Juiz de Fora, ubicado en el estado de Mina Gerais</w:t>
      </w:r>
      <w:r w:rsidR="003F3C0C" w:rsidRPr="00CD68BA">
        <w:rPr>
          <w:lang w:val="es-CR"/>
        </w:rPr>
        <w:t>,</w:t>
      </w:r>
      <w:r w:rsidRPr="00CD68BA">
        <w:rPr>
          <w:lang w:val="es-CR"/>
        </w:rPr>
        <w:t xml:space="preserve"> y formado en Derecho por la Universidad Federal de tal municipio. En 1980, se incorporó como abogado del Sindicato de Trabajadores Rurales de Marabá (en adelante “STR”), ubicado en el estado de Pará. El señor Sales Pimenta fue uno de los primeros abogados en residir en Marabá. Además, fue </w:t>
      </w:r>
      <w:r w:rsidR="008A272D" w:rsidRPr="00CD68BA">
        <w:rPr>
          <w:lang w:val="es-CR"/>
        </w:rPr>
        <w:t>representante</w:t>
      </w:r>
      <w:r w:rsidRPr="00CD68BA">
        <w:rPr>
          <w:lang w:val="es-CR"/>
        </w:rPr>
        <w:t xml:space="preserve"> de la Comisión Pastoral de la Tierra,</w:t>
      </w:r>
      <w:r w:rsidR="00160BF1" w:rsidRPr="00CD68BA">
        <w:rPr>
          <w:lang w:val="es-CR"/>
        </w:rPr>
        <w:t xml:space="preserve"> por medio de la cual brindó asesoría jurídica a trabajadores rurales,</w:t>
      </w:r>
      <w:r w:rsidRPr="00CD68BA">
        <w:rPr>
          <w:lang w:val="es-CR"/>
        </w:rPr>
        <w:t xml:space="preserve"> </w:t>
      </w:r>
      <w:r w:rsidRPr="00CD68BA">
        <w:rPr>
          <w:lang w:val="es-CR"/>
        </w:rPr>
        <w:lastRenderedPageBreak/>
        <w:t>fundador de la Asociación Nacional de Abogados de los Trabajadores en la Agricultura y participó activamente</w:t>
      </w:r>
      <w:r w:rsidR="00160BF1" w:rsidRPr="00CD68BA">
        <w:rPr>
          <w:lang w:val="es-CR"/>
        </w:rPr>
        <w:t xml:space="preserve"> en movimientos sociales en la región y</w:t>
      </w:r>
      <w:r w:rsidRPr="00CD68BA">
        <w:rPr>
          <w:lang w:val="es-CR"/>
        </w:rPr>
        <w:t xml:space="preserve"> en otras esferas. En su ejercicio como abogado de la STR, actuó en la defensa de los derechos de los trabajadores rurales en la región de Pau Seco (</w:t>
      </w:r>
      <w:r w:rsidR="00FF72D4" w:rsidRPr="00CD68BA">
        <w:rPr>
          <w:i/>
          <w:iCs/>
          <w:lang w:val="es-CR"/>
        </w:rPr>
        <w:t>inf</w:t>
      </w:r>
      <w:r w:rsidRPr="00CD68BA">
        <w:rPr>
          <w:i/>
          <w:iCs/>
          <w:lang w:val="es-CR"/>
        </w:rPr>
        <w:t>ra</w:t>
      </w:r>
      <w:r w:rsidRPr="00CD68BA">
        <w:rPr>
          <w:lang w:val="es-CR"/>
        </w:rPr>
        <w:t xml:space="preserve"> párr.</w:t>
      </w:r>
      <w:r w:rsidR="00FF72D4" w:rsidRPr="00CD68BA">
        <w:rPr>
          <w:lang w:val="es-CR"/>
        </w:rPr>
        <w:t xml:space="preserve"> 53</w:t>
      </w:r>
      <w:r w:rsidRPr="00CD68BA">
        <w:rPr>
          <w:lang w:val="es-CR"/>
        </w:rPr>
        <w:t>)</w:t>
      </w:r>
      <w:r w:rsidRPr="00CD68BA">
        <w:rPr>
          <w:rStyle w:val="Refdenotaalpie"/>
          <w:lang w:val="es-CR"/>
        </w:rPr>
        <w:footnoteReference w:id="60"/>
      </w:r>
      <w:r w:rsidRPr="00CD68BA">
        <w:rPr>
          <w:lang w:val="es-CR"/>
        </w:rPr>
        <w:t>.</w:t>
      </w:r>
    </w:p>
    <w:p w14:paraId="63829BC0" w14:textId="77777777" w:rsidR="00A865B6" w:rsidRPr="00CD68BA" w:rsidRDefault="00A865B6" w:rsidP="00A06718">
      <w:pPr>
        <w:spacing w:before="0" w:after="0"/>
        <w:rPr>
          <w:lang w:val="es-CR"/>
        </w:rPr>
      </w:pPr>
    </w:p>
    <w:p w14:paraId="7DFD5D4A" w14:textId="2A3FCADD" w:rsidR="004B2A73" w:rsidRPr="00CD68BA" w:rsidRDefault="00A865B6" w:rsidP="00A06718">
      <w:pPr>
        <w:pStyle w:val="Estilo4"/>
        <w:ind w:left="851"/>
        <w:rPr>
          <w:i/>
          <w:iCs/>
        </w:rPr>
      </w:pPr>
      <w:bookmarkStart w:id="114" w:name="_Toc114778778"/>
      <w:r w:rsidRPr="00CD68BA">
        <w:rPr>
          <w:i/>
          <w:iCs/>
        </w:rPr>
        <w:t>B.2.</w:t>
      </w:r>
      <w:r w:rsidR="00921C96" w:rsidRPr="00CD68BA">
        <w:rPr>
          <w:i/>
          <w:iCs/>
        </w:rPr>
        <w:t xml:space="preserve"> </w:t>
      </w:r>
      <w:r w:rsidR="004B5938" w:rsidRPr="00CD68BA">
        <w:rPr>
          <w:i/>
          <w:iCs/>
        </w:rPr>
        <w:t>El desalojo de los trabajadores rurales de Pau Seco y la acción realizada por Gabriel Sales Pimenta</w:t>
      </w:r>
      <w:bookmarkEnd w:id="114"/>
    </w:p>
    <w:p w14:paraId="7BF0D25F" w14:textId="77777777" w:rsidR="004B2A73" w:rsidRPr="00CD68BA" w:rsidRDefault="004B2A73" w:rsidP="00A06718">
      <w:pPr>
        <w:autoSpaceDE w:val="0"/>
        <w:autoSpaceDN w:val="0"/>
        <w:adjustRightInd w:val="0"/>
        <w:spacing w:before="0" w:after="0"/>
        <w:rPr>
          <w:szCs w:val="20"/>
          <w:lang w:val="es-CR"/>
        </w:rPr>
      </w:pPr>
    </w:p>
    <w:p w14:paraId="6E7EDC2A" w14:textId="5B174D32" w:rsidR="00524EEE" w:rsidRPr="00CD68BA" w:rsidRDefault="00C05EA7"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rFonts w:cs="Arial"/>
          <w:lang w:val="es-CR"/>
        </w:rPr>
        <w:t xml:space="preserve">Desde al menos 1973, </w:t>
      </w:r>
      <w:r w:rsidR="00E407A2" w:rsidRPr="00CD68BA">
        <w:rPr>
          <w:rFonts w:cs="Arial"/>
          <w:lang w:val="es-CR"/>
        </w:rPr>
        <w:t xml:space="preserve">partes de </w:t>
      </w:r>
      <w:r w:rsidR="00E407A2" w:rsidRPr="00CD68BA">
        <w:rPr>
          <w:lang w:val="es-CR"/>
        </w:rPr>
        <w:t>Pau Seco</w:t>
      </w:r>
      <w:r w:rsidR="001B1296" w:rsidRPr="00CD68BA">
        <w:rPr>
          <w:rStyle w:val="Refdenotaalpie"/>
          <w:lang w:val="es-CR"/>
        </w:rPr>
        <w:footnoteReference w:id="61"/>
      </w:r>
      <w:r w:rsidR="00E407A2" w:rsidRPr="00CD68BA">
        <w:rPr>
          <w:lang w:val="es-CR"/>
        </w:rPr>
        <w:t xml:space="preserve"> que habían sido</w:t>
      </w:r>
      <w:r w:rsidR="00E407A2" w:rsidRPr="00CD68BA">
        <w:rPr>
          <w:rFonts w:cs="Arial"/>
          <w:lang w:val="es-CR"/>
        </w:rPr>
        <w:t xml:space="preserve"> incorporadas al patrimonio de la Unión</w:t>
      </w:r>
      <w:r w:rsidR="00E407A2" w:rsidRPr="00CD68BA">
        <w:rPr>
          <w:rStyle w:val="Refdenotaalpie"/>
          <w:rFonts w:cs="Arial"/>
          <w:lang w:val="es-CR"/>
        </w:rPr>
        <w:footnoteReference w:id="62"/>
      </w:r>
      <w:r w:rsidR="00022652" w:rsidRPr="00CD68BA">
        <w:rPr>
          <w:rFonts w:cs="Arial"/>
          <w:lang w:val="es-CR"/>
        </w:rPr>
        <w:t xml:space="preserve">, </w:t>
      </w:r>
      <w:r w:rsidR="00524EEE" w:rsidRPr="00CD68BA">
        <w:rPr>
          <w:rFonts w:cs="Arial"/>
          <w:lang w:val="es-CR"/>
        </w:rPr>
        <w:t>eran habitadas</w:t>
      </w:r>
      <w:r w:rsidR="00524EEE" w:rsidRPr="00CD68BA">
        <w:rPr>
          <w:lang w:val="es-CR"/>
        </w:rPr>
        <w:t xml:space="preserve"> y cultivadas por trabajadores rurales “ocupantes” y sus familias</w:t>
      </w:r>
      <w:r w:rsidR="00524EEE" w:rsidRPr="00CD68BA">
        <w:rPr>
          <w:rStyle w:val="Refdenotaalpie"/>
          <w:lang w:val="es-CR"/>
        </w:rPr>
        <w:footnoteReference w:id="63"/>
      </w:r>
      <w:r w:rsidR="00524EEE" w:rsidRPr="00CD68BA">
        <w:rPr>
          <w:lang w:val="es-CR"/>
        </w:rPr>
        <w:t xml:space="preserve">. En 1980, </w:t>
      </w:r>
      <w:r w:rsidR="00D62D06" w:rsidRPr="00CD68BA">
        <w:rPr>
          <w:lang w:val="es-CR"/>
        </w:rPr>
        <w:t>M.C.N.</w:t>
      </w:r>
      <w:r w:rsidR="00931625" w:rsidRPr="00CD68BA">
        <w:rPr>
          <w:rStyle w:val="Refdenotaalpie"/>
          <w:lang w:val="es-CR"/>
        </w:rPr>
        <w:footnoteReference w:id="64"/>
      </w:r>
      <w:r w:rsidR="00524EEE" w:rsidRPr="00CD68BA">
        <w:rPr>
          <w:lang w:val="es-CR"/>
        </w:rPr>
        <w:t xml:space="preserve"> y </w:t>
      </w:r>
      <w:r w:rsidR="00D62D06" w:rsidRPr="00CD68BA">
        <w:rPr>
          <w:lang w:val="es-CR"/>
        </w:rPr>
        <w:t>J.P.N.</w:t>
      </w:r>
      <w:r w:rsidR="007E3BE2" w:rsidRPr="00CD68BA">
        <w:rPr>
          <w:lang w:val="es-CR"/>
        </w:rPr>
        <w:t xml:space="preserve"> </w:t>
      </w:r>
      <w:r w:rsidR="00524EEE" w:rsidRPr="00CD68BA">
        <w:rPr>
          <w:lang w:val="es-CR"/>
        </w:rPr>
        <w:t xml:space="preserve">alegaron haber adquirido </w:t>
      </w:r>
      <w:r w:rsidR="00247081" w:rsidRPr="00CD68BA">
        <w:rPr>
          <w:lang w:val="es-CR"/>
        </w:rPr>
        <w:t>la tenencia</w:t>
      </w:r>
      <w:r w:rsidR="00524EEE" w:rsidRPr="00CD68BA">
        <w:rPr>
          <w:lang w:val="es-CR"/>
        </w:rPr>
        <w:t xml:space="preserve"> de Pau Seco, donde comenzaron a explotar la madera existente en la zona</w:t>
      </w:r>
      <w:r w:rsidR="00E358C9" w:rsidRPr="00CD68BA">
        <w:rPr>
          <w:lang w:val="es-CR"/>
        </w:rPr>
        <w:t>, lo cual generó un conflicto con</w:t>
      </w:r>
      <w:r w:rsidR="00524EEE" w:rsidRPr="00CD68BA">
        <w:rPr>
          <w:lang w:val="es-CR"/>
        </w:rPr>
        <w:t xml:space="preserve"> los </w:t>
      </w:r>
      <w:r w:rsidR="0038067E" w:rsidRPr="00CD68BA">
        <w:rPr>
          <w:lang w:val="es-CR"/>
        </w:rPr>
        <w:t xml:space="preserve">referidos </w:t>
      </w:r>
      <w:r w:rsidR="00D3250D" w:rsidRPr="00CD68BA">
        <w:rPr>
          <w:lang w:val="es-CR"/>
        </w:rPr>
        <w:t>trabajadores rurales</w:t>
      </w:r>
      <w:r w:rsidR="00524EEE" w:rsidRPr="00CD68BA">
        <w:rPr>
          <w:rStyle w:val="Refdenotaalpie"/>
          <w:lang w:val="es-CR"/>
        </w:rPr>
        <w:footnoteReference w:id="65"/>
      </w:r>
      <w:r w:rsidR="00524EEE" w:rsidRPr="00CD68BA">
        <w:rPr>
          <w:lang w:val="es-CR"/>
        </w:rPr>
        <w:t>. Posteriormente, en octubre de 1981, en vista de la acción de re</w:t>
      </w:r>
      <w:r w:rsidR="000E17A7" w:rsidRPr="00CD68BA">
        <w:rPr>
          <w:lang w:val="es-CR"/>
        </w:rPr>
        <w:t>stitución</w:t>
      </w:r>
      <w:r w:rsidR="00524EEE" w:rsidRPr="00CD68BA">
        <w:rPr>
          <w:lang w:val="es-CR"/>
        </w:rPr>
        <w:t xml:space="preserve"> de </w:t>
      </w:r>
      <w:r w:rsidR="000E17A7" w:rsidRPr="00CD68BA">
        <w:rPr>
          <w:lang w:val="es-CR"/>
        </w:rPr>
        <w:t xml:space="preserve">la </w:t>
      </w:r>
      <w:r w:rsidR="00524EEE" w:rsidRPr="00CD68BA">
        <w:rPr>
          <w:lang w:val="es-CR"/>
        </w:rPr>
        <w:t>posesión incoada por</w:t>
      </w:r>
      <w:r w:rsidR="00D62D06" w:rsidRPr="00CD68BA">
        <w:rPr>
          <w:lang w:val="es-CR"/>
        </w:rPr>
        <w:t xml:space="preserve"> M.C.N.</w:t>
      </w:r>
      <w:r w:rsidR="007065DC" w:rsidRPr="00CD68BA">
        <w:rPr>
          <w:lang w:val="es-CR"/>
        </w:rPr>
        <w:t xml:space="preserve"> y </w:t>
      </w:r>
      <w:r w:rsidR="00D62D06" w:rsidRPr="00CD68BA">
        <w:rPr>
          <w:lang w:val="es-CR"/>
        </w:rPr>
        <w:t>J.P.N.</w:t>
      </w:r>
      <w:r w:rsidR="00524EEE" w:rsidRPr="00CD68BA">
        <w:rPr>
          <w:lang w:val="es-CR"/>
        </w:rPr>
        <w:t xml:space="preserve">, se </w:t>
      </w:r>
      <w:r w:rsidR="00171D77" w:rsidRPr="00CD68BA">
        <w:rPr>
          <w:lang w:val="es-CR"/>
        </w:rPr>
        <w:t>expidió a su favor un mandamiento provisional de re</w:t>
      </w:r>
      <w:r w:rsidR="0052423F" w:rsidRPr="00CD68BA">
        <w:rPr>
          <w:lang w:val="es-CR"/>
        </w:rPr>
        <w:t>stitución de la</w:t>
      </w:r>
      <w:r w:rsidR="00171D77" w:rsidRPr="00CD68BA">
        <w:rPr>
          <w:lang w:val="es-CR"/>
        </w:rPr>
        <w:t xml:space="preserve"> posesión</w:t>
      </w:r>
      <w:r w:rsidR="00524EEE" w:rsidRPr="00CD68BA">
        <w:rPr>
          <w:lang w:val="es-CR"/>
        </w:rPr>
        <w:t>, de modo tal que la policía</w:t>
      </w:r>
      <w:r w:rsidR="00171D77" w:rsidRPr="00CD68BA">
        <w:rPr>
          <w:lang w:val="es-CR"/>
        </w:rPr>
        <w:t xml:space="preserve"> militar</w:t>
      </w:r>
      <w:r w:rsidR="00524EEE" w:rsidRPr="00CD68BA">
        <w:rPr>
          <w:lang w:val="es-CR"/>
        </w:rPr>
        <w:t xml:space="preserve"> procedió con </w:t>
      </w:r>
      <w:r w:rsidR="00171D77" w:rsidRPr="00CD68BA">
        <w:rPr>
          <w:lang w:val="es-CR"/>
        </w:rPr>
        <w:t xml:space="preserve">el </w:t>
      </w:r>
      <w:r w:rsidR="00524EEE" w:rsidRPr="00CD68BA">
        <w:rPr>
          <w:lang w:val="es-CR"/>
        </w:rPr>
        <w:t>desalojo</w:t>
      </w:r>
      <w:r w:rsidR="00171D77" w:rsidRPr="00CD68BA">
        <w:rPr>
          <w:lang w:val="es-CR"/>
        </w:rPr>
        <w:t xml:space="preserve"> de los trabajadores rurales</w:t>
      </w:r>
      <w:r w:rsidR="00524EEE" w:rsidRPr="00CD68BA">
        <w:rPr>
          <w:rStyle w:val="Refdenotaalpie"/>
          <w:lang w:val="es-CR"/>
        </w:rPr>
        <w:footnoteReference w:id="66"/>
      </w:r>
      <w:r w:rsidR="00524EEE" w:rsidRPr="00CD68BA">
        <w:rPr>
          <w:lang w:val="es-CR"/>
        </w:rPr>
        <w:t>. Ante tal acción, el 20 de noviembre de 1981 Gabriel Sales Pimenta, en calidad de abogado</w:t>
      </w:r>
      <w:r w:rsidR="00B04AE2" w:rsidRPr="00CD68BA">
        <w:rPr>
          <w:lang w:val="es-CR"/>
        </w:rPr>
        <w:t xml:space="preserve"> del Sindicato de los Trabajadores Rurales de Marabá</w:t>
      </w:r>
      <w:r w:rsidR="00524EEE" w:rsidRPr="00CD68BA">
        <w:rPr>
          <w:lang w:val="es-CR"/>
        </w:rPr>
        <w:t>, in</w:t>
      </w:r>
      <w:r w:rsidR="008A272D" w:rsidRPr="00CD68BA">
        <w:rPr>
          <w:lang w:val="es-CR"/>
        </w:rPr>
        <w:t>terpuso</w:t>
      </w:r>
      <w:r w:rsidR="00524EEE" w:rsidRPr="00CD68BA">
        <w:rPr>
          <w:lang w:val="es-CR"/>
        </w:rPr>
        <w:t xml:space="preserve"> </w:t>
      </w:r>
      <w:r w:rsidR="00074C83" w:rsidRPr="00CD68BA">
        <w:rPr>
          <w:lang w:val="es-CR"/>
        </w:rPr>
        <w:t xml:space="preserve">un </w:t>
      </w:r>
      <w:r w:rsidR="00A47127" w:rsidRPr="00CD68BA">
        <w:rPr>
          <w:i/>
          <w:iCs/>
          <w:lang w:val="es-CR"/>
        </w:rPr>
        <w:t xml:space="preserve">mandado </w:t>
      </w:r>
      <w:r w:rsidR="00B04AE2" w:rsidRPr="00CD68BA">
        <w:rPr>
          <w:i/>
          <w:iCs/>
          <w:lang w:val="es-CR"/>
        </w:rPr>
        <w:t xml:space="preserve">de </w:t>
      </w:r>
      <w:r w:rsidR="00A47127" w:rsidRPr="00CD68BA">
        <w:rPr>
          <w:i/>
          <w:iCs/>
          <w:lang w:val="es-CR"/>
        </w:rPr>
        <w:t>segurança</w:t>
      </w:r>
      <w:r w:rsidR="00B04AE2" w:rsidRPr="00CD68BA">
        <w:rPr>
          <w:rStyle w:val="Refdenotaalpie"/>
          <w:lang w:val="es-CR"/>
        </w:rPr>
        <w:footnoteReference w:id="67"/>
      </w:r>
      <w:r w:rsidR="00B04AE2" w:rsidRPr="00CD68BA">
        <w:rPr>
          <w:lang w:val="es-CR"/>
        </w:rPr>
        <w:t xml:space="preserve"> </w:t>
      </w:r>
      <w:r w:rsidR="00524EEE" w:rsidRPr="00CD68BA">
        <w:rPr>
          <w:lang w:val="es-CR"/>
        </w:rPr>
        <w:t>ante el Tribunal de Justicia de</w:t>
      </w:r>
      <w:r w:rsidR="00074C83" w:rsidRPr="00CD68BA">
        <w:rPr>
          <w:lang w:val="es-CR"/>
        </w:rPr>
        <w:t>l</w:t>
      </w:r>
      <w:r w:rsidR="00524EEE" w:rsidRPr="00CD68BA">
        <w:rPr>
          <w:lang w:val="es-CR"/>
        </w:rPr>
        <w:t xml:space="preserve"> </w:t>
      </w:r>
      <w:r w:rsidR="00780CA5" w:rsidRPr="00CD68BA">
        <w:rPr>
          <w:lang w:val="es-CR"/>
        </w:rPr>
        <w:t>e</w:t>
      </w:r>
      <w:r w:rsidR="00524EEE" w:rsidRPr="00CD68BA">
        <w:rPr>
          <w:lang w:val="es-CR"/>
        </w:rPr>
        <w:t>stado</w:t>
      </w:r>
      <w:r w:rsidR="00074C83" w:rsidRPr="00CD68BA">
        <w:rPr>
          <w:lang w:val="es-CR"/>
        </w:rPr>
        <w:t xml:space="preserve"> de Pará</w:t>
      </w:r>
      <w:r w:rsidR="00524EEE" w:rsidRPr="00CD68BA">
        <w:rPr>
          <w:lang w:val="es-CR"/>
        </w:rPr>
        <w:t xml:space="preserve"> </w:t>
      </w:r>
      <w:r w:rsidR="0052423F" w:rsidRPr="00CD68BA">
        <w:rPr>
          <w:lang w:val="es-CR"/>
        </w:rPr>
        <w:t xml:space="preserve">y solicitó la </w:t>
      </w:r>
      <w:r w:rsidR="00524EEE" w:rsidRPr="00CD68BA">
        <w:rPr>
          <w:lang w:val="es-CR"/>
        </w:rPr>
        <w:t>revocación de</w:t>
      </w:r>
      <w:r w:rsidR="00B016F4" w:rsidRPr="00CD68BA">
        <w:rPr>
          <w:lang w:val="es-CR"/>
        </w:rPr>
        <w:t xml:space="preserve"> </w:t>
      </w:r>
      <w:r w:rsidR="00524EEE" w:rsidRPr="00CD68BA">
        <w:rPr>
          <w:lang w:val="es-CR"/>
        </w:rPr>
        <w:t>l</w:t>
      </w:r>
      <w:r w:rsidR="00B016F4" w:rsidRPr="00CD68BA">
        <w:rPr>
          <w:lang w:val="es-CR"/>
        </w:rPr>
        <w:t xml:space="preserve">a decisión provisional </w:t>
      </w:r>
      <w:r w:rsidR="00524EEE" w:rsidRPr="00CD68BA">
        <w:rPr>
          <w:lang w:val="es-CR"/>
        </w:rPr>
        <w:t>de re</w:t>
      </w:r>
      <w:r w:rsidR="00A3098F" w:rsidRPr="00CD68BA">
        <w:rPr>
          <w:lang w:val="es-CR"/>
        </w:rPr>
        <w:t>stitución de la</w:t>
      </w:r>
      <w:r w:rsidR="00524EEE" w:rsidRPr="00CD68BA">
        <w:rPr>
          <w:lang w:val="es-CR"/>
        </w:rPr>
        <w:t xml:space="preserve"> posesión que </w:t>
      </w:r>
      <w:r w:rsidR="00A3098F" w:rsidRPr="00CD68BA">
        <w:rPr>
          <w:lang w:val="es-CR"/>
        </w:rPr>
        <w:lastRenderedPageBreak/>
        <w:t xml:space="preserve">había ocasionado el </w:t>
      </w:r>
      <w:r w:rsidR="00524EEE" w:rsidRPr="00CD68BA">
        <w:rPr>
          <w:lang w:val="es-CR"/>
        </w:rPr>
        <w:t>desaloj</w:t>
      </w:r>
      <w:r w:rsidR="00FA2D61" w:rsidRPr="00CD68BA">
        <w:rPr>
          <w:lang w:val="es-CR"/>
        </w:rPr>
        <w:t>o</w:t>
      </w:r>
      <w:r w:rsidR="00524EEE" w:rsidRPr="00CD68BA">
        <w:rPr>
          <w:lang w:val="es-CR"/>
        </w:rPr>
        <w:t xml:space="preserve"> </w:t>
      </w:r>
      <w:r w:rsidR="00780CA5" w:rsidRPr="00CD68BA">
        <w:rPr>
          <w:lang w:val="es-CR"/>
        </w:rPr>
        <w:t>de</w:t>
      </w:r>
      <w:r w:rsidR="00524EEE" w:rsidRPr="00CD68BA">
        <w:rPr>
          <w:lang w:val="es-CR"/>
        </w:rPr>
        <w:t xml:space="preserve"> los referidos </w:t>
      </w:r>
      <w:r w:rsidR="00B016F4" w:rsidRPr="00CD68BA">
        <w:rPr>
          <w:lang w:val="es-CR"/>
        </w:rPr>
        <w:t>trabajadores rurales</w:t>
      </w:r>
      <w:r w:rsidR="00524EEE" w:rsidRPr="00CD68BA">
        <w:rPr>
          <w:rStyle w:val="Refdenotaalpie"/>
          <w:lang w:val="es-CR"/>
        </w:rPr>
        <w:footnoteReference w:id="68"/>
      </w:r>
      <w:r w:rsidR="00524EEE" w:rsidRPr="00CD68BA">
        <w:rPr>
          <w:lang w:val="es-CR"/>
        </w:rPr>
        <w:t xml:space="preserve">. </w:t>
      </w:r>
      <w:r w:rsidR="00B16754" w:rsidRPr="00CD68BA">
        <w:rPr>
          <w:lang w:val="es-CR"/>
        </w:rPr>
        <w:t xml:space="preserve">Dicho </w:t>
      </w:r>
      <w:r w:rsidR="00B16754" w:rsidRPr="00CD68BA">
        <w:rPr>
          <w:i/>
          <w:iCs/>
          <w:lang w:val="es-CR"/>
        </w:rPr>
        <w:t>manda</w:t>
      </w:r>
      <w:r w:rsidR="00A47127" w:rsidRPr="00CD68BA">
        <w:rPr>
          <w:i/>
          <w:iCs/>
          <w:lang w:val="es-CR"/>
        </w:rPr>
        <w:t>do</w:t>
      </w:r>
      <w:r w:rsidR="00B16754" w:rsidRPr="00CD68BA">
        <w:rPr>
          <w:i/>
          <w:iCs/>
          <w:lang w:val="es-CR"/>
        </w:rPr>
        <w:t xml:space="preserve"> de segur</w:t>
      </w:r>
      <w:r w:rsidR="00A47127" w:rsidRPr="00CD68BA">
        <w:rPr>
          <w:i/>
          <w:iCs/>
          <w:lang w:val="es-CR"/>
        </w:rPr>
        <w:t>ança</w:t>
      </w:r>
      <w:r w:rsidR="00B16754" w:rsidRPr="00CD68BA">
        <w:rPr>
          <w:lang w:val="es-CR"/>
        </w:rPr>
        <w:t xml:space="preserve"> fue concedido, de modo que </w:t>
      </w:r>
      <w:r w:rsidR="00524EEE" w:rsidRPr="00CD68BA">
        <w:rPr>
          <w:lang w:val="es-CR"/>
        </w:rPr>
        <w:t>el 21 de diciembre de 1981</w:t>
      </w:r>
      <w:r w:rsidR="00B16754" w:rsidRPr="00CD68BA">
        <w:rPr>
          <w:lang w:val="es-CR"/>
        </w:rPr>
        <w:t xml:space="preserve"> se</w:t>
      </w:r>
      <w:r w:rsidR="00524EEE" w:rsidRPr="00CD68BA">
        <w:rPr>
          <w:lang w:val="es-CR"/>
        </w:rPr>
        <w:t xml:space="preserve"> ordenó al oficial de justicia dirigirse a</w:t>
      </w:r>
      <w:r w:rsidR="00B16754" w:rsidRPr="00CD68BA">
        <w:rPr>
          <w:lang w:val="es-CR"/>
        </w:rPr>
        <w:t xml:space="preserve"> la región del conflicto </w:t>
      </w:r>
      <w:r w:rsidR="00524EEE" w:rsidRPr="00CD68BA">
        <w:rPr>
          <w:lang w:val="es-CR"/>
        </w:rPr>
        <w:t xml:space="preserve">“para garantizar la permanencia” de </w:t>
      </w:r>
      <w:r w:rsidR="00B16754" w:rsidRPr="00CD68BA">
        <w:rPr>
          <w:lang w:val="es-CR"/>
        </w:rPr>
        <w:t xml:space="preserve">los trabajadores rurales </w:t>
      </w:r>
      <w:r w:rsidR="00524EEE" w:rsidRPr="00CD68BA">
        <w:rPr>
          <w:lang w:val="es-CR"/>
        </w:rPr>
        <w:t>ocupantes</w:t>
      </w:r>
      <w:r w:rsidR="00524EEE" w:rsidRPr="00CD68BA">
        <w:rPr>
          <w:rStyle w:val="Refdenotaalpie"/>
          <w:lang w:val="es-CR"/>
        </w:rPr>
        <w:footnoteReference w:id="69"/>
      </w:r>
      <w:r w:rsidR="00524EEE" w:rsidRPr="00CD68BA">
        <w:rPr>
          <w:lang w:val="es-CR"/>
        </w:rPr>
        <w:t>.</w:t>
      </w:r>
      <w:r w:rsidR="005473C5" w:rsidRPr="00CD68BA">
        <w:rPr>
          <w:lang w:val="es-CR"/>
        </w:rPr>
        <w:t xml:space="preserve"> </w:t>
      </w:r>
    </w:p>
    <w:p w14:paraId="154C2B05" w14:textId="77777777" w:rsidR="00EA39E2" w:rsidRPr="00CD68BA" w:rsidRDefault="00EA39E2" w:rsidP="00A06718">
      <w:pPr>
        <w:autoSpaceDE w:val="0"/>
        <w:autoSpaceDN w:val="0"/>
        <w:adjustRightInd w:val="0"/>
        <w:spacing w:before="0" w:after="0"/>
        <w:rPr>
          <w:b/>
          <w:bCs/>
          <w:szCs w:val="20"/>
          <w:lang w:val="es-CR"/>
        </w:rPr>
      </w:pPr>
    </w:p>
    <w:p w14:paraId="79325F38" w14:textId="76408DAC" w:rsidR="00EA39E2" w:rsidRPr="00CD68BA" w:rsidRDefault="00024FD9" w:rsidP="00A06718">
      <w:pPr>
        <w:pStyle w:val="Estilo4"/>
        <w:ind w:left="851"/>
        <w:rPr>
          <w:bCs/>
        </w:rPr>
      </w:pPr>
      <w:bookmarkStart w:id="115" w:name="_Toc114778779"/>
      <w:r w:rsidRPr="00CD68BA">
        <w:rPr>
          <w:bCs/>
          <w:i/>
          <w:iCs/>
        </w:rPr>
        <w:t>B</w:t>
      </w:r>
      <w:r w:rsidR="00EA39E2" w:rsidRPr="00CD68BA">
        <w:rPr>
          <w:bCs/>
          <w:i/>
          <w:iCs/>
        </w:rPr>
        <w:t>.</w:t>
      </w:r>
      <w:r w:rsidR="00921C96" w:rsidRPr="00CD68BA">
        <w:rPr>
          <w:bCs/>
          <w:i/>
          <w:iCs/>
        </w:rPr>
        <w:t>3</w:t>
      </w:r>
      <w:r w:rsidR="00EA39E2" w:rsidRPr="00CD68BA">
        <w:rPr>
          <w:bCs/>
          <w:i/>
          <w:iCs/>
        </w:rPr>
        <w:t>.</w:t>
      </w:r>
      <w:r w:rsidR="00AE29E2" w:rsidRPr="00CD68BA">
        <w:rPr>
          <w:bCs/>
          <w:i/>
          <w:iCs/>
        </w:rPr>
        <w:t xml:space="preserve"> </w:t>
      </w:r>
      <w:r w:rsidR="00667731" w:rsidRPr="00CD68BA">
        <w:rPr>
          <w:bCs/>
        </w:rPr>
        <w:t>Las amenazas contra los trabajadores rurales y Gabriel Sales Pimenta</w:t>
      </w:r>
      <w:bookmarkEnd w:id="115"/>
      <w:r w:rsidR="00287128" w:rsidRPr="00CD68BA">
        <w:rPr>
          <w:bCs/>
        </w:rPr>
        <w:t xml:space="preserve"> </w:t>
      </w:r>
    </w:p>
    <w:p w14:paraId="6D63C993" w14:textId="5E895012" w:rsidR="004B2A73" w:rsidRPr="00CD68BA" w:rsidRDefault="004B2A73" w:rsidP="00A06718">
      <w:pPr>
        <w:autoSpaceDE w:val="0"/>
        <w:autoSpaceDN w:val="0"/>
        <w:adjustRightInd w:val="0"/>
        <w:spacing w:before="0" w:after="0"/>
        <w:rPr>
          <w:b/>
          <w:bCs/>
          <w:szCs w:val="20"/>
          <w:lang w:val="es-CR"/>
        </w:rPr>
      </w:pPr>
    </w:p>
    <w:p w14:paraId="5F2CDB12" w14:textId="750CCD94" w:rsidR="001375C4" w:rsidRPr="00CD68BA" w:rsidRDefault="001375C4" w:rsidP="00A06718">
      <w:pPr>
        <w:pStyle w:val="Prrafodelista"/>
        <w:numPr>
          <w:ilvl w:val="0"/>
          <w:numId w:val="16"/>
        </w:numPr>
        <w:autoSpaceDE w:val="0"/>
        <w:autoSpaceDN w:val="0"/>
        <w:adjustRightInd w:val="0"/>
        <w:spacing w:before="0" w:after="0"/>
        <w:ind w:left="0" w:firstLine="0"/>
        <w:contextualSpacing w:val="0"/>
        <w:rPr>
          <w:bCs/>
          <w:szCs w:val="20"/>
          <w:lang w:val="es-CR"/>
        </w:rPr>
      </w:pPr>
      <w:r w:rsidRPr="00CD68BA">
        <w:rPr>
          <w:bCs/>
          <w:lang w:val="es-CR"/>
        </w:rPr>
        <w:t xml:space="preserve">Según declaraciones, </w:t>
      </w:r>
      <w:r w:rsidR="00A177B0" w:rsidRPr="00CD68BA">
        <w:rPr>
          <w:bCs/>
          <w:lang w:val="es-CR"/>
        </w:rPr>
        <w:t xml:space="preserve">en 1982 </w:t>
      </w:r>
      <w:r w:rsidRPr="00CD68BA">
        <w:rPr>
          <w:bCs/>
          <w:lang w:val="es-CR"/>
        </w:rPr>
        <w:t xml:space="preserve">Gabriel Sales Pimenta habría denunciado en tres ocasiones </w:t>
      </w:r>
      <w:r w:rsidR="00193BFC" w:rsidRPr="00CD68BA">
        <w:rPr>
          <w:bCs/>
          <w:lang w:val="es-CR"/>
        </w:rPr>
        <w:t xml:space="preserve">las </w:t>
      </w:r>
      <w:r w:rsidRPr="00CD68BA">
        <w:rPr>
          <w:bCs/>
          <w:lang w:val="es-CR"/>
        </w:rPr>
        <w:t xml:space="preserve">amenazas y </w:t>
      </w:r>
      <w:r w:rsidR="00000932" w:rsidRPr="00CD68BA">
        <w:rPr>
          <w:bCs/>
          <w:lang w:val="es-CR"/>
        </w:rPr>
        <w:t xml:space="preserve">homicidios </w:t>
      </w:r>
      <w:r w:rsidR="000F556E" w:rsidRPr="00CD68BA">
        <w:rPr>
          <w:bCs/>
          <w:lang w:val="es-CR"/>
        </w:rPr>
        <w:t>de trabajadores rurales</w:t>
      </w:r>
      <w:r w:rsidRPr="00CD68BA">
        <w:rPr>
          <w:bCs/>
          <w:lang w:val="es-CR"/>
        </w:rPr>
        <w:t xml:space="preserve"> en Pau Seco</w:t>
      </w:r>
      <w:r w:rsidR="00193BFC" w:rsidRPr="00CD68BA">
        <w:rPr>
          <w:bCs/>
          <w:lang w:val="es-CR"/>
        </w:rPr>
        <w:t>,</w:t>
      </w:r>
      <w:r w:rsidRPr="00CD68BA">
        <w:rPr>
          <w:bCs/>
          <w:lang w:val="es-CR"/>
        </w:rPr>
        <w:t xml:space="preserve"> ante la Secretaría de Seguridad Pública e</w:t>
      </w:r>
      <w:r w:rsidR="00F36149" w:rsidRPr="00CD68BA">
        <w:rPr>
          <w:bCs/>
          <w:lang w:val="es-CR"/>
        </w:rPr>
        <w:t>n</w:t>
      </w:r>
      <w:r w:rsidRPr="00CD68BA">
        <w:rPr>
          <w:bCs/>
          <w:lang w:val="es-CR"/>
        </w:rPr>
        <w:t xml:space="preserve"> Belém, </w:t>
      </w:r>
      <w:r w:rsidR="00CB7C25" w:rsidRPr="00CD68BA">
        <w:rPr>
          <w:bCs/>
          <w:lang w:val="es-CR"/>
        </w:rPr>
        <w:t xml:space="preserve">en la </w:t>
      </w:r>
      <w:r w:rsidRPr="00CD68BA">
        <w:rPr>
          <w:bCs/>
          <w:lang w:val="es-CR"/>
        </w:rPr>
        <w:t>capital del estado de Pará. La última denuncia fue realizada en junio de 1982</w:t>
      </w:r>
      <w:r w:rsidRPr="00CD68BA">
        <w:rPr>
          <w:rStyle w:val="Refdenotaalpie"/>
          <w:bCs/>
          <w:lang w:val="es-CR"/>
        </w:rPr>
        <w:footnoteReference w:id="70"/>
      </w:r>
      <w:r w:rsidRPr="00CD68BA">
        <w:rPr>
          <w:bCs/>
          <w:lang w:val="es-CR"/>
        </w:rPr>
        <w:t xml:space="preserve">. </w:t>
      </w:r>
    </w:p>
    <w:p w14:paraId="58AA724E" w14:textId="77777777" w:rsidR="001375C4" w:rsidRPr="00CD68BA" w:rsidRDefault="001375C4" w:rsidP="00A06718">
      <w:pPr>
        <w:autoSpaceDE w:val="0"/>
        <w:autoSpaceDN w:val="0"/>
        <w:adjustRightInd w:val="0"/>
        <w:spacing w:before="0" w:after="0"/>
        <w:rPr>
          <w:bCs/>
          <w:szCs w:val="20"/>
          <w:lang w:val="es-CR"/>
        </w:rPr>
      </w:pPr>
    </w:p>
    <w:p w14:paraId="0AB5C341" w14:textId="4BB5405B" w:rsidR="00533ED7" w:rsidRPr="00CD68BA" w:rsidRDefault="000F556E" w:rsidP="00A06718">
      <w:pPr>
        <w:pStyle w:val="Prrafodelista"/>
        <w:numPr>
          <w:ilvl w:val="0"/>
          <w:numId w:val="16"/>
        </w:numPr>
        <w:autoSpaceDE w:val="0"/>
        <w:autoSpaceDN w:val="0"/>
        <w:adjustRightInd w:val="0"/>
        <w:spacing w:before="0" w:after="0"/>
        <w:ind w:left="0" w:firstLine="0"/>
        <w:contextualSpacing w:val="0"/>
        <w:rPr>
          <w:bCs/>
          <w:szCs w:val="20"/>
          <w:lang w:val="es-CR"/>
        </w:rPr>
      </w:pPr>
      <w:r w:rsidRPr="00CD68BA">
        <w:rPr>
          <w:bCs/>
          <w:lang w:val="es-CR"/>
        </w:rPr>
        <w:t>Por otra parte, l</w:t>
      </w:r>
      <w:r w:rsidR="00533ED7" w:rsidRPr="00CD68BA">
        <w:rPr>
          <w:bCs/>
          <w:lang w:val="es-CR"/>
        </w:rPr>
        <w:t>as amenazas</w:t>
      </w:r>
      <w:r w:rsidR="00C61B6D" w:rsidRPr="00CD68BA">
        <w:rPr>
          <w:rStyle w:val="Refdenotaalpie"/>
          <w:bCs/>
          <w:lang w:val="es-CR"/>
        </w:rPr>
        <w:footnoteReference w:id="71"/>
      </w:r>
      <w:r w:rsidR="00533ED7" w:rsidRPr="00CD68BA">
        <w:rPr>
          <w:bCs/>
          <w:lang w:val="es-CR"/>
        </w:rPr>
        <w:t xml:space="preserve"> contra Gabriel Sales Pimenta empezaron al menos en diciembre de 1981, </w:t>
      </w:r>
      <w:r w:rsidR="006A074F" w:rsidRPr="00CD68BA">
        <w:rPr>
          <w:bCs/>
          <w:lang w:val="es-CR"/>
        </w:rPr>
        <w:t xml:space="preserve">tras el éxito que tuvo al </w:t>
      </w:r>
      <w:r w:rsidR="00533ED7" w:rsidRPr="00CD68BA">
        <w:rPr>
          <w:bCs/>
          <w:lang w:val="es-CR"/>
        </w:rPr>
        <w:t>revertir la situación de desalojo de l</w:t>
      </w:r>
      <w:r w:rsidR="006A074F" w:rsidRPr="00CD68BA">
        <w:rPr>
          <w:bCs/>
          <w:lang w:val="es-CR"/>
        </w:rPr>
        <w:t>os trabajadores rurales</w:t>
      </w:r>
      <w:r w:rsidR="00533ED7" w:rsidRPr="00CD68BA">
        <w:rPr>
          <w:bCs/>
          <w:lang w:val="es-CR"/>
        </w:rPr>
        <w:t xml:space="preserve"> ocupantes de la zona de Pau Seco</w:t>
      </w:r>
      <w:r w:rsidR="00533ED7" w:rsidRPr="00CD68BA">
        <w:rPr>
          <w:rStyle w:val="Refdenotaalpie"/>
          <w:bCs/>
          <w:lang w:val="es-CR"/>
        </w:rPr>
        <w:footnoteReference w:id="72"/>
      </w:r>
      <w:r w:rsidR="00A27006" w:rsidRPr="00CD68BA">
        <w:rPr>
          <w:bCs/>
          <w:lang w:val="es-CR"/>
        </w:rPr>
        <w:t>.</w:t>
      </w:r>
    </w:p>
    <w:p w14:paraId="635BB3DD" w14:textId="77777777" w:rsidR="00667731" w:rsidRPr="00CD68BA" w:rsidRDefault="00667731" w:rsidP="00A06718">
      <w:pPr>
        <w:autoSpaceDE w:val="0"/>
        <w:autoSpaceDN w:val="0"/>
        <w:adjustRightInd w:val="0"/>
        <w:spacing w:before="0" w:after="0"/>
        <w:rPr>
          <w:bCs/>
          <w:szCs w:val="20"/>
          <w:lang w:val="es-CR"/>
        </w:rPr>
      </w:pPr>
    </w:p>
    <w:p w14:paraId="501002F2" w14:textId="2615477D" w:rsidR="00667731" w:rsidRPr="00CD68BA" w:rsidRDefault="00667731" w:rsidP="00A06718">
      <w:pPr>
        <w:pStyle w:val="Estilo4"/>
        <w:ind w:left="851"/>
        <w:rPr>
          <w:i/>
          <w:iCs/>
        </w:rPr>
      </w:pPr>
      <w:bookmarkStart w:id="116" w:name="_Toc114778780"/>
      <w:r w:rsidRPr="00CD68BA">
        <w:rPr>
          <w:i/>
          <w:iCs/>
        </w:rPr>
        <w:t>B.</w:t>
      </w:r>
      <w:r w:rsidR="00921C96" w:rsidRPr="00CD68BA">
        <w:rPr>
          <w:i/>
          <w:iCs/>
        </w:rPr>
        <w:t>4</w:t>
      </w:r>
      <w:r w:rsidRPr="00CD68BA">
        <w:rPr>
          <w:i/>
          <w:iCs/>
        </w:rPr>
        <w:t xml:space="preserve">. </w:t>
      </w:r>
      <w:r w:rsidR="00786505" w:rsidRPr="00CD68BA">
        <w:rPr>
          <w:i/>
          <w:iCs/>
        </w:rPr>
        <w:t>La muerte</w:t>
      </w:r>
      <w:r w:rsidR="00B84B59" w:rsidRPr="00CD68BA">
        <w:rPr>
          <w:i/>
          <w:iCs/>
        </w:rPr>
        <w:t xml:space="preserve"> de Gabriel Sales Pimenta y la investigación policial</w:t>
      </w:r>
      <w:bookmarkEnd w:id="116"/>
    </w:p>
    <w:p w14:paraId="114DD9B4" w14:textId="77777777" w:rsidR="00667731" w:rsidRPr="00CD68BA" w:rsidRDefault="00667731" w:rsidP="00A06718">
      <w:pPr>
        <w:autoSpaceDE w:val="0"/>
        <w:autoSpaceDN w:val="0"/>
        <w:adjustRightInd w:val="0"/>
        <w:spacing w:before="0" w:after="0"/>
        <w:rPr>
          <w:szCs w:val="20"/>
          <w:lang w:val="es-CR"/>
        </w:rPr>
      </w:pPr>
    </w:p>
    <w:p w14:paraId="2B35384B" w14:textId="458CB961" w:rsidR="00B25D03" w:rsidRPr="00CD68BA" w:rsidRDefault="00287A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18 de julio de 1982 Gabriel Sales Pimenta </w:t>
      </w:r>
      <w:r w:rsidR="00AF7EFB" w:rsidRPr="00CD68BA">
        <w:rPr>
          <w:lang w:val="es-CR"/>
        </w:rPr>
        <w:t>acudió</w:t>
      </w:r>
      <w:r w:rsidRPr="00CD68BA">
        <w:rPr>
          <w:lang w:val="es-CR"/>
        </w:rPr>
        <w:t xml:space="preserve"> al bar conocido como “Bacaba”, en la ciudad de Marabá, junto con </w:t>
      </w:r>
      <w:r w:rsidR="00A60BA6" w:rsidRPr="00CD68BA">
        <w:rPr>
          <w:lang w:val="es-CR"/>
        </w:rPr>
        <w:t>algunos</w:t>
      </w:r>
      <w:r w:rsidRPr="00CD68BA">
        <w:rPr>
          <w:lang w:val="es-CR"/>
        </w:rPr>
        <w:t xml:space="preserve"> conocidos. Aproximadamente a las 22:30 horas, Gabriel Sales Pimenta, Edson Rodrigues Guimarães</w:t>
      </w:r>
      <w:r w:rsidRPr="00CD68BA">
        <w:rPr>
          <w:rStyle w:val="Refdenotaalpie"/>
          <w:lang w:val="es-CR"/>
        </w:rPr>
        <w:footnoteReference w:id="73"/>
      </w:r>
      <w:r w:rsidRPr="00CD68BA">
        <w:rPr>
          <w:lang w:val="es-CR"/>
        </w:rPr>
        <w:t xml:space="preserve"> y Neuzila Cerqueira Guimarães salieron juntos del bar. Cuando los tres habían recorrido entre 30 a 35 metros en dirección al vehículo de su amiga Rosa Almeida, quien se los había prestado a fin de dejar a la señora Cerque</w:t>
      </w:r>
      <w:r w:rsidR="006E71F6" w:rsidRPr="00CD68BA">
        <w:rPr>
          <w:lang w:val="es-CR"/>
        </w:rPr>
        <w:t>i</w:t>
      </w:r>
      <w:r w:rsidRPr="00CD68BA">
        <w:rPr>
          <w:lang w:val="es-CR"/>
        </w:rPr>
        <w:t xml:space="preserve">ra en su residencia, pasaron al lado de un automóvil marca Volkswagen, tipo </w:t>
      </w:r>
      <w:r w:rsidR="00AF7EFB" w:rsidRPr="00CD68BA">
        <w:rPr>
          <w:lang w:val="es-CR"/>
        </w:rPr>
        <w:t>escarabajo</w:t>
      </w:r>
      <w:r w:rsidR="000B2FFB" w:rsidRPr="00CD68BA">
        <w:rPr>
          <w:lang w:val="es-CR"/>
        </w:rPr>
        <w:t>,</w:t>
      </w:r>
      <w:r w:rsidRPr="00CD68BA">
        <w:rPr>
          <w:lang w:val="es-CR"/>
        </w:rPr>
        <w:t xml:space="preserve"> de color beige</w:t>
      </w:r>
      <w:r w:rsidR="000B2FFB" w:rsidRPr="00CD68BA">
        <w:rPr>
          <w:lang w:val="es-CR"/>
        </w:rPr>
        <w:t>,</w:t>
      </w:r>
      <w:r w:rsidRPr="00CD68BA">
        <w:rPr>
          <w:lang w:val="es-CR"/>
        </w:rPr>
        <w:t xml:space="preserve"> casi blanco, que se encontraba estacionado</w:t>
      </w:r>
      <w:r w:rsidR="000B2FFB" w:rsidRPr="00CD68BA">
        <w:rPr>
          <w:lang w:val="es-CR"/>
        </w:rPr>
        <w:t>. U</w:t>
      </w:r>
      <w:r w:rsidRPr="00CD68BA">
        <w:rPr>
          <w:lang w:val="es-CR"/>
        </w:rPr>
        <w:t>n hombre</w:t>
      </w:r>
      <w:r w:rsidR="000B2FFB" w:rsidRPr="00CD68BA">
        <w:rPr>
          <w:lang w:val="es-CR"/>
        </w:rPr>
        <w:t xml:space="preserve"> salió de</w:t>
      </w:r>
      <w:r w:rsidR="003E597C" w:rsidRPr="00CD68BA">
        <w:rPr>
          <w:lang w:val="es-CR"/>
        </w:rPr>
        <w:t xml:space="preserve"> tal</w:t>
      </w:r>
      <w:r w:rsidR="000B2FFB" w:rsidRPr="00CD68BA">
        <w:rPr>
          <w:lang w:val="es-CR"/>
        </w:rPr>
        <w:t xml:space="preserve"> vehículo</w:t>
      </w:r>
      <w:r w:rsidR="00676C87" w:rsidRPr="00CD68BA">
        <w:rPr>
          <w:rStyle w:val="Refdenotaalpie"/>
          <w:lang w:val="es-CR"/>
        </w:rPr>
        <w:footnoteReference w:id="74"/>
      </w:r>
      <w:r w:rsidRPr="00CD68BA">
        <w:rPr>
          <w:lang w:val="es-CR"/>
        </w:rPr>
        <w:t xml:space="preserve"> y le disparó tres veces al señor Sales Pimenta, quien murió de manera instantánea</w:t>
      </w:r>
      <w:r w:rsidRPr="00CD68BA">
        <w:rPr>
          <w:rStyle w:val="Refdenotaalpie"/>
          <w:lang w:val="es-CR"/>
        </w:rPr>
        <w:footnoteReference w:id="75"/>
      </w:r>
      <w:r w:rsidRPr="00CD68BA">
        <w:rPr>
          <w:lang w:val="es-CR"/>
        </w:rPr>
        <w:t xml:space="preserve">. El hombre posteriormente se habría escapado en el </w:t>
      </w:r>
      <w:r w:rsidRPr="00CD68BA">
        <w:rPr>
          <w:lang w:val="es-CR"/>
        </w:rPr>
        <w:lastRenderedPageBreak/>
        <w:t>mismo vehículo. Según la declaración de</w:t>
      </w:r>
      <w:r w:rsidR="00A31428" w:rsidRPr="00CD68BA">
        <w:rPr>
          <w:lang w:val="es-CR"/>
        </w:rPr>
        <w:t xml:space="preserve"> </w:t>
      </w:r>
      <w:r w:rsidRPr="00CD68BA">
        <w:rPr>
          <w:lang w:val="es-CR"/>
        </w:rPr>
        <w:t xml:space="preserve">Edson </w:t>
      </w:r>
      <w:r w:rsidR="006E71F6" w:rsidRPr="00CD68BA">
        <w:rPr>
          <w:lang w:val="es-CR"/>
        </w:rPr>
        <w:t>Rodrigues</w:t>
      </w:r>
      <w:r w:rsidRPr="00CD68BA">
        <w:rPr>
          <w:lang w:val="es-CR"/>
        </w:rPr>
        <w:t>, en el vehículo se encontraban dos hombres más</w:t>
      </w:r>
      <w:r w:rsidRPr="00CD68BA">
        <w:rPr>
          <w:rStyle w:val="Refdenotaalpie"/>
          <w:lang w:val="es-CR"/>
        </w:rPr>
        <w:footnoteReference w:id="76"/>
      </w:r>
      <w:r w:rsidRPr="00CD68BA">
        <w:rPr>
          <w:lang w:val="es-CR"/>
        </w:rPr>
        <w:t>.</w:t>
      </w:r>
    </w:p>
    <w:p w14:paraId="554DCC81" w14:textId="77777777" w:rsidR="00407CD8" w:rsidRPr="00CD68BA" w:rsidRDefault="00407CD8" w:rsidP="00A06718">
      <w:pPr>
        <w:pStyle w:val="Prrafodelista"/>
        <w:autoSpaceDE w:val="0"/>
        <w:autoSpaceDN w:val="0"/>
        <w:adjustRightInd w:val="0"/>
        <w:spacing w:before="0" w:after="0"/>
        <w:ind w:left="0"/>
        <w:contextualSpacing w:val="0"/>
        <w:rPr>
          <w:szCs w:val="20"/>
          <w:lang w:val="es-CR"/>
        </w:rPr>
      </w:pPr>
    </w:p>
    <w:p w14:paraId="73BFDE4B" w14:textId="47BE2F87" w:rsidR="00861077" w:rsidRPr="00CD68BA" w:rsidRDefault="00287A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Al día siguiente</w:t>
      </w:r>
      <w:r w:rsidR="00491084" w:rsidRPr="00CD68BA">
        <w:rPr>
          <w:lang w:val="es-CR"/>
        </w:rPr>
        <w:t xml:space="preserve"> comenzó</w:t>
      </w:r>
      <w:r w:rsidRPr="00CD68BA">
        <w:rPr>
          <w:lang w:val="es-CR"/>
        </w:rPr>
        <w:t xml:space="preserve"> la investigación policial</w:t>
      </w:r>
      <w:r w:rsidRPr="00CD68BA">
        <w:rPr>
          <w:rStyle w:val="Refdenotaalpie"/>
          <w:lang w:val="es-CR"/>
        </w:rPr>
        <w:footnoteReference w:id="77"/>
      </w:r>
      <w:r w:rsidR="00861077" w:rsidRPr="00CD68BA">
        <w:rPr>
          <w:lang w:val="es-CR"/>
        </w:rPr>
        <w:t>.</w:t>
      </w:r>
      <w:r w:rsidR="00AE31F2" w:rsidRPr="00CD68BA">
        <w:rPr>
          <w:lang w:val="es-CR"/>
        </w:rPr>
        <w:t xml:space="preserve"> </w:t>
      </w:r>
      <w:r w:rsidRPr="00CD68BA">
        <w:rPr>
          <w:lang w:val="es-CR"/>
        </w:rPr>
        <w:t xml:space="preserve">El 22 de julio de 1982 el </w:t>
      </w:r>
      <w:r w:rsidR="005E0E4A" w:rsidRPr="00CD68BA">
        <w:rPr>
          <w:lang w:val="es-CR"/>
        </w:rPr>
        <w:t>C</w:t>
      </w:r>
      <w:r w:rsidRPr="00CD68BA">
        <w:rPr>
          <w:lang w:val="es-CR"/>
        </w:rPr>
        <w:t>omisario de la División de Crímenes contra la Persona</w:t>
      </w:r>
      <w:r w:rsidR="00AE31F2" w:rsidRPr="00CD68BA">
        <w:rPr>
          <w:rStyle w:val="Refdenotaalpie"/>
          <w:lang w:val="es-CR"/>
        </w:rPr>
        <w:footnoteReference w:id="78"/>
      </w:r>
      <w:r w:rsidR="00681AC0" w:rsidRPr="00CD68BA">
        <w:rPr>
          <w:lang w:val="es-CR"/>
        </w:rPr>
        <w:t>,</w:t>
      </w:r>
      <w:r w:rsidRPr="00CD68BA">
        <w:rPr>
          <w:lang w:val="es-CR"/>
        </w:rPr>
        <w:t xml:space="preserve"> </w:t>
      </w:r>
      <w:r w:rsidR="00681AC0" w:rsidRPr="00CD68BA">
        <w:rPr>
          <w:lang w:val="es-CR"/>
        </w:rPr>
        <w:t xml:space="preserve">quien se encontraba a cargo de la investigación policial, </w:t>
      </w:r>
      <w:r w:rsidRPr="00CD68BA">
        <w:rPr>
          <w:lang w:val="es-CR"/>
        </w:rPr>
        <w:t xml:space="preserve">identificó a </w:t>
      </w:r>
      <w:r w:rsidR="00D62D06" w:rsidRPr="00CD68BA">
        <w:rPr>
          <w:lang w:val="es-CR"/>
        </w:rPr>
        <w:t>M.C.N.</w:t>
      </w:r>
      <w:r w:rsidRPr="00CD68BA">
        <w:rPr>
          <w:lang w:val="es-CR"/>
        </w:rPr>
        <w:t xml:space="preserve"> y </w:t>
      </w:r>
      <w:r w:rsidR="00D62D06" w:rsidRPr="00CD68BA">
        <w:rPr>
          <w:lang w:val="es-CR"/>
        </w:rPr>
        <w:t>J.P.N.</w:t>
      </w:r>
      <w:r w:rsidRPr="00CD68BA">
        <w:rPr>
          <w:lang w:val="es-CR"/>
        </w:rPr>
        <w:t xml:space="preserve"> como los presuntos autores del </w:t>
      </w:r>
      <w:r w:rsidR="00620503" w:rsidRPr="00CD68BA">
        <w:rPr>
          <w:lang w:val="es-CR"/>
        </w:rPr>
        <w:t xml:space="preserve">homicidio </w:t>
      </w:r>
      <w:r w:rsidRPr="00CD68BA">
        <w:rPr>
          <w:lang w:val="es-CR"/>
        </w:rPr>
        <w:t>de Gabriel Sales Pimenta</w:t>
      </w:r>
      <w:r w:rsidRPr="00CD68BA">
        <w:rPr>
          <w:rStyle w:val="Refdenotaalpie"/>
          <w:lang w:val="es-CR"/>
        </w:rPr>
        <w:footnoteReference w:id="79"/>
      </w:r>
      <w:r w:rsidRPr="00CD68BA">
        <w:rPr>
          <w:lang w:val="es-CR"/>
        </w:rPr>
        <w:t>. Posteriormente, en</w:t>
      </w:r>
      <w:r w:rsidR="00AE31F2" w:rsidRPr="00CD68BA">
        <w:rPr>
          <w:lang w:val="es-CR"/>
        </w:rPr>
        <w:t xml:space="preserve"> </w:t>
      </w:r>
      <w:r w:rsidRPr="00CD68BA">
        <w:rPr>
          <w:lang w:val="es-CR"/>
        </w:rPr>
        <w:t xml:space="preserve">informe de 8 de septiembre de 1982, agregó a </w:t>
      </w:r>
      <w:bookmarkStart w:id="118" w:name="_Hlk98008057"/>
      <w:r w:rsidR="00524A26" w:rsidRPr="00CD68BA">
        <w:rPr>
          <w:lang w:val="es-CR"/>
        </w:rPr>
        <w:t>C.O.S.</w:t>
      </w:r>
      <w:r w:rsidRPr="00CD68BA">
        <w:rPr>
          <w:lang w:val="es-CR"/>
        </w:rPr>
        <w:t xml:space="preserve"> </w:t>
      </w:r>
      <w:bookmarkEnd w:id="118"/>
      <w:r w:rsidRPr="00CD68BA">
        <w:rPr>
          <w:lang w:val="es-CR"/>
        </w:rPr>
        <w:t>a la lista de personas inculpadas</w:t>
      </w:r>
      <w:r w:rsidRPr="00CD68BA">
        <w:rPr>
          <w:rStyle w:val="Refdenotaalpie"/>
          <w:lang w:val="es-CR"/>
        </w:rPr>
        <w:footnoteReference w:id="80"/>
      </w:r>
      <w:r w:rsidRPr="00CD68BA">
        <w:rPr>
          <w:lang w:val="es-CR"/>
        </w:rPr>
        <w:t xml:space="preserve">. </w:t>
      </w:r>
    </w:p>
    <w:p w14:paraId="4B505513" w14:textId="1C21C6A3" w:rsidR="00667731" w:rsidRPr="00CD68BA" w:rsidRDefault="00667731" w:rsidP="00A06718">
      <w:pPr>
        <w:pStyle w:val="Prrafodelista"/>
        <w:autoSpaceDE w:val="0"/>
        <w:autoSpaceDN w:val="0"/>
        <w:adjustRightInd w:val="0"/>
        <w:spacing w:before="0" w:after="0"/>
        <w:ind w:left="0"/>
        <w:contextualSpacing w:val="0"/>
        <w:rPr>
          <w:szCs w:val="20"/>
          <w:lang w:val="es-CR"/>
        </w:rPr>
      </w:pPr>
    </w:p>
    <w:p w14:paraId="1E75C4AD" w14:textId="78AF0D80" w:rsidR="00212DC1" w:rsidRPr="00CD68BA" w:rsidRDefault="00212DC1" w:rsidP="00A06718">
      <w:pPr>
        <w:pStyle w:val="Estilo4"/>
        <w:ind w:left="851"/>
        <w:rPr>
          <w:i/>
          <w:iCs/>
        </w:rPr>
      </w:pPr>
      <w:bookmarkStart w:id="119" w:name="_Toc114778781"/>
      <w:r w:rsidRPr="00CD68BA">
        <w:rPr>
          <w:i/>
          <w:iCs/>
        </w:rPr>
        <w:t>B.</w:t>
      </w:r>
      <w:r w:rsidR="00505986" w:rsidRPr="00CD68BA">
        <w:rPr>
          <w:i/>
          <w:iCs/>
        </w:rPr>
        <w:t>5</w:t>
      </w:r>
      <w:r w:rsidRPr="00CD68BA">
        <w:rPr>
          <w:i/>
          <w:iCs/>
        </w:rPr>
        <w:t xml:space="preserve">. </w:t>
      </w:r>
      <w:r w:rsidR="004128F5" w:rsidRPr="00CD68BA">
        <w:rPr>
          <w:i/>
          <w:iCs/>
        </w:rPr>
        <w:t xml:space="preserve">El desarrollo del </w:t>
      </w:r>
      <w:r w:rsidRPr="00CD68BA">
        <w:rPr>
          <w:i/>
          <w:iCs/>
        </w:rPr>
        <w:t>proceso penal</w:t>
      </w:r>
      <w:r w:rsidR="004128F5" w:rsidRPr="00CD68BA">
        <w:rPr>
          <w:i/>
          <w:iCs/>
        </w:rPr>
        <w:t xml:space="preserve"> hasta el 10 de diciembre de 1998</w:t>
      </w:r>
      <w:bookmarkEnd w:id="119"/>
    </w:p>
    <w:p w14:paraId="2706ECD4" w14:textId="77777777" w:rsidR="00212DC1" w:rsidRPr="00CD68BA" w:rsidRDefault="00212DC1" w:rsidP="00A06718">
      <w:pPr>
        <w:autoSpaceDE w:val="0"/>
        <w:autoSpaceDN w:val="0"/>
        <w:adjustRightInd w:val="0"/>
        <w:spacing w:before="0" w:after="0"/>
        <w:rPr>
          <w:szCs w:val="20"/>
          <w:lang w:val="es-CR"/>
        </w:rPr>
      </w:pPr>
    </w:p>
    <w:p w14:paraId="11DCAB64" w14:textId="173D8143" w:rsidR="00463681" w:rsidRPr="00CD68BA" w:rsidRDefault="004128F5" w:rsidP="00F60FB6">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19 de agosto de 1983 el Ministerio Público presentó denuncia penal contra </w:t>
      </w:r>
      <w:r w:rsidR="00D62D06" w:rsidRPr="00CD68BA">
        <w:rPr>
          <w:lang w:val="es-CR"/>
        </w:rPr>
        <w:t>M.C.N.</w:t>
      </w:r>
      <w:r w:rsidRPr="00CD68BA">
        <w:rPr>
          <w:lang w:val="es-CR"/>
        </w:rPr>
        <w:t xml:space="preserve">, </w:t>
      </w:r>
      <w:r w:rsidR="00D62D06" w:rsidRPr="00CD68BA">
        <w:rPr>
          <w:lang w:val="es-CR"/>
        </w:rPr>
        <w:t>J.P.N.</w:t>
      </w:r>
      <w:r w:rsidRPr="00CD68BA">
        <w:rPr>
          <w:lang w:val="es-CR"/>
        </w:rPr>
        <w:t xml:space="preserve"> y </w:t>
      </w:r>
      <w:r w:rsidR="00524A26" w:rsidRPr="00CD68BA">
        <w:rPr>
          <w:lang w:val="es-CR"/>
        </w:rPr>
        <w:t>C.O.S.</w:t>
      </w:r>
      <w:r w:rsidRPr="00CD68BA">
        <w:rPr>
          <w:lang w:val="es-CR"/>
        </w:rPr>
        <w:t xml:space="preserve"> como autores del delito de homicidio calificado</w:t>
      </w:r>
      <w:r w:rsidR="00EB45CB" w:rsidRPr="00CD68BA">
        <w:rPr>
          <w:rStyle w:val="Refdenotaalpie"/>
          <w:lang w:val="es-CR"/>
        </w:rPr>
        <w:footnoteReference w:id="81"/>
      </w:r>
      <w:r w:rsidRPr="00CD68BA">
        <w:rPr>
          <w:lang w:val="es-CR"/>
        </w:rPr>
        <w:t xml:space="preserve">, ante la Jueza de Derecho del Distrito Judicial de Marabá. La denuncia fue </w:t>
      </w:r>
      <w:r w:rsidR="009E16E7" w:rsidRPr="00CD68BA">
        <w:rPr>
          <w:lang w:val="es-CR"/>
        </w:rPr>
        <w:t xml:space="preserve">admitida </w:t>
      </w:r>
      <w:r w:rsidRPr="00CD68BA">
        <w:rPr>
          <w:lang w:val="es-CR"/>
        </w:rPr>
        <w:t>el 23 de agosto de 1983</w:t>
      </w:r>
      <w:r w:rsidRPr="00CD68BA">
        <w:rPr>
          <w:rStyle w:val="Refdenotaalpie"/>
          <w:lang w:val="es-CR"/>
        </w:rPr>
        <w:footnoteReference w:id="82"/>
      </w:r>
      <w:r w:rsidRPr="00CD68BA">
        <w:rPr>
          <w:lang w:val="es-CR"/>
        </w:rPr>
        <w:t xml:space="preserve">. </w:t>
      </w:r>
      <w:r w:rsidR="009E16E7" w:rsidRPr="00CD68BA">
        <w:rPr>
          <w:lang w:val="es-CR"/>
        </w:rPr>
        <w:t>La</w:t>
      </w:r>
      <w:r w:rsidRPr="00CD68BA">
        <w:rPr>
          <w:lang w:val="es-CR"/>
        </w:rPr>
        <w:t xml:space="preserve"> audiencia programada para el 27 de diciembre de 1983 no se realizó al no haberse</w:t>
      </w:r>
      <w:r w:rsidR="009E16E7" w:rsidRPr="00CD68BA">
        <w:rPr>
          <w:lang w:val="es-CR"/>
        </w:rPr>
        <w:t xml:space="preserve"> logrado citar</w:t>
      </w:r>
      <w:r w:rsidRPr="00CD68BA">
        <w:rPr>
          <w:lang w:val="es-CR"/>
        </w:rPr>
        <w:t xml:space="preserve"> a </w:t>
      </w:r>
      <w:r w:rsidR="00D62D06" w:rsidRPr="00CD68BA">
        <w:rPr>
          <w:lang w:val="es-CR"/>
        </w:rPr>
        <w:t>M.C.N.</w:t>
      </w:r>
      <w:r w:rsidRPr="00CD68BA">
        <w:rPr>
          <w:lang w:val="es-CR"/>
        </w:rPr>
        <w:t xml:space="preserve"> ni a </w:t>
      </w:r>
      <w:r w:rsidR="00524A26" w:rsidRPr="00CD68BA">
        <w:rPr>
          <w:lang w:val="es-CR"/>
        </w:rPr>
        <w:t>C.O.S.</w:t>
      </w:r>
      <w:r w:rsidRPr="00CD68BA">
        <w:rPr>
          <w:rStyle w:val="Refdenotaalpie"/>
          <w:lang w:val="es-CR"/>
        </w:rPr>
        <w:footnoteReference w:id="83"/>
      </w:r>
      <w:r w:rsidRPr="00CD68BA">
        <w:rPr>
          <w:lang w:val="es-CR"/>
        </w:rPr>
        <w:t xml:space="preserve">. </w:t>
      </w:r>
      <w:r w:rsidR="009E16E7" w:rsidRPr="00CD68BA">
        <w:rPr>
          <w:lang w:val="es-CR"/>
        </w:rPr>
        <w:t xml:space="preserve">De ese modo, fue reprogramada y realizada </w:t>
      </w:r>
      <w:r w:rsidRPr="00CD68BA">
        <w:rPr>
          <w:lang w:val="es-CR"/>
        </w:rPr>
        <w:t>el 27 de abril de 1984</w:t>
      </w:r>
      <w:r w:rsidRPr="00CD68BA">
        <w:rPr>
          <w:rStyle w:val="Refdenotaalpie"/>
          <w:lang w:val="es-CR"/>
        </w:rPr>
        <w:footnoteReference w:id="84"/>
      </w:r>
      <w:r w:rsidRPr="00CD68BA">
        <w:rPr>
          <w:lang w:val="es-CR"/>
        </w:rPr>
        <w:t xml:space="preserve">. De los tres acusados, solo </w:t>
      </w:r>
      <w:r w:rsidR="00D62D06" w:rsidRPr="00CD68BA">
        <w:rPr>
          <w:lang w:val="es-CR"/>
        </w:rPr>
        <w:t>J.P.N.</w:t>
      </w:r>
      <w:r w:rsidRPr="00CD68BA">
        <w:rPr>
          <w:lang w:val="es-CR"/>
        </w:rPr>
        <w:t xml:space="preserve"> compareció </w:t>
      </w:r>
      <w:r w:rsidR="001B4F79" w:rsidRPr="00CD68BA">
        <w:rPr>
          <w:lang w:val="es-CR"/>
        </w:rPr>
        <w:t>a</w:t>
      </w:r>
      <w:r w:rsidR="006A1815" w:rsidRPr="00CD68BA">
        <w:rPr>
          <w:lang w:val="es-CR"/>
        </w:rPr>
        <w:t xml:space="preserve"> </w:t>
      </w:r>
      <w:r w:rsidR="001B4F79" w:rsidRPr="00CD68BA">
        <w:rPr>
          <w:lang w:val="es-CR"/>
        </w:rPr>
        <w:t>l</w:t>
      </w:r>
      <w:r w:rsidR="006A1815" w:rsidRPr="00CD68BA">
        <w:rPr>
          <w:lang w:val="es-CR"/>
        </w:rPr>
        <w:t>a</w:t>
      </w:r>
      <w:r w:rsidR="001B4F79" w:rsidRPr="00CD68BA">
        <w:rPr>
          <w:lang w:val="es-CR"/>
        </w:rPr>
        <w:t xml:space="preserve"> </w:t>
      </w:r>
      <w:r w:rsidR="006A1815" w:rsidRPr="00CD68BA">
        <w:rPr>
          <w:lang w:val="es-CR"/>
        </w:rPr>
        <w:t>diligencia</w:t>
      </w:r>
      <w:r w:rsidRPr="00CD68BA">
        <w:rPr>
          <w:rStyle w:val="Refdenotaalpie"/>
          <w:lang w:val="es-CR"/>
        </w:rPr>
        <w:footnoteReference w:id="85"/>
      </w:r>
      <w:r w:rsidRPr="00CD68BA">
        <w:rPr>
          <w:lang w:val="es-CR"/>
        </w:rPr>
        <w:t xml:space="preserve">. El 20 de junio de 1984 se decretó la prisión preventiva contra </w:t>
      </w:r>
      <w:r w:rsidR="00D62D06" w:rsidRPr="00CD68BA">
        <w:rPr>
          <w:lang w:val="es-CR"/>
        </w:rPr>
        <w:t>M.C.N.</w:t>
      </w:r>
      <w:r w:rsidRPr="00CD68BA">
        <w:rPr>
          <w:lang w:val="es-CR"/>
        </w:rPr>
        <w:t xml:space="preserve"> y </w:t>
      </w:r>
      <w:r w:rsidR="00524A26" w:rsidRPr="00CD68BA">
        <w:rPr>
          <w:lang w:val="es-CR"/>
        </w:rPr>
        <w:t>C.O.S.</w:t>
      </w:r>
      <w:r w:rsidR="009D1A60" w:rsidRPr="00CD68BA">
        <w:rPr>
          <w:rStyle w:val="Refdenotaalpie"/>
          <w:lang w:val="es-CR"/>
        </w:rPr>
        <w:footnoteReference w:id="86"/>
      </w:r>
      <w:r w:rsidRPr="00CD68BA">
        <w:rPr>
          <w:lang w:val="es-CR"/>
        </w:rPr>
        <w:t xml:space="preserve"> en vista de la investigación policial</w:t>
      </w:r>
      <w:r w:rsidR="0061683B" w:rsidRPr="00CD68BA">
        <w:rPr>
          <w:lang w:val="es-CR"/>
        </w:rPr>
        <w:t>,</w:t>
      </w:r>
      <w:r w:rsidRPr="00CD68BA">
        <w:rPr>
          <w:lang w:val="es-CR"/>
        </w:rPr>
        <w:t xml:space="preserve"> que concluyó su presunta autoría como autor intelectual y material, respectivamente, así como por su falta de localización</w:t>
      </w:r>
      <w:r w:rsidRPr="00CD68BA">
        <w:rPr>
          <w:rStyle w:val="Refdenotaalpie"/>
          <w:lang w:val="es-CR"/>
        </w:rPr>
        <w:footnoteReference w:id="87"/>
      </w:r>
      <w:r w:rsidR="00A138AE" w:rsidRPr="00CD68BA">
        <w:rPr>
          <w:lang w:val="es-CR"/>
        </w:rPr>
        <w:t>.</w:t>
      </w:r>
    </w:p>
    <w:p w14:paraId="26B428C4" w14:textId="77777777" w:rsidR="004737B7" w:rsidRPr="00CD68BA" w:rsidRDefault="004737B7" w:rsidP="00A06718">
      <w:pPr>
        <w:pStyle w:val="Prrafodelista"/>
        <w:autoSpaceDE w:val="0"/>
        <w:autoSpaceDN w:val="0"/>
        <w:adjustRightInd w:val="0"/>
        <w:spacing w:before="0" w:after="0"/>
        <w:ind w:left="0"/>
        <w:contextualSpacing w:val="0"/>
        <w:rPr>
          <w:szCs w:val="20"/>
          <w:lang w:val="es-CR"/>
        </w:rPr>
      </w:pPr>
    </w:p>
    <w:p w14:paraId="3B98D360" w14:textId="024CF1B9" w:rsidR="004737B7" w:rsidRPr="00CD68BA" w:rsidRDefault="004128F5"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 xml:space="preserve">Posteriormente, se programó audiencia de 24 de agosto de 1984 para interrogar a </w:t>
      </w:r>
      <w:r w:rsidR="00D62D06" w:rsidRPr="00CD68BA">
        <w:rPr>
          <w:lang w:val="es-CR"/>
        </w:rPr>
        <w:t>M.C.N.</w:t>
      </w:r>
      <w:r w:rsidR="00A94733" w:rsidRPr="00CD68BA">
        <w:rPr>
          <w:lang w:val="es-CR"/>
        </w:rPr>
        <w:t>, s</w:t>
      </w:r>
      <w:r w:rsidRPr="00CD68BA">
        <w:rPr>
          <w:lang w:val="es-CR"/>
        </w:rPr>
        <w:t>in embargo,</w:t>
      </w:r>
      <w:r w:rsidR="000259E0" w:rsidRPr="00CD68BA">
        <w:rPr>
          <w:lang w:val="es-CR"/>
        </w:rPr>
        <w:t xml:space="preserve"> este</w:t>
      </w:r>
      <w:r w:rsidRPr="00CD68BA">
        <w:rPr>
          <w:lang w:val="es-CR"/>
        </w:rPr>
        <w:t xml:space="preserve"> no compareció</w:t>
      </w:r>
      <w:r w:rsidR="00A94733" w:rsidRPr="00CD68BA">
        <w:rPr>
          <w:lang w:val="es-CR"/>
        </w:rPr>
        <w:t>. Así, s</w:t>
      </w:r>
      <w:r w:rsidRPr="00CD68BA">
        <w:rPr>
          <w:lang w:val="es-CR"/>
        </w:rPr>
        <w:t xml:space="preserve">e reprogramaron </w:t>
      </w:r>
      <w:r w:rsidR="00F927C7" w:rsidRPr="00CD68BA">
        <w:rPr>
          <w:lang w:val="es-CR"/>
        </w:rPr>
        <w:t xml:space="preserve">al menos </w:t>
      </w:r>
      <w:r w:rsidRPr="00CD68BA">
        <w:rPr>
          <w:lang w:val="es-CR"/>
        </w:rPr>
        <w:t xml:space="preserve">otras </w:t>
      </w:r>
      <w:r w:rsidR="00F927C7" w:rsidRPr="00CD68BA">
        <w:rPr>
          <w:lang w:val="es-CR"/>
        </w:rPr>
        <w:t>4</w:t>
      </w:r>
      <w:r w:rsidRPr="00CD68BA">
        <w:rPr>
          <w:lang w:val="es-CR"/>
        </w:rPr>
        <w:t xml:space="preserve"> audiencias</w:t>
      </w:r>
      <w:r w:rsidR="00F40765" w:rsidRPr="00CD68BA">
        <w:rPr>
          <w:lang w:val="es-CR"/>
        </w:rPr>
        <w:t xml:space="preserve"> </w:t>
      </w:r>
      <w:r w:rsidRPr="00CD68BA">
        <w:rPr>
          <w:lang w:val="es-CR"/>
        </w:rPr>
        <w:t>con el mismo resultado</w:t>
      </w:r>
      <w:r w:rsidR="00686197" w:rsidRPr="00CD68BA">
        <w:rPr>
          <w:rStyle w:val="Refdenotaalpie"/>
          <w:lang w:val="es-CR"/>
        </w:rPr>
        <w:footnoteReference w:id="88"/>
      </w:r>
      <w:r w:rsidRPr="00CD68BA">
        <w:rPr>
          <w:lang w:val="es-CR"/>
        </w:rPr>
        <w:t xml:space="preserve"> de incomparecencia</w:t>
      </w:r>
      <w:r w:rsidR="00686197" w:rsidRPr="00CD68BA">
        <w:rPr>
          <w:rStyle w:val="Refdenotaalpie"/>
          <w:lang w:val="es-CR"/>
        </w:rPr>
        <w:footnoteReference w:id="89"/>
      </w:r>
      <w:r w:rsidRPr="00CD68BA">
        <w:rPr>
          <w:lang w:val="es-CR"/>
        </w:rPr>
        <w:t xml:space="preserve">. </w:t>
      </w:r>
    </w:p>
    <w:p w14:paraId="36DD64C6" w14:textId="77777777" w:rsidR="004737B7" w:rsidRPr="00CD68BA" w:rsidRDefault="004737B7" w:rsidP="00A06718">
      <w:pPr>
        <w:pStyle w:val="Prrafodelista"/>
        <w:spacing w:before="0" w:after="0"/>
        <w:contextualSpacing w:val="0"/>
        <w:rPr>
          <w:szCs w:val="20"/>
          <w:lang w:val="es-CR"/>
        </w:rPr>
      </w:pPr>
    </w:p>
    <w:p w14:paraId="70CA303D" w14:textId="5D7076D5" w:rsidR="004737B7" w:rsidRPr="00CD68BA" w:rsidRDefault="003E17E9" w:rsidP="00A06718">
      <w:pPr>
        <w:pStyle w:val="Prrafodelista"/>
        <w:numPr>
          <w:ilvl w:val="0"/>
          <w:numId w:val="16"/>
        </w:numPr>
        <w:autoSpaceDE w:val="0"/>
        <w:autoSpaceDN w:val="0"/>
        <w:adjustRightInd w:val="0"/>
        <w:spacing w:before="0" w:after="0"/>
        <w:ind w:left="0" w:firstLine="0"/>
        <w:contextualSpacing w:val="0"/>
        <w:rPr>
          <w:lang w:val="es-CR"/>
        </w:rPr>
      </w:pPr>
      <w:r w:rsidRPr="00CD68BA">
        <w:rPr>
          <w:lang w:val="es-CR"/>
        </w:rPr>
        <w:t>El 23 de noviembre de 1987,</w:t>
      </w:r>
      <w:r w:rsidR="00AA3C7B" w:rsidRPr="00CD68BA">
        <w:rPr>
          <w:lang w:val="es-CR"/>
        </w:rPr>
        <w:t xml:space="preserve"> a solicitud del abogado de </w:t>
      </w:r>
      <w:r w:rsidR="00D62D06" w:rsidRPr="00CD68BA">
        <w:rPr>
          <w:lang w:val="es-CR"/>
        </w:rPr>
        <w:t>M.C.N.</w:t>
      </w:r>
      <w:r w:rsidR="00506BC0" w:rsidRPr="00CD68BA">
        <w:rPr>
          <w:rStyle w:val="Refdenotaalpie"/>
          <w:lang w:val="es-CR"/>
        </w:rPr>
        <w:footnoteReference w:id="90"/>
      </w:r>
      <w:r w:rsidR="00AA3C7B" w:rsidRPr="00CD68BA">
        <w:rPr>
          <w:lang w:val="es-CR"/>
        </w:rPr>
        <w:t>,</w:t>
      </w:r>
      <w:r w:rsidRPr="00CD68BA">
        <w:rPr>
          <w:lang w:val="es-CR"/>
        </w:rPr>
        <w:t xml:space="preserve"> la jueza del Cuarto Juzgado Penal revocó la orden de prisión preventiva </w:t>
      </w:r>
      <w:r w:rsidR="00AA3C7B" w:rsidRPr="00CD68BA">
        <w:rPr>
          <w:lang w:val="es-CR"/>
        </w:rPr>
        <w:t xml:space="preserve">en su </w:t>
      </w:r>
      <w:r w:rsidRPr="00CD68BA">
        <w:rPr>
          <w:lang w:val="es-CR"/>
        </w:rPr>
        <w:t xml:space="preserve">contra, considerando que los motivos que la originaron ya no existían, siendo que el señor </w:t>
      </w:r>
      <w:r w:rsidR="001E508D" w:rsidRPr="00CD68BA">
        <w:rPr>
          <w:lang w:val="es-CR"/>
        </w:rPr>
        <w:t>M.C.N</w:t>
      </w:r>
      <w:r w:rsidR="00D70924" w:rsidRPr="00CD68BA">
        <w:rPr>
          <w:lang w:val="es-CR"/>
        </w:rPr>
        <w:t>.</w:t>
      </w:r>
      <w:r w:rsidRPr="00CD68BA">
        <w:rPr>
          <w:lang w:val="es-CR"/>
        </w:rPr>
        <w:t xml:space="preserve"> se puso a disposición de la Justicia, indicó su dirección, tenía buenos antecedentes y </w:t>
      </w:r>
      <w:r w:rsidR="00676B9C" w:rsidRPr="00CD68BA">
        <w:rPr>
          <w:lang w:val="es-CR"/>
        </w:rPr>
        <w:t xml:space="preserve">no </w:t>
      </w:r>
      <w:r w:rsidRPr="00CD68BA">
        <w:rPr>
          <w:lang w:val="es-CR"/>
        </w:rPr>
        <w:t xml:space="preserve">era </w:t>
      </w:r>
      <w:r w:rsidR="00676B9C" w:rsidRPr="00CD68BA">
        <w:rPr>
          <w:lang w:val="es-CR"/>
        </w:rPr>
        <w:t>reincidente</w:t>
      </w:r>
      <w:r w:rsidRPr="00CD68BA">
        <w:rPr>
          <w:rStyle w:val="Refdenotaalpie"/>
          <w:lang w:val="es-CR"/>
        </w:rPr>
        <w:footnoteReference w:id="91"/>
      </w:r>
      <w:r w:rsidRPr="00CD68BA">
        <w:rPr>
          <w:lang w:val="es-CR"/>
        </w:rPr>
        <w:t xml:space="preserve">. </w:t>
      </w:r>
      <w:r w:rsidR="004128F5" w:rsidRPr="00CD68BA">
        <w:rPr>
          <w:lang w:val="es-CR"/>
        </w:rPr>
        <w:t>E</w:t>
      </w:r>
      <w:r w:rsidR="00093CEA" w:rsidRPr="00CD68BA">
        <w:rPr>
          <w:lang w:val="es-CR"/>
        </w:rPr>
        <w:t>l</w:t>
      </w:r>
      <w:r w:rsidR="004128F5" w:rsidRPr="00CD68BA">
        <w:rPr>
          <w:lang w:val="es-CR"/>
        </w:rPr>
        <w:t xml:space="preserve"> </w:t>
      </w:r>
      <w:r w:rsidR="00093CEA" w:rsidRPr="00CD68BA">
        <w:rPr>
          <w:lang w:val="es-CR"/>
        </w:rPr>
        <w:t>29 de abril de 1988</w:t>
      </w:r>
      <w:r w:rsidR="004128F5" w:rsidRPr="00CD68BA">
        <w:rPr>
          <w:lang w:val="es-CR"/>
        </w:rPr>
        <w:t xml:space="preserve">, </w:t>
      </w:r>
      <w:r w:rsidR="00093CEA" w:rsidRPr="00CD68BA">
        <w:rPr>
          <w:lang w:val="es-CR"/>
        </w:rPr>
        <w:t xml:space="preserve">se realizó el interrogatorio del acusado </w:t>
      </w:r>
      <w:r w:rsidR="00D62D06" w:rsidRPr="00CD68BA">
        <w:rPr>
          <w:lang w:val="es-CR"/>
        </w:rPr>
        <w:t>M.C.N.</w:t>
      </w:r>
      <w:r w:rsidR="00093CEA" w:rsidRPr="00CD68BA">
        <w:rPr>
          <w:lang w:val="es-CR"/>
        </w:rPr>
        <w:t xml:space="preserve">, quien negó su autoría en el crimen y </w:t>
      </w:r>
      <w:r w:rsidR="004128F5" w:rsidRPr="00CD68BA">
        <w:rPr>
          <w:lang w:val="es-CR"/>
        </w:rPr>
        <w:t xml:space="preserve">declaró que no había comparecido </w:t>
      </w:r>
      <w:r w:rsidR="00EC2BAC" w:rsidRPr="00CD68BA">
        <w:rPr>
          <w:lang w:val="es-CR"/>
        </w:rPr>
        <w:t xml:space="preserve">antes </w:t>
      </w:r>
      <w:r w:rsidR="004128F5" w:rsidRPr="00CD68BA">
        <w:rPr>
          <w:lang w:val="es-CR"/>
        </w:rPr>
        <w:t xml:space="preserve">por </w:t>
      </w:r>
      <w:r w:rsidR="001D58B8" w:rsidRPr="00CD68BA">
        <w:rPr>
          <w:lang w:val="es-CR"/>
        </w:rPr>
        <w:t>“</w:t>
      </w:r>
      <w:r w:rsidR="004128F5" w:rsidRPr="00CD68BA">
        <w:rPr>
          <w:lang w:val="es-CR"/>
        </w:rPr>
        <w:t>falta de</w:t>
      </w:r>
      <w:r w:rsidR="001D58B8" w:rsidRPr="00CD68BA">
        <w:rPr>
          <w:lang w:val="es-CR"/>
        </w:rPr>
        <w:t xml:space="preserve"> condiciones financieras”</w:t>
      </w:r>
      <w:r w:rsidR="004128F5" w:rsidRPr="00CD68BA">
        <w:rPr>
          <w:rStyle w:val="Refdenotaalpie"/>
          <w:lang w:val="es-CR"/>
        </w:rPr>
        <w:footnoteReference w:id="92"/>
      </w:r>
      <w:r w:rsidR="004128F5" w:rsidRPr="00CD68BA">
        <w:rPr>
          <w:lang w:val="es-CR"/>
        </w:rPr>
        <w:t>.</w:t>
      </w:r>
    </w:p>
    <w:p w14:paraId="4D75BB35" w14:textId="77777777" w:rsidR="004737B7" w:rsidRPr="00CD68BA" w:rsidRDefault="004737B7" w:rsidP="00A06718">
      <w:pPr>
        <w:pStyle w:val="Prrafodelista"/>
        <w:spacing w:before="0" w:after="0"/>
        <w:contextualSpacing w:val="0"/>
        <w:rPr>
          <w:rFonts w:cs="Times New Roman"/>
          <w:szCs w:val="20"/>
          <w:lang w:val="es-CR"/>
        </w:rPr>
      </w:pPr>
    </w:p>
    <w:p w14:paraId="59EA3BC9" w14:textId="67FA86A9" w:rsidR="004128F5" w:rsidRPr="00CD68BA" w:rsidRDefault="004128F5"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El 8 de junio de 1992 el Ministerio Público presentó sus alegatos finales</w:t>
      </w:r>
      <w:r w:rsidR="008508C0" w:rsidRPr="00CD68BA">
        <w:rPr>
          <w:lang w:val="es-CR"/>
        </w:rPr>
        <w:t>, por medio de los</w:t>
      </w:r>
      <w:r w:rsidR="00E129FF" w:rsidRPr="00CD68BA">
        <w:rPr>
          <w:lang w:val="es-CR"/>
        </w:rPr>
        <w:t xml:space="preserve"> cual</w:t>
      </w:r>
      <w:r w:rsidR="008508C0" w:rsidRPr="00CD68BA">
        <w:rPr>
          <w:lang w:val="es-CR"/>
        </w:rPr>
        <w:t>es</w:t>
      </w:r>
      <w:r w:rsidR="00E129FF" w:rsidRPr="00CD68BA">
        <w:rPr>
          <w:lang w:val="es-CR"/>
        </w:rPr>
        <w:t xml:space="preserve"> </w:t>
      </w:r>
      <w:r w:rsidRPr="00CD68BA">
        <w:rPr>
          <w:lang w:val="es-CR"/>
        </w:rPr>
        <w:t>solicit</w:t>
      </w:r>
      <w:r w:rsidR="00E129FF" w:rsidRPr="00CD68BA">
        <w:rPr>
          <w:lang w:val="es-CR"/>
        </w:rPr>
        <w:t>ó</w:t>
      </w:r>
      <w:r w:rsidRPr="00CD68BA">
        <w:rPr>
          <w:lang w:val="es-CR"/>
        </w:rPr>
        <w:t xml:space="preserve">, por una parte, el sobreseimiento del proceso en relación con </w:t>
      </w:r>
      <w:r w:rsidR="00524A26" w:rsidRPr="00CD68BA">
        <w:rPr>
          <w:lang w:val="es-CR"/>
        </w:rPr>
        <w:t>C.O.S.</w:t>
      </w:r>
      <w:r w:rsidRPr="00CD68BA">
        <w:rPr>
          <w:lang w:val="es-CR"/>
        </w:rPr>
        <w:t xml:space="preserve"> y, por otra, la imputación de </w:t>
      </w:r>
      <w:r w:rsidR="00D62D06" w:rsidRPr="00CD68BA">
        <w:rPr>
          <w:lang w:val="es-CR"/>
        </w:rPr>
        <w:t>M.C.N.</w:t>
      </w:r>
      <w:r w:rsidRPr="00CD68BA">
        <w:rPr>
          <w:lang w:val="es-CR"/>
        </w:rPr>
        <w:t xml:space="preserve"> y </w:t>
      </w:r>
      <w:r w:rsidR="00D62D06" w:rsidRPr="00CD68BA">
        <w:rPr>
          <w:lang w:val="es-CR"/>
        </w:rPr>
        <w:t>J.P.N.</w:t>
      </w:r>
      <w:r w:rsidRPr="00CD68BA">
        <w:rPr>
          <w:rStyle w:val="Refdenotaalpie"/>
          <w:lang w:val="es-CR"/>
        </w:rPr>
        <w:footnoteReference w:id="93"/>
      </w:r>
      <w:r w:rsidRPr="00CD68BA">
        <w:rPr>
          <w:lang w:val="es-CR"/>
        </w:rPr>
        <w:t xml:space="preserve">. El 3 de diciembre de 1992 la defensa de </w:t>
      </w:r>
      <w:r w:rsidR="00D62D06" w:rsidRPr="00CD68BA">
        <w:rPr>
          <w:lang w:val="es-CR"/>
        </w:rPr>
        <w:t>J.P.N.</w:t>
      </w:r>
      <w:r w:rsidRPr="00CD68BA">
        <w:rPr>
          <w:lang w:val="es-CR"/>
        </w:rPr>
        <w:t xml:space="preserve"> presentó los alegatos finales y, el 26 de febrero de 1993, el abogado de </w:t>
      </w:r>
      <w:r w:rsidR="00D62D06" w:rsidRPr="00CD68BA">
        <w:rPr>
          <w:lang w:val="es-CR"/>
        </w:rPr>
        <w:t>M.C.N.</w:t>
      </w:r>
      <w:r w:rsidRPr="00CD68BA">
        <w:rPr>
          <w:lang w:val="es-CR"/>
        </w:rPr>
        <w:t xml:space="preserve"> protocolizó pedido de renuncia de su representación legal</w:t>
      </w:r>
      <w:r w:rsidR="00EC2BAC" w:rsidRPr="00CD68BA">
        <w:rPr>
          <w:rStyle w:val="Refdenotaalpie"/>
          <w:lang w:val="es-CR"/>
        </w:rPr>
        <w:footnoteReference w:id="94"/>
      </w:r>
      <w:r w:rsidRPr="00CD68BA">
        <w:rPr>
          <w:lang w:val="es-CR"/>
        </w:rPr>
        <w:t xml:space="preserve"> sin presentar los alegatos finales del acusado</w:t>
      </w:r>
      <w:r w:rsidRPr="00CD68BA">
        <w:rPr>
          <w:rStyle w:val="Refdenotaalpie"/>
          <w:lang w:val="es-CR"/>
        </w:rPr>
        <w:footnoteReference w:id="95"/>
      </w:r>
      <w:r w:rsidRPr="00CD68BA">
        <w:rPr>
          <w:lang w:val="es-CR"/>
        </w:rPr>
        <w:t xml:space="preserve">. El 28 de junio de 1997 la Defensa Pública presentó los alegatos finales del señor </w:t>
      </w:r>
      <w:r w:rsidR="004774A4" w:rsidRPr="00CD68BA">
        <w:rPr>
          <w:lang w:val="es-CR"/>
        </w:rPr>
        <w:t>M.</w:t>
      </w:r>
      <w:r w:rsidRPr="00CD68BA">
        <w:rPr>
          <w:lang w:val="es-CR"/>
        </w:rPr>
        <w:t>C</w:t>
      </w:r>
      <w:r w:rsidR="004774A4" w:rsidRPr="00CD68BA">
        <w:rPr>
          <w:lang w:val="es-CR"/>
        </w:rPr>
        <w:t>.N.</w:t>
      </w:r>
      <w:r w:rsidRPr="00CD68BA">
        <w:rPr>
          <w:rStyle w:val="Refdenotaalpie"/>
          <w:lang w:val="es-CR"/>
        </w:rPr>
        <w:footnoteReference w:id="96"/>
      </w:r>
      <w:r w:rsidRPr="00CD68BA">
        <w:rPr>
          <w:lang w:val="es-CR"/>
        </w:rPr>
        <w:t xml:space="preserve">. El 29 de julio de 1997 el Ministerio Público solicitó la admisión de Rafael Sales Pimenta en calidad de </w:t>
      </w:r>
      <w:r w:rsidR="00D47E28" w:rsidRPr="00CD68BA">
        <w:rPr>
          <w:lang w:val="es-CR"/>
        </w:rPr>
        <w:t>asistente de acusación</w:t>
      </w:r>
      <w:r w:rsidRPr="00CD68BA">
        <w:rPr>
          <w:rStyle w:val="Refdenotaalpie"/>
          <w:lang w:val="es-CR"/>
        </w:rPr>
        <w:footnoteReference w:id="97"/>
      </w:r>
      <w:r w:rsidRPr="00CD68BA">
        <w:rPr>
          <w:lang w:val="es-CR"/>
        </w:rPr>
        <w:t xml:space="preserve">. El 27 de abril de 1998, se presentaron los alegatos finales del acusado </w:t>
      </w:r>
      <w:r w:rsidR="00524A26" w:rsidRPr="00CD68BA">
        <w:rPr>
          <w:lang w:val="es-CR"/>
        </w:rPr>
        <w:t>C.O.S.</w:t>
      </w:r>
      <w:r w:rsidRPr="00CD68BA">
        <w:rPr>
          <w:rStyle w:val="Refdenotaalpie"/>
          <w:lang w:val="es-CR"/>
        </w:rPr>
        <w:footnoteReference w:id="98"/>
      </w:r>
      <w:r w:rsidRPr="00CD68BA">
        <w:rPr>
          <w:lang w:val="es-CR"/>
        </w:rPr>
        <w:t>.</w:t>
      </w:r>
    </w:p>
    <w:p w14:paraId="080CFE40" w14:textId="77777777" w:rsidR="00212DC1" w:rsidRPr="00CD68BA" w:rsidRDefault="00212DC1" w:rsidP="00A06718">
      <w:pPr>
        <w:autoSpaceDE w:val="0"/>
        <w:autoSpaceDN w:val="0"/>
        <w:adjustRightInd w:val="0"/>
        <w:spacing w:before="0" w:after="0"/>
        <w:rPr>
          <w:szCs w:val="20"/>
          <w:lang w:val="es-CR"/>
        </w:rPr>
      </w:pPr>
    </w:p>
    <w:p w14:paraId="228705D6" w14:textId="7130BCF6" w:rsidR="00DC3753" w:rsidRPr="00CD68BA" w:rsidRDefault="00DC3753" w:rsidP="00A06718">
      <w:pPr>
        <w:pStyle w:val="Estilo3"/>
        <w:numPr>
          <w:ilvl w:val="0"/>
          <w:numId w:val="0"/>
        </w:numPr>
        <w:spacing w:line="240" w:lineRule="auto"/>
        <w:ind w:left="360"/>
      </w:pPr>
      <w:bookmarkStart w:id="120" w:name="_Toc114778782"/>
      <w:r w:rsidRPr="00CD68BA">
        <w:t xml:space="preserve">C. </w:t>
      </w:r>
      <w:r w:rsidR="00DC662F" w:rsidRPr="00CD68BA">
        <w:t>Hechos autónomos posteriores al reconocimiento de la competencia contenciosa de la Corte</w:t>
      </w:r>
      <w:bookmarkEnd w:id="120"/>
    </w:p>
    <w:p w14:paraId="12BBD7E0" w14:textId="77777777" w:rsidR="00DC662F" w:rsidRPr="00CD68BA" w:rsidRDefault="00DC662F" w:rsidP="00A06718">
      <w:pPr>
        <w:spacing w:before="0" w:after="0"/>
        <w:rPr>
          <w:lang w:val="es-CR"/>
        </w:rPr>
      </w:pPr>
    </w:p>
    <w:p w14:paraId="4B556BC4" w14:textId="6A0438E4" w:rsidR="00DC662F" w:rsidRPr="00CD68BA" w:rsidRDefault="00DC662F" w:rsidP="00A06718">
      <w:pPr>
        <w:pStyle w:val="Estilo4"/>
        <w:ind w:left="851"/>
        <w:rPr>
          <w:i/>
          <w:iCs/>
        </w:rPr>
      </w:pPr>
      <w:bookmarkStart w:id="121" w:name="_Toc114778783"/>
      <w:r w:rsidRPr="00CD68BA">
        <w:t xml:space="preserve">C.1. </w:t>
      </w:r>
      <w:r w:rsidR="004128F5" w:rsidRPr="00CD68BA">
        <w:rPr>
          <w:i/>
          <w:iCs/>
        </w:rPr>
        <w:t>Hechos autónomos sucedidos en el marco del proceso penal, con posterioridad al 10 de diciembre de 1998</w:t>
      </w:r>
      <w:bookmarkEnd w:id="121"/>
    </w:p>
    <w:p w14:paraId="27140B4E" w14:textId="77777777" w:rsidR="00DC662F" w:rsidRPr="00CD68BA" w:rsidRDefault="00DC662F" w:rsidP="00A06718">
      <w:pPr>
        <w:autoSpaceDE w:val="0"/>
        <w:autoSpaceDN w:val="0"/>
        <w:adjustRightInd w:val="0"/>
        <w:spacing w:before="0" w:after="0"/>
        <w:rPr>
          <w:szCs w:val="20"/>
          <w:lang w:val="es-CR"/>
        </w:rPr>
      </w:pPr>
    </w:p>
    <w:p w14:paraId="5CB4C4B0" w14:textId="2BA0B1A3" w:rsidR="00E060D0" w:rsidRPr="00CD68BA" w:rsidRDefault="0072244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El 23 de noviembre de 1999 el Ministerio Público solicitó la extinción de la</w:t>
      </w:r>
      <w:r w:rsidR="006E3F10" w:rsidRPr="00CD68BA">
        <w:rPr>
          <w:lang w:val="es-CR"/>
        </w:rPr>
        <w:t xml:space="preserve"> responsabilidad penal</w:t>
      </w:r>
      <w:r w:rsidRPr="00CD68BA">
        <w:rPr>
          <w:lang w:val="es-CR"/>
        </w:rPr>
        <w:t xml:space="preserve"> del acusado </w:t>
      </w:r>
      <w:r w:rsidR="00D62D06" w:rsidRPr="00CD68BA">
        <w:rPr>
          <w:lang w:val="es-CR"/>
        </w:rPr>
        <w:t>J.P.N.</w:t>
      </w:r>
      <w:r w:rsidRPr="00CD68BA">
        <w:rPr>
          <w:lang w:val="es-CR"/>
        </w:rPr>
        <w:t xml:space="preserve"> </w:t>
      </w:r>
      <w:r w:rsidR="0035174A" w:rsidRPr="00CD68BA">
        <w:rPr>
          <w:lang w:val="es-CR"/>
        </w:rPr>
        <w:t xml:space="preserve">debido a su muerte </w:t>
      </w:r>
      <w:r w:rsidR="00844B9B" w:rsidRPr="00CD68BA">
        <w:rPr>
          <w:rStyle w:val="Refdenotaalpie"/>
          <w:lang w:val="es-CR"/>
        </w:rPr>
        <w:footnoteReference w:id="99"/>
      </w:r>
      <w:r w:rsidR="00651FD5" w:rsidRPr="00CD68BA">
        <w:rPr>
          <w:lang w:val="es-CR"/>
        </w:rPr>
        <w:t xml:space="preserve">, la cual fue decretada por </w:t>
      </w:r>
      <w:r w:rsidR="00E060D0" w:rsidRPr="00CD68BA">
        <w:rPr>
          <w:lang w:val="es-CR"/>
        </w:rPr>
        <w:t>el juez en ejercicio</w:t>
      </w:r>
      <w:r w:rsidR="00651FD5" w:rsidRPr="00CD68BA">
        <w:rPr>
          <w:lang w:val="es-CR"/>
        </w:rPr>
        <w:t xml:space="preserve">, el 31 de agosto de 2000, juntamente con la </w:t>
      </w:r>
      <w:r w:rsidR="00E060D0" w:rsidRPr="00CD68BA">
        <w:rPr>
          <w:lang w:val="es-CR"/>
        </w:rPr>
        <w:t>improceden</w:t>
      </w:r>
      <w:r w:rsidR="00651FD5" w:rsidRPr="00CD68BA">
        <w:rPr>
          <w:lang w:val="es-CR"/>
        </w:rPr>
        <w:t>cia de</w:t>
      </w:r>
      <w:r w:rsidR="00E060D0" w:rsidRPr="00CD68BA">
        <w:rPr>
          <w:lang w:val="es-CR"/>
        </w:rPr>
        <w:t xml:space="preserve"> la denuncia contra </w:t>
      </w:r>
      <w:r w:rsidR="00524A26" w:rsidRPr="00CD68BA">
        <w:rPr>
          <w:lang w:val="es-CR"/>
        </w:rPr>
        <w:t>C.O.S.</w:t>
      </w:r>
      <w:r w:rsidR="00651FD5" w:rsidRPr="00CD68BA">
        <w:rPr>
          <w:lang w:val="es-CR"/>
        </w:rPr>
        <w:t>,</w:t>
      </w:r>
      <w:r w:rsidR="00E060D0" w:rsidRPr="00CD68BA">
        <w:rPr>
          <w:lang w:val="es-CR"/>
        </w:rPr>
        <w:t xml:space="preserve"> por falta de pruebas</w:t>
      </w:r>
      <w:r w:rsidR="009C2A6F" w:rsidRPr="00CD68BA">
        <w:rPr>
          <w:lang w:val="es-CR"/>
        </w:rPr>
        <w:t xml:space="preserve">. Así, </w:t>
      </w:r>
      <w:r w:rsidR="00E060D0" w:rsidRPr="00CD68BA">
        <w:rPr>
          <w:lang w:val="es-CR"/>
        </w:rPr>
        <w:t>declar</w:t>
      </w:r>
      <w:r w:rsidR="009C2A6F" w:rsidRPr="00CD68BA">
        <w:rPr>
          <w:lang w:val="es-CR"/>
        </w:rPr>
        <w:t>ó</w:t>
      </w:r>
      <w:r w:rsidR="00E060D0" w:rsidRPr="00CD68BA">
        <w:rPr>
          <w:lang w:val="es-CR"/>
        </w:rPr>
        <w:t xml:space="preserve"> al señor </w:t>
      </w:r>
      <w:r w:rsidR="00D62D06" w:rsidRPr="00CD68BA">
        <w:rPr>
          <w:lang w:val="es-CR"/>
        </w:rPr>
        <w:t>M.C.N.</w:t>
      </w:r>
      <w:r w:rsidR="00E060D0" w:rsidRPr="00CD68BA">
        <w:rPr>
          <w:lang w:val="es-CR"/>
        </w:rPr>
        <w:t xml:space="preserve"> como el único imputado</w:t>
      </w:r>
      <w:r w:rsidR="00E060D0" w:rsidRPr="00CD68BA">
        <w:rPr>
          <w:rStyle w:val="Refdenotaalpie"/>
          <w:lang w:val="es-CR"/>
        </w:rPr>
        <w:footnoteReference w:id="100"/>
      </w:r>
      <w:r w:rsidR="00E060D0" w:rsidRPr="00CD68BA">
        <w:rPr>
          <w:lang w:val="es-CR"/>
        </w:rPr>
        <w:t xml:space="preserve">. Entre enero y mayo de 2001, </w:t>
      </w:r>
      <w:r w:rsidR="00D62D06" w:rsidRPr="00CD68BA">
        <w:rPr>
          <w:lang w:val="es-CR"/>
        </w:rPr>
        <w:t>M.C.N.</w:t>
      </w:r>
      <w:r w:rsidR="00E060D0" w:rsidRPr="00CD68BA">
        <w:rPr>
          <w:lang w:val="es-CR"/>
        </w:rPr>
        <w:t xml:space="preserve"> fue intimado tres veces para que tomara conocimiento de la sentencia de </w:t>
      </w:r>
      <w:r w:rsidR="00464C91" w:rsidRPr="00CD68BA">
        <w:rPr>
          <w:lang w:val="es-CR"/>
        </w:rPr>
        <w:t>“</w:t>
      </w:r>
      <w:r w:rsidR="00464C91" w:rsidRPr="00CD68BA">
        <w:rPr>
          <w:i/>
          <w:lang w:val="es-CR"/>
        </w:rPr>
        <w:t>pron</w:t>
      </w:r>
      <w:r w:rsidR="001F698F" w:rsidRPr="00CD68BA">
        <w:rPr>
          <w:i/>
          <w:lang w:val="es-CR"/>
        </w:rPr>
        <w:t>ú</w:t>
      </w:r>
      <w:r w:rsidR="00464C91" w:rsidRPr="00CD68BA">
        <w:rPr>
          <w:i/>
          <w:lang w:val="es-CR"/>
        </w:rPr>
        <w:t>ncia”</w:t>
      </w:r>
      <w:r w:rsidR="00E060D0" w:rsidRPr="00CD68BA">
        <w:rPr>
          <w:rStyle w:val="Refdenotaalpie"/>
          <w:i/>
          <w:lang w:val="es-CR"/>
        </w:rPr>
        <w:footnoteReference w:id="101"/>
      </w:r>
      <w:r w:rsidR="00E060D0" w:rsidRPr="00CD68BA">
        <w:rPr>
          <w:lang w:val="es-CR"/>
        </w:rPr>
        <w:t>,</w:t>
      </w:r>
      <w:r w:rsidR="004A744D" w:rsidRPr="00CD68BA">
        <w:rPr>
          <w:lang w:val="es-CR"/>
        </w:rPr>
        <w:t xml:space="preserve">la cual quedó en firme </w:t>
      </w:r>
      <w:r w:rsidR="00E060D0" w:rsidRPr="00CD68BA">
        <w:rPr>
          <w:lang w:val="es-CR"/>
        </w:rPr>
        <w:t>el 7 de enero de 2002</w:t>
      </w:r>
      <w:r w:rsidR="00E060D0" w:rsidRPr="00CD68BA">
        <w:rPr>
          <w:rStyle w:val="Refdenotaalpie"/>
          <w:lang w:val="es-CR"/>
        </w:rPr>
        <w:footnoteReference w:id="102"/>
      </w:r>
      <w:r w:rsidR="00E060D0" w:rsidRPr="00CD68BA">
        <w:rPr>
          <w:lang w:val="es-CR"/>
        </w:rPr>
        <w:t>.</w:t>
      </w:r>
    </w:p>
    <w:p w14:paraId="39A0EFC9" w14:textId="77777777" w:rsidR="00E060D0" w:rsidRPr="00CD68BA" w:rsidRDefault="00E060D0" w:rsidP="00A06718">
      <w:pPr>
        <w:pStyle w:val="Prrafodelista"/>
        <w:autoSpaceDE w:val="0"/>
        <w:autoSpaceDN w:val="0"/>
        <w:adjustRightInd w:val="0"/>
        <w:spacing w:before="0" w:after="0"/>
        <w:ind w:left="0"/>
        <w:contextualSpacing w:val="0"/>
        <w:rPr>
          <w:b/>
          <w:bCs/>
          <w:szCs w:val="20"/>
          <w:lang w:val="es-CR"/>
        </w:rPr>
      </w:pPr>
    </w:p>
    <w:p w14:paraId="03432D04" w14:textId="54344F37" w:rsidR="00E060D0" w:rsidRPr="00CD68BA" w:rsidRDefault="00E060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Posteriormente, se programó </w:t>
      </w:r>
      <w:r w:rsidR="00B06365" w:rsidRPr="00CD68BA">
        <w:rPr>
          <w:lang w:val="es-CR"/>
        </w:rPr>
        <w:t xml:space="preserve">el </w:t>
      </w:r>
      <w:r w:rsidRPr="00CD68BA">
        <w:rPr>
          <w:lang w:val="es-CR"/>
        </w:rPr>
        <w:t xml:space="preserve">juicio </w:t>
      </w:r>
      <w:r w:rsidR="00B06365" w:rsidRPr="00CD68BA">
        <w:rPr>
          <w:lang w:val="es-CR"/>
        </w:rPr>
        <w:t xml:space="preserve">para </w:t>
      </w:r>
      <w:r w:rsidRPr="00CD68BA">
        <w:rPr>
          <w:lang w:val="es-CR"/>
        </w:rPr>
        <w:t>el 23 de mayo de 2002 ante el Tribunal de Jurado</w:t>
      </w:r>
      <w:r w:rsidRPr="00CD68BA">
        <w:rPr>
          <w:rStyle w:val="Refdenotaalpie"/>
          <w:lang w:val="es-CR"/>
        </w:rPr>
        <w:footnoteReference w:id="103"/>
      </w:r>
      <w:r w:rsidRPr="00CD68BA">
        <w:rPr>
          <w:lang w:val="es-CR"/>
        </w:rPr>
        <w:t>. El 7 de mayo de 2002 se ordenó notificar la convocatoria a juicio a los testigos de cargo</w:t>
      </w:r>
      <w:r w:rsidR="00F8618E" w:rsidRPr="00CD68BA">
        <w:rPr>
          <w:lang w:val="es-CR"/>
        </w:rPr>
        <w:t>:</w:t>
      </w:r>
      <w:r w:rsidRPr="00CD68BA">
        <w:rPr>
          <w:lang w:val="es-CR"/>
        </w:rPr>
        <w:t xml:space="preserve"> </w:t>
      </w:r>
      <w:r w:rsidRPr="00CD68BA">
        <w:rPr>
          <w:rFonts w:cs="Arial"/>
          <w:lang w:val="es-CR"/>
        </w:rPr>
        <w:t>Edson Rodrigues Guimarães, Neuzila C</w:t>
      </w:r>
      <w:r w:rsidR="006B6F01" w:rsidRPr="00CD68BA">
        <w:rPr>
          <w:rFonts w:cs="Arial"/>
          <w:lang w:val="es-CR"/>
        </w:rPr>
        <w:t>e</w:t>
      </w:r>
      <w:r w:rsidRPr="00CD68BA">
        <w:rPr>
          <w:rFonts w:cs="Arial"/>
          <w:lang w:val="es-CR"/>
        </w:rPr>
        <w:t>rqueira Guimarães, Antonio Francisco da Silva</w:t>
      </w:r>
      <w:r w:rsidR="005D759B" w:rsidRPr="00CD68BA">
        <w:rPr>
          <w:rFonts w:cs="Arial"/>
          <w:lang w:val="es-CR"/>
        </w:rPr>
        <w:t>, Risomar Daniel Castro</w:t>
      </w:r>
      <w:r w:rsidRPr="00CD68BA">
        <w:rPr>
          <w:lang w:val="es-CR"/>
        </w:rPr>
        <w:t xml:space="preserve"> y Luz</w:t>
      </w:r>
      <w:r w:rsidR="004547E9" w:rsidRPr="00CD68BA">
        <w:rPr>
          <w:lang w:val="es-CR"/>
        </w:rPr>
        <w:t>i</w:t>
      </w:r>
      <w:r w:rsidRPr="00CD68BA">
        <w:rPr>
          <w:lang w:val="es-CR"/>
        </w:rPr>
        <w:t>a Batista</w:t>
      </w:r>
      <w:r w:rsidRPr="00CD68BA">
        <w:rPr>
          <w:rStyle w:val="Refdenotaalpie"/>
          <w:lang w:val="es-CR"/>
        </w:rPr>
        <w:footnoteReference w:id="104"/>
      </w:r>
      <w:r w:rsidRPr="00CD68BA">
        <w:rPr>
          <w:lang w:val="es-CR"/>
        </w:rPr>
        <w:t>. Dos testigos no fueron localizados, entre ellos, la testigo ocular Luzia Batista quien, según manifest</w:t>
      </w:r>
      <w:r w:rsidR="005D759B" w:rsidRPr="00CD68BA">
        <w:rPr>
          <w:lang w:val="es-CR"/>
        </w:rPr>
        <w:t>ó</w:t>
      </w:r>
      <w:r w:rsidRPr="00CD68BA">
        <w:rPr>
          <w:lang w:val="es-CR"/>
        </w:rPr>
        <w:t xml:space="preserve"> </w:t>
      </w:r>
      <w:r w:rsidR="005D759B" w:rsidRPr="00CD68BA">
        <w:rPr>
          <w:lang w:val="es-CR"/>
        </w:rPr>
        <w:t>su</w:t>
      </w:r>
      <w:r w:rsidRPr="00CD68BA">
        <w:rPr>
          <w:lang w:val="es-CR"/>
        </w:rPr>
        <w:t xml:space="preserve"> vecino, habría fallecido</w:t>
      </w:r>
      <w:r w:rsidRPr="00CD68BA">
        <w:rPr>
          <w:rStyle w:val="Refdenotaalpie"/>
          <w:lang w:val="es-CR"/>
        </w:rPr>
        <w:footnoteReference w:id="105"/>
      </w:r>
      <w:r w:rsidRPr="00CD68BA">
        <w:rPr>
          <w:lang w:val="es-CR"/>
        </w:rPr>
        <w:t xml:space="preserve">. El juicio programado no se realizó al no </w:t>
      </w:r>
      <w:r w:rsidR="003314AC" w:rsidRPr="00CD68BA">
        <w:rPr>
          <w:lang w:val="es-CR"/>
        </w:rPr>
        <w:t>ubicarse</w:t>
      </w:r>
      <w:r w:rsidRPr="00CD68BA">
        <w:rPr>
          <w:lang w:val="es-CR"/>
        </w:rPr>
        <w:t xml:space="preserve"> al acusado </w:t>
      </w:r>
      <w:r w:rsidR="00D62D06" w:rsidRPr="00CD68BA">
        <w:rPr>
          <w:lang w:val="es-CR"/>
        </w:rPr>
        <w:t>M.C.N</w:t>
      </w:r>
      <w:r w:rsidRPr="00CD68BA">
        <w:rPr>
          <w:lang w:val="es-CR"/>
        </w:rPr>
        <w:t xml:space="preserve">. Al respecto, su exesposa informó que el señor </w:t>
      </w:r>
      <w:r w:rsidR="00D407BD" w:rsidRPr="00CD68BA">
        <w:rPr>
          <w:lang w:val="es-CR"/>
        </w:rPr>
        <w:t>M.</w:t>
      </w:r>
      <w:r w:rsidRPr="00CD68BA">
        <w:rPr>
          <w:lang w:val="es-CR"/>
        </w:rPr>
        <w:t>C</w:t>
      </w:r>
      <w:r w:rsidR="00D407BD" w:rsidRPr="00CD68BA">
        <w:rPr>
          <w:lang w:val="es-CR"/>
        </w:rPr>
        <w:t>.N.</w:t>
      </w:r>
      <w:r w:rsidRPr="00CD68BA">
        <w:rPr>
          <w:lang w:val="es-CR"/>
        </w:rPr>
        <w:t xml:space="preserve"> vivía en São Paulo</w:t>
      </w:r>
      <w:r w:rsidRPr="00CD68BA">
        <w:rPr>
          <w:rStyle w:val="Refdenotaalpie"/>
          <w:lang w:val="es-CR"/>
        </w:rPr>
        <w:footnoteReference w:id="106"/>
      </w:r>
      <w:r w:rsidRPr="00CD68BA">
        <w:rPr>
          <w:lang w:val="es-CR"/>
        </w:rPr>
        <w:t>. Ese mismo día, se expidió orden de prisión preventiva, sin embargo, no se remitió</w:t>
      </w:r>
      <w:r w:rsidR="00ED0520" w:rsidRPr="00CD68BA">
        <w:rPr>
          <w:lang w:val="es-CR"/>
        </w:rPr>
        <w:t xml:space="preserve"> </w:t>
      </w:r>
      <w:r w:rsidRPr="00CD68BA">
        <w:rPr>
          <w:lang w:val="es-CR"/>
        </w:rPr>
        <w:t>a las autoridades de São Paulo</w:t>
      </w:r>
      <w:r w:rsidRPr="00CD68BA">
        <w:rPr>
          <w:rStyle w:val="Refdenotaalpie"/>
          <w:lang w:val="es-CR"/>
        </w:rPr>
        <w:footnoteReference w:id="107"/>
      </w:r>
      <w:r w:rsidRPr="00CD68BA">
        <w:rPr>
          <w:lang w:val="es-CR"/>
        </w:rPr>
        <w:t>.</w:t>
      </w:r>
    </w:p>
    <w:p w14:paraId="720A6A17" w14:textId="77777777" w:rsidR="00E060D0" w:rsidRPr="00CD68BA" w:rsidRDefault="00E060D0" w:rsidP="00A06718">
      <w:pPr>
        <w:pStyle w:val="Prrafodelista"/>
        <w:spacing w:before="0" w:after="0"/>
        <w:contextualSpacing w:val="0"/>
        <w:rPr>
          <w:szCs w:val="20"/>
          <w:highlight w:val="yellow"/>
          <w:lang w:val="es-CR"/>
        </w:rPr>
      </w:pPr>
    </w:p>
    <w:p w14:paraId="64D6D0DA" w14:textId="58A68250" w:rsidR="00E060D0" w:rsidRPr="00CD68BA" w:rsidRDefault="00E060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1 de junio de 2002, Rafael Sales Pimenta habilitó a los abogados de la Comisión Pastoral de la Tierra para que intervinieran en calidad de </w:t>
      </w:r>
      <w:r w:rsidR="0014498A" w:rsidRPr="00CD68BA">
        <w:rPr>
          <w:lang w:val="es-CR"/>
        </w:rPr>
        <w:t>asistentes de acusación</w:t>
      </w:r>
      <w:r w:rsidRPr="00CD68BA">
        <w:rPr>
          <w:rStyle w:val="Refdenotaalpie"/>
          <w:rFonts w:cs="Cambria"/>
          <w:lang w:val="es-CR"/>
        </w:rPr>
        <w:footnoteReference w:id="108"/>
      </w:r>
      <w:r w:rsidRPr="00CD68BA">
        <w:rPr>
          <w:lang w:val="es-CR"/>
        </w:rPr>
        <w:t>. El 20 de febrero de 2004, el caso fue remitido al Juzgado Agrario, toda vez que el Juzgado Penal determinó que no tenía competencia ya que el delito atribuido tendría una motivación de índole agraria</w:t>
      </w:r>
      <w:r w:rsidRPr="00CD68BA">
        <w:rPr>
          <w:rStyle w:val="Refdenotaalpie"/>
          <w:rFonts w:cs="Cambria"/>
          <w:lang w:val="es-CR"/>
        </w:rPr>
        <w:footnoteReference w:id="109"/>
      </w:r>
      <w:r w:rsidRPr="00CD68BA">
        <w:rPr>
          <w:lang w:val="es-CR"/>
        </w:rPr>
        <w:t xml:space="preserve">. </w:t>
      </w:r>
    </w:p>
    <w:p w14:paraId="202C22FE" w14:textId="77777777" w:rsidR="00E060D0" w:rsidRPr="00CD68BA" w:rsidRDefault="00E060D0" w:rsidP="00A06718">
      <w:pPr>
        <w:pStyle w:val="Prrafodelista"/>
        <w:spacing w:before="0" w:after="0"/>
        <w:contextualSpacing w:val="0"/>
        <w:rPr>
          <w:rFonts w:cs="Cambria"/>
          <w:szCs w:val="20"/>
          <w:lang w:val="es-CR"/>
        </w:rPr>
      </w:pPr>
    </w:p>
    <w:p w14:paraId="412EDE62" w14:textId="6F6F579F" w:rsidR="00E060D0" w:rsidRPr="00CD68BA" w:rsidRDefault="00E060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Mientras el proceso permaneció en el Juzgado Agrario, la única actuación judicial realizada fue la búsqueda del domicilio del acusado</w:t>
      </w:r>
      <w:r w:rsidRPr="00CD68BA">
        <w:rPr>
          <w:rStyle w:val="Refdenotaalpie"/>
          <w:rFonts w:cs="Cambria"/>
          <w:lang w:val="es-CR"/>
        </w:rPr>
        <w:footnoteReference w:id="110"/>
      </w:r>
      <w:r w:rsidRPr="00CD68BA">
        <w:rPr>
          <w:lang w:val="es-CR"/>
        </w:rPr>
        <w:t xml:space="preserve">. Al respecto, el 4 de agosto de 2004 la Secretaría de Ingresos Federales informó que </w:t>
      </w:r>
      <w:r w:rsidR="00D62D06" w:rsidRPr="00CD68BA">
        <w:rPr>
          <w:lang w:val="es-CR"/>
        </w:rPr>
        <w:t>M.C.N.</w:t>
      </w:r>
      <w:r w:rsidRPr="00CD68BA">
        <w:rPr>
          <w:lang w:val="es-CR"/>
        </w:rPr>
        <w:t xml:space="preserve"> estaría domiciliado en </w:t>
      </w:r>
      <w:r w:rsidR="00B17CED" w:rsidRPr="00CD68BA">
        <w:rPr>
          <w:lang w:val="es-CR"/>
        </w:rPr>
        <w:t xml:space="preserve">la ciudad de </w:t>
      </w:r>
      <w:r w:rsidRPr="00CD68BA">
        <w:rPr>
          <w:lang w:val="es-CR"/>
        </w:rPr>
        <w:t xml:space="preserve">Brumado, en </w:t>
      </w:r>
      <w:r w:rsidR="00B17CED" w:rsidRPr="00CD68BA">
        <w:rPr>
          <w:lang w:val="es-CR"/>
        </w:rPr>
        <w:t xml:space="preserve">el estado de </w:t>
      </w:r>
      <w:r w:rsidRPr="00CD68BA">
        <w:rPr>
          <w:lang w:val="es-CR"/>
        </w:rPr>
        <w:t>Bahía</w:t>
      </w:r>
      <w:r w:rsidRPr="00CD68BA">
        <w:rPr>
          <w:rStyle w:val="Refdenotaalpie"/>
          <w:lang w:val="es-CR"/>
        </w:rPr>
        <w:footnoteReference w:id="111"/>
      </w:r>
      <w:r w:rsidR="00D6793D" w:rsidRPr="00CD68BA">
        <w:rPr>
          <w:lang w:val="es-CR"/>
        </w:rPr>
        <w:t>.</w:t>
      </w:r>
    </w:p>
    <w:p w14:paraId="0DBC6E0C" w14:textId="77777777" w:rsidR="00E060D0" w:rsidRPr="00CD68BA" w:rsidRDefault="00E060D0" w:rsidP="00A06718">
      <w:pPr>
        <w:pStyle w:val="Prrafodelista"/>
        <w:spacing w:before="0" w:after="0"/>
        <w:contextualSpacing w:val="0"/>
        <w:rPr>
          <w:rFonts w:cs="Times New Roman"/>
          <w:szCs w:val="20"/>
          <w:highlight w:val="yellow"/>
          <w:lang w:val="es-CR"/>
        </w:rPr>
      </w:pPr>
    </w:p>
    <w:p w14:paraId="7CA6319D" w14:textId="6DFC7384" w:rsidR="00463681" w:rsidRPr="00CD68BA" w:rsidRDefault="00E060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febrero de 2005 el Tribunal de Justicia de Pará determinó que el Juzgado Agrario no tenía competencia en el ámbito penal</w:t>
      </w:r>
      <w:r w:rsidR="002C221B" w:rsidRPr="00CD68BA">
        <w:rPr>
          <w:lang w:val="es-CR"/>
        </w:rPr>
        <w:t>.</w:t>
      </w:r>
      <w:r w:rsidRPr="00CD68BA">
        <w:rPr>
          <w:lang w:val="es-CR"/>
        </w:rPr>
        <w:t xml:space="preserve"> El 28 de julio de 2005 los autos fueron devueltos al Juzgado Penal</w:t>
      </w:r>
      <w:r w:rsidR="002C221B" w:rsidRPr="00CD68BA">
        <w:rPr>
          <w:rStyle w:val="Refdenotaalpie"/>
          <w:lang w:val="es-CR"/>
        </w:rPr>
        <w:footnoteReference w:id="112"/>
      </w:r>
      <w:r w:rsidRPr="00CD68BA">
        <w:rPr>
          <w:lang w:val="es-CR"/>
        </w:rPr>
        <w:t>. Cuando el proceso retornó al Juzgado Penal, se agendó otra sesión para el juicio, sin embargo, no se pudo realizar porque el acusado no compareció. Ante ello, el juez ordenó que se aplazar</w:t>
      </w:r>
      <w:r w:rsidR="00A26008" w:rsidRPr="00CD68BA">
        <w:rPr>
          <w:lang w:val="es-CR"/>
        </w:rPr>
        <w:t>a</w:t>
      </w:r>
      <w:r w:rsidRPr="00CD68BA">
        <w:rPr>
          <w:lang w:val="es-CR"/>
        </w:rPr>
        <w:t xml:space="preserve"> la sesión hasta que se le encontrara y ordenó la emisión de </w:t>
      </w:r>
      <w:r w:rsidR="001940D4" w:rsidRPr="00CD68BA">
        <w:rPr>
          <w:lang w:val="es-CR"/>
        </w:rPr>
        <w:t>órdenes</w:t>
      </w:r>
      <w:r w:rsidRPr="00CD68BA">
        <w:rPr>
          <w:lang w:val="es-CR"/>
        </w:rPr>
        <w:t xml:space="preserve"> de prisión a todos los estados de Brasil. El 18 de noviembre de 2005 se fijó una nueva sesión de juicio para el 15 de febrero de 2006</w:t>
      </w:r>
      <w:r w:rsidR="001940D4" w:rsidRPr="00CD68BA">
        <w:rPr>
          <w:lang w:val="es-CR"/>
        </w:rPr>
        <w:t>,</w:t>
      </w:r>
      <w:r w:rsidRPr="00CD68BA">
        <w:rPr>
          <w:lang w:val="es-CR"/>
        </w:rPr>
        <w:t xml:space="preserve"> y se expidió otr</w:t>
      </w:r>
      <w:r w:rsidR="001940D4" w:rsidRPr="00CD68BA">
        <w:rPr>
          <w:lang w:val="es-CR"/>
        </w:rPr>
        <w:t>a</w:t>
      </w:r>
      <w:r w:rsidRPr="00CD68BA">
        <w:rPr>
          <w:lang w:val="es-CR"/>
        </w:rPr>
        <w:t xml:space="preserve"> </w:t>
      </w:r>
      <w:r w:rsidR="006213A5" w:rsidRPr="00CD68BA">
        <w:rPr>
          <w:lang w:val="es-CR"/>
        </w:rPr>
        <w:t>o</w:t>
      </w:r>
      <w:r w:rsidR="001940D4" w:rsidRPr="00CD68BA">
        <w:rPr>
          <w:lang w:val="es-CR"/>
        </w:rPr>
        <w:t>rden</w:t>
      </w:r>
      <w:r w:rsidRPr="00CD68BA">
        <w:rPr>
          <w:lang w:val="es-CR"/>
        </w:rPr>
        <w:t xml:space="preserve"> de prisión</w:t>
      </w:r>
      <w:r w:rsidRPr="00CD68BA">
        <w:rPr>
          <w:rStyle w:val="Refdenotaalpie"/>
          <w:rFonts w:cs="Cambria"/>
          <w:lang w:val="es-CR"/>
        </w:rPr>
        <w:footnoteReference w:id="113"/>
      </w:r>
      <w:r w:rsidRPr="00CD68BA">
        <w:rPr>
          <w:lang w:val="es-CR"/>
        </w:rPr>
        <w:t xml:space="preserve">. El 21 de noviembre de 2005 se envió </w:t>
      </w:r>
      <w:r w:rsidR="00301AEA" w:rsidRPr="00CD68BA">
        <w:rPr>
          <w:lang w:val="es-CR"/>
        </w:rPr>
        <w:t xml:space="preserve">un </w:t>
      </w:r>
      <w:r w:rsidRPr="00CD68BA">
        <w:rPr>
          <w:lang w:val="es-CR"/>
        </w:rPr>
        <w:t xml:space="preserve">exhorto para solicitar la intimación del señor </w:t>
      </w:r>
      <w:r w:rsidR="006213A5" w:rsidRPr="00CD68BA">
        <w:rPr>
          <w:lang w:val="es-CR"/>
        </w:rPr>
        <w:t>M.</w:t>
      </w:r>
      <w:r w:rsidRPr="00CD68BA">
        <w:rPr>
          <w:lang w:val="es-CR"/>
        </w:rPr>
        <w:t>C</w:t>
      </w:r>
      <w:r w:rsidR="006213A5" w:rsidRPr="00CD68BA">
        <w:rPr>
          <w:lang w:val="es-CR"/>
        </w:rPr>
        <w:t>.N.</w:t>
      </w:r>
      <w:r w:rsidRPr="00CD68BA">
        <w:rPr>
          <w:lang w:val="es-CR"/>
        </w:rPr>
        <w:t xml:space="preserve"> al domicilio obtenido por la Secretaría de Ingresos Federales (en Brumado de Bah</w:t>
      </w:r>
      <w:r w:rsidR="00357009" w:rsidRPr="00CD68BA">
        <w:rPr>
          <w:lang w:val="es-CR"/>
        </w:rPr>
        <w:t>í</w:t>
      </w:r>
      <w:r w:rsidRPr="00CD68BA">
        <w:rPr>
          <w:lang w:val="es-CR"/>
        </w:rPr>
        <w:t>a), sin embargo, no fue localizado</w:t>
      </w:r>
      <w:r w:rsidRPr="00CD68BA">
        <w:rPr>
          <w:rStyle w:val="Refdenotaalpie"/>
          <w:lang w:val="es-CR"/>
        </w:rPr>
        <w:footnoteReference w:id="114"/>
      </w:r>
      <w:r w:rsidRPr="00CD68BA">
        <w:rPr>
          <w:lang w:val="es-CR"/>
        </w:rPr>
        <w:t>. El día señalado para el juicio, el 15 de febrero de 2006, el acusado no compareció</w:t>
      </w:r>
      <w:r w:rsidRPr="00CD68BA">
        <w:rPr>
          <w:rStyle w:val="Refdenotaalpie"/>
          <w:lang w:val="es-CR"/>
        </w:rPr>
        <w:footnoteReference w:id="115"/>
      </w:r>
      <w:r w:rsidRPr="00CD68BA">
        <w:rPr>
          <w:lang w:val="es-CR"/>
        </w:rPr>
        <w:t>. En esa misma fecha se enviaron cartas a los estados para conocer el cumplimiento de l</w:t>
      </w:r>
      <w:r w:rsidR="00357009" w:rsidRPr="00CD68BA">
        <w:rPr>
          <w:lang w:val="es-CR"/>
        </w:rPr>
        <w:t>a</w:t>
      </w:r>
      <w:r w:rsidRPr="00CD68BA">
        <w:rPr>
          <w:lang w:val="es-CR"/>
        </w:rPr>
        <w:t xml:space="preserve">s </w:t>
      </w:r>
      <w:r w:rsidR="00357009" w:rsidRPr="00CD68BA">
        <w:rPr>
          <w:lang w:val="es-CR"/>
        </w:rPr>
        <w:t>órdenes</w:t>
      </w:r>
      <w:r w:rsidRPr="00CD68BA">
        <w:rPr>
          <w:lang w:val="es-CR"/>
        </w:rPr>
        <w:t xml:space="preserve"> de prisión. Al respecto, </w:t>
      </w:r>
      <w:r w:rsidR="00480790" w:rsidRPr="00CD68BA">
        <w:rPr>
          <w:lang w:val="es-CR"/>
        </w:rPr>
        <w:t>al menos nueve</w:t>
      </w:r>
      <w:r w:rsidRPr="00CD68BA">
        <w:rPr>
          <w:lang w:val="es-CR"/>
        </w:rPr>
        <w:t xml:space="preserve"> estados indicaron</w:t>
      </w:r>
      <w:r w:rsidR="00930DF1" w:rsidRPr="00CD68BA">
        <w:rPr>
          <w:lang w:val="es-CR"/>
        </w:rPr>
        <w:t>,</w:t>
      </w:r>
      <w:r w:rsidRPr="00CD68BA">
        <w:rPr>
          <w:lang w:val="es-CR"/>
        </w:rPr>
        <w:t xml:space="preserve"> no haberlos recibido</w:t>
      </w:r>
      <w:r w:rsidR="002B43E5" w:rsidRPr="00CD68BA">
        <w:rPr>
          <w:lang w:val="es-CR"/>
        </w:rPr>
        <w:t>,</w:t>
      </w:r>
      <w:r w:rsidRPr="00CD68BA">
        <w:rPr>
          <w:lang w:val="es-CR"/>
        </w:rPr>
        <w:t xml:space="preserve"> o que los exhortos recibidos no cumplían con los requisitos mínimos</w:t>
      </w:r>
      <w:r w:rsidRPr="00CD68BA">
        <w:rPr>
          <w:rStyle w:val="Refdenotaalpie"/>
          <w:lang w:val="es-CR"/>
        </w:rPr>
        <w:footnoteReference w:id="116"/>
      </w:r>
      <w:r w:rsidRPr="00CD68BA">
        <w:rPr>
          <w:lang w:val="es-CR"/>
        </w:rPr>
        <w:t>. El 24 de febrero de 2006 se conformó un equipo de tres agentes de la Policía Federal a fin de localizar al acusado en los estados de Bahía y Minas Gerais</w:t>
      </w:r>
      <w:r w:rsidR="00BE7DE8" w:rsidRPr="00CD68BA">
        <w:rPr>
          <w:lang w:val="es-CR"/>
        </w:rPr>
        <w:t>, así como “en otros necesarios”</w:t>
      </w:r>
      <w:r w:rsidRPr="00CD68BA">
        <w:rPr>
          <w:rStyle w:val="Refdenotaalpie"/>
          <w:lang w:val="es-CR"/>
        </w:rPr>
        <w:footnoteReference w:id="117"/>
      </w:r>
      <w:r w:rsidRPr="00CD68BA">
        <w:rPr>
          <w:lang w:val="es-CR"/>
        </w:rPr>
        <w:t>.</w:t>
      </w:r>
    </w:p>
    <w:p w14:paraId="7FED0B62" w14:textId="77777777" w:rsidR="00463681" w:rsidRPr="00CD68BA" w:rsidRDefault="00463681" w:rsidP="00A06718">
      <w:pPr>
        <w:pStyle w:val="Prrafodelista"/>
        <w:autoSpaceDE w:val="0"/>
        <w:autoSpaceDN w:val="0"/>
        <w:adjustRightInd w:val="0"/>
        <w:spacing w:before="0" w:after="0"/>
        <w:ind w:left="0"/>
        <w:contextualSpacing w:val="0"/>
        <w:rPr>
          <w:szCs w:val="20"/>
          <w:lang w:val="es-CR"/>
        </w:rPr>
      </w:pPr>
    </w:p>
    <w:p w14:paraId="40FC0579" w14:textId="09290FE1" w:rsidR="00463681" w:rsidRPr="00CD68BA" w:rsidRDefault="00E060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6 de marzo de 2006 </w:t>
      </w:r>
      <w:r w:rsidR="00D62D06" w:rsidRPr="00CD68BA">
        <w:rPr>
          <w:lang w:val="es-CR"/>
        </w:rPr>
        <w:t>M.C.N.</w:t>
      </w:r>
      <w:r w:rsidRPr="00CD68BA">
        <w:rPr>
          <w:lang w:val="es-CR"/>
        </w:rPr>
        <w:t xml:space="preserve"> comunicó su domicilio en Brumado, Bah</w:t>
      </w:r>
      <w:r w:rsidR="008508C0" w:rsidRPr="00CD68BA">
        <w:rPr>
          <w:lang w:val="es-CR"/>
        </w:rPr>
        <w:t>i</w:t>
      </w:r>
      <w:r w:rsidRPr="00CD68BA">
        <w:rPr>
          <w:lang w:val="es-CR"/>
        </w:rPr>
        <w:t>a</w:t>
      </w:r>
      <w:r w:rsidRPr="00CD68BA">
        <w:rPr>
          <w:rStyle w:val="Refdenotaalpie"/>
          <w:lang w:val="es-CR"/>
        </w:rPr>
        <w:footnoteReference w:id="118"/>
      </w:r>
      <w:r w:rsidRPr="00CD68BA">
        <w:rPr>
          <w:lang w:val="es-CR"/>
        </w:rPr>
        <w:t xml:space="preserve">. El 3 de abril de 2006, la Policía Federal logró </w:t>
      </w:r>
      <w:r w:rsidR="001A76B8" w:rsidRPr="00CD68BA">
        <w:rPr>
          <w:lang w:val="es-CR"/>
        </w:rPr>
        <w:t xml:space="preserve">cumplir </w:t>
      </w:r>
      <w:r w:rsidRPr="00CD68BA">
        <w:rPr>
          <w:lang w:val="es-CR"/>
        </w:rPr>
        <w:t>la orden de prisión preventiva al encontrar al reo en otro lugar: en la ciudad de Pitangui, en Minas Gerais</w:t>
      </w:r>
      <w:r w:rsidRPr="00CD68BA">
        <w:rPr>
          <w:rStyle w:val="Refdenotaalpie"/>
          <w:lang w:val="es-CR"/>
        </w:rPr>
        <w:footnoteReference w:id="119"/>
      </w:r>
      <w:r w:rsidRPr="00CD68BA">
        <w:rPr>
          <w:lang w:val="es-CR"/>
        </w:rPr>
        <w:t>. Así, se fijó el 27 de abril de 2006 como fecha para el juicio</w:t>
      </w:r>
      <w:r w:rsidRPr="00CD68BA">
        <w:rPr>
          <w:rStyle w:val="Refdenotaalpie"/>
          <w:lang w:val="es-CR"/>
        </w:rPr>
        <w:footnoteReference w:id="120"/>
      </w:r>
      <w:r w:rsidRPr="00CD68BA">
        <w:rPr>
          <w:lang w:val="es-CR"/>
        </w:rPr>
        <w:t>. El 1</w:t>
      </w:r>
      <w:r w:rsidR="00E9722C" w:rsidRPr="00CD68BA">
        <w:rPr>
          <w:lang w:val="es-CR"/>
        </w:rPr>
        <w:t>0</w:t>
      </w:r>
      <w:r w:rsidRPr="00CD68BA">
        <w:rPr>
          <w:lang w:val="es-CR"/>
        </w:rPr>
        <w:t xml:space="preserve"> de abril de 2006, los abogados del acusado interpusieron un recurso de hábeas corpus ante el Tribunal de Justicia de Pará</w:t>
      </w:r>
      <w:r w:rsidR="00810514" w:rsidRPr="00CD68BA">
        <w:rPr>
          <w:lang w:val="es-CR"/>
        </w:rPr>
        <w:t>,</w:t>
      </w:r>
      <w:r w:rsidRPr="00CD68BA">
        <w:rPr>
          <w:lang w:val="es-CR"/>
        </w:rPr>
        <w:t xml:space="preserve"> </w:t>
      </w:r>
      <w:r w:rsidR="00810514" w:rsidRPr="00CD68BA">
        <w:rPr>
          <w:lang w:val="es-CR"/>
        </w:rPr>
        <w:t>a fin de</w:t>
      </w:r>
      <w:r w:rsidRPr="00CD68BA">
        <w:rPr>
          <w:lang w:val="es-CR"/>
        </w:rPr>
        <w:t xml:space="preserve"> </w:t>
      </w:r>
      <w:r w:rsidR="00810514" w:rsidRPr="00CD68BA">
        <w:rPr>
          <w:lang w:val="es-CR"/>
        </w:rPr>
        <w:t>solicitar</w:t>
      </w:r>
      <w:r w:rsidRPr="00CD68BA">
        <w:rPr>
          <w:lang w:val="es-CR"/>
        </w:rPr>
        <w:t xml:space="preserve"> que se decretara prisión domiciliaria o la extinción de la </w:t>
      </w:r>
      <w:r w:rsidR="006E3F10" w:rsidRPr="00CD68BA">
        <w:rPr>
          <w:lang w:val="es-CR"/>
        </w:rPr>
        <w:t>responsabilidad penal</w:t>
      </w:r>
      <w:r w:rsidRPr="00CD68BA">
        <w:rPr>
          <w:lang w:val="es-CR"/>
        </w:rPr>
        <w:t xml:space="preserve"> sobre la base de la prescripción</w:t>
      </w:r>
      <w:r w:rsidR="00B80FF2" w:rsidRPr="00CD68BA">
        <w:rPr>
          <w:rStyle w:val="Refdenotaalpie"/>
          <w:lang w:val="es-CR"/>
        </w:rPr>
        <w:footnoteReference w:id="121"/>
      </w:r>
      <w:r w:rsidRPr="00CD68BA">
        <w:rPr>
          <w:lang w:val="es-CR"/>
        </w:rPr>
        <w:t xml:space="preserve">. El Ministerio Público también </w:t>
      </w:r>
      <w:r w:rsidRPr="00CD68BA">
        <w:rPr>
          <w:lang w:val="es-CR"/>
        </w:rPr>
        <w:lastRenderedPageBreak/>
        <w:t>se manifestó a favor de decretar la prescripción</w:t>
      </w:r>
      <w:r w:rsidRPr="00CD68BA">
        <w:rPr>
          <w:rStyle w:val="Refdenotaalpie"/>
          <w:lang w:val="es-CR"/>
        </w:rPr>
        <w:footnoteReference w:id="122"/>
      </w:r>
      <w:r w:rsidRPr="00CD68BA">
        <w:rPr>
          <w:lang w:val="es-CR"/>
        </w:rPr>
        <w:t xml:space="preserve">. Por su parte, los abogados que actuaban como </w:t>
      </w:r>
      <w:r w:rsidR="001A76B8" w:rsidRPr="00CD68BA">
        <w:rPr>
          <w:lang w:val="es-CR"/>
        </w:rPr>
        <w:t>asistentes de acusación</w:t>
      </w:r>
      <w:r w:rsidRPr="00CD68BA">
        <w:rPr>
          <w:lang w:val="es-CR"/>
        </w:rPr>
        <w:t xml:space="preserve"> refutaron la tesis de que el delito habría prescrito</w:t>
      </w:r>
      <w:r w:rsidRPr="00CD68BA">
        <w:rPr>
          <w:rStyle w:val="Refdenotaalpie"/>
          <w:lang w:val="es-CR"/>
        </w:rPr>
        <w:footnoteReference w:id="123"/>
      </w:r>
      <w:r w:rsidR="001A76B8" w:rsidRPr="00CD68BA">
        <w:rPr>
          <w:lang w:val="es-CR"/>
        </w:rPr>
        <w:t>.</w:t>
      </w:r>
      <w:r w:rsidRPr="00CD68BA">
        <w:rPr>
          <w:lang w:val="es-CR"/>
        </w:rPr>
        <w:t xml:space="preserve"> </w:t>
      </w:r>
    </w:p>
    <w:p w14:paraId="41F89BCE" w14:textId="77777777" w:rsidR="00463681" w:rsidRPr="00CD68BA" w:rsidRDefault="00463681" w:rsidP="00A06718">
      <w:pPr>
        <w:pStyle w:val="Prrafodelista"/>
        <w:spacing w:before="0" w:after="0"/>
        <w:contextualSpacing w:val="0"/>
        <w:rPr>
          <w:lang w:val="es-CR"/>
        </w:rPr>
      </w:pPr>
    </w:p>
    <w:p w14:paraId="025C21B8" w14:textId="50098893" w:rsidR="00E060D0" w:rsidRPr="00CD68BA" w:rsidRDefault="00E060D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2 de mayo de 2006, la solicitud de decreto de extinción de la </w:t>
      </w:r>
      <w:r w:rsidR="006E3F10" w:rsidRPr="00CD68BA">
        <w:rPr>
          <w:lang w:val="es-CR"/>
        </w:rPr>
        <w:t>responsabilidad penal</w:t>
      </w:r>
      <w:r w:rsidRPr="00CD68BA">
        <w:rPr>
          <w:lang w:val="es-CR"/>
        </w:rPr>
        <w:t xml:space="preserve"> fue denegada por el juez de primera instancia del Juzgado Penal de Marabá</w:t>
      </w:r>
      <w:r w:rsidRPr="00CD68BA">
        <w:rPr>
          <w:rStyle w:val="Refdenotaalpie"/>
          <w:rFonts w:cs="Cambria"/>
          <w:lang w:val="es-CR"/>
        </w:rPr>
        <w:footnoteReference w:id="124"/>
      </w:r>
      <w:r w:rsidRPr="00CD68BA">
        <w:rPr>
          <w:lang w:val="es-CR"/>
        </w:rPr>
        <w:t>. El 8</w:t>
      </w:r>
      <w:r w:rsidR="002B43E5" w:rsidRPr="00CD68BA">
        <w:rPr>
          <w:lang w:val="es-CR"/>
        </w:rPr>
        <w:t xml:space="preserve"> de</w:t>
      </w:r>
      <w:r w:rsidRPr="00CD68BA">
        <w:rPr>
          <w:lang w:val="es-CR"/>
        </w:rPr>
        <w:t xml:space="preserve"> mayo de 2006, las Cámaras Penales Reunidas del Tribunal de Justicia de Pará emitieron una decisión en contrario y declararon extinta la punibilidad del delito</w:t>
      </w:r>
      <w:r w:rsidRPr="00CD68BA">
        <w:rPr>
          <w:rStyle w:val="Refdenotaalpie"/>
          <w:lang w:val="es-CR"/>
        </w:rPr>
        <w:footnoteReference w:id="125"/>
      </w:r>
      <w:r w:rsidRPr="00CD68BA">
        <w:rPr>
          <w:lang w:val="es-CR"/>
        </w:rPr>
        <w:t>.</w:t>
      </w:r>
    </w:p>
    <w:p w14:paraId="46CE3B19" w14:textId="77777777" w:rsidR="00DC662F" w:rsidRPr="00CD68BA" w:rsidRDefault="00DC662F" w:rsidP="00A06718">
      <w:pPr>
        <w:autoSpaceDE w:val="0"/>
        <w:autoSpaceDN w:val="0"/>
        <w:adjustRightInd w:val="0"/>
        <w:spacing w:before="0" w:after="0"/>
        <w:rPr>
          <w:szCs w:val="20"/>
          <w:lang w:val="es-CR"/>
        </w:rPr>
      </w:pPr>
    </w:p>
    <w:p w14:paraId="70BE0958" w14:textId="4B6B69FA" w:rsidR="00DC662F" w:rsidRPr="00CD68BA" w:rsidRDefault="00DC662F" w:rsidP="00A06718">
      <w:pPr>
        <w:pStyle w:val="Estilo4"/>
        <w:ind w:left="851"/>
      </w:pPr>
      <w:bookmarkStart w:id="122" w:name="_Toc114778784"/>
      <w:r w:rsidRPr="00CD68BA">
        <w:t xml:space="preserve">C.2. </w:t>
      </w:r>
      <w:r w:rsidR="00C16D5C" w:rsidRPr="00CD68BA">
        <w:rPr>
          <w:i/>
        </w:rPr>
        <w:t>Medidas adicionales realizadas por los familiares de Gabriel Sales Pimenta</w:t>
      </w:r>
      <w:bookmarkEnd w:id="122"/>
    </w:p>
    <w:p w14:paraId="457957F3" w14:textId="77777777" w:rsidR="00DC662F" w:rsidRPr="00CD68BA" w:rsidRDefault="00DC662F" w:rsidP="00A06718">
      <w:pPr>
        <w:autoSpaceDE w:val="0"/>
        <w:autoSpaceDN w:val="0"/>
        <w:adjustRightInd w:val="0"/>
        <w:spacing w:before="0" w:after="0"/>
        <w:rPr>
          <w:szCs w:val="20"/>
          <w:lang w:val="es-CR"/>
        </w:rPr>
      </w:pPr>
    </w:p>
    <w:p w14:paraId="3D7B3A6C" w14:textId="52AA40D1" w:rsidR="00383520" w:rsidRPr="00CD68BA" w:rsidRDefault="0038352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junio de 2007 Rafael Sales Pimenta presentó un reclamo por exceso de plazo ante el Consejo Nacional de Justicia, alegando la morosidad en el trámite del proceso penal refer</w:t>
      </w:r>
      <w:r w:rsidR="00B56CAB" w:rsidRPr="00CD68BA">
        <w:rPr>
          <w:lang w:val="es-CR"/>
        </w:rPr>
        <w:t>ido</w:t>
      </w:r>
      <w:r w:rsidRPr="00CD68BA">
        <w:rPr>
          <w:lang w:val="es-CR"/>
        </w:rPr>
        <w:t xml:space="preserve"> al homicidio de su hermano. El 12 de septiembre de 2008 el reclamo fue archivado por considerarse que había perdido su objeto</w:t>
      </w:r>
      <w:r w:rsidR="002B43E5" w:rsidRPr="00CD68BA">
        <w:rPr>
          <w:lang w:val="es-CR"/>
        </w:rPr>
        <w:t>,</w:t>
      </w:r>
      <w:r w:rsidRPr="00CD68BA">
        <w:rPr>
          <w:lang w:val="es-CR"/>
        </w:rPr>
        <w:t xml:space="preserve"> ya que el proceso penal se había extinguido por prescripción</w:t>
      </w:r>
      <w:r w:rsidR="006D082E" w:rsidRPr="00CD68BA">
        <w:rPr>
          <w:rStyle w:val="Refdenotaalpie"/>
          <w:lang w:val="es-CR"/>
        </w:rPr>
        <w:footnoteReference w:id="126"/>
      </w:r>
      <w:r w:rsidR="00750662" w:rsidRPr="00CD68BA">
        <w:rPr>
          <w:lang w:val="es-CR"/>
        </w:rPr>
        <w:t>.</w:t>
      </w:r>
    </w:p>
    <w:p w14:paraId="5D589CFB" w14:textId="77777777" w:rsidR="00383520" w:rsidRPr="00CD68BA" w:rsidRDefault="00383520" w:rsidP="00A06718">
      <w:pPr>
        <w:pStyle w:val="Prrafodelista"/>
        <w:autoSpaceDE w:val="0"/>
        <w:autoSpaceDN w:val="0"/>
        <w:adjustRightInd w:val="0"/>
        <w:spacing w:before="0" w:after="0"/>
        <w:ind w:left="0"/>
        <w:contextualSpacing w:val="0"/>
        <w:rPr>
          <w:szCs w:val="20"/>
          <w:lang w:val="es-CR"/>
        </w:rPr>
      </w:pPr>
    </w:p>
    <w:p w14:paraId="5564E45F" w14:textId="0752D766" w:rsidR="00383520" w:rsidRPr="00CD68BA" w:rsidRDefault="002B43E5" w:rsidP="0098048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De otra parte, e</w:t>
      </w:r>
      <w:r w:rsidR="00383520" w:rsidRPr="00CD68BA">
        <w:rPr>
          <w:lang w:val="es-CR"/>
        </w:rPr>
        <w:t xml:space="preserve">l </w:t>
      </w:r>
      <w:r w:rsidR="00A074A1" w:rsidRPr="00CD68BA">
        <w:rPr>
          <w:lang w:val="es-CR"/>
        </w:rPr>
        <w:t>22 de noviembre de 2007</w:t>
      </w:r>
      <w:r w:rsidR="00383520" w:rsidRPr="00CD68BA">
        <w:rPr>
          <w:lang w:val="es-CR"/>
        </w:rPr>
        <w:t xml:space="preserve"> la madre de Gabriel </w:t>
      </w:r>
      <w:r w:rsidRPr="00CD68BA">
        <w:rPr>
          <w:lang w:val="es-CR"/>
        </w:rPr>
        <w:t xml:space="preserve">Sales </w:t>
      </w:r>
      <w:r w:rsidR="00383520" w:rsidRPr="00CD68BA">
        <w:rPr>
          <w:lang w:val="es-CR"/>
        </w:rPr>
        <w:t xml:space="preserve">Pimenta, Maria da Glória Sales Pimenta, interpuso una demanda de indemnización contra el estado de Pará por daños morales resultantes de la </w:t>
      </w:r>
      <w:r w:rsidR="002F0DE3" w:rsidRPr="00CD68BA">
        <w:rPr>
          <w:lang w:val="es-CR"/>
        </w:rPr>
        <w:t xml:space="preserve">tardanza </w:t>
      </w:r>
      <w:r w:rsidR="00383520" w:rsidRPr="00CD68BA">
        <w:rPr>
          <w:lang w:val="es-CR"/>
        </w:rPr>
        <w:t xml:space="preserve">en la tramitación del proceso penal y la consiguiente impunidad del </w:t>
      </w:r>
      <w:r w:rsidR="001621E0" w:rsidRPr="00CD68BA">
        <w:rPr>
          <w:lang w:val="es-CR"/>
        </w:rPr>
        <w:t>homicidio</w:t>
      </w:r>
      <w:r w:rsidR="00383520" w:rsidRPr="00CD68BA">
        <w:rPr>
          <w:lang w:val="es-CR"/>
        </w:rPr>
        <w:t xml:space="preserve"> de su hijo</w:t>
      </w:r>
      <w:r w:rsidR="00C03693" w:rsidRPr="00CD68BA">
        <w:rPr>
          <w:rStyle w:val="Refdenotaalpie"/>
          <w:lang w:val="es-CR"/>
        </w:rPr>
        <w:footnoteReference w:id="127"/>
      </w:r>
      <w:r w:rsidR="00383520" w:rsidRPr="00CD68BA">
        <w:rPr>
          <w:lang w:val="es-CR"/>
        </w:rPr>
        <w:t>.</w:t>
      </w:r>
      <w:r w:rsidR="00980488" w:rsidRPr="00CD68BA">
        <w:rPr>
          <w:lang w:val="es-CR"/>
        </w:rPr>
        <w:t xml:space="preserve"> </w:t>
      </w:r>
      <w:r w:rsidR="008E67CC" w:rsidRPr="00CD68BA">
        <w:rPr>
          <w:lang w:val="es-CR"/>
        </w:rPr>
        <w:t>E</w:t>
      </w:r>
      <w:r w:rsidR="00383520" w:rsidRPr="00CD68BA">
        <w:rPr>
          <w:lang w:val="es-CR"/>
        </w:rPr>
        <w:t>l 23 de</w:t>
      </w:r>
      <w:r w:rsidR="004C7DF1" w:rsidRPr="00CD68BA">
        <w:rPr>
          <w:lang w:val="es-CR"/>
        </w:rPr>
        <w:t xml:space="preserve"> septiembre</w:t>
      </w:r>
      <w:r w:rsidR="00383520" w:rsidRPr="00CD68BA">
        <w:rPr>
          <w:lang w:val="es-CR"/>
        </w:rPr>
        <w:t xml:space="preserve"> de 2010</w:t>
      </w:r>
      <w:r w:rsidR="004C7DF1" w:rsidRPr="00CD68BA">
        <w:rPr>
          <w:lang w:val="es-CR"/>
        </w:rPr>
        <w:t xml:space="preserve"> y 24 de marzo de 2011</w:t>
      </w:r>
      <w:r w:rsidR="00383520" w:rsidRPr="00CD68BA">
        <w:rPr>
          <w:lang w:val="es-CR"/>
        </w:rPr>
        <w:t xml:space="preserve"> fueron fijadas dos audiencias preliminares con el fin de conciliar</w:t>
      </w:r>
      <w:r w:rsidR="004C7DF1" w:rsidRPr="00CD68BA">
        <w:rPr>
          <w:rStyle w:val="Refdenotaalpie"/>
          <w:lang w:val="es-CR"/>
        </w:rPr>
        <w:footnoteReference w:id="128"/>
      </w:r>
      <w:r w:rsidR="00383520" w:rsidRPr="00CD68BA">
        <w:rPr>
          <w:lang w:val="es-CR"/>
        </w:rPr>
        <w:t>. Ante una conciliación infructuosa, se realiz</w:t>
      </w:r>
      <w:r w:rsidR="00CF285D" w:rsidRPr="00CD68BA">
        <w:rPr>
          <w:lang w:val="es-CR"/>
        </w:rPr>
        <w:t>ó</w:t>
      </w:r>
      <w:r w:rsidR="00383520" w:rsidRPr="00CD68BA">
        <w:rPr>
          <w:lang w:val="es-CR"/>
        </w:rPr>
        <w:t xml:space="preserve"> audiencia </w:t>
      </w:r>
      <w:r w:rsidR="00CF285D" w:rsidRPr="00CD68BA">
        <w:rPr>
          <w:lang w:val="es-CR"/>
        </w:rPr>
        <w:t>e</w:t>
      </w:r>
      <w:r w:rsidR="00383520" w:rsidRPr="00CD68BA">
        <w:rPr>
          <w:lang w:val="es-CR"/>
        </w:rPr>
        <w:t>l 24 marzo</w:t>
      </w:r>
      <w:r w:rsidR="00E723B7" w:rsidRPr="00CD68BA">
        <w:rPr>
          <w:lang w:val="es-CR"/>
        </w:rPr>
        <w:t xml:space="preserve"> de 2011</w:t>
      </w:r>
      <w:r w:rsidR="00383520" w:rsidRPr="00CD68BA">
        <w:rPr>
          <w:lang w:val="es-CR"/>
        </w:rPr>
        <w:t xml:space="preserve"> </w:t>
      </w:r>
      <w:r w:rsidR="00CF285D" w:rsidRPr="00CD68BA">
        <w:rPr>
          <w:lang w:val="es-CR"/>
        </w:rPr>
        <w:t xml:space="preserve">a fin de escuchar a los y las testigos, y el </w:t>
      </w:r>
      <w:r w:rsidR="00383520" w:rsidRPr="00CD68BA">
        <w:rPr>
          <w:lang w:val="es-CR"/>
        </w:rPr>
        <w:t>1</w:t>
      </w:r>
      <w:r w:rsidR="00CF285D" w:rsidRPr="00CD68BA">
        <w:rPr>
          <w:lang w:val="es-CR"/>
        </w:rPr>
        <w:t>6</w:t>
      </w:r>
      <w:r w:rsidR="00383520" w:rsidRPr="00CD68BA">
        <w:rPr>
          <w:lang w:val="es-CR"/>
        </w:rPr>
        <w:t xml:space="preserve"> </w:t>
      </w:r>
      <w:r w:rsidR="00CF285D" w:rsidRPr="00CD68BA">
        <w:rPr>
          <w:lang w:val="es-CR"/>
        </w:rPr>
        <w:t xml:space="preserve">y 17 </w:t>
      </w:r>
      <w:r w:rsidR="00383520" w:rsidRPr="00CD68BA">
        <w:rPr>
          <w:lang w:val="es-CR"/>
        </w:rPr>
        <w:t xml:space="preserve">de agosto </w:t>
      </w:r>
      <w:r w:rsidR="00B7743A" w:rsidRPr="00CD68BA">
        <w:rPr>
          <w:lang w:val="es-CR"/>
        </w:rPr>
        <w:t xml:space="preserve">de 2011 </w:t>
      </w:r>
      <w:r w:rsidR="00CF285D" w:rsidRPr="00CD68BA">
        <w:rPr>
          <w:lang w:val="es-CR"/>
        </w:rPr>
        <w:t>se</w:t>
      </w:r>
      <w:r w:rsidR="00383520" w:rsidRPr="00CD68BA">
        <w:rPr>
          <w:lang w:val="es-CR"/>
        </w:rPr>
        <w:t xml:space="preserve"> </w:t>
      </w:r>
      <w:r w:rsidR="00CF285D" w:rsidRPr="00CD68BA">
        <w:rPr>
          <w:lang w:val="es-CR"/>
        </w:rPr>
        <w:t>presentaron</w:t>
      </w:r>
      <w:r w:rsidR="00383520" w:rsidRPr="00CD68BA">
        <w:rPr>
          <w:lang w:val="es-CR"/>
        </w:rPr>
        <w:t xml:space="preserve"> los alegatos finales</w:t>
      </w:r>
      <w:r w:rsidR="003F629C" w:rsidRPr="00CD68BA">
        <w:rPr>
          <w:rStyle w:val="Refdenotaalpie"/>
          <w:lang w:val="es-CR"/>
        </w:rPr>
        <w:footnoteReference w:id="129"/>
      </w:r>
      <w:r w:rsidR="00383520" w:rsidRPr="00CD68BA">
        <w:rPr>
          <w:lang w:val="es-CR"/>
        </w:rPr>
        <w:t>.</w:t>
      </w:r>
      <w:r w:rsidR="00536C8E" w:rsidRPr="00CD68BA">
        <w:rPr>
          <w:lang w:val="es-CR"/>
        </w:rPr>
        <w:t xml:space="preserve"> </w:t>
      </w:r>
      <w:r w:rsidR="00383520" w:rsidRPr="00CD68BA">
        <w:rPr>
          <w:lang w:val="es-CR"/>
        </w:rPr>
        <w:t>El 5 de octubre de 2011</w:t>
      </w:r>
      <w:r w:rsidR="00071DF1" w:rsidRPr="00CD68BA">
        <w:rPr>
          <w:lang w:val="es-CR"/>
        </w:rPr>
        <w:t>,</w:t>
      </w:r>
      <w:r w:rsidR="00383520" w:rsidRPr="00CD68BA">
        <w:rPr>
          <w:lang w:val="es-CR"/>
        </w:rPr>
        <w:t xml:space="preserve"> el </w:t>
      </w:r>
      <w:bookmarkStart w:id="123" w:name="_Hlk110480817"/>
      <w:r w:rsidR="00BD1F85" w:rsidRPr="00CD68BA">
        <w:rPr>
          <w:lang w:val="es-CR"/>
        </w:rPr>
        <w:t xml:space="preserve">Tercer </w:t>
      </w:r>
      <w:r w:rsidR="00383520" w:rsidRPr="00CD68BA">
        <w:rPr>
          <w:lang w:val="es-CR"/>
        </w:rPr>
        <w:t xml:space="preserve">Juzgado Civil del Distrito Judicial de Marabá </w:t>
      </w:r>
      <w:bookmarkEnd w:id="123"/>
      <w:r w:rsidR="00383520" w:rsidRPr="00CD68BA">
        <w:rPr>
          <w:lang w:val="es-CR"/>
        </w:rPr>
        <w:t>consideró que la demanda era procedente y condenó al estado de Pará a pagar una indemnización de R$</w:t>
      </w:r>
      <w:r w:rsidR="00732252" w:rsidRPr="00CD68BA">
        <w:rPr>
          <w:lang w:val="es-CR"/>
        </w:rPr>
        <w:t xml:space="preserve"> </w:t>
      </w:r>
      <w:r w:rsidR="00383520" w:rsidRPr="00CD68BA">
        <w:rPr>
          <w:lang w:val="es-CR"/>
        </w:rPr>
        <w:t xml:space="preserve">700.000,00 </w:t>
      </w:r>
      <w:r w:rsidR="00E80B86" w:rsidRPr="00CD68BA">
        <w:rPr>
          <w:lang w:val="es-CR"/>
        </w:rPr>
        <w:t>(setecientos mil reales</w:t>
      </w:r>
      <w:r w:rsidR="00732252" w:rsidRPr="00CD68BA">
        <w:rPr>
          <w:lang w:val="es-CR"/>
        </w:rPr>
        <w:t>)</w:t>
      </w:r>
      <w:r w:rsidR="00E80B86" w:rsidRPr="00CD68BA">
        <w:rPr>
          <w:lang w:val="es-CR"/>
        </w:rPr>
        <w:t xml:space="preserve"> </w:t>
      </w:r>
      <w:r w:rsidR="00383520" w:rsidRPr="00CD68BA">
        <w:rPr>
          <w:lang w:val="es-CR"/>
        </w:rPr>
        <w:t>a favor de Maria da Glória Sales Pimenta</w:t>
      </w:r>
      <w:r w:rsidR="00BD1F85" w:rsidRPr="00CD68BA">
        <w:rPr>
          <w:rStyle w:val="Refdenotaalpie"/>
          <w:lang w:val="es-CR"/>
        </w:rPr>
        <w:footnoteReference w:id="130"/>
      </w:r>
      <w:r w:rsidR="00383520" w:rsidRPr="00CD68BA">
        <w:rPr>
          <w:lang w:val="es-CR"/>
        </w:rPr>
        <w:t>. El 3 de noviembre de 2011 el estado de Pará apeló la sentencia. Ante ello, el Tribunal de Justicia admitió el recurso y determinó, el 2 de junio de 2016, la exclusión de la responsabilidad estatal y denegó el pago de la indemnización</w:t>
      </w:r>
      <w:r w:rsidR="002150D1" w:rsidRPr="00CD68BA">
        <w:rPr>
          <w:rStyle w:val="Refdenotaalpie"/>
          <w:lang w:val="es-CR"/>
        </w:rPr>
        <w:footnoteReference w:id="131"/>
      </w:r>
      <w:r w:rsidR="00383520" w:rsidRPr="00CD68BA">
        <w:rPr>
          <w:lang w:val="es-CR"/>
        </w:rPr>
        <w:t xml:space="preserve">. </w:t>
      </w:r>
      <w:r w:rsidR="001621E0" w:rsidRPr="00CD68BA">
        <w:rPr>
          <w:lang w:val="es-CR"/>
        </w:rPr>
        <w:t>Tras distintos recursos infruc</w:t>
      </w:r>
      <w:r w:rsidR="00297789" w:rsidRPr="00CD68BA">
        <w:rPr>
          <w:lang w:val="es-CR"/>
        </w:rPr>
        <w:t>tuosos</w:t>
      </w:r>
      <w:r w:rsidR="001621E0" w:rsidRPr="00CD68BA">
        <w:rPr>
          <w:lang w:val="es-CR"/>
        </w:rPr>
        <w:t xml:space="preserve"> interpuestos por </w:t>
      </w:r>
      <w:r w:rsidR="00383520" w:rsidRPr="00CD68BA">
        <w:rPr>
          <w:lang w:val="es-CR"/>
        </w:rPr>
        <w:lastRenderedPageBreak/>
        <w:t xml:space="preserve">los familiares de Gabriel </w:t>
      </w:r>
      <w:r w:rsidR="00732252" w:rsidRPr="00CD68BA">
        <w:rPr>
          <w:lang w:val="es-CR"/>
        </w:rPr>
        <w:t xml:space="preserve">Sales </w:t>
      </w:r>
      <w:r w:rsidR="00383520" w:rsidRPr="00CD68BA">
        <w:rPr>
          <w:lang w:val="es-CR"/>
        </w:rPr>
        <w:t>Pimenta</w:t>
      </w:r>
      <w:r w:rsidR="001621E0" w:rsidRPr="00CD68BA">
        <w:rPr>
          <w:lang w:val="es-CR"/>
        </w:rPr>
        <w:t>, e</w:t>
      </w:r>
      <w:r w:rsidR="00383520" w:rsidRPr="00CD68BA">
        <w:rPr>
          <w:lang w:val="es-CR"/>
        </w:rPr>
        <w:t xml:space="preserve">l 8 de junio de 2021 la Sala Primera del Superior Tribunal de Justicia </w:t>
      </w:r>
      <w:r w:rsidR="007D7C85" w:rsidRPr="00CD68BA">
        <w:rPr>
          <w:lang w:val="es-CR"/>
        </w:rPr>
        <w:t>denegó el último recurso</w:t>
      </w:r>
      <w:r w:rsidR="006F3DF1" w:rsidRPr="00CD68BA">
        <w:rPr>
          <w:rStyle w:val="Refdenotaalpie"/>
          <w:lang w:val="es-CR"/>
        </w:rPr>
        <w:footnoteReference w:id="132"/>
      </w:r>
      <w:r w:rsidR="00383520" w:rsidRPr="00CD68BA">
        <w:rPr>
          <w:lang w:val="es-CR"/>
        </w:rPr>
        <w:t>.</w:t>
      </w:r>
      <w:r w:rsidR="007D7C85" w:rsidRPr="00CD68BA">
        <w:rPr>
          <w:lang w:val="es-CR"/>
        </w:rPr>
        <w:t xml:space="preserve"> El 13 de septiembre de 2021 la decisión quedó firme</w:t>
      </w:r>
      <w:r w:rsidR="007D7C85" w:rsidRPr="00CD68BA">
        <w:rPr>
          <w:rStyle w:val="Refdenotaalpie"/>
          <w:lang w:val="es-CR"/>
        </w:rPr>
        <w:footnoteReference w:id="133"/>
      </w:r>
      <w:r w:rsidR="007D7C85" w:rsidRPr="00CD68BA">
        <w:rPr>
          <w:lang w:val="es-CR"/>
        </w:rPr>
        <w:t>.</w:t>
      </w:r>
    </w:p>
    <w:p w14:paraId="0F073257" w14:textId="77777777" w:rsidR="00383520" w:rsidRPr="00CD68BA" w:rsidRDefault="00383520" w:rsidP="00A06718">
      <w:pPr>
        <w:autoSpaceDE w:val="0"/>
        <w:autoSpaceDN w:val="0"/>
        <w:adjustRightInd w:val="0"/>
        <w:spacing w:before="0" w:after="0"/>
        <w:rPr>
          <w:szCs w:val="20"/>
          <w:lang w:val="es-CR"/>
        </w:rPr>
      </w:pPr>
    </w:p>
    <w:p w14:paraId="14CF5A8D" w14:textId="305ED97B" w:rsidR="00001FD9" w:rsidRPr="00CD68BA" w:rsidRDefault="00001FD9" w:rsidP="00A06718">
      <w:pPr>
        <w:pStyle w:val="Ttulo1"/>
        <w:spacing w:before="0" w:after="0"/>
        <w:rPr>
          <w:szCs w:val="20"/>
          <w:lang w:val="es-CR"/>
        </w:rPr>
      </w:pPr>
      <w:bookmarkStart w:id="124" w:name="_Toc114778785"/>
      <w:r w:rsidRPr="00CD68BA">
        <w:rPr>
          <w:szCs w:val="20"/>
          <w:lang w:val="es-CR"/>
        </w:rPr>
        <w:t>VIII</w:t>
      </w:r>
      <w:r w:rsidRPr="00CD68BA">
        <w:rPr>
          <w:szCs w:val="20"/>
          <w:lang w:val="es-CR"/>
        </w:rPr>
        <w:br/>
        <w:t>FONDO</w:t>
      </w:r>
      <w:bookmarkEnd w:id="124"/>
    </w:p>
    <w:p w14:paraId="71D188CB" w14:textId="77777777" w:rsidR="00001FD9" w:rsidRPr="00CD68BA" w:rsidRDefault="00001FD9" w:rsidP="00A06718">
      <w:pPr>
        <w:pStyle w:val="Estilo1"/>
        <w:tabs>
          <w:tab w:val="left" w:pos="709"/>
          <w:tab w:val="left" w:pos="1134"/>
        </w:tabs>
        <w:spacing w:before="0" w:after="0"/>
        <w:ind w:left="0" w:right="0" w:firstLine="0"/>
        <w:rPr>
          <w:i w:val="0"/>
          <w:szCs w:val="20"/>
          <w:lang w:val="es-CR"/>
        </w:rPr>
      </w:pPr>
    </w:p>
    <w:p w14:paraId="05CD2693" w14:textId="3C6114C8"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caso </w:t>
      </w:r>
      <w:r w:rsidRPr="00CD68BA">
        <w:rPr>
          <w:i/>
          <w:lang w:val="es-CR"/>
        </w:rPr>
        <w:t>sub judice</w:t>
      </w:r>
      <w:r w:rsidRPr="00CD68BA">
        <w:rPr>
          <w:lang w:val="es-CR"/>
        </w:rPr>
        <w:t xml:space="preserve"> se relaciona con las alegadas falencias</w:t>
      </w:r>
      <w:r w:rsidR="008E67CC" w:rsidRPr="00CD68BA">
        <w:rPr>
          <w:lang w:val="es-CR"/>
        </w:rPr>
        <w:t xml:space="preserve"> en</w:t>
      </w:r>
      <w:r w:rsidR="00343AB6" w:rsidRPr="00CD68BA">
        <w:rPr>
          <w:lang w:val="es-CR"/>
        </w:rPr>
        <w:t xml:space="preserve"> </w:t>
      </w:r>
      <w:r w:rsidRPr="00CD68BA">
        <w:rPr>
          <w:lang w:val="es-CR"/>
        </w:rPr>
        <w:t>l</w:t>
      </w:r>
      <w:r w:rsidR="00343AB6" w:rsidRPr="00CD68BA">
        <w:rPr>
          <w:lang w:val="es-CR"/>
        </w:rPr>
        <w:t>os</w:t>
      </w:r>
      <w:r w:rsidRPr="00CD68BA">
        <w:rPr>
          <w:lang w:val="es-CR"/>
        </w:rPr>
        <w:t xml:space="preserve"> proceso</w:t>
      </w:r>
      <w:r w:rsidR="00343AB6" w:rsidRPr="00CD68BA">
        <w:rPr>
          <w:lang w:val="es-CR"/>
        </w:rPr>
        <w:t>s</w:t>
      </w:r>
      <w:r w:rsidRPr="00CD68BA">
        <w:rPr>
          <w:lang w:val="es-CR"/>
        </w:rPr>
        <w:t xml:space="preserve"> </w:t>
      </w:r>
      <w:r w:rsidR="00343AB6" w:rsidRPr="00CD68BA">
        <w:rPr>
          <w:lang w:val="es-CR"/>
        </w:rPr>
        <w:t xml:space="preserve">judiciales </w:t>
      </w:r>
      <w:r w:rsidRPr="00CD68BA">
        <w:rPr>
          <w:lang w:val="es-CR"/>
        </w:rPr>
        <w:t>iniciado</w:t>
      </w:r>
      <w:r w:rsidR="00343AB6" w:rsidRPr="00CD68BA">
        <w:rPr>
          <w:lang w:val="es-CR"/>
        </w:rPr>
        <w:t>s</w:t>
      </w:r>
      <w:r w:rsidRPr="00CD68BA">
        <w:rPr>
          <w:lang w:val="es-CR"/>
        </w:rPr>
        <w:t xml:space="preserve"> </w:t>
      </w:r>
      <w:r w:rsidR="008E67CC" w:rsidRPr="00CD68BA">
        <w:rPr>
          <w:lang w:val="es-CR"/>
        </w:rPr>
        <w:t>a raíz</w:t>
      </w:r>
      <w:r w:rsidRPr="00CD68BA">
        <w:rPr>
          <w:lang w:val="es-CR"/>
        </w:rPr>
        <w:t xml:space="preserve"> de</w:t>
      </w:r>
      <w:r w:rsidR="00786505" w:rsidRPr="00CD68BA">
        <w:rPr>
          <w:lang w:val="es-CR"/>
        </w:rPr>
        <w:t xml:space="preserve"> </w:t>
      </w:r>
      <w:r w:rsidRPr="00CD68BA">
        <w:rPr>
          <w:lang w:val="es-CR"/>
        </w:rPr>
        <w:t>l</w:t>
      </w:r>
      <w:r w:rsidR="00786505" w:rsidRPr="00CD68BA">
        <w:rPr>
          <w:lang w:val="es-CR"/>
        </w:rPr>
        <w:t>a muerta violenta</w:t>
      </w:r>
      <w:r w:rsidRPr="00CD68BA">
        <w:rPr>
          <w:lang w:val="es-CR"/>
        </w:rPr>
        <w:t xml:space="preserve"> de Gabriel Sales Pimenta, abogado y defensor de trabajadores rurales en Pará. </w:t>
      </w:r>
      <w:r w:rsidR="003F1963" w:rsidRPr="00CD68BA">
        <w:rPr>
          <w:lang w:val="es-CR"/>
        </w:rPr>
        <w:t>Sobre este extremo, la Corte advierte que la calidad de defensor de derechos humanos del señor Sales Pimenta</w:t>
      </w:r>
      <w:r w:rsidR="00804DEE" w:rsidRPr="00CD68BA">
        <w:rPr>
          <w:rStyle w:val="Refdenotaalpie"/>
          <w:lang w:val="es-CR"/>
        </w:rPr>
        <w:footnoteReference w:id="134"/>
      </w:r>
      <w:r w:rsidR="003F1963" w:rsidRPr="00CD68BA">
        <w:rPr>
          <w:lang w:val="es-CR"/>
        </w:rPr>
        <w:t xml:space="preserve"> constituye un hecho no controvertido</w:t>
      </w:r>
      <w:r w:rsidR="00A053DF" w:rsidRPr="00CD68BA">
        <w:rPr>
          <w:rStyle w:val="Refdenotaalpie"/>
          <w:lang w:val="es-CR"/>
        </w:rPr>
        <w:footnoteReference w:id="135"/>
      </w:r>
      <w:r w:rsidR="003F1963" w:rsidRPr="00CD68BA">
        <w:rPr>
          <w:lang w:val="es-CR"/>
        </w:rPr>
        <w:t>. En esta perspectiva y teniendo en cuenta los alegatos de las partes y la Comisión, y la competencia temporal del Tribunal, las violaciones alegadas</w:t>
      </w:r>
      <w:r w:rsidR="008E67CC" w:rsidRPr="00CD68BA">
        <w:rPr>
          <w:lang w:val="es-CR"/>
        </w:rPr>
        <w:t>, ocurridas con posterioridad al 10 de diciembre de 1998,</w:t>
      </w:r>
      <w:r w:rsidR="003F1963" w:rsidRPr="00CD68BA">
        <w:rPr>
          <w:lang w:val="es-CR"/>
        </w:rPr>
        <w:t xml:space="preserve"> serán analizadas a la luz de las obligaciones reforzadas</w:t>
      </w:r>
      <w:r w:rsidR="006D0089" w:rsidRPr="00CD68BA">
        <w:rPr>
          <w:lang w:val="es-CR"/>
        </w:rPr>
        <w:t xml:space="preserve"> de investigar y sancionar </w:t>
      </w:r>
      <w:r w:rsidR="003C0327" w:rsidRPr="00CD68BA">
        <w:rPr>
          <w:lang w:val="es-CR"/>
        </w:rPr>
        <w:t xml:space="preserve">a </w:t>
      </w:r>
      <w:r w:rsidR="006D0089" w:rsidRPr="00CD68BA">
        <w:rPr>
          <w:lang w:val="es-CR"/>
        </w:rPr>
        <w:t>los responsables de actos de violencia contra personas defensoras de derechos humanos</w:t>
      </w:r>
      <w:r w:rsidR="003F1963" w:rsidRPr="00CD68BA">
        <w:rPr>
          <w:lang w:val="es-CR"/>
        </w:rPr>
        <w:t xml:space="preserve">, </w:t>
      </w:r>
      <w:r w:rsidR="00804DEE" w:rsidRPr="00CD68BA">
        <w:rPr>
          <w:lang w:val="es-CR"/>
        </w:rPr>
        <w:t xml:space="preserve">considerando, además, </w:t>
      </w:r>
      <w:r w:rsidR="003F1963" w:rsidRPr="00CD68BA">
        <w:rPr>
          <w:lang w:val="es-CR"/>
        </w:rPr>
        <w:t>e</w:t>
      </w:r>
      <w:r w:rsidR="003C0327" w:rsidRPr="00CD68BA">
        <w:rPr>
          <w:lang w:val="es-CR"/>
        </w:rPr>
        <w:t>l</w:t>
      </w:r>
      <w:r w:rsidR="003F1963" w:rsidRPr="00CD68BA">
        <w:rPr>
          <w:lang w:val="es-CR"/>
        </w:rPr>
        <w:t xml:space="preserve"> contexto de violencia e impunidad</w:t>
      </w:r>
      <w:r w:rsidR="00804DEE" w:rsidRPr="00CD68BA">
        <w:rPr>
          <w:lang w:val="es-CR"/>
        </w:rPr>
        <w:t xml:space="preserve"> acreditado (</w:t>
      </w:r>
      <w:r w:rsidR="00804DEE" w:rsidRPr="00CD68BA">
        <w:rPr>
          <w:i/>
          <w:iCs/>
          <w:lang w:val="es-CR"/>
        </w:rPr>
        <w:t>supra</w:t>
      </w:r>
      <w:r w:rsidR="00804DEE" w:rsidRPr="00CD68BA">
        <w:rPr>
          <w:lang w:val="es-CR"/>
        </w:rPr>
        <w:t xml:space="preserve"> párrs. </w:t>
      </w:r>
      <w:r w:rsidR="00D90DA6" w:rsidRPr="00CD68BA">
        <w:rPr>
          <w:lang w:val="es-CR"/>
        </w:rPr>
        <w:t>44</w:t>
      </w:r>
      <w:r w:rsidR="00804DEE" w:rsidRPr="00CD68BA">
        <w:rPr>
          <w:lang w:val="es-CR"/>
        </w:rPr>
        <w:t xml:space="preserve"> a </w:t>
      </w:r>
      <w:r w:rsidR="00C06C7A" w:rsidRPr="00CD68BA">
        <w:rPr>
          <w:lang w:val="es-CR"/>
        </w:rPr>
        <w:t>51</w:t>
      </w:r>
      <w:r w:rsidR="00804DEE" w:rsidRPr="00CD68BA">
        <w:rPr>
          <w:lang w:val="es-CR"/>
        </w:rPr>
        <w:t>)</w:t>
      </w:r>
      <w:r w:rsidR="00532076" w:rsidRPr="00CD68BA">
        <w:rPr>
          <w:lang w:val="es-CR"/>
        </w:rPr>
        <w:t>.</w:t>
      </w:r>
      <w:r w:rsidR="003F1963" w:rsidRPr="00CD68BA">
        <w:rPr>
          <w:lang w:val="es-CR"/>
        </w:rPr>
        <w:t xml:space="preserve"> </w:t>
      </w:r>
      <w:r w:rsidR="00532076" w:rsidRPr="00CD68BA">
        <w:rPr>
          <w:lang w:val="es-CR"/>
        </w:rPr>
        <w:t xml:space="preserve">Así, </w:t>
      </w:r>
      <w:r w:rsidRPr="00CD68BA">
        <w:rPr>
          <w:lang w:val="es-CR"/>
        </w:rPr>
        <w:t>la Corte procederá con el análisis de fondo en el orden siguiente: (a) la</w:t>
      </w:r>
      <w:r w:rsidR="000C7F00" w:rsidRPr="00CD68BA">
        <w:rPr>
          <w:lang w:val="es-CR"/>
        </w:rPr>
        <w:t>s</w:t>
      </w:r>
      <w:r w:rsidRPr="00CD68BA">
        <w:rPr>
          <w:lang w:val="es-CR"/>
        </w:rPr>
        <w:t xml:space="preserve"> alegada</w:t>
      </w:r>
      <w:r w:rsidR="000C7F00" w:rsidRPr="00CD68BA">
        <w:rPr>
          <w:lang w:val="es-CR"/>
        </w:rPr>
        <w:t>s</w:t>
      </w:r>
      <w:r w:rsidRPr="00CD68BA">
        <w:rPr>
          <w:lang w:val="es-CR"/>
        </w:rPr>
        <w:t xml:space="preserve"> violaci</w:t>
      </w:r>
      <w:r w:rsidR="000C7F00" w:rsidRPr="00CD68BA">
        <w:rPr>
          <w:lang w:val="es-CR"/>
        </w:rPr>
        <w:t>ones</w:t>
      </w:r>
      <w:r w:rsidRPr="00CD68BA">
        <w:rPr>
          <w:lang w:val="es-CR"/>
        </w:rPr>
        <w:t xml:space="preserve"> de los derechos a las garantías judiciales y </w:t>
      </w:r>
      <w:r w:rsidR="00FC15DB" w:rsidRPr="00CD68BA">
        <w:rPr>
          <w:lang w:val="es-CR"/>
        </w:rPr>
        <w:t xml:space="preserve">a </w:t>
      </w:r>
      <w:r w:rsidRPr="00CD68BA">
        <w:rPr>
          <w:lang w:val="es-CR"/>
        </w:rPr>
        <w:t>la protección judicial</w:t>
      </w:r>
      <w:r w:rsidR="0031785D" w:rsidRPr="00CD68BA">
        <w:rPr>
          <w:lang w:val="es-CR"/>
        </w:rPr>
        <w:t>,</w:t>
      </w:r>
      <w:r w:rsidR="000C7F00" w:rsidRPr="00CD68BA">
        <w:rPr>
          <w:lang w:val="es-CR"/>
        </w:rPr>
        <w:t xml:space="preserve"> así como del derecho a la verdad</w:t>
      </w:r>
      <w:r w:rsidR="00B54BF5" w:rsidRPr="00CD68BA">
        <w:rPr>
          <w:lang w:val="es-CR"/>
        </w:rPr>
        <w:t>,</w:t>
      </w:r>
      <w:r w:rsidR="0031785D" w:rsidRPr="00CD68BA">
        <w:rPr>
          <w:lang w:val="es-CR"/>
        </w:rPr>
        <w:t xml:space="preserve"> y</w:t>
      </w:r>
      <w:r w:rsidRPr="00CD68BA">
        <w:rPr>
          <w:lang w:val="es-CR"/>
        </w:rPr>
        <w:t xml:space="preserve"> (b) la alegada violación del derecho a la integridad personal de los familiares de Gabriel Sales Pimenta.</w:t>
      </w:r>
    </w:p>
    <w:p w14:paraId="7B46D462" w14:textId="77777777" w:rsidR="00001FD9" w:rsidRPr="00CD68BA" w:rsidRDefault="00001FD9" w:rsidP="00A06718">
      <w:pPr>
        <w:pStyle w:val="Estilo1"/>
        <w:tabs>
          <w:tab w:val="left" w:pos="709"/>
          <w:tab w:val="left" w:pos="1134"/>
        </w:tabs>
        <w:spacing w:before="0" w:after="0"/>
        <w:ind w:left="0" w:right="-4" w:firstLine="0"/>
        <w:rPr>
          <w:i w:val="0"/>
          <w:szCs w:val="20"/>
          <w:lang w:val="es-CR"/>
        </w:rPr>
      </w:pPr>
    </w:p>
    <w:p w14:paraId="674E9F0C" w14:textId="77777777" w:rsidR="00001FD9" w:rsidRPr="00CD68BA" w:rsidRDefault="00001FD9" w:rsidP="00A06718">
      <w:pPr>
        <w:pStyle w:val="Ttulo1"/>
        <w:spacing w:before="0" w:after="0"/>
        <w:rPr>
          <w:szCs w:val="20"/>
          <w:lang w:val="es-CR"/>
        </w:rPr>
      </w:pPr>
      <w:bookmarkStart w:id="125" w:name="_Toc104388681"/>
      <w:bookmarkStart w:id="126" w:name="_Toc114778786"/>
      <w:r w:rsidRPr="00CD68BA">
        <w:rPr>
          <w:szCs w:val="20"/>
          <w:lang w:val="es-CR"/>
        </w:rPr>
        <w:t>VIII-1</w:t>
      </w:r>
      <w:bookmarkEnd w:id="125"/>
      <w:bookmarkEnd w:id="126"/>
    </w:p>
    <w:p w14:paraId="4E387B7B" w14:textId="1C8C97CB" w:rsidR="00001FD9" w:rsidRPr="00CD68BA" w:rsidRDefault="00001FD9" w:rsidP="00A06718">
      <w:pPr>
        <w:pStyle w:val="Ttulo1"/>
        <w:spacing w:before="0" w:after="0"/>
        <w:rPr>
          <w:szCs w:val="20"/>
          <w:lang w:val="es-CR"/>
        </w:rPr>
      </w:pPr>
      <w:bookmarkStart w:id="127" w:name="_Toc104388682"/>
      <w:bookmarkStart w:id="128" w:name="_Toc114778787"/>
      <w:r w:rsidRPr="00CD68BA">
        <w:rPr>
          <w:szCs w:val="20"/>
          <w:lang w:val="es-CR"/>
        </w:rPr>
        <w:t>DERECHOS A LAS GARANTÍAS JUDICIALES</w:t>
      </w:r>
      <w:r w:rsidRPr="00CD68BA">
        <w:rPr>
          <w:rStyle w:val="Refdenotaalpie"/>
          <w:lang w:val="es-CR"/>
        </w:rPr>
        <w:footnoteReference w:id="136"/>
      </w:r>
      <w:r w:rsidRPr="00CD68BA">
        <w:rPr>
          <w:szCs w:val="20"/>
          <w:lang w:val="es-CR"/>
        </w:rPr>
        <w:t xml:space="preserve"> Y </w:t>
      </w:r>
      <w:r w:rsidR="00C06C7A" w:rsidRPr="00CD68BA">
        <w:rPr>
          <w:szCs w:val="20"/>
          <w:lang w:val="es-CR"/>
        </w:rPr>
        <w:t xml:space="preserve">A </w:t>
      </w:r>
      <w:r w:rsidRPr="00CD68BA">
        <w:rPr>
          <w:szCs w:val="20"/>
          <w:lang w:val="es-CR"/>
        </w:rPr>
        <w:t>LA PROTECCIÓN JUDICIAL</w:t>
      </w:r>
      <w:r w:rsidRPr="00CD68BA">
        <w:rPr>
          <w:rStyle w:val="Refdenotaalpie"/>
          <w:lang w:val="es-CR"/>
        </w:rPr>
        <w:footnoteReference w:id="137"/>
      </w:r>
      <w:r w:rsidRPr="00CD68BA">
        <w:rPr>
          <w:szCs w:val="20"/>
          <w:lang w:val="es-CR"/>
        </w:rPr>
        <w:t>,</w:t>
      </w:r>
      <w:r w:rsidR="002402D7" w:rsidRPr="00CD68BA">
        <w:rPr>
          <w:szCs w:val="20"/>
          <w:lang w:val="es-CR"/>
        </w:rPr>
        <w:t xml:space="preserve"> </w:t>
      </w:r>
      <w:r w:rsidR="00AD6A27" w:rsidRPr="00CD68BA">
        <w:rPr>
          <w:szCs w:val="20"/>
          <w:lang w:val="es-CR"/>
        </w:rPr>
        <w:t xml:space="preserve">ASÍ COMO EL </w:t>
      </w:r>
      <w:r w:rsidR="002402D7" w:rsidRPr="00CD68BA">
        <w:rPr>
          <w:szCs w:val="20"/>
          <w:lang w:val="es-CR"/>
        </w:rPr>
        <w:t>DERECHO A LA VERDAD</w:t>
      </w:r>
      <w:r w:rsidR="002402D7" w:rsidRPr="00CD68BA">
        <w:rPr>
          <w:rStyle w:val="Refdenotaalpie"/>
          <w:lang w:val="es-CR"/>
        </w:rPr>
        <w:footnoteReference w:id="138"/>
      </w:r>
      <w:r w:rsidR="002402D7" w:rsidRPr="00CD68BA">
        <w:rPr>
          <w:szCs w:val="20"/>
          <w:lang w:val="es-CR"/>
        </w:rPr>
        <w:t>,</w:t>
      </w:r>
      <w:r w:rsidRPr="00CD68BA">
        <w:rPr>
          <w:szCs w:val="20"/>
          <w:lang w:val="es-CR"/>
        </w:rPr>
        <w:t xml:space="preserve"> EN RELACIÓN CON LAS OBLIGACIONES DE RESPETO Y GARANTÍA</w:t>
      </w:r>
      <w:r w:rsidRPr="00CD68BA">
        <w:rPr>
          <w:rStyle w:val="Refdenotaalpie"/>
          <w:lang w:val="es-CR"/>
        </w:rPr>
        <w:footnoteReference w:id="139"/>
      </w:r>
      <w:bookmarkEnd w:id="127"/>
      <w:bookmarkEnd w:id="128"/>
    </w:p>
    <w:p w14:paraId="67E5FBA4" w14:textId="77777777" w:rsidR="00001FD9" w:rsidRPr="00CD68BA" w:rsidRDefault="00001FD9" w:rsidP="00A06718">
      <w:pPr>
        <w:pStyle w:val="PrrafodeSentencia"/>
      </w:pPr>
    </w:p>
    <w:p w14:paraId="7CF3BA3C" w14:textId="5B9422E6" w:rsidR="00001FD9" w:rsidRPr="00CD68BA" w:rsidRDefault="00001FD9" w:rsidP="00A06718">
      <w:pPr>
        <w:pStyle w:val="Ttulo1"/>
        <w:spacing w:before="0" w:after="0"/>
        <w:ind w:left="567"/>
        <w:jc w:val="both"/>
        <w:rPr>
          <w:b w:val="0"/>
          <w:bCs w:val="0"/>
          <w:i/>
          <w:iCs/>
          <w:szCs w:val="20"/>
          <w:lang w:val="es-CR"/>
        </w:rPr>
      </w:pPr>
      <w:bookmarkStart w:id="129" w:name="_Toc104388683"/>
      <w:bookmarkStart w:id="130" w:name="_Toc114778788"/>
      <w:r w:rsidRPr="00CD68BA">
        <w:rPr>
          <w:b w:val="0"/>
          <w:bCs w:val="0"/>
          <w:i/>
          <w:iCs/>
          <w:szCs w:val="20"/>
          <w:lang w:val="es-CR"/>
        </w:rPr>
        <w:t>A. Argumentos de las partes y de la Comisión</w:t>
      </w:r>
      <w:bookmarkEnd w:id="129"/>
      <w:bookmarkEnd w:id="130"/>
    </w:p>
    <w:p w14:paraId="2D3C9313" w14:textId="24E459C7" w:rsidR="00001FD9" w:rsidRPr="00CD68BA" w:rsidRDefault="00001FD9" w:rsidP="00A06718">
      <w:pPr>
        <w:pStyle w:val="Prrafodelista"/>
        <w:autoSpaceDE w:val="0"/>
        <w:autoSpaceDN w:val="0"/>
        <w:adjustRightInd w:val="0"/>
        <w:spacing w:before="0" w:after="0"/>
        <w:ind w:left="0"/>
        <w:contextualSpacing w:val="0"/>
        <w:rPr>
          <w:szCs w:val="20"/>
          <w:lang w:val="es-CR"/>
        </w:rPr>
      </w:pPr>
    </w:p>
    <w:p w14:paraId="308DFC2C" w14:textId="5056D524" w:rsidR="00001FD9" w:rsidRPr="00CD68BA" w:rsidRDefault="00FB244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cuanto a la debida diligencia, l</w:t>
      </w:r>
      <w:r w:rsidR="00001FD9" w:rsidRPr="00CD68BA">
        <w:rPr>
          <w:lang w:val="es-CR"/>
        </w:rPr>
        <w:t xml:space="preserve">a </w:t>
      </w:r>
      <w:r w:rsidR="00001FD9" w:rsidRPr="00CD68BA">
        <w:rPr>
          <w:b/>
          <w:i/>
          <w:lang w:val="es-CR"/>
        </w:rPr>
        <w:t>Comisión</w:t>
      </w:r>
      <w:r w:rsidR="00001FD9" w:rsidRPr="00CD68BA">
        <w:rPr>
          <w:b/>
          <w:lang w:val="es-CR"/>
        </w:rPr>
        <w:t xml:space="preserve"> </w:t>
      </w:r>
      <w:r w:rsidR="00001FD9" w:rsidRPr="00CD68BA">
        <w:rPr>
          <w:lang w:val="es-CR"/>
        </w:rPr>
        <w:t xml:space="preserve">consideró </w:t>
      </w:r>
      <w:r w:rsidR="006D0591" w:rsidRPr="00CD68BA">
        <w:rPr>
          <w:lang w:val="es-CR"/>
        </w:rPr>
        <w:t xml:space="preserve">el hecho de </w:t>
      </w:r>
      <w:r w:rsidR="00001FD9" w:rsidRPr="00CD68BA">
        <w:rPr>
          <w:lang w:val="es-CR"/>
        </w:rPr>
        <w:t xml:space="preserve">que el </w:t>
      </w:r>
      <w:r w:rsidR="00D528DB" w:rsidRPr="00CD68BA">
        <w:rPr>
          <w:lang w:val="es-CR"/>
        </w:rPr>
        <w:t xml:space="preserve">homicidio </w:t>
      </w:r>
      <w:r w:rsidR="00001FD9" w:rsidRPr="00CD68BA">
        <w:rPr>
          <w:lang w:val="es-CR"/>
        </w:rPr>
        <w:t xml:space="preserve">de Gabriel Sales Pimenta </w:t>
      </w:r>
      <w:r w:rsidR="003D1F1E" w:rsidRPr="00CD68BA">
        <w:rPr>
          <w:lang w:val="es-CR"/>
        </w:rPr>
        <w:t>habría sido</w:t>
      </w:r>
      <w:r w:rsidR="00001FD9" w:rsidRPr="00CD68BA">
        <w:rPr>
          <w:lang w:val="es-CR"/>
        </w:rPr>
        <w:t xml:space="preserve"> debido a su labor de defensa de los trabajadores rurales</w:t>
      </w:r>
      <w:r w:rsidR="00C27315" w:rsidRPr="00CD68BA">
        <w:rPr>
          <w:lang w:val="es-CR"/>
        </w:rPr>
        <w:t>, y que esto</w:t>
      </w:r>
      <w:r w:rsidR="006D0591" w:rsidRPr="00CD68BA">
        <w:rPr>
          <w:lang w:val="es-CR"/>
        </w:rPr>
        <w:t xml:space="preserve"> </w:t>
      </w:r>
      <w:r w:rsidR="00C27315" w:rsidRPr="00CD68BA">
        <w:rPr>
          <w:lang w:val="es-CR"/>
        </w:rPr>
        <w:t>no</w:t>
      </w:r>
      <w:r w:rsidR="006D0591" w:rsidRPr="00CD68BA">
        <w:rPr>
          <w:lang w:val="es-CR"/>
        </w:rPr>
        <w:t xml:space="preserve"> fue </w:t>
      </w:r>
      <w:r w:rsidRPr="00CD68BA">
        <w:rPr>
          <w:lang w:val="es-CR"/>
        </w:rPr>
        <w:t>tomado en cuenta por las autoridades</w:t>
      </w:r>
      <w:r w:rsidR="00001FD9" w:rsidRPr="00CD68BA">
        <w:rPr>
          <w:lang w:val="es-CR"/>
        </w:rPr>
        <w:t xml:space="preserve">. De igual manera, concluyó que el presente caso </w:t>
      </w:r>
      <w:r w:rsidR="00001FD9" w:rsidRPr="00CD68BA">
        <w:rPr>
          <w:lang w:val="es-CR"/>
        </w:rPr>
        <w:lastRenderedPageBreak/>
        <w:t xml:space="preserve">se caracterizó por omisiones estatales en la obligación de investigar y sancionar a los responsables del </w:t>
      </w:r>
      <w:r w:rsidR="00D528DB" w:rsidRPr="00CD68BA">
        <w:rPr>
          <w:lang w:val="es-CR"/>
        </w:rPr>
        <w:t>homicidio</w:t>
      </w:r>
      <w:r w:rsidR="00001FD9" w:rsidRPr="00CD68BA">
        <w:rPr>
          <w:lang w:val="es-CR"/>
        </w:rPr>
        <w:t>. Al respecto, señaló</w:t>
      </w:r>
      <w:r w:rsidR="009717E0" w:rsidRPr="00CD68BA">
        <w:rPr>
          <w:lang w:val="es-CR"/>
        </w:rPr>
        <w:t xml:space="preserve"> que “no se dictó sentencia inculpatoria contra </w:t>
      </w:r>
      <w:r w:rsidR="00C27315" w:rsidRPr="00CD68BA">
        <w:rPr>
          <w:lang w:val="es-CR"/>
        </w:rPr>
        <w:t>[</w:t>
      </w:r>
      <w:r w:rsidR="00524A26" w:rsidRPr="00CD68BA">
        <w:rPr>
          <w:lang w:val="es-CR"/>
        </w:rPr>
        <w:t>C.O.S.</w:t>
      </w:r>
      <w:r w:rsidR="00C27315" w:rsidRPr="00CD68BA">
        <w:rPr>
          <w:lang w:val="es-CR"/>
        </w:rPr>
        <w:t>]</w:t>
      </w:r>
      <w:r w:rsidR="009717E0" w:rsidRPr="00CD68BA">
        <w:rPr>
          <w:lang w:val="es-CR"/>
        </w:rPr>
        <w:t xml:space="preserve">” por falta de pruebas, aunque las propias autoridades a cargo de la investigación </w:t>
      </w:r>
      <w:r w:rsidR="00D661A0" w:rsidRPr="00CD68BA">
        <w:rPr>
          <w:lang w:val="es-CR"/>
        </w:rPr>
        <w:t xml:space="preserve">no lo </w:t>
      </w:r>
      <w:r w:rsidR="009717E0" w:rsidRPr="00CD68BA">
        <w:rPr>
          <w:lang w:val="es-CR"/>
        </w:rPr>
        <w:t>habrían somet</w:t>
      </w:r>
      <w:r w:rsidR="00D661A0" w:rsidRPr="00CD68BA">
        <w:rPr>
          <w:lang w:val="es-CR"/>
        </w:rPr>
        <w:t>ido</w:t>
      </w:r>
      <w:r w:rsidR="009717E0" w:rsidRPr="00CD68BA">
        <w:rPr>
          <w:lang w:val="es-CR"/>
        </w:rPr>
        <w:t xml:space="preserve"> </w:t>
      </w:r>
      <w:r w:rsidR="00001FD9" w:rsidRPr="00CD68BA">
        <w:rPr>
          <w:lang w:val="es-CR"/>
        </w:rPr>
        <w:t>al reconocimiento de las dos testigos</w:t>
      </w:r>
      <w:r w:rsidR="009717E0" w:rsidRPr="00CD68BA">
        <w:rPr>
          <w:lang w:val="es-CR"/>
        </w:rPr>
        <w:t xml:space="preserve"> oculares del delito</w:t>
      </w:r>
      <w:r w:rsidR="00001FD9" w:rsidRPr="00CD68BA">
        <w:rPr>
          <w:lang w:val="es-CR"/>
        </w:rPr>
        <w:t xml:space="preserve">. Por otro lado, la Comisión indicó que las autoridades no actuaron con la debida diligencia para </w:t>
      </w:r>
      <w:r w:rsidR="00C574AF" w:rsidRPr="00CD68BA">
        <w:rPr>
          <w:lang w:val="es-CR"/>
        </w:rPr>
        <w:t xml:space="preserve">asegurar la presencia de los acusados </w:t>
      </w:r>
      <w:r w:rsidR="00510A63" w:rsidRPr="00CD68BA">
        <w:rPr>
          <w:lang w:val="es-CR"/>
        </w:rPr>
        <w:t xml:space="preserve">M.C.N. y J.P.N </w:t>
      </w:r>
      <w:r w:rsidR="00C574AF" w:rsidRPr="00CD68BA">
        <w:rPr>
          <w:lang w:val="es-CR"/>
        </w:rPr>
        <w:t xml:space="preserve">o </w:t>
      </w:r>
      <w:r w:rsidR="00001FD9" w:rsidRPr="00CD68BA">
        <w:rPr>
          <w:lang w:val="es-CR"/>
        </w:rPr>
        <w:t xml:space="preserve">impedir </w:t>
      </w:r>
      <w:r w:rsidR="00510A63" w:rsidRPr="00CD68BA">
        <w:rPr>
          <w:lang w:val="es-CR"/>
        </w:rPr>
        <w:t>su</w:t>
      </w:r>
      <w:r w:rsidR="00001FD9" w:rsidRPr="00CD68BA">
        <w:rPr>
          <w:lang w:val="es-CR"/>
        </w:rPr>
        <w:t xml:space="preserve"> fuga, ni para ejecutar l</w:t>
      </w:r>
      <w:r w:rsidR="00C27315" w:rsidRPr="00CD68BA">
        <w:rPr>
          <w:lang w:val="es-CR"/>
        </w:rPr>
        <w:t>a</w:t>
      </w:r>
      <w:r w:rsidR="00001FD9" w:rsidRPr="00CD68BA">
        <w:rPr>
          <w:lang w:val="es-CR"/>
        </w:rPr>
        <w:t xml:space="preserve">s </w:t>
      </w:r>
      <w:r w:rsidR="00C27315" w:rsidRPr="00CD68BA">
        <w:rPr>
          <w:lang w:val="es-CR"/>
        </w:rPr>
        <w:t>órdenes</w:t>
      </w:r>
      <w:r w:rsidR="00001FD9" w:rsidRPr="00CD68BA">
        <w:rPr>
          <w:lang w:val="es-CR"/>
        </w:rPr>
        <w:t xml:space="preserve"> de prisión expedid</w:t>
      </w:r>
      <w:r w:rsidR="00C27315" w:rsidRPr="00CD68BA">
        <w:rPr>
          <w:lang w:val="es-CR"/>
        </w:rPr>
        <w:t>a</w:t>
      </w:r>
      <w:r w:rsidR="00001FD9" w:rsidRPr="00CD68BA">
        <w:rPr>
          <w:lang w:val="es-CR"/>
        </w:rPr>
        <w:t xml:space="preserve">s en su contra. </w:t>
      </w:r>
      <w:r w:rsidR="001524C0" w:rsidRPr="00CD68BA">
        <w:rPr>
          <w:lang w:val="es-CR"/>
        </w:rPr>
        <w:t>A</w:t>
      </w:r>
      <w:r w:rsidR="00001FD9" w:rsidRPr="00CD68BA">
        <w:rPr>
          <w:lang w:val="es-CR"/>
        </w:rPr>
        <w:t>gregó que, en vista de que el Estado no</w:t>
      </w:r>
      <w:r w:rsidR="00C21826" w:rsidRPr="00CD68BA">
        <w:rPr>
          <w:lang w:val="es-CR"/>
        </w:rPr>
        <w:t xml:space="preserve"> habría</w:t>
      </w:r>
      <w:r w:rsidR="00001FD9" w:rsidRPr="00CD68BA">
        <w:rPr>
          <w:lang w:val="es-CR"/>
        </w:rPr>
        <w:t xml:space="preserve"> </w:t>
      </w:r>
      <w:r w:rsidR="00C21826" w:rsidRPr="00CD68BA">
        <w:rPr>
          <w:lang w:val="es-CR"/>
        </w:rPr>
        <w:t>“</w:t>
      </w:r>
      <w:r w:rsidR="00001FD9" w:rsidRPr="00CD68BA">
        <w:rPr>
          <w:lang w:val="es-CR"/>
        </w:rPr>
        <w:t>dilucid</w:t>
      </w:r>
      <w:r w:rsidR="00C21826" w:rsidRPr="00CD68BA">
        <w:rPr>
          <w:lang w:val="es-CR"/>
        </w:rPr>
        <w:t>ado d</w:t>
      </w:r>
      <w:r w:rsidR="00001FD9" w:rsidRPr="00CD68BA">
        <w:rPr>
          <w:lang w:val="es-CR"/>
        </w:rPr>
        <w:t>ebidamente ni contr</w:t>
      </w:r>
      <w:r w:rsidR="00B06EE2" w:rsidRPr="00CD68BA">
        <w:rPr>
          <w:lang w:val="es-CR"/>
        </w:rPr>
        <w:t>overtido</w:t>
      </w:r>
      <w:r w:rsidR="00001FD9" w:rsidRPr="00CD68BA">
        <w:rPr>
          <w:lang w:val="es-CR"/>
        </w:rPr>
        <w:t>” los fuertes indicios de que las personas abarcadas en la investigación hab</w:t>
      </w:r>
      <w:r w:rsidR="00C21826" w:rsidRPr="00CD68BA">
        <w:rPr>
          <w:lang w:val="es-CR"/>
        </w:rPr>
        <w:t>r</w:t>
      </w:r>
      <w:r w:rsidR="00001FD9" w:rsidRPr="00CD68BA">
        <w:rPr>
          <w:lang w:val="es-CR"/>
        </w:rPr>
        <w:t>ían sido amenazadas, consideró que “también ha</w:t>
      </w:r>
      <w:r w:rsidR="001524C0" w:rsidRPr="00CD68BA">
        <w:rPr>
          <w:lang w:val="es-CR"/>
        </w:rPr>
        <w:t>[bía]</w:t>
      </w:r>
      <w:r w:rsidR="00001FD9" w:rsidRPr="00CD68BA">
        <w:rPr>
          <w:lang w:val="es-CR"/>
        </w:rPr>
        <w:t xml:space="preserve"> responsabilidad por </w:t>
      </w:r>
      <w:r w:rsidR="001524C0" w:rsidRPr="00CD68BA">
        <w:rPr>
          <w:lang w:val="es-CR"/>
        </w:rPr>
        <w:t xml:space="preserve">[la] </w:t>
      </w:r>
      <w:r w:rsidR="00001FD9" w:rsidRPr="00CD68BA">
        <w:rPr>
          <w:lang w:val="es-CR"/>
        </w:rPr>
        <w:t>violación del deber de investigar con la debida diligencia, que incluye necesariamente la garantía de la seguridad y la protección de los testigos antes</w:t>
      </w:r>
      <w:r w:rsidR="00496AC5" w:rsidRPr="00CD68BA">
        <w:rPr>
          <w:lang w:val="es-CR"/>
        </w:rPr>
        <w:t>, durante</w:t>
      </w:r>
      <w:r w:rsidR="00001FD9" w:rsidRPr="00CD68BA">
        <w:rPr>
          <w:lang w:val="es-CR"/>
        </w:rPr>
        <w:t xml:space="preserve"> y después de los procedimientos de investigación”.</w:t>
      </w:r>
    </w:p>
    <w:p w14:paraId="520FDEA7" w14:textId="77777777" w:rsidR="00001FD9" w:rsidRPr="00CD68BA" w:rsidRDefault="00001FD9" w:rsidP="00A06718">
      <w:pPr>
        <w:pStyle w:val="Prrafodelista"/>
        <w:spacing w:before="0" w:after="0"/>
        <w:contextualSpacing w:val="0"/>
        <w:rPr>
          <w:szCs w:val="20"/>
          <w:lang w:val="es-CR"/>
        </w:rPr>
      </w:pPr>
    </w:p>
    <w:p w14:paraId="736F812D" w14:textId="60957412"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cuanto al plazo razonable, la Comisión expuso que, desde el </w:t>
      </w:r>
      <w:r w:rsidR="00412877" w:rsidRPr="00CD68BA">
        <w:rPr>
          <w:lang w:val="es-CR"/>
        </w:rPr>
        <w:t xml:space="preserve">homicidio </w:t>
      </w:r>
      <w:r w:rsidRPr="00CD68BA">
        <w:rPr>
          <w:lang w:val="es-CR"/>
        </w:rPr>
        <w:t xml:space="preserve">del señor Sales Pimenta, el 18 de julio de 1982, hasta la declaración de prescripción, transcurrieron más de 20 años, lo cual en sí mismo es irrazonable. </w:t>
      </w:r>
      <w:r w:rsidR="006C30B2" w:rsidRPr="00CD68BA">
        <w:rPr>
          <w:lang w:val="es-CR"/>
        </w:rPr>
        <w:t>C</w:t>
      </w:r>
      <w:r w:rsidRPr="00CD68BA">
        <w:rPr>
          <w:lang w:val="es-CR"/>
        </w:rPr>
        <w:t>onsideró que “los elementos de complejidad, actuación de las autoridades y actuación de los familiares no explican ni justifican el plazo excesivo”. Por otra parte, indicó que hubo una demora en diferentes etapas</w:t>
      </w:r>
      <w:r w:rsidR="00697B63" w:rsidRPr="00CD68BA">
        <w:rPr>
          <w:lang w:val="es-CR"/>
        </w:rPr>
        <w:t xml:space="preserve">, como hasta que se dictara </w:t>
      </w:r>
      <w:r w:rsidRPr="00CD68BA">
        <w:rPr>
          <w:lang w:val="es-CR"/>
        </w:rPr>
        <w:t xml:space="preserve">la sentencia de </w:t>
      </w:r>
      <w:r w:rsidRPr="00CD68BA">
        <w:rPr>
          <w:i/>
          <w:lang w:val="es-CR"/>
        </w:rPr>
        <w:t>pronúncia</w:t>
      </w:r>
      <w:r w:rsidRPr="00CD68BA">
        <w:rPr>
          <w:lang w:val="es-CR"/>
        </w:rPr>
        <w:t>, en agosto de 2000</w:t>
      </w:r>
      <w:r w:rsidR="00697B63" w:rsidRPr="00CD68BA">
        <w:rPr>
          <w:lang w:val="es-CR"/>
        </w:rPr>
        <w:t xml:space="preserve">, y </w:t>
      </w:r>
      <w:r w:rsidRPr="00CD68BA">
        <w:rPr>
          <w:lang w:val="es-CR"/>
        </w:rPr>
        <w:t xml:space="preserve">entre el pedido del Ministerio Público de extinción de la </w:t>
      </w:r>
      <w:r w:rsidR="006E3F10" w:rsidRPr="00CD68BA">
        <w:rPr>
          <w:lang w:val="es-CR"/>
        </w:rPr>
        <w:t>responsabilidad penal</w:t>
      </w:r>
      <w:r w:rsidRPr="00CD68BA">
        <w:rPr>
          <w:lang w:val="es-CR"/>
        </w:rPr>
        <w:t xml:space="preserve"> del reo </w:t>
      </w:r>
      <w:r w:rsidR="00D62D06" w:rsidRPr="00CD68BA">
        <w:rPr>
          <w:lang w:val="es-CR"/>
        </w:rPr>
        <w:t>J.P.N.</w:t>
      </w:r>
      <w:r w:rsidR="00697B63" w:rsidRPr="00CD68BA">
        <w:rPr>
          <w:lang w:val="es-CR"/>
        </w:rPr>
        <w:t>,</w:t>
      </w:r>
      <w:r w:rsidRPr="00CD68BA">
        <w:rPr>
          <w:lang w:val="es-CR"/>
        </w:rPr>
        <w:t xml:space="preserve"> en noviembre de 1999, y la decisión que </w:t>
      </w:r>
      <w:r w:rsidR="00697B63" w:rsidRPr="00CD68BA">
        <w:rPr>
          <w:lang w:val="es-CR"/>
        </w:rPr>
        <w:t xml:space="preserve">la </w:t>
      </w:r>
      <w:r w:rsidRPr="00CD68BA">
        <w:rPr>
          <w:lang w:val="es-CR"/>
        </w:rPr>
        <w:t>decretó</w:t>
      </w:r>
      <w:r w:rsidR="00697B63" w:rsidRPr="00CD68BA">
        <w:rPr>
          <w:lang w:val="es-CR"/>
        </w:rPr>
        <w:t>,</w:t>
      </w:r>
      <w:r w:rsidRPr="00CD68BA">
        <w:rPr>
          <w:lang w:val="es-CR"/>
        </w:rPr>
        <w:t xml:space="preserve"> </w:t>
      </w:r>
      <w:r w:rsidR="00697B63" w:rsidRPr="00CD68BA">
        <w:rPr>
          <w:lang w:val="es-CR"/>
        </w:rPr>
        <w:t xml:space="preserve">en </w:t>
      </w:r>
      <w:r w:rsidRPr="00CD68BA">
        <w:rPr>
          <w:lang w:val="es-CR"/>
        </w:rPr>
        <w:t>agosto de 2000.</w:t>
      </w:r>
    </w:p>
    <w:p w14:paraId="3F7BCE3D" w14:textId="77777777" w:rsidR="00E31377" w:rsidRPr="00CD68BA" w:rsidRDefault="00E31377" w:rsidP="00A06718">
      <w:pPr>
        <w:pStyle w:val="Prrafodelista"/>
        <w:spacing w:before="0" w:after="0"/>
        <w:contextualSpacing w:val="0"/>
        <w:rPr>
          <w:lang w:val="es-CR"/>
        </w:rPr>
      </w:pPr>
    </w:p>
    <w:p w14:paraId="3AC746EF" w14:textId="465A1C12" w:rsidR="00001FD9" w:rsidRPr="00CD68BA" w:rsidRDefault="00001FD9" w:rsidP="005E4487">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Los</w:t>
      </w:r>
      <w:r w:rsidRPr="00CD68BA">
        <w:rPr>
          <w:b/>
          <w:lang w:val="es-CR"/>
        </w:rPr>
        <w:t xml:space="preserve"> </w:t>
      </w:r>
      <w:r w:rsidRPr="00CD68BA">
        <w:rPr>
          <w:b/>
          <w:i/>
          <w:lang w:val="es-CR"/>
        </w:rPr>
        <w:t>representantes</w:t>
      </w:r>
      <w:r w:rsidRPr="00CD68BA">
        <w:rPr>
          <w:lang w:val="es-CR"/>
        </w:rPr>
        <w:t xml:space="preserve"> </w:t>
      </w:r>
      <w:r w:rsidR="00D9408C" w:rsidRPr="00CD68BA">
        <w:rPr>
          <w:lang w:val="es-CR"/>
        </w:rPr>
        <w:t>coincidieron con lo argumentado por la Comisión en cuanto a las alegadas violaciones cometidas en el ámbito del proceso penal</w:t>
      </w:r>
      <w:r w:rsidR="0079517C" w:rsidRPr="00CD68BA">
        <w:rPr>
          <w:lang w:val="es-CR"/>
        </w:rPr>
        <w:t>,</w:t>
      </w:r>
      <w:r w:rsidR="00D9408C" w:rsidRPr="00CD68BA">
        <w:rPr>
          <w:lang w:val="es-CR"/>
        </w:rPr>
        <w:t xml:space="preserve"> y </w:t>
      </w:r>
      <w:r w:rsidRPr="00CD68BA">
        <w:rPr>
          <w:lang w:val="es-CR"/>
        </w:rPr>
        <w:t xml:space="preserve">adujeron que el Estado: (i) no adoptó las medidas necesarias para investigar las amenazas y el homicidio de Gabriel Sales Pimenta, tomando en consideración </w:t>
      </w:r>
      <w:r w:rsidR="0081224F" w:rsidRPr="00CD68BA">
        <w:rPr>
          <w:lang w:val="es-CR"/>
        </w:rPr>
        <w:t xml:space="preserve">aspectos como </w:t>
      </w:r>
      <w:r w:rsidRPr="00CD68BA">
        <w:rPr>
          <w:lang w:val="es-CR"/>
        </w:rPr>
        <w:t>su condición de defensor de derechos humanos, el análisis del contexto en el cual estaba inserto dicho delito o la investigación respecto de la muerte</w:t>
      </w:r>
      <w:r w:rsidR="00CE200B" w:rsidRPr="00CD68BA">
        <w:rPr>
          <w:lang w:val="es-CR"/>
        </w:rPr>
        <w:t>,</w:t>
      </w:r>
      <w:r w:rsidRPr="00CD68BA">
        <w:rPr>
          <w:lang w:val="es-CR"/>
        </w:rPr>
        <w:t xml:space="preserve"> durante el trámite del proceso de tres de los cuatro presuntos involucrados en el homicidio; (ii) no adoptó medidas para identificar, procesar y sancionar a los responsables del homicidio del señor Sales Pimenta; (iii) no actuó con la debida diligencia en la ejecución de las órdenes de detención dictadas durante el proceso, a fin de impedir la fuga de los acusados; (iv) incurrió en retraso injustificado en la tramitación del proceso penal, de modo que por tratarse del </w:t>
      </w:r>
      <w:r w:rsidR="00B91566" w:rsidRPr="00CD68BA">
        <w:rPr>
          <w:lang w:val="es-CR"/>
        </w:rPr>
        <w:t xml:space="preserve">homicidio </w:t>
      </w:r>
      <w:r w:rsidRPr="00CD68BA">
        <w:rPr>
          <w:lang w:val="es-CR"/>
        </w:rPr>
        <w:t xml:space="preserve">de un defensor de derechos humanos, señalaron que </w:t>
      </w:r>
      <w:r w:rsidR="0081224F" w:rsidRPr="00CD68BA">
        <w:rPr>
          <w:lang w:val="es-CR"/>
        </w:rPr>
        <w:t xml:space="preserve">en </w:t>
      </w:r>
      <w:r w:rsidRPr="00CD68BA">
        <w:rPr>
          <w:lang w:val="es-CR"/>
        </w:rPr>
        <w:t>observancia del plazo razonable</w:t>
      </w:r>
      <w:r w:rsidR="0081224F" w:rsidRPr="00CD68BA">
        <w:rPr>
          <w:lang w:val="es-CR"/>
        </w:rPr>
        <w:t>, tal “retraso injustificado”</w:t>
      </w:r>
      <w:r w:rsidRPr="00CD68BA">
        <w:rPr>
          <w:lang w:val="es-CR"/>
        </w:rPr>
        <w:t xml:space="preserve"> se acentuaría debido a la necesidad de combatir los efectos negativos de la impunidad</w:t>
      </w:r>
      <w:r w:rsidR="0081224F" w:rsidRPr="00CD68BA">
        <w:rPr>
          <w:lang w:val="es-CR"/>
        </w:rPr>
        <w:t>.</w:t>
      </w:r>
      <w:r w:rsidRPr="00CD68BA">
        <w:rPr>
          <w:lang w:val="es-CR"/>
        </w:rPr>
        <w:t xml:space="preserve"> </w:t>
      </w:r>
      <w:r w:rsidR="0081224F" w:rsidRPr="00CD68BA">
        <w:rPr>
          <w:lang w:val="es-CR"/>
        </w:rPr>
        <w:t>S</w:t>
      </w:r>
      <w:r w:rsidRPr="00CD68BA">
        <w:rPr>
          <w:lang w:val="es-CR"/>
        </w:rPr>
        <w:t xml:space="preserve">in embargo, cada fase del proceso penal habría estado marcada por “retrasos alarmantes” y por largos periodos sin actos procesales; (v) violó el principio de juez natural al remitir el proceso para seguir su tramitación ante el Juzgado Agrario, lo cual también habría culminado con la paralización “irrazonable e infundada” del proceso durante 18 meses, y (vi) violó el derecho de acceso a la justicia al aplicar la prescripción, que habría resultado únicamente </w:t>
      </w:r>
      <w:r w:rsidR="00D661A0" w:rsidRPr="00CD68BA">
        <w:rPr>
          <w:lang w:val="es-CR"/>
        </w:rPr>
        <w:t>d</w:t>
      </w:r>
      <w:r w:rsidR="00404B02" w:rsidRPr="00CD68BA">
        <w:rPr>
          <w:lang w:val="es-CR"/>
        </w:rPr>
        <w:t>el</w:t>
      </w:r>
      <w:r w:rsidRPr="00CD68BA">
        <w:rPr>
          <w:lang w:val="es-CR"/>
        </w:rPr>
        <w:t xml:space="preserve"> </w:t>
      </w:r>
      <w:r w:rsidR="005E4487" w:rsidRPr="00CD68BA">
        <w:rPr>
          <w:lang w:val="es-CR"/>
        </w:rPr>
        <w:t>“</w:t>
      </w:r>
      <w:r w:rsidRPr="00CD68BA">
        <w:rPr>
          <w:lang w:val="es-CR"/>
        </w:rPr>
        <w:t>actuar negligente</w:t>
      </w:r>
      <w:r w:rsidR="005E4487" w:rsidRPr="00CD68BA">
        <w:rPr>
          <w:lang w:val="es-CR"/>
        </w:rPr>
        <w:t>”</w:t>
      </w:r>
      <w:r w:rsidRPr="00CD68BA">
        <w:rPr>
          <w:lang w:val="es-CR"/>
        </w:rPr>
        <w:t xml:space="preserve"> y </w:t>
      </w:r>
      <w:r w:rsidR="005E4487" w:rsidRPr="00CD68BA">
        <w:rPr>
          <w:lang w:val="es-CR"/>
        </w:rPr>
        <w:t>“</w:t>
      </w:r>
      <w:r w:rsidRPr="00CD68BA">
        <w:rPr>
          <w:lang w:val="es-CR"/>
        </w:rPr>
        <w:t>obstructivo</w:t>
      </w:r>
      <w:r w:rsidR="005E4487" w:rsidRPr="00CD68BA">
        <w:rPr>
          <w:lang w:val="es-CR"/>
        </w:rPr>
        <w:t>”</w:t>
      </w:r>
      <w:r w:rsidRPr="00CD68BA">
        <w:rPr>
          <w:lang w:val="es-CR"/>
        </w:rPr>
        <w:t xml:space="preserve"> de las autoridades de investigación y judiciales. </w:t>
      </w:r>
    </w:p>
    <w:p w14:paraId="09F90CD4" w14:textId="77777777" w:rsidR="00001FD9" w:rsidRPr="00CD68BA" w:rsidRDefault="00001FD9" w:rsidP="00A06718">
      <w:pPr>
        <w:spacing w:before="0" w:after="0"/>
        <w:rPr>
          <w:b/>
          <w:szCs w:val="20"/>
          <w:lang w:val="es-CR"/>
        </w:rPr>
      </w:pPr>
    </w:p>
    <w:p w14:paraId="326DD7DD" w14:textId="73BD2C16"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lo concerniente a las alegadas violaciones ocurridas en el ámbito de la acción de indemnización contra el estado de Pará</w:t>
      </w:r>
      <w:r w:rsidR="000F687E" w:rsidRPr="00CD68BA">
        <w:rPr>
          <w:lang w:val="es-CR"/>
        </w:rPr>
        <w:t>,</w:t>
      </w:r>
      <w:r w:rsidRPr="00CD68BA">
        <w:rPr>
          <w:lang w:val="es-CR"/>
        </w:rPr>
        <w:t xml:space="preserve"> incoada por los familiares de Gabriel Sales Pimenta, los representantes señalaron que,</w:t>
      </w:r>
      <w:r w:rsidR="001D4C2C" w:rsidRPr="00CD68BA">
        <w:rPr>
          <w:lang w:val="es-CR"/>
        </w:rPr>
        <w:t xml:space="preserve"> </w:t>
      </w:r>
      <w:r w:rsidRPr="00CD68BA">
        <w:rPr>
          <w:lang w:val="es-CR"/>
        </w:rPr>
        <w:t>transcurridos más de 14 años</w:t>
      </w:r>
      <w:r w:rsidR="001D4C2C" w:rsidRPr="00CD68BA">
        <w:rPr>
          <w:lang w:val="es-CR"/>
        </w:rPr>
        <w:t xml:space="preserve"> de su interposición, </w:t>
      </w:r>
      <w:r w:rsidRPr="00CD68BA">
        <w:rPr>
          <w:lang w:val="es-CR"/>
        </w:rPr>
        <w:t>no había una decisión definitiva. Señalaron que el</w:t>
      </w:r>
      <w:r w:rsidR="00404B02" w:rsidRPr="00CD68BA">
        <w:rPr>
          <w:lang w:val="es-CR"/>
        </w:rPr>
        <w:t xml:space="preserve"> alegado</w:t>
      </w:r>
      <w:r w:rsidRPr="00CD68BA">
        <w:rPr>
          <w:lang w:val="es-CR"/>
        </w:rPr>
        <w:t xml:space="preserve"> </w:t>
      </w:r>
      <w:r w:rsidR="00404B02" w:rsidRPr="00CD68BA">
        <w:rPr>
          <w:lang w:val="es-CR"/>
        </w:rPr>
        <w:t>“</w:t>
      </w:r>
      <w:r w:rsidRPr="00CD68BA">
        <w:rPr>
          <w:lang w:val="es-CR"/>
        </w:rPr>
        <w:t>retraso injustificado</w:t>
      </w:r>
      <w:r w:rsidR="00404B02" w:rsidRPr="00CD68BA">
        <w:rPr>
          <w:lang w:val="es-CR"/>
        </w:rPr>
        <w:t>”</w:t>
      </w:r>
      <w:r w:rsidRPr="00CD68BA">
        <w:rPr>
          <w:lang w:val="es-CR"/>
        </w:rPr>
        <w:t xml:space="preserve"> se basa, exclusivamente, en la conducta</w:t>
      </w:r>
      <w:r w:rsidR="00942CE5" w:rsidRPr="00CD68BA">
        <w:rPr>
          <w:lang w:val="es-CR"/>
        </w:rPr>
        <w:t xml:space="preserve"> negligente</w:t>
      </w:r>
      <w:r w:rsidRPr="00CD68BA">
        <w:rPr>
          <w:lang w:val="es-CR"/>
        </w:rPr>
        <w:t xml:space="preserve"> de las autoridades</w:t>
      </w:r>
      <w:r w:rsidR="00942CE5" w:rsidRPr="00CD68BA">
        <w:rPr>
          <w:lang w:val="es-CR"/>
        </w:rPr>
        <w:t>.</w:t>
      </w:r>
    </w:p>
    <w:p w14:paraId="3AFF11A0" w14:textId="77777777" w:rsidR="00001FD9" w:rsidRPr="00CD68BA" w:rsidRDefault="00001FD9" w:rsidP="00A06718">
      <w:pPr>
        <w:pStyle w:val="Prrafodelista"/>
        <w:autoSpaceDE w:val="0"/>
        <w:autoSpaceDN w:val="0"/>
        <w:adjustRightInd w:val="0"/>
        <w:spacing w:before="0" w:after="0"/>
        <w:ind w:left="0"/>
        <w:contextualSpacing w:val="0"/>
        <w:rPr>
          <w:szCs w:val="20"/>
          <w:lang w:val="es-CR"/>
        </w:rPr>
      </w:pPr>
    </w:p>
    <w:p w14:paraId="665406E2" w14:textId="5ED1275E"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De otra parte, los </w:t>
      </w:r>
      <w:r w:rsidRPr="00CD68BA">
        <w:rPr>
          <w:iCs/>
          <w:lang w:val="es-CR"/>
        </w:rPr>
        <w:t>representantes</w:t>
      </w:r>
      <w:r w:rsidRPr="00CD68BA">
        <w:rPr>
          <w:lang w:val="es-CR"/>
        </w:rPr>
        <w:t xml:space="preserve"> indicaron que el Estado ha ocultado información relevante sobre el caso y no estableció procesos o mecanismos necesarios para esclarecer la verdad de lo ocurrido.</w:t>
      </w:r>
      <w:r w:rsidRPr="00CD68BA">
        <w:rPr>
          <w:b/>
          <w:lang w:val="es-CR"/>
        </w:rPr>
        <w:t xml:space="preserve"> </w:t>
      </w:r>
      <w:r w:rsidRPr="00CD68BA">
        <w:rPr>
          <w:lang w:val="es-CR"/>
        </w:rPr>
        <w:t>Siendo así, indicaron que el Estado es responsable por la violación del derecho a la verdad, al haber impedido que los familiares de Gabriel Sales Pimenta y la sociedad brasileña conozcan las circunstancias de la muerte del señor Sales Pimenta, la identificación de los responsables y la eventual sanción.</w:t>
      </w:r>
    </w:p>
    <w:p w14:paraId="4098EB30" w14:textId="77777777" w:rsidR="00001FD9" w:rsidRPr="00CD68BA" w:rsidRDefault="00001FD9" w:rsidP="00A06718">
      <w:pPr>
        <w:pStyle w:val="Default"/>
        <w:jc w:val="both"/>
        <w:rPr>
          <w:rFonts w:ascii="Verdana" w:eastAsia="Helvetica Neue" w:hAnsi="Verdana" w:cs="Helvetica Neue"/>
          <w:sz w:val="20"/>
          <w:szCs w:val="20"/>
        </w:rPr>
      </w:pPr>
    </w:p>
    <w:p w14:paraId="454EEF80" w14:textId="1398EF76"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 xml:space="preserve">Respecto a la alegada violación del artículo 8 de la Convención Americana, el </w:t>
      </w:r>
      <w:r w:rsidRPr="00CD68BA">
        <w:rPr>
          <w:b/>
          <w:i/>
          <w:lang w:val="es-CR"/>
        </w:rPr>
        <w:t xml:space="preserve">Estado </w:t>
      </w:r>
      <w:r w:rsidRPr="00CD68BA">
        <w:rPr>
          <w:lang w:val="es-CR"/>
        </w:rPr>
        <w:t xml:space="preserve">arguyó que la responsabilidad por la supuesta falta de investigación y persecución penal contra los involucrados en la muerte de Gabriel Sales Pimenta “está absolutamente fuera de la </w:t>
      </w:r>
      <w:r w:rsidRPr="00CD68BA">
        <w:rPr>
          <w:i/>
          <w:lang w:val="es-CR"/>
        </w:rPr>
        <w:t>ratio essendi</w:t>
      </w:r>
      <w:r w:rsidRPr="00CD68BA">
        <w:rPr>
          <w:lang w:val="es-CR"/>
        </w:rPr>
        <w:t>” del referido artículo 8</w:t>
      </w:r>
      <w:r w:rsidR="001C4938" w:rsidRPr="00CD68BA">
        <w:rPr>
          <w:lang w:val="es-CR"/>
        </w:rPr>
        <w:t xml:space="preserve">, pues ni él, ni </w:t>
      </w:r>
      <w:r w:rsidRPr="00CD68BA">
        <w:rPr>
          <w:lang w:val="es-CR"/>
        </w:rPr>
        <w:t xml:space="preserve">sus familiares fueron procesados en </w:t>
      </w:r>
      <w:r w:rsidR="001C4938" w:rsidRPr="00CD68BA">
        <w:rPr>
          <w:lang w:val="es-CR"/>
        </w:rPr>
        <w:t>al</w:t>
      </w:r>
      <w:r w:rsidRPr="00CD68BA">
        <w:rPr>
          <w:lang w:val="es-CR"/>
        </w:rPr>
        <w:t xml:space="preserve">gún juicio interno, y las supuestas omisiones o defectos no se relacionan con ningún </w:t>
      </w:r>
      <w:r w:rsidR="00EE5C6E" w:rsidRPr="00CD68BA">
        <w:rPr>
          <w:lang w:val="es-CR"/>
        </w:rPr>
        <w:t xml:space="preserve">proceso </w:t>
      </w:r>
      <w:r w:rsidRPr="00CD68BA">
        <w:rPr>
          <w:lang w:val="es-CR"/>
        </w:rPr>
        <w:t>ju</w:t>
      </w:r>
      <w:r w:rsidR="00EE5C6E" w:rsidRPr="00CD68BA">
        <w:rPr>
          <w:lang w:val="es-CR"/>
        </w:rPr>
        <w:t>dicial</w:t>
      </w:r>
      <w:r w:rsidRPr="00CD68BA">
        <w:rPr>
          <w:lang w:val="es-CR"/>
        </w:rPr>
        <w:t xml:space="preserve"> penal o civil en el que hayan ostentado tal calidad. En lo que respecta a la supuesta violación del artículo 25 del mismo instrumento, manifestó que </w:t>
      </w:r>
      <w:r w:rsidR="003477F9" w:rsidRPr="00CD68BA">
        <w:rPr>
          <w:lang w:val="es-CR"/>
        </w:rPr>
        <w:t xml:space="preserve">el Estado disponía de </w:t>
      </w:r>
      <w:r w:rsidRPr="00CD68BA">
        <w:rPr>
          <w:lang w:val="es-CR"/>
        </w:rPr>
        <w:t xml:space="preserve">recursos internos adecuados y eficaces que </w:t>
      </w:r>
      <w:r w:rsidR="00915490" w:rsidRPr="00CD68BA">
        <w:rPr>
          <w:lang w:val="es-CR"/>
        </w:rPr>
        <w:t xml:space="preserve">las presuntas víctimas </w:t>
      </w:r>
      <w:r w:rsidRPr="00CD68BA">
        <w:rPr>
          <w:lang w:val="es-CR"/>
        </w:rPr>
        <w:t>tramitaron</w:t>
      </w:r>
      <w:r w:rsidR="00EE5C6E" w:rsidRPr="00CD68BA">
        <w:rPr>
          <w:lang w:val="es-CR"/>
        </w:rPr>
        <w:t>,</w:t>
      </w:r>
      <w:r w:rsidRPr="00CD68BA">
        <w:rPr>
          <w:lang w:val="es-CR"/>
        </w:rPr>
        <w:t xml:space="preserve"> y otros que todavía </w:t>
      </w:r>
      <w:r w:rsidR="00915490" w:rsidRPr="00CD68BA">
        <w:rPr>
          <w:lang w:val="es-CR"/>
        </w:rPr>
        <w:t xml:space="preserve">están en curso en </w:t>
      </w:r>
      <w:r w:rsidRPr="00CD68BA">
        <w:rPr>
          <w:lang w:val="es-CR"/>
        </w:rPr>
        <w:t xml:space="preserve">el presente caso. Agregó que, todas las diligencias realizadas en el curso del proceso penal fueron efectuadas de manera rigurosa a fin de identificar a los autores y eventualmente sancionarlos. </w:t>
      </w:r>
      <w:r w:rsidR="001C4938" w:rsidRPr="00CD68BA">
        <w:rPr>
          <w:lang w:val="es-CR"/>
        </w:rPr>
        <w:t>A</w:t>
      </w:r>
      <w:r w:rsidRPr="00CD68BA">
        <w:rPr>
          <w:lang w:val="es-CR"/>
        </w:rPr>
        <w:t>rgumentó que los representantes no aportaron ninguna prueba de que en los procesos penales y civiles haya habido alguna influencia de actores privados sobre agentes públicos para garantizar su impunidad o viceversa. Indic</w:t>
      </w:r>
      <w:r w:rsidR="00385C06" w:rsidRPr="00CD68BA">
        <w:rPr>
          <w:lang w:val="es-CR"/>
        </w:rPr>
        <w:t>ó</w:t>
      </w:r>
      <w:r w:rsidRPr="00CD68BA">
        <w:rPr>
          <w:lang w:val="es-CR"/>
        </w:rPr>
        <w:t xml:space="preserve"> que la supuesta impunidad en relación con el homicidio no se puede relacionar con los actos de investigación, los cuales, incluso, culminaron con la identificación de particulares</w:t>
      </w:r>
      <w:r w:rsidR="00B55CF9" w:rsidRPr="00CD68BA">
        <w:rPr>
          <w:lang w:val="es-CR"/>
        </w:rPr>
        <w:t xml:space="preserve"> como responsables</w:t>
      </w:r>
      <w:r w:rsidRPr="00CD68BA">
        <w:rPr>
          <w:lang w:val="es-CR"/>
        </w:rPr>
        <w:t>.</w:t>
      </w:r>
      <w:r w:rsidRPr="00CD68BA">
        <w:rPr>
          <w:b/>
          <w:lang w:val="es-CR"/>
        </w:rPr>
        <w:t xml:space="preserve"> </w:t>
      </w:r>
    </w:p>
    <w:p w14:paraId="0046E349" w14:textId="77777777" w:rsidR="00001FD9" w:rsidRPr="00CD68BA" w:rsidRDefault="00001FD9" w:rsidP="00A06718">
      <w:pPr>
        <w:pStyle w:val="Prrafodelista"/>
        <w:spacing w:before="0" w:after="0"/>
        <w:contextualSpacing w:val="0"/>
        <w:rPr>
          <w:szCs w:val="20"/>
          <w:lang w:val="es-CR"/>
        </w:rPr>
      </w:pPr>
    </w:p>
    <w:p w14:paraId="24B38DB4" w14:textId="09F3B011"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Finalmente, en lo que concierne a la alegada responsabilidad por la demora injustificada y la aplicación de la prescripción, el Estado argumentó que resulta improcedente</w:t>
      </w:r>
      <w:r w:rsidR="006F3148" w:rsidRPr="00CD68BA">
        <w:rPr>
          <w:lang w:val="es-CR"/>
        </w:rPr>
        <w:t>, debido a</w:t>
      </w:r>
      <w:r w:rsidRPr="00CD68BA">
        <w:rPr>
          <w:lang w:val="es-CR"/>
        </w:rPr>
        <w:t xml:space="preserve"> que las autoridades judiciales dieron cumplimiento a la ley penal y procesal penal, actuando de conformidad con las garantías procesales de los acusados</w:t>
      </w:r>
      <w:r w:rsidRPr="00CD68BA">
        <w:rPr>
          <w:rStyle w:val="Refdenotaalpie"/>
          <w:lang w:val="es-CR"/>
        </w:rPr>
        <w:footnoteReference w:id="140"/>
      </w:r>
      <w:r w:rsidRPr="00CD68BA">
        <w:rPr>
          <w:lang w:val="es-CR"/>
        </w:rPr>
        <w:t>.</w:t>
      </w:r>
    </w:p>
    <w:p w14:paraId="53A7E552" w14:textId="77777777" w:rsidR="00E31377" w:rsidRPr="00CD68BA" w:rsidRDefault="00E31377" w:rsidP="00A06718">
      <w:pPr>
        <w:pStyle w:val="Prrafodelista"/>
        <w:spacing w:before="0" w:after="0"/>
        <w:contextualSpacing w:val="0"/>
        <w:rPr>
          <w:lang w:val="es-CR"/>
        </w:rPr>
      </w:pPr>
    </w:p>
    <w:p w14:paraId="77469501" w14:textId="06307626" w:rsidR="006F3148"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cuanto</w:t>
      </w:r>
      <w:r w:rsidR="00412877" w:rsidRPr="00CD68BA">
        <w:rPr>
          <w:lang w:val="es-CR"/>
        </w:rPr>
        <w:t xml:space="preserve"> a</w:t>
      </w:r>
      <w:r w:rsidRPr="00CD68BA">
        <w:rPr>
          <w:lang w:val="es-CR"/>
        </w:rPr>
        <w:t xml:space="preserve"> la remisión de los autos entre los Juzgados Penal y Agrario, indicó que es justificable que, habiéndose creado un Juzgado Agrario en la región, se tomara la decisión de remitir el caso</w:t>
      </w:r>
      <w:r w:rsidR="00E31A69" w:rsidRPr="00CD68BA">
        <w:rPr>
          <w:lang w:val="es-CR"/>
        </w:rPr>
        <w:t xml:space="preserve"> a</w:t>
      </w:r>
      <w:r w:rsidR="00E31A69" w:rsidRPr="00CD68BA">
        <w:rPr>
          <w:b/>
          <w:bCs/>
          <w:lang w:val="es-CR"/>
        </w:rPr>
        <w:t xml:space="preserve"> </w:t>
      </w:r>
      <w:r w:rsidR="00E31A69" w:rsidRPr="00CD68BA">
        <w:rPr>
          <w:lang w:val="es-CR"/>
        </w:rPr>
        <w:t>este último</w:t>
      </w:r>
      <w:r w:rsidRPr="00CD68BA">
        <w:rPr>
          <w:lang w:val="es-CR"/>
        </w:rPr>
        <w:t xml:space="preserve">, </w:t>
      </w:r>
      <w:r w:rsidR="00E31A69" w:rsidRPr="00CD68BA">
        <w:rPr>
          <w:lang w:val="es-CR"/>
        </w:rPr>
        <w:t>dado</w:t>
      </w:r>
      <w:r w:rsidR="00132053" w:rsidRPr="00CD68BA">
        <w:rPr>
          <w:lang w:val="es-CR"/>
        </w:rPr>
        <w:t xml:space="preserve"> </w:t>
      </w:r>
      <w:r w:rsidRPr="00CD68BA">
        <w:rPr>
          <w:lang w:val="es-CR"/>
        </w:rPr>
        <w:t>que les compet</w:t>
      </w:r>
      <w:r w:rsidR="00BE212F" w:rsidRPr="00CD68BA">
        <w:rPr>
          <w:lang w:val="es-CR"/>
        </w:rPr>
        <w:t>ía</w:t>
      </w:r>
      <w:r w:rsidRPr="00CD68BA">
        <w:rPr>
          <w:lang w:val="es-CR"/>
        </w:rPr>
        <w:t xml:space="preserve"> a los</w:t>
      </w:r>
      <w:r w:rsidR="00892427">
        <w:rPr>
          <w:lang w:val="es-CR"/>
        </w:rPr>
        <w:t xml:space="preserve"> y las</w:t>
      </w:r>
      <w:r w:rsidRPr="00CD68BA">
        <w:rPr>
          <w:lang w:val="es-CR"/>
        </w:rPr>
        <w:t xml:space="preserve"> jueces</w:t>
      </w:r>
      <w:r w:rsidR="00892427">
        <w:rPr>
          <w:lang w:val="es-CR"/>
        </w:rPr>
        <w:t>/</w:t>
      </w:r>
      <w:r w:rsidRPr="00CD68BA">
        <w:rPr>
          <w:lang w:val="es-CR"/>
        </w:rPr>
        <w:t xml:space="preserve">as agrarios procesar y juzgar los delitos cuya motivación </w:t>
      </w:r>
      <w:r w:rsidR="00BE212F" w:rsidRPr="00CD68BA">
        <w:rPr>
          <w:lang w:val="es-CR"/>
        </w:rPr>
        <w:t>fuera</w:t>
      </w:r>
      <w:r w:rsidRPr="00CD68BA">
        <w:rPr>
          <w:lang w:val="es-CR"/>
        </w:rPr>
        <w:t xml:space="preserve"> predominantemente agraria. En lo atinente a las órdenes de detención y prisión preventiva expuso que, a pesar de los obstáculos enfrentados, la búsqueda del reo contumaz </w:t>
      </w:r>
      <w:r w:rsidR="00E31A69" w:rsidRPr="00CD68BA">
        <w:rPr>
          <w:lang w:val="es-CR"/>
        </w:rPr>
        <w:t>M.C.N.</w:t>
      </w:r>
      <w:r w:rsidRPr="00CD68BA">
        <w:rPr>
          <w:lang w:val="es-CR"/>
        </w:rPr>
        <w:t xml:space="preserve"> continuó, y el 18 de noviembre de 2005 el decreto de prisión preventiva contra </w:t>
      </w:r>
      <w:r w:rsidR="00E31A69" w:rsidRPr="00CD68BA">
        <w:rPr>
          <w:lang w:val="es-CR"/>
        </w:rPr>
        <w:t>este</w:t>
      </w:r>
      <w:r w:rsidRPr="00CD68BA">
        <w:rPr>
          <w:lang w:val="es-CR"/>
        </w:rPr>
        <w:t xml:space="preserve"> se renovó. </w:t>
      </w:r>
    </w:p>
    <w:p w14:paraId="0FDF3C36" w14:textId="77777777" w:rsidR="006F3148" w:rsidRPr="00CD68BA" w:rsidRDefault="006F3148" w:rsidP="00A06718">
      <w:pPr>
        <w:pStyle w:val="Prrafodelista"/>
        <w:spacing w:before="0" w:after="0"/>
        <w:contextualSpacing w:val="0"/>
        <w:rPr>
          <w:lang w:val="es-CR"/>
        </w:rPr>
      </w:pPr>
    </w:p>
    <w:p w14:paraId="7BA14769" w14:textId="21F0F474"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Respecto a la acción indemnizatoria, puntualizó que </w:t>
      </w:r>
      <w:r w:rsidR="00850D8B" w:rsidRPr="00CD68BA">
        <w:rPr>
          <w:lang w:val="es-CR"/>
        </w:rPr>
        <w:t>el plazo de</w:t>
      </w:r>
      <w:r w:rsidR="006C27F8" w:rsidRPr="00CD68BA">
        <w:rPr>
          <w:lang w:val="es-CR"/>
        </w:rPr>
        <w:t xml:space="preserve"> aproximadamente</w:t>
      </w:r>
      <w:r w:rsidR="00850D8B" w:rsidRPr="00CD68BA">
        <w:rPr>
          <w:lang w:val="es-CR"/>
        </w:rPr>
        <w:t xml:space="preserve"> </w:t>
      </w:r>
      <w:r w:rsidRPr="00CD68BA">
        <w:rPr>
          <w:lang w:val="es-CR"/>
        </w:rPr>
        <w:t>tres años</w:t>
      </w:r>
      <w:r w:rsidR="006C27F8" w:rsidRPr="00CD68BA">
        <w:rPr>
          <w:lang w:val="es-CR"/>
        </w:rPr>
        <w:t xml:space="preserve"> y medio</w:t>
      </w:r>
      <w:r w:rsidRPr="00CD68BA">
        <w:rPr>
          <w:lang w:val="es-CR"/>
        </w:rPr>
        <w:t xml:space="preserve"> transcurridos entre la interposición de la demanda y la sentencia es razonable, inclusive</w:t>
      </w:r>
      <w:r w:rsidR="00237F96" w:rsidRPr="00CD68BA">
        <w:rPr>
          <w:lang w:val="es-CR"/>
        </w:rPr>
        <w:t xml:space="preserve"> conforme a </w:t>
      </w:r>
      <w:r w:rsidRPr="00CD68BA">
        <w:rPr>
          <w:lang w:val="es-CR"/>
        </w:rPr>
        <w:t>los parámetros de la jurisprudencia interamericana. En cuanto a la etapa recursiva, indicó que no ha</w:t>
      </w:r>
      <w:r w:rsidR="00237F96" w:rsidRPr="00CD68BA">
        <w:rPr>
          <w:lang w:val="es-CR"/>
        </w:rPr>
        <w:t>n</w:t>
      </w:r>
      <w:r w:rsidRPr="00CD68BA">
        <w:rPr>
          <w:lang w:val="es-CR"/>
        </w:rPr>
        <w:t xml:space="preserve"> existido irregularidades, actos u omisiones que, injustificadamente, hayan retrasado el proceso.</w:t>
      </w:r>
    </w:p>
    <w:p w14:paraId="6C5B69CE" w14:textId="77777777" w:rsidR="00E31377" w:rsidRPr="00CD68BA" w:rsidRDefault="00E31377" w:rsidP="00A06718">
      <w:pPr>
        <w:pStyle w:val="Prrafodelista"/>
        <w:spacing w:before="0" w:after="0"/>
        <w:contextualSpacing w:val="0"/>
        <w:rPr>
          <w:lang w:val="es-CR"/>
        </w:rPr>
      </w:pPr>
    </w:p>
    <w:p w14:paraId="035207B7" w14:textId="64B62143"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Sobre la alegada violación del derecho a la verdad, el </w:t>
      </w:r>
      <w:r w:rsidRPr="00CD68BA">
        <w:rPr>
          <w:iCs/>
          <w:lang w:val="es-CR"/>
        </w:rPr>
        <w:t xml:space="preserve">Estado </w:t>
      </w:r>
      <w:r w:rsidRPr="00CD68BA">
        <w:rPr>
          <w:lang w:val="es-CR"/>
        </w:rPr>
        <w:t xml:space="preserve">argumentó que en ningún momento obstaculizó la investigación penal de los hechos u obstruyó la iniciativa de los familiares de buscar reparación. Señaló que, en ningún momento a lo largo del proceso ante la Comisión o en su escrito de contestación presentó una narrativa alternativa o fantasiosa de los hechos en busca de ocultar algo, y que no hubo ninguna intención de </w:t>
      </w:r>
      <w:r w:rsidR="005E71C7" w:rsidRPr="00CD68BA">
        <w:rPr>
          <w:lang w:val="es-CR"/>
        </w:rPr>
        <w:t xml:space="preserve">ocultar </w:t>
      </w:r>
      <w:r w:rsidRPr="00CD68BA">
        <w:rPr>
          <w:lang w:val="es-CR"/>
        </w:rPr>
        <w:t>la verdad histórica o callar las voces de las supuestas víctimas. Por último, sostuvo que, aunque los resultados de los procesos judiciales internos no hayan cumplido con las expectativas de las supuestas víctimas, fueron legítimos.</w:t>
      </w:r>
    </w:p>
    <w:p w14:paraId="7CFEBAEA" w14:textId="77777777" w:rsidR="00001FD9" w:rsidRPr="00CD68BA" w:rsidRDefault="00001FD9" w:rsidP="00A06718">
      <w:pPr>
        <w:pStyle w:val="PrrafodeSentencia"/>
      </w:pPr>
    </w:p>
    <w:p w14:paraId="53558F21" w14:textId="0BBD04B6" w:rsidR="00001FD9" w:rsidRPr="00CD68BA" w:rsidRDefault="00001FD9" w:rsidP="00A06718">
      <w:pPr>
        <w:pStyle w:val="Ttulo1"/>
        <w:spacing w:before="0" w:after="0"/>
        <w:ind w:left="900" w:hanging="333"/>
        <w:jc w:val="both"/>
        <w:rPr>
          <w:b w:val="0"/>
          <w:bCs w:val="0"/>
          <w:i/>
          <w:iCs/>
          <w:szCs w:val="20"/>
          <w:lang w:val="es-CR"/>
        </w:rPr>
      </w:pPr>
      <w:bookmarkStart w:id="131" w:name="_Toc114778789"/>
      <w:r w:rsidRPr="00CD68BA">
        <w:rPr>
          <w:b w:val="0"/>
          <w:bCs w:val="0"/>
          <w:i/>
          <w:iCs/>
          <w:szCs w:val="20"/>
          <w:lang w:val="es-CR"/>
        </w:rPr>
        <w:t>B. Consideraciones de la Corte</w:t>
      </w:r>
      <w:bookmarkEnd w:id="131"/>
    </w:p>
    <w:p w14:paraId="1460D9F4" w14:textId="5309CBEB" w:rsidR="00001FD9" w:rsidRPr="00CD68BA" w:rsidRDefault="00001FD9" w:rsidP="00A06718">
      <w:pPr>
        <w:pStyle w:val="Prrafodelista"/>
        <w:autoSpaceDE w:val="0"/>
        <w:autoSpaceDN w:val="0"/>
        <w:adjustRightInd w:val="0"/>
        <w:spacing w:before="0" w:after="0"/>
        <w:ind w:left="0"/>
        <w:contextualSpacing w:val="0"/>
        <w:rPr>
          <w:szCs w:val="20"/>
          <w:lang w:val="es-CR"/>
        </w:rPr>
      </w:pPr>
    </w:p>
    <w:p w14:paraId="62962DDF" w14:textId="59FD96E3"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bookmarkStart w:id="132" w:name="_Toc93400257"/>
      <w:r w:rsidRPr="00CD68BA">
        <w:rPr>
          <w:lang w:val="es-CR"/>
        </w:rPr>
        <w:t>La</w:t>
      </w:r>
      <w:r w:rsidRPr="00CD68BA">
        <w:rPr>
          <w:rFonts w:eastAsia="Calibri"/>
          <w:lang w:val="es-CR"/>
        </w:rPr>
        <w:t xml:space="preserve"> Corte ha </w:t>
      </w:r>
      <w:r w:rsidRPr="00CD68BA">
        <w:rPr>
          <w:lang w:val="es-CR"/>
        </w:rPr>
        <w:t>reiterado</w:t>
      </w:r>
      <w:r w:rsidRPr="00CD68BA">
        <w:rPr>
          <w:rFonts w:eastAsia="Calibri"/>
          <w:lang w:val="es-CR"/>
        </w:rPr>
        <w:t xml:space="preserve"> que, de conformidad con la Convención Americana, los Estados Partes están </w:t>
      </w:r>
      <w:r w:rsidRPr="00CD68BA">
        <w:rPr>
          <w:lang w:val="es-CR"/>
        </w:rPr>
        <w:t>obligados</w:t>
      </w:r>
      <w:r w:rsidRPr="00CD68BA">
        <w:rPr>
          <w:rFonts w:eastAsia="Calibri"/>
          <w:lang w:val="es-CR"/>
        </w:rPr>
        <w:t xml:space="preserve"> a suministrar recursos judiciales efectivos a las víctimas de </w:t>
      </w:r>
      <w:r w:rsidRPr="00CD68BA">
        <w:rPr>
          <w:lang w:val="es-CR"/>
        </w:rPr>
        <w:t>violaciones</w:t>
      </w:r>
      <w:r w:rsidRPr="00CD68BA">
        <w:rPr>
          <w:rFonts w:eastAsia="Calibri"/>
          <w:lang w:val="es-CR"/>
        </w:rPr>
        <w:t xml:space="preserve"> a los derechos </w:t>
      </w:r>
      <w:r w:rsidRPr="00CD68BA">
        <w:rPr>
          <w:lang w:val="es-CR"/>
        </w:rPr>
        <w:t>humanos</w:t>
      </w:r>
      <w:r w:rsidRPr="00CD68BA">
        <w:rPr>
          <w:rFonts w:eastAsia="Calibri"/>
          <w:lang w:val="es-CR"/>
        </w:rPr>
        <w:t xml:space="preserve"> (artículo 25), recursos que deben ser sustanciados de conformidad con las reglas del debido proceso legal (artículo 8.1), todo ello dentro de la obligación general, a cargo de los mismos Estados, </w:t>
      </w:r>
      <w:r w:rsidRPr="00CD68BA">
        <w:rPr>
          <w:rFonts w:eastAsia="Calibri"/>
          <w:lang w:val="es-CR"/>
        </w:rPr>
        <w:lastRenderedPageBreak/>
        <w:t>de garantizar el libre y pleno ejercicio de los derechos reconocidos por la Convención a toda persona que se encuentre bajo su jurisdicción (artículo 1.1)</w:t>
      </w:r>
      <w:r w:rsidRPr="00CD68BA">
        <w:rPr>
          <w:vertAlign w:val="superscript"/>
          <w:lang w:val="es-CR"/>
        </w:rPr>
        <w:footnoteReference w:id="141"/>
      </w:r>
      <w:r w:rsidRPr="00CD68BA">
        <w:rPr>
          <w:rFonts w:eastAsia="Calibri"/>
          <w:lang w:val="es-CR"/>
        </w:rPr>
        <w:t xml:space="preserve">. </w:t>
      </w:r>
    </w:p>
    <w:p w14:paraId="366AA1BF" w14:textId="77777777" w:rsidR="00001FD9" w:rsidRPr="00CD68BA" w:rsidRDefault="00001FD9" w:rsidP="00A06718">
      <w:pPr>
        <w:pStyle w:val="Prrafodelista"/>
        <w:autoSpaceDE w:val="0"/>
        <w:autoSpaceDN w:val="0"/>
        <w:adjustRightInd w:val="0"/>
        <w:spacing w:before="0" w:after="0"/>
        <w:ind w:left="0"/>
        <w:contextualSpacing w:val="0"/>
        <w:rPr>
          <w:szCs w:val="20"/>
          <w:lang w:val="es-CR"/>
        </w:rPr>
      </w:pPr>
    </w:p>
    <w:p w14:paraId="33CBFF25" w14:textId="445F7AEE"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rFonts w:eastAsia="Calibri"/>
          <w:kern w:val="2"/>
          <w:lang w:val="es-CR"/>
        </w:rPr>
        <w:t xml:space="preserve">El Tribunal ha señalado que </w:t>
      </w:r>
      <w:r w:rsidR="002E33E0" w:rsidRPr="00CD68BA">
        <w:rPr>
          <w:rFonts w:eastAsia="Calibri"/>
          <w:kern w:val="2"/>
          <w:lang w:val="es-CR"/>
        </w:rPr>
        <w:t>hay</w:t>
      </w:r>
      <w:r w:rsidR="002E33E0" w:rsidRPr="00CD68BA">
        <w:rPr>
          <w:lang w:val="es-CR"/>
        </w:rPr>
        <w:t xml:space="preserve"> </w:t>
      </w:r>
      <w:r w:rsidRPr="00CD68BA">
        <w:rPr>
          <w:lang w:val="es-CR"/>
        </w:rPr>
        <w:t>acceso a la justicia cuando el Estado garantiza, en un tiempo razonable, el derecho de las presuntas víctimas o sus familiares a que se lleven a cabo todas las medidas necesarias para conocer la verdad de lo sucedido y, en su caso, sancionar a los eventuales responsables</w:t>
      </w:r>
      <w:r w:rsidRPr="00CD68BA">
        <w:rPr>
          <w:vertAlign w:val="superscript"/>
          <w:lang w:val="es-CR"/>
        </w:rPr>
        <w:footnoteReference w:id="142"/>
      </w:r>
      <w:r w:rsidRPr="00CD68BA">
        <w:rPr>
          <w:lang w:val="es-CR"/>
        </w:rPr>
        <w:t>. En este sentido, la Corte recuerda que los artículos 8 y 25 de la Convención también consagran el derecho de obtener respuesta a las demandas y solicitudes planteadas a las autoridades judiciales, ya que la eficacia del recurso implica una obligación positiva de proporcionar una respuesta en un plazo razonable</w:t>
      </w:r>
      <w:r w:rsidRPr="00CD68BA">
        <w:rPr>
          <w:rStyle w:val="Refdenotaalpie"/>
          <w:lang w:val="es-CR"/>
        </w:rPr>
        <w:footnoteReference w:id="143"/>
      </w:r>
      <w:r w:rsidRPr="00CD68BA">
        <w:rPr>
          <w:lang w:val="es-CR"/>
        </w:rPr>
        <w:t>.</w:t>
      </w:r>
    </w:p>
    <w:p w14:paraId="3407F15A" w14:textId="77777777" w:rsidR="00001FD9" w:rsidRPr="00CD68BA" w:rsidRDefault="00001FD9" w:rsidP="00A06718">
      <w:pPr>
        <w:pStyle w:val="Prrafodelista"/>
        <w:autoSpaceDE w:val="0"/>
        <w:autoSpaceDN w:val="0"/>
        <w:adjustRightInd w:val="0"/>
        <w:spacing w:before="0" w:after="0"/>
        <w:ind w:left="0"/>
        <w:contextualSpacing w:val="0"/>
        <w:rPr>
          <w:szCs w:val="20"/>
          <w:lang w:val="es-CR"/>
        </w:rPr>
      </w:pPr>
    </w:p>
    <w:p w14:paraId="2FC2EB67" w14:textId="186DB935"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rFonts w:cs="Arial"/>
          <w:lang w:val="es-CR"/>
        </w:rPr>
        <w:t xml:space="preserve">Por otra parte, el Tribunal ha sostenido en su </w:t>
      </w:r>
      <w:r w:rsidRPr="00CD68BA">
        <w:rPr>
          <w:rFonts w:cs="Cambria"/>
          <w:lang w:val="es-CR"/>
        </w:rPr>
        <w:t>jurisprudencia</w:t>
      </w:r>
      <w:r w:rsidRPr="00CD68BA">
        <w:rPr>
          <w:rFonts w:cs="Arial"/>
          <w:lang w:val="es-CR"/>
        </w:rPr>
        <w:t xml:space="preserve"> reiterada </w:t>
      </w:r>
      <w:r w:rsidRPr="00CD68BA">
        <w:rPr>
          <w:lang w:val="es-CR"/>
        </w:rPr>
        <w:t>que, en casos de privación de la vida, es fundamental que los Estados identifiquen, investiguen efectivamente y, eventualmente, sancionen a sus responsables, pues de lo contrario se estarían creando, dentro de un ambiente de impunidad, las condiciones para que este tipo de hechos se repitan</w:t>
      </w:r>
      <w:r w:rsidRPr="00CD68BA">
        <w:rPr>
          <w:rStyle w:val="Refdenotaalpie"/>
          <w:lang w:val="es-CR" w:eastAsia="es-MX"/>
        </w:rPr>
        <w:footnoteReference w:id="144"/>
      </w:r>
      <w:r w:rsidRPr="00CD68BA">
        <w:rPr>
          <w:rFonts w:cs="Arial"/>
          <w:lang w:val="es-CR"/>
        </w:rPr>
        <w:t xml:space="preserve">. </w:t>
      </w:r>
    </w:p>
    <w:p w14:paraId="63CDA2DC" w14:textId="77777777" w:rsidR="00001FD9" w:rsidRPr="00CD68BA" w:rsidRDefault="00001FD9" w:rsidP="00A06718">
      <w:pPr>
        <w:spacing w:before="0" w:after="0"/>
        <w:rPr>
          <w:szCs w:val="20"/>
          <w:lang w:val="es-CR"/>
        </w:rPr>
      </w:pPr>
    </w:p>
    <w:p w14:paraId="62EDC6F5" w14:textId="7CD3C8D8"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Asimismo, la Corte ha señalado de manera consistente que el deber de investigar es una obligación de medios y no de resultados, que debe ser asumida por el Estado como un deber jurídico propio y no como una simple formalidad condenada de antemano a ser infructuosa</w:t>
      </w:r>
      <w:r w:rsidRPr="00CD68BA">
        <w:rPr>
          <w:vertAlign w:val="superscript"/>
          <w:lang w:val="es-CR"/>
        </w:rPr>
        <w:footnoteReference w:id="145"/>
      </w:r>
      <w:r w:rsidRPr="00CD68BA">
        <w:rPr>
          <w:lang w:val="es-CR"/>
        </w:rPr>
        <w:t>. Además, la investigación debe ser seria, objetiva y efectiva, y estar orientada a la determinación de la verdad y a la persecución, captura, y eventual enjuiciamiento y castigo de los autores de los hechos</w:t>
      </w:r>
      <w:r w:rsidRPr="00CD68BA">
        <w:rPr>
          <w:vertAlign w:val="superscript"/>
          <w:lang w:val="es-CR"/>
        </w:rPr>
        <w:footnoteReference w:id="146"/>
      </w:r>
      <w:r w:rsidRPr="00CD68BA">
        <w:rPr>
          <w:lang w:val="es-CR"/>
        </w:rPr>
        <w:t xml:space="preserve">. </w:t>
      </w:r>
    </w:p>
    <w:p w14:paraId="56F69A91" w14:textId="77777777" w:rsidR="00001FD9" w:rsidRPr="00CD68BA" w:rsidRDefault="00001FD9" w:rsidP="00A06718">
      <w:pPr>
        <w:pStyle w:val="Prrafodelista"/>
        <w:spacing w:before="0" w:after="0"/>
        <w:contextualSpacing w:val="0"/>
        <w:rPr>
          <w:szCs w:val="20"/>
          <w:lang w:val="es-CR"/>
        </w:rPr>
      </w:pPr>
    </w:p>
    <w:p w14:paraId="0C6A60D9" w14:textId="1DFBE031"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Particularmente</w:t>
      </w:r>
      <w:r w:rsidR="00CE6CCF" w:rsidRPr="00CD68BA">
        <w:rPr>
          <w:lang w:val="es-CR"/>
        </w:rPr>
        <w:t>,</w:t>
      </w:r>
      <w:r w:rsidRPr="00CD68BA">
        <w:rPr>
          <w:lang w:val="es-CR"/>
        </w:rPr>
        <w:t xml:space="preserve"> en casos de atentados contra defensores y defensoras de derechos humanos, la Corte ha señalado que los Estados tienen el deber de investigar seria y eficazmente las violaciones cometidas en su contra, combati</w:t>
      </w:r>
      <w:r w:rsidR="002E33E0" w:rsidRPr="00CD68BA">
        <w:rPr>
          <w:lang w:val="es-CR"/>
        </w:rPr>
        <w:t>r</w:t>
      </w:r>
      <w:r w:rsidRPr="00CD68BA">
        <w:rPr>
          <w:lang w:val="es-CR"/>
        </w:rPr>
        <w:t xml:space="preserve"> la impunidad</w:t>
      </w:r>
      <w:r w:rsidRPr="00CD68BA">
        <w:rPr>
          <w:rStyle w:val="Refdenotaalpie"/>
          <w:lang w:val="es-CR"/>
        </w:rPr>
        <w:footnoteReference w:id="147"/>
      </w:r>
      <w:r w:rsidRPr="00CD68BA">
        <w:rPr>
          <w:lang w:val="es-CR"/>
        </w:rPr>
        <w:t xml:space="preserve"> </w:t>
      </w:r>
      <w:r w:rsidR="001B7443" w:rsidRPr="00CD68BA">
        <w:rPr>
          <w:lang w:val="es-CR"/>
        </w:rPr>
        <w:t>y</w:t>
      </w:r>
      <w:r w:rsidRPr="00CD68BA">
        <w:rPr>
          <w:lang w:val="es-CR"/>
        </w:rPr>
        <w:t xml:space="preserve"> asegurar una justicia imparcial, oportuna y oficiosa, que implique una búsqueda exhaustiva de toda la información para diseñar y ejecutar una investigación que conduzca al debido análisis de las hipótesis de autoría, por acción o por omisión, en diferentes niveles, explorando todas las líneas investigativas pertinentes para identificar a los autores</w:t>
      </w:r>
      <w:r w:rsidRPr="00CD68BA">
        <w:rPr>
          <w:vertAlign w:val="superscript"/>
          <w:lang w:val="es-CR"/>
        </w:rPr>
        <w:footnoteReference w:id="148"/>
      </w:r>
      <w:r w:rsidRPr="00CD68BA">
        <w:rPr>
          <w:lang w:val="es-CR"/>
        </w:rPr>
        <w:t>. En consecuencia, ante indicios o alegaciones de que determinado hecho en contra de una persona defensora de derechos humanos pudo tener como móvil justamente su labor de defensa y promoción de derechos humanos, las autoridades investigadoras deben tomar en cuenta el contexto de los hechos y sus actividades para identificar los intereses que podrían haberse visto afectados en el ejercicio de las mismas, a efectos de establecer y agotar las líneas de investigación que tengan en cuenta su labor, determinar la hipótesis del delito e identificar a los autores</w:t>
      </w:r>
      <w:r w:rsidRPr="00CD68BA">
        <w:rPr>
          <w:vertAlign w:val="superscript"/>
          <w:lang w:val="es-CR"/>
        </w:rPr>
        <w:footnoteReference w:id="149"/>
      </w:r>
      <w:r w:rsidRPr="00CD68BA">
        <w:rPr>
          <w:lang w:val="es-CR"/>
        </w:rPr>
        <w:t xml:space="preserve">. </w:t>
      </w:r>
    </w:p>
    <w:p w14:paraId="68120B91" w14:textId="77777777" w:rsidR="00001FD9" w:rsidRPr="00CD68BA" w:rsidRDefault="00001FD9" w:rsidP="00A06718">
      <w:pPr>
        <w:pStyle w:val="Prrafodelista"/>
        <w:autoSpaceDE w:val="0"/>
        <w:autoSpaceDN w:val="0"/>
        <w:adjustRightInd w:val="0"/>
        <w:spacing w:before="0" w:after="0"/>
        <w:ind w:left="0"/>
        <w:contextualSpacing w:val="0"/>
        <w:rPr>
          <w:szCs w:val="20"/>
          <w:lang w:val="es-CR"/>
        </w:rPr>
      </w:pPr>
    </w:p>
    <w:p w14:paraId="1752B65C" w14:textId="62D48892"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Por el papel fundamental que desempeñan a la luz del ejercicio cotidiano de sus actividades en la promoción y protección de derechos humanos, la Corte ha reconocido el deber reforzado de debida diligencia en cuanto a la investigación sobre la muerte de defensores y defensoras de derechos humanos</w:t>
      </w:r>
      <w:r w:rsidRPr="00CD68BA">
        <w:rPr>
          <w:rStyle w:val="Refdenotaalpie"/>
          <w:lang w:val="es-CR"/>
        </w:rPr>
        <w:footnoteReference w:id="150"/>
      </w:r>
      <w:r w:rsidRPr="00CD68BA">
        <w:rPr>
          <w:lang w:val="es-CR"/>
        </w:rPr>
        <w:t>. Dicho deber consiste en llevar a cabo acciones tales como documentar la actividad de la persona defensora, el rol que jugaba en la comunidad y su entorno, la agenda que desarrollaba, y la zona en que desempeñaba sus labores, empleando herramientas metodológicas de asociación de casos para identificar patrones de sistematicidad</w:t>
      </w:r>
      <w:r w:rsidRPr="00CD68BA">
        <w:rPr>
          <w:rStyle w:val="Refdenotaalpie"/>
          <w:lang w:val="es-CR"/>
        </w:rPr>
        <w:footnoteReference w:id="151"/>
      </w:r>
      <w:r w:rsidRPr="00CD68BA">
        <w:rPr>
          <w:lang w:val="es-CR"/>
        </w:rPr>
        <w:t>.</w:t>
      </w:r>
    </w:p>
    <w:p w14:paraId="4EC59FB7" w14:textId="77777777" w:rsidR="00FD43DE" w:rsidRPr="00CD68BA" w:rsidRDefault="00FD43DE" w:rsidP="00A06718">
      <w:pPr>
        <w:pStyle w:val="Prrafodelista"/>
        <w:spacing w:before="0" w:after="0"/>
        <w:contextualSpacing w:val="0"/>
        <w:rPr>
          <w:szCs w:val="20"/>
          <w:lang w:val="es-CR"/>
        </w:rPr>
      </w:pPr>
    </w:p>
    <w:p w14:paraId="380D12C4" w14:textId="45ADD07F" w:rsidR="00983DF7" w:rsidRPr="00CD68BA" w:rsidRDefault="00FD43DE"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Esta Corte reitera que el cumplimiento del deber estatal de crear las condiciones necesarias para el efectivo goce y disfrute de los derechos establecidos en la Convención está intrínsecamente ligado a la protección y al reconocimiento de la importancia del papel</w:t>
      </w:r>
      <w:r w:rsidRPr="00CD68BA">
        <w:rPr>
          <w:b/>
          <w:lang w:val="es-CR"/>
        </w:rPr>
        <w:t xml:space="preserve"> </w:t>
      </w:r>
      <w:r w:rsidRPr="00CD68BA">
        <w:rPr>
          <w:lang w:val="es-CR"/>
        </w:rPr>
        <w:t>que cumplen las y los defensores de derechos humanos</w:t>
      </w:r>
      <w:r w:rsidRPr="00CD68BA">
        <w:rPr>
          <w:rStyle w:val="Refdenotaalpie"/>
          <w:iCs/>
          <w:lang w:val="es-CR"/>
        </w:rPr>
        <w:footnoteReference w:id="152"/>
      </w:r>
      <w:r w:rsidRPr="00CD68BA">
        <w:rPr>
          <w:lang w:val="es-CR"/>
        </w:rPr>
        <w:t>, cuya labor es fundamental para el fortalecimiento de la democracia y el Estado de Derecho. El Tribunal recuerda, además, que las actividades de vigilancia, denuncia y educación que realizan contribuyen de manera esencial a la observancia de los derechos humanos, pues actúan como garantes contra la impunidad. De esta manera se complementa el rol, no tan solo de los Estados, sino del Sistema Interamericano de Derechos Humanos en su conjunto</w:t>
      </w:r>
      <w:r w:rsidRPr="00CD68BA">
        <w:rPr>
          <w:rStyle w:val="Refdenotaalpie"/>
          <w:iCs/>
          <w:lang w:val="es-CR"/>
        </w:rPr>
        <w:footnoteReference w:id="153"/>
      </w:r>
      <w:r w:rsidRPr="00CD68BA">
        <w:rPr>
          <w:lang w:val="es-CR"/>
        </w:rPr>
        <w:t xml:space="preserve">. </w:t>
      </w:r>
      <w:r w:rsidR="0074407C" w:rsidRPr="00CD68BA">
        <w:rPr>
          <w:rFonts w:cs="Arial"/>
          <w:lang w:val="es-CR"/>
        </w:rPr>
        <w:t>En este sentido</w:t>
      </w:r>
      <w:r w:rsidRPr="00CD68BA">
        <w:rPr>
          <w:rFonts w:cs="Arial"/>
          <w:lang w:val="es-CR"/>
        </w:rPr>
        <w:t xml:space="preserve">, la Corte ha </w:t>
      </w:r>
      <w:r w:rsidR="0074407C" w:rsidRPr="00CD68BA">
        <w:rPr>
          <w:rFonts w:cs="Arial"/>
          <w:lang w:val="es-CR"/>
        </w:rPr>
        <w:t>enfatizado</w:t>
      </w:r>
      <w:r w:rsidRPr="00CD68BA">
        <w:rPr>
          <w:rFonts w:cs="Arial"/>
          <w:lang w:val="es-CR"/>
        </w:rPr>
        <w:t xml:space="preserve"> la necesidad de erradicar la impunidad en hechos de violencia cometidos contra defensoras de derechos humanos, pues resulta un elemento fundamental para garantizar que puedan realizar libremente sus labores en un entorno seguro</w:t>
      </w:r>
      <w:r w:rsidRPr="00CD68BA">
        <w:rPr>
          <w:rStyle w:val="Refdenotaalpie"/>
          <w:lang w:val="es-CR"/>
        </w:rPr>
        <w:footnoteReference w:id="154"/>
      </w:r>
      <w:r w:rsidRPr="00CD68BA">
        <w:rPr>
          <w:rFonts w:cs="Arial"/>
          <w:lang w:val="es-CR"/>
        </w:rPr>
        <w:t>.</w:t>
      </w:r>
    </w:p>
    <w:p w14:paraId="2B63EB35" w14:textId="77777777" w:rsidR="00983DF7" w:rsidRPr="00CD68BA" w:rsidRDefault="00983DF7" w:rsidP="00A06718">
      <w:pPr>
        <w:pStyle w:val="Prrafodelista"/>
        <w:spacing w:before="0" w:after="0"/>
        <w:contextualSpacing w:val="0"/>
        <w:rPr>
          <w:lang w:val="es-CR"/>
        </w:rPr>
      </w:pPr>
    </w:p>
    <w:p w14:paraId="14B0D2A7" w14:textId="76731582" w:rsidR="00D27BE9" w:rsidRPr="00CD68BA" w:rsidRDefault="00D27BE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 Corte subraya que la violencia contra personas defensoras de derechos humanos tiene un efecto amedrentador</w:t>
      </w:r>
      <w:r w:rsidRPr="00CD68BA">
        <w:rPr>
          <w:rStyle w:val="Refdenotaalpie"/>
          <w:lang w:val="es-CR"/>
        </w:rPr>
        <w:footnoteReference w:id="155"/>
      </w:r>
      <w:r w:rsidRPr="00CD68BA">
        <w:rPr>
          <w:lang w:val="es-CR"/>
        </w:rPr>
        <w:t xml:space="preserve"> (</w:t>
      </w:r>
      <w:r w:rsidRPr="00CD68BA">
        <w:rPr>
          <w:i/>
          <w:iCs/>
          <w:lang w:val="es-CR"/>
        </w:rPr>
        <w:t>chilling effect</w:t>
      </w:r>
      <w:r w:rsidRPr="00CD68BA">
        <w:rPr>
          <w:lang w:val="es-CR"/>
        </w:rPr>
        <w:t>) especialmente cuando los delitos permanecen en la impunidad. Al respecto, el Tribunal reitera que las amenazas y los atentados a la integridad y a la vida de los defensores de derechos humanos y la impunidad de los responsables por estos hechos, son particularmente graves porque tienen un efecto no sólo individual, sino también colectivo, en la medida en que la sociedad se ve impedida de conocer la verdad sobre la situación de respeto o de violación de los derechos de las personas bajo la jurisdicción de un determinado Estado</w:t>
      </w:r>
      <w:r w:rsidRPr="00CD68BA">
        <w:rPr>
          <w:rStyle w:val="Refdenotaalpie"/>
          <w:lang w:val="es-CR"/>
        </w:rPr>
        <w:footnoteReference w:id="156"/>
      </w:r>
      <w:r w:rsidRPr="00CD68BA">
        <w:rPr>
          <w:lang w:val="es-CR"/>
        </w:rPr>
        <w:t>.</w:t>
      </w:r>
    </w:p>
    <w:p w14:paraId="5B2AA47D" w14:textId="77777777" w:rsidR="00001FD9" w:rsidRPr="00CD68BA" w:rsidRDefault="00001FD9" w:rsidP="00A06718">
      <w:pPr>
        <w:spacing w:before="0" w:after="0"/>
        <w:rPr>
          <w:szCs w:val="20"/>
          <w:lang w:val="es-CR"/>
        </w:rPr>
      </w:pPr>
    </w:p>
    <w:p w14:paraId="0DF52AAD" w14:textId="0D6A4867"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Tomando en cuenta los alegatos de las partes y de la Comisión, y restringiéndose al examen de los hechos ocurridos con posterioridad a la fecha de reconocimiento de la competencia de la Corte, </w:t>
      </w:r>
      <w:r w:rsidR="006A3102" w:rsidRPr="00CD68BA">
        <w:rPr>
          <w:lang w:val="es-CR"/>
        </w:rPr>
        <w:t>el Tribunal</w:t>
      </w:r>
      <w:r w:rsidRPr="00CD68BA">
        <w:rPr>
          <w:lang w:val="es-CR"/>
        </w:rPr>
        <w:t xml:space="preserve"> analizará a continuación las alegadas violaciones en el siguiente orden: 1) la debida diligencia en el proceso penal; 2) el plazo razonable</w:t>
      </w:r>
      <w:r w:rsidR="00E216DF" w:rsidRPr="00CD68BA">
        <w:rPr>
          <w:lang w:val="es-CR"/>
        </w:rPr>
        <w:t>; 3) el derecho a la verdad</w:t>
      </w:r>
      <w:r w:rsidR="00A734C1" w:rsidRPr="00CD68BA">
        <w:rPr>
          <w:lang w:val="es-CR"/>
        </w:rPr>
        <w:t>, y</w:t>
      </w:r>
      <w:r w:rsidRPr="00CD68BA">
        <w:rPr>
          <w:lang w:val="es-CR"/>
        </w:rPr>
        <w:t xml:space="preserve"> </w:t>
      </w:r>
      <w:r w:rsidR="000A0DC7" w:rsidRPr="00CD68BA">
        <w:rPr>
          <w:lang w:val="es-CR"/>
        </w:rPr>
        <w:t>4</w:t>
      </w:r>
      <w:r w:rsidRPr="00CD68BA">
        <w:rPr>
          <w:lang w:val="es-CR"/>
        </w:rPr>
        <w:t>) conclusión.</w:t>
      </w:r>
    </w:p>
    <w:p w14:paraId="1172EB78" w14:textId="77777777" w:rsidR="00001FD9" w:rsidRPr="00CD68BA" w:rsidRDefault="00001FD9" w:rsidP="00A06718">
      <w:pPr>
        <w:spacing w:before="0" w:after="0"/>
        <w:rPr>
          <w:szCs w:val="20"/>
          <w:lang w:val="es-CR"/>
        </w:rPr>
      </w:pPr>
    </w:p>
    <w:p w14:paraId="00C00C0D" w14:textId="5E21AA0C" w:rsidR="00001FD9" w:rsidRPr="00CD68BA" w:rsidRDefault="00001FD9" w:rsidP="00A06718">
      <w:pPr>
        <w:pStyle w:val="Ttulo3"/>
        <w:spacing w:before="0" w:after="0"/>
        <w:ind w:left="810" w:hanging="90"/>
        <w:jc w:val="both"/>
        <w:rPr>
          <w:i/>
          <w:iCs/>
          <w:szCs w:val="20"/>
          <w:lang w:val="es-CR"/>
        </w:rPr>
      </w:pPr>
      <w:bookmarkStart w:id="135" w:name="_Toc114778790"/>
      <w:r w:rsidRPr="00CD68BA">
        <w:rPr>
          <w:i/>
          <w:iCs/>
          <w:szCs w:val="20"/>
          <w:lang w:val="es-CR"/>
        </w:rPr>
        <w:t>b.1 Debida diligencia en el proceso penal</w:t>
      </w:r>
      <w:bookmarkEnd w:id="132"/>
      <w:bookmarkEnd w:id="135"/>
    </w:p>
    <w:p w14:paraId="010C2E49" w14:textId="77777777" w:rsidR="00001FD9" w:rsidRPr="00CD68BA" w:rsidRDefault="00001FD9" w:rsidP="00A06718">
      <w:pPr>
        <w:spacing w:before="0" w:after="0"/>
        <w:rPr>
          <w:szCs w:val="20"/>
          <w:lang w:val="es-CR"/>
        </w:rPr>
      </w:pPr>
    </w:p>
    <w:p w14:paraId="2B892313" w14:textId="53C92DAF"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 Corte recuerda que, en el presente caso, Brasil tenía una obligación reforzada de llevar a cabo la investigación sobre la muerte del señor Sales Pimenta con debida diligencia, debido a su condición de defensor de derechos humanos.</w:t>
      </w:r>
    </w:p>
    <w:p w14:paraId="2951045E" w14:textId="77777777" w:rsidR="00FE2444" w:rsidRPr="00CD68BA" w:rsidRDefault="00FE2444" w:rsidP="00A06718">
      <w:pPr>
        <w:pStyle w:val="Prrafodelista"/>
        <w:spacing w:before="0" w:after="0"/>
        <w:contextualSpacing w:val="0"/>
        <w:rPr>
          <w:szCs w:val="20"/>
          <w:lang w:val="es-CR"/>
        </w:rPr>
      </w:pPr>
    </w:p>
    <w:p w14:paraId="0A16C9B0" w14:textId="0E8841E7" w:rsidR="00170DD7" w:rsidRPr="00CD68BA" w:rsidRDefault="00FE244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Preliminarmente, la Corte estima pertinente subrayar que, si bien se desprende del expediente una serie de acciones y omisiones estatales llevad</w:t>
      </w:r>
      <w:r w:rsidR="00AE1376" w:rsidRPr="00CD68BA">
        <w:rPr>
          <w:lang w:val="es-CR"/>
        </w:rPr>
        <w:t>a</w:t>
      </w:r>
      <w:r w:rsidRPr="00CD68BA">
        <w:rPr>
          <w:lang w:val="es-CR"/>
        </w:rPr>
        <w:t xml:space="preserve">s a cabo durante el curso de las investigaciones con anterioridad a la fecha de reconocimiento </w:t>
      </w:r>
      <w:r w:rsidR="00AE1376" w:rsidRPr="00CD68BA">
        <w:rPr>
          <w:lang w:val="es-CR"/>
        </w:rPr>
        <w:t xml:space="preserve">de la competencia </w:t>
      </w:r>
      <w:r w:rsidRPr="00CD68BA">
        <w:rPr>
          <w:lang w:val="es-CR"/>
        </w:rPr>
        <w:t xml:space="preserve">del Tribunal el 10 de diciembre de </w:t>
      </w:r>
      <w:r w:rsidRPr="00CD68BA">
        <w:rPr>
          <w:lang w:val="es-CR"/>
        </w:rPr>
        <w:lastRenderedPageBreak/>
        <w:t>1998, se observa que tales acciones y omisiones tuvieron consecuencias a lo largo de todo el proceso penal</w:t>
      </w:r>
      <w:r w:rsidR="00AE1376" w:rsidRPr="00CD68BA">
        <w:rPr>
          <w:lang w:val="es-CR"/>
        </w:rPr>
        <w:t xml:space="preserve">. </w:t>
      </w:r>
    </w:p>
    <w:p w14:paraId="2910059C" w14:textId="77777777" w:rsidR="00170DD7" w:rsidRPr="00CD68BA" w:rsidRDefault="00170DD7" w:rsidP="00A06718">
      <w:pPr>
        <w:pStyle w:val="Prrafodelista"/>
        <w:spacing w:before="0" w:after="0"/>
        <w:contextualSpacing w:val="0"/>
        <w:rPr>
          <w:b/>
          <w:bCs/>
          <w:lang w:val="es-CR"/>
        </w:rPr>
      </w:pPr>
    </w:p>
    <w:p w14:paraId="67EA7388" w14:textId="364FBA13" w:rsidR="00FE2444" w:rsidRPr="00CD68BA" w:rsidRDefault="00AE1376"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w:t>
      </w:r>
      <w:r w:rsidR="002E33E0" w:rsidRPr="00CD68BA">
        <w:rPr>
          <w:lang w:val="es-CR"/>
        </w:rPr>
        <w:t>particular l</w:t>
      </w:r>
      <w:r w:rsidR="00FE2444" w:rsidRPr="00CD68BA">
        <w:rPr>
          <w:lang w:val="es-CR"/>
        </w:rPr>
        <w:t xml:space="preserve">a Corte considera que </w:t>
      </w:r>
      <w:bookmarkStart w:id="136" w:name="_Hlk114573696"/>
      <w:r w:rsidR="00FE2444" w:rsidRPr="00CD68BA">
        <w:rPr>
          <w:lang w:val="es-CR"/>
        </w:rPr>
        <w:t>los principales hechos acaecidos con posterioridad al 10 de diciembre de 1998 que reflejan</w:t>
      </w:r>
      <w:r w:rsidR="003752EC" w:rsidRPr="00CD68BA">
        <w:rPr>
          <w:lang w:val="es-CR"/>
        </w:rPr>
        <w:t xml:space="preserve"> </w:t>
      </w:r>
      <w:r w:rsidR="00A523C0" w:rsidRPr="00CD68BA">
        <w:rPr>
          <w:lang w:val="es-CR"/>
        </w:rPr>
        <w:t>la falta de debida diligencia de Brasil en procesar y sancionar a todos los responsables del homicidio de Gabriel Sales Piment</w:t>
      </w:r>
      <w:bookmarkEnd w:id="136"/>
      <w:r w:rsidR="00A523C0" w:rsidRPr="00CD68BA">
        <w:rPr>
          <w:lang w:val="es-CR"/>
        </w:rPr>
        <w:t>a</w:t>
      </w:r>
      <w:r w:rsidR="00A523C0" w:rsidRPr="00CD68BA" w:rsidDel="00A523C0">
        <w:rPr>
          <w:lang w:val="es-CR"/>
        </w:rPr>
        <w:t xml:space="preserve"> </w:t>
      </w:r>
      <w:r w:rsidR="003752EC" w:rsidRPr="00CD68BA">
        <w:rPr>
          <w:lang w:val="es-CR"/>
        </w:rPr>
        <w:t xml:space="preserve">son: (i) </w:t>
      </w:r>
      <w:r w:rsidR="00037761" w:rsidRPr="00CD68BA">
        <w:rPr>
          <w:lang w:val="es-CR"/>
        </w:rPr>
        <w:t>la</w:t>
      </w:r>
      <w:r w:rsidR="00683641" w:rsidRPr="00CD68BA">
        <w:rPr>
          <w:lang w:val="es-CR"/>
        </w:rPr>
        <w:t xml:space="preserve"> ausencia de la identificación y del análisis del contexto en que </w:t>
      </w:r>
      <w:r w:rsidR="009C10F5" w:rsidRPr="00CD68BA">
        <w:rPr>
          <w:lang w:val="es-CR"/>
        </w:rPr>
        <w:t>el defensor</w:t>
      </w:r>
      <w:r w:rsidR="00683641" w:rsidRPr="00CD68BA">
        <w:rPr>
          <w:lang w:val="es-CR"/>
        </w:rPr>
        <w:t xml:space="preserve"> desempeñaba su labor</w:t>
      </w:r>
      <w:r w:rsidR="00A968B4" w:rsidRPr="00CD68BA">
        <w:rPr>
          <w:lang w:val="es-CR"/>
        </w:rPr>
        <w:t xml:space="preserve"> de defens</w:t>
      </w:r>
      <w:r w:rsidR="009C10F5" w:rsidRPr="00CD68BA">
        <w:rPr>
          <w:lang w:val="es-CR"/>
        </w:rPr>
        <w:t>a</w:t>
      </w:r>
      <w:r w:rsidR="00A968B4" w:rsidRPr="00CD68BA">
        <w:rPr>
          <w:lang w:val="es-CR"/>
        </w:rPr>
        <w:t xml:space="preserve"> de derechos humanos de trabajadores rurales</w:t>
      </w:r>
      <w:r w:rsidR="003752EC" w:rsidRPr="00CD68BA">
        <w:rPr>
          <w:lang w:val="es-CR"/>
        </w:rPr>
        <w:t xml:space="preserve">; (ii) </w:t>
      </w:r>
      <w:r w:rsidR="001415E5" w:rsidRPr="00CD68BA">
        <w:rPr>
          <w:lang w:val="es-CR"/>
        </w:rPr>
        <w:t xml:space="preserve">la falta de adopción de medidas de protección a testigos oculares, máxime </w:t>
      </w:r>
      <w:r w:rsidR="007A524A" w:rsidRPr="00CD68BA">
        <w:rPr>
          <w:lang w:val="es-CR"/>
        </w:rPr>
        <w:t xml:space="preserve">ante la existencia de un contexto de violencia e impunidad en torno a la </w:t>
      </w:r>
      <w:r w:rsidR="00085FAF" w:rsidRPr="00CD68BA">
        <w:rPr>
          <w:lang w:val="es-CR"/>
        </w:rPr>
        <w:t>lucha por la tierra en Brasil</w:t>
      </w:r>
      <w:r w:rsidR="003752EC" w:rsidRPr="00CD68BA">
        <w:rPr>
          <w:lang w:val="es-CR"/>
        </w:rPr>
        <w:t xml:space="preserve">; (iii) </w:t>
      </w:r>
      <w:r w:rsidR="007252B7" w:rsidRPr="00CD68BA">
        <w:rPr>
          <w:lang w:val="es-CR"/>
        </w:rPr>
        <w:t xml:space="preserve">la </w:t>
      </w:r>
      <w:r w:rsidR="00085FAF" w:rsidRPr="00CD68BA">
        <w:rPr>
          <w:lang w:val="es-CR"/>
        </w:rPr>
        <w:t>ausencia de investigación</w:t>
      </w:r>
      <w:r w:rsidR="00635E8D" w:rsidRPr="00CD68BA">
        <w:rPr>
          <w:lang w:val="es-CR"/>
        </w:rPr>
        <w:t xml:space="preserve"> </w:t>
      </w:r>
      <w:r w:rsidR="00824C28" w:rsidRPr="00CD68BA">
        <w:rPr>
          <w:lang w:val="es-CR"/>
        </w:rPr>
        <w:t>sobre</w:t>
      </w:r>
      <w:r w:rsidR="00635E8D" w:rsidRPr="00CD68BA">
        <w:rPr>
          <w:lang w:val="es-CR"/>
        </w:rPr>
        <w:t xml:space="preserve"> la</w:t>
      </w:r>
      <w:r w:rsidR="00790BEB" w:rsidRPr="00CD68BA">
        <w:rPr>
          <w:lang w:val="es-CR"/>
        </w:rPr>
        <w:t>s</w:t>
      </w:r>
      <w:r w:rsidR="00635E8D" w:rsidRPr="00CD68BA">
        <w:rPr>
          <w:lang w:val="es-CR"/>
        </w:rPr>
        <w:t xml:space="preserve"> muerte</w:t>
      </w:r>
      <w:r w:rsidR="00790BEB" w:rsidRPr="00CD68BA">
        <w:rPr>
          <w:lang w:val="es-CR"/>
        </w:rPr>
        <w:t>s</w:t>
      </w:r>
      <w:r w:rsidR="00635E8D" w:rsidRPr="00CD68BA">
        <w:rPr>
          <w:lang w:val="es-CR"/>
        </w:rPr>
        <w:t xml:space="preserve"> </w:t>
      </w:r>
      <w:r w:rsidR="00790BEB" w:rsidRPr="00CD68BA">
        <w:rPr>
          <w:lang w:val="es-CR"/>
        </w:rPr>
        <w:t>del acusado J</w:t>
      </w:r>
      <w:r w:rsidR="00AE3661" w:rsidRPr="00CD68BA">
        <w:rPr>
          <w:lang w:val="es-CR"/>
        </w:rPr>
        <w:t>.</w:t>
      </w:r>
      <w:r w:rsidR="00790BEB" w:rsidRPr="00CD68BA">
        <w:rPr>
          <w:lang w:val="es-CR"/>
        </w:rPr>
        <w:t>P</w:t>
      </w:r>
      <w:r w:rsidR="00AE3661" w:rsidRPr="00CD68BA">
        <w:rPr>
          <w:lang w:val="es-CR"/>
        </w:rPr>
        <w:t>.</w:t>
      </w:r>
      <w:r w:rsidR="00790BEB" w:rsidRPr="00CD68BA">
        <w:rPr>
          <w:lang w:val="es-CR"/>
        </w:rPr>
        <w:t>N</w:t>
      </w:r>
      <w:r w:rsidR="00AE3661" w:rsidRPr="00CD68BA">
        <w:rPr>
          <w:lang w:val="es-CR"/>
        </w:rPr>
        <w:t>.</w:t>
      </w:r>
      <w:r w:rsidR="00790BEB" w:rsidRPr="00CD68BA">
        <w:rPr>
          <w:lang w:val="es-CR"/>
        </w:rPr>
        <w:t xml:space="preserve"> y de </w:t>
      </w:r>
      <w:r w:rsidR="00635E8D" w:rsidRPr="00CD68BA">
        <w:rPr>
          <w:lang w:val="es-CR"/>
        </w:rPr>
        <w:t>la testigo ocular Luzia Batista da Silva</w:t>
      </w:r>
      <w:r w:rsidR="00790BEB" w:rsidRPr="00CD68BA">
        <w:rPr>
          <w:lang w:val="es-CR"/>
        </w:rPr>
        <w:t xml:space="preserve"> </w:t>
      </w:r>
      <w:r w:rsidR="00635E8D" w:rsidRPr="00CD68BA">
        <w:rPr>
          <w:lang w:val="es-CR"/>
        </w:rPr>
        <w:t xml:space="preserve">durante </w:t>
      </w:r>
      <w:r w:rsidR="00824C28" w:rsidRPr="00CD68BA">
        <w:rPr>
          <w:lang w:val="es-CR"/>
        </w:rPr>
        <w:t>la etapa de</w:t>
      </w:r>
      <w:r w:rsidR="00790BEB" w:rsidRPr="00CD68BA">
        <w:rPr>
          <w:lang w:val="es-CR"/>
        </w:rPr>
        <w:t xml:space="preserve"> </w:t>
      </w:r>
      <w:r w:rsidR="00824C28" w:rsidRPr="00CD68BA">
        <w:rPr>
          <w:lang w:val="es-CR"/>
        </w:rPr>
        <w:t>l</w:t>
      </w:r>
      <w:r w:rsidR="00790BEB" w:rsidRPr="00CD68BA">
        <w:rPr>
          <w:lang w:val="es-CR"/>
        </w:rPr>
        <w:t>a decisión de “</w:t>
      </w:r>
      <w:r w:rsidR="00790BEB" w:rsidRPr="00CD68BA">
        <w:rPr>
          <w:i/>
          <w:iCs/>
          <w:lang w:val="es-CR"/>
        </w:rPr>
        <w:t>pronúncia</w:t>
      </w:r>
      <w:r w:rsidR="00790BEB" w:rsidRPr="00CD68BA">
        <w:rPr>
          <w:lang w:val="es-CR"/>
        </w:rPr>
        <w:t>”</w:t>
      </w:r>
      <w:r w:rsidR="00824C28" w:rsidRPr="00CD68BA">
        <w:rPr>
          <w:lang w:val="es-CR"/>
        </w:rPr>
        <w:t xml:space="preserve"> </w:t>
      </w:r>
      <w:r w:rsidR="00790BEB" w:rsidRPr="00CD68BA">
        <w:rPr>
          <w:lang w:val="es-CR"/>
        </w:rPr>
        <w:t xml:space="preserve">y del </w:t>
      </w:r>
      <w:r w:rsidR="00824C28" w:rsidRPr="00CD68BA">
        <w:rPr>
          <w:lang w:val="es-CR"/>
        </w:rPr>
        <w:t>examen del caso por el Tribunal de Jurados</w:t>
      </w:r>
      <w:r w:rsidR="007252B7" w:rsidRPr="00CD68BA">
        <w:rPr>
          <w:lang w:val="es-CR"/>
        </w:rPr>
        <w:t>, respectivamente</w:t>
      </w:r>
      <w:r w:rsidR="00C20742" w:rsidRPr="00CD68BA">
        <w:rPr>
          <w:lang w:val="es-CR"/>
        </w:rPr>
        <w:t>;</w:t>
      </w:r>
      <w:r w:rsidR="003752EC" w:rsidRPr="00CD68BA">
        <w:rPr>
          <w:lang w:val="es-CR"/>
        </w:rPr>
        <w:t xml:space="preserve"> (iv)</w:t>
      </w:r>
      <w:r w:rsidR="00C20742" w:rsidRPr="00CD68BA">
        <w:rPr>
          <w:lang w:val="es-CR"/>
        </w:rPr>
        <w:t xml:space="preserve"> la exclusión </w:t>
      </w:r>
      <w:r w:rsidR="00170DD7" w:rsidRPr="00CD68BA">
        <w:rPr>
          <w:lang w:val="es-CR"/>
        </w:rPr>
        <w:t>de C.O.S. como</w:t>
      </w:r>
      <w:r w:rsidR="00C20742" w:rsidRPr="00CD68BA">
        <w:rPr>
          <w:lang w:val="es-CR"/>
        </w:rPr>
        <w:t xml:space="preserve"> imputado en la sentencia de “</w:t>
      </w:r>
      <w:r w:rsidR="00C20742" w:rsidRPr="00CD68BA">
        <w:rPr>
          <w:i/>
          <w:iCs/>
          <w:lang w:val="es-CR"/>
        </w:rPr>
        <w:t>pronúncia</w:t>
      </w:r>
      <w:r w:rsidR="00C20742" w:rsidRPr="00CD68BA">
        <w:rPr>
          <w:lang w:val="es-CR"/>
        </w:rPr>
        <w:t xml:space="preserve">” por falta de pruebas, </w:t>
      </w:r>
      <w:r w:rsidR="002E33E0" w:rsidRPr="00CD68BA">
        <w:rPr>
          <w:lang w:val="es-CR"/>
        </w:rPr>
        <w:t>debido</w:t>
      </w:r>
      <w:r w:rsidR="00C20742" w:rsidRPr="00CD68BA">
        <w:rPr>
          <w:lang w:val="es-CR"/>
        </w:rPr>
        <w:t xml:space="preserve"> a </w:t>
      </w:r>
      <w:r w:rsidR="00243827" w:rsidRPr="00CD68BA">
        <w:rPr>
          <w:lang w:val="es-CR"/>
        </w:rPr>
        <w:t xml:space="preserve">la </w:t>
      </w:r>
      <w:r w:rsidR="00EC0CB7" w:rsidRPr="00CD68BA">
        <w:rPr>
          <w:lang w:val="es-CR"/>
        </w:rPr>
        <w:t>omisión</w:t>
      </w:r>
      <w:r w:rsidR="00243827" w:rsidRPr="00CD68BA">
        <w:rPr>
          <w:lang w:val="es-CR"/>
        </w:rPr>
        <w:t xml:space="preserve"> de algunos actos investigativos esenciales</w:t>
      </w:r>
      <w:r w:rsidR="002E666F" w:rsidRPr="00CD68BA">
        <w:rPr>
          <w:lang w:val="es-CR"/>
        </w:rPr>
        <w:t xml:space="preserve">; (v) </w:t>
      </w:r>
      <w:r w:rsidR="002030A5" w:rsidRPr="00CD68BA">
        <w:rPr>
          <w:lang w:val="es-CR"/>
        </w:rPr>
        <w:t>la falta de medidas suficientes para asegurar la comparecencia de M.C.N. a los actos procesales que requerían su presencia y de diligencias adecuadas para su aprehensión cuando habían ordenes de prisión decretadas en su contra</w:t>
      </w:r>
      <w:r w:rsidR="007252B7" w:rsidRPr="00CD68BA">
        <w:rPr>
          <w:lang w:val="es-CR"/>
        </w:rPr>
        <w:t>, y (vi) el envío del proceso penal al Juzgado Agrario cuando la competencia era claramente del Tribunal de Jurados</w:t>
      </w:r>
      <w:r w:rsidR="00C20742" w:rsidRPr="00CD68BA">
        <w:rPr>
          <w:lang w:val="es-CR"/>
        </w:rPr>
        <w:t xml:space="preserve"> </w:t>
      </w:r>
      <w:r w:rsidR="003752EC" w:rsidRPr="00CD68BA">
        <w:rPr>
          <w:lang w:val="es-CR"/>
        </w:rPr>
        <w:t>.</w:t>
      </w:r>
      <w:r w:rsidR="00635E8D" w:rsidRPr="00CD68BA">
        <w:rPr>
          <w:lang w:val="es-CR"/>
        </w:rPr>
        <w:t xml:space="preserve"> A continuación, la Corte se referirá a cada uno de</w:t>
      </w:r>
      <w:r w:rsidR="00B06D49" w:rsidRPr="00CD68BA">
        <w:rPr>
          <w:lang w:val="es-CR"/>
        </w:rPr>
        <w:t xml:space="preserve"> esos hechos</w:t>
      </w:r>
      <w:r w:rsidR="00635E8D" w:rsidRPr="00CD68BA">
        <w:rPr>
          <w:lang w:val="es-CR"/>
        </w:rPr>
        <w:t>.</w:t>
      </w:r>
    </w:p>
    <w:p w14:paraId="7E66ABF5" w14:textId="77777777" w:rsidR="00E31377" w:rsidRPr="00CD68BA" w:rsidRDefault="00E31377" w:rsidP="00A06718">
      <w:pPr>
        <w:pStyle w:val="Prrafodelista"/>
        <w:spacing w:before="0" w:after="0"/>
        <w:contextualSpacing w:val="0"/>
        <w:rPr>
          <w:lang w:val="es-CR"/>
        </w:rPr>
      </w:pPr>
    </w:p>
    <w:p w14:paraId="3CEB1793" w14:textId="0F1D6827"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Conforme se desprende del acervo probatorio del presente caso y a la luz de lo afirmado por el perito Kalil en audiencia</w:t>
      </w:r>
      <w:r w:rsidRPr="00CD68BA">
        <w:rPr>
          <w:rStyle w:val="Refdenotaalpie"/>
          <w:lang w:val="es-CR"/>
        </w:rPr>
        <w:footnoteReference w:id="157"/>
      </w:r>
      <w:r w:rsidRPr="00CD68BA">
        <w:rPr>
          <w:lang w:val="es-CR"/>
        </w:rPr>
        <w:t>, la Corte constata que, en ningún momento del desarrollo del proceso penal llevado a cabo a raíz de la muerte de Gabriel Sales Pimenta,</w:t>
      </w:r>
      <w:r w:rsidR="00865CCA" w:rsidRPr="00CD68BA">
        <w:rPr>
          <w:lang w:val="es-CR"/>
        </w:rPr>
        <w:t xml:space="preserve"> incluso con posterioridad a</w:t>
      </w:r>
      <w:r w:rsidR="00AE3661" w:rsidRPr="00CD68BA">
        <w:rPr>
          <w:lang w:val="es-CR"/>
        </w:rPr>
        <w:t>l</w:t>
      </w:r>
      <w:r w:rsidR="00865CCA" w:rsidRPr="00CD68BA">
        <w:rPr>
          <w:lang w:val="es-CR"/>
        </w:rPr>
        <w:t xml:space="preserve"> 10 de diciembre de 1998,</w:t>
      </w:r>
      <w:r w:rsidRPr="00CD68BA">
        <w:rPr>
          <w:lang w:val="es-CR"/>
        </w:rPr>
        <w:t xml:space="preserve"> fue tenido en cuenta el contexto en el que el citado defensor desempeñaba su labor. De haber</w:t>
      </w:r>
      <w:r w:rsidR="005B35B1" w:rsidRPr="00CD68BA">
        <w:rPr>
          <w:lang w:val="es-CR"/>
        </w:rPr>
        <w:t>se</w:t>
      </w:r>
      <w:r w:rsidRPr="00CD68BA">
        <w:rPr>
          <w:lang w:val="es-CR"/>
        </w:rPr>
        <w:t xml:space="preserve"> considerado,</w:t>
      </w:r>
      <w:r w:rsidR="005B35B1" w:rsidRPr="00CD68BA">
        <w:rPr>
          <w:lang w:val="es-CR"/>
        </w:rPr>
        <w:t xml:space="preserve"> eventualmente</w:t>
      </w:r>
      <w:r w:rsidR="00C04802" w:rsidRPr="00CD68BA">
        <w:rPr>
          <w:lang w:val="es-CR"/>
        </w:rPr>
        <w:t>,</w:t>
      </w:r>
      <w:r w:rsidRPr="00CD68BA">
        <w:rPr>
          <w:lang w:val="es-CR"/>
        </w:rPr>
        <w:t xml:space="preserve"> </w:t>
      </w:r>
      <w:r w:rsidR="00C04802" w:rsidRPr="00CD68BA">
        <w:rPr>
          <w:lang w:val="es-CR"/>
        </w:rPr>
        <w:t>habría sido</w:t>
      </w:r>
      <w:r w:rsidRPr="00CD68BA">
        <w:rPr>
          <w:lang w:val="es-CR"/>
        </w:rPr>
        <w:t xml:space="preserve"> </w:t>
      </w:r>
      <w:r w:rsidR="00C04802" w:rsidRPr="00CD68BA">
        <w:rPr>
          <w:lang w:val="es-CR"/>
        </w:rPr>
        <w:t xml:space="preserve">factible </w:t>
      </w:r>
      <w:r w:rsidRPr="00CD68BA">
        <w:rPr>
          <w:lang w:val="es-CR"/>
        </w:rPr>
        <w:t>identifica</w:t>
      </w:r>
      <w:r w:rsidR="00C04802" w:rsidRPr="00CD68BA">
        <w:rPr>
          <w:lang w:val="es-CR"/>
        </w:rPr>
        <w:t>r</w:t>
      </w:r>
      <w:r w:rsidRPr="00CD68BA">
        <w:rPr>
          <w:lang w:val="es-CR"/>
        </w:rPr>
        <w:t xml:space="preserve"> los intereses económicos y políticos que pudieron verse afectados</w:t>
      </w:r>
      <w:r w:rsidR="0082607E" w:rsidRPr="00CD68BA">
        <w:rPr>
          <w:lang w:val="es-CR"/>
        </w:rPr>
        <w:t xml:space="preserve"> por</w:t>
      </w:r>
      <w:r w:rsidRPr="00CD68BA">
        <w:rPr>
          <w:lang w:val="es-CR"/>
        </w:rPr>
        <w:t xml:space="preserve"> el ejercicio de la labor de</w:t>
      </w:r>
      <w:r w:rsidR="0082607E" w:rsidRPr="00CD68BA">
        <w:rPr>
          <w:lang w:val="es-CR"/>
        </w:rPr>
        <w:t>l señor Sales Pimenta</w:t>
      </w:r>
      <w:r w:rsidRPr="00CD68BA">
        <w:rPr>
          <w:lang w:val="es-CR"/>
        </w:rPr>
        <w:t xml:space="preserve">, en particular en el marco de la </w:t>
      </w:r>
      <w:r w:rsidR="002E33E0" w:rsidRPr="00CD68BA">
        <w:rPr>
          <w:lang w:val="es-CR"/>
        </w:rPr>
        <w:t xml:space="preserve">decisión </w:t>
      </w:r>
      <w:r w:rsidRPr="00CD68BA">
        <w:rPr>
          <w:lang w:val="es-CR"/>
        </w:rPr>
        <w:t xml:space="preserve">judicial </w:t>
      </w:r>
      <w:r w:rsidR="002E33E0" w:rsidRPr="00CD68BA">
        <w:rPr>
          <w:lang w:val="es-CR"/>
        </w:rPr>
        <w:t>que revirtió</w:t>
      </w:r>
      <w:r w:rsidRPr="00CD68BA">
        <w:rPr>
          <w:lang w:val="es-CR"/>
        </w:rPr>
        <w:t xml:space="preserve"> la expulsión de 150 personas de</w:t>
      </w:r>
      <w:r w:rsidR="005A7D29" w:rsidRPr="00CD68BA">
        <w:rPr>
          <w:lang w:val="es-CR"/>
        </w:rPr>
        <w:t xml:space="preserve"> las</w:t>
      </w:r>
      <w:r w:rsidRPr="00CD68BA">
        <w:rPr>
          <w:lang w:val="es-CR"/>
        </w:rPr>
        <w:t xml:space="preserve"> tierras reivindicadas por hacendados</w:t>
      </w:r>
      <w:r w:rsidR="002E33E0" w:rsidRPr="00CD68BA">
        <w:rPr>
          <w:lang w:val="es-CR"/>
        </w:rPr>
        <w:t>, decisión que había sido adoptada en virtud de un recurso presentado por la presunta víctima</w:t>
      </w:r>
      <w:r w:rsidRPr="00CD68BA">
        <w:rPr>
          <w:lang w:val="es-CR"/>
        </w:rPr>
        <w:t xml:space="preserve"> poco tiempo antes de su </w:t>
      </w:r>
      <w:r w:rsidR="0012434A" w:rsidRPr="00CD68BA">
        <w:rPr>
          <w:lang w:val="es-CR"/>
        </w:rPr>
        <w:t>muerte</w:t>
      </w:r>
      <w:r w:rsidRPr="00CD68BA">
        <w:rPr>
          <w:lang w:val="es-CR"/>
        </w:rPr>
        <w:t xml:space="preserve"> (</w:t>
      </w:r>
      <w:r w:rsidRPr="00CD68BA">
        <w:rPr>
          <w:i/>
          <w:iCs/>
          <w:lang w:val="es-CR"/>
        </w:rPr>
        <w:t>supra</w:t>
      </w:r>
      <w:r w:rsidRPr="00CD68BA">
        <w:rPr>
          <w:lang w:val="es-CR"/>
        </w:rPr>
        <w:t xml:space="preserve"> pár</w:t>
      </w:r>
      <w:r w:rsidR="0012434A" w:rsidRPr="00CD68BA">
        <w:rPr>
          <w:lang w:val="es-CR"/>
        </w:rPr>
        <w:t>r</w:t>
      </w:r>
      <w:r w:rsidRPr="00CD68BA">
        <w:rPr>
          <w:lang w:val="es-CR"/>
        </w:rPr>
        <w:t xml:space="preserve">. </w:t>
      </w:r>
      <w:r w:rsidR="0012434A" w:rsidRPr="00CD68BA">
        <w:rPr>
          <w:lang w:val="es-CR"/>
        </w:rPr>
        <w:t>53</w:t>
      </w:r>
      <w:r w:rsidRPr="00CD68BA">
        <w:rPr>
          <w:lang w:val="es-CR"/>
        </w:rPr>
        <w:t xml:space="preserve">). </w:t>
      </w:r>
      <w:r w:rsidR="002E33E0" w:rsidRPr="00CD68BA">
        <w:rPr>
          <w:lang w:val="es-CR"/>
        </w:rPr>
        <w:t>N</w:t>
      </w:r>
      <w:r w:rsidRPr="00CD68BA">
        <w:rPr>
          <w:lang w:val="es-CR"/>
        </w:rPr>
        <w:t>o consta en el expediente que</w:t>
      </w:r>
      <w:r w:rsidR="00D24E72" w:rsidRPr="00CD68BA">
        <w:rPr>
          <w:lang w:val="es-CR"/>
        </w:rPr>
        <w:t>, en algún momento del proceso,</w:t>
      </w:r>
      <w:r w:rsidRPr="00CD68BA">
        <w:rPr>
          <w:lang w:val="es-CR"/>
        </w:rPr>
        <w:t xml:space="preserve"> </w:t>
      </w:r>
      <w:r w:rsidR="00D24E72" w:rsidRPr="00CD68BA">
        <w:rPr>
          <w:lang w:val="es-CR"/>
        </w:rPr>
        <w:t xml:space="preserve">el Ministerio Público o las autoridades judiciales </w:t>
      </w:r>
      <w:r w:rsidRPr="00CD68BA">
        <w:rPr>
          <w:lang w:val="es-CR"/>
        </w:rPr>
        <w:t xml:space="preserve">hayan </w:t>
      </w:r>
      <w:r w:rsidR="00D24E72" w:rsidRPr="00CD68BA">
        <w:rPr>
          <w:lang w:val="es-CR"/>
        </w:rPr>
        <w:t xml:space="preserve">solicitado la </w:t>
      </w:r>
      <w:r w:rsidRPr="00CD68BA">
        <w:rPr>
          <w:lang w:val="es-CR"/>
        </w:rPr>
        <w:t>realiza</w:t>
      </w:r>
      <w:r w:rsidR="00D24E72" w:rsidRPr="00CD68BA">
        <w:rPr>
          <w:lang w:val="es-CR"/>
        </w:rPr>
        <w:t>ción</w:t>
      </w:r>
      <w:r w:rsidR="00D052C5" w:rsidRPr="00CD68BA">
        <w:rPr>
          <w:lang w:val="es-CR"/>
        </w:rPr>
        <w:t xml:space="preserve"> de</w:t>
      </w:r>
      <w:r w:rsidRPr="00CD68BA">
        <w:rPr>
          <w:lang w:val="es-CR"/>
        </w:rPr>
        <w:t xml:space="preserve"> diligencias a fin de determinar si el resultado de la mencionada acción, la cual tuvo gran repercusión pública, podría haber estado vinculado al móvil de la muerte.</w:t>
      </w:r>
      <w:r w:rsidR="00A33C09" w:rsidRPr="00CD68BA">
        <w:rPr>
          <w:lang w:val="es-CR"/>
        </w:rPr>
        <w:t xml:space="preserve"> </w:t>
      </w:r>
      <w:r w:rsidRPr="00CD68BA">
        <w:rPr>
          <w:lang w:val="es-CR"/>
        </w:rPr>
        <w:t>Tal determinación, a su vez, podría haber permitido la identificación de otros sospechosos</w:t>
      </w:r>
      <w:r w:rsidR="00BC71A1" w:rsidRPr="00CD68BA">
        <w:rPr>
          <w:lang w:val="es-CR"/>
        </w:rPr>
        <w:t xml:space="preserve"> </w:t>
      </w:r>
      <w:r w:rsidRPr="00CD68BA">
        <w:rPr>
          <w:lang w:val="es-CR"/>
        </w:rPr>
        <w:t xml:space="preserve">y </w:t>
      </w:r>
      <w:r w:rsidR="00934032" w:rsidRPr="00CD68BA">
        <w:rPr>
          <w:lang w:val="es-CR"/>
        </w:rPr>
        <w:t>reforzado</w:t>
      </w:r>
      <w:r w:rsidRPr="00CD68BA">
        <w:rPr>
          <w:lang w:val="es-CR"/>
        </w:rPr>
        <w:t xml:space="preserve"> la necesidad de proteger testigos</w:t>
      </w:r>
      <w:r w:rsidRPr="00CD68BA">
        <w:rPr>
          <w:rStyle w:val="Refdenotaalpie"/>
          <w:lang w:val="es-CR"/>
        </w:rPr>
        <w:footnoteReference w:id="158"/>
      </w:r>
      <w:r w:rsidRPr="00CD68BA">
        <w:rPr>
          <w:lang w:val="es-CR"/>
        </w:rPr>
        <w:t xml:space="preserve">, como Luzia Batista da Silva, adolescente </w:t>
      </w:r>
      <w:r w:rsidR="00D84977" w:rsidRPr="00CD68BA">
        <w:rPr>
          <w:lang w:val="es-CR"/>
        </w:rPr>
        <w:t>en</w:t>
      </w:r>
      <w:r w:rsidRPr="00CD68BA">
        <w:rPr>
          <w:lang w:val="es-CR"/>
        </w:rPr>
        <w:t xml:space="preserve"> la época de los hechos y testigo ocular de</w:t>
      </w:r>
      <w:r w:rsidR="00585FAC" w:rsidRPr="00CD68BA">
        <w:rPr>
          <w:lang w:val="es-CR"/>
        </w:rPr>
        <w:t xml:space="preserve"> </w:t>
      </w:r>
      <w:r w:rsidRPr="00CD68BA">
        <w:rPr>
          <w:lang w:val="es-CR"/>
        </w:rPr>
        <w:t>l</w:t>
      </w:r>
      <w:r w:rsidR="00585FAC" w:rsidRPr="00CD68BA">
        <w:rPr>
          <w:lang w:val="es-CR"/>
        </w:rPr>
        <w:t>os hechos</w:t>
      </w:r>
      <w:r w:rsidRPr="00CD68BA">
        <w:rPr>
          <w:lang w:val="es-CR"/>
        </w:rPr>
        <w:t>, y Neuzila Jardim Cerqueira, quien acompañaba a Gabriel en el momento de</w:t>
      </w:r>
      <w:r w:rsidR="0066156B" w:rsidRPr="00CD68BA">
        <w:rPr>
          <w:lang w:val="es-CR"/>
        </w:rPr>
        <w:t xml:space="preserve"> su muerte</w:t>
      </w:r>
      <w:r w:rsidRPr="00CD68BA">
        <w:rPr>
          <w:lang w:val="es-CR"/>
        </w:rPr>
        <w:t>, entre otros.</w:t>
      </w:r>
      <w:r w:rsidR="00D028D3" w:rsidRPr="00CD68BA">
        <w:rPr>
          <w:lang w:val="es-CR"/>
        </w:rPr>
        <w:t xml:space="preserve"> </w:t>
      </w:r>
    </w:p>
    <w:p w14:paraId="61258DF2" w14:textId="77777777" w:rsidR="004E59EF" w:rsidRPr="00CD68BA" w:rsidRDefault="004E59EF" w:rsidP="00A06718">
      <w:pPr>
        <w:pStyle w:val="Prrafodelista"/>
        <w:autoSpaceDE w:val="0"/>
        <w:autoSpaceDN w:val="0"/>
        <w:adjustRightInd w:val="0"/>
        <w:spacing w:before="0" w:after="0"/>
        <w:ind w:left="0"/>
        <w:contextualSpacing w:val="0"/>
        <w:rPr>
          <w:szCs w:val="20"/>
          <w:lang w:val="es-CR"/>
        </w:rPr>
      </w:pPr>
    </w:p>
    <w:p w14:paraId="19A06CA1" w14:textId="6C8FCD76" w:rsidR="004E59EF" w:rsidRPr="00CD68BA" w:rsidRDefault="004E59E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El análisis del contexto adquiere particular relevancia frente a la situación de violencia e impunidad relacionada con la lucha por la tierra existente al momento de la muerte de Gabriel Sales Pimenta</w:t>
      </w:r>
      <w:r w:rsidR="004817F0" w:rsidRPr="00CD68BA">
        <w:rPr>
          <w:lang w:val="es-CR"/>
        </w:rPr>
        <w:t>,</w:t>
      </w:r>
      <w:r w:rsidRPr="00CD68BA">
        <w:rPr>
          <w:lang w:val="es-CR"/>
        </w:rPr>
        <w:t xml:space="preserve"> y la posible existencia de vínculos y patrones entre los distintos casos.</w:t>
      </w:r>
    </w:p>
    <w:p w14:paraId="2CF8C44A" w14:textId="77777777" w:rsidR="00E31377" w:rsidRPr="00CD68BA" w:rsidRDefault="00E31377" w:rsidP="00A06718">
      <w:pPr>
        <w:pStyle w:val="Prrafodelista"/>
        <w:autoSpaceDE w:val="0"/>
        <w:autoSpaceDN w:val="0"/>
        <w:adjustRightInd w:val="0"/>
        <w:spacing w:before="0" w:after="0"/>
        <w:ind w:left="0"/>
        <w:contextualSpacing w:val="0"/>
        <w:rPr>
          <w:szCs w:val="20"/>
          <w:lang w:val="es-CR"/>
        </w:rPr>
      </w:pPr>
    </w:p>
    <w:p w14:paraId="3B0BC264" w14:textId="7631604E" w:rsidR="00B80B1F"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Aunado a lo anterior, </w:t>
      </w:r>
      <w:r w:rsidR="00547411" w:rsidRPr="00CD68BA">
        <w:rPr>
          <w:lang w:val="es-CR"/>
        </w:rPr>
        <w:t xml:space="preserve">si durante las investigaciones o el trámite del proceso penal, los fiscales, las autoridades judiciales o policiales hubiesen identificado </w:t>
      </w:r>
      <w:r w:rsidRPr="00CD68BA">
        <w:rPr>
          <w:lang w:val="es-CR"/>
        </w:rPr>
        <w:t>a Gabriel Sales Pimenta como un defensor de derechos humanos de trabajadores rurales, podrían haber elaborado el perfil de la víctima</w:t>
      </w:r>
      <w:r w:rsidR="00817CCA" w:rsidRPr="00CD68BA">
        <w:rPr>
          <w:lang w:val="es-CR"/>
        </w:rPr>
        <w:t>.</w:t>
      </w:r>
      <w:r w:rsidR="00243659" w:rsidRPr="00CD68BA">
        <w:rPr>
          <w:lang w:val="es-CR"/>
        </w:rPr>
        <w:t xml:space="preserve"> </w:t>
      </w:r>
      <w:r w:rsidR="00817CCA" w:rsidRPr="00CD68BA">
        <w:rPr>
          <w:lang w:val="es-CR"/>
        </w:rPr>
        <w:t>Lo anter</w:t>
      </w:r>
      <w:r w:rsidR="00806EE3" w:rsidRPr="00CD68BA">
        <w:rPr>
          <w:lang w:val="es-CR"/>
        </w:rPr>
        <w:t xml:space="preserve">ior </w:t>
      </w:r>
      <w:r w:rsidR="00915490" w:rsidRPr="00CD68BA">
        <w:rPr>
          <w:lang w:val="es-CR"/>
        </w:rPr>
        <w:t xml:space="preserve">con el </w:t>
      </w:r>
      <w:r w:rsidR="00806EE3" w:rsidRPr="00CD68BA">
        <w:rPr>
          <w:lang w:val="es-CR"/>
        </w:rPr>
        <w:t>objeto de</w:t>
      </w:r>
      <w:r w:rsidR="00856D1E" w:rsidRPr="00CD68BA">
        <w:rPr>
          <w:lang w:val="es-CR"/>
        </w:rPr>
        <w:t xml:space="preserve"> </w:t>
      </w:r>
      <w:r w:rsidRPr="00CD68BA">
        <w:rPr>
          <w:lang w:val="es-CR"/>
        </w:rPr>
        <w:t xml:space="preserve">comprender en qué consistía su trabajo de defensa de derechos humanos, en qué ambiente se desarrollaban sus actividades, </w:t>
      </w:r>
      <w:r w:rsidR="003A07D6" w:rsidRPr="00CD68BA">
        <w:rPr>
          <w:lang w:val="es-CR"/>
        </w:rPr>
        <w:t xml:space="preserve">y </w:t>
      </w:r>
      <w:r w:rsidRPr="00CD68BA">
        <w:rPr>
          <w:lang w:val="es-CR"/>
        </w:rPr>
        <w:t xml:space="preserve">cuáles eran los factores de riesgo </w:t>
      </w:r>
      <w:r w:rsidR="00BB549C" w:rsidRPr="00CD68BA">
        <w:rPr>
          <w:lang w:val="es-CR"/>
        </w:rPr>
        <w:t xml:space="preserve">asociados a </w:t>
      </w:r>
      <w:r w:rsidRPr="00CD68BA">
        <w:rPr>
          <w:lang w:val="es-CR"/>
        </w:rPr>
        <w:t xml:space="preserve">su </w:t>
      </w:r>
      <w:r w:rsidR="00BB549C" w:rsidRPr="00CD68BA">
        <w:rPr>
          <w:lang w:val="es-CR"/>
        </w:rPr>
        <w:t>labor</w:t>
      </w:r>
      <w:r w:rsidR="003E44C3" w:rsidRPr="00CD68BA">
        <w:rPr>
          <w:lang w:val="es-CR"/>
        </w:rPr>
        <w:t xml:space="preserve">. </w:t>
      </w:r>
      <w:r w:rsidR="003A07D6" w:rsidRPr="00CD68BA">
        <w:rPr>
          <w:lang w:val="es-CR"/>
        </w:rPr>
        <w:t>De igual manera, p</w:t>
      </w:r>
      <w:r w:rsidR="003E44C3" w:rsidRPr="00CD68BA">
        <w:rPr>
          <w:lang w:val="es-CR"/>
        </w:rPr>
        <w:t>odrían haber</w:t>
      </w:r>
      <w:r w:rsidRPr="00CD68BA">
        <w:rPr>
          <w:lang w:val="es-CR"/>
        </w:rPr>
        <w:t xml:space="preserve"> </w:t>
      </w:r>
      <w:r w:rsidR="000B3EE3" w:rsidRPr="00CD68BA">
        <w:rPr>
          <w:lang w:val="es-CR"/>
        </w:rPr>
        <w:t>realizado</w:t>
      </w:r>
      <w:r w:rsidRPr="00CD68BA">
        <w:rPr>
          <w:lang w:val="es-CR"/>
        </w:rPr>
        <w:t xml:space="preserve"> entrevistas con la organización de la cual formaba parte, así como con otras personas que acompañaban su trabajo y en esta condición podrían</w:t>
      </w:r>
      <w:r w:rsidR="00903385" w:rsidRPr="00CD68BA">
        <w:rPr>
          <w:lang w:val="es-CR"/>
        </w:rPr>
        <w:t xml:space="preserve"> haber contado</w:t>
      </w:r>
      <w:r w:rsidRPr="00CD68BA">
        <w:rPr>
          <w:lang w:val="es-CR"/>
        </w:rPr>
        <w:t xml:space="preserve"> con más información sobre lo acaecido</w:t>
      </w:r>
      <w:r w:rsidRPr="00CD68BA">
        <w:rPr>
          <w:rStyle w:val="Refdenotaalpie"/>
          <w:lang w:val="es-CR"/>
        </w:rPr>
        <w:footnoteReference w:id="159"/>
      </w:r>
      <w:r w:rsidRPr="00CD68BA">
        <w:rPr>
          <w:lang w:val="es-CR"/>
        </w:rPr>
        <w:t>.</w:t>
      </w:r>
    </w:p>
    <w:p w14:paraId="356EA933" w14:textId="77777777" w:rsidR="00B80B1F" w:rsidRPr="00CD68BA" w:rsidRDefault="00B80B1F" w:rsidP="00A06718">
      <w:pPr>
        <w:pStyle w:val="Prrafodelista"/>
        <w:spacing w:before="0" w:after="0"/>
        <w:contextualSpacing w:val="0"/>
        <w:rPr>
          <w:lang w:val="es-CR"/>
        </w:rPr>
      </w:pPr>
    </w:p>
    <w:p w14:paraId="0D0F6811" w14:textId="351B945C"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Adicionalmente, se considera que el Estado, conocedor del contexto de violencia en el campo y </w:t>
      </w:r>
      <w:r w:rsidR="00DE2928" w:rsidRPr="00CD68BA">
        <w:rPr>
          <w:lang w:val="es-CR"/>
        </w:rPr>
        <w:t>de</w:t>
      </w:r>
      <w:r w:rsidRPr="00CD68BA">
        <w:rPr>
          <w:lang w:val="es-CR"/>
        </w:rPr>
        <w:t xml:space="preserve"> impunidad, especialmente en el estado de Pará, tal como quedó acreditado (</w:t>
      </w:r>
      <w:r w:rsidRPr="00CD68BA">
        <w:rPr>
          <w:i/>
          <w:iCs/>
          <w:lang w:val="es-CR"/>
        </w:rPr>
        <w:t>supra</w:t>
      </w:r>
      <w:r w:rsidRPr="00CD68BA">
        <w:rPr>
          <w:lang w:val="es-CR"/>
        </w:rPr>
        <w:t xml:space="preserve"> pár</w:t>
      </w:r>
      <w:r w:rsidR="00884294" w:rsidRPr="00CD68BA">
        <w:rPr>
          <w:lang w:val="es-CR"/>
        </w:rPr>
        <w:t>r</w:t>
      </w:r>
      <w:r w:rsidRPr="00CD68BA">
        <w:rPr>
          <w:lang w:val="es-CR"/>
        </w:rPr>
        <w:t xml:space="preserve">s. </w:t>
      </w:r>
      <w:r w:rsidR="00884294" w:rsidRPr="00CD68BA">
        <w:rPr>
          <w:lang w:val="es-CR"/>
        </w:rPr>
        <w:t>47 a 51</w:t>
      </w:r>
      <w:r w:rsidRPr="00CD68BA">
        <w:rPr>
          <w:lang w:val="es-CR"/>
        </w:rPr>
        <w:t>)</w:t>
      </w:r>
      <w:r w:rsidR="008F3A2C" w:rsidRPr="00CD68BA">
        <w:rPr>
          <w:lang w:val="es-CR"/>
        </w:rPr>
        <w:t xml:space="preserve"> </w:t>
      </w:r>
      <w:r w:rsidRPr="00CD68BA">
        <w:rPr>
          <w:lang w:val="es-CR"/>
        </w:rPr>
        <w:t>y corroborado por los peritos Kalil</w:t>
      </w:r>
      <w:r w:rsidRPr="00CD68BA">
        <w:rPr>
          <w:rStyle w:val="Refdenotaalpie"/>
          <w:lang w:val="es-CR"/>
        </w:rPr>
        <w:footnoteReference w:id="160"/>
      </w:r>
      <w:r w:rsidR="00D331B1" w:rsidRPr="00CD68BA">
        <w:rPr>
          <w:lang w:val="es-CR"/>
        </w:rPr>
        <w:t>, Michelotti</w:t>
      </w:r>
      <w:r w:rsidR="00D331B1" w:rsidRPr="00CD68BA">
        <w:rPr>
          <w:rStyle w:val="Refdenotaalpie"/>
          <w:lang w:val="es-CR"/>
        </w:rPr>
        <w:footnoteReference w:id="161"/>
      </w:r>
      <w:r w:rsidRPr="00CD68BA">
        <w:rPr>
          <w:lang w:val="es-CR"/>
        </w:rPr>
        <w:t xml:space="preserve"> y Gaio</w:t>
      </w:r>
      <w:r w:rsidRPr="00CD68BA">
        <w:rPr>
          <w:rStyle w:val="Refdenotaalpie"/>
          <w:lang w:val="es-CR"/>
        </w:rPr>
        <w:footnoteReference w:id="162"/>
      </w:r>
      <w:r w:rsidRPr="00CD68BA">
        <w:rPr>
          <w:lang w:val="es-CR"/>
        </w:rPr>
        <w:t xml:space="preserve"> y por los testigos Frigo</w:t>
      </w:r>
      <w:r w:rsidRPr="00CD68BA">
        <w:rPr>
          <w:rStyle w:val="Refdenotaalpie"/>
          <w:lang w:val="es-CR"/>
        </w:rPr>
        <w:footnoteReference w:id="163"/>
      </w:r>
      <w:r w:rsidRPr="00CD68BA">
        <w:rPr>
          <w:lang w:val="es-CR"/>
        </w:rPr>
        <w:t xml:space="preserve"> y Batista</w:t>
      </w:r>
      <w:r w:rsidRPr="00CD68BA">
        <w:rPr>
          <w:rStyle w:val="Refdenotaalpie"/>
          <w:lang w:val="es-CR"/>
        </w:rPr>
        <w:footnoteReference w:id="164"/>
      </w:r>
      <w:r w:rsidRPr="00CD68BA">
        <w:rPr>
          <w:lang w:val="es-CR"/>
        </w:rPr>
        <w:t>, debió haber identificado la situación</w:t>
      </w:r>
      <w:r w:rsidR="00915490" w:rsidRPr="00CD68BA">
        <w:rPr>
          <w:lang w:val="es-CR"/>
        </w:rPr>
        <w:t xml:space="preserve"> vulnerable</w:t>
      </w:r>
      <w:r w:rsidRPr="00CD68BA">
        <w:rPr>
          <w:lang w:val="es-CR"/>
        </w:rPr>
        <w:t xml:space="preserve"> en que se encontraban los testigos</w:t>
      </w:r>
      <w:r w:rsidR="00AA7A6F" w:rsidRPr="00CD68BA">
        <w:rPr>
          <w:lang w:val="es-CR"/>
        </w:rPr>
        <w:t xml:space="preserve"> de</w:t>
      </w:r>
      <w:r w:rsidR="00247AFC" w:rsidRPr="00CD68BA">
        <w:rPr>
          <w:lang w:val="es-CR"/>
        </w:rPr>
        <w:t xml:space="preserve"> la muerte</w:t>
      </w:r>
      <w:r w:rsidR="009E5331" w:rsidRPr="00CD68BA">
        <w:rPr>
          <w:lang w:val="es-CR"/>
        </w:rPr>
        <w:t xml:space="preserve"> violenta</w:t>
      </w:r>
      <w:r w:rsidR="00AA7A6F" w:rsidRPr="00CD68BA">
        <w:rPr>
          <w:lang w:val="es-CR"/>
        </w:rPr>
        <w:t xml:space="preserve"> de Gabriel Sales Pimenta</w:t>
      </w:r>
      <w:r w:rsidRPr="00CD68BA">
        <w:rPr>
          <w:lang w:val="es-CR"/>
        </w:rPr>
        <w:t>. De ese modo, Brasil debió haber adoptado medidas para proteger a los testigos, no solo para evitar cualquier amenaza o daño a</w:t>
      </w:r>
      <w:r w:rsidR="00B53C31" w:rsidRPr="00CD68BA">
        <w:rPr>
          <w:lang w:val="es-CR"/>
        </w:rPr>
        <w:t xml:space="preserve"> </w:t>
      </w:r>
      <w:r w:rsidR="00B53C31" w:rsidRPr="00CD68BA">
        <w:rPr>
          <w:bCs/>
          <w:lang w:val="es-CR"/>
        </w:rPr>
        <w:t>su</w:t>
      </w:r>
      <w:r w:rsidRPr="00CD68BA">
        <w:rPr>
          <w:lang w:val="es-CR"/>
        </w:rPr>
        <w:t xml:space="preserve"> integridad personal, sino también para preservar pruebas de gran importancia para </w:t>
      </w:r>
      <w:r w:rsidR="00DE2928" w:rsidRPr="00CD68BA">
        <w:rPr>
          <w:lang w:val="es-CR"/>
        </w:rPr>
        <w:t>dilucidar lo acontecido</w:t>
      </w:r>
      <w:r w:rsidRPr="00CD68BA">
        <w:rPr>
          <w:lang w:val="es-CR"/>
        </w:rPr>
        <w:t>.</w:t>
      </w:r>
      <w:r w:rsidR="00AA7A6F" w:rsidRPr="00CD68BA">
        <w:rPr>
          <w:lang w:val="es-CR"/>
        </w:rPr>
        <w:t xml:space="preserve"> En este sentido, </w:t>
      </w:r>
      <w:r w:rsidR="00D25B20" w:rsidRPr="00CD68BA">
        <w:rPr>
          <w:lang w:val="es-CR"/>
        </w:rPr>
        <w:t xml:space="preserve">desde agosto de 1982, </w:t>
      </w:r>
      <w:r w:rsidR="00EB09EF" w:rsidRPr="00CD68BA">
        <w:rPr>
          <w:lang w:val="es-CR"/>
        </w:rPr>
        <w:t>el propio Comisario a cargo de la investigación ha</w:t>
      </w:r>
      <w:r w:rsidR="00D25B20" w:rsidRPr="00CD68BA">
        <w:rPr>
          <w:lang w:val="es-CR"/>
        </w:rPr>
        <w:t>bía señalado a la jueza competente la necesidad de proteger a</w:t>
      </w:r>
      <w:r w:rsidR="00EB09EF" w:rsidRPr="00CD68BA">
        <w:rPr>
          <w:lang w:val="es-CR"/>
        </w:rPr>
        <w:t xml:space="preserve"> los testigos</w:t>
      </w:r>
      <w:r w:rsidR="00D25B20" w:rsidRPr="00CD68BA">
        <w:rPr>
          <w:rStyle w:val="Refdenotaalpie"/>
          <w:lang w:val="es-CR"/>
        </w:rPr>
        <w:footnoteReference w:id="165"/>
      </w:r>
      <w:r w:rsidR="003127BF" w:rsidRPr="00CD68BA">
        <w:rPr>
          <w:lang w:val="es-CR"/>
        </w:rPr>
        <w:t>; el declarante Antonio Francisco da Silva, presidente del Sindicato de los Trabajadores Rurales (STR) para la fecha de</w:t>
      </w:r>
      <w:r w:rsidR="00937FC0" w:rsidRPr="00CD68BA">
        <w:rPr>
          <w:lang w:val="es-CR"/>
        </w:rPr>
        <w:t xml:space="preserve"> la muerte</w:t>
      </w:r>
      <w:r w:rsidR="003127BF" w:rsidRPr="00CD68BA">
        <w:rPr>
          <w:lang w:val="es-CR"/>
        </w:rPr>
        <w:t xml:space="preserve"> del señor Sales Pimenta, relat</w:t>
      </w:r>
      <w:r w:rsidR="00DE2928" w:rsidRPr="00CD68BA">
        <w:rPr>
          <w:lang w:val="es-CR"/>
        </w:rPr>
        <w:t>ó que había recibido</w:t>
      </w:r>
      <w:r w:rsidR="003127BF" w:rsidRPr="00CD68BA">
        <w:rPr>
          <w:lang w:val="es-CR"/>
        </w:rPr>
        <w:t xml:space="preserve"> amenazas por algunos de los sospechosos de</w:t>
      </w:r>
      <w:r w:rsidR="00247AFC" w:rsidRPr="00CD68BA">
        <w:rPr>
          <w:lang w:val="es-CR"/>
        </w:rPr>
        <w:t xml:space="preserve"> </w:t>
      </w:r>
      <w:r w:rsidR="003127BF" w:rsidRPr="00CD68BA">
        <w:rPr>
          <w:lang w:val="es-CR"/>
        </w:rPr>
        <w:t>l</w:t>
      </w:r>
      <w:r w:rsidR="00247AFC" w:rsidRPr="00CD68BA">
        <w:rPr>
          <w:lang w:val="es-CR"/>
        </w:rPr>
        <w:t>os hechos</w:t>
      </w:r>
      <w:r w:rsidR="003127BF" w:rsidRPr="00CD68BA">
        <w:rPr>
          <w:lang w:val="es-CR"/>
        </w:rPr>
        <w:t xml:space="preserve"> en cuestión</w:t>
      </w:r>
      <w:r w:rsidR="00D92DCE" w:rsidRPr="00CD68BA">
        <w:rPr>
          <w:rStyle w:val="Refdenotaalpie"/>
          <w:lang w:val="es-CR"/>
        </w:rPr>
        <w:footnoteReference w:id="166"/>
      </w:r>
      <w:r w:rsidR="003127BF" w:rsidRPr="00CD68BA">
        <w:rPr>
          <w:lang w:val="es-CR"/>
        </w:rPr>
        <w:t xml:space="preserve">; Luzia Batista da Silva había indicado en sus primeras declaraciones que </w:t>
      </w:r>
      <w:r w:rsidR="00AF291B" w:rsidRPr="00CD68BA">
        <w:rPr>
          <w:lang w:val="es-CR"/>
        </w:rPr>
        <w:t>tenía miedo de contar los hechos de los cuales había sido testigo</w:t>
      </w:r>
      <w:r w:rsidR="00D92DCE" w:rsidRPr="00CD68BA">
        <w:rPr>
          <w:lang w:val="es-CR"/>
        </w:rPr>
        <w:t xml:space="preserve"> (</w:t>
      </w:r>
      <w:r w:rsidR="00D92DCE" w:rsidRPr="00CD68BA">
        <w:rPr>
          <w:i/>
          <w:iCs/>
          <w:lang w:val="es-CR"/>
        </w:rPr>
        <w:t xml:space="preserve">supra </w:t>
      </w:r>
      <w:r w:rsidR="00D92DCE" w:rsidRPr="00CD68BA">
        <w:rPr>
          <w:lang w:val="es-CR"/>
        </w:rPr>
        <w:t>nota al pie 79)</w:t>
      </w:r>
      <w:r w:rsidR="00D25B20" w:rsidRPr="00CD68BA">
        <w:rPr>
          <w:lang w:val="es-CR"/>
        </w:rPr>
        <w:t xml:space="preserve">. </w:t>
      </w:r>
      <w:r w:rsidR="002A29A2" w:rsidRPr="00CD68BA">
        <w:rPr>
          <w:lang w:val="es-CR"/>
        </w:rPr>
        <w:t>Sin embargo, no se tiene noticia de medida</w:t>
      </w:r>
      <w:r w:rsidR="002722A0" w:rsidRPr="00CD68BA">
        <w:rPr>
          <w:lang w:val="es-CR"/>
        </w:rPr>
        <w:t>s</w:t>
      </w:r>
      <w:r w:rsidR="002A29A2" w:rsidRPr="00CD68BA">
        <w:rPr>
          <w:lang w:val="es-CR"/>
        </w:rPr>
        <w:t xml:space="preserve"> de protección </w:t>
      </w:r>
      <w:r w:rsidR="00AF291B" w:rsidRPr="00CD68BA">
        <w:rPr>
          <w:lang w:val="es-CR"/>
        </w:rPr>
        <w:t>adoptada</w:t>
      </w:r>
      <w:r w:rsidR="002722A0" w:rsidRPr="00CD68BA">
        <w:rPr>
          <w:lang w:val="es-CR"/>
        </w:rPr>
        <w:t>s</w:t>
      </w:r>
      <w:r w:rsidR="00AF291B" w:rsidRPr="00CD68BA">
        <w:rPr>
          <w:lang w:val="es-CR"/>
        </w:rPr>
        <w:t xml:space="preserve"> en </w:t>
      </w:r>
      <w:r w:rsidR="002722A0" w:rsidRPr="00CD68BA">
        <w:rPr>
          <w:lang w:val="es-CR"/>
        </w:rPr>
        <w:t xml:space="preserve">su </w:t>
      </w:r>
      <w:r w:rsidR="00AF291B" w:rsidRPr="00CD68BA">
        <w:rPr>
          <w:lang w:val="es-CR"/>
        </w:rPr>
        <w:t>favor, durante todo el trámite del proceso judicial</w:t>
      </w:r>
      <w:r w:rsidR="002A29A2" w:rsidRPr="00CD68BA">
        <w:rPr>
          <w:lang w:val="es-CR"/>
        </w:rPr>
        <w:t>. Al respecto, Antonio Francisco da Silva, pese haber sido intimado a la primera sesión del Tribunal de Jurados programada para mayo de 2002, no compareció y no justificó su ausenci</w:t>
      </w:r>
      <w:r w:rsidR="003127BF" w:rsidRPr="00CD68BA">
        <w:rPr>
          <w:lang w:val="es-CR"/>
        </w:rPr>
        <w:t>a. Además,</w:t>
      </w:r>
      <w:r w:rsidR="00D25B20" w:rsidRPr="00CD68BA">
        <w:rPr>
          <w:lang w:val="es-CR"/>
        </w:rPr>
        <w:t xml:space="preserve"> </w:t>
      </w:r>
      <w:r w:rsidR="00AA7A6F" w:rsidRPr="00CD68BA">
        <w:rPr>
          <w:lang w:val="es-CR"/>
        </w:rPr>
        <w:t>Luzia Batista da Silva</w:t>
      </w:r>
      <w:r w:rsidR="003127BF" w:rsidRPr="00CD68BA">
        <w:rPr>
          <w:lang w:val="es-CR"/>
        </w:rPr>
        <w:t>, también convocada a declarar durante la misma sesión</w:t>
      </w:r>
      <w:r w:rsidR="00AF291B" w:rsidRPr="00CD68BA">
        <w:rPr>
          <w:lang w:val="es-CR"/>
        </w:rPr>
        <w:t>,</w:t>
      </w:r>
      <w:r w:rsidR="003127BF" w:rsidRPr="00CD68BA">
        <w:rPr>
          <w:lang w:val="es-CR"/>
        </w:rPr>
        <w:t xml:space="preserve"> no fue encontrada en su residencia y consta del expediente que un vecino suyo informó que ella habría fallecido</w:t>
      </w:r>
      <w:r w:rsidR="00AF291B" w:rsidRPr="00CD68BA">
        <w:rPr>
          <w:lang w:val="es-CR"/>
        </w:rPr>
        <w:t>.</w:t>
      </w:r>
    </w:p>
    <w:p w14:paraId="2FDA4540" w14:textId="50063C50" w:rsidR="00E31377" w:rsidRPr="00CD68BA" w:rsidRDefault="00E31377" w:rsidP="00A06718">
      <w:pPr>
        <w:pStyle w:val="Prrafodelista"/>
        <w:spacing w:before="0" w:after="0"/>
        <w:contextualSpacing w:val="0"/>
        <w:rPr>
          <w:lang w:val="es-CR"/>
        </w:rPr>
      </w:pPr>
    </w:p>
    <w:p w14:paraId="2F3E71E6" w14:textId="60D61E8C" w:rsidR="00E31377" w:rsidRPr="00CD68BA" w:rsidRDefault="00D14EAE"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Al respecto, </w:t>
      </w:r>
      <w:r w:rsidR="00001FD9" w:rsidRPr="00CD68BA">
        <w:rPr>
          <w:lang w:val="es-CR"/>
        </w:rPr>
        <w:t>el Tribunal nota que,</w:t>
      </w:r>
      <w:r w:rsidRPr="00CD68BA">
        <w:rPr>
          <w:lang w:val="es-CR"/>
        </w:rPr>
        <w:t xml:space="preserve"> además de </w:t>
      </w:r>
      <w:r w:rsidR="007131B3" w:rsidRPr="00CD68BA">
        <w:rPr>
          <w:lang w:val="es-CR"/>
        </w:rPr>
        <w:t xml:space="preserve">haber tomado conocimiento de </w:t>
      </w:r>
      <w:r w:rsidRPr="00CD68BA">
        <w:rPr>
          <w:rFonts w:eastAsiaTheme="minorHAnsi"/>
          <w:lang w:val="es-CR"/>
        </w:rPr>
        <w:t xml:space="preserve">la </w:t>
      </w:r>
      <w:r w:rsidR="007131B3" w:rsidRPr="00CD68BA">
        <w:rPr>
          <w:rFonts w:eastAsiaTheme="minorHAnsi"/>
          <w:lang w:val="es-CR"/>
        </w:rPr>
        <w:t xml:space="preserve">muerte de la </w:t>
      </w:r>
      <w:r w:rsidRPr="00CD68BA">
        <w:rPr>
          <w:rFonts w:eastAsiaTheme="minorHAnsi"/>
          <w:lang w:val="es-CR"/>
        </w:rPr>
        <w:t>testigo ocular Luzia Batista da Silva,</w:t>
      </w:r>
      <w:r w:rsidR="00001FD9" w:rsidRPr="00CD68BA">
        <w:rPr>
          <w:lang w:val="es-CR"/>
        </w:rPr>
        <w:t xml:space="preserve"> </w:t>
      </w:r>
      <w:r w:rsidR="007131B3" w:rsidRPr="00CD68BA">
        <w:rPr>
          <w:lang w:val="es-CR"/>
        </w:rPr>
        <w:t>durante la etapa del examen del caso por el Tribunal de Jurados</w:t>
      </w:r>
      <w:r w:rsidR="004D538F" w:rsidRPr="00CD68BA">
        <w:rPr>
          <w:lang w:val="es-CR"/>
        </w:rPr>
        <w:t>, en 2002</w:t>
      </w:r>
      <w:r w:rsidR="007131B3" w:rsidRPr="00CD68BA">
        <w:rPr>
          <w:rStyle w:val="Refdenotaalpie"/>
          <w:lang w:val="es-CR"/>
        </w:rPr>
        <w:footnoteReference w:id="167"/>
      </w:r>
      <w:r w:rsidR="007131B3" w:rsidRPr="00CD68BA">
        <w:rPr>
          <w:lang w:val="es-CR"/>
        </w:rPr>
        <w:t xml:space="preserve">, </w:t>
      </w:r>
      <w:r w:rsidR="004D538F" w:rsidRPr="00CD68BA">
        <w:rPr>
          <w:rFonts w:eastAsiaTheme="minorHAnsi"/>
          <w:lang w:val="es-CR"/>
        </w:rPr>
        <w:t>y del fallecimiento de</w:t>
      </w:r>
      <w:r w:rsidR="00D4219A" w:rsidRPr="00CD68BA">
        <w:rPr>
          <w:rFonts w:eastAsiaTheme="minorHAnsi"/>
          <w:lang w:val="es-CR"/>
        </w:rPr>
        <w:t>l acusado</w:t>
      </w:r>
      <w:r w:rsidR="00533B2A" w:rsidRPr="00CD68BA">
        <w:rPr>
          <w:rFonts w:eastAsiaTheme="minorHAnsi"/>
          <w:lang w:val="es-CR"/>
        </w:rPr>
        <w:t xml:space="preserve"> J</w:t>
      </w:r>
      <w:r w:rsidR="00D4219A" w:rsidRPr="00CD68BA">
        <w:rPr>
          <w:rFonts w:eastAsiaTheme="minorHAnsi"/>
          <w:lang w:val="es-CR"/>
        </w:rPr>
        <w:t>.P.N.</w:t>
      </w:r>
      <w:r w:rsidR="00001FD9" w:rsidRPr="00CD68BA">
        <w:rPr>
          <w:rStyle w:val="Refdenotaalpie"/>
          <w:rFonts w:eastAsiaTheme="minorHAnsi"/>
          <w:color w:val="000000"/>
          <w:lang w:val="es-CR"/>
        </w:rPr>
        <w:footnoteReference w:id="168"/>
      </w:r>
      <w:r w:rsidR="00001FD9" w:rsidRPr="00CD68BA">
        <w:rPr>
          <w:rFonts w:eastAsiaTheme="minorHAnsi"/>
          <w:lang w:val="es-CR"/>
        </w:rPr>
        <w:t xml:space="preserve"> </w:t>
      </w:r>
      <w:r w:rsidR="007131B3" w:rsidRPr="00CD68BA">
        <w:rPr>
          <w:rFonts w:eastAsiaTheme="minorHAnsi"/>
          <w:lang w:val="es-CR"/>
        </w:rPr>
        <w:t xml:space="preserve">, </w:t>
      </w:r>
      <w:r w:rsidR="007131B3" w:rsidRPr="00CD68BA">
        <w:rPr>
          <w:lang w:val="es-CR"/>
        </w:rPr>
        <w:t>durante la etapa de la decisión de “</w:t>
      </w:r>
      <w:r w:rsidR="007131B3" w:rsidRPr="00CD68BA">
        <w:rPr>
          <w:i/>
          <w:iCs/>
          <w:lang w:val="es-CR"/>
        </w:rPr>
        <w:t>pronúncia</w:t>
      </w:r>
      <w:r w:rsidR="007131B3" w:rsidRPr="00CD68BA">
        <w:rPr>
          <w:lang w:val="es-CR"/>
        </w:rPr>
        <w:t>”,</w:t>
      </w:r>
      <w:r w:rsidR="00001FD9" w:rsidRPr="00CD68BA">
        <w:rPr>
          <w:rFonts w:eastAsiaTheme="minorHAnsi"/>
          <w:lang w:val="es-CR"/>
        </w:rPr>
        <w:t xml:space="preserve"> no consta del expediente que las autoridades estatales hayan investiga</w:t>
      </w:r>
      <w:r w:rsidR="002722A0" w:rsidRPr="00CD68BA">
        <w:rPr>
          <w:rFonts w:eastAsiaTheme="minorHAnsi"/>
          <w:lang w:val="es-CR"/>
        </w:rPr>
        <w:t>do</w:t>
      </w:r>
      <w:r w:rsidR="00001FD9" w:rsidRPr="00CD68BA">
        <w:rPr>
          <w:rFonts w:eastAsiaTheme="minorHAnsi"/>
          <w:lang w:val="es-CR"/>
        </w:rPr>
        <w:t xml:space="preserve"> </w:t>
      </w:r>
      <w:r w:rsidR="004D538F" w:rsidRPr="00CD68BA">
        <w:rPr>
          <w:rFonts w:eastAsiaTheme="minorHAnsi"/>
          <w:lang w:val="es-CR"/>
        </w:rPr>
        <w:t>las circunstancias de estas muertes y su posible</w:t>
      </w:r>
      <w:r w:rsidR="00001FD9" w:rsidRPr="00CD68BA">
        <w:rPr>
          <w:rFonts w:eastAsiaTheme="minorHAnsi"/>
          <w:lang w:val="es-CR"/>
        </w:rPr>
        <w:t xml:space="preserve"> relación con el proceso</w:t>
      </w:r>
      <w:r w:rsidR="004D538F" w:rsidRPr="00CD68BA">
        <w:rPr>
          <w:rFonts w:eastAsiaTheme="minorHAnsi"/>
          <w:lang w:val="es-CR"/>
        </w:rPr>
        <w:t xml:space="preserve"> penal</w:t>
      </w:r>
      <w:r w:rsidR="00001FD9" w:rsidRPr="00CD68BA">
        <w:rPr>
          <w:rFonts w:eastAsiaTheme="minorHAnsi"/>
          <w:lang w:val="es-CR"/>
        </w:rPr>
        <w:t xml:space="preserve">. Esta grave omisión del Estado agudiza la sensación de impunidad y </w:t>
      </w:r>
      <w:r w:rsidR="00AE4B2D" w:rsidRPr="00CD68BA">
        <w:rPr>
          <w:rFonts w:eastAsiaTheme="minorHAnsi"/>
          <w:lang w:val="es-CR"/>
        </w:rPr>
        <w:t>afecta</w:t>
      </w:r>
      <w:r w:rsidR="00AE4B2D" w:rsidRPr="00CD68BA">
        <w:rPr>
          <w:rFonts w:eastAsiaTheme="minorHAnsi"/>
          <w:b/>
          <w:bCs/>
          <w:lang w:val="es-CR"/>
        </w:rPr>
        <w:t xml:space="preserve"> </w:t>
      </w:r>
      <w:r w:rsidR="00001FD9" w:rsidRPr="00CD68BA">
        <w:rPr>
          <w:rFonts w:eastAsiaTheme="minorHAnsi"/>
          <w:lang w:val="es-CR"/>
        </w:rPr>
        <w:t xml:space="preserve">la confianza </w:t>
      </w:r>
      <w:r w:rsidR="00AE4B2D" w:rsidRPr="00CD68BA">
        <w:rPr>
          <w:rFonts w:eastAsiaTheme="minorHAnsi"/>
          <w:lang w:val="es-CR"/>
        </w:rPr>
        <w:t xml:space="preserve">de los justiciables </w:t>
      </w:r>
      <w:r w:rsidR="00001FD9" w:rsidRPr="00CD68BA">
        <w:rPr>
          <w:rFonts w:eastAsiaTheme="minorHAnsi"/>
          <w:lang w:val="es-CR"/>
        </w:rPr>
        <w:t xml:space="preserve">en el Poder Judicial. </w:t>
      </w:r>
    </w:p>
    <w:p w14:paraId="51FE301D" w14:textId="47D589A3" w:rsidR="00E31377" w:rsidRPr="00CD68BA" w:rsidRDefault="00E31377" w:rsidP="00A06718">
      <w:pPr>
        <w:pStyle w:val="Prrafodelista"/>
        <w:spacing w:before="0" w:after="0"/>
        <w:contextualSpacing w:val="0"/>
        <w:rPr>
          <w:lang w:val="es-CR"/>
        </w:rPr>
      </w:pPr>
    </w:p>
    <w:p w14:paraId="3201D66E" w14:textId="5E10AE4D"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En relación con el deber de agotar todas las líneas de investigación y practicar todos los actos investigativos necesarios para identificar a los responsables, la Corte advierte que, en la sentencia de “</w:t>
      </w:r>
      <w:r w:rsidRPr="00CD68BA">
        <w:rPr>
          <w:i/>
          <w:iCs/>
          <w:lang w:val="es-CR"/>
        </w:rPr>
        <w:t>pronúncia</w:t>
      </w:r>
      <w:r w:rsidRPr="00CD68BA">
        <w:rPr>
          <w:lang w:val="es-CR"/>
        </w:rPr>
        <w:t>”,</w:t>
      </w:r>
      <w:r w:rsidR="00256E22" w:rsidRPr="00CD68BA">
        <w:rPr>
          <w:lang w:val="es-CR"/>
        </w:rPr>
        <w:t xml:space="preserve"> en agosto de 2000,</w:t>
      </w:r>
      <w:r w:rsidRPr="00CD68BA">
        <w:rPr>
          <w:lang w:val="es-CR"/>
        </w:rPr>
        <w:t xml:space="preserve"> el juez decidió que era improcedente la presentación del caso ante el Tribunal de Jurados respecto de </w:t>
      </w:r>
      <w:r w:rsidR="00524A26" w:rsidRPr="00CD68BA">
        <w:rPr>
          <w:lang w:val="es-CR"/>
        </w:rPr>
        <w:t>C.O.S.</w:t>
      </w:r>
      <w:r w:rsidRPr="00CD68BA">
        <w:rPr>
          <w:lang w:val="es-CR"/>
        </w:rPr>
        <w:t>, debido a la ausencia de pruebas, pese al hecho de que e</w:t>
      </w:r>
      <w:r w:rsidR="00A5112A" w:rsidRPr="00CD68BA">
        <w:rPr>
          <w:lang w:val="es-CR"/>
        </w:rPr>
        <w:t>n el</w:t>
      </w:r>
      <w:r w:rsidRPr="00CD68BA">
        <w:rPr>
          <w:lang w:val="es-CR"/>
        </w:rPr>
        <w:t xml:space="preserve"> informe final de las investigaciones policiales</w:t>
      </w:r>
      <w:r w:rsidR="009E1559" w:rsidRPr="00CD68BA">
        <w:rPr>
          <w:lang w:val="es-CR"/>
        </w:rPr>
        <w:t xml:space="preserve"> se consignaba</w:t>
      </w:r>
      <w:r w:rsidRPr="00CD68BA">
        <w:rPr>
          <w:lang w:val="es-CR"/>
        </w:rPr>
        <w:t xml:space="preserve"> indicios suficientes de la participación del mismo en el delito; que el Fiscal del caso notó que el señor Oliveira de Sousa no había sido sometido al examen de reconocimiento por parte de la testigo ocular, Luzia Batista da Silva, ni por Neuzila Jardi</w:t>
      </w:r>
      <w:r w:rsidR="00247AFC" w:rsidRPr="00CD68BA">
        <w:rPr>
          <w:lang w:val="es-CR"/>
        </w:rPr>
        <w:t>m</w:t>
      </w:r>
      <w:r w:rsidRPr="00CD68BA">
        <w:rPr>
          <w:lang w:val="es-CR"/>
        </w:rPr>
        <w:t xml:space="preserve"> Cerqueira, quien acompañaba a Gabriel </w:t>
      </w:r>
      <w:r w:rsidR="00DE1C0E" w:rsidRPr="00CD68BA">
        <w:rPr>
          <w:lang w:val="es-CR"/>
        </w:rPr>
        <w:t xml:space="preserve">Sales Pimenta </w:t>
      </w:r>
      <w:r w:rsidRPr="00CD68BA">
        <w:rPr>
          <w:lang w:val="es-CR"/>
        </w:rPr>
        <w:t xml:space="preserve">en la ocasión de su muerte, y que </w:t>
      </w:r>
      <w:r w:rsidR="00524A26" w:rsidRPr="00CD68BA">
        <w:rPr>
          <w:lang w:val="es-CR"/>
        </w:rPr>
        <w:t>C.O.S.</w:t>
      </w:r>
      <w:r w:rsidRPr="00CD68BA">
        <w:rPr>
          <w:lang w:val="es-CR"/>
        </w:rPr>
        <w:t xml:space="preserve"> era conocido como pistolero de </w:t>
      </w:r>
      <w:r w:rsidR="00D62D06" w:rsidRPr="00CD68BA">
        <w:rPr>
          <w:lang w:val="es-CR"/>
        </w:rPr>
        <w:t>J.P.N.</w:t>
      </w:r>
      <w:r w:rsidRPr="00CD68BA">
        <w:rPr>
          <w:lang w:val="es-CR"/>
        </w:rPr>
        <w:t xml:space="preserve"> en la región</w:t>
      </w:r>
      <w:r w:rsidRPr="00CD68BA">
        <w:rPr>
          <w:rStyle w:val="Refdenotaalpie"/>
          <w:lang w:val="es-CR"/>
        </w:rPr>
        <w:footnoteReference w:id="169"/>
      </w:r>
      <w:r w:rsidRPr="00CD68BA">
        <w:rPr>
          <w:lang w:val="es-CR"/>
        </w:rPr>
        <w:t xml:space="preserve">, siendo posiblemente el autor de los disparos. Así, la Corte nota que </w:t>
      </w:r>
      <w:bookmarkStart w:id="138" w:name="_Hlk104479160"/>
      <w:r w:rsidRPr="00CD68BA">
        <w:rPr>
          <w:lang w:val="es-CR"/>
        </w:rPr>
        <w:t xml:space="preserve">la identidad del individuo que disparó contra Gabriel Sales Pimenta nunca </w:t>
      </w:r>
      <w:r w:rsidR="00247AFC" w:rsidRPr="00CD68BA">
        <w:rPr>
          <w:lang w:val="es-CR"/>
        </w:rPr>
        <w:t>fue</w:t>
      </w:r>
      <w:r w:rsidRPr="00CD68BA">
        <w:rPr>
          <w:lang w:val="es-CR"/>
        </w:rPr>
        <w:t xml:space="preserve"> aclarada</w:t>
      </w:r>
      <w:bookmarkEnd w:id="138"/>
      <w:r w:rsidRPr="00CD68BA">
        <w:rPr>
          <w:lang w:val="es-CR"/>
        </w:rPr>
        <w:t>.</w:t>
      </w:r>
    </w:p>
    <w:p w14:paraId="50C6544A" w14:textId="67C6959C" w:rsidR="00E31377" w:rsidRPr="00CD68BA" w:rsidRDefault="00E31377" w:rsidP="00A06718">
      <w:pPr>
        <w:pStyle w:val="Prrafodelista"/>
        <w:spacing w:before="0" w:after="0"/>
        <w:contextualSpacing w:val="0"/>
        <w:rPr>
          <w:lang w:val="es-CR"/>
        </w:rPr>
      </w:pPr>
    </w:p>
    <w:p w14:paraId="70480628" w14:textId="7DCC1D84"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De otra parte, la Corte observa la ausencia, en distintos momentos procesales, de medidas suficientes para asegurar el desarrollo del proceso y la comparecencia de </w:t>
      </w:r>
      <w:r w:rsidR="00D62D06" w:rsidRPr="00CD68BA">
        <w:rPr>
          <w:lang w:val="es-CR"/>
        </w:rPr>
        <w:t>M.C.N.</w:t>
      </w:r>
      <w:r w:rsidRPr="00CD68BA">
        <w:rPr>
          <w:lang w:val="es-CR"/>
        </w:rPr>
        <w:t xml:space="preserve"> En </w:t>
      </w:r>
      <w:r w:rsidR="00910294" w:rsidRPr="00CD68BA">
        <w:rPr>
          <w:lang w:val="es-CR"/>
        </w:rPr>
        <w:t xml:space="preserve">este </w:t>
      </w:r>
      <w:r w:rsidRPr="00CD68BA">
        <w:rPr>
          <w:lang w:val="es-CR"/>
        </w:rPr>
        <w:t xml:space="preserve">sentido, se pudo verificar que el Estado no actuó con la debida diligencia en la ejecución de las órdenes de detención dictadas durante el proceso, de modo que no se logró evitar la fuga de los acusados respecto de los cuales se había ordenado la prisión preventiva. La Corte constata la ausencia de medidas por parte del Estado aun cuando el paradero del acusado </w:t>
      </w:r>
      <w:r w:rsidR="00D62D06" w:rsidRPr="00CD68BA">
        <w:rPr>
          <w:lang w:val="es-CR"/>
        </w:rPr>
        <w:t>M.C.N.</w:t>
      </w:r>
      <w:r w:rsidRPr="00CD68BA">
        <w:rPr>
          <w:lang w:val="es-CR"/>
        </w:rPr>
        <w:t xml:space="preserve"> era ampliamente conocido</w:t>
      </w:r>
      <w:r w:rsidRPr="00CD68BA">
        <w:rPr>
          <w:rStyle w:val="Refdenotaalpie"/>
          <w:lang w:val="es-CR"/>
        </w:rPr>
        <w:footnoteReference w:id="170"/>
      </w:r>
      <w:r w:rsidRPr="00CD68BA">
        <w:rPr>
          <w:lang w:val="es-CR"/>
        </w:rPr>
        <w:t xml:space="preserve">. A título de ejemplo, tras algunas ausencias de </w:t>
      </w:r>
      <w:r w:rsidR="00D62D06" w:rsidRPr="00CD68BA">
        <w:rPr>
          <w:lang w:val="es-CR"/>
        </w:rPr>
        <w:t>M.C.N.</w:t>
      </w:r>
      <w:r w:rsidRPr="00CD68BA">
        <w:rPr>
          <w:lang w:val="es-CR"/>
        </w:rPr>
        <w:t xml:space="preserve"> a actos procesales que requerían su presencia</w:t>
      </w:r>
      <w:r w:rsidRPr="00CD68BA">
        <w:rPr>
          <w:rStyle w:val="Refdenotaalpie"/>
          <w:lang w:val="es-CR"/>
        </w:rPr>
        <w:footnoteReference w:id="171"/>
      </w:r>
      <w:r w:rsidRPr="00CD68BA">
        <w:rPr>
          <w:lang w:val="es-CR"/>
        </w:rPr>
        <w:t>, el Ministerio Público solicitó la prisión preventiva en su contra, el 23 de abril de 20</w:t>
      </w:r>
      <w:r w:rsidR="00792BCF" w:rsidRPr="00CD68BA">
        <w:rPr>
          <w:lang w:val="es-CR"/>
        </w:rPr>
        <w:t>0</w:t>
      </w:r>
      <w:r w:rsidRPr="00CD68BA">
        <w:rPr>
          <w:lang w:val="es-CR"/>
        </w:rPr>
        <w:t xml:space="preserve">2 (veinte años después de la muerte de Gabriel Sales Pimenta), pero solamente ante la incomparecencia del imputado a la primera sesión ante el </w:t>
      </w:r>
      <w:r w:rsidR="00D5418F" w:rsidRPr="00CD68BA">
        <w:rPr>
          <w:lang w:val="es-CR"/>
        </w:rPr>
        <w:t>T</w:t>
      </w:r>
      <w:r w:rsidRPr="00CD68BA">
        <w:rPr>
          <w:lang w:val="es-CR"/>
        </w:rPr>
        <w:t xml:space="preserve">ribunal de </w:t>
      </w:r>
      <w:r w:rsidR="00D5418F" w:rsidRPr="00CD68BA">
        <w:rPr>
          <w:lang w:val="es-CR"/>
        </w:rPr>
        <w:t>J</w:t>
      </w:r>
      <w:r w:rsidRPr="00CD68BA">
        <w:rPr>
          <w:lang w:val="es-CR"/>
        </w:rPr>
        <w:t>urado</w:t>
      </w:r>
      <w:r w:rsidR="00D5418F" w:rsidRPr="00CD68BA">
        <w:rPr>
          <w:lang w:val="es-CR"/>
        </w:rPr>
        <w:t>s</w:t>
      </w:r>
      <w:r w:rsidRPr="00CD68BA">
        <w:rPr>
          <w:lang w:val="es-CR"/>
        </w:rPr>
        <w:t xml:space="preserve">, convocada para el 23 de mayo de 2002, el juez competente decretó la orden </w:t>
      </w:r>
      <w:r w:rsidR="005B77A7" w:rsidRPr="00CD68BA">
        <w:rPr>
          <w:lang w:val="es-CR"/>
        </w:rPr>
        <w:t>s</w:t>
      </w:r>
      <w:r w:rsidRPr="00CD68BA">
        <w:rPr>
          <w:lang w:val="es-CR"/>
        </w:rPr>
        <w:t>olicitada</w:t>
      </w:r>
      <w:r w:rsidR="00186ACB" w:rsidRPr="00CD68BA">
        <w:rPr>
          <w:rStyle w:val="Refdenotaalpie"/>
          <w:lang w:val="es-CR"/>
        </w:rPr>
        <w:footnoteReference w:id="172"/>
      </w:r>
      <w:r w:rsidRPr="00CD68BA">
        <w:rPr>
          <w:lang w:val="es-CR"/>
        </w:rPr>
        <w:t xml:space="preserve">. </w:t>
      </w:r>
      <w:r w:rsidR="00D517B2" w:rsidRPr="00CD68BA">
        <w:rPr>
          <w:lang w:val="es-CR"/>
        </w:rPr>
        <w:t>No obstante</w:t>
      </w:r>
      <w:r w:rsidRPr="00CD68BA">
        <w:rPr>
          <w:lang w:val="es-CR"/>
        </w:rPr>
        <w:t xml:space="preserve">, se </w:t>
      </w:r>
      <w:r w:rsidR="008C4C10" w:rsidRPr="00CD68BA">
        <w:rPr>
          <w:lang w:val="es-CR"/>
        </w:rPr>
        <w:t>constata</w:t>
      </w:r>
      <w:r w:rsidRPr="00CD68BA">
        <w:rPr>
          <w:lang w:val="es-CR"/>
        </w:rPr>
        <w:t xml:space="preserve"> la inexistencia de medida alguna tendiente a detener a</w:t>
      </w:r>
      <w:r w:rsidR="00B2574E" w:rsidRPr="00CD68BA">
        <w:rPr>
          <w:lang w:val="es-CR"/>
        </w:rPr>
        <w:t xml:space="preserve"> M.C.N.</w:t>
      </w:r>
      <w:r w:rsidRPr="00CD68BA">
        <w:rPr>
          <w:lang w:val="es-CR"/>
        </w:rPr>
        <w:t xml:space="preserve"> en los tres años siguie</w:t>
      </w:r>
      <w:r w:rsidR="006467C6" w:rsidRPr="00CD68BA">
        <w:rPr>
          <w:lang w:val="es-CR"/>
        </w:rPr>
        <w:t>ntes</w:t>
      </w:r>
      <w:r w:rsidRPr="00CD68BA">
        <w:rPr>
          <w:lang w:val="es-CR"/>
        </w:rPr>
        <w:t xml:space="preserve">. Se </w:t>
      </w:r>
      <w:r w:rsidR="00B2574E" w:rsidRPr="00CD68BA">
        <w:rPr>
          <w:lang w:val="es-CR"/>
        </w:rPr>
        <w:t>verifica</w:t>
      </w:r>
      <w:r w:rsidRPr="00CD68BA">
        <w:rPr>
          <w:lang w:val="es-CR"/>
        </w:rPr>
        <w:t xml:space="preserve"> que, solamente cuatro años después, en</w:t>
      </w:r>
      <w:r w:rsidR="00D46213" w:rsidRPr="00CD68BA">
        <w:rPr>
          <w:lang w:val="es-CR"/>
        </w:rPr>
        <w:t xml:space="preserve"> febrero</w:t>
      </w:r>
      <w:r w:rsidRPr="00CD68BA">
        <w:rPr>
          <w:lang w:val="es-CR"/>
        </w:rPr>
        <w:t xml:space="preserve"> de 2006</w:t>
      </w:r>
      <w:r w:rsidR="00EC3D07" w:rsidRPr="00CD68BA">
        <w:rPr>
          <w:rStyle w:val="Refdenotaalpie"/>
          <w:lang w:val="es-CR"/>
        </w:rPr>
        <w:footnoteReference w:id="173"/>
      </w:r>
      <w:r w:rsidRPr="00CD68BA">
        <w:rPr>
          <w:lang w:val="es-CR"/>
        </w:rPr>
        <w:t>,</w:t>
      </w:r>
      <w:r w:rsidR="00282E83" w:rsidRPr="00CD68BA">
        <w:rPr>
          <w:lang w:val="es-CR"/>
        </w:rPr>
        <w:t xml:space="preserve"> </w:t>
      </w:r>
      <w:r w:rsidR="006467C6" w:rsidRPr="00CD68BA">
        <w:rPr>
          <w:lang w:val="es-CR"/>
        </w:rPr>
        <w:t>por</w:t>
      </w:r>
      <w:r w:rsidR="00D46213" w:rsidRPr="00CD68BA">
        <w:rPr>
          <w:lang w:val="es-CR"/>
        </w:rPr>
        <w:t xml:space="preserve"> orden del juez,</w:t>
      </w:r>
      <w:r w:rsidRPr="00CD68BA">
        <w:rPr>
          <w:lang w:val="es-CR"/>
        </w:rPr>
        <w:t xml:space="preserve"> </w:t>
      </w:r>
      <w:r w:rsidR="00D46213" w:rsidRPr="00CD68BA">
        <w:rPr>
          <w:lang w:val="es-CR"/>
        </w:rPr>
        <w:t xml:space="preserve">se conformó </w:t>
      </w:r>
      <w:r w:rsidRPr="00CD68BA">
        <w:rPr>
          <w:lang w:val="es-CR"/>
        </w:rPr>
        <w:t>un equipo de la Policía Federal para localizar al acusado</w:t>
      </w:r>
      <w:r w:rsidR="004936F2" w:rsidRPr="00CD68BA">
        <w:rPr>
          <w:rStyle w:val="Refdenotaalpie"/>
          <w:lang w:val="es-CR"/>
        </w:rPr>
        <w:footnoteReference w:id="174"/>
      </w:r>
      <w:r w:rsidRPr="00CD68BA">
        <w:rPr>
          <w:lang w:val="es-CR"/>
        </w:rPr>
        <w:t>.</w:t>
      </w:r>
    </w:p>
    <w:p w14:paraId="1B3DBB17" w14:textId="4942113A" w:rsidR="00CC0DF9" w:rsidRPr="00CD68BA" w:rsidRDefault="00CC0DF9" w:rsidP="00A06718">
      <w:pPr>
        <w:pStyle w:val="Prrafodelista"/>
        <w:spacing w:before="0" w:after="0"/>
        <w:ind w:left="0"/>
        <w:contextualSpacing w:val="0"/>
        <w:rPr>
          <w:szCs w:val="20"/>
          <w:lang w:val="es-CR"/>
        </w:rPr>
      </w:pPr>
      <w:bookmarkStart w:id="139" w:name="_Hlk104480329"/>
    </w:p>
    <w:p w14:paraId="37F42FC4" w14:textId="60697532" w:rsidR="001444AF" w:rsidRPr="00CD68BA" w:rsidRDefault="00256E22"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rPr>
        <w:t xml:space="preserve">Por otro lado, </w:t>
      </w:r>
      <w:r w:rsidR="006D4870" w:rsidRPr="00CD68BA">
        <w:rPr>
          <w:szCs w:val="20"/>
          <w:lang w:val="es-CR"/>
        </w:rPr>
        <w:t>la Corte considera que el envío de</w:t>
      </w:r>
      <w:r w:rsidRPr="00CD68BA">
        <w:rPr>
          <w:szCs w:val="20"/>
          <w:lang w:val="es-CR"/>
        </w:rPr>
        <w:t>l</w:t>
      </w:r>
      <w:r w:rsidR="006D4870" w:rsidRPr="00CD68BA">
        <w:rPr>
          <w:szCs w:val="20"/>
          <w:lang w:val="es-CR"/>
        </w:rPr>
        <w:t xml:space="preserve"> proceso penal</w:t>
      </w:r>
      <w:r w:rsidR="00CC0DF9" w:rsidRPr="00CD68BA">
        <w:rPr>
          <w:szCs w:val="20"/>
          <w:lang w:val="es-CR"/>
        </w:rPr>
        <w:t xml:space="preserve"> sobre la muerte de Gabriel </w:t>
      </w:r>
      <w:r w:rsidR="00561CE9" w:rsidRPr="00CD68BA">
        <w:rPr>
          <w:szCs w:val="20"/>
          <w:lang w:val="es-CR"/>
        </w:rPr>
        <w:t xml:space="preserve">Sales </w:t>
      </w:r>
      <w:r w:rsidR="00CC0DF9" w:rsidRPr="00CD68BA">
        <w:rPr>
          <w:szCs w:val="20"/>
          <w:lang w:val="es-CR"/>
        </w:rPr>
        <w:t xml:space="preserve">Pimenta al </w:t>
      </w:r>
      <w:r w:rsidR="006D4870" w:rsidRPr="00CD68BA">
        <w:rPr>
          <w:szCs w:val="20"/>
          <w:lang w:val="es-CR"/>
        </w:rPr>
        <w:t>entonces recién creado Juzgado</w:t>
      </w:r>
      <w:r w:rsidR="00CC0DF9" w:rsidRPr="00CD68BA">
        <w:rPr>
          <w:szCs w:val="20"/>
          <w:lang w:val="es-CR"/>
        </w:rPr>
        <w:t xml:space="preserve"> Agr</w:t>
      </w:r>
      <w:r w:rsidR="00FA34FF" w:rsidRPr="00CD68BA">
        <w:rPr>
          <w:szCs w:val="20"/>
          <w:lang w:val="es-CR"/>
        </w:rPr>
        <w:t>a</w:t>
      </w:r>
      <w:r w:rsidR="00CC0DF9" w:rsidRPr="00CD68BA">
        <w:rPr>
          <w:szCs w:val="20"/>
          <w:lang w:val="es-CR"/>
        </w:rPr>
        <w:t>ri</w:t>
      </w:r>
      <w:r w:rsidR="006D4870" w:rsidRPr="00CD68BA">
        <w:rPr>
          <w:szCs w:val="20"/>
          <w:lang w:val="es-CR"/>
        </w:rPr>
        <w:t>o</w:t>
      </w:r>
      <w:r w:rsidR="00E73C7E" w:rsidRPr="00CD68BA">
        <w:rPr>
          <w:szCs w:val="20"/>
          <w:lang w:val="es-CR"/>
        </w:rPr>
        <w:t xml:space="preserve"> en </w:t>
      </w:r>
      <w:r w:rsidR="008C0DD3" w:rsidRPr="00CD68BA">
        <w:rPr>
          <w:szCs w:val="20"/>
          <w:lang w:val="es-CR"/>
        </w:rPr>
        <w:t>febrero</w:t>
      </w:r>
      <w:r w:rsidR="00E73C7E" w:rsidRPr="00CD68BA">
        <w:rPr>
          <w:szCs w:val="20"/>
          <w:lang w:val="es-CR"/>
        </w:rPr>
        <w:t xml:space="preserve"> de 2004</w:t>
      </w:r>
      <w:r w:rsidR="00CC0DF9" w:rsidRPr="00CD68BA">
        <w:rPr>
          <w:szCs w:val="20"/>
          <w:lang w:val="es-CR"/>
        </w:rPr>
        <w:t xml:space="preserve"> </w:t>
      </w:r>
      <w:r w:rsidR="00B2574E" w:rsidRPr="00CD68BA">
        <w:rPr>
          <w:szCs w:val="20"/>
          <w:lang w:val="es-CR"/>
        </w:rPr>
        <w:t xml:space="preserve">- </w:t>
      </w:r>
      <w:r w:rsidR="00CC0DF9" w:rsidRPr="00CD68BA">
        <w:rPr>
          <w:szCs w:val="20"/>
          <w:lang w:val="es-CR"/>
        </w:rPr>
        <w:t xml:space="preserve">donde permaneció durante un año y </w:t>
      </w:r>
      <w:r w:rsidR="006D4870" w:rsidRPr="00CD68BA">
        <w:rPr>
          <w:szCs w:val="20"/>
          <w:lang w:val="es-CR"/>
        </w:rPr>
        <w:t xml:space="preserve">cinco </w:t>
      </w:r>
      <w:r w:rsidR="00CC0DF9" w:rsidRPr="00CD68BA">
        <w:rPr>
          <w:szCs w:val="20"/>
          <w:lang w:val="es-CR"/>
        </w:rPr>
        <w:t>meses</w:t>
      </w:r>
      <w:r w:rsidR="005B4081" w:rsidRPr="00CD68BA">
        <w:rPr>
          <w:szCs w:val="20"/>
          <w:lang w:val="es-CR"/>
        </w:rPr>
        <w:t>,</w:t>
      </w:r>
      <w:r w:rsidR="00CC0DF9" w:rsidRPr="00CD68BA">
        <w:rPr>
          <w:szCs w:val="20"/>
          <w:lang w:val="es-CR"/>
        </w:rPr>
        <w:t xml:space="preserve"> </w:t>
      </w:r>
      <w:r w:rsidR="00542F23" w:rsidRPr="00CD68BA">
        <w:rPr>
          <w:szCs w:val="20"/>
          <w:lang w:val="es-CR"/>
        </w:rPr>
        <w:t>pese</w:t>
      </w:r>
      <w:r w:rsidR="00B2574E" w:rsidRPr="00CD68BA">
        <w:rPr>
          <w:szCs w:val="20"/>
          <w:lang w:val="es-CR"/>
        </w:rPr>
        <w:t xml:space="preserve"> </w:t>
      </w:r>
      <w:r w:rsidR="00542F23" w:rsidRPr="00CD68BA">
        <w:rPr>
          <w:szCs w:val="20"/>
          <w:lang w:val="es-CR"/>
        </w:rPr>
        <w:t>a</w:t>
      </w:r>
      <w:r w:rsidR="00B2574E" w:rsidRPr="00CD68BA">
        <w:rPr>
          <w:szCs w:val="20"/>
          <w:lang w:val="es-CR"/>
        </w:rPr>
        <w:t xml:space="preserve"> </w:t>
      </w:r>
      <w:r w:rsidR="00567075" w:rsidRPr="00CD68BA">
        <w:rPr>
          <w:szCs w:val="20"/>
          <w:lang w:val="es-CR"/>
        </w:rPr>
        <w:t xml:space="preserve">que </w:t>
      </w:r>
      <w:r w:rsidR="006D4870" w:rsidRPr="00CD68BA">
        <w:rPr>
          <w:szCs w:val="20"/>
          <w:lang w:val="es-CR"/>
        </w:rPr>
        <w:t xml:space="preserve">la competencia </w:t>
      </w:r>
      <w:r w:rsidR="00CC0DF9" w:rsidRPr="00CD68BA">
        <w:rPr>
          <w:szCs w:val="20"/>
          <w:lang w:val="es-CR"/>
        </w:rPr>
        <w:t>para juzgar los delitos dolosos contra la vida</w:t>
      </w:r>
      <w:r w:rsidR="007A16AD" w:rsidRPr="00CD68BA">
        <w:rPr>
          <w:szCs w:val="20"/>
          <w:lang w:val="es-CR"/>
        </w:rPr>
        <w:t xml:space="preserve"> </w:t>
      </w:r>
      <w:r w:rsidR="004F7CFF" w:rsidRPr="00CD68BA">
        <w:rPr>
          <w:szCs w:val="20"/>
          <w:lang w:val="es-CR"/>
        </w:rPr>
        <w:t xml:space="preserve">correspondía </w:t>
      </w:r>
      <w:r w:rsidR="00542F23" w:rsidRPr="00CD68BA">
        <w:rPr>
          <w:szCs w:val="20"/>
          <w:lang w:val="es-CR"/>
        </w:rPr>
        <w:t xml:space="preserve">evidentemente </w:t>
      </w:r>
      <w:r w:rsidR="00B96338" w:rsidRPr="00CD68BA">
        <w:rPr>
          <w:szCs w:val="20"/>
          <w:lang w:val="es-CR"/>
        </w:rPr>
        <w:t>a</w:t>
      </w:r>
      <w:r w:rsidR="006D4870" w:rsidRPr="00CD68BA">
        <w:rPr>
          <w:szCs w:val="20"/>
          <w:lang w:val="es-CR"/>
        </w:rPr>
        <w:t xml:space="preserve">l Tribunal de Jurados </w:t>
      </w:r>
      <w:r w:rsidR="00B03544" w:rsidRPr="00CD68BA">
        <w:rPr>
          <w:szCs w:val="20"/>
          <w:lang w:val="es-CR"/>
        </w:rPr>
        <w:t>(</w:t>
      </w:r>
      <w:r w:rsidR="006D4870" w:rsidRPr="00CD68BA">
        <w:rPr>
          <w:szCs w:val="20"/>
          <w:lang w:val="es-CR"/>
        </w:rPr>
        <w:t xml:space="preserve">en los términos del artículo </w:t>
      </w:r>
      <w:r w:rsidR="00542F23" w:rsidRPr="00CD68BA">
        <w:rPr>
          <w:szCs w:val="20"/>
          <w:lang w:val="es-CR"/>
        </w:rPr>
        <w:t>5º, literal XXXVIII, “d”, de la Constitución brasileña</w:t>
      </w:r>
      <w:r w:rsidR="00B03544" w:rsidRPr="00CD68BA">
        <w:rPr>
          <w:szCs w:val="20"/>
          <w:lang w:val="es-CR"/>
        </w:rPr>
        <w:t>)</w:t>
      </w:r>
      <w:r w:rsidR="005B4081" w:rsidRPr="00CD68BA">
        <w:rPr>
          <w:szCs w:val="20"/>
          <w:lang w:val="es-CR"/>
        </w:rPr>
        <w:t xml:space="preserve"> -</w:t>
      </w:r>
      <w:r w:rsidR="00542F23" w:rsidRPr="00CD68BA">
        <w:rPr>
          <w:szCs w:val="20"/>
          <w:lang w:val="es-CR"/>
        </w:rPr>
        <w:t xml:space="preserve"> constituyó otro factor indicativo de la falta de debida diligencia del Estado frente al presente caso</w:t>
      </w:r>
      <w:r w:rsidR="00CC0DF9" w:rsidRPr="00CD68BA">
        <w:rPr>
          <w:szCs w:val="20"/>
          <w:lang w:val="es-CR"/>
        </w:rPr>
        <w:t>.</w:t>
      </w:r>
    </w:p>
    <w:p w14:paraId="4075E2B0" w14:textId="0AF6C51A" w:rsidR="00E31377" w:rsidRPr="00CD68BA" w:rsidRDefault="00E73C7E" w:rsidP="00A06718">
      <w:pPr>
        <w:pStyle w:val="Prrafodelista"/>
        <w:autoSpaceDE w:val="0"/>
        <w:autoSpaceDN w:val="0"/>
        <w:adjustRightInd w:val="0"/>
        <w:spacing w:before="0" w:after="0"/>
        <w:ind w:left="0"/>
        <w:contextualSpacing w:val="0"/>
        <w:rPr>
          <w:szCs w:val="20"/>
          <w:lang w:val="es-CR"/>
        </w:rPr>
      </w:pPr>
      <w:r w:rsidRPr="00CD68BA">
        <w:rPr>
          <w:szCs w:val="20"/>
          <w:lang w:val="es-CR"/>
        </w:rPr>
        <w:t xml:space="preserve"> </w:t>
      </w:r>
      <w:r w:rsidR="00542F23" w:rsidRPr="00CD68BA">
        <w:rPr>
          <w:szCs w:val="20"/>
          <w:lang w:val="es-CR"/>
        </w:rPr>
        <w:t xml:space="preserve"> </w:t>
      </w:r>
      <w:r w:rsidR="00340448" w:rsidRPr="00CD68BA">
        <w:rPr>
          <w:szCs w:val="20"/>
          <w:lang w:val="es-CR"/>
        </w:rPr>
        <w:t xml:space="preserve"> </w:t>
      </w:r>
    </w:p>
    <w:p w14:paraId="7EB9209B" w14:textId="7012ED75" w:rsidR="0099264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Por último, en cuanto a la conclusión del proceso penal, la Corte estima pertinente recordar que, el 8 de mayo de 2006, el Tribunal de Justicia de Pará extinguió la </w:t>
      </w:r>
      <w:r w:rsidR="006E3F10" w:rsidRPr="00CD68BA">
        <w:rPr>
          <w:lang w:val="es-CR"/>
        </w:rPr>
        <w:t>responsabilidad penal</w:t>
      </w:r>
      <w:r w:rsidRPr="00CD68BA">
        <w:rPr>
          <w:lang w:val="es-CR"/>
        </w:rPr>
        <w:t xml:space="preserve"> del único imputado, </w:t>
      </w:r>
      <w:r w:rsidR="00D62D06" w:rsidRPr="00CD68BA">
        <w:rPr>
          <w:lang w:val="es-CR"/>
        </w:rPr>
        <w:t>M.C.N.</w:t>
      </w:r>
      <w:r w:rsidRPr="00CD68BA">
        <w:rPr>
          <w:lang w:val="es-CR"/>
        </w:rPr>
        <w:t>, en aplicación de la prescripción</w:t>
      </w:r>
      <w:r w:rsidR="00BD2825" w:rsidRPr="00CD68BA">
        <w:rPr>
          <w:lang w:val="es-CR"/>
        </w:rPr>
        <w:t xml:space="preserve">, al considerar que la misma se habría consumado en virtud de los 17 años transcurridos entre la admisión de la denuncia inicial del </w:t>
      </w:r>
      <w:r w:rsidR="00BD2825" w:rsidRPr="00CD68BA">
        <w:rPr>
          <w:lang w:val="es-CR"/>
        </w:rPr>
        <w:lastRenderedPageBreak/>
        <w:t>Ministerio Público y la decisión de “</w:t>
      </w:r>
      <w:r w:rsidR="00BD2825" w:rsidRPr="00CD68BA">
        <w:rPr>
          <w:i/>
          <w:iCs/>
          <w:lang w:val="es-CR"/>
        </w:rPr>
        <w:t>pron</w:t>
      </w:r>
      <w:r w:rsidR="004415A3" w:rsidRPr="00CD68BA">
        <w:rPr>
          <w:i/>
          <w:iCs/>
          <w:lang w:val="es-CR"/>
        </w:rPr>
        <w:t>ú</w:t>
      </w:r>
      <w:r w:rsidR="00BD2825" w:rsidRPr="00CD68BA">
        <w:rPr>
          <w:i/>
          <w:iCs/>
          <w:lang w:val="es-CR"/>
        </w:rPr>
        <w:t>ncia</w:t>
      </w:r>
      <w:r w:rsidR="00BD2825" w:rsidRPr="00CD68BA">
        <w:rPr>
          <w:lang w:val="es-CR"/>
        </w:rPr>
        <w:t>”</w:t>
      </w:r>
      <w:r w:rsidR="00BD2825" w:rsidRPr="00CD68BA">
        <w:rPr>
          <w:rStyle w:val="Refdenotaalpie"/>
          <w:lang w:val="es-CR"/>
        </w:rPr>
        <w:footnoteReference w:id="175"/>
      </w:r>
      <w:r w:rsidRPr="00CD68BA">
        <w:rPr>
          <w:lang w:val="es-CR"/>
        </w:rPr>
        <w:t>. De ese modo,</w:t>
      </w:r>
      <w:r w:rsidR="004415A3" w:rsidRPr="00CD68BA">
        <w:rPr>
          <w:lang w:val="es-CR"/>
        </w:rPr>
        <w:t xml:space="preserve"> transcurridos</w:t>
      </w:r>
      <w:r w:rsidRPr="00CD68BA">
        <w:rPr>
          <w:lang w:val="es-CR"/>
        </w:rPr>
        <w:t xml:space="preserve"> más de 23 años de</w:t>
      </w:r>
      <w:r w:rsidR="00D718CA" w:rsidRPr="00CD68BA">
        <w:rPr>
          <w:lang w:val="es-CR"/>
        </w:rPr>
        <w:t xml:space="preserve"> la</w:t>
      </w:r>
      <w:r w:rsidRPr="00CD68BA">
        <w:rPr>
          <w:lang w:val="es-CR"/>
        </w:rPr>
        <w:t xml:space="preserve"> </w:t>
      </w:r>
      <w:r w:rsidR="00D718CA" w:rsidRPr="00CD68BA">
        <w:rPr>
          <w:lang w:val="es-CR"/>
        </w:rPr>
        <w:t xml:space="preserve">muerte </w:t>
      </w:r>
      <w:r w:rsidRPr="00CD68BA">
        <w:rPr>
          <w:lang w:val="es-CR"/>
        </w:rPr>
        <w:t xml:space="preserve">de Gabriel Sales Pimenta, el proceso fue archivado sin que se lograra esclarecer las circunstancias de su muerte, </w:t>
      </w:r>
      <w:r w:rsidR="00EF5CC4" w:rsidRPr="00CD68BA">
        <w:rPr>
          <w:lang w:val="es-CR"/>
        </w:rPr>
        <w:t xml:space="preserve">ni </w:t>
      </w:r>
      <w:r w:rsidRPr="00CD68BA">
        <w:rPr>
          <w:lang w:val="es-CR"/>
        </w:rPr>
        <w:t xml:space="preserve">identificar </w:t>
      </w:r>
      <w:r w:rsidR="00EF5CC4" w:rsidRPr="00CD68BA">
        <w:rPr>
          <w:lang w:val="es-CR"/>
        </w:rPr>
        <w:t>o</w:t>
      </w:r>
      <w:r w:rsidR="00BD2825" w:rsidRPr="00CD68BA">
        <w:rPr>
          <w:lang w:val="es-CR"/>
        </w:rPr>
        <w:t xml:space="preserve"> procesar </w:t>
      </w:r>
      <w:r w:rsidRPr="00CD68BA">
        <w:rPr>
          <w:lang w:val="es-CR"/>
        </w:rPr>
        <w:t xml:space="preserve">a todos los responsables. </w:t>
      </w:r>
      <w:bookmarkEnd w:id="139"/>
    </w:p>
    <w:p w14:paraId="7D5199A0" w14:textId="77777777" w:rsidR="00992647" w:rsidRPr="00CD68BA" w:rsidRDefault="00992647" w:rsidP="00A06718">
      <w:pPr>
        <w:pStyle w:val="Prrafodelista"/>
        <w:spacing w:before="0" w:after="0"/>
        <w:contextualSpacing w:val="0"/>
        <w:rPr>
          <w:lang w:val="es-CR"/>
        </w:rPr>
      </w:pPr>
    </w:p>
    <w:p w14:paraId="57E7DB6C" w14:textId="663DD707" w:rsidR="0099264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Conforme se desprende de las pruebas que obran en el expediente, el actuar lento y </w:t>
      </w:r>
      <w:r w:rsidR="00792BCF" w:rsidRPr="00CD68BA">
        <w:rPr>
          <w:lang w:val="es-CR"/>
        </w:rPr>
        <w:t xml:space="preserve">negligente </w:t>
      </w:r>
      <w:r w:rsidRPr="00CD68BA">
        <w:rPr>
          <w:lang w:val="es-CR"/>
        </w:rPr>
        <w:t>de los funcionarios del sistema judicial contribuy</w:t>
      </w:r>
      <w:r w:rsidR="00792BCF" w:rsidRPr="00CD68BA">
        <w:rPr>
          <w:lang w:val="es-CR"/>
        </w:rPr>
        <w:t xml:space="preserve">ó de forma </w:t>
      </w:r>
      <w:r w:rsidRPr="00CD68BA">
        <w:rPr>
          <w:lang w:val="es-CR"/>
        </w:rPr>
        <w:t xml:space="preserve">definitiva para que </w:t>
      </w:r>
      <w:r w:rsidR="00792BCF" w:rsidRPr="00CD68BA">
        <w:rPr>
          <w:lang w:val="es-CR"/>
        </w:rPr>
        <w:t xml:space="preserve">se declarara la </w:t>
      </w:r>
      <w:r w:rsidRPr="00CD68BA">
        <w:rPr>
          <w:lang w:val="es-CR"/>
        </w:rPr>
        <w:t>prescripción. En efecto y a título de ejemplo, teniendo en cuenta la existencia de suficientes indicios de autoría y pruebas de un delito doloso contra la vida, es injustificable la demora para la emisión de la sentencia de “</w:t>
      </w:r>
      <w:r w:rsidRPr="00CD68BA">
        <w:rPr>
          <w:i/>
          <w:iCs/>
          <w:lang w:val="es-CR"/>
        </w:rPr>
        <w:t>pronúncia</w:t>
      </w:r>
      <w:r w:rsidRPr="00CD68BA">
        <w:rPr>
          <w:lang w:val="es-CR"/>
        </w:rPr>
        <w:t>” (un año y ocho meses</w:t>
      </w:r>
      <w:r w:rsidR="007160E1" w:rsidRPr="00CD68BA">
        <w:rPr>
          <w:lang w:val="es-CR"/>
        </w:rPr>
        <w:t xml:space="preserve"> contados a partir de la fecha de reconocimiento de la competencia de la Corte</w:t>
      </w:r>
      <w:r w:rsidRPr="00CD68BA">
        <w:rPr>
          <w:lang w:val="es-CR"/>
        </w:rPr>
        <w:t>), la cual no consiste en una condena, sino solamente la decisión de seguir con el proceso ante un Tribunal de Jurados</w:t>
      </w:r>
      <w:r w:rsidRPr="00CD68BA">
        <w:rPr>
          <w:rStyle w:val="Refdenotaalpie"/>
          <w:lang w:val="es-CR"/>
        </w:rPr>
        <w:footnoteReference w:id="176"/>
      </w:r>
      <w:r w:rsidR="00454434" w:rsidRPr="00CD68BA">
        <w:rPr>
          <w:lang w:val="es-CR"/>
        </w:rPr>
        <w:t>.</w:t>
      </w:r>
      <w:r w:rsidR="00730242" w:rsidRPr="00CD68BA">
        <w:rPr>
          <w:lang w:val="es-CR"/>
        </w:rPr>
        <w:t xml:space="preserve"> </w:t>
      </w:r>
      <w:r w:rsidR="000B4704" w:rsidRPr="00CD68BA">
        <w:rPr>
          <w:lang w:val="es-CR"/>
        </w:rPr>
        <w:t xml:space="preserve">Como </w:t>
      </w:r>
      <w:r w:rsidR="00853FC1" w:rsidRPr="00CD68BA">
        <w:rPr>
          <w:lang w:val="es-CR"/>
        </w:rPr>
        <w:t xml:space="preserve">fue </w:t>
      </w:r>
      <w:r w:rsidR="000B4704" w:rsidRPr="00CD68BA">
        <w:rPr>
          <w:lang w:val="es-CR"/>
        </w:rPr>
        <w:t>considerado por el perito Dissenha, la extrema tardanza para que se dictara la sentencia de “</w:t>
      </w:r>
      <w:r w:rsidR="000B4704" w:rsidRPr="00CD68BA">
        <w:rPr>
          <w:i/>
          <w:iCs/>
          <w:lang w:val="es-CR"/>
        </w:rPr>
        <w:t>pronúncia</w:t>
      </w:r>
      <w:r w:rsidR="000B4704" w:rsidRPr="00CD68BA">
        <w:rPr>
          <w:lang w:val="es-CR"/>
        </w:rPr>
        <w:t xml:space="preserve">” </w:t>
      </w:r>
      <w:r w:rsidR="00853FC1" w:rsidRPr="00CD68BA">
        <w:rPr>
          <w:lang w:val="es-CR"/>
        </w:rPr>
        <w:t xml:space="preserve">tuvo un carácter </w:t>
      </w:r>
      <w:r w:rsidR="000B4704" w:rsidRPr="00CD68BA">
        <w:rPr>
          <w:lang w:val="es-CR"/>
        </w:rPr>
        <w:t>decisiv</w:t>
      </w:r>
      <w:r w:rsidR="00853FC1" w:rsidRPr="00CD68BA">
        <w:rPr>
          <w:lang w:val="es-CR"/>
        </w:rPr>
        <w:t>o</w:t>
      </w:r>
      <w:r w:rsidR="000B4704" w:rsidRPr="00CD68BA">
        <w:rPr>
          <w:lang w:val="es-CR"/>
        </w:rPr>
        <w:t xml:space="preserve"> para que se produjera la prescripción, pues fue justamente con base en el tiempo transcurrido </w:t>
      </w:r>
      <w:r w:rsidR="0075213B" w:rsidRPr="00CD68BA">
        <w:rPr>
          <w:lang w:val="es-CR"/>
        </w:rPr>
        <w:t xml:space="preserve">entre la decisión de admisibilidad de la denuncia inicial del Ministerio Público </w:t>
      </w:r>
      <w:r w:rsidR="00141CFF" w:rsidRPr="00CD68BA">
        <w:rPr>
          <w:lang w:val="es-CR"/>
        </w:rPr>
        <w:t>y la sentencia de “</w:t>
      </w:r>
      <w:r w:rsidR="00141CFF" w:rsidRPr="00CD68BA">
        <w:rPr>
          <w:i/>
          <w:iCs/>
          <w:lang w:val="es-CR"/>
        </w:rPr>
        <w:t>pronúncia</w:t>
      </w:r>
      <w:r w:rsidR="00141CFF" w:rsidRPr="00CD68BA">
        <w:rPr>
          <w:lang w:val="es-CR"/>
        </w:rPr>
        <w:t xml:space="preserve">” </w:t>
      </w:r>
      <w:r w:rsidR="004D56C2" w:rsidRPr="00CD68BA">
        <w:rPr>
          <w:lang w:val="es-CR"/>
        </w:rPr>
        <w:t xml:space="preserve">(17 años) </w:t>
      </w:r>
      <w:r w:rsidR="000B4704" w:rsidRPr="00CD68BA">
        <w:rPr>
          <w:lang w:val="es-CR"/>
        </w:rPr>
        <w:t xml:space="preserve">que </w:t>
      </w:r>
      <w:r w:rsidR="00141CFF" w:rsidRPr="00CD68BA">
        <w:rPr>
          <w:lang w:val="es-CR"/>
        </w:rPr>
        <w:t>la prescripción pudo ser aplicada en favor del acusado M.C.N.</w:t>
      </w:r>
      <w:r w:rsidR="004D56C2" w:rsidRPr="00CD68BA">
        <w:rPr>
          <w:lang w:val="es-CR"/>
        </w:rPr>
        <w:t xml:space="preserve"> </w:t>
      </w:r>
      <w:r w:rsidRPr="00CD68BA">
        <w:rPr>
          <w:lang w:val="es-CR"/>
        </w:rPr>
        <w:t xml:space="preserve">Otro factor que la Corte constata </w:t>
      </w:r>
      <w:r w:rsidR="008B2137" w:rsidRPr="00CD68BA">
        <w:rPr>
          <w:lang w:val="es-CR"/>
        </w:rPr>
        <w:t xml:space="preserve">que </w:t>
      </w:r>
      <w:r w:rsidRPr="00CD68BA">
        <w:rPr>
          <w:lang w:val="es-CR"/>
        </w:rPr>
        <w:t>contribu</w:t>
      </w:r>
      <w:r w:rsidR="008B2137" w:rsidRPr="00CD68BA">
        <w:rPr>
          <w:lang w:val="es-CR"/>
        </w:rPr>
        <w:t>yó</w:t>
      </w:r>
      <w:r w:rsidRPr="00CD68BA">
        <w:rPr>
          <w:lang w:val="es-CR"/>
        </w:rPr>
        <w:t xml:space="preserve"> a la aplicación de la prescripción es la falta de medidas concretas y eficientes por parte de las autoridades judiciales para lograr obtener la comparecencia del único imputado al proceso, lo cual generó una serie de retrasos en la tramitación del caso</w:t>
      </w:r>
      <w:r w:rsidR="003B19BF" w:rsidRPr="00CD68BA">
        <w:rPr>
          <w:rStyle w:val="Refdenotaalpie"/>
          <w:lang w:val="es-CR"/>
        </w:rPr>
        <w:footnoteReference w:id="177"/>
      </w:r>
      <w:r w:rsidRPr="00CD68BA">
        <w:rPr>
          <w:lang w:val="es-CR"/>
        </w:rPr>
        <w:t>.</w:t>
      </w:r>
      <w:r w:rsidR="008F7D29" w:rsidRPr="00CD68BA">
        <w:rPr>
          <w:lang w:val="es-CR"/>
        </w:rPr>
        <w:t xml:space="preserve"> </w:t>
      </w:r>
    </w:p>
    <w:p w14:paraId="1516D490" w14:textId="77777777" w:rsidR="00992647" w:rsidRPr="00CD68BA" w:rsidRDefault="00992647" w:rsidP="00A06718">
      <w:pPr>
        <w:pStyle w:val="Prrafodelista"/>
        <w:autoSpaceDE w:val="0"/>
        <w:autoSpaceDN w:val="0"/>
        <w:adjustRightInd w:val="0"/>
        <w:spacing w:before="0" w:after="0"/>
        <w:ind w:left="0"/>
        <w:contextualSpacing w:val="0"/>
        <w:rPr>
          <w:szCs w:val="20"/>
          <w:lang w:val="es-CR"/>
        </w:rPr>
      </w:pPr>
    </w:p>
    <w:p w14:paraId="1131C2F1" w14:textId="6D6F06C6" w:rsidR="00EF2ABB" w:rsidRPr="00CD68BA" w:rsidRDefault="00E2636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Por ende, l</w:t>
      </w:r>
      <w:r w:rsidR="00EF2ABB" w:rsidRPr="00CD68BA">
        <w:rPr>
          <w:lang w:val="es-CR"/>
        </w:rPr>
        <w:t>a Corte consider</w:t>
      </w:r>
      <w:r w:rsidRPr="00CD68BA">
        <w:rPr>
          <w:lang w:val="es-CR"/>
        </w:rPr>
        <w:t xml:space="preserve">a </w:t>
      </w:r>
      <w:r w:rsidR="00EF2ABB" w:rsidRPr="00CD68BA">
        <w:rPr>
          <w:lang w:val="es-CR"/>
        </w:rPr>
        <w:t xml:space="preserve">que la aplicación de la prescripción en este caso, con el consecuente archivo definitivo del mismo, no resultó del trámite normal y diligente del proceso penal, sino </w:t>
      </w:r>
      <w:r w:rsidR="00201FA0" w:rsidRPr="00CD68BA">
        <w:rPr>
          <w:lang w:val="es-CR"/>
        </w:rPr>
        <w:t xml:space="preserve">que </w:t>
      </w:r>
      <w:r w:rsidR="00EF2ABB" w:rsidRPr="00CD68BA">
        <w:rPr>
          <w:lang w:val="es-CR"/>
        </w:rPr>
        <w:t>fue fruto de una serie de acciones y omisiones estatales durante el curso de dicho proceso</w:t>
      </w:r>
      <w:r w:rsidRPr="00CD68BA">
        <w:rPr>
          <w:rStyle w:val="Refdenotaalpie"/>
          <w:lang w:val="es-CR"/>
        </w:rPr>
        <w:footnoteReference w:id="178"/>
      </w:r>
      <w:r w:rsidR="00EF2ABB" w:rsidRPr="00CD68BA">
        <w:rPr>
          <w:lang w:val="es-CR"/>
        </w:rPr>
        <w:t>.</w:t>
      </w:r>
    </w:p>
    <w:p w14:paraId="7C947880" w14:textId="77777777" w:rsidR="00BD3051" w:rsidRPr="00CD68BA" w:rsidRDefault="00BD3051" w:rsidP="00A06718">
      <w:pPr>
        <w:spacing w:before="0" w:after="0"/>
        <w:rPr>
          <w:lang w:val="es-CR"/>
        </w:rPr>
      </w:pPr>
    </w:p>
    <w:p w14:paraId="5B6983C9" w14:textId="2BEDC519"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Por todo lo anterior, el Tribunal concluye que el Estado no cumpli</w:t>
      </w:r>
      <w:r w:rsidR="004F629D" w:rsidRPr="00CD68BA">
        <w:rPr>
          <w:lang w:val="es-CR"/>
        </w:rPr>
        <w:t>ó</w:t>
      </w:r>
      <w:r w:rsidRPr="00CD68BA">
        <w:rPr>
          <w:lang w:val="es-CR"/>
        </w:rPr>
        <w:t xml:space="preserve"> con su obligación de actuar con la debida diligencia reforzada para investigar seriamente y de manera completa la muerte del defensor de derechos humanos Gabriel Sales Pimenta.</w:t>
      </w:r>
    </w:p>
    <w:p w14:paraId="387F0230" w14:textId="77777777" w:rsidR="006324D2" w:rsidRPr="00CD68BA" w:rsidRDefault="006324D2" w:rsidP="00A06718">
      <w:pPr>
        <w:pStyle w:val="Prrafodelista"/>
        <w:spacing w:before="0" w:after="0"/>
        <w:contextualSpacing w:val="0"/>
        <w:rPr>
          <w:szCs w:val="20"/>
          <w:lang w:val="es-CR"/>
        </w:rPr>
      </w:pPr>
    </w:p>
    <w:p w14:paraId="1EB0661D" w14:textId="245F4A04" w:rsidR="000F192C" w:rsidRPr="00CD68BA" w:rsidRDefault="00001FD9" w:rsidP="00A06718">
      <w:pPr>
        <w:pStyle w:val="Ttulo3"/>
        <w:spacing w:before="0" w:after="0"/>
        <w:ind w:left="810" w:hanging="90"/>
        <w:jc w:val="both"/>
        <w:rPr>
          <w:i/>
          <w:iCs/>
          <w:szCs w:val="20"/>
          <w:lang w:val="es-CR"/>
        </w:rPr>
      </w:pPr>
      <w:bookmarkStart w:id="140" w:name="_Toc114778791"/>
      <w:r w:rsidRPr="00CD68BA">
        <w:rPr>
          <w:i/>
          <w:iCs/>
          <w:szCs w:val="20"/>
          <w:lang w:val="es-CR"/>
        </w:rPr>
        <w:t>b.2 Plazo razonable</w:t>
      </w:r>
      <w:bookmarkEnd w:id="140"/>
    </w:p>
    <w:p w14:paraId="306A3603" w14:textId="77777777" w:rsidR="00001FD9" w:rsidRPr="00CD68BA" w:rsidRDefault="00001FD9" w:rsidP="00A06718">
      <w:pPr>
        <w:pStyle w:val="Prrafodelista"/>
        <w:spacing w:before="0" w:after="0"/>
        <w:ind w:left="0"/>
        <w:contextualSpacing w:val="0"/>
        <w:rPr>
          <w:szCs w:val="20"/>
          <w:lang w:val="es-CR"/>
        </w:rPr>
      </w:pPr>
    </w:p>
    <w:p w14:paraId="725EDE03" w14:textId="77777777"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La Corte ha señalado que el derecho de acceso a la justicia en casos de violaciones a los derechos humanos debe asegurar, en tiempo razonable, el derecho de las presuntas víctimas o sus </w:t>
      </w:r>
      <w:r w:rsidRPr="00CD68BA">
        <w:rPr>
          <w:lang w:val="es-CR"/>
        </w:rPr>
        <w:lastRenderedPageBreak/>
        <w:t>familiares a que se haga todo lo necesario para conocer la verdad de lo sucedido e investigar, juzgar y, en su caso, sancionar a los eventuales responsables</w:t>
      </w:r>
      <w:r w:rsidRPr="00CD68BA">
        <w:rPr>
          <w:vertAlign w:val="superscript"/>
          <w:lang w:val="es-CR"/>
        </w:rPr>
        <w:footnoteReference w:id="179"/>
      </w:r>
      <w:r w:rsidRPr="00CD68BA">
        <w:rPr>
          <w:lang w:val="es-CR"/>
        </w:rPr>
        <w:t>. Asimismo, una demora prolongada en el proceso puede llegar a constituir, por sí misma, una violación a las garantías judiciales</w:t>
      </w:r>
      <w:r w:rsidRPr="00CD68BA">
        <w:rPr>
          <w:vertAlign w:val="superscript"/>
          <w:lang w:val="es-CR"/>
        </w:rPr>
        <w:footnoteReference w:id="180"/>
      </w:r>
      <w:r w:rsidRPr="00CD68BA">
        <w:rPr>
          <w:lang w:val="es-CR"/>
        </w:rPr>
        <w:t>.</w:t>
      </w:r>
    </w:p>
    <w:p w14:paraId="37C774D2" w14:textId="77777777" w:rsidR="00E31377" w:rsidRPr="00CD68BA" w:rsidRDefault="00E31377" w:rsidP="00A06718">
      <w:pPr>
        <w:pStyle w:val="Prrafodelista"/>
        <w:autoSpaceDE w:val="0"/>
        <w:autoSpaceDN w:val="0"/>
        <w:adjustRightInd w:val="0"/>
        <w:spacing w:before="0" w:after="0"/>
        <w:ind w:left="0"/>
        <w:contextualSpacing w:val="0"/>
        <w:rPr>
          <w:szCs w:val="20"/>
          <w:lang w:val="es-CR"/>
        </w:rPr>
      </w:pPr>
    </w:p>
    <w:p w14:paraId="1CD785D1" w14:textId="77777777" w:rsidR="000661DD"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Asimismo, el Tribunal ha establecido que la evaluación del plazo razonable se debe analizar en cada caso concreto, en relación con la duración total del proceso, lo cual podría también incluir la ejecución de la sentencia definitiva. De esta manera, ha considerado cuatro elementos para analizar si se cumplió con la garantía del plazo razonable, a saber: (i) la complejidad del asunto</w:t>
      </w:r>
      <w:r w:rsidRPr="00CD68BA">
        <w:rPr>
          <w:vertAlign w:val="superscript"/>
          <w:lang w:val="es-CR"/>
        </w:rPr>
        <w:footnoteReference w:id="181"/>
      </w:r>
      <w:r w:rsidRPr="00CD68BA">
        <w:rPr>
          <w:lang w:val="es-CR"/>
        </w:rPr>
        <w:t>, (ii) la actividad procesal del interesado</w:t>
      </w:r>
      <w:r w:rsidRPr="00CD68BA">
        <w:rPr>
          <w:vertAlign w:val="superscript"/>
          <w:lang w:val="es-CR"/>
        </w:rPr>
        <w:footnoteReference w:id="182"/>
      </w:r>
      <w:r w:rsidRPr="00CD68BA">
        <w:rPr>
          <w:lang w:val="es-CR"/>
        </w:rPr>
        <w:t>, (iii) la conducta de las autoridades judiciales</w:t>
      </w:r>
      <w:r w:rsidRPr="00CD68BA">
        <w:rPr>
          <w:vertAlign w:val="superscript"/>
          <w:lang w:val="es-CR"/>
        </w:rPr>
        <w:footnoteReference w:id="183"/>
      </w:r>
      <w:r w:rsidRPr="00CD68BA">
        <w:rPr>
          <w:lang w:val="es-CR"/>
        </w:rPr>
        <w:t>, y (iv) la afectación generada en la situación jurídica de la presunta víctima</w:t>
      </w:r>
      <w:r w:rsidRPr="00CD68BA">
        <w:rPr>
          <w:vertAlign w:val="superscript"/>
          <w:lang w:val="es-CR"/>
        </w:rPr>
        <w:footnoteReference w:id="184"/>
      </w:r>
      <w:r w:rsidRPr="00CD68BA">
        <w:rPr>
          <w:lang w:val="es-CR"/>
        </w:rPr>
        <w:t xml:space="preserve">. </w:t>
      </w:r>
      <w:r w:rsidRPr="00CD68BA">
        <w:rPr>
          <w:rFonts w:cs="Verdana"/>
          <w:lang w:val="es-CR"/>
        </w:rPr>
        <w:t xml:space="preserve">La Corte recuerda que corresponde al Estado justificar, con fundamento en los criterios señalados, la razón por la cual ha requerido del tiempo transcurrido para tratar los casos y, en la eventualidad de que este no lo </w:t>
      </w:r>
      <w:r w:rsidRPr="00CD68BA">
        <w:rPr>
          <w:lang w:val="es-CR"/>
        </w:rPr>
        <w:t>demuestre</w:t>
      </w:r>
      <w:r w:rsidRPr="00CD68BA">
        <w:rPr>
          <w:rFonts w:cs="Verdana"/>
          <w:lang w:val="es-CR"/>
        </w:rPr>
        <w:t>, la Corte tiene amplias atribuciones para hacer su propia estimación al respecto</w:t>
      </w:r>
      <w:r w:rsidRPr="00CD68BA">
        <w:rPr>
          <w:rStyle w:val="Refdenotaalpie"/>
          <w:lang w:val="es-CR"/>
        </w:rPr>
        <w:footnoteReference w:id="185"/>
      </w:r>
      <w:r w:rsidRPr="00CD68BA">
        <w:rPr>
          <w:rFonts w:cs="Verdana"/>
          <w:lang w:val="es-CR"/>
        </w:rPr>
        <w:t>. El Tribunal reitera, además, que se debe apreciar la duración total del proceso, desde el primer acto procesal hasta que se dicte la sentencia definitiva, incluyendo los recursos de instancia que pudieran eventualmente presentarse</w:t>
      </w:r>
      <w:r w:rsidRPr="00CD68BA">
        <w:rPr>
          <w:rStyle w:val="Refdenotaalpie"/>
          <w:lang w:val="es-CR"/>
        </w:rPr>
        <w:footnoteReference w:id="186"/>
      </w:r>
      <w:r w:rsidRPr="00CD68BA">
        <w:rPr>
          <w:rFonts w:cs="Verdana"/>
          <w:lang w:val="es-CR"/>
        </w:rPr>
        <w:t>.</w:t>
      </w:r>
    </w:p>
    <w:p w14:paraId="47570587" w14:textId="77777777" w:rsidR="000661DD" w:rsidRPr="00CD68BA" w:rsidRDefault="000661DD" w:rsidP="00A06718">
      <w:pPr>
        <w:pStyle w:val="Prrafodelista"/>
        <w:spacing w:before="0" w:after="0"/>
        <w:contextualSpacing w:val="0"/>
        <w:rPr>
          <w:lang w:val="es-CR"/>
        </w:rPr>
      </w:pPr>
    </w:p>
    <w:p w14:paraId="61B680A3" w14:textId="1A56B765" w:rsidR="000661DD"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cuanto a la complejidad del asunto y la conducta de las autoridades, la Corte advierte que se trata de un caso con alguna complejidad, al demandar, </w:t>
      </w:r>
      <w:r w:rsidRPr="00CD68BA">
        <w:rPr>
          <w:i/>
          <w:iCs/>
          <w:lang w:val="es-CR"/>
        </w:rPr>
        <w:t>inter alia</w:t>
      </w:r>
      <w:r w:rsidRPr="00CD68BA">
        <w:rPr>
          <w:lang w:val="es-CR"/>
        </w:rPr>
        <w:t>, la recolección de un cierto número de pruebas, el análisis cuidado</w:t>
      </w:r>
      <w:r w:rsidR="00EB5475" w:rsidRPr="00CD68BA">
        <w:rPr>
          <w:lang w:val="es-CR"/>
        </w:rPr>
        <w:t>so</w:t>
      </w:r>
      <w:r w:rsidRPr="00CD68BA">
        <w:rPr>
          <w:lang w:val="es-CR"/>
        </w:rPr>
        <w:t xml:space="preserve"> y minucioso de la escena del crimen, exámenes periciales complejos y estar sujeto a un procedimiento más lento por su propia naturaleza, según las reglas del proceso penal brasileño</w:t>
      </w:r>
      <w:r w:rsidRPr="00CD68BA">
        <w:rPr>
          <w:rStyle w:val="Refdenotaalpie"/>
          <w:lang w:val="es-CR"/>
        </w:rPr>
        <w:footnoteReference w:id="187"/>
      </w:r>
      <w:r w:rsidRPr="00CD68BA">
        <w:rPr>
          <w:lang w:val="es-CR"/>
        </w:rPr>
        <w:t xml:space="preserve">. Pese a ello, se verifica que </w:t>
      </w:r>
      <w:r w:rsidR="002C5FD2" w:rsidRPr="00CD68BA">
        <w:rPr>
          <w:lang w:val="es-CR"/>
        </w:rPr>
        <w:t>había solamente una víctima</w:t>
      </w:r>
      <w:r w:rsidR="00100606" w:rsidRPr="00CD68BA">
        <w:rPr>
          <w:lang w:val="es-CR"/>
        </w:rPr>
        <w:t xml:space="preserve"> cuyo cuerpo estaba a disposición de las autoridades policiales</w:t>
      </w:r>
      <w:r w:rsidR="002C5FD2" w:rsidRPr="00CD68BA">
        <w:rPr>
          <w:lang w:val="es-CR"/>
        </w:rPr>
        <w:t xml:space="preserve">, </w:t>
      </w:r>
      <w:r w:rsidRPr="00CD68BA">
        <w:rPr>
          <w:lang w:val="es-CR"/>
        </w:rPr>
        <w:t>exist</w:t>
      </w:r>
      <w:r w:rsidR="002C5FD2" w:rsidRPr="00CD68BA">
        <w:rPr>
          <w:lang w:val="es-CR"/>
        </w:rPr>
        <w:t xml:space="preserve">ían dos </w:t>
      </w:r>
      <w:r w:rsidRPr="00CD68BA">
        <w:rPr>
          <w:lang w:val="es-CR"/>
        </w:rPr>
        <w:t>testigos oculares</w:t>
      </w:r>
      <w:r w:rsidR="002C5FD2" w:rsidRPr="00CD68BA">
        <w:rPr>
          <w:lang w:val="es-CR"/>
        </w:rPr>
        <w:t xml:space="preserve"> que se dispusieron a prestar declaración</w:t>
      </w:r>
      <w:r w:rsidRPr="00CD68BA">
        <w:rPr>
          <w:lang w:val="es-CR"/>
        </w:rPr>
        <w:t>, el l</w:t>
      </w:r>
      <w:r w:rsidR="00950575" w:rsidRPr="00CD68BA">
        <w:rPr>
          <w:lang w:val="es-CR"/>
        </w:rPr>
        <w:t>ugar</w:t>
      </w:r>
      <w:r w:rsidRPr="00CD68BA">
        <w:rPr>
          <w:lang w:val="es-CR"/>
        </w:rPr>
        <w:t xml:space="preserve"> d</w:t>
      </w:r>
      <w:r w:rsidR="004553C8" w:rsidRPr="00CD68BA">
        <w:rPr>
          <w:lang w:val="es-CR"/>
        </w:rPr>
        <w:t>onde ocurrieron los hechos</w:t>
      </w:r>
      <w:r w:rsidRPr="00CD68BA">
        <w:rPr>
          <w:lang w:val="es-CR"/>
        </w:rPr>
        <w:t xml:space="preserve"> era de fácil acceso,</w:t>
      </w:r>
      <w:r w:rsidR="004553C8" w:rsidRPr="00CD68BA">
        <w:rPr>
          <w:lang w:val="es-CR"/>
        </w:rPr>
        <w:t xml:space="preserve"> y</w:t>
      </w:r>
      <w:r w:rsidRPr="00CD68BA">
        <w:rPr>
          <w:lang w:val="es-CR"/>
        </w:rPr>
        <w:t xml:space="preserve"> </w:t>
      </w:r>
      <w:r w:rsidR="00A178F6" w:rsidRPr="00CD68BA">
        <w:rPr>
          <w:lang w:val="es-CR"/>
        </w:rPr>
        <w:t>los</w:t>
      </w:r>
      <w:r w:rsidRPr="00CD68BA">
        <w:rPr>
          <w:lang w:val="es-CR"/>
        </w:rPr>
        <w:t xml:space="preserve"> </w:t>
      </w:r>
      <w:r w:rsidR="00A178F6" w:rsidRPr="00CD68BA">
        <w:rPr>
          <w:lang w:val="es-CR"/>
        </w:rPr>
        <w:t xml:space="preserve">principales </w:t>
      </w:r>
      <w:r w:rsidRPr="00CD68BA">
        <w:rPr>
          <w:lang w:val="es-CR"/>
        </w:rPr>
        <w:t>sospechosos eran personas conocidas en la región.</w:t>
      </w:r>
    </w:p>
    <w:p w14:paraId="35E4C9B0" w14:textId="255C51B0" w:rsidR="00001FD9" w:rsidRPr="00CD68BA" w:rsidRDefault="00860425" w:rsidP="00A06718">
      <w:pPr>
        <w:pStyle w:val="Prrafodelista"/>
        <w:spacing w:before="0" w:after="0"/>
        <w:contextualSpacing w:val="0"/>
        <w:rPr>
          <w:szCs w:val="20"/>
          <w:lang w:val="es-CR"/>
        </w:rPr>
      </w:pPr>
      <w:r w:rsidRPr="00CD68BA">
        <w:rPr>
          <w:lang w:val="es-CR"/>
        </w:rPr>
        <w:t xml:space="preserve"> </w:t>
      </w:r>
    </w:p>
    <w:p w14:paraId="251A338A" w14:textId="5BAF20DA" w:rsidR="00001FD9"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Asimismo, la Corte también considera injustificable la demora excesiva en la tramitación del proceso penal, atribuible directamente a la conducta de las autoridades de administración de </w:t>
      </w:r>
      <w:r w:rsidRPr="00CD68BA">
        <w:rPr>
          <w:lang w:val="es-CR"/>
        </w:rPr>
        <w:lastRenderedPageBreak/>
        <w:t>justicia</w:t>
      </w:r>
      <w:r w:rsidRPr="00CD68BA">
        <w:rPr>
          <w:rStyle w:val="Refdenotaalpie"/>
          <w:lang w:val="es-CR"/>
        </w:rPr>
        <w:footnoteReference w:id="188"/>
      </w:r>
      <w:r w:rsidRPr="00CD68BA">
        <w:rPr>
          <w:lang w:val="es-CR"/>
        </w:rPr>
        <w:t>, conforme</w:t>
      </w:r>
      <w:r w:rsidR="00D25D3B" w:rsidRPr="00CD68BA">
        <w:rPr>
          <w:b/>
          <w:bCs/>
          <w:lang w:val="es-CR"/>
        </w:rPr>
        <w:t xml:space="preserve"> </w:t>
      </w:r>
      <w:r w:rsidR="00D25D3B" w:rsidRPr="00CD68BA">
        <w:rPr>
          <w:lang w:val="es-CR"/>
        </w:rPr>
        <w:t>a lo analizado</w:t>
      </w:r>
      <w:r w:rsidRPr="00CD68BA">
        <w:rPr>
          <w:lang w:val="es-CR"/>
        </w:rPr>
        <w:t xml:space="preserve"> en el capítulo anterior. En este sentido, la Corte constata demoras excesivas en distintas etapas procesales, como, entre otr</w:t>
      </w:r>
      <w:r w:rsidR="00333428" w:rsidRPr="00CD68BA">
        <w:rPr>
          <w:lang w:val="es-CR"/>
        </w:rPr>
        <w:t>a</w:t>
      </w:r>
      <w:r w:rsidRPr="00CD68BA">
        <w:rPr>
          <w:lang w:val="es-CR"/>
        </w:rPr>
        <w:t>s</w:t>
      </w:r>
      <w:r w:rsidR="00E772C7" w:rsidRPr="00CD68BA">
        <w:rPr>
          <w:lang w:val="es-CR"/>
        </w:rPr>
        <w:t>:</w:t>
      </w:r>
      <w:r w:rsidRPr="00CD68BA">
        <w:rPr>
          <w:lang w:val="es-CR"/>
        </w:rPr>
        <w:t xml:space="preserve"> (i) </w:t>
      </w:r>
      <w:r w:rsidR="005876D0" w:rsidRPr="00CD68BA">
        <w:rPr>
          <w:lang w:val="es-CR"/>
        </w:rPr>
        <w:t>casi dos</w:t>
      </w:r>
      <w:r w:rsidRPr="00CD68BA">
        <w:rPr>
          <w:lang w:val="es-CR"/>
        </w:rPr>
        <w:t xml:space="preserve"> años entre </w:t>
      </w:r>
      <w:r w:rsidR="005876D0" w:rsidRPr="00CD68BA">
        <w:rPr>
          <w:lang w:val="es-CR"/>
        </w:rPr>
        <w:t xml:space="preserve">la fecha de reconocimiento de la competencia de la Corte (diciembre de 1998), tras </w:t>
      </w:r>
      <w:r w:rsidRPr="00CD68BA">
        <w:rPr>
          <w:lang w:val="es-CR"/>
        </w:rPr>
        <w:t>la presentación de</w:t>
      </w:r>
      <w:r w:rsidR="00630CFC" w:rsidRPr="00CD68BA">
        <w:rPr>
          <w:lang w:val="es-CR"/>
        </w:rPr>
        <w:t>l</w:t>
      </w:r>
      <w:r w:rsidRPr="00CD68BA">
        <w:rPr>
          <w:lang w:val="es-CR"/>
        </w:rPr>
        <w:t xml:space="preserve"> </w:t>
      </w:r>
      <w:r w:rsidR="00630CFC" w:rsidRPr="00CD68BA">
        <w:rPr>
          <w:lang w:val="es-CR"/>
        </w:rPr>
        <w:t xml:space="preserve">último escrito de </w:t>
      </w:r>
      <w:r w:rsidRPr="00CD68BA">
        <w:rPr>
          <w:lang w:val="es-CR"/>
        </w:rPr>
        <w:t>alegatos finales</w:t>
      </w:r>
      <w:r w:rsidR="005876D0" w:rsidRPr="00CD68BA">
        <w:rPr>
          <w:lang w:val="es-CR"/>
        </w:rPr>
        <w:t>,</w:t>
      </w:r>
      <w:r w:rsidRPr="00CD68BA">
        <w:rPr>
          <w:lang w:val="es-CR"/>
        </w:rPr>
        <w:t xml:space="preserve"> y la sentencia de “</w:t>
      </w:r>
      <w:r w:rsidRPr="00CD68BA">
        <w:rPr>
          <w:i/>
          <w:lang w:val="es-CR"/>
        </w:rPr>
        <w:t>pronúncia”</w:t>
      </w:r>
      <w:r w:rsidRPr="00CD68BA">
        <w:rPr>
          <w:lang w:val="es-CR"/>
        </w:rPr>
        <w:t xml:space="preserve">  (agosto de 2000); </w:t>
      </w:r>
      <w:r w:rsidR="00630CFC" w:rsidRPr="00CD68BA">
        <w:rPr>
          <w:lang w:val="es-CR"/>
        </w:rPr>
        <w:t>(ii) ocho meses entre la sentencia de “</w:t>
      </w:r>
      <w:r w:rsidR="00630CFC" w:rsidRPr="00CD68BA">
        <w:rPr>
          <w:i/>
          <w:lang w:val="es-CR"/>
        </w:rPr>
        <w:t>pronúncia”</w:t>
      </w:r>
      <w:r w:rsidR="00630CFC" w:rsidRPr="00CD68BA">
        <w:rPr>
          <w:lang w:val="es-CR"/>
        </w:rPr>
        <w:t xml:space="preserve"> (agosto de 2000) y la notificación de la misma al acusado M.C.N.</w:t>
      </w:r>
      <w:r w:rsidR="00832116" w:rsidRPr="00CD68BA">
        <w:rPr>
          <w:lang w:val="es-CR"/>
        </w:rPr>
        <w:t xml:space="preserve"> (mayo de 2001); </w:t>
      </w:r>
      <w:r w:rsidRPr="00CD68BA">
        <w:rPr>
          <w:lang w:val="es-CR"/>
        </w:rPr>
        <w:t>(ii</w:t>
      </w:r>
      <w:r w:rsidR="00832116" w:rsidRPr="00CD68BA">
        <w:rPr>
          <w:lang w:val="es-CR"/>
        </w:rPr>
        <w:t>i</w:t>
      </w:r>
      <w:r w:rsidRPr="00CD68BA">
        <w:rPr>
          <w:lang w:val="es-CR"/>
        </w:rPr>
        <w:t xml:space="preserve">) </w:t>
      </w:r>
      <w:r w:rsidR="002E586B" w:rsidRPr="00CD68BA">
        <w:rPr>
          <w:lang w:val="es-CR"/>
        </w:rPr>
        <w:t xml:space="preserve">más de </w:t>
      </w:r>
      <w:r w:rsidR="00B07796" w:rsidRPr="00CD68BA">
        <w:rPr>
          <w:lang w:val="es-CR"/>
        </w:rPr>
        <w:t>nueve meses</w:t>
      </w:r>
      <w:r w:rsidRPr="00CD68BA">
        <w:rPr>
          <w:lang w:val="es-CR"/>
        </w:rPr>
        <w:t xml:space="preserve"> entre la solicitud del Ministerio Público de extinción de la pena </w:t>
      </w:r>
      <w:r w:rsidR="00E772C7" w:rsidRPr="00CD68BA">
        <w:rPr>
          <w:lang w:val="es-CR"/>
        </w:rPr>
        <w:t>de</w:t>
      </w:r>
      <w:r w:rsidRPr="00CD68BA">
        <w:rPr>
          <w:lang w:val="es-CR"/>
        </w:rPr>
        <w:t xml:space="preserve">l imputado </w:t>
      </w:r>
      <w:r w:rsidR="00D62D06" w:rsidRPr="00CD68BA">
        <w:rPr>
          <w:lang w:val="es-CR"/>
        </w:rPr>
        <w:t>J.P.N.</w:t>
      </w:r>
      <w:r w:rsidR="00E772C7" w:rsidRPr="00CD68BA">
        <w:rPr>
          <w:lang w:val="es-CR"/>
        </w:rPr>
        <w:t>,</w:t>
      </w:r>
      <w:r w:rsidRPr="00CD68BA">
        <w:rPr>
          <w:lang w:val="es-CR"/>
        </w:rPr>
        <w:t xml:space="preserve"> por su muerte (23 de noviembre de 1999)</w:t>
      </w:r>
      <w:r w:rsidR="00E772C7" w:rsidRPr="00CD68BA">
        <w:rPr>
          <w:lang w:val="es-CR"/>
        </w:rPr>
        <w:t>,</w:t>
      </w:r>
      <w:r w:rsidRPr="00CD68BA">
        <w:rPr>
          <w:lang w:val="es-CR"/>
        </w:rPr>
        <w:t xml:space="preserve"> y la resolución del juez que la decretó (31 de </w:t>
      </w:r>
      <w:r w:rsidR="00B07796" w:rsidRPr="00CD68BA">
        <w:rPr>
          <w:lang w:val="es-CR"/>
        </w:rPr>
        <w:t xml:space="preserve">agosto </w:t>
      </w:r>
      <w:r w:rsidRPr="00CD68BA">
        <w:rPr>
          <w:lang w:val="es-CR"/>
        </w:rPr>
        <w:t>de 2000); (i</w:t>
      </w:r>
      <w:r w:rsidR="00832116" w:rsidRPr="00CD68BA">
        <w:rPr>
          <w:lang w:val="es-CR"/>
        </w:rPr>
        <w:t>v</w:t>
      </w:r>
      <w:r w:rsidRPr="00CD68BA">
        <w:rPr>
          <w:lang w:val="es-CR"/>
        </w:rPr>
        <w:t xml:space="preserve">) la paralización del proceso por casi cuatro años, entre 2002 y 2006, debido a </w:t>
      </w:r>
      <w:r w:rsidR="00950575" w:rsidRPr="00CD68BA">
        <w:rPr>
          <w:lang w:val="es-CR"/>
        </w:rPr>
        <w:t>la contumacia</w:t>
      </w:r>
      <w:r w:rsidRPr="00CD68BA">
        <w:rPr>
          <w:lang w:val="es-CR"/>
        </w:rPr>
        <w:t xml:space="preserve"> </w:t>
      </w:r>
      <w:r w:rsidR="00950575" w:rsidRPr="00CD68BA">
        <w:rPr>
          <w:lang w:val="es-CR"/>
        </w:rPr>
        <w:t>d</w:t>
      </w:r>
      <w:r w:rsidRPr="00CD68BA">
        <w:rPr>
          <w:lang w:val="es-CR"/>
        </w:rPr>
        <w:t xml:space="preserve">el acusado </w:t>
      </w:r>
      <w:r w:rsidR="00630CFC" w:rsidRPr="00CD68BA">
        <w:rPr>
          <w:lang w:val="es-CR"/>
        </w:rPr>
        <w:t>M.C.N.</w:t>
      </w:r>
      <w:r w:rsidRPr="00CD68BA">
        <w:rPr>
          <w:lang w:val="es-CR"/>
        </w:rPr>
        <w:t xml:space="preserve">, y (v) un año y cuatro meses entre la remisión del proceso al Juzgado Agrario (20 de febrero de 2004) y su devolución al Juzgado Penal (28 de julio de 2005).  </w:t>
      </w:r>
    </w:p>
    <w:p w14:paraId="7937FD5C" w14:textId="77777777" w:rsidR="00001FD9" w:rsidRPr="00CD68BA" w:rsidRDefault="00001FD9" w:rsidP="00A06718">
      <w:pPr>
        <w:pStyle w:val="Prrafodelista"/>
        <w:autoSpaceDE w:val="0"/>
        <w:autoSpaceDN w:val="0"/>
        <w:adjustRightInd w:val="0"/>
        <w:spacing w:before="0" w:after="0"/>
        <w:ind w:left="0"/>
        <w:contextualSpacing w:val="0"/>
        <w:rPr>
          <w:szCs w:val="20"/>
          <w:lang w:val="es-CR"/>
        </w:rPr>
      </w:pPr>
    </w:p>
    <w:p w14:paraId="2E44F7AE" w14:textId="7C04F386"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Asimismo, en relación con el comportamiento procesal de las víctimas, el Tribunal verifica que no se observan conductas dilatorias u obstructivas por parte de los familiares de Gabriel Sales Pimenta; por el contrario, el hermano Rafael Sales Pimenta se habilitó como “asistente de la acusación”</w:t>
      </w:r>
      <w:r w:rsidRPr="00CD68BA">
        <w:rPr>
          <w:rStyle w:val="Refdenotaalpie"/>
          <w:lang w:val="es-CR"/>
        </w:rPr>
        <w:t xml:space="preserve"> </w:t>
      </w:r>
      <w:r w:rsidRPr="00CD68BA">
        <w:rPr>
          <w:lang w:val="es-CR"/>
        </w:rPr>
        <w:t>cuando le fue posible y sus intervenciones se encaminaron tan solamente a agilizar el desarrollo del proceso</w:t>
      </w:r>
      <w:r w:rsidRPr="00CD68BA">
        <w:rPr>
          <w:rStyle w:val="Refdenotaalpie"/>
          <w:lang w:val="es-CR"/>
        </w:rPr>
        <w:footnoteReference w:id="189"/>
      </w:r>
      <w:r w:rsidRPr="00CD68BA">
        <w:rPr>
          <w:lang w:val="es-CR"/>
        </w:rPr>
        <w:t xml:space="preserve">. </w:t>
      </w:r>
    </w:p>
    <w:p w14:paraId="7D183E63" w14:textId="77777777" w:rsidR="00E31377" w:rsidRPr="00CD68BA" w:rsidRDefault="00E31377" w:rsidP="00A06718">
      <w:pPr>
        <w:pStyle w:val="Prrafodelista"/>
        <w:spacing w:before="0" w:after="0"/>
        <w:contextualSpacing w:val="0"/>
        <w:rPr>
          <w:lang w:val="es-CR"/>
        </w:rPr>
      </w:pPr>
    </w:p>
    <w:p w14:paraId="5652EBA7" w14:textId="01303737"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Por último, en lo relativo a la afectación generada en la situación jurídica de las personas involucradas en el proceso, este Tribunal ha establecido que, si el paso del tiempo incide de manera relevante en la situación jurídica del individuo, resultará necesario que el procedimiento avance con mayor diligencia a fin de que el caso se resuelva en un tiempo breve</w:t>
      </w:r>
      <w:r w:rsidRPr="00CD68BA">
        <w:rPr>
          <w:rStyle w:val="Refdenotaalpie"/>
          <w:lang w:val="es-CR"/>
        </w:rPr>
        <w:footnoteReference w:id="190"/>
      </w:r>
      <w:r w:rsidRPr="00CD68BA">
        <w:rPr>
          <w:lang w:val="es-CR"/>
        </w:rPr>
        <w:t>. En el presente caso el Tribunal observa que, tratándose de un defensor de derechos humanos, máxime de un abogado de trabajadores rurales en un contexto de violencia e impunidad, las autoridades judiciales tendrían que haber obrado con mayor diligencia y celeridad en el marco de la realización de los actos procesales, toda vez que de estas actuaciones judiciales dependía investigar y determinar la verdad de lo sucedido, siendo una gran probabilidad que el señor Gabriel Sales Pimenta hubiese sido víctima de una muerte violenta vinculada a su actividad de defensor de derechos humanos, lo cual podía interpretarse como un mensaje de ataque directo hacia el colectivo de defensoras y defensores de derechos humanos.</w:t>
      </w:r>
    </w:p>
    <w:p w14:paraId="149D6A18" w14:textId="77777777" w:rsidR="00E31377" w:rsidRPr="00CD68BA" w:rsidRDefault="00E31377" w:rsidP="00A06718">
      <w:pPr>
        <w:pStyle w:val="Prrafodelista"/>
        <w:autoSpaceDE w:val="0"/>
        <w:autoSpaceDN w:val="0"/>
        <w:adjustRightInd w:val="0"/>
        <w:spacing w:before="0" w:after="0"/>
        <w:ind w:left="0"/>
        <w:contextualSpacing w:val="0"/>
        <w:rPr>
          <w:szCs w:val="20"/>
          <w:lang w:val="es-CR"/>
        </w:rPr>
      </w:pPr>
    </w:p>
    <w:p w14:paraId="487A1D47" w14:textId="78CD1911"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lo concerniente a las alegadas violaciones ocurridas en el ámbito de la acción de indemnización contra el estado de Pará incoada por los familiares de Gabriel Sales Pimenta, dicha acción fue interpuesta su madre en el 2007, posteriormente a la decisión definitiva en el proceso penal. No obstante,</w:t>
      </w:r>
      <w:r w:rsidR="00B55DDE" w:rsidRPr="00CD68BA">
        <w:rPr>
          <w:lang w:val="es-CR"/>
        </w:rPr>
        <w:t xml:space="preserve"> el proceso respectivo</w:t>
      </w:r>
      <w:r w:rsidRPr="00CD68BA">
        <w:rPr>
          <w:lang w:val="es-CR"/>
        </w:rPr>
        <w:t xml:space="preserve"> tardó </w:t>
      </w:r>
      <w:r w:rsidR="009E75A9" w:rsidRPr="00CD68BA">
        <w:rPr>
          <w:lang w:val="es-CR"/>
        </w:rPr>
        <w:t>casi</w:t>
      </w:r>
      <w:r w:rsidRPr="00CD68BA">
        <w:rPr>
          <w:lang w:val="es-CR"/>
        </w:rPr>
        <w:t xml:space="preserve"> 14 años hasta su conclusión, </w:t>
      </w:r>
      <w:r w:rsidR="00477E99" w:rsidRPr="00CD68BA">
        <w:rPr>
          <w:lang w:val="es-CR"/>
        </w:rPr>
        <w:t xml:space="preserve">culminando </w:t>
      </w:r>
      <w:r w:rsidRPr="00CD68BA">
        <w:rPr>
          <w:lang w:val="es-CR"/>
        </w:rPr>
        <w:t xml:space="preserve">con la decisión de su improcedencia. La demora excesiva se debe, igualmente, a las conductas negligentes de las autoridades judiciales. A modo de ejemplo, entre la interposición de la acción y la sentencia de primera instancia (5 de octubre de 2011), pasaron </w:t>
      </w:r>
      <w:r w:rsidR="009E75A9" w:rsidRPr="00CD68BA">
        <w:rPr>
          <w:lang w:val="es-CR"/>
        </w:rPr>
        <w:t>cuatro</w:t>
      </w:r>
      <w:r w:rsidRPr="00CD68BA">
        <w:rPr>
          <w:lang w:val="es-CR"/>
        </w:rPr>
        <w:t xml:space="preserve"> años, y entre esta y la decisión </w:t>
      </w:r>
      <w:r w:rsidR="009E75A9" w:rsidRPr="00CD68BA">
        <w:rPr>
          <w:lang w:val="es-CR"/>
        </w:rPr>
        <w:t xml:space="preserve">final </w:t>
      </w:r>
      <w:r w:rsidR="0013741A" w:rsidRPr="00CD68BA">
        <w:rPr>
          <w:lang w:val="es-CR"/>
        </w:rPr>
        <w:t>dictada por e</w:t>
      </w:r>
      <w:r w:rsidR="009E75A9" w:rsidRPr="00CD68BA">
        <w:rPr>
          <w:lang w:val="es-CR"/>
        </w:rPr>
        <w:t xml:space="preserve">l Superior </w:t>
      </w:r>
      <w:r w:rsidRPr="00CD68BA">
        <w:rPr>
          <w:lang w:val="es-CR"/>
        </w:rPr>
        <w:t xml:space="preserve">Tribunal de Justicia, </w:t>
      </w:r>
      <w:r w:rsidR="009E75A9" w:rsidRPr="00CD68BA">
        <w:rPr>
          <w:lang w:val="es-CR"/>
        </w:rPr>
        <w:t>casi 10</w:t>
      </w:r>
      <w:r w:rsidRPr="00CD68BA">
        <w:rPr>
          <w:lang w:val="es-CR"/>
        </w:rPr>
        <w:t xml:space="preserve"> años más.</w:t>
      </w:r>
    </w:p>
    <w:p w14:paraId="56588FA8" w14:textId="77777777" w:rsidR="00E31377" w:rsidRPr="00CD68BA" w:rsidRDefault="00E31377" w:rsidP="00A06718">
      <w:pPr>
        <w:pStyle w:val="Prrafodelista"/>
        <w:spacing w:before="0" w:after="0"/>
        <w:contextualSpacing w:val="0"/>
        <w:rPr>
          <w:lang w:val="es-CR"/>
        </w:rPr>
      </w:pPr>
    </w:p>
    <w:p w14:paraId="039E9982" w14:textId="688C440D" w:rsidR="00E31377"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Por lo tanto, tomando en cuenta las consideraciones anteriores</w:t>
      </w:r>
      <w:r w:rsidR="00394081" w:rsidRPr="00CD68BA">
        <w:rPr>
          <w:lang w:val="es-CR"/>
        </w:rPr>
        <w:t>,</w:t>
      </w:r>
      <w:r w:rsidRPr="00CD68BA">
        <w:rPr>
          <w:lang w:val="es-CR"/>
        </w:rPr>
        <w:t xml:space="preserve"> y debido a que transcurrieron casi 24 años desde los hechos del presente caso hasta la decisión que extinguió el proceso penal, y más de 7 años desde la fecha de reconocimiento de la competencia de la Corte hasta la referida decisión definitiva en el proceso penal, así como el paso de </w:t>
      </w:r>
      <w:r w:rsidR="00697389" w:rsidRPr="00CD68BA">
        <w:rPr>
          <w:lang w:val="es-CR"/>
        </w:rPr>
        <w:t>casi</w:t>
      </w:r>
      <w:r w:rsidRPr="00CD68BA">
        <w:rPr>
          <w:lang w:val="es-CR"/>
        </w:rPr>
        <w:t xml:space="preserve"> 14 años en la tramitación del proceso civil, el Tribunal concluye que Brasil violó el plazo razonable en la investigación y tramitación del proceso penal relacionado con el homicidio d</w:t>
      </w:r>
      <w:r w:rsidR="007E2143" w:rsidRPr="00CD68BA">
        <w:rPr>
          <w:lang w:val="es-CR"/>
        </w:rPr>
        <w:t>e</w:t>
      </w:r>
      <w:r w:rsidRPr="00CD68BA">
        <w:rPr>
          <w:lang w:val="es-CR"/>
        </w:rPr>
        <w:t>l defensor de derechos humanos Gabriel Sales Pimenta.</w:t>
      </w:r>
    </w:p>
    <w:p w14:paraId="121C5AE2" w14:textId="77777777" w:rsidR="000F192C" w:rsidRPr="00CD68BA" w:rsidRDefault="000F192C" w:rsidP="00A06718">
      <w:pPr>
        <w:spacing w:before="0" w:after="0"/>
        <w:rPr>
          <w:szCs w:val="20"/>
          <w:lang w:val="es-CR"/>
        </w:rPr>
      </w:pPr>
    </w:p>
    <w:p w14:paraId="64D73C9B" w14:textId="5E8F58D2" w:rsidR="000F192C" w:rsidRPr="00CD68BA" w:rsidRDefault="000F192C" w:rsidP="00A06718">
      <w:pPr>
        <w:pStyle w:val="Ttulo3"/>
        <w:spacing w:before="0" w:after="0"/>
        <w:ind w:left="810" w:hanging="90"/>
        <w:jc w:val="both"/>
        <w:rPr>
          <w:i/>
          <w:iCs/>
          <w:szCs w:val="20"/>
          <w:lang w:val="es-CR"/>
        </w:rPr>
      </w:pPr>
      <w:bookmarkStart w:id="141" w:name="_Toc114778792"/>
      <w:r w:rsidRPr="00CD68BA">
        <w:rPr>
          <w:i/>
          <w:iCs/>
          <w:szCs w:val="20"/>
          <w:lang w:val="es-CR"/>
        </w:rPr>
        <w:lastRenderedPageBreak/>
        <w:t>b.</w:t>
      </w:r>
      <w:r w:rsidR="00F65914" w:rsidRPr="00CD68BA">
        <w:rPr>
          <w:i/>
          <w:iCs/>
          <w:szCs w:val="20"/>
          <w:lang w:val="es-CR"/>
        </w:rPr>
        <w:t>3</w:t>
      </w:r>
      <w:r w:rsidRPr="00CD68BA">
        <w:rPr>
          <w:i/>
          <w:iCs/>
          <w:szCs w:val="20"/>
          <w:lang w:val="es-CR"/>
        </w:rPr>
        <w:t xml:space="preserve"> Derecho a la verdad</w:t>
      </w:r>
      <w:bookmarkEnd w:id="141"/>
    </w:p>
    <w:p w14:paraId="2F94683F" w14:textId="4EBBE016" w:rsidR="000F192C" w:rsidRPr="00CD68BA" w:rsidRDefault="000F192C" w:rsidP="00A06718">
      <w:pPr>
        <w:pStyle w:val="Prrafodelista"/>
        <w:autoSpaceDE w:val="0"/>
        <w:autoSpaceDN w:val="0"/>
        <w:adjustRightInd w:val="0"/>
        <w:spacing w:before="0" w:after="0"/>
        <w:ind w:left="0"/>
        <w:contextualSpacing w:val="0"/>
        <w:rPr>
          <w:szCs w:val="20"/>
          <w:lang w:val="es-CR"/>
        </w:rPr>
      </w:pPr>
    </w:p>
    <w:p w14:paraId="65C35C20" w14:textId="7EF48AA7" w:rsidR="00B80B1F" w:rsidRPr="00CD68BA" w:rsidRDefault="00EE3CEC"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Esta Corte ha expresado que “</w:t>
      </w:r>
      <w:r w:rsidRPr="00CD68BA">
        <w:rPr>
          <w:rFonts w:eastAsia="Calibri"/>
          <w:lang w:val="es-CR"/>
        </w:rPr>
        <w:t xml:space="preserve">toda persona, incluyendo los familiares de las víctimas de graves violaciones a derechos humanos, tiene el derecho a conocer la verdad [sobre las mismas]”, lo que implica que “deben ser informados de </w:t>
      </w:r>
      <w:r w:rsidRPr="00CD68BA">
        <w:rPr>
          <w:rFonts w:eastAsia="Calibri"/>
          <w:snapToGrid w:val="0"/>
          <w:kern w:val="32"/>
          <w:lang w:val="es-CR"/>
        </w:rPr>
        <w:t>todo</w:t>
      </w:r>
      <w:r w:rsidRPr="00CD68BA">
        <w:rPr>
          <w:rFonts w:eastAsia="Calibri"/>
          <w:lang w:val="es-CR"/>
        </w:rPr>
        <w:t xml:space="preserve"> lo sucedido con relación a </w:t>
      </w:r>
      <w:r w:rsidRPr="00CD68BA">
        <w:rPr>
          <w:rFonts w:eastAsia="Calibri" w:cs="Verdana"/>
          <w:lang w:val="es-CR"/>
        </w:rPr>
        <w:t>dichas</w:t>
      </w:r>
      <w:r w:rsidRPr="00CD68BA">
        <w:rPr>
          <w:rFonts w:eastAsia="Calibri"/>
          <w:lang w:val="es-CR"/>
        </w:rPr>
        <w:t xml:space="preserve"> violaciones”</w:t>
      </w:r>
      <w:r w:rsidRPr="00CD68BA">
        <w:rPr>
          <w:vertAlign w:val="superscript"/>
          <w:lang w:val="es-CR"/>
        </w:rPr>
        <w:footnoteReference w:id="191"/>
      </w:r>
      <w:r w:rsidRPr="00CD68BA">
        <w:rPr>
          <w:rFonts w:eastAsia="Calibri"/>
          <w:lang w:val="es-CR"/>
        </w:rPr>
        <w:t xml:space="preserve">. </w:t>
      </w:r>
      <w:r w:rsidR="006B1609" w:rsidRPr="00CD68BA">
        <w:rPr>
          <w:lang w:val="es-CR"/>
        </w:rPr>
        <w:t>El derecho a la verdad se relaciona, de modo general, con el derecho a que el Estado realice las acciones tendientes a lograr “el esclarecimiento de los hechos violatorios y las responsabilidades correspondientes”</w:t>
      </w:r>
      <w:r w:rsidR="006B1609" w:rsidRPr="00CD68BA">
        <w:rPr>
          <w:rStyle w:val="Refdenotaalpie"/>
          <w:lang w:val="es-CR"/>
        </w:rPr>
        <w:footnoteReference w:id="192"/>
      </w:r>
      <w:r w:rsidR="006B1609" w:rsidRPr="00CD68BA">
        <w:rPr>
          <w:lang w:val="es-CR"/>
        </w:rPr>
        <w:t xml:space="preserve">. </w:t>
      </w:r>
      <w:r w:rsidR="008E0EF8" w:rsidRPr="00CD68BA">
        <w:rPr>
          <w:szCs w:val="20"/>
          <w:lang w:val="es-CR"/>
        </w:rPr>
        <w:t>La satisfacción de este derecho es de interés no solo de los familiares de las víctimas, sino también de la sociedad en su conjunto, que con ello ve facilitada la prevención de este tipo de violaciones en el futuro</w:t>
      </w:r>
      <w:r w:rsidR="008E0EF8" w:rsidRPr="00CD68BA">
        <w:rPr>
          <w:rStyle w:val="Refdenotaalpie"/>
          <w:lang w:val="es-CR"/>
        </w:rPr>
        <w:footnoteReference w:id="193"/>
      </w:r>
      <w:r w:rsidR="008E0EF8" w:rsidRPr="00CD68BA">
        <w:rPr>
          <w:szCs w:val="20"/>
          <w:lang w:val="es-CR"/>
        </w:rPr>
        <w:t>.</w:t>
      </w:r>
    </w:p>
    <w:p w14:paraId="06783251" w14:textId="77777777" w:rsidR="00B80B1F" w:rsidRPr="00CD68BA" w:rsidRDefault="00B80B1F" w:rsidP="00A06718">
      <w:pPr>
        <w:pStyle w:val="Prrafodelista"/>
        <w:autoSpaceDE w:val="0"/>
        <w:autoSpaceDN w:val="0"/>
        <w:adjustRightInd w:val="0"/>
        <w:spacing w:before="0" w:after="0"/>
        <w:ind w:left="0"/>
        <w:contextualSpacing w:val="0"/>
        <w:rPr>
          <w:szCs w:val="20"/>
          <w:lang w:val="es-CR"/>
        </w:rPr>
      </w:pPr>
    </w:p>
    <w:p w14:paraId="1288E993" w14:textId="5236DEFE" w:rsidR="00B80B1F" w:rsidRPr="00CD68BA" w:rsidRDefault="00EE3CEC"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rFonts w:eastAsia="Calibri"/>
          <w:color w:val="000000"/>
          <w:lang w:val="es-CR"/>
        </w:rPr>
        <w:t xml:space="preserve">También han quedado establecidas en la jurisprudencia de este Tribunal la autonomía y naturaleza amplia del derecho </w:t>
      </w:r>
      <w:r w:rsidRPr="00CD68BA">
        <w:rPr>
          <w:lang w:val="es-CR"/>
        </w:rPr>
        <w:t xml:space="preserve">a la verdad, que no está literalmente reconocido en la Convención Americana, pero que se vincula con diversas disposiciones del tratado. En relación con ello, </w:t>
      </w:r>
      <w:r w:rsidRPr="00CD68BA">
        <w:rPr>
          <w:rFonts w:eastAsia="Calibri"/>
          <w:color w:val="000000"/>
          <w:lang w:val="es-CR"/>
        </w:rPr>
        <w:t>de acuerdo con las circunstancias del caso, la vulneración del derecho puede relacionarse con distintos derechos receptados expresamente en la Convención</w:t>
      </w:r>
      <w:r w:rsidRPr="00CD68BA">
        <w:rPr>
          <w:rStyle w:val="Refdenotaalpie"/>
          <w:lang w:val="es-CR"/>
        </w:rPr>
        <w:footnoteReference w:id="194"/>
      </w:r>
      <w:r w:rsidRPr="00CD68BA">
        <w:rPr>
          <w:rFonts w:eastAsia="Calibri"/>
          <w:color w:val="000000"/>
          <w:lang w:val="es-CR"/>
        </w:rPr>
        <w:t>, como es el caso de los derechos a las garantías judiciales y a la protección judicial, reconocidos por los artículos 8 y 25 del tratado</w:t>
      </w:r>
      <w:r w:rsidRPr="00CD68BA">
        <w:rPr>
          <w:rStyle w:val="Refdenotaalpie"/>
          <w:lang w:val="es-CR"/>
        </w:rPr>
        <w:footnoteReference w:id="195"/>
      </w:r>
      <w:r w:rsidRPr="00CD68BA">
        <w:rPr>
          <w:rFonts w:eastAsia="Calibri"/>
          <w:color w:val="000000"/>
          <w:lang w:val="es-CR"/>
        </w:rPr>
        <w:t>, o el derecho de acceso a información, tutelado por su artículo 13</w:t>
      </w:r>
      <w:r w:rsidR="00DC0DFF" w:rsidRPr="00CD68BA">
        <w:rPr>
          <w:rStyle w:val="Refdenotaalpie"/>
          <w:rFonts w:eastAsia="Calibri"/>
          <w:color w:val="000000"/>
          <w:lang w:val="es-CR"/>
        </w:rPr>
        <w:footnoteReference w:id="196"/>
      </w:r>
      <w:r w:rsidRPr="00CD68BA">
        <w:rPr>
          <w:rFonts w:eastAsia="Calibri"/>
          <w:color w:val="000000"/>
          <w:lang w:val="es-CR"/>
        </w:rPr>
        <w:t xml:space="preserve">. </w:t>
      </w:r>
    </w:p>
    <w:p w14:paraId="4902A536" w14:textId="21576328" w:rsidR="00B80B1F" w:rsidRPr="00CD68BA" w:rsidRDefault="00B80B1F" w:rsidP="00A06718">
      <w:pPr>
        <w:pStyle w:val="Prrafodelista"/>
        <w:spacing w:before="0" w:after="0"/>
        <w:contextualSpacing w:val="0"/>
        <w:rPr>
          <w:shd w:val="clear" w:color="auto" w:fill="FFFFFF"/>
          <w:lang w:val="es-CR"/>
        </w:rPr>
      </w:pPr>
    </w:p>
    <w:p w14:paraId="13983CB1" w14:textId="3B972219" w:rsidR="00AC7862" w:rsidRPr="00CD68BA" w:rsidRDefault="000C5E4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hd w:val="clear" w:color="auto" w:fill="FFFFFF"/>
          <w:lang w:val="es-CR"/>
        </w:rPr>
        <w:t xml:space="preserve">En el presente </w:t>
      </w:r>
      <w:r w:rsidR="00AC7862" w:rsidRPr="00CD68BA">
        <w:rPr>
          <w:shd w:val="clear" w:color="auto" w:fill="FFFFFF"/>
          <w:lang w:val="es-CR"/>
        </w:rPr>
        <w:t xml:space="preserve">caso, </w:t>
      </w:r>
      <w:r w:rsidR="00C81B35" w:rsidRPr="00CD68BA">
        <w:rPr>
          <w:shd w:val="clear" w:color="auto" w:fill="FFFFFF"/>
          <w:lang w:val="es-CR"/>
        </w:rPr>
        <w:t>la muerte</w:t>
      </w:r>
      <w:r w:rsidR="0069548C" w:rsidRPr="00CD68BA">
        <w:rPr>
          <w:shd w:val="clear" w:color="auto" w:fill="FFFFFF"/>
          <w:lang w:val="es-CR"/>
        </w:rPr>
        <w:t xml:space="preserve"> violenta</w:t>
      </w:r>
      <w:r w:rsidR="001214F2" w:rsidRPr="00CD68BA">
        <w:rPr>
          <w:shd w:val="clear" w:color="auto" w:fill="FFFFFF"/>
          <w:lang w:val="es-CR"/>
        </w:rPr>
        <w:t xml:space="preserve"> del señor Sales Pimenta </w:t>
      </w:r>
      <w:r w:rsidR="001214F2" w:rsidRPr="00CD68BA">
        <w:rPr>
          <w:rFonts w:eastAsiaTheme="minorHAnsi"/>
          <w:lang w:val="es-CR"/>
        </w:rPr>
        <w:t>se enmarcó en un contexto de</w:t>
      </w:r>
      <w:r w:rsidR="001214F2" w:rsidRPr="00CD68BA">
        <w:rPr>
          <w:lang w:val="es-CR"/>
        </w:rPr>
        <w:t xml:space="preserve"> un exacerbado nivel de homicidios contra trabajadores rurales y defensores de sus derechos</w:t>
      </w:r>
      <w:r w:rsidR="001214F2" w:rsidRPr="00CD68BA">
        <w:rPr>
          <w:rFonts w:eastAsiaTheme="minorHAnsi"/>
          <w:lang w:val="es-CR"/>
        </w:rPr>
        <w:t xml:space="preserve">, acompañado de una situación generalizada de impunidad respecto de este tipo de delitos y precedido de numerosas amenazas dirigidas contra la presunta víctima. En esa medida, </w:t>
      </w:r>
      <w:r w:rsidRPr="00CD68BA">
        <w:rPr>
          <w:shd w:val="clear" w:color="auto" w:fill="FFFFFF"/>
          <w:lang w:val="es-CR"/>
        </w:rPr>
        <w:t>el esclarecimiento de</w:t>
      </w:r>
      <w:r w:rsidR="001214F2" w:rsidRPr="00CD68BA">
        <w:rPr>
          <w:shd w:val="clear" w:color="auto" w:fill="FFFFFF"/>
          <w:lang w:val="es-CR"/>
        </w:rPr>
        <w:t>l homicidio y de</w:t>
      </w:r>
      <w:r w:rsidR="008E0EF8" w:rsidRPr="00CD68BA">
        <w:rPr>
          <w:shd w:val="clear" w:color="auto" w:fill="FFFFFF"/>
          <w:lang w:val="es-CR"/>
        </w:rPr>
        <w:t xml:space="preserve"> </w:t>
      </w:r>
      <w:r w:rsidR="001214F2" w:rsidRPr="00CD68BA">
        <w:rPr>
          <w:shd w:val="clear" w:color="auto" w:fill="FFFFFF"/>
          <w:lang w:val="es-CR"/>
        </w:rPr>
        <w:t xml:space="preserve">las responsabilidades </w:t>
      </w:r>
      <w:r w:rsidR="00AC7862" w:rsidRPr="00CD68BA">
        <w:rPr>
          <w:shd w:val="clear" w:color="auto" w:fill="FFFFFF"/>
          <w:lang w:val="es-CR"/>
        </w:rPr>
        <w:t>correspondientes no</w:t>
      </w:r>
      <w:r w:rsidRPr="00CD68BA">
        <w:rPr>
          <w:shd w:val="clear" w:color="auto" w:fill="FFFFFF"/>
          <w:lang w:val="es-CR"/>
        </w:rPr>
        <w:t xml:space="preserve"> solo </w:t>
      </w:r>
      <w:r w:rsidR="001214F2" w:rsidRPr="00CD68BA">
        <w:rPr>
          <w:shd w:val="clear" w:color="auto" w:fill="FFFFFF"/>
          <w:lang w:val="es-CR"/>
        </w:rPr>
        <w:t xml:space="preserve">revestía importancia </w:t>
      </w:r>
      <w:r w:rsidRPr="00CD68BA">
        <w:rPr>
          <w:shd w:val="clear" w:color="auto" w:fill="FFFFFF"/>
          <w:lang w:val="es-CR"/>
        </w:rPr>
        <w:t>para la familia de</w:t>
      </w:r>
      <w:r w:rsidR="00AC7862" w:rsidRPr="00CD68BA">
        <w:rPr>
          <w:shd w:val="clear" w:color="auto" w:fill="FFFFFF"/>
          <w:lang w:val="es-CR"/>
        </w:rPr>
        <w:t xml:space="preserve"> Gabriel </w:t>
      </w:r>
      <w:r w:rsidRPr="00CD68BA">
        <w:rPr>
          <w:shd w:val="clear" w:color="auto" w:fill="FFFFFF"/>
          <w:lang w:val="es-CR"/>
        </w:rPr>
        <w:t xml:space="preserve">Sales Pimenta, </w:t>
      </w:r>
      <w:r w:rsidR="00EF1A19" w:rsidRPr="00CD68BA">
        <w:rPr>
          <w:shd w:val="clear" w:color="auto" w:fill="FFFFFF"/>
          <w:lang w:val="es-CR"/>
        </w:rPr>
        <w:t xml:space="preserve">sino que </w:t>
      </w:r>
      <w:r w:rsidR="001214F2" w:rsidRPr="00CD68BA">
        <w:rPr>
          <w:shd w:val="clear" w:color="auto" w:fill="FFFFFF"/>
          <w:lang w:val="es-CR"/>
        </w:rPr>
        <w:t xml:space="preserve">también </w:t>
      </w:r>
      <w:r w:rsidR="008E0EF8" w:rsidRPr="00CD68BA">
        <w:rPr>
          <w:shd w:val="clear" w:color="auto" w:fill="FFFFFF"/>
          <w:lang w:val="es-CR"/>
        </w:rPr>
        <w:t>tenía una dimensión colectiva</w:t>
      </w:r>
      <w:r w:rsidRPr="00CD68BA">
        <w:rPr>
          <w:shd w:val="clear" w:color="auto" w:fill="FFFFFF"/>
          <w:lang w:val="es-CR"/>
        </w:rPr>
        <w:t xml:space="preserve">, </w:t>
      </w:r>
      <w:r w:rsidR="00EF1A19" w:rsidRPr="00CD68BA">
        <w:rPr>
          <w:shd w:val="clear" w:color="auto" w:fill="FFFFFF"/>
          <w:lang w:val="es-CR"/>
        </w:rPr>
        <w:t>en tanto</w:t>
      </w:r>
      <w:r w:rsidR="00627EEF" w:rsidRPr="00CD68BA">
        <w:rPr>
          <w:shd w:val="clear" w:color="auto" w:fill="FFFFFF"/>
          <w:lang w:val="es-CR"/>
        </w:rPr>
        <w:t xml:space="preserve"> la falta de </w:t>
      </w:r>
      <w:r w:rsidR="000302B8" w:rsidRPr="00CD68BA">
        <w:rPr>
          <w:shd w:val="clear" w:color="auto" w:fill="FFFFFF"/>
          <w:lang w:val="es-CR"/>
        </w:rPr>
        <w:t>esclarecimiento</w:t>
      </w:r>
      <w:r w:rsidR="00627EEF" w:rsidRPr="00CD68BA">
        <w:rPr>
          <w:shd w:val="clear" w:color="auto" w:fill="FFFFFF"/>
          <w:lang w:val="es-CR"/>
        </w:rPr>
        <w:t xml:space="preserve"> de</w:t>
      </w:r>
      <w:r w:rsidR="000302B8" w:rsidRPr="00CD68BA">
        <w:rPr>
          <w:shd w:val="clear" w:color="auto" w:fill="FFFFFF"/>
          <w:lang w:val="es-CR"/>
        </w:rPr>
        <w:t xml:space="preserve"> las circunstancias de</w:t>
      </w:r>
      <w:r w:rsidR="00627EEF" w:rsidRPr="00CD68BA">
        <w:rPr>
          <w:shd w:val="clear" w:color="auto" w:fill="FFFFFF"/>
          <w:lang w:val="es-CR"/>
        </w:rPr>
        <w:t xml:space="preserve"> la muerte violenta</w:t>
      </w:r>
      <w:r w:rsidRPr="00CD68BA">
        <w:rPr>
          <w:shd w:val="clear" w:color="auto" w:fill="FFFFFF"/>
          <w:lang w:val="es-CR"/>
        </w:rPr>
        <w:t xml:space="preserve"> </w:t>
      </w:r>
      <w:r w:rsidR="000302B8" w:rsidRPr="00CD68BA">
        <w:rPr>
          <w:shd w:val="clear" w:color="auto" w:fill="FFFFFF"/>
          <w:lang w:val="es-CR"/>
        </w:rPr>
        <w:t>de</w:t>
      </w:r>
      <w:r w:rsidR="008E0EF8" w:rsidRPr="00CD68BA">
        <w:rPr>
          <w:shd w:val="clear" w:color="auto" w:fill="FFFFFF"/>
          <w:lang w:val="es-CR"/>
        </w:rPr>
        <w:t>l señor Sales Pimenta</w:t>
      </w:r>
      <w:r w:rsidR="000302B8" w:rsidRPr="00CD68BA">
        <w:rPr>
          <w:shd w:val="clear" w:color="auto" w:fill="FFFFFF"/>
          <w:lang w:val="es-CR"/>
        </w:rPr>
        <w:t xml:space="preserve"> </w:t>
      </w:r>
      <w:r w:rsidR="00627EEF" w:rsidRPr="00CD68BA">
        <w:rPr>
          <w:shd w:val="clear" w:color="auto" w:fill="FFFFFF"/>
          <w:lang w:val="es-CR"/>
        </w:rPr>
        <w:t>genera</w:t>
      </w:r>
      <w:r w:rsidR="000302B8" w:rsidRPr="00CD68BA">
        <w:rPr>
          <w:shd w:val="clear" w:color="auto" w:fill="FFFFFF"/>
          <w:lang w:val="es-CR"/>
        </w:rPr>
        <w:t>ría</w:t>
      </w:r>
      <w:r w:rsidR="00627EEF" w:rsidRPr="00CD68BA">
        <w:rPr>
          <w:shd w:val="clear" w:color="auto" w:fill="FFFFFF"/>
          <w:lang w:val="es-CR"/>
        </w:rPr>
        <w:t xml:space="preserve"> un efecto amedrentador para las personas defensoras de derechos humanos</w:t>
      </w:r>
      <w:r w:rsidR="008E0EF8" w:rsidRPr="00CD68BA">
        <w:rPr>
          <w:shd w:val="clear" w:color="auto" w:fill="FFFFFF"/>
          <w:lang w:val="es-CR"/>
        </w:rPr>
        <w:t>, para los trabajadores rurales</w:t>
      </w:r>
      <w:r w:rsidR="00627EEF" w:rsidRPr="00CD68BA">
        <w:rPr>
          <w:shd w:val="clear" w:color="auto" w:fill="FFFFFF"/>
          <w:lang w:val="es-CR"/>
        </w:rPr>
        <w:t xml:space="preserve"> y para la sociedad en su conjunto.</w:t>
      </w:r>
    </w:p>
    <w:p w14:paraId="631DD653" w14:textId="77777777" w:rsidR="00AC7862" w:rsidRPr="00CD68BA" w:rsidRDefault="00AC7862" w:rsidP="00A06718">
      <w:pPr>
        <w:pStyle w:val="Prrafodelista"/>
        <w:spacing w:before="0" w:after="0"/>
        <w:contextualSpacing w:val="0"/>
        <w:rPr>
          <w:lang w:val="es-CR"/>
        </w:rPr>
      </w:pPr>
    </w:p>
    <w:p w14:paraId="3AD4482D" w14:textId="12B74FDE" w:rsidR="00AC7862" w:rsidRPr="00CD68BA" w:rsidRDefault="004F6997"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Aunado a lo anterior, la Corte verifica que el caso se encuentra en una situación de absoluta impunidad hasta la actualidad. Ello, debido a que no se esclarecieron las circunstancias de</w:t>
      </w:r>
      <w:r w:rsidR="00B2237F" w:rsidRPr="00CD68BA">
        <w:rPr>
          <w:lang w:val="es-CR"/>
        </w:rPr>
        <w:t xml:space="preserve"> la muerte</w:t>
      </w:r>
      <w:r w:rsidRPr="00CD68BA">
        <w:rPr>
          <w:lang w:val="es-CR"/>
        </w:rPr>
        <w:t xml:space="preserve"> de Gabriel Sales Pimenta, pese a la identificación de tres sospechosos y la existencia de dos testigos oculares</w:t>
      </w:r>
      <w:r w:rsidR="00B2237F" w:rsidRPr="00CD68BA">
        <w:rPr>
          <w:lang w:val="es-CR"/>
        </w:rPr>
        <w:t>,</w:t>
      </w:r>
      <w:r w:rsidRPr="00CD68BA">
        <w:rPr>
          <w:lang w:val="es-CR"/>
        </w:rPr>
        <w:t xml:space="preserve"> y otros medios de prueba que se encontraban a disposición de las autoridades estatales. </w:t>
      </w:r>
    </w:p>
    <w:p w14:paraId="5109C3A3" w14:textId="77777777" w:rsidR="00AC7862" w:rsidRPr="00CD68BA" w:rsidRDefault="00AC7862" w:rsidP="00A06718">
      <w:pPr>
        <w:pStyle w:val="Prrafodelista"/>
        <w:spacing w:before="0" w:after="0"/>
        <w:contextualSpacing w:val="0"/>
        <w:rPr>
          <w:lang w:val="es-CR"/>
        </w:rPr>
      </w:pPr>
    </w:p>
    <w:p w14:paraId="6C3A5960" w14:textId="681BA666" w:rsidR="00283E74" w:rsidRPr="00CD68BA" w:rsidRDefault="00F4349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Por ende, </w:t>
      </w:r>
      <w:r w:rsidR="007F698E" w:rsidRPr="00CD68BA">
        <w:rPr>
          <w:lang w:val="es-CR"/>
        </w:rPr>
        <w:t xml:space="preserve">luego </w:t>
      </w:r>
      <w:r w:rsidRPr="00CD68BA">
        <w:rPr>
          <w:lang w:val="es-CR"/>
        </w:rPr>
        <w:t xml:space="preserve">de </w:t>
      </w:r>
      <w:r w:rsidR="00150134" w:rsidRPr="00CD68BA">
        <w:rPr>
          <w:lang w:val="es-CR"/>
        </w:rPr>
        <w:t xml:space="preserve">casi </w:t>
      </w:r>
      <w:r w:rsidRPr="00CD68BA">
        <w:rPr>
          <w:lang w:val="es-CR"/>
        </w:rPr>
        <w:t xml:space="preserve">40 años </w:t>
      </w:r>
      <w:r w:rsidR="007F698E" w:rsidRPr="00CD68BA">
        <w:rPr>
          <w:lang w:val="es-CR"/>
        </w:rPr>
        <w:t xml:space="preserve">de ocurrido </w:t>
      </w:r>
      <w:r w:rsidRPr="00CD68BA">
        <w:rPr>
          <w:lang w:val="es-CR"/>
        </w:rPr>
        <w:t xml:space="preserve">el homicidio de Gabriel Sales Pimenta, </w:t>
      </w:r>
      <w:r w:rsidR="00555CEB" w:rsidRPr="00CD68BA">
        <w:rPr>
          <w:lang w:val="es-CR"/>
        </w:rPr>
        <w:t>no se ha logrado determinar la verdad de lo sucedido</w:t>
      </w:r>
      <w:r w:rsidRPr="00CD68BA">
        <w:rPr>
          <w:lang w:val="es-CR"/>
        </w:rPr>
        <w:t xml:space="preserve">, </w:t>
      </w:r>
      <w:r w:rsidR="00AA33FC" w:rsidRPr="00CD68BA">
        <w:rPr>
          <w:lang w:val="es-CR"/>
        </w:rPr>
        <w:t>a pesar de</w:t>
      </w:r>
      <w:r w:rsidRPr="00CD68BA">
        <w:rPr>
          <w:lang w:val="es-CR"/>
        </w:rPr>
        <w:t xml:space="preserve"> la abundancia </w:t>
      </w:r>
      <w:r w:rsidR="008E28C3" w:rsidRPr="00CD68BA">
        <w:rPr>
          <w:lang w:val="es-CR"/>
        </w:rPr>
        <w:t xml:space="preserve">de elementos </w:t>
      </w:r>
      <w:r w:rsidRPr="00CD68BA">
        <w:rPr>
          <w:lang w:val="es-CR"/>
        </w:rPr>
        <w:t>probatori</w:t>
      </w:r>
      <w:r w:rsidR="008E28C3" w:rsidRPr="00CD68BA">
        <w:rPr>
          <w:lang w:val="es-CR"/>
        </w:rPr>
        <w:t>os</w:t>
      </w:r>
      <w:r w:rsidRPr="00CD68BA">
        <w:rPr>
          <w:lang w:val="es-CR"/>
        </w:rPr>
        <w:t xml:space="preserve"> y </w:t>
      </w:r>
      <w:r w:rsidR="00AA33FC" w:rsidRPr="00CD68BA">
        <w:rPr>
          <w:lang w:val="es-CR"/>
        </w:rPr>
        <w:t>del</w:t>
      </w:r>
      <w:r w:rsidRPr="00CD68BA">
        <w:rPr>
          <w:lang w:val="es-CR"/>
        </w:rPr>
        <w:t xml:space="preserve"> deber de debida </w:t>
      </w:r>
      <w:r w:rsidR="009F7612" w:rsidRPr="00CD68BA">
        <w:rPr>
          <w:lang w:val="es-CR"/>
        </w:rPr>
        <w:t>diligencia</w:t>
      </w:r>
      <w:r w:rsidRPr="00CD68BA">
        <w:rPr>
          <w:lang w:val="es-CR"/>
        </w:rPr>
        <w:t xml:space="preserve"> reforzada que tenía el Estado para investigar lo</w:t>
      </w:r>
      <w:r w:rsidR="009F7612" w:rsidRPr="00CD68BA">
        <w:rPr>
          <w:lang w:val="es-CR"/>
        </w:rPr>
        <w:t>s</w:t>
      </w:r>
      <w:r w:rsidRPr="00CD68BA">
        <w:rPr>
          <w:lang w:val="es-CR"/>
        </w:rPr>
        <w:t xml:space="preserve"> hech</w:t>
      </w:r>
      <w:r w:rsidR="009F7612" w:rsidRPr="00CD68BA">
        <w:rPr>
          <w:lang w:val="es-CR"/>
        </w:rPr>
        <w:t>o</w:t>
      </w:r>
      <w:r w:rsidRPr="00CD68BA">
        <w:rPr>
          <w:lang w:val="es-CR"/>
        </w:rPr>
        <w:t>s de este caso.</w:t>
      </w:r>
      <w:r w:rsidR="00283E74" w:rsidRPr="00CD68BA">
        <w:rPr>
          <w:lang w:val="es-CR"/>
        </w:rPr>
        <w:t xml:space="preserve"> </w:t>
      </w:r>
      <w:r w:rsidRPr="00CD68BA">
        <w:rPr>
          <w:lang w:val="es-CR"/>
        </w:rPr>
        <w:t>Así, l</w:t>
      </w:r>
      <w:r w:rsidR="00283E74" w:rsidRPr="00CD68BA">
        <w:rPr>
          <w:lang w:val="es-CR"/>
        </w:rPr>
        <w:t xml:space="preserve">a Corte entiende que </w:t>
      </w:r>
      <w:r w:rsidR="009F7612" w:rsidRPr="00CD68BA">
        <w:rPr>
          <w:lang w:val="es-CR"/>
        </w:rPr>
        <w:t>Brasil</w:t>
      </w:r>
      <w:r w:rsidR="00283E74" w:rsidRPr="00CD68BA">
        <w:rPr>
          <w:lang w:val="es-CR"/>
        </w:rPr>
        <w:t xml:space="preserve"> ha vulnerado el derecho a la verdad en perjuicio</w:t>
      </w:r>
      <w:r w:rsidR="00270D51" w:rsidRPr="00CD68BA">
        <w:rPr>
          <w:lang w:val="es-CR"/>
        </w:rPr>
        <w:t xml:space="preserve"> de los familiares del señor Sales Pimenta</w:t>
      </w:r>
      <w:r w:rsidR="00283E74" w:rsidRPr="00CD68BA">
        <w:rPr>
          <w:lang w:val="es-CR"/>
        </w:rPr>
        <w:t>.</w:t>
      </w:r>
    </w:p>
    <w:p w14:paraId="5761B1F6" w14:textId="77777777" w:rsidR="00001FD9" w:rsidRPr="00CD68BA" w:rsidRDefault="00001FD9" w:rsidP="00A06718">
      <w:pPr>
        <w:spacing w:before="0" w:after="0"/>
        <w:rPr>
          <w:szCs w:val="20"/>
          <w:lang w:val="es-CR"/>
        </w:rPr>
      </w:pPr>
    </w:p>
    <w:p w14:paraId="59F51A62" w14:textId="05E3AE0D" w:rsidR="00001FD9" w:rsidRPr="00CD68BA" w:rsidRDefault="00001FD9" w:rsidP="00A06718">
      <w:pPr>
        <w:pStyle w:val="Ttulo3"/>
        <w:spacing w:before="0" w:after="0"/>
        <w:ind w:left="810" w:hanging="90"/>
        <w:jc w:val="both"/>
        <w:rPr>
          <w:i/>
          <w:iCs/>
          <w:szCs w:val="20"/>
          <w:lang w:val="es-CR"/>
        </w:rPr>
      </w:pPr>
      <w:bookmarkStart w:id="142" w:name="_Toc114778793"/>
      <w:r w:rsidRPr="00CD68BA">
        <w:rPr>
          <w:i/>
          <w:iCs/>
          <w:szCs w:val="20"/>
          <w:lang w:val="es-CR"/>
        </w:rPr>
        <w:lastRenderedPageBreak/>
        <w:t>b.4 Conclusión</w:t>
      </w:r>
      <w:bookmarkEnd w:id="142"/>
    </w:p>
    <w:p w14:paraId="2B0210A6" w14:textId="77777777" w:rsidR="00001FD9" w:rsidRPr="00CD68BA" w:rsidRDefault="00001FD9" w:rsidP="00A06718">
      <w:pPr>
        <w:pStyle w:val="Prrafodelista"/>
        <w:spacing w:before="0" w:after="0"/>
        <w:ind w:left="0"/>
        <w:contextualSpacing w:val="0"/>
        <w:rPr>
          <w:szCs w:val="20"/>
          <w:lang w:val="es-CR"/>
        </w:rPr>
      </w:pPr>
    </w:p>
    <w:p w14:paraId="1503DE76" w14:textId="07CB84AE" w:rsidR="00310EEA" w:rsidRPr="00CD68BA" w:rsidRDefault="00001FD9" w:rsidP="00A06718">
      <w:pPr>
        <w:pStyle w:val="Prrafodelista"/>
        <w:numPr>
          <w:ilvl w:val="0"/>
          <w:numId w:val="16"/>
        </w:numPr>
        <w:autoSpaceDE w:val="0"/>
        <w:autoSpaceDN w:val="0"/>
        <w:adjustRightInd w:val="0"/>
        <w:spacing w:before="0" w:after="0"/>
        <w:ind w:left="0" w:firstLine="0"/>
        <w:contextualSpacing w:val="0"/>
        <w:rPr>
          <w:b/>
          <w:bCs/>
          <w:szCs w:val="20"/>
          <w:lang w:val="es-CR"/>
        </w:rPr>
      </w:pPr>
      <w:r w:rsidRPr="00CD68BA">
        <w:rPr>
          <w:lang w:val="es-CR"/>
        </w:rPr>
        <w:t>Las graves falencias del Estado en las investigaciones sobre</w:t>
      </w:r>
      <w:r w:rsidR="0028155C" w:rsidRPr="00CD68BA">
        <w:rPr>
          <w:lang w:val="es-CR"/>
        </w:rPr>
        <w:t xml:space="preserve"> la muerte</w:t>
      </w:r>
      <w:r w:rsidRPr="00CD68BA">
        <w:rPr>
          <w:lang w:val="es-CR"/>
        </w:rPr>
        <w:t xml:space="preserve"> de Gabriel Sales Pimenta identificadas en este capítulo</w:t>
      </w:r>
      <w:r w:rsidR="0028155C" w:rsidRPr="00CD68BA">
        <w:rPr>
          <w:lang w:val="es-CR"/>
        </w:rPr>
        <w:t>,</w:t>
      </w:r>
      <w:r w:rsidRPr="00CD68BA">
        <w:rPr>
          <w:lang w:val="es-CR"/>
        </w:rPr>
        <w:t xml:space="preserve"> implicaron el incumplimiento del deber de debida diligencia reforzada para investigar delitos cometidos contra personas defensoras de derechos humanos, así como la vulneración </w:t>
      </w:r>
      <w:r w:rsidR="006E4B1C" w:rsidRPr="00CD68BA">
        <w:rPr>
          <w:lang w:val="es-CR"/>
        </w:rPr>
        <w:t xml:space="preserve">flagrante </w:t>
      </w:r>
      <w:r w:rsidRPr="00CD68BA">
        <w:rPr>
          <w:lang w:val="es-CR"/>
        </w:rPr>
        <w:t>de la garantía del plazo razonable</w:t>
      </w:r>
      <w:r w:rsidR="00215F87" w:rsidRPr="00CD68BA">
        <w:rPr>
          <w:lang w:val="es-CR"/>
        </w:rPr>
        <w:t>.</w:t>
      </w:r>
      <w:r w:rsidR="006E4B1C" w:rsidRPr="00CD68BA">
        <w:rPr>
          <w:lang w:val="es-CR"/>
        </w:rPr>
        <w:t xml:space="preserve"> Aunado a lo anterior,</w:t>
      </w:r>
      <w:r w:rsidR="0027255E" w:rsidRPr="00CD68BA">
        <w:rPr>
          <w:lang w:val="es-CR"/>
        </w:rPr>
        <w:t xml:space="preserve"> la Corte verifica que </w:t>
      </w:r>
      <w:r w:rsidR="0023361D" w:rsidRPr="00CD68BA">
        <w:rPr>
          <w:lang w:val="es-CR"/>
        </w:rPr>
        <w:t>el caso se encuentra en una situación de absoluta impunidad hasta la actualidad</w:t>
      </w:r>
      <w:r w:rsidR="0027255E" w:rsidRPr="00CD68BA">
        <w:rPr>
          <w:lang w:val="es-CR"/>
        </w:rPr>
        <w:t>. Ello</w:t>
      </w:r>
      <w:r w:rsidR="0023361D" w:rsidRPr="00CD68BA">
        <w:rPr>
          <w:lang w:val="es-CR"/>
        </w:rPr>
        <w:t>, debido a que no se esclarecieron las circunstancias de</w:t>
      </w:r>
      <w:r w:rsidR="00DD24B0" w:rsidRPr="00CD68BA">
        <w:rPr>
          <w:lang w:val="es-CR"/>
        </w:rPr>
        <w:t xml:space="preserve"> la muerte</w:t>
      </w:r>
      <w:r w:rsidR="0023361D" w:rsidRPr="00CD68BA">
        <w:rPr>
          <w:lang w:val="es-CR"/>
        </w:rPr>
        <w:t xml:space="preserve"> de Gabriel Sales Pimenta</w:t>
      </w:r>
      <w:r w:rsidR="002C4408" w:rsidRPr="00CD68BA">
        <w:rPr>
          <w:lang w:val="es-CR"/>
        </w:rPr>
        <w:t>,</w:t>
      </w:r>
      <w:r w:rsidR="006E4B1C" w:rsidRPr="00CD68BA">
        <w:rPr>
          <w:lang w:val="es-CR"/>
        </w:rPr>
        <w:t xml:space="preserve"> </w:t>
      </w:r>
      <w:r w:rsidR="0023361D" w:rsidRPr="00CD68BA">
        <w:rPr>
          <w:lang w:val="es-CR"/>
        </w:rPr>
        <w:t>pese a la identificación de tres sospechosos</w:t>
      </w:r>
      <w:r w:rsidR="0027255E" w:rsidRPr="00CD68BA">
        <w:rPr>
          <w:lang w:val="es-CR"/>
        </w:rPr>
        <w:t xml:space="preserve"> y la existencia de </w:t>
      </w:r>
      <w:r w:rsidR="006A5B67" w:rsidRPr="00CD68BA">
        <w:rPr>
          <w:lang w:val="es-CR"/>
        </w:rPr>
        <w:t>dos</w:t>
      </w:r>
      <w:r w:rsidR="0027255E" w:rsidRPr="00CD68BA">
        <w:rPr>
          <w:lang w:val="es-CR"/>
        </w:rPr>
        <w:t xml:space="preserve"> testigos oculares y otros medios de prueba que se encontraban a disposición de las</w:t>
      </w:r>
      <w:r w:rsidR="0023361D" w:rsidRPr="00CD68BA">
        <w:rPr>
          <w:lang w:val="es-CR"/>
        </w:rPr>
        <w:t xml:space="preserve"> autoridades estatales</w:t>
      </w:r>
      <w:r w:rsidR="00490897" w:rsidRPr="00CD68BA">
        <w:rPr>
          <w:lang w:val="es-CR"/>
        </w:rPr>
        <w:t xml:space="preserve">. </w:t>
      </w:r>
      <w:r w:rsidR="0027255E" w:rsidRPr="00CD68BA">
        <w:rPr>
          <w:lang w:val="es-CR"/>
        </w:rPr>
        <w:t>Brasil</w:t>
      </w:r>
      <w:r w:rsidR="0023361D" w:rsidRPr="00CD68BA">
        <w:rPr>
          <w:lang w:val="es-CR"/>
        </w:rPr>
        <w:t xml:space="preserve"> fue incapa</w:t>
      </w:r>
      <w:r w:rsidR="0027255E" w:rsidRPr="00CD68BA">
        <w:rPr>
          <w:lang w:val="es-CR"/>
        </w:rPr>
        <w:t>z</w:t>
      </w:r>
      <w:r w:rsidR="0023361D" w:rsidRPr="00CD68BA">
        <w:rPr>
          <w:lang w:val="es-CR"/>
        </w:rPr>
        <w:t xml:space="preserve"> de identificar el autor de los </w:t>
      </w:r>
      <w:r w:rsidR="0027255E" w:rsidRPr="00CD68BA">
        <w:rPr>
          <w:lang w:val="es-CR"/>
        </w:rPr>
        <w:t>disparos</w:t>
      </w:r>
      <w:r w:rsidR="0023361D" w:rsidRPr="00CD68BA">
        <w:rPr>
          <w:lang w:val="es-CR"/>
        </w:rPr>
        <w:t xml:space="preserve"> </w:t>
      </w:r>
      <w:r w:rsidR="0027255E" w:rsidRPr="00CD68BA">
        <w:rPr>
          <w:lang w:val="es-CR"/>
        </w:rPr>
        <w:t xml:space="preserve">contra el señor Sales Pimenta, </w:t>
      </w:r>
      <w:r w:rsidR="00273FD3" w:rsidRPr="00CD68BA">
        <w:rPr>
          <w:lang w:val="es-CR"/>
        </w:rPr>
        <w:t xml:space="preserve">como de </w:t>
      </w:r>
      <w:r w:rsidR="0027255E" w:rsidRPr="00CD68BA">
        <w:rPr>
          <w:lang w:val="es-CR"/>
        </w:rPr>
        <w:t>sancion</w:t>
      </w:r>
      <w:r w:rsidR="00273FD3" w:rsidRPr="00CD68BA">
        <w:rPr>
          <w:lang w:val="es-CR"/>
        </w:rPr>
        <w:t xml:space="preserve">ar a </w:t>
      </w:r>
      <w:r w:rsidR="00DD24B0" w:rsidRPr="00CD68BA">
        <w:rPr>
          <w:lang w:val="es-CR"/>
        </w:rPr>
        <w:t xml:space="preserve">todos </w:t>
      </w:r>
      <w:r w:rsidR="00CA52D4" w:rsidRPr="00CD68BA">
        <w:rPr>
          <w:lang w:val="es-CR"/>
        </w:rPr>
        <w:t xml:space="preserve">los </w:t>
      </w:r>
      <w:r w:rsidR="0027255E" w:rsidRPr="00CD68BA">
        <w:rPr>
          <w:lang w:val="es-CR"/>
        </w:rPr>
        <w:t>responsables.</w:t>
      </w:r>
      <w:r w:rsidR="0023361D" w:rsidRPr="00CD68BA">
        <w:rPr>
          <w:lang w:val="es-CR"/>
        </w:rPr>
        <w:t xml:space="preserve"> </w:t>
      </w:r>
    </w:p>
    <w:p w14:paraId="4764A29C" w14:textId="71104B7A" w:rsidR="00E50319" w:rsidRPr="00CD68BA" w:rsidRDefault="00E50319" w:rsidP="00A06718">
      <w:pPr>
        <w:autoSpaceDE w:val="0"/>
        <w:autoSpaceDN w:val="0"/>
        <w:adjustRightInd w:val="0"/>
        <w:spacing w:before="0" w:after="0"/>
        <w:rPr>
          <w:szCs w:val="20"/>
          <w:lang w:val="es-CR"/>
        </w:rPr>
      </w:pPr>
    </w:p>
    <w:p w14:paraId="2DC9E3E4" w14:textId="5A251CFE" w:rsidR="009F7612" w:rsidRPr="00CD68BA" w:rsidRDefault="009F7612"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szCs w:val="20"/>
          <w:lang w:val="es-CR"/>
        </w:rPr>
        <w:t xml:space="preserve">En vista de las consideraciones previas, la Corte </w:t>
      </w:r>
      <w:r w:rsidR="001B6892" w:rsidRPr="00CD68BA">
        <w:rPr>
          <w:szCs w:val="20"/>
          <w:lang w:val="es-CR"/>
        </w:rPr>
        <w:t>concluye</w:t>
      </w:r>
      <w:r w:rsidRPr="00CD68BA">
        <w:rPr>
          <w:szCs w:val="20"/>
          <w:lang w:val="es-CR"/>
        </w:rPr>
        <w:t xml:space="preserve"> que el presente </w:t>
      </w:r>
      <w:r w:rsidR="000B3156" w:rsidRPr="00CD68BA">
        <w:rPr>
          <w:szCs w:val="20"/>
          <w:lang w:val="es-CR"/>
        </w:rPr>
        <w:t>caso está</w:t>
      </w:r>
      <w:r w:rsidRPr="00CD68BA">
        <w:rPr>
          <w:szCs w:val="20"/>
          <w:lang w:val="es-CR"/>
        </w:rPr>
        <w:t xml:space="preserve"> inserto en el contexto de impunidad </w:t>
      </w:r>
      <w:r w:rsidR="00514B37" w:rsidRPr="00CD68BA">
        <w:rPr>
          <w:szCs w:val="20"/>
          <w:lang w:val="es-CR"/>
        </w:rPr>
        <w:t>estructural</w:t>
      </w:r>
      <w:r w:rsidR="003C4A2E" w:rsidRPr="00CD68BA">
        <w:rPr>
          <w:szCs w:val="20"/>
          <w:lang w:val="es-CR"/>
        </w:rPr>
        <w:t xml:space="preserve"> relacionado con la</w:t>
      </w:r>
      <w:r w:rsidR="001B6892" w:rsidRPr="00CD68BA">
        <w:rPr>
          <w:szCs w:val="20"/>
          <w:lang w:val="es-CR"/>
        </w:rPr>
        <w:t>s amenazas, homicidios y otras violaciones de derechos humanos</w:t>
      </w:r>
      <w:r w:rsidR="00270D51" w:rsidRPr="00CD68BA">
        <w:rPr>
          <w:szCs w:val="20"/>
          <w:lang w:val="es-CR"/>
        </w:rPr>
        <w:t xml:space="preserve"> </w:t>
      </w:r>
      <w:r w:rsidR="003C4A2E" w:rsidRPr="00CD68BA">
        <w:rPr>
          <w:szCs w:val="20"/>
          <w:lang w:val="es-CR"/>
        </w:rPr>
        <w:t>contra los trabajadores rurales y sus defensores</w:t>
      </w:r>
      <w:r w:rsidRPr="00CD68BA">
        <w:rPr>
          <w:szCs w:val="20"/>
          <w:lang w:val="es-CR"/>
        </w:rPr>
        <w:t xml:space="preserve"> </w:t>
      </w:r>
      <w:r w:rsidR="001B6892" w:rsidRPr="00CD68BA">
        <w:rPr>
          <w:szCs w:val="20"/>
          <w:lang w:val="es-CR"/>
        </w:rPr>
        <w:t>en el estado de Pará</w:t>
      </w:r>
      <w:r w:rsidR="003C4A2E" w:rsidRPr="00CD68BA">
        <w:rPr>
          <w:szCs w:val="20"/>
          <w:lang w:val="es-CR"/>
        </w:rPr>
        <w:t xml:space="preserve"> (</w:t>
      </w:r>
      <w:r w:rsidR="003C4A2E" w:rsidRPr="00CD68BA">
        <w:rPr>
          <w:i/>
          <w:iCs/>
          <w:szCs w:val="20"/>
          <w:lang w:val="es-CR"/>
        </w:rPr>
        <w:t>supra</w:t>
      </w:r>
      <w:r w:rsidR="003C4A2E" w:rsidRPr="00CD68BA">
        <w:rPr>
          <w:szCs w:val="20"/>
          <w:lang w:val="es-CR"/>
        </w:rPr>
        <w:t xml:space="preserve"> párr</w:t>
      </w:r>
      <w:r w:rsidR="00F44280" w:rsidRPr="00CD68BA">
        <w:rPr>
          <w:szCs w:val="20"/>
          <w:lang w:val="es-CR"/>
        </w:rPr>
        <w:t>s</w:t>
      </w:r>
      <w:r w:rsidR="003C4A2E" w:rsidRPr="00CD68BA">
        <w:rPr>
          <w:szCs w:val="20"/>
          <w:lang w:val="es-CR"/>
        </w:rPr>
        <w:t xml:space="preserve">. </w:t>
      </w:r>
      <w:r w:rsidR="005D052A" w:rsidRPr="00CD68BA">
        <w:rPr>
          <w:szCs w:val="20"/>
          <w:lang w:val="es-CR"/>
        </w:rPr>
        <w:t>47 a 51</w:t>
      </w:r>
      <w:r w:rsidR="003C4A2E" w:rsidRPr="00CD68BA">
        <w:rPr>
          <w:szCs w:val="20"/>
          <w:lang w:val="es-CR"/>
        </w:rPr>
        <w:t>).</w:t>
      </w:r>
      <w:r w:rsidR="00514B37" w:rsidRPr="00CD68BA">
        <w:rPr>
          <w:szCs w:val="20"/>
          <w:lang w:val="es-CR"/>
        </w:rPr>
        <w:t xml:space="preserve"> </w:t>
      </w:r>
      <w:r w:rsidR="003C4A2E" w:rsidRPr="00CD68BA">
        <w:rPr>
          <w:szCs w:val="20"/>
          <w:lang w:val="es-CR"/>
        </w:rPr>
        <w:t>Al mismo tiempo, dicha impunidad estructural se refleja en la falta de debida diligencia analizada en</w:t>
      </w:r>
      <w:r w:rsidR="007F698E" w:rsidRPr="00CD68BA">
        <w:rPr>
          <w:szCs w:val="20"/>
          <w:lang w:val="es-CR"/>
        </w:rPr>
        <w:t xml:space="preserve"> el</w:t>
      </w:r>
      <w:r w:rsidR="003C4A2E" w:rsidRPr="00CD68BA">
        <w:rPr>
          <w:szCs w:val="20"/>
          <w:lang w:val="es-CR"/>
        </w:rPr>
        <w:t xml:space="preserve"> caso en estudio. </w:t>
      </w:r>
      <w:r w:rsidR="006A3515" w:rsidRPr="00CD68BA">
        <w:rPr>
          <w:szCs w:val="20"/>
          <w:lang w:val="es-CR"/>
        </w:rPr>
        <w:t>En efecto, conforme se desprende del expediente, la negligencia grave de los operadores judiciales en la tramitación de proceso penal</w:t>
      </w:r>
      <w:r w:rsidR="007A2A4A" w:rsidRPr="00CD68BA">
        <w:rPr>
          <w:szCs w:val="20"/>
          <w:lang w:val="es-CR"/>
        </w:rPr>
        <w:t>, que permitió que operara la prescripción,</w:t>
      </w:r>
      <w:r w:rsidR="006A3515" w:rsidRPr="00CD68BA">
        <w:rPr>
          <w:szCs w:val="20"/>
          <w:lang w:val="es-CR"/>
        </w:rPr>
        <w:t xml:space="preserve"> fue el factor determinante para que el caso </w:t>
      </w:r>
      <w:r w:rsidR="007F698E" w:rsidRPr="00CD68BA">
        <w:rPr>
          <w:szCs w:val="20"/>
          <w:lang w:val="es-CR"/>
        </w:rPr>
        <w:t>permaneciera</w:t>
      </w:r>
      <w:r w:rsidR="006A3515" w:rsidRPr="00CD68BA">
        <w:rPr>
          <w:szCs w:val="20"/>
          <w:lang w:val="es-CR"/>
        </w:rPr>
        <w:t xml:space="preserve"> en una situación de absoluta impunidad. </w:t>
      </w:r>
    </w:p>
    <w:p w14:paraId="521F6949" w14:textId="77777777" w:rsidR="009F7612" w:rsidRPr="00CD68BA" w:rsidRDefault="009F7612" w:rsidP="00A06718">
      <w:pPr>
        <w:pStyle w:val="Prrafodelista"/>
        <w:spacing w:before="0" w:after="0"/>
        <w:contextualSpacing w:val="0"/>
        <w:rPr>
          <w:lang w:val="es-CR"/>
        </w:rPr>
      </w:pPr>
    </w:p>
    <w:p w14:paraId="2AE1D587" w14:textId="2FD231B6" w:rsidR="007029D3" w:rsidRPr="00CD68BA" w:rsidRDefault="00001FD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virtud de lo expuesto a lo largo de este capítulo, la Corte encuentra que el Estado de Brasil violó los derechos a las garantías judiciales y a la protección judicial establecidos en los artículos 8.1 y 25 de la Convención Americana, en relación con el artículo 1.1 de dicho tratado, en perjuicio de la señora Maria da Glória Sales Pimenta y los señores Geraldo Gomes Pimenta, Sérgio Sales Pimenta, Marcos Sales Pimenta, José Sales Pimenta, Rafael Sales Pimenta, André Sales Pimenta y Daniel Sales Pimenta. </w:t>
      </w:r>
      <w:r w:rsidR="004F6997" w:rsidRPr="00CD68BA">
        <w:rPr>
          <w:lang w:val="es-CR"/>
        </w:rPr>
        <w:t xml:space="preserve">Asimismo, el Tribunal concluye que el Estado violó el derecho a la verdad, en perjuicio de los familiares del señor Sales Pimenta antes nombrados, con base en la transgresión de los artículos 8.1 y 25.1 de la Convención Americana sobre Derechos Humanos, en relación con su artículo 1.1. </w:t>
      </w:r>
    </w:p>
    <w:p w14:paraId="4437414C" w14:textId="77777777" w:rsidR="007029D3" w:rsidRPr="00CD68BA" w:rsidRDefault="007029D3" w:rsidP="00A06718">
      <w:pPr>
        <w:pStyle w:val="Prrafodelista"/>
        <w:spacing w:before="0" w:after="0"/>
        <w:contextualSpacing w:val="0"/>
        <w:rPr>
          <w:lang w:val="es-CR"/>
        </w:rPr>
      </w:pPr>
    </w:p>
    <w:p w14:paraId="1FB5CA0A" w14:textId="6A7AF8F4" w:rsidR="00454DB0" w:rsidRPr="00CD68BA" w:rsidRDefault="00CF4D7F" w:rsidP="00A06718">
      <w:pPr>
        <w:pStyle w:val="Ttulo1"/>
        <w:spacing w:before="0" w:after="0"/>
        <w:rPr>
          <w:lang w:val="es-CR"/>
        </w:rPr>
      </w:pPr>
      <w:bookmarkStart w:id="143" w:name="_Toc100230493"/>
      <w:bookmarkStart w:id="144" w:name="_Toc114778794"/>
      <w:bookmarkStart w:id="145" w:name="_Toc470105105"/>
      <w:bookmarkEnd w:id="92"/>
      <w:bookmarkEnd w:id="93"/>
      <w:bookmarkEnd w:id="94"/>
      <w:bookmarkEnd w:id="95"/>
      <w:bookmarkEnd w:id="96"/>
      <w:bookmarkEnd w:id="97"/>
      <w:bookmarkEnd w:id="98"/>
      <w:r w:rsidRPr="00CD68BA">
        <w:rPr>
          <w:lang w:val="es-CR"/>
        </w:rPr>
        <w:t>V</w:t>
      </w:r>
      <w:r w:rsidR="00F24073" w:rsidRPr="00CD68BA">
        <w:rPr>
          <w:lang w:val="es-CR"/>
        </w:rPr>
        <w:t>I</w:t>
      </w:r>
      <w:r w:rsidR="004F7ACE" w:rsidRPr="00CD68BA">
        <w:rPr>
          <w:lang w:val="es-CR"/>
        </w:rPr>
        <w:t>I</w:t>
      </w:r>
      <w:r w:rsidR="0009204A" w:rsidRPr="00CD68BA">
        <w:rPr>
          <w:lang w:val="es-CR"/>
        </w:rPr>
        <w:t>I</w:t>
      </w:r>
      <w:r w:rsidR="00F85897" w:rsidRPr="00CD68BA">
        <w:rPr>
          <w:lang w:val="es-CR"/>
        </w:rPr>
        <w:t>-</w:t>
      </w:r>
      <w:r w:rsidR="006C4E44" w:rsidRPr="00CD68BA">
        <w:rPr>
          <w:lang w:val="es-CR"/>
        </w:rPr>
        <w:t>2</w:t>
      </w:r>
      <w:bookmarkEnd w:id="143"/>
      <w:bookmarkEnd w:id="144"/>
    </w:p>
    <w:p w14:paraId="3EB3CDC2" w14:textId="0441B83C" w:rsidR="00AB1D8C" w:rsidRPr="00CD68BA" w:rsidRDefault="00AB1D8C" w:rsidP="00A06718">
      <w:pPr>
        <w:pStyle w:val="Ttulo1"/>
        <w:spacing w:before="0" w:after="0"/>
        <w:rPr>
          <w:lang w:val="es-CR"/>
        </w:rPr>
      </w:pPr>
      <w:bookmarkStart w:id="146" w:name="_Toc114778795"/>
      <w:bookmarkEnd w:id="145"/>
      <w:r w:rsidRPr="00CD68BA">
        <w:rPr>
          <w:lang w:val="es-CR"/>
        </w:rPr>
        <w:t>DERECHO A LA INTEGRIDAD PERSONAL,</w:t>
      </w:r>
      <w:bookmarkEnd w:id="146"/>
    </w:p>
    <w:p w14:paraId="12E97368" w14:textId="77777777" w:rsidR="00AB1D8C" w:rsidRPr="00CD68BA" w:rsidRDefault="00AB1D8C" w:rsidP="00A06718">
      <w:pPr>
        <w:pStyle w:val="Ttulo1"/>
        <w:spacing w:before="0" w:after="0"/>
        <w:rPr>
          <w:lang w:val="es-CR"/>
        </w:rPr>
      </w:pPr>
      <w:bookmarkStart w:id="147" w:name="_Toc114778796"/>
      <w:r w:rsidRPr="00CD68BA">
        <w:rPr>
          <w:lang w:val="es-CR"/>
        </w:rPr>
        <w:t>EN RELACIÓN CON EL DEBER DE RESPETAR Y GARANTIZAR LOS DERECHOS</w:t>
      </w:r>
      <w:r w:rsidRPr="00CD68BA">
        <w:rPr>
          <w:rStyle w:val="Refdenotaalpie"/>
          <w:lang w:val="es-CR"/>
        </w:rPr>
        <w:footnoteReference w:id="197"/>
      </w:r>
      <w:bookmarkEnd w:id="147"/>
    </w:p>
    <w:p w14:paraId="20FD0DC9" w14:textId="77777777" w:rsidR="00AB1D8C" w:rsidRPr="00CD68BA" w:rsidRDefault="00AB1D8C" w:rsidP="00A06718">
      <w:pPr>
        <w:pStyle w:val="Prrafodelista"/>
        <w:autoSpaceDE w:val="0"/>
        <w:autoSpaceDN w:val="0"/>
        <w:adjustRightInd w:val="0"/>
        <w:spacing w:before="0" w:after="0"/>
        <w:ind w:left="0"/>
        <w:contextualSpacing w:val="0"/>
        <w:rPr>
          <w:i/>
          <w:iCs/>
          <w:szCs w:val="20"/>
          <w:lang w:val="es-CR"/>
        </w:rPr>
      </w:pPr>
    </w:p>
    <w:p w14:paraId="2706A9EB" w14:textId="2CEF20FF" w:rsidR="00AB1D8C" w:rsidRPr="00CD68BA" w:rsidRDefault="00A0550C" w:rsidP="00A06718">
      <w:pPr>
        <w:pStyle w:val="Estilo3"/>
        <w:numPr>
          <w:ilvl w:val="0"/>
          <w:numId w:val="6"/>
        </w:numPr>
        <w:spacing w:line="240" w:lineRule="auto"/>
        <w:ind w:left="360" w:firstLine="0"/>
        <w:rPr>
          <w:b w:val="0"/>
          <w:bCs w:val="0"/>
          <w:i/>
          <w:iCs/>
        </w:rPr>
      </w:pPr>
      <w:bookmarkStart w:id="148" w:name="_Toc114778797"/>
      <w:r w:rsidRPr="00CD68BA">
        <w:rPr>
          <w:b w:val="0"/>
          <w:bCs w:val="0"/>
          <w:i/>
          <w:iCs/>
        </w:rPr>
        <w:t>Argumentos de las partes y de la Comisión</w:t>
      </w:r>
      <w:bookmarkEnd w:id="148"/>
    </w:p>
    <w:p w14:paraId="45B1644D" w14:textId="77777777" w:rsidR="00AB1D8C" w:rsidRPr="00CD68BA" w:rsidRDefault="00AB1D8C" w:rsidP="00A06718">
      <w:pPr>
        <w:pStyle w:val="Prrafodelista"/>
        <w:autoSpaceDE w:val="0"/>
        <w:autoSpaceDN w:val="0"/>
        <w:adjustRightInd w:val="0"/>
        <w:spacing w:before="0" w:after="0"/>
        <w:ind w:left="0"/>
        <w:contextualSpacing w:val="0"/>
        <w:rPr>
          <w:i/>
          <w:iCs/>
          <w:szCs w:val="20"/>
          <w:lang w:val="es-CR"/>
        </w:rPr>
      </w:pPr>
    </w:p>
    <w:p w14:paraId="4520B91B" w14:textId="2042B85C" w:rsidR="008D544F" w:rsidRPr="00CD68BA" w:rsidRDefault="008D544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w:t>
      </w:r>
      <w:r w:rsidRPr="00CD68BA">
        <w:rPr>
          <w:b/>
          <w:i/>
          <w:lang w:val="es-CR"/>
        </w:rPr>
        <w:t xml:space="preserve"> Comisión</w:t>
      </w:r>
      <w:r w:rsidRPr="00CD68BA">
        <w:rPr>
          <w:lang w:val="es-CR"/>
        </w:rPr>
        <w:t xml:space="preserve"> consideró que la pérdida de un ser querido en un contexto de violencia, aunado a la impunidad resultante de un proceso de larga duración, constituye una violación de la integridad psíquica y moral de los familiares de Gabriel Sales Pimenta.</w:t>
      </w:r>
    </w:p>
    <w:p w14:paraId="2EFFC279" w14:textId="77777777" w:rsidR="008D544F" w:rsidRPr="00CD68BA" w:rsidRDefault="008D544F" w:rsidP="00A06718">
      <w:pPr>
        <w:pStyle w:val="Prrafodelista"/>
        <w:autoSpaceDE w:val="0"/>
        <w:autoSpaceDN w:val="0"/>
        <w:adjustRightInd w:val="0"/>
        <w:spacing w:before="0" w:after="0"/>
        <w:ind w:left="0"/>
        <w:contextualSpacing w:val="0"/>
        <w:rPr>
          <w:rFonts w:eastAsia="Times New Roman" w:cs="Times New Roman"/>
          <w:szCs w:val="20"/>
          <w:lang w:val="es-CR" w:eastAsia="zh-CN"/>
        </w:rPr>
      </w:pPr>
    </w:p>
    <w:p w14:paraId="260DEF0F" w14:textId="1D8BF0F1" w:rsidR="007029D3" w:rsidRPr="00CD68BA" w:rsidRDefault="008D544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Los </w:t>
      </w:r>
      <w:r w:rsidRPr="00CD68BA">
        <w:rPr>
          <w:b/>
          <w:i/>
          <w:lang w:val="es-CR"/>
        </w:rPr>
        <w:t xml:space="preserve">representantes </w:t>
      </w:r>
      <w:r w:rsidRPr="00CD68BA">
        <w:rPr>
          <w:lang w:val="es-CR"/>
        </w:rPr>
        <w:t xml:space="preserve">alegaron que el Estado violó el derecho a la integridad personal de los familiares de Gabriel Sales Pimenta debido al sufrimiento provocado por su </w:t>
      </w:r>
      <w:r w:rsidR="00B91566" w:rsidRPr="00CD68BA">
        <w:rPr>
          <w:lang w:val="es-CR"/>
        </w:rPr>
        <w:t>homicidio</w:t>
      </w:r>
      <w:r w:rsidRPr="00CD68BA">
        <w:rPr>
          <w:lang w:val="es-CR"/>
        </w:rPr>
        <w:t>, la falta de una investigación eficaz, el no juzgamiento de los responsables y la impunidad en la que se encontrarían los hechos. Puntualiz</w:t>
      </w:r>
      <w:r w:rsidR="00A00884" w:rsidRPr="00CD68BA">
        <w:rPr>
          <w:lang w:val="es-CR"/>
        </w:rPr>
        <w:t>aron</w:t>
      </w:r>
      <w:r w:rsidRPr="00CD68BA">
        <w:rPr>
          <w:lang w:val="es-CR"/>
        </w:rPr>
        <w:t xml:space="preserve"> que durante los 23 años que duró </w:t>
      </w:r>
      <w:r w:rsidR="00A00884" w:rsidRPr="00CD68BA">
        <w:rPr>
          <w:lang w:val="es-CR"/>
        </w:rPr>
        <w:t xml:space="preserve">el </w:t>
      </w:r>
      <w:r w:rsidRPr="00CD68BA">
        <w:rPr>
          <w:lang w:val="es-CR"/>
        </w:rPr>
        <w:t>proceso penal, los familiares tuvieron sentimientos de angustia, frustración, impotencia, rabia</w:t>
      </w:r>
      <w:r w:rsidR="00A00884" w:rsidRPr="00CD68BA">
        <w:rPr>
          <w:lang w:val="es-CR"/>
        </w:rPr>
        <w:t>,</w:t>
      </w:r>
      <w:r w:rsidRPr="00CD68BA">
        <w:rPr>
          <w:lang w:val="es-CR"/>
        </w:rPr>
        <w:t xml:space="preserve"> inseguridad y desesperanza. A saber, el padre y la madre (fallecida) del señor Sales Pimenta, </w:t>
      </w:r>
      <w:r w:rsidR="00554AFD" w:rsidRPr="00CD68BA">
        <w:rPr>
          <w:lang w:val="es-CR"/>
        </w:rPr>
        <w:t>“</w:t>
      </w:r>
      <w:r w:rsidRPr="00CD68BA">
        <w:rPr>
          <w:lang w:val="es-CR"/>
        </w:rPr>
        <w:t xml:space="preserve">cambiaron </w:t>
      </w:r>
      <w:r w:rsidR="00554AFD" w:rsidRPr="00CD68BA">
        <w:rPr>
          <w:lang w:val="es-CR"/>
        </w:rPr>
        <w:t>completamente s</w:t>
      </w:r>
      <w:r w:rsidRPr="00CD68BA">
        <w:rPr>
          <w:lang w:val="es-CR"/>
        </w:rPr>
        <w:t xml:space="preserve">us temperamentos y perdieron </w:t>
      </w:r>
      <w:r w:rsidR="00554AFD" w:rsidRPr="00CD68BA">
        <w:rPr>
          <w:lang w:val="es-CR"/>
        </w:rPr>
        <w:t>totalmente la</w:t>
      </w:r>
      <w:r w:rsidRPr="00CD68BA">
        <w:rPr>
          <w:lang w:val="es-CR"/>
        </w:rPr>
        <w:t xml:space="preserve"> alegría de vivir”.</w:t>
      </w:r>
    </w:p>
    <w:p w14:paraId="674760C5" w14:textId="77777777" w:rsidR="007029D3" w:rsidRPr="00CD68BA" w:rsidRDefault="007029D3" w:rsidP="00A06718">
      <w:pPr>
        <w:pStyle w:val="Prrafodelista"/>
        <w:spacing w:before="0" w:after="0"/>
        <w:contextualSpacing w:val="0"/>
        <w:rPr>
          <w:iCs/>
          <w:lang w:val="es-CR"/>
        </w:rPr>
      </w:pPr>
    </w:p>
    <w:p w14:paraId="7A586DBE" w14:textId="136174D0" w:rsidR="008D544F" w:rsidRPr="00CD68BA" w:rsidRDefault="008D544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iCs/>
          <w:lang w:val="es-CR"/>
        </w:rPr>
        <w:t>El</w:t>
      </w:r>
      <w:r w:rsidRPr="00CD68BA">
        <w:rPr>
          <w:i/>
          <w:lang w:val="es-CR"/>
        </w:rPr>
        <w:t xml:space="preserve"> </w:t>
      </w:r>
      <w:r w:rsidRPr="00CD68BA">
        <w:rPr>
          <w:b/>
          <w:i/>
          <w:lang w:val="es-CR"/>
        </w:rPr>
        <w:t xml:space="preserve">Estado </w:t>
      </w:r>
      <w:r w:rsidRPr="00CD68BA">
        <w:rPr>
          <w:lang w:val="es-CR"/>
        </w:rPr>
        <w:t xml:space="preserve">arguyó que la alegada violación por motivo del </w:t>
      </w:r>
      <w:r w:rsidR="005E149C" w:rsidRPr="00CD68BA">
        <w:rPr>
          <w:lang w:val="es-CR"/>
        </w:rPr>
        <w:t xml:space="preserve">homicidio </w:t>
      </w:r>
      <w:r w:rsidRPr="00CD68BA">
        <w:rPr>
          <w:lang w:val="es-CR"/>
        </w:rPr>
        <w:t xml:space="preserve">del señor Sales Pimenta está fuera de la competencia </w:t>
      </w:r>
      <w:r w:rsidRPr="00CD68BA">
        <w:rPr>
          <w:i/>
          <w:lang w:val="es-CR"/>
        </w:rPr>
        <w:t>ratio</w:t>
      </w:r>
      <w:r w:rsidR="005E149C" w:rsidRPr="00CD68BA">
        <w:rPr>
          <w:i/>
          <w:lang w:val="es-CR"/>
        </w:rPr>
        <w:t>ne</w:t>
      </w:r>
      <w:r w:rsidRPr="00CD68BA">
        <w:rPr>
          <w:i/>
          <w:lang w:val="es-CR"/>
        </w:rPr>
        <w:t xml:space="preserve"> temporis</w:t>
      </w:r>
      <w:r w:rsidRPr="00CD68BA">
        <w:rPr>
          <w:lang w:val="es-CR"/>
        </w:rPr>
        <w:t xml:space="preserve"> de la Corte. Argumentó que, en cuanto a la falta de una investigación eficaz y la ausencia de sanción de los responsables, no se puede partir de “simples” presupuestos de que hubo una supuesta falta de protección judicial para que la misma pueda ser </w:t>
      </w:r>
      <w:r w:rsidRPr="00CD68BA">
        <w:rPr>
          <w:lang w:val="es-CR"/>
        </w:rPr>
        <w:lastRenderedPageBreak/>
        <w:t>encuadrada como una hipotética violación del artículo 5 de la Convención Americana. Adicionó que, si la falta de protección judicial no se encuentra prevista en el referido artículo, la norma no puede ser aplicada en el caso en concreto. Por otra parte, reiteró que</w:t>
      </w:r>
      <w:r w:rsidR="008B0827" w:rsidRPr="00CD68BA">
        <w:rPr>
          <w:lang w:val="es-CR"/>
        </w:rPr>
        <w:t>,</w:t>
      </w:r>
      <w:r w:rsidRPr="00CD68BA">
        <w:rPr>
          <w:lang w:val="es-CR"/>
        </w:rPr>
        <w:t xml:space="preserve"> a lo largo del proceso, realizó actos de intimación, acusatorios, de instrucción y de decisión adecuados</w:t>
      </w:r>
      <w:r w:rsidR="00DC6F2F" w:rsidRPr="00CD68BA">
        <w:rPr>
          <w:lang w:val="es-CR"/>
        </w:rPr>
        <w:t>. Además,</w:t>
      </w:r>
      <w:r w:rsidRPr="00CD68BA">
        <w:rPr>
          <w:lang w:val="es-CR"/>
        </w:rPr>
        <w:t xml:space="preserve"> debido a las circunstancias adversas, la búsqueda de los reos contumaces no incurrió en una demora injustificada en el proceso penal ni en el civil. </w:t>
      </w:r>
      <w:r w:rsidR="00DC6F2F" w:rsidRPr="00CD68BA">
        <w:rPr>
          <w:bCs/>
          <w:lang w:val="es-CR"/>
        </w:rPr>
        <w:t>Asimismo</w:t>
      </w:r>
      <w:r w:rsidR="00EC352A" w:rsidRPr="00CD68BA">
        <w:rPr>
          <w:bCs/>
          <w:lang w:val="es-CR"/>
        </w:rPr>
        <w:t>, señaló la necesidad de los familiares indirectos, señalados como presuntas víctimas, de probar la afectación a su integridad personal, por lo cual solicitó que se analice el acervo probatorio para tal fin.</w:t>
      </w:r>
    </w:p>
    <w:p w14:paraId="64837A67" w14:textId="77777777" w:rsidR="008D544F" w:rsidRPr="00CD68BA" w:rsidRDefault="008D544F" w:rsidP="00A06718">
      <w:pPr>
        <w:pStyle w:val="Prrafodelista"/>
        <w:autoSpaceDE w:val="0"/>
        <w:autoSpaceDN w:val="0"/>
        <w:adjustRightInd w:val="0"/>
        <w:spacing w:before="0" w:after="0"/>
        <w:ind w:left="0"/>
        <w:contextualSpacing w:val="0"/>
        <w:rPr>
          <w:rFonts w:eastAsia="Times New Roman" w:cs="Times New Roman"/>
          <w:szCs w:val="20"/>
          <w:lang w:val="es-CR" w:eastAsia="zh-CN"/>
        </w:rPr>
      </w:pPr>
    </w:p>
    <w:p w14:paraId="70123883" w14:textId="7F99128C" w:rsidR="00AB5F62" w:rsidRPr="00CD68BA" w:rsidRDefault="00E056DF" w:rsidP="00A06718">
      <w:pPr>
        <w:pStyle w:val="Estilo3"/>
        <w:numPr>
          <w:ilvl w:val="0"/>
          <w:numId w:val="0"/>
        </w:numPr>
        <w:spacing w:line="240" w:lineRule="auto"/>
        <w:ind w:left="360"/>
        <w:rPr>
          <w:b w:val="0"/>
          <w:bCs w:val="0"/>
          <w:i/>
          <w:iCs/>
          <w:lang w:eastAsia="zh-CN"/>
        </w:rPr>
      </w:pPr>
      <w:bookmarkStart w:id="149" w:name="_Toc114778798"/>
      <w:r w:rsidRPr="00CD68BA">
        <w:rPr>
          <w:b w:val="0"/>
          <w:bCs w:val="0"/>
          <w:i/>
          <w:iCs/>
          <w:lang w:eastAsia="zh-CN"/>
        </w:rPr>
        <w:t>B. Consideraciones de la Corte</w:t>
      </w:r>
      <w:bookmarkEnd w:id="149"/>
    </w:p>
    <w:p w14:paraId="7CEE4F3D" w14:textId="70FF3EB4" w:rsidR="00E056DF" w:rsidRPr="00CD68BA" w:rsidRDefault="00E056DF" w:rsidP="00A06718">
      <w:pPr>
        <w:spacing w:before="0" w:after="0"/>
        <w:rPr>
          <w:lang w:val="es-CR"/>
        </w:rPr>
      </w:pPr>
    </w:p>
    <w:p w14:paraId="61AB341D" w14:textId="77777777" w:rsidR="007029D3" w:rsidRPr="00CD68BA" w:rsidRDefault="00922ED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 Corte ha considerado, en reiteradas oportunidades, que los familiares de las víctimas de violaciones de los derechos humanos pueden ser, a su vez, víctimas</w:t>
      </w:r>
      <w:r w:rsidRPr="00CD68BA">
        <w:rPr>
          <w:rStyle w:val="Refdenotaalpie"/>
          <w:lang w:val="es-CR"/>
        </w:rPr>
        <w:footnoteReference w:id="198"/>
      </w:r>
      <w:r w:rsidRPr="00CD68BA">
        <w:rPr>
          <w:lang w:val="es-CR"/>
        </w:rPr>
        <w:t>. Este Tribunal ha considerado que se puede declarar violado el derecho a la integridad psíquica y moral de “familiares directos” de víctimas y de otras personas con vínculos estrechos con tales víctimas, con motivo del sufrimiento adicional que estos han padecido como producto de las circunstancias particulares de las violaciones perpetradas contra sus seres queridos, y a causa de las posteriores actuaciones u omisiones de las autoridades estatales frente a estos hechos</w:t>
      </w:r>
      <w:r w:rsidRPr="00CD68BA">
        <w:rPr>
          <w:vertAlign w:val="superscript"/>
          <w:lang w:val="es-CR"/>
        </w:rPr>
        <w:footnoteReference w:id="199"/>
      </w:r>
      <w:r w:rsidRPr="00CD68BA">
        <w:rPr>
          <w:lang w:val="es-CR"/>
        </w:rPr>
        <w:t>, tomando en cuenta, entre otros, las gestiones realizadas para obtener justicia y la existencia de un estrecho vínculo familiar</w:t>
      </w:r>
      <w:r w:rsidRPr="00CD68BA">
        <w:rPr>
          <w:vertAlign w:val="superscript"/>
          <w:lang w:val="es-CR"/>
        </w:rPr>
        <w:footnoteReference w:id="200"/>
      </w:r>
      <w:r w:rsidRPr="00CD68BA">
        <w:rPr>
          <w:lang w:val="es-CR"/>
        </w:rPr>
        <w:t>.</w:t>
      </w:r>
    </w:p>
    <w:p w14:paraId="1D58BF78" w14:textId="77777777" w:rsidR="007029D3" w:rsidRPr="00CD68BA" w:rsidRDefault="007029D3" w:rsidP="00A06718">
      <w:pPr>
        <w:pStyle w:val="Prrafodelista"/>
        <w:autoSpaceDE w:val="0"/>
        <w:autoSpaceDN w:val="0"/>
        <w:adjustRightInd w:val="0"/>
        <w:spacing w:before="0" w:after="0"/>
        <w:ind w:left="0"/>
        <w:contextualSpacing w:val="0"/>
        <w:rPr>
          <w:szCs w:val="20"/>
          <w:lang w:val="es-CR"/>
        </w:rPr>
      </w:pPr>
    </w:p>
    <w:p w14:paraId="1FCD3747" w14:textId="3918CFBB" w:rsidR="007029D3" w:rsidRPr="00CD68BA" w:rsidRDefault="007F2E0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Teniendo en cuenta lo anterior, según se observa por medio de</w:t>
      </w:r>
      <w:r w:rsidR="006D00D5" w:rsidRPr="00CD68BA">
        <w:rPr>
          <w:lang w:val="es-CR"/>
        </w:rPr>
        <w:t xml:space="preserve">l examen del acervo probatorio de este caso, </w:t>
      </w:r>
      <w:r w:rsidRPr="00CD68BA">
        <w:rPr>
          <w:lang w:val="es-CR"/>
        </w:rPr>
        <w:t>los familiares de</w:t>
      </w:r>
      <w:r w:rsidR="006D00D5" w:rsidRPr="00CD68BA">
        <w:rPr>
          <w:lang w:val="es-CR"/>
        </w:rPr>
        <w:t xml:space="preserve"> Gabriel </w:t>
      </w:r>
      <w:r w:rsidRPr="00CD68BA">
        <w:rPr>
          <w:lang w:val="es-CR"/>
        </w:rPr>
        <w:t xml:space="preserve">Sales Pimenta </w:t>
      </w:r>
      <w:r w:rsidR="006D00D5" w:rsidRPr="00CD68BA">
        <w:rPr>
          <w:lang w:val="es-CR"/>
        </w:rPr>
        <w:t xml:space="preserve">acompañaron y </w:t>
      </w:r>
      <w:r w:rsidRPr="00CD68BA">
        <w:rPr>
          <w:lang w:val="es-CR"/>
        </w:rPr>
        <w:t>estuvieron</w:t>
      </w:r>
      <w:r w:rsidR="006D00D5" w:rsidRPr="00CD68BA">
        <w:rPr>
          <w:lang w:val="es-CR"/>
        </w:rPr>
        <w:t xml:space="preserve"> activamente</w:t>
      </w:r>
      <w:r w:rsidRPr="00CD68BA">
        <w:rPr>
          <w:lang w:val="es-CR"/>
        </w:rPr>
        <w:t xml:space="preserve"> involucrados</w:t>
      </w:r>
      <w:r w:rsidR="006D00D5" w:rsidRPr="00CD68BA">
        <w:rPr>
          <w:lang w:val="es-CR"/>
        </w:rPr>
        <w:t xml:space="preserve">, como </w:t>
      </w:r>
      <w:r w:rsidR="008B4DA9" w:rsidRPr="00CD68BA">
        <w:rPr>
          <w:lang w:val="es-CR"/>
        </w:rPr>
        <w:t>“</w:t>
      </w:r>
      <w:r w:rsidR="006D00D5" w:rsidRPr="00CD68BA">
        <w:rPr>
          <w:lang w:val="es-CR"/>
        </w:rPr>
        <w:t>asistentes de acusación</w:t>
      </w:r>
      <w:r w:rsidR="008B4DA9" w:rsidRPr="00CD68BA">
        <w:rPr>
          <w:lang w:val="es-CR"/>
        </w:rPr>
        <w:t>”</w:t>
      </w:r>
      <w:r w:rsidR="008B4DA9" w:rsidRPr="00CD68BA">
        <w:rPr>
          <w:vertAlign w:val="superscript"/>
          <w:lang w:val="es-CR"/>
        </w:rPr>
        <w:footnoteReference w:id="201"/>
      </w:r>
      <w:r w:rsidR="006D00D5" w:rsidRPr="00CD68BA">
        <w:rPr>
          <w:lang w:val="es-CR"/>
        </w:rPr>
        <w:t>,</w:t>
      </w:r>
      <w:r w:rsidRPr="00CD68BA">
        <w:rPr>
          <w:lang w:val="es-CR"/>
        </w:rPr>
        <w:t xml:space="preserve"> en el proceso </w:t>
      </w:r>
      <w:r w:rsidR="006D00D5" w:rsidRPr="00CD68BA">
        <w:rPr>
          <w:lang w:val="es-CR"/>
        </w:rPr>
        <w:t>penal</w:t>
      </w:r>
      <w:r w:rsidRPr="00CD68BA">
        <w:rPr>
          <w:lang w:val="es-CR"/>
        </w:rPr>
        <w:t xml:space="preserve"> instaurado </w:t>
      </w:r>
      <w:r w:rsidR="00987A0A" w:rsidRPr="00CD68BA">
        <w:rPr>
          <w:lang w:val="es-CR"/>
        </w:rPr>
        <w:t xml:space="preserve">a raíz de </w:t>
      </w:r>
      <w:r w:rsidRPr="00CD68BA">
        <w:rPr>
          <w:lang w:val="es-CR"/>
        </w:rPr>
        <w:t>su homicidio desde el principio</w:t>
      </w:r>
      <w:r w:rsidR="00A735B5" w:rsidRPr="00CD68BA">
        <w:rPr>
          <w:lang w:val="es-CR"/>
        </w:rPr>
        <w:t>,</w:t>
      </w:r>
      <w:r w:rsidRPr="00CD68BA">
        <w:rPr>
          <w:lang w:val="es-CR"/>
        </w:rPr>
        <w:t xml:space="preserve"> y</w:t>
      </w:r>
      <w:r w:rsidR="004D32E3" w:rsidRPr="00CD68BA">
        <w:rPr>
          <w:lang w:val="es-CR"/>
        </w:rPr>
        <w:t xml:space="preserve"> envidaron esfuerzos </w:t>
      </w:r>
      <w:r w:rsidRPr="00CD68BA">
        <w:rPr>
          <w:lang w:val="es-CR"/>
        </w:rPr>
        <w:t>p</w:t>
      </w:r>
      <w:r w:rsidR="004D32E3" w:rsidRPr="00CD68BA">
        <w:rPr>
          <w:lang w:val="es-CR"/>
        </w:rPr>
        <w:t>a</w:t>
      </w:r>
      <w:r w:rsidRPr="00CD68BA">
        <w:rPr>
          <w:lang w:val="es-CR"/>
        </w:rPr>
        <w:t>r</w:t>
      </w:r>
      <w:r w:rsidR="004D32E3" w:rsidRPr="00CD68BA">
        <w:rPr>
          <w:lang w:val="es-CR"/>
        </w:rPr>
        <w:t>a</w:t>
      </w:r>
      <w:r w:rsidRPr="00CD68BA">
        <w:rPr>
          <w:lang w:val="es-CR"/>
        </w:rPr>
        <w:t xml:space="preserve"> su avance y conclusión.</w:t>
      </w:r>
      <w:r w:rsidR="006D00D5" w:rsidRPr="00CD68BA">
        <w:rPr>
          <w:lang w:val="es-CR"/>
        </w:rPr>
        <w:t xml:space="preserve"> A pesar de ello, dicho proceso, conforme ya </w:t>
      </w:r>
      <w:r w:rsidR="002E5C56" w:rsidRPr="00CD68BA">
        <w:rPr>
          <w:lang w:val="es-CR"/>
        </w:rPr>
        <w:t xml:space="preserve">se ha </w:t>
      </w:r>
      <w:r w:rsidR="006D00D5" w:rsidRPr="00CD68BA">
        <w:rPr>
          <w:lang w:val="es-CR"/>
        </w:rPr>
        <w:t xml:space="preserve">referido previamente, fue concluido </w:t>
      </w:r>
      <w:r w:rsidR="00003E66" w:rsidRPr="00CD68BA">
        <w:rPr>
          <w:lang w:val="es-CR"/>
        </w:rPr>
        <w:t xml:space="preserve">transcurridos casi 24 años de los hechos, </w:t>
      </w:r>
      <w:r w:rsidR="006D00D5" w:rsidRPr="00CD68BA">
        <w:rPr>
          <w:lang w:val="es-CR"/>
        </w:rPr>
        <w:t>únicamente con la dec</w:t>
      </w:r>
      <w:r w:rsidR="002E5C56" w:rsidRPr="00CD68BA">
        <w:rPr>
          <w:lang w:val="es-CR"/>
        </w:rPr>
        <w:t>la</w:t>
      </w:r>
      <w:r w:rsidR="007C7A5F" w:rsidRPr="00CD68BA">
        <w:rPr>
          <w:lang w:val="es-CR"/>
        </w:rPr>
        <w:t>r</w:t>
      </w:r>
      <w:r w:rsidR="002E5C56" w:rsidRPr="00CD68BA">
        <w:rPr>
          <w:lang w:val="es-CR"/>
        </w:rPr>
        <w:t>ación</w:t>
      </w:r>
      <w:r w:rsidR="007C7A5F" w:rsidRPr="00CD68BA">
        <w:rPr>
          <w:lang w:val="es-CR"/>
        </w:rPr>
        <w:t xml:space="preserve"> </w:t>
      </w:r>
      <w:r w:rsidR="006D00D5" w:rsidRPr="00CD68BA">
        <w:rPr>
          <w:lang w:val="es-CR"/>
        </w:rPr>
        <w:t xml:space="preserve">de la extinción de la </w:t>
      </w:r>
      <w:r w:rsidR="006E3F10" w:rsidRPr="00CD68BA">
        <w:rPr>
          <w:lang w:val="es-CR"/>
        </w:rPr>
        <w:t>responsabilidad penal</w:t>
      </w:r>
      <w:r w:rsidR="008C694D" w:rsidRPr="00CD68BA">
        <w:rPr>
          <w:lang w:val="es-CR"/>
        </w:rPr>
        <w:t xml:space="preserve">, </w:t>
      </w:r>
      <w:r w:rsidR="00482091" w:rsidRPr="00CD68BA">
        <w:rPr>
          <w:lang w:val="es-CR"/>
        </w:rPr>
        <w:t>debido a</w:t>
      </w:r>
      <w:r w:rsidR="008C694D" w:rsidRPr="00CD68BA">
        <w:rPr>
          <w:lang w:val="es-CR"/>
        </w:rPr>
        <w:t xml:space="preserve"> la prescripción, en favor </w:t>
      </w:r>
      <w:r w:rsidR="006D00D5" w:rsidRPr="00CD68BA">
        <w:rPr>
          <w:lang w:val="es-CR"/>
        </w:rPr>
        <w:t>del único acusado</w:t>
      </w:r>
      <w:r w:rsidR="008C694D" w:rsidRPr="00CD68BA">
        <w:rPr>
          <w:lang w:val="es-CR"/>
        </w:rPr>
        <w:t xml:space="preserve"> </w:t>
      </w:r>
      <w:r w:rsidR="006F27AA" w:rsidRPr="00CD68BA">
        <w:rPr>
          <w:lang w:val="es-CR"/>
        </w:rPr>
        <w:t>sobreviviente</w:t>
      </w:r>
      <w:r w:rsidR="008C694D" w:rsidRPr="00CD68BA">
        <w:rPr>
          <w:lang w:val="es-CR"/>
        </w:rPr>
        <w:t xml:space="preserve">. </w:t>
      </w:r>
      <w:r w:rsidR="00732C15" w:rsidRPr="00CD68BA">
        <w:rPr>
          <w:lang w:val="es-CR"/>
        </w:rPr>
        <w:t>Adicionalmente</w:t>
      </w:r>
      <w:r w:rsidRPr="00CD68BA">
        <w:rPr>
          <w:lang w:val="es-CR"/>
        </w:rPr>
        <w:t xml:space="preserve">, </w:t>
      </w:r>
      <w:r w:rsidR="00003E66" w:rsidRPr="00CD68BA">
        <w:rPr>
          <w:lang w:val="es-CR"/>
        </w:rPr>
        <w:t xml:space="preserve">se constata que </w:t>
      </w:r>
      <w:r w:rsidRPr="00CD68BA">
        <w:rPr>
          <w:lang w:val="es-CR"/>
        </w:rPr>
        <w:t>la duración de las investigaciones y del proceso penal sin que haya habido sanción de algún responsable de</w:t>
      </w:r>
      <w:r w:rsidR="00AD24BB" w:rsidRPr="00CD68BA">
        <w:rPr>
          <w:lang w:val="es-CR"/>
        </w:rPr>
        <w:t xml:space="preserve"> la muerte</w:t>
      </w:r>
      <w:r w:rsidR="0069548C" w:rsidRPr="00CD68BA">
        <w:rPr>
          <w:lang w:val="es-CR"/>
        </w:rPr>
        <w:t xml:space="preserve"> violenta</w:t>
      </w:r>
      <w:r w:rsidRPr="00CD68BA">
        <w:rPr>
          <w:lang w:val="es-CR"/>
        </w:rPr>
        <w:t xml:space="preserve"> y la falta de debida diligencia provoca</w:t>
      </w:r>
      <w:r w:rsidR="00003E66" w:rsidRPr="00CD68BA">
        <w:rPr>
          <w:lang w:val="es-CR"/>
        </w:rPr>
        <w:t xml:space="preserve">ron </w:t>
      </w:r>
      <w:r w:rsidRPr="00CD68BA">
        <w:rPr>
          <w:lang w:val="es-CR"/>
        </w:rPr>
        <w:t xml:space="preserve">a los referidos familiares </w:t>
      </w:r>
      <w:r w:rsidR="00003E66" w:rsidRPr="00CD68BA">
        <w:rPr>
          <w:lang w:val="es-CR"/>
        </w:rPr>
        <w:t>sufrimiento y angustia en detrimento de su integridad psíquica y moral</w:t>
      </w:r>
      <w:r w:rsidRPr="00CD68BA">
        <w:rPr>
          <w:lang w:val="es-CR"/>
        </w:rPr>
        <w:t>.</w:t>
      </w:r>
      <w:r w:rsidR="00DA6319" w:rsidRPr="00CD68BA">
        <w:rPr>
          <w:lang w:val="es-CR"/>
        </w:rPr>
        <w:t xml:space="preserve"> Es decir, la absoluta impunidad en que se encuentra el homicidio de Gabriel Sales Piment</w:t>
      </w:r>
      <w:r w:rsidR="00190B68" w:rsidRPr="00CD68BA">
        <w:rPr>
          <w:lang w:val="es-CR"/>
        </w:rPr>
        <w:t xml:space="preserve">a constituye un factor clave </w:t>
      </w:r>
      <w:r w:rsidR="00DE439E" w:rsidRPr="00CD68BA">
        <w:rPr>
          <w:lang w:val="es-CR"/>
        </w:rPr>
        <w:t>en</w:t>
      </w:r>
      <w:r w:rsidR="00190B68" w:rsidRPr="00CD68BA">
        <w:rPr>
          <w:lang w:val="es-CR"/>
        </w:rPr>
        <w:t xml:space="preserve"> la afectación de la integridad personal de cada miembro de la familia de Gabriel Sales Pimenta.</w:t>
      </w:r>
    </w:p>
    <w:p w14:paraId="1E49BAF7" w14:textId="498DF238" w:rsidR="007029D3" w:rsidRPr="00CD68BA" w:rsidRDefault="007029D3" w:rsidP="00A06718">
      <w:pPr>
        <w:pStyle w:val="Prrafodelista"/>
        <w:spacing w:before="0" w:after="0"/>
        <w:contextualSpacing w:val="0"/>
        <w:rPr>
          <w:lang w:val="es-CR"/>
        </w:rPr>
      </w:pPr>
    </w:p>
    <w:p w14:paraId="2A099B35" w14:textId="24D4FFA8" w:rsidR="00675C0E" w:rsidRPr="00CD68BA" w:rsidRDefault="00453095"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Al respecto, Rafael Sales Pimenta, hermano del señor Sales Pimenta</w:t>
      </w:r>
      <w:r w:rsidR="001902AB" w:rsidRPr="00CD68BA">
        <w:rPr>
          <w:lang w:val="es-CR"/>
        </w:rPr>
        <w:t xml:space="preserve"> que estuvo especialmente involucrado en el seguimiento de las investigaciones, destacó los estrechos lazos de afecto y “confianza solidaria” que permeaban la relación familiar existente entre él, sus </w:t>
      </w:r>
      <w:r w:rsidR="00DF7342" w:rsidRPr="00CD68BA">
        <w:rPr>
          <w:lang w:val="es-CR"/>
        </w:rPr>
        <w:t>seis</w:t>
      </w:r>
      <w:r w:rsidR="001902AB" w:rsidRPr="00CD68BA">
        <w:rPr>
          <w:lang w:val="es-CR"/>
        </w:rPr>
        <w:t xml:space="preserve"> hermanos, su madre y su padre</w:t>
      </w:r>
      <w:r w:rsidR="00DF7342" w:rsidRPr="00CD68BA">
        <w:rPr>
          <w:rStyle w:val="Refdenotaalpie"/>
          <w:lang w:val="es-CR" w:eastAsia="zh-CN"/>
        </w:rPr>
        <w:footnoteReference w:id="202"/>
      </w:r>
      <w:r w:rsidR="001902AB" w:rsidRPr="00CD68BA">
        <w:rPr>
          <w:lang w:val="es-CR"/>
        </w:rPr>
        <w:t xml:space="preserve">. </w:t>
      </w:r>
      <w:r w:rsidR="00DF7342" w:rsidRPr="00CD68BA">
        <w:rPr>
          <w:lang w:val="es-CR"/>
        </w:rPr>
        <w:t>Subrayó que él y sus hermanos tuvieron “una juventud muy linda, maravillosa” y que su relación con Gabriel Sales Pimenta era excelente y que este último era un ejemplo para él, y creía que, igualmente, para todos los hermanos</w:t>
      </w:r>
      <w:r w:rsidR="00DF7342" w:rsidRPr="00CD68BA">
        <w:rPr>
          <w:rStyle w:val="Refdenotaalpie"/>
          <w:lang w:val="es-CR" w:eastAsia="zh-CN"/>
        </w:rPr>
        <w:footnoteReference w:id="203"/>
      </w:r>
      <w:r w:rsidR="00DF7342" w:rsidRPr="00CD68BA">
        <w:rPr>
          <w:lang w:val="es-CR"/>
        </w:rPr>
        <w:t xml:space="preserve">. Sobre la </w:t>
      </w:r>
      <w:r w:rsidR="00675C0E" w:rsidRPr="00CD68BA">
        <w:rPr>
          <w:lang w:val="es-CR"/>
        </w:rPr>
        <w:t>a</w:t>
      </w:r>
      <w:r w:rsidR="00DF7342" w:rsidRPr="00CD68BA">
        <w:rPr>
          <w:lang w:val="es-CR"/>
        </w:rPr>
        <w:t>fectación a él y su familia ocasionada</w:t>
      </w:r>
      <w:r w:rsidR="00675C0E" w:rsidRPr="00CD68BA">
        <w:rPr>
          <w:lang w:val="es-CR"/>
        </w:rPr>
        <w:t xml:space="preserve"> por las falencias del Estado en el proceso penal y civil iniciados en este caso, así como</w:t>
      </w:r>
      <w:r w:rsidR="00DF7342" w:rsidRPr="00CD68BA">
        <w:rPr>
          <w:lang w:val="es-CR"/>
        </w:rPr>
        <w:t xml:space="preserve"> por</w:t>
      </w:r>
      <w:r w:rsidR="00675C0E" w:rsidRPr="00CD68BA">
        <w:rPr>
          <w:lang w:val="es-CR"/>
        </w:rPr>
        <w:t xml:space="preserve"> la situación de impunidad en que el caso se encuentra, Rafael Sales Pimenta sostuvo que</w:t>
      </w:r>
    </w:p>
    <w:p w14:paraId="4973F159" w14:textId="77777777" w:rsidR="00453095" w:rsidRPr="00CD68BA" w:rsidRDefault="00453095" w:rsidP="00A06718">
      <w:pPr>
        <w:pStyle w:val="Prrafodelista"/>
        <w:autoSpaceDE w:val="0"/>
        <w:autoSpaceDN w:val="0"/>
        <w:adjustRightInd w:val="0"/>
        <w:spacing w:before="0" w:after="0"/>
        <w:contextualSpacing w:val="0"/>
        <w:rPr>
          <w:szCs w:val="20"/>
          <w:lang w:val="es-CR"/>
        </w:rPr>
      </w:pPr>
    </w:p>
    <w:p w14:paraId="22DEA8DE" w14:textId="09E8DB73" w:rsidR="00453095" w:rsidRPr="00CD68BA" w:rsidRDefault="00453095" w:rsidP="00A06718">
      <w:pPr>
        <w:pStyle w:val="Prrafodelista"/>
        <w:tabs>
          <w:tab w:val="left" w:pos="720"/>
        </w:tabs>
        <w:autoSpaceDE w:val="0"/>
        <w:autoSpaceDN w:val="0"/>
        <w:adjustRightInd w:val="0"/>
        <w:spacing w:before="0" w:after="0"/>
        <w:ind w:right="720"/>
        <w:contextualSpacing w:val="0"/>
        <w:rPr>
          <w:szCs w:val="20"/>
          <w:lang w:val="es-CR"/>
        </w:rPr>
      </w:pPr>
      <w:r w:rsidRPr="00CD68BA">
        <w:rPr>
          <w:sz w:val="16"/>
          <w:szCs w:val="16"/>
          <w:lang w:val="es-CR"/>
        </w:rPr>
        <w:t>Nos afectó de forma profunda</w:t>
      </w:r>
      <w:r w:rsidR="00892DD5" w:rsidRPr="00CD68BA">
        <w:rPr>
          <w:sz w:val="16"/>
          <w:szCs w:val="16"/>
          <w:lang w:val="es-CR"/>
        </w:rPr>
        <w:t xml:space="preserve"> </w:t>
      </w:r>
      <w:r w:rsidR="00EE5EA8" w:rsidRPr="00CD68BA">
        <w:rPr>
          <w:sz w:val="16"/>
          <w:szCs w:val="16"/>
          <w:lang w:val="es-CR"/>
        </w:rPr>
        <w:t>[…]</w:t>
      </w:r>
      <w:r w:rsidR="00240726" w:rsidRPr="00CD68BA">
        <w:rPr>
          <w:sz w:val="16"/>
          <w:szCs w:val="16"/>
          <w:lang w:val="es-CR"/>
        </w:rPr>
        <w:t xml:space="preserve">, </w:t>
      </w:r>
      <w:r w:rsidRPr="00CD68BA">
        <w:rPr>
          <w:sz w:val="16"/>
          <w:szCs w:val="16"/>
          <w:lang w:val="es-CR"/>
        </w:rPr>
        <w:t>incluso hasta el día de hoy</w:t>
      </w:r>
      <w:r w:rsidR="00240726" w:rsidRPr="00CD68BA">
        <w:rPr>
          <w:sz w:val="16"/>
          <w:szCs w:val="16"/>
          <w:lang w:val="es-CR"/>
        </w:rPr>
        <w:t>,</w:t>
      </w:r>
      <w:r w:rsidRPr="00CD68BA">
        <w:rPr>
          <w:sz w:val="16"/>
          <w:szCs w:val="16"/>
          <w:lang w:val="es-CR"/>
        </w:rPr>
        <w:t xml:space="preserve"> a todos, sin excepción alguna</w:t>
      </w:r>
      <w:r w:rsidR="00675C0E" w:rsidRPr="00CD68BA">
        <w:rPr>
          <w:sz w:val="16"/>
          <w:szCs w:val="16"/>
          <w:lang w:val="es-CR"/>
        </w:rPr>
        <w:t>. M</w:t>
      </w:r>
      <w:r w:rsidRPr="00CD68BA">
        <w:rPr>
          <w:sz w:val="16"/>
          <w:szCs w:val="16"/>
          <w:lang w:val="es-CR"/>
        </w:rPr>
        <w:t>i padre y mi madre cambiaron su forma de ver la vida</w:t>
      </w:r>
      <w:r w:rsidR="00675C0E" w:rsidRPr="00CD68BA">
        <w:rPr>
          <w:sz w:val="16"/>
          <w:szCs w:val="16"/>
          <w:lang w:val="es-CR"/>
        </w:rPr>
        <w:t>;</w:t>
      </w:r>
      <w:r w:rsidRPr="00CD68BA">
        <w:rPr>
          <w:sz w:val="16"/>
          <w:szCs w:val="16"/>
          <w:lang w:val="es-CR"/>
        </w:rPr>
        <w:t xml:space="preserve"> ya no veían la posibilidad de que se sancionara a los culpables en esta vida a través del sistema judicial</w:t>
      </w:r>
      <w:r w:rsidR="00675C0E" w:rsidRPr="00CD68BA">
        <w:rPr>
          <w:sz w:val="16"/>
          <w:szCs w:val="16"/>
          <w:lang w:val="es-CR"/>
        </w:rPr>
        <w:t>,</w:t>
      </w:r>
      <w:r w:rsidRPr="00CD68BA">
        <w:rPr>
          <w:sz w:val="16"/>
          <w:szCs w:val="16"/>
          <w:lang w:val="es-CR"/>
        </w:rPr>
        <w:t xml:space="preserve"> y los hermanos cada uno con su personalidad vivimos y experimentamos estas dificultades por el resto de nuestras vidas</w:t>
      </w:r>
      <w:r w:rsidR="00675C0E" w:rsidRPr="00CD68BA">
        <w:rPr>
          <w:rStyle w:val="Refdenotaalpie"/>
          <w:rFonts w:eastAsia="Times New Roman"/>
          <w:sz w:val="16"/>
          <w:szCs w:val="16"/>
          <w:lang w:val="es-CR" w:eastAsia="zh-CN"/>
        </w:rPr>
        <w:footnoteReference w:id="204"/>
      </w:r>
      <w:r w:rsidRPr="00CD68BA">
        <w:rPr>
          <w:sz w:val="16"/>
          <w:szCs w:val="16"/>
          <w:lang w:val="es-CR"/>
        </w:rPr>
        <w:t>.</w:t>
      </w:r>
    </w:p>
    <w:p w14:paraId="5301145B" w14:textId="77777777" w:rsidR="00453095" w:rsidRPr="00CD68BA" w:rsidRDefault="00453095" w:rsidP="00A06718">
      <w:pPr>
        <w:pStyle w:val="Prrafodelista"/>
        <w:autoSpaceDE w:val="0"/>
        <w:autoSpaceDN w:val="0"/>
        <w:adjustRightInd w:val="0"/>
        <w:spacing w:before="0" w:after="0"/>
        <w:ind w:right="720"/>
        <w:contextualSpacing w:val="0"/>
        <w:rPr>
          <w:szCs w:val="20"/>
          <w:lang w:val="es-CR"/>
        </w:rPr>
      </w:pPr>
    </w:p>
    <w:p w14:paraId="6B76BA60" w14:textId="45DD3680" w:rsidR="00453095" w:rsidRPr="00CD68BA" w:rsidRDefault="00727059" w:rsidP="00A06718">
      <w:pPr>
        <w:pStyle w:val="Prrafodelista"/>
        <w:autoSpaceDE w:val="0"/>
        <w:autoSpaceDN w:val="0"/>
        <w:adjustRightInd w:val="0"/>
        <w:spacing w:before="0" w:after="0"/>
        <w:ind w:right="720"/>
        <w:contextualSpacing w:val="0"/>
        <w:rPr>
          <w:szCs w:val="20"/>
          <w:lang w:val="es-CR"/>
        </w:rPr>
      </w:pPr>
      <w:r w:rsidRPr="00CD68BA">
        <w:rPr>
          <w:sz w:val="16"/>
          <w:szCs w:val="16"/>
          <w:lang w:val="es-CR"/>
        </w:rPr>
        <w:t xml:space="preserve">[…] </w:t>
      </w:r>
      <w:r w:rsidR="00453095" w:rsidRPr="00CD68BA">
        <w:rPr>
          <w:sz w:val="16"/>
          <w:szCs w:val="16"/>
          <w:lang w:val="es-CR"/>
        </w:rPr>
        <w:t>estamos en búsqueda de justicia desde hace 40 años</w:t>
      </w:r>
      <w:r w:rsidRPr="00CD68BA">
        <w:rPr>
          <w:sz w:val="16"/>
          <w:szCs w:val="16"/>
          <w:lang w:val="es-CR"/>
        </w:rPr>
        <w:t>. E</w:t>
      </w:r>
      <w:r w:rsidR="00453095" w:rsidRPr="00CD68BA">
        <w:rPr>
          <w:sz w:val="16"/>
          <w:szCs w:val="16"/>
          <w:lang w:val="es-CR"/>
        </w:rPr>
        <w:t>l 18 de julio se cumplen 40 años de su asesinato y el Estado de Brasil no ha hecho nada al respecto</w:t>
      </w:r>
      <w:r w:rsidR="00AE50AA" w:rsidRPr="00CD68BA">
        <w:rPr>
          <w:rStyle w:val="Refdenotaalpie"/>
          <w:rFonts w:eastAsia="Times New Roman"/>
          <w:sz w:val="16"/>
          <w:szCs w:val="16"/>
          <w:lang w:val="es-CR" w:eastAsia="zh-CN"/>
        </w:rPr>
        <w:footnoteReference w:id="205"/>
      </w:r>
      <w:r w:rsidR="00AE50AA" w:rsidRPr="00CD68BA">
        <w:rPr>
          <w:sz w:val="16"/>
          <w:szCs w:val="16"/>
          <w:lang w:val="es-CR"/>
        </w:rPr>
        <w:t>.</w:t>
      </w:r>
      <w:r w:rsidR="00453095" w:rsidRPr="00CD68BA">
        <w:rPr>
          <w:szCs w:val="20"/>
          <w:lang w:val="es-CR"/>
        </w:rPr>
        <w:t xml:space="preserve"> </w:t>
      </w:r>
    </w:p>
    <w:p w14:paraId="290E337F" w14:textId="77777777" w:rsidR="00C73FC9" w:rsidRPr="00CD68BA" w:rsidRDefault="00C73FC9" w:rsidP="00A06718">
      <w:pPr>
        <w:pStyle w:val="Prrafodelista"/>
        <w:autoSpaceDE w:val="0"/>
        <w:autoSpaceDN w:val="0"/>
        <w:adjustRightInd w:val="0"/>
        <w:spacing w:before="0" w:after="0"/>
        <w:ind w:left="0"/>
        <w:contextualSpacing w:val="0"/>
        <w:rPr>
          <w:szCs w:val="20"/>
          <w:lang w:val="es-CR"/>
        </w:rPr>
      </w:pPr>
    </w:p>
    <w:p w14:paraId="38F929DF" w14:textId="15AF171C" w:rsidR="007029D3" w:rsidRPr="00CD68BA" w:rsidRDefault="00701E0E" w:rsidP="00A06718">
      <w:pPr>
        <w:pStyle w:val="Prrafodelista"/>
        <w:numPr>
          <w:ilvl w:val="0"/>
          <w:numId w:val="16"/>
        </w:numPr>
        <w:autoSpaceDE w:val="0"/>
        <w:autoSpaceDN w:val="0"/>
        <w:adjustRightInd w:val="0"/>
        <w:spacing w:before="0" w:after="0"/>
        <w:ind w:left="0" w:firstLine="0"/>
        <w:contextualSpacing w:val="0"/>
        <w:rPr>
          <w:lang w:val="es-CR"/>
        </w:rPr>
      </w:pPr>
      <w:r w:rsidRPr="00CD68BA">
        <w:rPr>
          <w:szCs w:val="20"/>
          <w:lang w:val="es-CR"/>
        </w:rPr>
        <w:t>Igualmente,</w:t>
      </w:r>
      <w:r w:rsidR="005F298C" w:rsidRPr="00CD68BA">
        <w:rPr>
          <w:szCs w:val="20"/>
          <w:lang w:val="es-CR"/>
        </w:rPr>
        <w:t xml:space="preserve"> </w:t>
      </w:r>
      <w:r w:rsidR="008A354C" w:rsidRPr="00CD68BA">
        <w:rPr>
          <w:szCs w:val="20"/>
          <w:lang w:val="es-CR"/>
        </w:rPr>
        <w:t>Sérgio</w:t>
      </w:r>
      <w:r w:rsidR="0080250C" w:rsidRPr="00CD68BA">
        <w:rPr>
          <w:szCs w:val="20"/>
          <w:lang w:val="es-CR"/>
        </w:rPr>
        <w:t xml:space="preserve"> Sales Pimenta</w:t>
      </w:r>
      <w:r w:rsidR="008A354C" w:rsidRPr="00CD68BA">
        <w:rPr>
          <w:rStyle w:val="Refdenotaalpie"/>
          <w:rFonts w:eastAsia="Times New Roman"/>
          <w:lang w:val="es-CR" w:eastAsia="zh-CN"/>
        </w:rPr>
        <w:footnoteReference w:id="206"/>
      </w:r>
      <w:r w:rsidR="008A354C" w:rsidRPr="00CD68BA">
        <w:rPr>
          <w:szCs w:val="20"/>
          <w:lang w:val="es-CR"/>
        </w:rPr>
        <w:t>, Marcos</w:t>
      </w:r>
      <w:r w:rsidR="0080250C" w:rsidRPr="00CD68BA">
        <w:rPr>
          <w:szCs w:val="20"/>
          <w:lang w:val="es-CR"/>
        </w:rPr>
        <w:t xml:space="preserve"> Sales Pimenta</w:t>
      </w:r>
      <w:r w:rsidR="008A354C" w:rsidRPr="00CD68BA">
        <w:rPr>
          <w:rStyle w:val="Refdenotaalpie"/>
          <w:rFonts w:eastAsia="Times New Roman"/>
          <w:lang w:val="es-CR" w:eastAsia="zh-CN"/>
        </w:rPr>
        <w:footnoteReference w:id="207"/>
      </w:r>
      <w:r w:rsidR="008A354C" w:rsidRPr="00CD68BA">
        <w:rPr>
          <w:szCs w:val="20"/>
          <w:lang w:val="es-CR"/>
        </w:rPr>
        <w:t>, André</w:t>
      </w:r>
      <w:r w:rsidR="0080250C" w:rsidRPr="00CD68BA">
        <w:rPr>
          <w:szCs w:val="20"/>
          <w:lang w:val="es-CR"/>
        </w:rPr>
        <w:t xml:space="preserve"> Sales Pimenta</w:t>
      </w:r>
      <w:r w:rsidR="008A354C" w:rsidRPr="00CD68BA">
        <w:rPr>
          <w:rStyle w:val="Refdenotaalpie"/>
          <w:rFonts w:eastAsia="Times New Roman"/>
          <w:lang w:val="es-CR" w:eastAsia="zh-CN"/>
        </w:rPr>
        <w:footnoteReference w:id="208"/>
      </w:r>
      <w:r w:rsidR="008A354C" w:rsidRPr="00CD68BA">
        <w:rPr>
          <w:szCs w:val="20"/>
          <w:lang w:val="es-CR"/>
        </w:rPr>
        <w:t xml:space="preserve"> y Daniel</w:t>
      </w:r>
      <w:r w:rsidR="0080250C" w:rsidRPr="00CD68BA">
        <w:rPr>
          <w:szCs w:val="20"/>
          <w:lang w:val="es-CR"/>
        </w:rPr>
        <w:t xml:space="preserve"> Sales Pimenta</w:t>
      </w:r>
      <w:r w:rsidR="008A354C" w:rsidRPr="00CD68BA">
        <w:rPr>
          <w:rStyle w:val="Refdenotaalpie"/>
          <w:rFonts w:eastAsia="Times New Roman"/>
          <w:lang w:val="es-CR" w:eastAsia="zh-CN"/>
        </w:rPr>
        <w:footnoteReference w:id="209"/>
      </w:r>
      <w:r w:rsidR="008A354C" w:rsidRPr="00CD68BA">
        <w:rPr>
          <w:szCs w:val="20"/>
          <w:lang w:val="es-CR"/>
        </w:rPr>
        <w:t xml:space="preserve"> describieron una relación afectuosa entre ellos y </w:t>
      </w:r>
      <w:r w:rsidR="0080250C" w:rsidRPr="00CD68BA">
        <w:rPr>
          <w:szCs w:val="20"/>
          <w:lang w:val="es-CR"/>
        </w:rPr>
        <w:t xml:space="preserve">su hermano </w:t>
      </w:r>
      <w:r w:rsidR="008A354C" w:rsidRPr="00CD68BA">
        <w:rPr>
          <w:szCs w:val="20"/>
          <w:lang w:val="es-CR"/>
        </w:rPr>
        <w:t xml:space="preserve">Gabriel.  </w:t>
      </w:r>
      <w:r w:rsidR="008720C8" w:rsidRPr="00CD68BA">
        <w:rPr>
          <w:szCs w:val="20"/>
          <w:lang w:val="es-CR"/>
        </w:rPr>
        <w:t>El Tribunal pudo observa</w:t>
      </w:r>
      <w:r w:rsidR="00970B2C" w:rsidRPr="00CD68BA">
        <w:rPr>
          <w:szCs w:val="20"/>
          <w:lang w:val="es-CR"/>
        </w:rPr>
        <w:t>r</w:t>
      </w:r>
      <w:r w:rsidR="008720C8" w:rsidRPr="00CD68BA">
        <w:rPr>
          <w:szCs w:val="20"/>
          <w:lang w:val="es-CR"/>
        </w:rPr>
        <w:t xml:space="preserve"> el involucramiento de cada uno de ellos con los hechos descritos en este caso y el dolor y sufrimiento que les causaron. </w:t>
      </w:r>
    </w:p>
    <w:p w14:paraId="49EE60C4" w14:textId="77777777" w:rsidR="007029D3" w:rsidRPr="00CD68BA" w:rsidRDefault="007029D3" w:rsidP="00A06718">
      <w:pPr>
        <w:pStyle w:val="Prrafodelista"/>
        <w:autoSpaceDE w:val="0"/>
        <w:autoSpaceDN w:val="0"/>
        <w:adjustRightInd w:val="0"/>
        <w:spacing w:before="0" w:after="0"/>
        <w:ind w:left="0"/>
        <w:contextualSpacing w:val="0"/>
        <w:rPr>
          <w:lang w:val="es-CR"/>
        </w:rPr>
      </w:pPr>
    </w:p>
    <w:p w14:paraId="5D053FE5" w14:textId="4D216EE4" w:rsidR="007029D3" w:rsidRPr="00CD68BA" w:rsidRDefault="000109E7" w:rsidP="00A06718">
      <w:pPr>
        <w:pStyle w:val="Prrafodelista"/>
        <w:numPr>
          <w:ilvl w:val="0"/>
          <w:numId w:val="16"/>
        </w:numPr>
        <w:autoSpaceDE w:val="0"/>
        <w:autoSpaceDN w:val="0"/>
        <w:adjustRightInd w:val="0"/>
        <w:spacing w:before="0" w:after="0"/>
        <w:ind w:left="0" w:firstLine="0"/>
        <w:contextualSpacing w:val="0"/>
        <w:rPr>
          <w:lang w:val="es-CR"/>
        </w:rPr>
      </w:pPr>
      <w:r w:rsidRPr="00CD68BA">
        <w:rPr>
          <w:lang w:val="es-CR"/>
        </w:rPr>
        <w:t>Daniel Sales Pimenta, a su vez, describió el sentimiento de impotencia experimentado al recibir noticias de la tramitación del proceso penal</w:t>
      </w:r>
      <w:r w:rsidRPr="00CD68BA">
        <w:rPr>
          <w:rStyle w:val="Refdenotaalpie"/>
          <w:lang w:val="es-CR" w:eastAsia="zh-CN"/>
        </w:rPr>
        <w:footnoteReference w:id="210"/>
      </w:r>
      <w:r w:rsidRPr="00CD68BA">
        <w:rPr>
          <w:lang w:val="es-CR"/>
        </w:rPr>
        <w:t>.</w:t>
      </w:r>
    </w:p>
    <w:p w14:paraId="7365C096" w14:textId="77777777" w:rsidR="007029D3" w:rsidRPr="00CD68BA" w:rsidRDefault="007029D3" w:rsidP="00A06718">
      <w:pPr>
        <w:pStyle w:val="Prrafodelista"/>
        <w:spacing w:before="0" w:after="0"/>
        <w:contextualSpacing w:val="0"/>
        <w:rPr>
          <w:lang w:val="es-CR"/>
        </w:rPr>
      </w:pPr>
    </w:p>
    <w:p w14:paraId="01F7E683" w14:textId="6D1EED8B" w:rsidR="007029D3" w:rsidRPr="00CD68BA" w:rsidRDefault="00EA37DA" w:rsidP="00A06718">
      <w:pPr>
        <w:pStyle w:val="Prrafodelista"/>
        <w:numPr>
          <w:ilvl w:val="0"/>
          <w:numId w:val="16"/>
        </w:numPr>
        <w:autoSpaceDE w:val="0"/>
        <w:autoSpaceDN w:val="0"/>
        <w:adjustRightInd w:val="0"/>
        <w:spacing w:before="0" w:after="0"/>
        <w:ind w:left="0" w:firstLine="0"/>
        <w:contextualSpacing w:val="0"/>
        <w:rPr>
          <w:lang w:val="es-CR"/>
        </w:rPr>
      </w:pPr>
      <w:r w:rsidRPr="00CD68BA">
        <w:rPr>
          <w:lang w:val="es-CR"/>
        </w:rPr>
        <w:t>Por su parte, André Sales Pimenta mencionó la creación de un sitio web con recortes y otros materiales sobre la vida de</w:t>
      </w:r>
      <w:r w:rsidR="00427B18" w:rsidRPr="00CD68BA">
        <w:rPr>
          <w:lang w:val="es-CR"/>
        </w:rPr>
        <w:t xml:space="preserve">l señor </w:t>
      </w:r>
      <w:r w:rsidRPr="00CD68BA">
        <w:rPr>
          <w:lang w:val="es-CR"/>
        </w:rPr>
        <w:t>Gabriel</w:t>
      </w:r>
      <w:r w:rsidR="00427B18" w:rsidRPr="00CD68BA">
        <w:rPr>
          <w:lang w:val="es-CR"/>
        </w:rPr>
        <w:t xml:space="preserve"> Sales</w:t>
      </w:r>
      <w:r w:rsidR="00597475" w:rsidRPr="00CD68BA">
        <w:rPr>
          <w:lang w:val="es-CR"/>
        </w:rPr>
        <w:t xml:space="preserve"> Pimenta</w:t>
      </w:r>
      <w:r w:rsidR="009A37E1" w:rsidRPr="00CD68BA">
        <w:rPr>
          <w:lang w:val="es-CR"/>
        </w:rPr>
        <w:t>, sin embargo, desistió del mismo cuando notó que el proceso penal no avanzaba</w:t>
      </w:r>
      <w:r w:rsidR="001C63F9" w:rsidRPr="00CD68BA">
        <w:rPr>
          <w:lang w:val="es-CR"/>
        </w:rPr>
        <w:t>. Narró que se frustraba mucho con cada nuevo resultado negativo en el proceso penal, que perdía las esperanzas y que hasta hoy siente una gran frustración. Por otra parte, destacó que su hermano José Sales Pimenta estuvo acompañando el proceso más de cerca</w:t>
      </w:r>
      <w:r w:rsidR="005841B7" w:rsidRPr="00CD68BA">
        <w:rPr>
          <w:lang w:val="es-CR"/>
        </w:rPr>
        <w:t xml:space="preserve"> en un primer momento</w:t>
      </w:r>
      <w:r w:rsidRPr="00CD68BA">
        <w:rPr>
          <w:rStyle w:val="Refdenotaalpie"/>
          <w:lang w:val="es-CR" w:eastAsia="zh-CN"/>
        </w:rPr>
        <w:footnoteReference w:id="211"/>
      </w:r>
      <w:r w:rsidRPr="00CD68BA">
        <w:rPr>
          <w:lang w:val="es-CR"/>
        </w:rPr>
        <w:t>.</w:t>
      </w:r>
      <w:r w:rsidR="00EA4626" w:rsidRPr="00CD68BA">
        <w:rPr>
          <w:lang w:val="es-CR"/>
        </w:rPr>
        <w:t xml:space="preserve"> </w:t>
      </w:r>
    </w:p>
    <w:p w14:paraId="7AD8AE57" w14:textId="77777777" w:rsidR="007029D3" w:rsidRPr="00CD68BA" w:rsidRDefault="007029D3" w:rsidP="00A06718">
      <w:pPr>
        <w:pStyle w:val="Prrafodelista"/>
        <w:spacing w:before="0" w:after="0"/>
        <w:contextualSpacing w:val="0"/>
        <w:rPr>
          <w:lang w:val="es-CR"/>
        </w:rPr>
      </w:pPr>
    </w:p>
    <w:p w14:paraId="33997E55" w14:textId="6C95F9EF" w:rsidR="007029D3" w:rsidRPr="00CD68BA" w:rsidRDefault="00F05247" w:rsidP="00A06718">
      <w:pPr>
        <w:pStyle w:val="Prrafodelista"/>
        <w:numPr>
          <w:ilvl w:val="0"/>
          <w:numId w:val="16"/>
        </w:numPr>
        <w:autoSpaceDE w:val="0"/>
        <w:autoSpaceDN w:val="0"/>
        <w:adjustRightInd w:val="0"/>
        <w:spacing w:before="0" w:after="0"/>
        <w:ind w:left="0" w:firstLine="0"/>
        <w:contextualSpacing w:val="0"/>
        <w:rPr>
          <w:lang w:val="es-CR"/>
        </w:rPr>
      </w:pPr>
      <w:r w:rsidRPr="00CD68BA">
        <w:rPr>
          <w:lang w:val="es-CR"/>
        </w:rPr>
        <w:t>Con respecto al impacto causado a los familiares de Gabriel</w:t>
      </w:r>
      <w:r w:rsidR="00732C15" w:rsidRPr="00CD68BA">
        <w:rPr>
          <w:lang w:val="es-CR"/>
        </w:rPr>
        <w:t xml:space="preserve"> Sales Pimenta</w:t>
      </w:r>
      <w:r w:rsidRPr="00CD68BA">
        <w:rPr>
          <w:lang w:val="es-CR"/>
        </w:rPr>
        <w:t>, l</w:t>
      </w:r>
      <w:r w:rsidR="00970B2C" w:rsidRPr="00CD68BA">
        <w:rPr>
          <w:lang w:val="es-CR"/>
        </w:rPr>
        <w:t xml:space="preserve">a perita </w:t>
      </w:r>
      <w:r w:rsidR="008D30DC" w:rsidRPr="00CD68BA">
        <w:rPr>
          <w:lang w:val="es-CR"/>
        </w:rPr>
        <w:t xml:space="preserve">Cristina </w:t>
      </w:r>
      <w:r w:rsidR="00F84A34" w:rsidRPr="00CD68BA">
        <w:rPr>
          <w:lang w:val="es-CR"/>
        </w:rPr>
        <w:t>Barros M</w:t>
      </w:r>
      <w:r w:rsidR="00970B2C" w:rsidRPr="00CD68BA">
        <w:rPr>
          <w:lang w:val="es-CR"/>
        </w:rPr>
        <w:t xml:space="preserve">auer concluyó que </w:t>
      </w:r>
      <w:r w:rsidRPr="00CD68BA">
        <w:rPr>
          <w:lang w:val="es-CR"/>
        </w:rPr>
        <w:t>su</w:t>
      </w:r>
      <w:r w:rsidR="00970B2C" w:rsidRPr="00CD68BA">
        <w:rPr>
          <w:lang w:val="es-CR"/>
        </w:rPr>
        <w:t xml:space="preserve"> padre, Geraldo Gomes Pimenta, ya fallecido, </w:t>
      </w:r>
      <w:r w:rsidR="008D30DC" w:rsidRPr="00CD68BA">
        <w:rPr>
          <w:lang w:val="es-CR"/>
        </w:rPr>
        <w:t>“</w:t>
      </w:r>
      <w:r w:rsidR="00970B2C" w:rsidRPr="00CD68BA">
        <w:rPr>
          <w:lang w:val="es-CR"/>
        </w:rPr>
        <w:t>se enclaustró por el resto de su vida, volviéndose menos sociable y comunicativo</w:t>
      </w:r>
      <w:r w:rsidR="007F0E1D" w:rsidRPr="00CD68BA">
        <w:rPr>
          <w:lang w:val="es-CR"/>
        </w:rPr>
        <w:t>”, mientras su madre, Maria da Glória Sales Pimenta, también ya fallecida, si bien no logr</w:t>
      </w:r>
      <w:r w:rsidR="00977710" w:rsidRPr="00CD68BA">
        <w:rPr>
          <w:lang w:val="es-CR"/>
        </w:rPr>
        <w:t>ó</w:t>
      </w:r>
      <w:r w:rsidR="007F0E1D" w:rsidRPr="00CD68BA">
        <w:rPr>
          <w:lang w:val="es-CR"/>
        </w:rPr>
        <w:t xml:space="preserve"> asistir al entierro de su hijo, debido a su enorme dolor, </w:t>
      </w:r>
      <w:r w:rsidR="00FB15D2" w:rsidRPr="00CD68BA">
        <w:rPr>
          <w:lang w:val="es-CR"/>
        </w:rPr>
        <w:t xml:space="preserve">después de </w:t>
      </w:r>
      <w:r w:rsidR="008D30DC" w:rsidRPr="00CD68BA">
        <w:rPr>
          <w:lang w:val="es-CR"/>
        </w:rPr>
        <w:t>“</w:t>
      </w:r>
      <w:r w:rsidR="007F0E1D" w:rsidRPr="00CD68BA">
        <w:rPr>
          <w:lang w:val="es-CR"/>
        </w:rPr>
        <w:t xml:space="preserve">la muerte de Gabriel, […] intensificó su militancia, comprometiéndose </w:t>
      </w:r>
      <w:r w:rsidR="00AD3FAC" w:rsidRPr="00CD68BA">
        <w:rPr>
          <w:lang w:val="es-CR"/>
        </w:rPr>
        <w:t>por</w:t>
      </w:r>
      <w:r w:rsidR="007F0E1D" w:rsidRPr="00CD68BA">
        <w:rPr>
          <w:lang w:val="es-CR"/>
        </w:rPr>
        <w:t xml:space="preserve"> toda </w:t>
      </w:r>
      <w:r w:rsidR="00AD3FAC" w:rsidRPr="00CD68BA">
        <w:rPr>
          <w:lang w:val="es-CR"/>
        </w:rPr>
        <w:t>la</w:t>
      </w:r>
      <w:r w:rsidR="007F0E1D" w:rsidRPr="00CD68BA">
        <w:rPr>
          <w:lang w:val="es-CR"/>
        </w:rPr>
        <w:t xml:space="preserve"> vida en la lucha por responsabilizar a los </w:t>
      </w:r>
      <w:r w:rsidR="00AD3FAC" w:rsidRPr="00CD68BA">
        <w:rPr>
          <w:lang w:val="es-CR"/>
        </w:rPr>
        <w:t>culpables</w:t>
      </w:r>
      <w:r w:rsidR="007F0E1D" w:rsidRPr="00CD68BA">
        <w:rPr>
          <w:lang w:val="es-CR"/>
        </w:rPr>
        <w:t xml:space="preserve"> de la muerte de su hijo y en la</w:t>
      </w:r>
      <w:r w:rsidR="00AD3FAC" w:rsidRPr="00CD68BA">
        <w:rPr>
          <w:lang w:val="es-CR"/>
        </w:rPr>
        <w:t>s</w:t>
      </w:r>
      <w:r w:rsidR="007F0E1D" w:rsidRPr="00CD68BA">
        <w:rPr>
          <w:lang w:val="es-CR"/>
        </w:rPr>
        <w:t xml:space="preserve"> lucha</w:t>
      </w:r>
      <w:r w:rsidR="00AD3FAC" w:rsidRPr="00CD68BA">
        <w:rPr>
          <w:lang w:val="es-CR"/>
        </w:rPr>
        <w:t>s</w:t>
      </w:r>
      <w:r w:rsidR="007F0E1D" w:rsidRPr="00CD68BA">
        <w:rPr>
          <w:lang w:val="es-CR"/>
        </w:rPr>
        <w:t xml:space="preserve"> por los derechos humanos</w:t>
      </w:r>
      <w:r w:rsidR="005173CE" w:rsidRPr="00CD68BA">
        <w:rPr>
          <w:lang w:val="es-CR"/>
        </w:rPr>
        <w:t>”</w:t>
      </w:r>
      <w:r w:rsidR="002F31CB" w:rsidRPr="00CD68BA">
        <w:rPr>
          <w:rStyle w:val="Refdenotaalpie"/>
          <w:lang w:val="es-CR"/>
        </w:rPr>
        <w:footnoteReference w:id="212"/>
      </w:r>
      <w:r w:rsidR="007F0E1D" w:rsidRPr="00CD68BA">
        <w:rPr>
          <w:lang w:val="es-CR"/>
        </w:rPr>
        <w:t>.</w:t>
      </w:r>
      <w:r w:rsidR="00190B68" w:rsidRPr="00CD68BA">
        <w:rPr>
          <w:lang w:val="es-CR"/>
        </w:rPr>
        <w:t xml:space="preserve"> Tanto la madre como el padre de Gabriel Sales Pimenta fallecieron</w:t>
      </w:r>
      <w:r w:rsidR="00DE015C" w:rsidRPr="00CD68BA">
        <w:rPr>
          <w:lang w:val="es-CR"/>
        </w:rPr>
        <w:t xml:space="preserve"> sin haber recibido una respuesta del Estado en cuanto al homicidio de su hijo o una reparación por la falencia estatal.</w:t>
      </w:r>
      <w:r w:rsidR="00190B68" w:rsidRPr="00CD68BA">
        <w:rPr>
          <w:lang w:val="es-CR"/>
        </w:rPr>
        <w:t xml:space="preserve"> </w:t>
      </w:r>
    </w:p>
    <w:p w14:paraId="0C9C4B57" w14:textId="77777777" w:rsidR="007029D3" w:rsidRPr="00CD68BA" w:rsidRDefault="007029D3" w:rsidP="00A06718">
      <w:pPr>
        <w:pStyle w:val="Prrafodelista"/>
        <w:spacing w:before="0" w:after="0"/>
        <w:contextualSpacing w:val="0"/>
        <w:rPr>
          <w:lang w:val="es-CR"/>
        </w:rPr>
      </w:pPr>
    </w:p>
    <w:p w14:paraId="724BD30A" w14:textId="45B45E7B" w:rsidR="00170B73" w:rsidRPr="00CD68BA" w:rsidRDefault="00170B73" w:rsidP="00A06718">
      <w:pPr>
        <w:pStyle w:val="Prrafodelista"/>
        <w:numPr>
          <w:ilvl w:val="0"/>
          <w:numId w:val="16"/>
        </w:numPr>
        <w:autoSpaceDE w:val="0"/>
        <w:autoSpaceDN w:val="0"/>
        <w:adjustRightInd w:val="0"/>
        <w:spacing w:before="0" w:after="0"/>
        <w:ind w:left="0" w:firstLine="0"/>
        <w:contextualSpacing w:val="0"/>
        <w:rPr>
          <w:lang w:val="es-CR"/>
        </w:rPr>
      </w:pPr>
      <w:r w:rsidRPr="00CD68BA">
        <w:rPr>
          <w:lang w:val="es-CR"/>
        </w:rPr>
        <w:t xml:space="preserve">En cuanto a la situación de impunidad en que se </w:t>
      </w:r>
      <w:r w:rsidR="009214F7" w:rsidRPr="00CD68BA">
        <w:rPr>
          <w:lang w:val="es-CR"/>
        </w:rPr>
        <w:t>encuentra</w:t>
      </w:r>
      <w:r w:rsidRPr="00CD68BA">
        <w:rPr>
          <w:lang w:val="es-CR"/>
        </w:rPr>
        <w:t xml:space="preserve"> el caso, </w:t>
      </w:r>
      <w:r w:rsidR="009214F7" w:rsidRPr="00CD68BA">
        <w:rPr>
          <w:lang w:val="es-CR"/>
        </w:rPr>
        <w:t xml:space="preserve">Marcos Sales Pimenta sostuvo </w:t>
      </w:r>
      <w:r w:rsidRPr="00CD68BA">
        <w:rPr>
          <w:lang w:val="es-CR"/>
        </w:rPr>
        <w:t>que:</w:t>
      </w:r>
    </w:p>
    <w:p w14:paraId="3BE110B5" w14:textId="77777777" w:rsidR="00170B73" w:rsidRPr="00CD68BA" w:rsidRDefault="00170B73" w:rsidP="00A06718">
      <w:pPr>
        <w:pStyle w:val="Prrafodelista"/>
        <w:autoSpaceDE w:val="0"/>
        <w:autoSpaceDN w:val="0"/>
        <w:adjustRightInd w:val="0"/>
        <w:spacing w:before="0" w:after="0"/>
        <w:ind w:left="810" w:right="720"/>
        <w:contextualSpacing w:val="0"/>
        <w:rPr>
          <w:sz w:val="16"/>
          <w:szCs w:val="16"/>
          <w:lang w:val="es-CR"/>
        </w:rPr>
      </w:pPr>
    </w:p>
    <w:p w14:paraId="253FD9B0" w14:textId="54D14C78" w:rsidR="00170B73" w:rsidRPr="00CD68BA" w:rsidRDefault="00170B73" w:rsidP="00A06718">
      <w:pPr>
        <w:pStyle w:val="Prrafodelista"/>
        <w:autoSpaceDE w:val="0"/>
        <w:autoSpaceDN w:val="0"/>
        <w:adjustRightInd w:val="0"/>
        <w:spacing w:before="0" w:after="0"/>
        <w:ind w:left="810" w:right="720"/>
        <w:contextualSpacing w:val="0"/>
        <w:rPr>
          <w:rFonts w:eastAsia="Times New Roman" w:cs="Times New Roman"/>
          <w:sz w:val="16"/>
          <w:szCs w:val="16"/>
          <w:lang w:val="es-CR" w:eastAsia="zh-CN"/>
        </w:rPr>
      </w:pPr>
      <w:r w:rsidRPr="00CD68BA">
        <w:rPr>
          <w:rFonts w:eastAsia="Times New Roman" w:cs="Times New Roman"/>
          <w:sz w:val="16"/>
          <w:szCs w:val="16"/>
          <w:lang w:val="es-CR" w:eastAsia="zh-CN"/>
        </w:rPr>
        <w:t xml:space="preserve">Cada uno tiene su comportamiento particular, pero el sentimiento que siempre tuvimos, que era común, es de </w:t>
      </w:r>
      <w:r w:rsidR="009214F7" w:rsidRPr="00CD68BA">
        <w:rPr>
          <w:rFonts w:eastAsia="Times New Roman" w:cs="Times New Roman"/>
          <w:sz w:val="16"/>
          <w:szCs w:val="16"/>
          <w:lang w:val="es-CR" w:eastAsia="zh-CN"/>
        </w:rPr>
        <w:t>indignación</w:t>
      </w:r>
      <w:r w:rsidRPr="00CD68BA">
        <w:rPr>
          <w:rFonts w:eastAsia="Times New Roman" w:cs="Times New Roman"/>
          <w:sz w:val="16"/>
          <w:szCs w:val="16"/>
          <w:lang w:val="es-CR" w:eastAsia="zh-CN"/>
        </w:rPr>
        <w:t xml:space="preserve">. Primero porque murió, segundo porque murió así, tercero por la impunidad. Entonces, este dolor, este malestar que esto provoca en nosotros. Esto es lo que </w:t>
      </w:r>
      <w:r w:rsidR="009214F7" w:rsidRPr="00CD68BA">
        <w:rPr>
          <w:rFonts w:eastAsia="Times New Roman" w:cs="Times New Roman"/>
          <w:sz w:val="16"/>
          <w:szCs w:val="16"/>
          <w:lang w:val="es-CR" w:eastAsia="zh-CN"/>
        </w:rPr>
        <w:t>sentíamos</w:t>
      </w:r>
      <w:r w:rsidRPr="00CD68BA">
        <w:rPr>
          <w:rFonts w:eastAsia="Times New Roman" w:cs="Times New Roman"/>
          <w:sz w:val="16"/>
          <w:szCs w:val="16"/>
          <w:lang w:val="es-CR" w:eastAsia="zh-CN"/>
        </w:rPr>
        <w:t xml:space="preserve"> y todavía sentimos hoy</w:t>
      </w:r>
      <w:r w:rsidR="009214F7" w:rsidRPr="00CD68BA">
        <w:rPr>
          <w:rStyle w:val="Refdenotaalpie"/>
          <w:rFonts w:eastAsia="Times New Roman"/>
          <w:sz w:val="16"/>
          <w:szCs w:val="16"/>
          <w:lang w:val="es-CR" w:eastAsia="zh-CN"/>
        </w:rPr>
        <w:footnoteReference w:id="213"/>
      </w:r>
      <w:r w:rsidR="009214F7" w:rsidRPr="00CD68BA">
        <w:rPr>
          <w:rFonts w:eastAsia="Times New Roman" w:cs="Times New Roman"/>
          <w:sz w:val="16"/>
          <w:szCs w:val="16"/>
          <w:lang w:val="es-CR" w:eastAsia="zh-CN"/>
        </w:rPr>
        <w:t>.</w:t>
      </w:r>
    </w:p>
    <w:p w14:paraId="7C6F7613" w14:textId="77777777" w:rsidR="009214F7" w:rsidRPr="00CD68BA" w:rsidRDefault="009214F7" w:rsidP="00A06718">
      <w:pPr>
        <w:pStyle w:val="Prrafodelista"/>
        <w:autoSpaceDE w:val="0"/>
        <w:autoSpaceDN w:val="0"/>
        <w:adjustRightInd w:val="0"/>
        <w:spacing w:before="0" w:after="0"/>
        <w:ind w:left="810" w:right="720"/>
        <w:contextualSpacing w:val="0"/>
        <w:rPr>
          <w:rFonts w:eastAsia="Times New Roman" w:cs="Times New Roman"/>
          <w:sz w:val="16"/>
          <w:szCs w:val="16"/>
          <w:lang w:val="es-CR" w:eastAsia="zh-CN"/>
        </w:rPr>
      </w:pPr>
    </w:p>
    <w:p w14:paraId="5F6DE14C" w14:textId="13A90AE5" w:rsidR="00701E0E" w:rsidRPr="00CD68BA" w:rsidRDefault="0082442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w:t>
      </w:r>
      <w:r w:rsidR="00701E0E" w:rsidRPr="00CD68BA">
        <w:rPr>
          <w:lang w:val="es-CR"/>
        </w:rPr>
        <w:t xml:space="preserve">l peritaje rendido por la </w:t>
      </w:r>
      <w:r w:rsidR="00D90B60" w:rsidRPr="00CD68BA">
        <w:rPr>
          <w:lang w:val="es-CR"/>
        </w:rPr>
        <w:t>señora</w:t>
      </w:r>
      <w:r w:rsidR="00701E0E" w:rsidRPr="00CD68BA">
        <w:rPr>
          <w:lang w:val="es-CR"/>
        </w:rPr>
        <w:t xml:space="preserve"> </w:t>
      </w:r>
      <w:r w:rsidR="004E731B" w:rsidRPr="00CD68BA">
        <w:rPr>
          <w:lang w:val="es-CR"/>
        </w:rPr>
        <w:t>Barros M</w:t>
      </w:r>
      <w:r w:rsidR="00970B2C" w:rsidRPr="00CD68BA">
        <w:rPr>
          <w:lang w:val="es-CR"/>
        </w:rPr>
        <w:t>auer</w:t>
      </w:r>
      <w:r w:rsidRPr="00CD68BA">
        <w:rPr>
          <w:lang w:val="es-CR"/>
        </w:rPr>
        <w:t xml:space="preserve"> </w:t>
      </w:r>
      <w:r w:rsidR="00701E0E" w:rsidRPr="00CD68BA">
        <w:rPr>
          <w:lang w:val="es-CR"/>
        </w:rPr>
        <w:t>corroboró las declaraciones de l</w:t>
      </w:r>
      <w:r w:rsidRPr="00CD68BA">
        <w:rPr>
          <w:lang w:val="es-CR"/>
        </w:rPr>
        <w:t xml:space="preserve">os hermanos de Gabriel en la medida en que </w:t>
      </w:r>
      <w:r w:rsidR="00D90B60" w:rsidRPr="00CD68BA">
        <w:rPr>
          <w:lang w:val="es-CR"/>
        </w:rPr>
        <w:t xml:space="preserve">la perita concluyó, </w:t>
      </w:r>
      <w:r w:rsidR="00D90B60" w:rsidRPr="00CD68BA">
        <w:rPr>
          <w:i/>
          <w:iCs/>
          <w:lang w:val="es-CR"/>
        </w:rPr>
        <w:t>inter alia</w:t>
      </w:r>
      <w:r w:rsidR="00D90B60" w:rsidRPr="00CD68BA">
        <w:rPr>
          <w:lang w:val="es-CR"/>
        </w:rPr>
        <w:t xml:space="preserve">, </w:t>
      </w:r>
      <w:r w:rsidR="00701E0E" w:rsidRPr="00CD68BA">
        <w:rPr>
          <w:lang w:val="es-CR"/>
        </w:rPr>
        <w:t>que:</w:t>
      </w:r>
    </w:p>
    <w:p w14:paraId="7DD3F707" w14:textId="43FAAE52" w:rsidR="00701E0E" w:rsidRPr="00CD68BA" w:rsidRDefault="00701E0E" w:rsidP="00A06718">
      <w:pPr>
        <w:pStyle w:val="Prrafodelista"/>
        <w:autoSpaceDE w:val="0"/>
        <w:autoSpaceDN w:val="0"/>
        <w:adjustRightInd w:val="0"/>
        <w:spacing w:before="0" w:after="0"/>
        <w:ind w:left="0"/>
        <w:contextualSpacing w:val="0"/>
        <w:rPr>
          <w:rFonts w:eastAsia="Times New Roman" w:cs="Times New Roman"/>
          <w:szCs w:val="20"/>
          <w:lang w:val="es-CR" w:eastAsia="zh-CN"/>
        </w:rPr>
      </w:pPr>
    </w:p>
    <w:p w14:paraId="02FE604D" w14:textId="348E9D96" w:rsidR="00D90B60" w:rsidRPr="00CD68BA" w:rsidRDefault="00D90B60" w:rsidP="00A06718">
      <w:pPr>
        <w:pStyle w:val="Prrafodelista"/>
        <w:spacing w:before="0" w:after="0"/>
        <w:ind w:left="851" w:right="684"/>
        <w:contextualSpacing w:val="0"/>
        <w:rPr>
          <w:sz w:val="16"/>
          <w:szCs w:val="16"/>
          <w:lang w:val="es-CR"/>
        </w:rPr>
      </w:pPr>
      <w:r w:rsidRPr="00CD68BA">
        <w:rPr>
          <w:rFonts w:eastAsia="Times New Roman" w:cs="Times New Roman"/>
          <w:sz w:val="16"/>
          <w:szCs w:val="16"/>
          <w:lang w:val="es-CR" w:eastAsia="zh-CN"/>
        </w:rPr>
        <w:lastRenderedPageBreak/>
        <w:t>los efectos del trauma sufrido se perpetuaron en la familia, modificando el curso de vida de cada uno de sus miembros. Por otra parte, en lo que dependía de medidas estatales, la familia se mantuvo en la misma situación en la que se encuentran muchas otras familias afectadas por violaciones a los derechos humanos: esperan desde hace muchas décadas una respuesta de las autoridades de justicia de su país</w:t>
      </w:r>
      <w:r w:rsidRPr="00CD68BA">
        <w:rPr>
          <w:rStyle w:val="Refdenotaalpie"/>
          <w:sz w:val="16"/>
          <w:szCs w:val="16"/>
          <w:lang w:val="es-CR"/>
        </w:rPr>
        <w:footnoteReference w:id="214"/>
      </w:r>
      <w:r w:rsidRPr="00CD68BA">
        <w:rPr>
          <w:rFonts w:eastAsia="Times New Roman" w:cs="Times New Roman"/>
          <w:sz w:val="16"/>
          <w:szCs w:val="16"/>
          <w:lang w:val="es-CR" w:eastAsia="zh-CN"/>
        </w:rPr>
        <w:t>.</w:t>
      </w:r>
    </w:p>
    <w:p w14:paraId="6295DA5F" w14:textId="77777777" w:rsidR="00D90B60" w:rsidRPr="00CD68BA" w:rsidRDefault="00D90B60" w:rsidP="00A06718">
      <w:pPr>
        <w:pStyle w:val="Prrafodelista"/>
        <w:autoSpaceDE w:val="0"/>
        <w:autoSpaceDN w:val="0"/>
        <w:adjustRightInd w:val="0"/>
        <w:spacing w:before="0" w:after="0"/>
        <w:ind w:left="0"/>
        <w:contextualSpacing w:val="0"/>
        <w:rPr>
          <w:rFonts w:eastAsia="Times New Roman" w:cs="Times New Roman"/>
          <w:szCs w:val="20"/>
          <w:lang w:val="es-CR" w:eastAsia="zh-CN"/>
        </w:rPr>
      </w:pPr>
    </w:p>
    <w:p w14:paraId="465AF8CB" w14:textId="1938BDBC" w:rsidR="00AE50AA" w:rsidRPr="00CD68BA" w:rsidRDefault="00B51C9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vista de las consideraciones anteriores, la Corte concluye que el Estado violó el derecho a la integridad personal reconocido en el artículo 5.1 de la Convención Americana, en relación con el artículo 1.1 del mismo instrumento, en perjuicio de la señora Maria da Glória Sales Pimenta y los señores Geraldo Gomes Pimenta, Sérgio Sales Pimenta, Marcos Sales Pimenta, José Sales Pimenta, Rafael Sales Pimenta, André Sales Pimenta y Daniel Sales Pimenta.</w:t>
      </w:r>
    </w:p>
    <w:p w14:paraId="3D818974" w14:textId="77777777" w:rsidR="00C73FC9" w:rsidRPr="00CD68BA" w:rsidRDefault="00C73FC9" w:rsidP="00A06718">
      <w:pPr>
        <w:pStyle w:val="Prrafodelista"/>
        <w:autoSpaceDE w:val="0"/>
        <w:autoSpaceDN w:val="0"/>
        <w:adjustRightInd w:val="0"/>
        <w:spacing w:before="0" w:after="0"/>
        <w:ind w:left="0"/>
        <w:contextualSpacing w:val="0"/>
        <w:rPr>
          <w:szCs w:val="20"/>
          <w:lang w:val="es-CR"/>
        </w:rPr>
      </w:pPr>
    </w:p>
    <w:p w14:paraId="41A70F2D" w14:textId="414367ED" w:rsidR="00E97082" w:rsidRPr="00CD68BA" w:rsidRDefault="004F7ACE" w:rsidP="00A06718">
      <w:pPr>
        <w:pStyle w:val="Ttulo1"/>
        <w:spacing w:before="0" w:after="0"/>
        <w:rPr>
          <w:lang w:val="es-CR"/>
        </w:rPr>
      </w:pPr>
      <w:bookmarkStart w:id="151" w:name="_Toc470105125"/>
      <w:bookmarkStart w:id="152" w:name="_Toc114778799"/>
      <w:r w:rsidRPr="00CD68BA">
        <w:rPr>
          <w:lang w:val="es-CR"/>
        </w:rPr>
        <w:t>IX</w:t>
      </w:r>
      <w:r w:rsidR="00F0482A" w:rsidRPr="00CD68BA">
        <w:rPr>
          <w:lang w:val="es-CR"/>
        </w:rPr>
        <w:br/>
      </w:r>
      <w:r w:rsidR="00A721AE" w:rsidRPr="00CD68BA">
        <w:rPr>
          <w:lang w:val="es-CR"/>
        </w:rPr>
        <w:t>REPARACIONES</w:t>
      </w:r>
      <w:bookmarkStart w:id="153" w:name="_Toc459158159"/>
      <w:bookmarkStart w:id="154" w:name="_Toc470105132"/>
      <w:bookmarkEnd w:id="99"/>
      <w:bookmarkEnd w:id="100"/>
      <w:bookmarkEnd w:id="101"/>
      <w:bookmarkEnd w:id="102"/>
      <w:bookmarkEnd w:id="103"/>
      <w:bookmarkEnd w:id="151"/>
      <w:bookmarkEnd w:id="152"/>
    </w:p>
    <w:p w14:paraId="0E01147A" w14:textId="77777777" w:rsidR="00266281" w:rsidRPr="00CD68BA" w:rsidRDefault="00266281" w:rsidP="00A06718">
      <w:pPr>
        <w:spacing w:before="0" w:after="0"/>
        <w:rPr>
          <w:lang w:val="es-CR"/>
        </w:rPr>
      </w:pPr>
    </w:p>
    <w:p w14:paraId="133B4665" w14:textId="77777777" w:rsidR="003772F3" w:rsidRPr="00CD68BA" w:rsidRDefault="0035430C"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CD68BA">
        <w:rPr>
          <w:rStyle w:val="Refdenotaalpie"/>
          <w:lang w:val="es-CR"/>
        </w:rPr>
        <w:footnoteReference w:id="215"/>
      </w:r>
      <w:r w:rsidRPr="00CD68BA">
        <w:rPr>
          <w:lang w:val="es-CR"/>
        </w:rPr>
        <w:t>.</w:t>
      </w:r>
    </w:p>
    <w:p w14:paraId="6BF7C7C3" w14:textId="77777777" w:rsidR="003772F3" w:rsidRPr="00CD68BA" w:rsidRDefault="003772F3" w:rsidP="00A06718">
      <w:pPr>
        <w:pStyle w:val="Prrafodelista"/>
        <w:autoSpaceDE w:val="0"/>
        <w:autoSpaceDN w:val="0"/>
        <w:adjustRightInd w:val="0"/>
        <w:spacing w:before="0" w:after="0"/>
        <w:ind w:left="0"/>
        <w:contextualSpacing w:val="0"/>
        <w:rPr>
          <w:szCs w:val="20"/>
          <w:lang w:val="es-CR"/>
        </w:rPr>
      </w:pPr>
    </w:p>
    <w:p w14:paraId="1AC71301" w14:textId="77777777" w:rsidR="003772F3" w:rsidRPr="00CD68BA" w:rsidRDefault="0035430C"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 reparación del daño ocasionado por la infracción de una obligación internacional requiere, siempre que sea posible, la plena restitución (</w:t>
      </w:r>
      <w:r w:rsidRPr="00CD68BA">
        <w:rPr>
          <w:i/>
          <w:lang w:val="es-CR"/>
        </w:rPr>
        <w:t>restitutio in integrum</w:t>
      </w:r>
      <w:r w:rsidRPr="00CD68BA">
        <w:rPr>
          <w:lang w:val="es-CR"/>
        </w:rPr>
        <w:t>), que consiste en el restablecimiento de la situación anterior. De no ser factible, como ocurre en la mayoría de los casos de violaciones a derechos humanos, este Tribunal determinará medidas para garantizar los derechos conculcados y reparar las consecuencias que las infracciones produjeron</w:t>
      </w:r>
      <w:r w:rsidRPr="00CD68BA">
        <w:rPr>
          <w:rStyle w:val="Refdenotaalpie"/>
          <w:lang w:val="es-CR"/>
        </w:rPr>
        <w:footnoteReference w:id="216"/>
      </w:r>
      <w:r w:rsidRPr="00CD68BA">
        <w:rPr>
          <w:lang w:val="es-CR"/>
        </w:rPr>
        <w:t>. Por tanto, la Corte ha considerado la necesidad de otorgar diversas medidas de reparación, a fin de resarcir los daños de manera integral, por lo que</w:t>
      </w:r>
      <w:r w:rsidR="00DB02DC" w:rsidRPr="00CD68BA">
        <w:rPr>
          <w:lang w:val="es-CR"/>
        </w:rPr>
        <w:t>,</w:t>
      </w:r>
      <w:r w:rsidRPr="00CD68BA">
        <w:rPr>
          <w:lang w:val="es-CR"/>
        </w:rPr>
        <w:t xml:space="preserve"> además de las compensaciones pecuniarias, las medidas de restitución, rehabilitación, satisfacción y garantías de no repetición tienen especial relevancia por los daños ocasionados</w:t>
      </w:r>
      <w:r w:rsidRPr="00CD68BA">
        <w:rPr>
          <w:rStyle w:val="Refdenotaalpie"/>
          <w:lang w:val="es-CR"/>
        </w:rPr>
        <w:footnoteReference w:id="217"/>
      </w:r>
      <w:r w:rsidRPr="00CD68BA">
        <w:rPr>
          <w:lang w:val="es-CR"/>
        </w:rPr>
        <w:t>.</w:t>
      </w:r>
    </w:p>
    <w:p w14:paraId="063FA93B" w14:textId="77777777" w:rsidR="003772F3" w:rsidRPr="00CD68BA" w:rsidRDefault="003772F3" w:rsidP="00A06718">
      <w:pPr>
        <w:pStyle w:val="Prrafodelista"/>
        <w:spacing w:before="0" w:after="0"/>
        <w:contextualSpacing w:val="0"/>
        <w:rPr>
          <w:lang w:val="es-CR"/>
        </w:rPr>
      </w:pPr>
    </w:p>
    <w:p w14:paraId="159A5DEC" w14:textId="77777777" w:rsidR="003772F3" w:rsidRPr="00CD68BA" w:rsidRDefault="0035430C"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Este Tribunal ha establecido que las reparaciones deben tener un nexo causal con los hechos del caso, las violaciones declaradas, los daños acreditados, así como con las medidas solicitadas para reparar los daños respectivos. Por lo tanto, la Corte deberá observar dicha concurrencia para pronunciarse debidamente y conforme a derecho</w:t>
      </w:r>
      <w:r w:rsidRPr="00CD68BA">
        <w:rPr>
          <w:rStyle w:val="Refdenotaalpie"/>
          <w:rFonts w:cs="Verdana"/>
          <w:lang w:val="es-CR"/>
        </w:rPr>
        <w:footnoteReference w:id="218"/>
      </w:r>
      <w:r w:rsidRPr="00CD68BA">
        <w:rPr>
          <w:lang w:val="es-CR"/>
        </w:rPr>
        <w:t>.</w:t>
      </w:r>
    </w:p>
    <w:p w14:paraId="084C4849" w14:textId="77777777" w:rsidR="003772F3" w:rsidRPr="00CD68BA" w:rsidRDefault="003772F3" w:rsidP="00A06718">
      <w:pPr>
        <w:pStyle w:val="Prrafodelista"/>
        <w:spacing w:before="0" w:after="0"/>
        <w:contextualSpacing w:val="0"/>
        <w:rPr>
          <w:lang w:val="es-CR"/>
        </w:rPr>
      </w:pPr>
    </w:p>
    <w:p w14:paraId="37168DC2" w14:textId="62814E01" w:rsidR="004831AC" w:rsidRPr="00CD68BA" w:rsidRDefault="00D51E9D"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Tomando en cuenta las violaciones a la Convención Americana declaradas en los capítulos </w:t>
      </w:r>
      <w:r w:rsidRPr="00CD68BA">
        <w:rPr>
          <w:lang w:val="es-CR" w:eastAsia="es-ES_tradnl"/>
        </w:rPr>
        <w:t>anteriores</w:t>
      </w:r>
      <w:r w:rsidRPr="00CD68BA">
        <w:rPr>
          <w:lang w:val="es-CR"/>
        </w:rPr>
        <w:t>, a la luz de los criterios fijados en la jurisprudencia del Tribunal en relación con la naturaleza y alcances de la obligación de reparar</w:t>
      </w:r>
      <w:r w:rsidRPr="00CD68BA">
        <w:rPr>
          <w:rFonts w:eastAsia="Calibri"/>
          <w:vertAlign w:val="superscript"/>
          <w:lang w:val="es-CR"/>
        </w:rPr>
        <w:footnoteReference w:id="219"/>
      </w:r>
      <w:r w:rsidRPr="00CD68BA">
        <w:rPr>
          <w:lang w:val="es-CR"/>
        </w:rPr>
        <w:t>, la Corte analizará las pretensiones presentadas por la Comisión y los representantes, así como los argumentos del Estado al respecto, con el objeto de disponer a continuación las medidas tendientes a reparar dichas violaciones.</w:t>
      </w:r>
    </w:p>
    <w:p w14:paraId="16E006AA" w14:textId="77777777" w:rsidR="00017943" w:rsidRPr="00CD68BA" w:rsidRDefault="00017943" w:rsidP="00A06718">
      <w:pPr>
        <w:widowControl w:val="0"/>
        <w:tabs>
          <w:tab w:val="left" w:pos="567"/>
        </w:tabs>
        <w:adjustRightInd w:val="0"/>
        <w:spacing w:before="0" w:after="0"/>
        <w:textAlignment w:val="baseline"/>
        <w:rPr>
          <w:lang w:val="es-CR" w:bidi="en-US"/>
        </w:rPr>
      </w:pPr>
    </w:p>
    <w:p w14:paraId="6E8E16CD" w14:textId="153F66BF" w:rsidR="0035430C" w:rsidRPr="00CD68BA" w:rsidRDefault="0035430C" w:rsidP="00A06718">
      <w:pPr>
        <w:pStyle w:val="Estilo3"/>
        <w:numPr>
          <w:ilvl w:val="0"/>
          <w:numId w:val="7"/>
        </w:numPr>
        <w:spacing w:line="240" w:lineRule="auto"/>
      </w:pPr>
      <w:bookmarkStart w:id="155" w:name="_Toc114778800"/>
      <w:r w:rsidRPr="00CD68BA">
        <w:t>Parte Lesionada</w:t>
      </w:r>
      <w:bookmarkEnd w:id="155"/>
    </w:p>
    <w:p w14:paraId="5C0DB5A0" w14:textId="77777777" w:rsidR="0035430C" w:rsidRPr="00CD68BA" w:rsidRDefault="0035430C" w:rsidP="00A06718">
      <w:pPr>
        <w:pStyle w:val="Prrafodelista"/>
        <w:autoSpaceDE w:val="0"/>
        <w:autoSpaceDN w:val="0"/>
        <w:adjustRightInd w:val="0"/>
        <w:spacing w:before="0" w:after="0"/>
        <w:ind w:left="0"/>
        <w:contextualSpacing w:val="0"/>
        <w:rPr>
          <w:rFonts w:cs="Times New Roman"/>
          <w:szCs w:val="20"/>
          <w:lang w:val="es-CR"/>
        </w:rPr>
      </w:pPr>
    </w:p>
    <w:p w14:paraId="14FD9E68" w14:textId="2A3C4AC9" w:rsidR="0035430C" w:rsidRPr="00CD68BA" w:rsidRDefault="0035430C"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 xml:space="preserve">El Tribunal reitera que se considera parte lesionada, en los términos del artículo 63.1 de la Convención, a quien ha sido declarado víctima de la violación de algún derecho reconocido en la misma. Por lo tanto, la Corte considera como “parte lesionada” a </w:t>
      </w:r>
      <w:r w:rsidR="006650B1" w:rsidRPr="00CD68BA">
        <w:rPr>
          <w:rFonts w:cs="Verdana"/>
          <w:lang w:val="es-CR"/>
        </w:rPr>
        <w:t>Geraldo Gomes Pimenta</w:t>
      </w:r>
      <w:r w:rsidR="006650B1" w:rsidRPr="00CD68BA">
        <w:rPr>
          <w:rFonts w:eastAsia="Calibri"/>
          <w:vertAlign w:val="superscript"/>
          <w:lang w:val="es-CR"/>
        </w:rPr>
        <w:footnoteReference w:id="220"/>
      </w:r>
      <w:r w:rsidR="006650B1" w:rsidRPr="00CD68BA">
        <w:rPr>
          <w:rFonts w:cs="Verdana"/>
          <w:lang w:val="es-CR"/>
        </w:rPr>
        <w:t>, Maria da Glória Sales Pimenta</w:t>
      </w:r>
      <w:r w:rsidR="006650B1" w:rsidRPr="00CD68BA">
        <w:rPr>
          <w:rFonts w:eastAsia="Calibri"/>
          <w:vertAlign w:val="superscript"/>
          <w:lang w:val="es-CR"/>
        </w:rPr>
        <w:footnoteReference w:id="221"/>
      </w:r>
      <w:r w:rsidR="006650B1" w:rsidRPr="00CD68BA">
        <w:rPr>
          <w:rFonts w:cs="Verdana"/>
          <w:lang w:val="es-CR"/>
        </w:rPr>
        <w:t>, Sérgio Sales Pimenta, Marcos Sales Pimenta, José Sales Pimenta</w:t>
      </w:r>
      <w:r w:rsidR="009A2E74" w:rsidRPr="00CD68BA">
        <w:rPr>
          <w:rFonts w:eastAsia="Calibri"/>
          <w:vertAlign w:val="superscript"/>
          <w:lang w:val="es-CR"/>
        </w:rPr>
        <w:footnoteReference w:id="222"/>
      </w:r>
      <w:r w:rsidR="006650B1" w:rsidRPr="00CD68BA">
        <w:rPr>
          <w:rFonts w:cs="Verdana"/>
          <w:lang w:val="es-CR"/>
        </w:rPr>
        <w:t xml:space="preserve">, Rafael Sales Pimenta, André Sales Pimenta </w:t>
      </w:r>
      <w:r w:rsidR="00333A7A" w:rsidRPr="00CD68BA">
        <w:rPr>
          <w:rFonts w:cs="Verdana"/>
          <w:lang w:val="es-CR"/>
        </w:rPr>
        <w:t>y</w:t>
      </w:r>
      <w:r w:rsidR="006650B1" w:rsidRPr="00CD68BA">
        <w:rPr>
          <w:rFonts w:cs="Verdana"/>
          <w:lang w:val="es-CR"/>
        </w:rPr>
        <w:t xml:space="preserve"> Daniel Sales Pimenta</w:t>
      </w:r>
      <w:r w:rsidR="003C2C73" w:rsidRPr="00CD68BA">
        <w:rPr>
          <w:lang w:val="es-CR"/>
        </w:rPr>
        <w:t>, quienes en su carácter de víctimas de las violaciones declaradas en el capítulo VIII, serán beneficiarios de las reparaciones que la Corte ordene</w:t>
      </w:r>
      <w:r w:rsidRPr="00CD68BA">
        <w:rPr>
          <w:lang w:val="es-CR"/>
        </w:rPr>
        <w:t xml:space="preserve">. </w:t>
      </w:r>
    </w:p>
    <w:p w14:paraId="2FF240C2" w14:textId="0FBA7BFB" w:rsidR="004831AC" w:rsidRPr="00CD68BA" w:rsidRDefault="004831AC" w:rsidP="00A06718">
      <w:pPr>
        <w:pStyle w:val="Prrafodelista"/>
        <w:autoSpaceDE w:val="0"/>
        <w:autoSpaceDN w:val="0"/>
        <w:adjustRightInd w:val="0"/>
        <w:spacing w:before="0" w:after="0"/>
        <w:ind w:left="0"/>
        <w:contextualSpacing w:val="0"/>
        <w:rPr>
          <w:bCs/>
          <w:szCs w:val="20"/>
          <w:lang w:val="es-CR"/>
        </w:rPr>
      </w:pPr>
    </w:p>
    <w:p w14:paraId="45D9FC08" w14:textId="14F286FD" w:rsidR="0035430C" w:rsidRPr="00CD68BA" w:rsidRDefault="008D39E2" w:rsidP="00A06718">
      <w:pPr>
        <w:pStyle w:val="Estilo4"/>
        <w:numPr>
          <w:ilvl w:val="0"/>
          <w:numId w:val="7"/>
        </w:numPr>
      </w:pPr>
      <w:bookmarkStart w:id="156" w:name="_Toc114778801"/>
      <w:r w:rsidRPr="00CD68BA">
        <w:t>Obligación de investigar los hechos e identificar, juzgar y, en su caso, sancionar a los responsables</w:t>
      </w:r>
      <w:bookmarkEnd w:id="156"/>
      <w:r w:rsidR="003A0068" w:rsidRPr="00CD68BA">
        <w:t xml:space="preserve"> </w:t>
      </w:r>
    </w:p>
    <w:p w14:paraId="1EBB2FE3" w14:textId="06EBDA25" w:rsidR="0035430C" w:rsidRPr="00CD68BA" w:rsidRDefault="0035430C" w:rsidP="00A06718">
      <w:pPr>
        <w:spacing w:before="0" w:after="0"/>
        <w:rPr>
          <w:lang w:val="es-CR"/>
        </w:rPr>
      </w:pPr>
    </w:p>
    <w:p w14:paraId="72AAD294" w14:textId="38256E8D" w:rsidR="007029D3" w:rsidRPr="00CD68BA" w:rsidRDefault="001B2F4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La </w:t>
      </w:r>
      <w:r w:rsidRPr="00CD68BA">
        <w:rPr>
          <w:b/>
          <w:i/>
          <w:lang w:val="es-CR"/>
        </w:rPr>
        <w:t xml:space="preserve">Comisión </w:t>
      </w:r>
      <w:r w:rsidRPr="00CD68BA">
        <w:rPr>
          <w:lang w:val="es-CR"/>
        </w:rPr>
        <w:t>solicitó que la Corte ordene al estado realizar y concluir la investigación de manera diligente y efectiva, dentro de un plazo razonable a fin de esclarecer los hechos por completo, indicar todas las posibles responsabilidades materiales e intelectuales en los distintos niveles de decisión y ejecución, e imponer las sanciones que correspondan a las violaciones de derechos humanos, y adoptar todas las medidas pertinentes para proteger a las y los testigos y otros participantes en el proceso, en caso de que sea necesario. La Comisión indicó que la prescripción de los actos y alegadas omisiones del Estado no podrán invocarse para justificar el incumplimiento de esta medida.</w:t>
      </w:r>
    </w:p>
    <w:p w14:paraId="1DACD8B3" w14:textId="77777777" w:rsidR="007029D3" w:rsidRPr="00CD68BA" w:rsidRDefault="007029D3" w:rsidP="00A06718">
      <w:pPr>
        <w:pStyle w:val="Prrafodelista"/>
        <w:autoSpaceDE w:val="0"/>
        <w:autoSpaceDN w:val="0"/>
        <w:adjustRightInd w:val="0"/>
        <w:spacing w:before="0" w:after="0"/>
        <w:ind w:left="0"/>
        <w:contextualSpacing w:val="0"/>
        <w:rPr>
          <w:szCs w:val="20"/>
          <w:lang w:val="es-CR"/>
        </w:rPr>
      </w:pPr>
    </w:p>
    <w:p w14:paraId="6AD4EE3B" w14:textId="5329C162" w:rsidR="007029D3" w:rsidRPr="00CD68BA" w:rsidRDefault="001B2F4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Los </w:t>
      </w:r>
      <w:r w:rsidRPr="00CD68BA">
        <w:rPr>
          <w:b/>
          <w:i/>
          <w:lang w:val="es-CR"/>
        </w:rPr>
        <w:t xml:space="preserve">representantes </w:t>
      </w:r>
      <w:r w:rsidRPr="00CD68BA">
        <w:rPr>
          <w:lang w:val="es-CR"/>
        </w:rPr>
        <w:t>solicitaron que la Corte ordene al Estado i) investigar los hechos por medio de instituciones imparciales, independientes y competentes dentro de un plazo razonable, y a todas las personas involucradas en el caso (autores materiales, intelectuales y cómplices</w:t>
      </w:r>
      <w:r w:rsidR="002A5086" w:rsidRPr="00CD68BA">
        <w:rPr>
          <w:lang w:val="es-CR"/>
        </w:rPr>
        <w:t>)</w:t>
      </w:r>
      <w:r w:rsidRPr="00CD68BA">
        <w:rPr>
          <w:lang w:val="es-CR"/>
        </w:rPr>
        <w:t xml:space="preserve"> que participaron de forma mediata o inmediata en las amenazas y en el </w:t>
      </w:r>
      <w:r w:rsidR="00B91566" w:rsidRPr="00CD68BA">
        <w:rPr>
          <w:lang w:val="es-CR"/>
        </w:rPr>
        <w:t xml:space="preserve">homicidio </w:t>
      </w:r>
      <w:r w:rsidRPr="00CD68BA">
        <w:rPr>
          <w:lang w:val="es-CR"/>
        </w:rPr>
        <w:t xml:space="preserve">de Gabriel Sales Pimenta, identificando, investigando y procesando judicialmente a los posibles responsables; ii) investigar, y eventualmente sancionar a aquellos que actuaron de forma omisa, negligente o indulgente ante los deberes de investigar y sancionar su </w:t>
      </w:r>
      <w:r w:rsidR="00B91566" w:rsidRPr="00CD68BA">
        <w:rPr>
          <w:lang w:val="es-CR"/>
        </w:rPr>
        <w:t>homicidio</w:t>
      </w:r>
      <w:r w:rsidRPr="00CD68BA">
        <w:rPr>
          <w:lang w:val="es-CR"/>
        </w:rPr>
        <w:t>, promoviendo así, la impunidad de los responsables; iii) adoptar todas las medidas para proteger a las y los testigos y otros actores del proceso, en caso de ser necesario,</w:t>
      </w:r>
      <w:r w:rsidR="00207E88" w:rsidRPr="00CD68BA">
        <w:rPr>
          <w:lang w:val="es-CR"/>
        </w:rPr>
        <w:t xml:space="preserve"> y</w:t>
      </w:r>
      <w:r w:rsidRPr="00CD68BA">
        <w:rPr>
          <w:lang w:val="es-CR"/>
        </w:rPr>
        <w:t xml:space="preserve"> iv) garantizar el acceso y capacidad de actuar de los familiares de Gabriel Sales Pimenta en todas las etapas del proceso. Los representantes también solicitaron que la Corte le recordara al Estado que la figura de prescripción no imposibilita el cumplim</w:t>
      </w:r>
      <w:r w:rsidR="0093651E" w:rsidRPr="00CD68BA">
        <w:rPr>
          <w:lang w:val="es-CR"/>
        </w:rPr>
        <w:t>i</w:t>
      </w:r>
      <w:r w:rsidRPr="00CD68BA">
        <w:rPr>
          <w:lang w:val="es-CR"/>
        </w:rPr>
        <w:t>ento de esta medida.</w:t>
      </w:r>
      <w:r w:rsidR="00207E88" w:rsidRPr="00CD68BA">
        <w:rPr>
          <w:lang w:val="es-CR"/>
        </w:rPr>
        <w:t xml:space="preserve"> Por último, solicitaron a la Corte ordenar al Estado que divulgue pública y ampliamente los resultados de las investigaciones para que la sociedad brasileña los conozca.</w:t>
      </w:r>
    </w:p>
    <w:p w14:paraId="0A008EDA" w14:textId="77777777" w:rsidR="007029D3" w:rsidRPr="00CD68BA" w:rsidRDefault="007029D3" w:rsidP="00A06718">
      <w:pPr>
        <w:pStyle w:val="Prrafodelista"/>
        <w:autoSpaceDE w:val="0"/>
        <w:autoSpaceDN w:val="0"/>
        <w:adjustRightInd w:val="0"/>
        <w:spacing w:before="0" w:after="0"/>
        <w:ind w:left="0"/>
        <w:contextualSpacing w:val="0"/>
        <w:rPr>
          <w:szCs w:val="20"/>
          <w:lang w:val="es-CR"/>
        </w:rPr>
      </w:pPr>
    </w:p>
    <w:p w14:paraId="5DAFFA42" w14:textId="47ADA735" w:rsidR="007029D3" w:rsidRPr="00CD68BA" w:rsidRDefault="001B2F4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w:t>
      </w:r>
      <w:r w:rsidRPr="00CD68BA">
        <w:rPr>
          <w:b/>
          <w:i/>
          <w:lang w:val="es-CR"/>
        </w:rPr>
        <w:t xml:space="preserve">Estado </w:t>
      </w:r>
      <w:r w:rsidRPr="00CD68BA">
        <w:rPr>
          <w:lang w:val="es-CR"/>
        </w:rPr>
        <w:t>manifestó que las alegadas amenazas y muerte de Gabriel Sales Pimenta están fuera de la competencia temporal de la Corte. Indicó que la prescripción fue aplicada conforme a la Convención Americana y el derecho interno por lo que apartarse de su declaración sería una medida inadecuada. Agregó que no se comprobó que hubiera actos de negligencia o imprudentes por parte de los agentes estatales y que, por el contrario, todas las diligencias fueron efectuadas de manera rigurosa a fin de identificar a los autores y sancionarlos</w:t>
      </w:r>
      <w:r w:rsidR="006271D8" w:rsidRPr="00CD68BA">
        <w:rPr>
          <w:lang w:val="es-CR"/>
        </w:rPr>
        <w:t>.</w:t>
      </w:r>
    </w:p>
    <w:p w14:paraId="36E5AB68" w14:textId="77777777" w:rsidR="004E266E" w:rsidRPr="00CD68BA" w:rsidRDefault="004E266E" w:rsidP="00A06718">
      <w:pPr>
        <w:spacing w:before="0" w:after="0"/>
        <w:rPr>
          <w:szCs w:val="20"/>
          <w:lang w:val="es-CR"/>
        </w:rPr>
      </w:pPr>
    </w:p>
    <w:p w14:paraId="27A1D602" w14:textId="6BF46861" w:rsidR="003772F3" w:rsidRPr="00CD68BA" w:rsidRDefault="004E266E" w:rsidP="00A06718">
      <w:pPr>
        <w:pStyle w:val="Prrafodelista"/>
        <w:numPr>
          <w:ilvl w:val="0"/>
          <w:numId w:val="16"/>
        </w:numPr>
        <w:autoSpaceDE w:val="0"/>
        <w:autoSpaceDN w:val="0"/>
        <w:adjustRightInd w:val="0"/>
        <w:spacing w:before="0" w:after="0"/>
        <w:ind w:left="0" w:firstLine="0"/>
        <w:contextualSpacing w:val="0"/>
        <w:rPr>
          <w:bCs/>
          <w:szCs w:val="20"/>
          <w:lang w:val="es-CR"/>
        </w:rPr>
      </w:pPr>
      <w:r w:rsidRPr="00CD68BA">
        <w:rPr>
          <w:bCs/>
          <w:lang w:val="es-CR"/>
        </w:rPr>
        <w:t xml:space="preserve">La </w:t>
      </w:r>
      <w:r w:rsidRPr="00CD68BA">
        <w:rPr>
          <w:b/>
          <w:i/>
          <w:iCs/>
          <w:lang w:val="es-CR"/>
        </w:rPr>
        <w:t>Corte</w:t>
      </w:r>
      <w:r w:rsidRPr="00CD68BA">
        <w:rPr>
          <w:bCs/>
          <w:lang w:val="es-CR"/>
        </w:rPr>
        <w:t xml:space="preserve"> recuerda que en el presente caso </w:t>
      </w:r>
      <w:r w:rsidR="00B9490D" w:rsidRPr="00CD68BA">
        <w:rPr>
          <w:bCs/>
          <w:lang w:val="es-CR"/>
        </w:rPr>
        <w:t>se está</w:t>
      </w:r>
      <w:r w:rsidRPr="00CD68BA">
        <w:rPr>
          <w:bCs/>
          <w:lang w:val="es-CR"/>
        </w:rPr>
        <w:t xml:space="preserve"> ante </w:t>
      </w:r>
      <w:r w:rsidR="00D54D92" w:rsidRPr="00CD68BA">
        <w:rPr>
          <w:bCs/>
          <w:lang w:val="es-CR"/>
        </w:rPr>
        <w:t>la muerte</w:t>
      </w:r>
      <w:r w:rsidR="00786505" w:rsidRPr="00CD68BA">
        <w:rPr>
          <w:bCs/>
          <w:lang w:val="es-CR"/>
        </w:rPr>
        <w:t xml:space="preserve"> violent</w:t>
      </w:r>
      <w:r w:rsidR="002A573C" w:rsidRPr="00CD68BA">
        <w:rPr>
          <w:bCs/>
          <w:lang w:val="es-CR"/>
        </w:rPr>
        <w:t>a</w:t>
      </w:r>
      <w:r w:rsidRPr="00CD68BA">
        <w:rPr>
          <w:bCs/>
          <w:lang w:val="es-CR"/>
        </w:rPr>
        <w:t xml:space="preserve"> de un defensor de derechos humanos que velaba por la defensa de la tierra de</w:t>
      </w:r>
      <w:r w:rsidR="00C53AF8" w:rsidRPr="00CD68BA">
        <w:rPr>
          <w:bCs/>
          <w:lang w:val="es-CR"/>
        </w:rPr>
        <w:t xml:space="preserve"> trabajadoras y trabajadores rurales</w:t>
      </w:r>
      <w:r w:rsidRPr="00CD68BA">
        <w:rPr>
          <w:bCs/>
          <w:lang w:val="es-CR"/>
        </w:rPr>
        <w:t xml:space="preserve">, en un contexto de impunidad estructural en casos de muertes violentas de personas defensoras de derechos humanos. En el presente caso, es evidente que la negligencia grave de los operadores judiciales para llevar adelante una investigación </w:t>
      </w:r>
      <w:r w:rsidR="000018E7" w:rsidRPr="00CD68BA">
        <w:rPr>
          <w:bCs/>
          <w:lang w:val="es-CR"/>
        </w:rPr>
        <w:t xml:space="preserve">seria y efectiva </w:t>
      </w:r>
      <w:r w:rsidRPr="00CD68BA">
        <w:rPr>
          <w:bCs/>
          <w:lang w:val="es-CR"/>
        </w:rPr>
        <w:t xml:space="preserve">para esclarecer la verdad de lo sucedido con el señor Sales </w:t>
      </w:r>
      <w:r w:rsidR="003772F3" w:rsidRPr="00CD68BA">
        <w:rPr>
          <w:bCs/>
          <w:lang w:val="es-CR"/>
        </w:rPr>
        <w:t>Pimenta condujo</w:t>
      </w:r>
      <w:r w:rsidR="0066539A" w:rsidRPr="00CD68BA">
        <w:rPr>
          <w:bCs/>
          <w:lang w:val="es-CR"/>
        </w:rPr>
        <w:t xml:space="preserve"> a </w:t>
      </w:r>
      <w:r w:rsidRPr="00CD68BA">
        <w:rPr>
          <w:bCs/>
          <w:lang w:val="es-CR"/>
        </w:rPr>
        <w:t>que el trascurso del tiempo se trasformara en un aliado de la impunidad, toda vez que permitió que operara la prescripción (</w:t>
      </w:r>
      <w:r w:rsidRPr="00CD68BA">
        <w:rPr>
          <w:bCs/>
          <w:i/>
          <w:lang w:val="es-CR"/>
        </w:rPr>
        <w:t xml:space="preserve">supra </w:t>
      </w:r>
      <w:r w:rsidRPr="00CD68BA">
        <w:rPr>
          <w:bCs/>
          <w:lang w:val="es-CR"/>
        </w:rPr>
        <w:t xml:space="preserve">párrs. </w:t>
      </w:r>
      <w:r w:rsidR="00CF0D7A" w:rsidRPr="00CD68BA">
        <w:rPr>
          <w:bCs/>
          <w:lang w:val="es-CR"/>
        </w:rPr>
        <w:t>103, 104 y 120</w:t>
      </w:r>
      <w:r w:rsidRPr="00CD68BA">
        <w:rPr>
          <w:bCs/>
          <w:lang w:val="es-CR"/>
        </w:rPr>
        <w:t xml:space="preserve">). </w:t>
      </w:r>
    </w:p>
    <w:p w14:paraId="39B9EC05" w14:textId="77777777" w:rsidR="003772F3" w:rsidRPr="00CD68BA" w:rsidRDefault="003772F3" w:rsidP="00A06718">
      <w:pPr>
        <w:pStyle w:val="Prrafodelista"/>
        <w:autoSpaceDE w:val="0"/>
        <w:autoSpaceDN w:val="0"/>
        <w:adjustRightInd w:val="0"/>
        <w:spacing w:before="0" w:after="0"/>
        <w:ind w:left="0"/>
        <w:contextualSpacing w:val="0"/>
        <w:rPr>
          <w:bCs/>
          <w:szCs w:val="20"/>
          <w:lang w:val="es-CR"/>
        </w:rPr>
      </w:pPr>
    </w:p>
    <w:p w14:paraId="2FECDB51" w14:textId="24D78161" w:rsidR="003772F3" w:rsidRPr="00CD68BA" w:rsidRDefault="004E266E" w:rsidP="00A06718">
      <w:pPr>
        <w:pStyle w:val="Prrafodelista"/>
        <w:numPr>
          <w:ilvl w:val="0"/>
          <w:numId w:val="16"/>
        </w:numPr>
        <w:autoSpaceDE w:val="0"/>
        <w:autoSpaceDN w:val="0"/>
        <w:adjustRightInd w:val="0"/>
        <w:spacing w:before="0" w:after="0"/>
        <w:ind w:left="0" w:firstLine="0"/>
        <w:contextualSpacing w:val="0"/>
        <w:rPr>
          <w:bCs/>
          <w:szCs w:val="20"/>
          <w:lang w:val="es-CR"/>
        </w:rPr>
      </w:pPr>
      <w:r w:rsidRPr="00CD68BA">
        <w:rPr>
          <w:bCs/>
          <w:lang w:val="es-CR"/>
        </w:rPr>
        <w:t>El Tribunal reitera que los Estados tienen un deber de debida diligencia reforzada ante la muerte violenta de personas defensoras de derechos humanos por el rol esencial que éstas tienen para la democracia. En el presente caso, el proceso no se desarrolló con una debida diligencia reforzada</w:t>
      </w:r>
      <w:r w:rsidR="007F446D" w:rsidRPr="00CD68BA">
        <w:rPr>
          <w:bCs/>
          <w:lang w:val="es-CR"/>
        </w:rPr>
        <w:t>,</w:t>
      </w:r>
      <w:r w:rsidRPr="00CD68BA">
        <w:rPr>
          <w:bCs/>
          <w:lang w:val="es-CR"/>
        </w:rPr>
        <w:t xml:space="preserve"> sino todo lo contrario; hubo una negligencia grave de los operadores judiciales, circunstancia que permitió que se configurara una situación de impunidad absoluta</w:t>
      </w:r>
      <w:r w:rsidR="0066539A" w:rsidRPr="00CD68BA">
        <w:rPr>
          <w:bCs/>
          <w:lang w:val="es-CR"/>
        </w:rPr>
        <w:t>,</w:t>
      </w:r>
      <w:r w:rsidRPr="00CD68BA">
        <w:rPr>
          <w:bCs/>
          <w:lang w:val="es-CR"/>
        </w:rPr>
        <w:t xml:space="preserve"> acorde con el contexto de la época.</w:t>
      </w:r>
    </w:p>
    <w:p w14:paraId="640472C9" w14:textId="77777777" w:rsidR="005217D1" w:rsidRPr="00CD68BA" w:rsidRDefault="005217D1" w:rsidP="00A06718">
      <w:pPr>
        <w:spacing w:before="0" w:after="0"/>
        <w:rPr>
          <w:b/>
          <w:lang w:val="es-CR"/>
        </w:rPr>
      </w:pPr>
    </w:p>
    <w:p w14:paraId="1A038952" w14:textId="3F5A8A2E" w:rsidR="00592F74" w:rsidRPr="00CD68BA" w:rsidRDefault="00DE64B1" w:rsidP="00A06718">
      <w:pPr>
        <w:pStyle w:val="Prrafodelista"/>
        <w:numPr>
          <w:ilvl w:val="0"/>
          <w:numId w:val="16"/>
        </w:numPr>
        <w:spacing w:before="0" w:after="0"/>
        <w:ind w:left="0" w:firstLine="0"/>
        <w:contextualSpacing w:val="0"/>
        <w:rPr>
          <w:bCs/>
          <w:lang w:val="es-CR"/>
        </w:rPr>
      </w:pPr>
      <w:r w:rsidRPr="00CD68BA">
        <w:rPr>
          <w:bCs/>
          <w:lang w:val="es-CR"/>
        </w:rPr>
        <w:t>L</w:t>
      </w:r>
      <w:r w:rsidR="004E266E" w:rsidRPr="00CD68BA">
        <w:rPr>
          <w:bCs/>
          <w:lang w:val="es-CR"/>
        </w:rPr>
        <w:t xml:space="preserve">a Corte </w:t>
      </w:r>
      <w:r w:rsidR="004C1642" w:rsidRPr="00CD68BA">
        <w:rPr>
          <w:bCs/>
          <w:lang w:val="es-CR"/>
        </w:rPr>
        <w:t>ha advertido que existe una situación de impunidad estructural</w:t>
      </w:r>
      <w:r w:rsidR="0038509C" w:rsidRPr="00CD68BA">
        <w:rPr>
          <w:bCs/>
          <w:lang w:val="es-CR"/>
        </w:rPr>
        <w:t xml:space="preserve"> relacionada con</w:t>
      </w:r>
      <w:r w:rsidR="00195F92" w:rsidRPr="00CD68BA">
        <w:rPr>
          <w:bCs/>
          <w:lang w:val="es-CR"/>
        </w:rPr>
        <w:t xml:space="preserve"> la violencia contra </w:t>
      </w:r>
      <w:r w:rsidR="00AD74B8" w:rsidRPr="00CD68BA">
        <w:rPr>
          <w:bCs/>
          <w:lang w:val="es-CR"/>
        </w:rPr>
        <w:t xml:space="preserve">las personas </w:t>
      </w:r>
      <w:r w:rsidR="00195F92" w:rsidRPr="00CD68BA">
        <w:rPr>
          <w:bCs/>
          <w:lang w:val="es-CR"/>
        </w:rPr>
        <w:t>defensoras</w:t>
      </w:r>
      <w:r w:rsidR="00AD74B8" w:rsidRPr="00CD68BA">
        <w:rPr>
          <w:bCs/>
          <w:lang w:val="es-CR"/>
        </w:rPr>
        <w:t xml:space="preserve"> de derechos humanos de </w:t>
      </w:r>
      <w:r w:rsidR="00200CA9" w:rsidRPr="00CD68BA">
        <w:rPr>
          <w:bCs/>
          <w:lang w:val="es-CR"/>
        </w:rPr>
        <w:t xml:space="preserve">los </w:t>
      </w:r>
      <w:r w:rsidR="00AD74B8" w:rsidRPr="00CD68BA">
        <w:rPr>
          <w:bCs/>
          <w:lang w:val="es-CR"/>
        </w:rPr>
        <w:t>trabajadores rurales</w:t>
      </w:r>
      <w:r w:rsidR="004C1642" w:rsidRPr="00CD68BA">
        <w:rPr>
          <w:bCs/>
          <w:lang w:val="es-CR"/>
        </w:rPr>
        <w:t xml:space="preserve">, por lo tanto, </w:t>
      </w:r>
      <w:r w:rsidR="007F446D" w:rsidRPr="00CD68BA">
        <w:rPr>
          <w:bCs/>
          <w:lang w:val="es-CR"/>
        </w:rPr>
        <w:t>estima pertinente</w:t>
      </w:r>
      <w:r w:rsidR="004C1642" w:rsidRPr="00CD68BA">
        <w:rPr>
          <w:bCs/>
          <w:lang w:val="es-CR"/>
        </w:rPr>
        <w:t xml:space="preserve"> </w:t>
      </w:r>
      <w:r w:rsidR="004E266E" w:rsidRPr="00CD68BA">
        <w:rPr>
          <w:bCs/>
          <w:lang w:val="es-CR"/>
        </w:rPr>
        <w:t>ordena</w:t>
      </w:r>
      <w:r w:rsidR="004C1642" w:rsidRPr="00CD68BA">
        <w:rPr>
          <w:bCs/>
          <w:lang w:val="es-CR"/>
        </w:rPr>
        <w:t>r</w:t>
      </w:r>
      <w:r w:rsidR="004E266E" w:rsidRPr="00CD68BA">
        <w:rPr>
          <w:bCs/>
          <w:lang w:val="es-CR"/>
        </w:rPr>
        <w:t xml:space="preserve"> al Estado que cree un grupo de trabajo con la finalidad </w:t>
      </w:r>
      <w:r w:rsidR="004C1642" w:rsidRPr="00CD68BA">
        <w:rPr>
          <w:bCs/>
          <w:lang w:val="es-CR"/>
        </w:rPr>
        <w:t>de identificar las causas y circunstancias</w:t>
      </w:r>
      <w:r w:rsidR="00AD74B8" w:rsidRPr="00CD68BA">
        <w:rPr>
          <w:bCs/>
          <w:lang w:val="es-CR"/>
        </w:rPr>
        <w:t xml:space="preserve"> generadoras</w:t>
      </w:r>
      <w:r w:rsidR="004C1642" w:rsidRPr="00CD68BA">
        <w:rPr>
          <w:bCs/>
          <w:lang w:val="es-CR"/>
        </w:rPr>
        <w:t xml:space="preserve"> de dicha impunidad</w:t>
      </w:r>
      <w:r w:rsidR="00E423EE" w:rsidRPr="00CD68BA">
        <w:rPr>
          <w:bCs/>
          <w:lang w:val="es-CR"/>
        </w:rPr>
        <w:t xml:space="preserve"> </w:t>
      </w:r>
      <w:r w:rsidR="004C1642" w:rsidRPr="00CD68BA">
        <w:rPr>
          <w:bCs/>
          <w:lang w:val="es-CR"/>
        </w:rPr>
        <w:t>y elaborar líneas de acción que permitan subsanarla</w:t>
      </w:r>
      <w:r w:rsidR="00586173" w:rsidRPr="00CD68BA">
        <w:rPr>
          <w:bCs/>
          <w:lang w:val="es-CR"/>
        </w:rPr>
        <w:t>s</w:t>
      </w:r>
      <w:r w:rsidR="004C1642" w:rsidRPr="00CD68BA">
        <w:rPr>
          <w:bCs/>
          <w:lang w:val="es-CR"/>
        </w:rPr>
        <w:t xml:space="preserve">. </w:t>
      </w:r>
    </w:p>
    <w:p w14:paraId="6729CB22" w14:textId="77777777" w:rsidR="00592F74" w:rsidRPr="00CD68BA" w:rsidRDefault="00592F74" w:rsidP="00A06718">
      <w:pPr>
        <w:pStyle w:val="Prrafodelista"/>
        <w:spacing w:before="0" w:after="0"/>
        <w:contextualSpacing w:val="0"/>
        <w:rPr>
          <w:b/>
          <w:highlight w:val="yellow"/>
          <w:lang w:val="es-CR"/>
        </w:rPr>
      </w:pPr>
    </w:p>
    <w:p w14:paraId="1B10E61E" w14:textId="237CE1C1" w:rsidR="00736230" w:rsidRPr="00CD68BA" w:rsidRDefault="004E266E" w:rsidP="00A06718">
      <w:pPr>
        <w:pStyle w:val="Prrafodelista"/>
        <w:numPr>
          <w:ilvl w:val="0"/>
          <w:numId w:val="16"/>
        </w:numPr>
        <w:spacing w:before="0" w:after="0"/>
        <w:ind w:left="0" w:firstLine="0"/>
        <w:contextualSpacing w:val="0"/>
        <w:rPr>
          <w:bCs/>
          <w:lang w:val="es-CR"/>
        </w:rPr>
      </w:pPr>
      <w:r w:rsidRPr="00CD68BA">
        <w:rPr>
          <w:bCs/>
          <w:lang w:val="es-CR"/>
        </w:rPr>
        <w:t xml:space="preserve">El grupo de </w:t>
      </w:r>
      <w:r w:rsidR="00383BAE" w:rsidRPr="00CD68BA">
        <w:rPr>
          <w:bCs/>
          <w:lang w:val="es-CR"/>
        </w:rPr>
        <w:t>trabajo estará</w:t>
      </w:r>
      <w:r w:rsidR="009A659D" w:rsidRPr="00CD68BA">
        <w:rPr>
          <w:bCs/>
          <w:lang w:val="es-CR"/>
        </w:rPr>
        <w:t xml:space="preserve"> confor</w:t>
      </w:r>
      <w:r w:rsidR="00A24C7D" w:rsidRPr="00CD68BA">
        <w:rPr>
          <w:bCs/>
          <w:lang w:val="es-CR"/>
        </w:rPr>
        <w:t>m</w:t>
      </w:r>
      <w:r w:rsidR="009A659D" w:rsidRPr="00CD68BA">
        <w:rPr>
          <w:bCs/>
          <w:lang w:val="es-CR"/>
        </w:rPr>
        <w:t xml:space="preserve">ado por </w:t>
      </w:r>
      <w:r w:rsidR="003F4E48" w:rsidRPr="00CD68BA">
        <w:rPr>
          <w:bCs/>
          <w:lang w:val="es-CR"/>
        </w:rPr>
        <w:t xml:space="preserve">cinco </w:t>
      </w:r>
      <w:r w:rsidR="008F0409" w:rsidRPr="00CD68BA">
        <w:rPr>
          <w:bCs/>
          <w:lang w:val="es-CR"/>
        </w:rPr>
        <w:t xml:space="preserve">expertos y expertas </w:t>
      </w:r>
      <w:r w:rsidR="00E423EE" w:rsidRPr="00CD68BA">
        <w:rPr>
          <w:bCs/>
          <w:lang w:val="es-CR"/>
        </w:rPr>
        <w:t xml:space="preserve">con </w:t>
      </w:r>
      <w:r w:rsidR="009A659D" w:rsidRPr="00CD68BA">
        <w:rPr>
          <w:bCs/>
          <w:lang w:val="es-CR"/>
        </w:rPr>
        <w:t>la capacidad técnica</w:t>
      </w:r>
      <w:r w:rsidR="00A24C7D" w:rsidRPr="00CD68BA">
        <w:rPr>
          <w:bCs/>
          <w:lang w:val="es-CR"/>
        </w:rPr>
        <w:t>, la idoneidad</w:t>
      </w:r>
      <w:r w:rsidR="009A659D" w:rsidRPr="00CD68BA">
        <w:rPr>
          <w:bCs/>
          <w:lang w:val="es-CR"/>
        </w:rPr>
        <w:t xml:space="preserve"> </w:t>
      </w:r>
      <w:r w:rsidR="00A24C7D" w:rsidRPr="00CD68BA">
        <w:rPr>
          <w:bCs/>
          <w:lang w:val="es-CR"/>
        </w:rPr>
        <w:t xml:space="preserve">moral y los conocimientos específicos </w:t>
      </w:r>
      <w:r w:rsidR="009A659D" w:rsidRPr="00CD68BA">
        <w:rPr>
          <w:bCs/>
          <w:lang w:val="es-CR"/>
        </w:rPr>
        <w:t>para realizar</w:t>
      </w:r>
      <w:r w:rsidR="00E423EE" w:rsidRPr="00CD68BA">
        <w:rPr>
          <w:bCs/>
          <w:lang w:val="es-CR"/>
        </w:rPr>
        <w:t xml:space="preserve"> esta labor</w:t>
      </w:r>
      <w:r w:rsidR="00584840" w:rsidRPr="00CD68BA">
        <w:rPr>
          <w:bCs/>
          <w:lang w:val="es-CR"/>
        </w:rPr>
        <w:t xml:space="preserve">. </w:t>
      </w:r>
      <w:r w:rsidR="00B30198" w:rsidRPr="00CD68BA">
        <w:rPr>
          <w:bCs/>
          <w:lang w:val="es-CR"/>
        </w:rPr>
        <w:t>Uno de sus miembros será integrante de</w:t>
      </w:r>
      <w:r w:rsidR="00D91106" w:rsidRPr="00CD68BA">
        <w:rPr>
          <w:bCs/>
          <w:lang w:val="es-CR"/>
        </w:rPr>
        <w:t>l Consejo Nacional de Justicia</w:t>
      </w:r>
      <w:r w:rsidR="00B30198" w:rsidRPr="00CD68BA">
        <w:rPr>
          <w:bCs/>
          <w:lang w:val="es-CR"/>
        </w:rPr>
        <w:t xml:space="preserve">, quien </w:t>
      </w:r>
      <w:r w:rsidR="00701DD8" w:rsidRPr="00CD68BA">
        <w:rPr>
          <w:bCs/>
          <w:lang w:val="es-CR"/>
        </w:rPr>
        <w:t>ejercerá</w:t>
      </w:r>
      <w:r w:rsidR="00D91106" w:rsidRPr="00CD68BA">
        <w:rPr>
          <w:bCs/>
          <w:lang w:val="es-CR"/>
        </w:rPr>
        <w:t xml:space="preserve"> la coordinación del grupo</w:t>
      </w:r>
      <w:r w:rsidR="00701DD8" w:rsidRPr="00CD68BA">
        <w:rPr>
          <w:bCs/>
          <w:lang w:val="es-CR"/>
        </w:rPr>
        <w:t xml:space="preserve"> y facilitará su funcionamiento logístico</w:t>
      </w:r>
      <w:r w:rsidR="003F4E48" w:rsidRPr="00CD68BA">
        <w:rPr>
          <w:bCs/>
          <w:lang w:val="es-CR"/>
        </w:rPr>
        <w:t xml:space="preserve">. </w:t>
      </w:r>
      <w:r w:rsidR="00584840" w:rsidRPr="00CD68BA">
        <w:rPr>
          <w:bCs/>
          <w:lang w:val="es-CR"/>
        </w:rPr>
        <w:t>Para la selección de los/las cuatro integrantes restantes</w:t>
      </w:r>
      <w:r w:rsidR="00586173" w:rsidRPr="00CD68BA">
        <w:rPr>
          <w:bCs/>
          <w:lang w:val="es-CR"/>
        </w:rPr>
        <w:t>,</w:t>
      </w:r>
      <w:r w:rsidR="00584840" w:rsidRPr="00CD68BA">
        <w:rPr>
          <w:bCs/>
          <w:lang w:val="es-CR"/>
        </w:rPr>
        <w:t xml:space="preserve"> </w:t>
      </w:r>
      <w:r w:rsidR="00046104" w:rsidRPr="00CD68BA">
        <w:rPr>
          <w:bCs/>
          <w:lang w:val="es-CR"/>
        </w:rPr>
        <w:t>e</w:t>
      </w:r>
      <w:r w:rsidR="00E423EE" w:rsidRPr="00CD68BA">
        <w:rPr>
          <w:bCs/>
          <w:lang w:val="es-CR"/>
        </w:rPr>
        <w:t xml:space="preserve">l </w:t>
      </w:r>
      <w:r w:rsidR="003F4E48" w:rsidRPr="00CD68BA">
        <w:rPr>
          <w:bCs/>
          <w:lang w:val="es-CR"/>
        </w:rPr>
        <w:t>Estado y los representantes</w:t>
      </w:r>
      <w:r w:rsidR="00592F74" w:rsidRPr="00CD68BA">
        <w:rPr>
          <w:bCs/>
          <w:lang w:val="es-CR"/>
        </w:rPr>
        <w:t xml:space="preserve">, </w:t>
      </w:r>
      <w:r w:rsidR="00046104" w:rsidRPr="00CD68BA">
        <w:rPr>
          <w:bCs/>
          <w:lang w:val="es-CR"/>
        </w:rPr>
        <w:t xml:space="preserve">respectivamente, </w:t>
      </w:r>
      <w:r w:rsidR="00592F74" w:rsidRPr="00CD68BA">
        <w:rPr>
          <w:bCs/>
          <w:lang w:val="es-CR"/>
        </w:rPr>
        <w:t xml:space="preserve">en el plazo de </w:t>
      </w:r>
      <w:r w:rsidR="00046104" w:rsidRPr="00CD68BA">
        <w:rPr>
          <w:bCs/>
          <w:lang w:val="es-CR"/>
        </w:rPr>
        <w:t>seis</w:t>
      </w:r>
      <w:r w:rsidR="00592F74" w:rsidRPr="00CD68BA">
        <w:rPr>
          <w:bCs/>
          <w:lang w:val="es-CR"/>
        </w:rPr>
        <w:t xml:space="preserve"> meses, contados a partir de la notificación de esta Sentencia,</w:t>
      </w:r>
      <w:r w:rsidR="003F4E48" w:rsidRPr="00CD68BA">
        <w:rPr>
          <w:bCs/>
          <w:lang w:val="es-CR"/>
        </w:rPr>
        <w:t xml:space="preserve"> </w:t>
      </w:r>
      <w:r w:rsidR="00046104" w:rsidRPr="00CD68BA">
        <w:rPr>
          <w:bCs/>
          <w:lang w:val="es-CR"/>
        </w:rPr>
        <w:t xml:space="preserve">propondrán a la Corte </w:t>
      </w:r>
      <w:r w:rsidR="00701DD8" w:rsidRPr="00CD68BA">
        <w:rPr>
          <w:bCs/>
          <w:lang w:val="es-CR"/>
        </w:rPr>
        <w:t xml:space="preserve">una lista </w:t>
      </w:r>
      <w:r w:rsidR="00046104" w:rsidRPr="00CD68BA">
        <w:rPr>
          <w:bCs/>
          <w:lang w:val="es-CR"/>
        </w:rPr>
        <w:t xml:space="preserve">de </w:t>
      </w:r>
      <w:r w:rsidR="008F0409" w:rsidRPr="00CD68BA">
        <w:rPr>
          <w:bCs/>
          <w:lang w:val="es-CR"/>
        </w:rPr>
        <w:t>cuatro</w:t>
      </w:r>
      <w:r w:rsidR="00D91106" w:rsidRPr="00CD68BA">
        <w:rPr>
          <w:bCs/>
          <w:lang w:val="es-CR"/>
        </w:rPr>
        <w:t xml:space="preserve"> </w:t>
      </w:r>
      <w:r w:rsidR="00383BAE" w:rsidRPr="00CD68BA">
        <w:rPr>
          <w:bCs/>
          <w:lang w:val="es-CR"/>
        </w:rPr>
        <w:t>expertos</w:t>
      </w:r>
      <w:r w:rsidR="00584840" w:rsidRPr="00CD68BA">
        <w:rPr>
          <w:bCs/>
          <w:lang w:val="es-CR"/>
        </w:rPr>
        <w:t>/as</w:t>
      </w:r>
      <w:r w:rsidR="00D91106" w:rsidRPr="00CD68BA">
        <w:rPr>
          <w:bCs/>
          <w:lang w:val="es-CR"/>
        </w:rPr>
        <w:t xml:space="preserve"> independientes</w:t>
      </w:r>
      <w:r w:rsidR="008F0409" w:rsidRPr="00CD68BA">
        <w:rPr>
          <w:bCs/>
          <w:lang w:val="es-CR"/>
        </w:rPr>
        <w:t>, de los cuales la Corte, seleccionará</w:t>
      </w:r>
      <w:r w:rsidR="00584840" w:rsidRPr="00CD68BA">
        <w:rPr>
          <w:bCs/>
          <w:lang w:val="es-CR"/>
        </w:rPr>
        <w:t xml:space="preserve"> dos integrantes de cada una de las listas</w:t>
      </w:r>
      <w:r w:rsidR="00EC12C1" w:rsidRPr="00CD68BA">
        <w:rPr>
          <w:bCs/>
          <w:lang w:val="es-CR"/>
        </w:rPr>
        <w:t xml:space="preserve">. </w:t>
      </w:r>
      <w:r w:rsidR="00432088" w:rsidRPr="00CD68BA">
        <w:rPr>
          <w:bCs/>
          <w:lang w:val="es-CR"/>
        </w:rPr>
        <w:t>El grupo de trabajo deberá ser financiado por el Estado</w:t>
      </w:r>
      <w:r w:rsidR="00615637" w:rsidRPr="00CD68BA">
        <w:rPr>
          <w:bCs/>
          <w:lang w:val="es-CR"/>
        </w:rPr>
        <w:t xml:space="preserve">. A fin de cumplir con sus objetivos, </w:t>
      </w:r>
      <w:r w:rsidR="0038509C" w:rsidRPr="00CD68BA">
        <w:rPr>
          <w:bCs/>
          <w:lang w:val="es-CR"/>
        </w:rPr>
        <w:t>consultar</w:t>
      </w:r>
      <w:r w:rsidR="00046104" w:rsidRPr="00CD68BA">
        <w:rPr>
          <w:bCs/>
          <w:lang w:val="es-CR"/>
        </w:rPr>
        <w:t>á</w:t>
      </w:r>
      <w:r w:rsidR="0038509C" w:rsidRPr="00CD68BA">
        <w:rPr>
          <w:bCs/>
          <w:lang w:val="es-CR"/>
        </w:rPr>
        <w:t xml:space="preserve"> a </w:t>
      </w:r>
      <w:r w:rsidR="00432088" w:rsidRPr="00CD68BA">
        <w:rPr>
          <w:bCs/>
          <w:lang w:val="es-CR"/>
        </w:rPr>
        <w:t>órganos públicos, instituciones académicas</w:t>
      </w:r>
      <w:r w:rsidR="0038509C" w:rsidRPr="00CD68BA">
        <w:rPr>
          <w:bCs/>
          <w:lang w:val="es-CR"/>
        </w:rPr>
        <w:t xml:space="preserve"> y organizaciones </w:t>
      </w:r>
      <w:r w:rsidR="00CB0601" w:rsidRPr="00CD68BA">
        <w:rPr>
          <w:bCs/>
          <w:lang w:val="es-CR"/>
        </w:rPr>
        <w:t xml:space="preserve">de la sociedad civil </w:t>
      </w:r>
      <w:r w:rsidR="0038509C" w:rsidRPr="00CD68BA">
        <w:rPr>
          <w:bCs/>
          <w:lang w:val="es-CR"/>
        </w:rPr>
        <w:t>que pueda</w:t>
      </w:r>
      <w:r w:rsidR="00CA7B66" w:rsidRPr="00CD68BA">
        <w:rPr>
          <w:bCs/>
          <w:lang w:val="es-CR"/>
        </w:rPr>
        <w:t>n</w:t>
      </w:r>
      <w:r w:rsidR="0038509C" w:rsidRPr="00CD68BA">
        <w:rPr>
          <w:bCs/>
          <w:lang w:val="es-CR"/>
        </w:rPr>
        <w:t xml:space="preserve"> ofrecer</w:t>
      </w:r>
      <w:r w:rsidR="00CB0601" w:rsidRPr="00CD68BA">
        <w:rPr>
          <w:bCs/>
          <w:lang w:val="es-CR"/>
        </w:rPr>
        <w:t>le</w:t>
      </w:r>
      <w:r w:rsidR="0038509C" w:rsidRPr="00CD68BA">
        <w:rPr>
          <w:bCs/>
          <w:lang w:val="es-CR"/>
        </w:rPr>
        <w:t xml:space="preserve"> elementos de juicio</w:t>
      </w:r>
      <w:r w:rsidR="00046104" w:rsidRPr="00CD68BA">
        <w:rPr>
          <w:bCs/>
          <w:lang w:val="es-CR"/>
        </w:rPr>
        <w:t xml:space="preserve"> para elaborar su informe</w:t>
      </w:r>
      <w:r w:rsidR="006724A9" w:rsidRPr="00CD68BA">
        <w:rPr>
          <w:bCs/>
          <w:lang w:val="es-CR"/>
        </w:rPr>
        <w:t xml:space="preserve">. </w:t>
      </w:r>
      <w:r w:rsidR="00615637" w:rsidRPr="00CD68BA">
        <w:rPr>
          <w:bCs/>
          <w:lang w:val="es-CR"/>
        </w:rPr>
        <w:t xml:space="preserve">El Estado deberá garantizar plenamente el acceso a la información necesaria para que el grupo de trabajo pueda ejercer su tarea. </w:t>
      </w:r>
      <w:r w:rsidR="006724A9" w:rsidRPr="00CD68BA">
        <w:rPr>
          <w:bCs/>
          <w:lang w:val="es-CR"/>
        </w:rPr>
        <w:t>Las funciones del grupo de trabajo serán de carácter consultivo, orientador</w:t>
      </w:r>
      <w:r w:rsidR="00586173" w:rsidRPr="00CD68BA">
        <w:rPr>
          <w:bCs/>
          <w:lang w:val="es-CR"/>
        </w:rPr>
        <w:t xml:space="preserve"> y</w:t>
      </w:r>
      <w:r w:rsidR="006724A9" w:rsidRPr="00CD68BA">
        <w:rPr>
          <w:bCs/>
          <w:lang w:val="es-CR"/>
        </w:rPr>
        <w:t xml:space="preserve"> complementario de las actividades que tienen los organismos estatales, sin perjuicio de las funciones propias de los órganos del Estado. </w:t>
      </w:r>
    </w:p>
    <w:p w14:paraId="62BCEA05" w14:textId="77777777" w:rsidR="00736230" w:rsidRPr="00CD68BA" w:rsidRDefault="00736230" w:rsidP="00A06718">
      <w:pPr>
        <w:pStyle w:val="Prrafodelista"/>
        <w:spacing w:before="0" w:after="0"/>
        <w:ind w:left="0"/>
        <w:contextualSpacing w:val="0"/>
        <w:rPr>
          <w:bCs/>
          <w:lang w:val="es-CR"/>
        </w:rPr>
      </w:pPr>
    </w:p>
    <w:p w14:paraId="20ED78DB" w14:textId="4CDC4311" w:rsidR="004C1642" w:rsidRPr="00CD68BA" w:rsidRDefault="004E266E" w:rsidP="00A06718">
      <w:pPr>
        <w:pStyle w:val="Prrafodelista"/>
        <w:numPr>
          <w:ilvl w:val="0"/>
          <w:numId w:val="16"/>
        </w:numPr>
        <w:spacing w:before="0" w:after="0"/>
        <w:ind w:left="0" w:firstLine="0"/>
        <w:contextualSpacing w:val="0"/>
        <w:rPr>
          <w:bCs/>
          <w:lang w:val="es-CR"/>
        </w:rPr>
      </w:pPr>
      <w:r w:rsidRPr="00CD68BA">
        <w:rPr>
          <w:bCs/>
          <w:lang w:val="es-CR"/>
        </w:rPr>
        <w:t xml:space="preserve">El grupo tendrá </w:t>
      </w:r>
      <w:r w:rsidR="00F110B7" w:rsidRPr="00CD68BA">
        <w:rPr>
          <w:bCs/>
          <w:lang w:val="es-CR"/>
        </w:rPr>
        <w:t>dos</w:t>
      </w:r>
      <w:r w:rsidRPr="00CD68BA">
        <w:rPr>
          <w:bCs/>
          <w:lang w:val="es-CR"/>
        </w:rPr>
        <w:t xml:space="preserve"> año</w:t>
      </w:r>
      <w:r w:rsidR="00A36104" w:rsidRPr="00CD68BA">
        <w:rPr>
          <w:bCs/>
          <w:lang w:val="es-CR"/>
        </w:rPr>
        <w:t>s</w:t>
      </w:r>
      <w:r w:rsidRPr="00CD68BA">
        <w:rPr>
          <w:bCs/>
          <w:lang w:val="es-CR"/>
        </w:rPr>
        <w:t>, contado</w:t>
      </w:r>
      <w:r w:rsidR="00C0046D" w:rsidRPr="00CD68BA">
        <w:rPr>
          <w:bCs/>
          <w:lang w:val="es-CR"/>
        </w:rPr>
        <w:t>s</w:t>
      </w:r>
      <w:r w:rsidRPr="00CD68BA">
        <w:rPr>
          <w:bCs/>
          <w:lang w:val="es-CR"/>
        </w:rPr>
        <w:t xml:space="preserve"> a partir de su conformación, para rendir un informe definitivo</w:t>
      </w:r>
      <w:r w:rsidR="00BA40C2" w:rsidRPr="00CD68BA">
        <w:rPr>
          <w:bCs/>
          <w:lang w:val="es-CR"/>
        </w:rPr>
        <w:t xml:space="preserve"> ante la Corte</w:t>
      </w:r>
      <w:r w:rsidRPr="00CD68BA">
        <w:rPr>
          <w:bCs/>
          <w:lang w:val="es-CR"/>
        </w:rPr>
        <w:t>.</w:t>
      </w:r>
      <w:r w:rsidR="00736230" w:rsidRPr="00CD68BA">
        <w:rPr>
          <w:bCs/>
          <w:lang w:val="es-CR"/>
        </w:rPr>
        <w:t xml:space="preserve"> Dicho informe </w:t>
      </w:r>
      <w:r w:rsidR="00010C87" w:rsidRPr="00CD68BA">
        <w:rPr>
          <w:bCs/>
          <w:lang w:val="es-CR"/>
        </w:rPr>
        <w:t>será público y deberá ser puesto a disposición de los organismos estatales y de</w:t>
      </w:r>
      <w:r w:rsidR="00E15EA3" w:rsidRPr="00CD68BA">
        <w:rPr>
          <w:bCs/>
          <w:lang w:val="es-CR"/>
        </w:rPr>
        <w:t xml:space="preserve"> </w:t>
      </w:r>
      <w:r w:rsidR="00010C87" w:rsidRPr="00CD68BA">
        <w:rPr>
          <w:bCs/>
          <w:lang w:val="es-CR"/>
        </w:rPr>
        <w:t xml:space="preserve">la sociedad civil. </w:t>
      </w:r>
    </w:p>
    <w:p w14:paraId="03CCA91D" w14:textId="77777777" w:rsidR="002A45C4" w:rsidRPr="00CD68BA" w:rsidRDefault="002A45C4" w:rsidP="00A06718">
      <w:pPr>
        <w:autoSpaceDE w:val="0"/>
        <w:autoSpaceDN w:val="0"/>
        <w:adjustRightInd w:val="0"/>
        <w:spacing w:before="0" w:after="0"/>
        <w:rPr>
          <w:rFonts w:eastAsia="Times New Roman" w:cs="Times New Roman"/>
          <w:bCs/>
          <w:szCs w:val="20"/>
          <w:lang w:val="es-CR" w:eastAsia="es-CR"/>
        </w:rPr>
      </w:pPr>
    </w:p>
    <w:p w14:paraId="5D806339" w14:textId="77777777" w:rsidR="002A45C4" w:rsidRPr="00CD68BA" w:rsidRDefault="002A45C4" w:rsidP="00A06718">
      <w:pPr>
        <w:pStyle w:val="Ttulo2"/>
        <w:numPr>
          <w:ilvl w:val="1"/>
          <w:numId w:val="10"/>
        </w:numPr>
        <w:spacing w:before="0" w:after="0"/>
        <w:ind w:left="720" w:hanging="360"/>
        <w:rPr>
          <w:i w:val="0"/>
          <w:iCs/>
          <w:lang w:val="es-CR"/>
        </w:rPr>
      </w:pPr>
      <w:bookmarkStart w:id="157" w:name="_Toc114778802"/>
      <w:r w:rsidRPr="00CD68BA">
        <w:rPr>
          <w:i w:val="0"/>
          <w:iCs/>
          <w:lang w:val="es-CR"/>
        </w:rPr>
        <w:t>Medida de rehabilitación</w:t>
      </w:r>
      <w:bookmarkEnd w:id="157"/>
    </w:p>
    <w:p w14:paraId="216B698F" w14:textId="77777777" w:rsidR="002A45C4" w:rsidRPr="00CD68BA" w:rsidRDefault="002A45C4"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30BD6359" w14:textId="1505DE88" w:rsidR="002A45C4" w:rsidRPr="00CD68BA" w:rsidRDefault="002A45C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bidi="en-US"/>
        </w:rPr>
        <w:t xml:space="preserve">La </w:t>
      </w:r>
      <w:r w:rsidRPr="00CD68BA">
        <w:rPr>
          <w:b/>
          <w:i/>
          <w:lang w:val="es-CR" w:bidi="en-US"/>
        </w:rPr>
        <w:t xml:space="preserve">Comisión </w:t>
      </w:r>
      <w:r w:rsidRPr="00CD68BA">
        <w:rPr>
          <w:lang w:val="es-CR" w:bidi="en-US"/>
        </w:rPr>
        <w:t xml:space="preserve">solicitó a la Corte que ordene al Estado brindar las medidas de atención a la </w:t>
      </w:r>
      <w:r w:rsidRPr="00CD68BA">
        <w:rPr>
          <w:lang w:val="es-CR"/>
        </w:rPr>
        <w:t>salud física y mental necesarias para la rehabilitación de los familiares de Gabriel Sales Pimenta, si estos así lo desean</w:t>
      </w:r>
      <w:r w:rsidR="00586173" w:rsidRPr="00CD68BA">
        <w:rPr>
          <w:lang w:val="es-CR"/>
        </w:rPr>
        <w:t xml:space="preserve">, </w:t>
      </w:r>
      <w:r w:rsidRPr="00CD68BA">
        <w:rPr>
          <w:lang w:val="es-CR"/>
        </w:rPr>
        <w:t xml:space="preserve">y “con su acuerdo”. </w:t>
      </w:r>
    </w:p>
    <w:p w14:paraId="6C992359" w14:textId="77777777" w:rsidR="002A45C4" w:rsidRPr="00CD68BA" w:rsidRDefault="002A45C4" w:rsidP="00A06718">
      <w:pPr>
        <w:pStyle w:val="Prrafodelista"/>
        <w:autoSpaceDE w:val="0"/>
        <w:autoSpaceDN w:val="0"/>
        <w:adjustRightInd w:val="0"/>
        <w:spacing w:before="0" w:after="0"/>
        <w:ind w:left="0"/>
        <w:contextualSpacing w:val="0"/>
        <w:rPr>
          <w:szCs w:val="20"/>
          <w:lang w:val="es-CR"/>
        </w:rPr>
      </w:pPr>
    </w:p>
    <w:p w14:paraId="49EDFB40" w14:textId="1D36BA6F" w:rsidR="002A45C4" w:rsidRPr="00CD68BA" w:rsidRDefault="002A45C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sus alegatos finales escritos, los </w:t>
      </w:r>
      <w:r w:rsidRPr="00CD68BA">
        <w:rPr>
          <w:b/>
          <w:i/>
          <w:iCs/>
          <w:lang w:val="es-CR"/>
        </w:rPr>
        <w:t>representantes</w:t>
      </w:r>
      <w:r w:rsidRPr="00CD68BA">
        <w:rPr>
          <w:lang w:val="es-CR"/>
        </w:rPr>
        <w:t xml:space="preserve"> solicitaron ordenar que el Estado garantice el acceso a la atención médica y psicológica especializada en el tipo “de trauma vivido por las víctimas”, en caso de que estas así lo deseen y por el tiempo que fuera necesario a partir de una evaluación individual, y proveer los medicamentos y tratamientos necesarios. </w:t>
      </w:r>
    </w:p>
    <w:p w14:paraId="49CCB212" w14:textId="77777777" w:rsidR="002A45C4" w:rsidRPr="00CD68BA" w:rsidRDefault="002A45C4" w:rsidP="00A06718">
      <w:pPr>
        <w:pStyle w:val="Prrafodelista"/>
        <w:spacing w:before="0" w:after="0"/>
        <w:contextualSpacing w:val="0"/>
        <w:rPr>
          <w:lang w:val="es-CR"/>
        </w:rPr>
      </w:pPr>
    </w:p>
    <w:p w14:paraId="4CD844FD" w14:textId="3A2542E6" w:rsidR="002A45C4" w:rsidRPr="00CD68BA" w:rsidRDefault="002A45C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w:t>
      </w:r>
      <w:r w:rsidRPr="00CD68BA">
        <w:rPr>
          <w:b/>
          <w:i/>
          <w:lang w:val="es-CR"/>
        </w:rPr>
        <w:t xml:space="preserve">Estado </w:t>
      </w:r>
      <w:r w:rsidRPr="00CD68BA">
        <w:rPr>
          <w:lang w:val="es-CR"/>
        </w:rPr>
        <w:t xml:space="preserve">expuso que las presuntas víctimas cuentan con servicios de salud gratuitos cerca de sus localidades y conforme a sus necesidades específicas, como lo dispone el derecho interno. Puntualizó que los representantes no manifestaron que las presuntas víctimas hayan tenido algún impedimento o </w:t>
      </w:r>
      <w:r w:rsidR="00473DDA">
        <w:rPr>
          <w:lang w:val="es-CR"/>
        </w:rPr>
        <w:t xml:space="preserve">hayan </w:t>
      </w:r>
      <w:r w:rsidRPr="00CD68BA">
        <w:rPr>
          <w:lang w:val="es-CR"/>
        </w:rPr>
        <w:t xml:space="preserve">buscado atención y que, inclusive, durante el periodo de cumplimento de las recomendaciones de la Comisión, los representantes informaron que las presuntas víctimas no tenían necesidades específicas. </w:t>
      </w:r>
    </w:p>
    <w:p w14:paraId="21F62B09" w14:textId="77777777" w:rsidR="002A45C4" w:rsidRPr="00CD68BA" w:rsidRDefault="002A45C4" w:rsidP="00A06718">
      <w:pPr>
        <w:spacing w:before="0" w:after="0"/>
        <w:rPr>
          <w:lang w:val="es-CR"/>
        </w:rPr>
      </w:pPr>
    </w:p>
    <w:p w14:paraId="7BDDC7D7" w14:textId="0873D4D6" w:rsidR="002A45C4" w:rsidRPr="00CD68BA" w:rsidRDefault="002A45C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La </w:t>
      </w:r>
      <w:r w:rsidRPr="00CD68BA">
        <w:rPr>
          <w:b/>
          <w:i/>
          <w:iCs/>
          <w:lang w:val="es-CR"/>
        </w:rPr>
        <w:t xml:space="preserve">Corte </w:t>
      </w:r>
      <w:r w:rsidRPr="00CD68BA">
        <w:rPr>
          <w:lang w:val="es-CR"/>
        </w:rPr>
        <w:t>observa que, en su escrito de solicitudes y argumentos, los representantes no referenciaron asunto alguno respecto a la necesidad de las víctimas de obtener alguna medida de rehabilitación. No obstante, considerando que, por un lado, la Comisión solicitó medidas de rehabilitación y que, por otro, aquellos familiares considerados víctimas padecieron</w:t>
      </w:r>
      <w:r w:rsidR="00B9490D" w:rsidRPr="00CD68BA">
        <w:rPr>
          <w:lang w:val="es-CR"/>
        </w:rPr>
        <w:t xml:space="preserve"> o </w:t>
      </w:r>
      <w:r w:rsidRPr="00CD68BA">
        <w:rPr>
          <w:lang w:val="es-CR"/>
        </w:rPr>
        <w:t xml:space="preserve">padecen de un </w:t>
      </w:r>
      <w:r w:rsidRPr="00CD68BA">
        <w:rPr>
          <w:lang w:val="es-CR"/>
        </w:rPr>
        <w:lastRenderedPageBreak/>
        <w:t>sufrimiento adicional como resultado de la</w:t>
      </w:r>
      <w:r w:rsidR="0026365A" w:rsidRPr="00CD68BA">
        <w:rPr>
          <w:lang w:val="es-CR"/>
        </w:rPr>
        <w:t xml:space="preserve"> situación de impunidad en que se encuentra el homicidio de</w:t>
      </w:r>
      <w:r w:rsidRPr="00CD68BA">
        <w:rPr>
          <w:lang w:val="es-CR"/>
        </w:rPr>
        <w:t xml:space="preserve"> Gabriel Sales Pimenta</w:t>
      </w:r>
      <w:r w:rsidR="0026365A" w:rsidRPr="00CD68BA">
        <w:rPr>
          <w:lang w:val="es-CR"/>
        </w:rPr>
        <w:t>, en virtud de</w:t>
      </w:r>
      <w:r w:rsidRPr="00CD68BA">
        <w:rPr>
          <w:lang w:val="es-CR"/>
        </w:rPr>
        <w:t xml:space="preserve"> las actuaciones y omisiones estatales frente a</w:t>
      </w:r>
      <w:r w:rsidR="0026365A" w:rsidRPr="00CD68BA">
        <w:rPr>
          <w:lang w:val="es-CR"/>
        </w:rPr>
        <w:t>l delito</w:t>
      </w:r>
      <w:r w:rsidRPr="00CD68BA">
        <w:rPr>
          <w:lang w:val="es-CR"/>
        </w:rPr>
        <w:t xml:space="preserve"> (</w:t>
      </w:r>
      <w:r w:rsidRPr="00CD68BA">
        <w:rPr>
          <w:i/>
          <w:iCs/>
          <w:lang w:val="es-CR"/>
        </w:rPr>
        <w:t xml:space="preserve">supra </w:t>
      </w:r>
      <w:r w:rsidRPr="00CD68BA">
        <w:rPr>
          <w:lang w:val="es-CR"/>
        </w:rPr>
        <w:t xml:space="preserve">párrs. </w:t>
      </w:r>
      <w:r w:rsidR="00A655FB" w:rsidRPr="00CD68BA">
        <w:rPr>
          <w:lang w:val="es-CR"/>
        </w:rPr>
        <w:t>126</w:t>
      </w:r>
      <w:r w:rsidRPr="00CD68BA">
        <w:rPr>
          <w:i/>
          <w:iCs/>
          <w:lang w:val="es-CR"/>
        </w:rPr>
        <w:t xml:space="preserve"> </w:t>
      </w:r>
      <w:r w:rsidRPr="00CD68BA">
        <w:rPr>
          <w:lang w:val="es-CR"/>
        </w:rPr>
        <w:t>a</w:t>
      </w:r>
      <w:r w:rsidRPr="00CD68BA">
        <w:rPr>
          <w:i/>
          <w:iCs/>
          <w:lang w:val="es-CR"/>
        </w:rPr>
        <w:t xml:space="preserve"> </w:t>
      </w:r>
      <w:r w:rsidR="00A655FB" w:rsidRPr="00CD68BA">
        <w:rPr>
          <w:lang w:val="es-CR"/>
        </w:rPr>
        <w:t>133</w:t>
      </w:r>
      <w:r w:rsidRPr="00CD68BA">
        <w:rPr>
          <w:i/>
          <w:iCs/>
          <w:lang w:val="es-CR"/>
        </w:rPr>
        <w:t>)</w:t>
      </w:r>
      <w:r w:rsidRPr="00CD68BA">
        <w:rPr>
          <w:lang w:val="es-CR"/>
        </w:rPr>
        <w:t>, el Tribunal estima conveniente disponer que el Estado brinde tratamiento psicológico y/o psiquiátric</w:t>
      </w:r>
      <w:r w:rsidR="000872BD" w:rsidRPr="00CD68BA">
        <w:rPr>
          <w:lang w:val="es-CR"/>
        </w:rPr>
        <w:t>o</w:t>
      </w:r>
      <w:r w:rsidRPr="00CD68BA">
        <w:rPr>
          <w:lang w:val="es-CR"/>
        </w:rPr>
        <w:t xml:space="preserve"> gratuito, y de forma inmediata, adecuada y efectiva a través de sus instituciones de salud especializadas a los hermanos del señor Sales Pimenta identificados en la presente Sentencia y que así lo requieran. Asimismo, los tratamientos respectivos deberán prestarse, en la medida de lo posible, en los centros más cercanos a su lugar de residencia por el tiempo que sea necesario, e incluir el suministro de los medicamentos que eventualmente se requieran. Al proveer los tratamientos deberán considerarse las circunstancias y necesidades particulares de cada víctima, según lo que se acuerde con ella y después de una evaluación individual</w:t>
      </w:r>
      <w:r w:rsidRPr="00CD68BA">
        <w:rPr>
          <w:rStyle w:val="Refdenotaalpie"/>
          <w:lang w:val="es-CR"/>
        </w:rPr>
        <w:footnoteReference w:id="223"/>
      </w:r>
      <w:r w:rsidRPr="00CD68BA">
        <w:rPr>
          <w:lang w:val="es-CR"/>
        </w:rPr>
        <w:t>.</w:t>
      </w:r>
    </w:p>
    <w:p w14:paraId="06487F91" w14:textId="77777777" w:rsidR="002A45C4" w:rsidRPr="00CD68BA" w:rsidRDefault="002A45C4" w:rsidP="00A06718">
      <w:pPr>
        <w:pStyle w:val="Prrafodelista"/>
        <w:autoSpaceDE w:val="0"/>
        <w:autoSpaceDN w:val="0"/>
        <w:adjustRightInd w:val="0"/>
        <w:spacing w:before="0" w:after="0"/>
        <w:ind w:left="0"/>
        <w:contextualSpacing w:val="0"/>
        <w:rPr>
          <w:szCs w:val="20"/>
          <w:lang w:val="es-CR"/>
        </w:rPr>
      </w:pPr>
    </w:p>
    <w:p w14:paraId="6F931D11" w14:textId="159334DF" w:rsidR="002A45C4" w:rsidRPr="00CD68BA" w:rsidRDefault="002A45C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Las personas beneficiarias disponen de un plazo de seis meses, contado a partir de la notificación de la presente Sentencia, para confirmar al Estado su intención de recibir tratamiento psicológico y/o psiquiátrico</w:t>
      </w:r>
      <w:r w:rsidRPr="00CD68BA">
        <w:rPr>
          <w:rStyle w:val="Refdenotaalpie"/>
          <w:lang w:val="es-CR"/>
        </w:rPr>
        <w:footnoteReference w:id="224"/>
      </w:r>
      <w:r w:rsidRPr="00CD68BA">
        <w:rPr>
          <w:lang w:val="es-CR"/>
        </w:rPr>
        <w:t>. En caso contrario, el Estado no tendrá la obligación de cumplir con la presente medida de rehabilitación. A su vez, el Estado dispondrá de un plazo máximo de seis meses, contado a partir de la recepción de dicha solicitud, para brindar de manera efectiva la atención solicitada.</w:t>
      </w:r>
    </w:p>
    <w:p w14:paraId="01251613" w14:textId="77777777" w:rsidR="002A45C4" w:rsidRPr="00CD68BA" w:rsidRDefault="002A45C4" w:rsidP="00A06718">
      <w:pPr>
        <w:pStyle w:val="Prrafodelista"/>
        <w:widowControl w:val="0"/>
        <w:tabs>
          <w:tab w:val="left" w:pos="567"/>
        </w:tabs>
        <w:autoSpaceDE w:val="0"/>
        <w:autoSpaceDN w:val="0"/>
        <w:adjustRightInd w:val="0"/>
        <w:spacing w:before="0" w:after="0"/>
        <w:ind w:left="0"/>
        <w:contextualSpacing w:val="0"/>
        <w:textAlignment w:val="baseline"/>
        <w:rPr>
          <w:lang w:val="es-CR"/>
        </w:rPr>
      </w:pPr>
    </w:p>
    <w:p w14:paraId="4749B787" w14:textId="6E7A51D9" w:rsidR="003A0068" w:rsidRPr="00CD68BA" w:rsidRDefault="003A0068" w:rsidP="00A06718">
      <w:pPr>
        <w:pStyle w:val="Estilo3"/>
        <w:numPr>
          <w:ilvl w:val="0"/>
          <w:numId w:val="17"/>
        </w:numPr>
        <w:spacing w:line="240" w:lineRule="auto"/>
        <w:ind w:left="810" w:hanging="450"/>
      </w:pPr>
      <w:bookmarkStart w:id="158" w:name="_Toc114778803"/>
      <w:r w:rsidRPr="00CD68BA">
        <w:t>Medidas de</w:t>
      </w:r>
      <w:r w:rsidR="004D391B" w:rsidRPr="00CD68BA">
        <w:t xml:space="preserve"> </w:t>
      </w:r>
      <w:r w:rsidR="00DA608F" w:rsidRPr="00CD68BA">
        <w:t>s</w:t>
      </w:r>
      <w:r w:rsidRPr="00CD68BA">
        <w:t>atisfacción</w:t>
      </w:r>
      <w:bookmarkEnd w:id="158"/>
    </w:p>
    <w:p w14:paraId="583912A5" w14:textId="77777777" w:rsidR="00DA608F" w:rsidRPr="00CD68BA" w:rsidRDefault="00DA608F" w:rsidP="00A06718">
      <w:pPr>
        <w:pStyle w:val="Prrafodelista"/>
        <w:autoSpaceDE w:val="0"/>
        <w:autoSpaceDN w:val="0"/>
        <w:adjustRightInd w:val="0"/>
        <w:spacing w:before="0" w:after="0"/>
        <w:ind w:left="0"/>
        <w:contextualSpacing w:val="0"/>
        <w:rPr>
          <w:b/>
          <w:szCs w:val="20"/>
          <w:lang w:val="es-CR"/>
        </w:rPr>
      </w:pPr>
    </w:p>
    <w:p w14:paraId="735802F0" w14:textId="277D3B2C" w:rsidR="007029D3" w:rsidRPr="00CD68BA" w:rsidRDefault="006E0991"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La </w:t>
      </w:r>
      <w:r w:rsidRPr="00CD68BA">
        <w:rPr>
          <w:b/>
          <w:i/>
          <w:lang w:val="es-CR"/>
        </w:rPr>
        <w:t xml:space="preserve">Comisión </w:t>
      </w:r>
      <w:r w:rsidRPr="00CD68BA">
        <w:rPr>
          <w:lang w:val="es-CR"/>
        </w:rPr>
        <w:t>solicitó ordenar medidas de satisfacción que consideren los daños materiales e inmateriales provocados.</w:t>
      </w:r>
    </w:p>
    <w:p w14:paraId="309738A8" w14:textId="77777777" w:rsidR="007029D3" w:rsidRPr="00CD68BA" w:rsidRDefault="007029D3" w:rsidP="00A06718">
      <w:pPr>
        <w:pStyle w:val="Prrafodelista"/>
        <w:autoSpaceDE w:val="0"/>
        <w:autoSpaceDN w:val="0"/>
        <w:adjustRightInd w:val="0"/>
        <w:spacing w:before="0" w:after="0"/>
        <w:ind w:left="0"/>
        <w:contextualSpacing w:val="0"/>
        <w:rPr>
          <w:szCs w:val="20"/>
          <w:lang w:val="es-CR"/>
        </w:rPr>
      </w:pPr>
    </w:p>
    <w:p w14:paraId="023E3F26" w14:textId="35E9AA8D" w:rsidR="007029D3" w:rsidRPr="00CD68BA" w:rsidRDefault="006E0991"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Los </w:t>
      </w:r>
      <w:r w:rsidRPr="00CD68BA">
        <w:rPr>
          <w:b/>
          <w:i/>
          <w:lang w:val="es-CR"/>
        </w:rPr>
        <w:t xml:space="preserve">representantes </w:t>
      </w:r>
      <w:r w:rsidRPr="00CD68BA">
        <w:rPr>
          <w:lang w:val="es-CR"/>
        </w:rPr>
        <w:t>solicitaron que la Corte ordene al Estado las siguientes medidas: i)</w:t>
      </w:r>
      <w:r w:rsidR="00207E88" w:rsidRPr="00CD68BA">
        <w:rPr>
          <w:lang w:val="es-CR"/>
        </w:rPr>
        <w:t xml:space="preserve"> </w:t>
      </w:r>
      <w:r w:rsidRPr="00CD68BA">
        <w:rPr>
          <w:lang w:val="es-CR"/>
        </w:rPr>
        <w:t>realizar un acto público de reconocimiento de responsabilidad internacional y pedido de disculpas públicas</w:t>
      </w:r>
      <w:r w:rsidR="003E6953" w:rsidRPr="00CD68BA">
        <w:rPr>
          <w:lang w:val="es-CR"/>
        </w:rPr>
        <w:t>,</w:t>
      </w:r>
      <w:r w:rsidRPr="00CD68BA">
        <w:rPr>
          <w:lang w:val="es-CR"/>
        </w:rPr>
        <w:t xml:space="preserve"> que incluya la responsabilidad internacional del Estado por acción e inacción, especialmente, por la denegación de justicia</w:t>
      </w:r>
      <w:r w:rsidR="00207E88" w:rsidRPr="00CD68BA">
        <w:rPr>
          <w:lang w:val="es-CR"/>
        </w:rPr>
        <w:t>,</w:t>
      </w:r>
      <w:r w:rsidRPr="00CD68BA">
        <w:rPr>
          <w:lang w:val="es-CR"/>
        </w:rPr>
        <w:t xml:space="preserve"> que sea organizado con la participación de las víctimas e incluya la presencia de alta</w:t>
      </w:r>
      <w:r w:rsidR="00B55084" w:rsidRPr="00CD68BA">
        <w:rPr>
          <w:lang w:val="es-CR"/>
        </w:rPr>
        <w:t>s</w:t>
      </w:r>
      <w:r w:rsidRPr="00CD68BA">
        <w:rPr>
          <w:lang w:val="es-CR"/>
        </w:rPr>
        <w:t xml:space="preserve"> autoridades del sector público y de la sociedad civil involucradas en el combate de la violencia, así como, promover su divulgación en medios de comunicación a nivel nacional para garantizar que aquellas víctimas que no se puedan desplazar tengan la oportunidad de participar; ii) publicar los capítulos relativos a los hechos, el fondo y la parte resolutiva de la Sentencia en dos diarios de circulación nacional, y el texto integral de la Sentencia en el sitio </w:t>
      </w:r>
      <w:r w:rsidRPr="00CD68BA">
        <w:rPr>
          <w:i/>
          <w:iCs/>
          <w:lang w:val="es-CR"/>
        </w:rPr>
        <w:t>web</w:t>
      </w:r>
      <w:r w:rsidRPr="00CD68BA">
        <w:rPr>
          <w:lang w:val="es-CR"/>
        </w:rPr>
        <w:t xml:space="preserve"> del Ministerio Público y el Poder Judicial; i</w:t>
      </w:r>
      <w:r w:rsidR="00207E88" w:rsidRPr="00CD68BA">
        <w:rPr>
          <w:lang w:val="es-CR"/>
        </w:rPr>
        <w:t>ii</w:t>
      </w:r>
      <w:r w:rsidRPr="00CD68BA">
        <w:rPr>
          <w:lang w:val="es-CR"/>
        </w:rPr>
        <w:t xml:space="preserve">) nombrar a dos plazas con el nombre de Gabriel Sales Pimenta, en los municipios de Marabá, en el estado de Pará, y en </w:t>
      </w:r>
      <w:r w:rsidRPr="00CD68BA">
        <w:rPr>
          <w:i/>
          <w:lang w:val="es-CR"/>
        </w:rPr>
        <w:t>Juiz de Fora,</w:t>
      </w:r>
      <w:r w:rsidRPr="00CD68BA">
        <w:rPr>
          <w:lang w:val="es-CR"/>
        </w:rPr>
        <w:t xml:space="preserve"> en el estado de Minas Gerais, así como la instalación de bustos de Gabriel Sales Pimenta con una placa de bronce que explique su vida, en cada una de ellas; </w:t>
      </w:r>
      <w:r w:rsidR="00207E88" w:rsidRPr="00CD68BA">
        <w:rPr>
          <w:lang w:val="es-CR"/>
        </w:rPr>
        <w:t>i</w:t>
      </w:r>
      <w:r w:rsidRPr="00CD68BA">
        <w:rPr>
          <w:lang w:val="es-CR"/>
        </w:rPr>
        <w:t xml:space="preserve">v) modificar el nombre de la escuela municipal </w:t>
      </w:r>
      <w:r w:rsidR="00D62D06" w:rsidRPr="00CD68BA">
        <w:rPr>
          <w:lang w:val="es-CR"/>
        </w:rPr>
        <w:t>M.C.N.</w:t>
      </w:r>
      <w:r w:rsidRPr="00CD68BA">
        <w:rPr>
          <w:lang w:val="es-CR"/>
        </w:rPr>
        <w:t xml:space="preserve"> por Gabriel Sales Pimenta e instalar una placa de bronce en </w:t>
      </w:r>
      <w:r w:rsidR="00B55084" w:rsidRPr="00CD68BA">
        <w:rPr>
          <w:lang w:val="es-CR"/>
        </w:rPr>
        <w:t>la</w:t>
      </w:r>
      <w:r w:rsidRPr="00CD68BA">
        <w:rPr>
          <w:lang w:val="es-CR"/>
        </w:rPr>
        <w:t xml:space="preserve"> fachada de la escuela, explicando el cambio y la historia del señor Sales Pimenta, así como abstenerse de nombrar nuevos lugares públicos con el nombre de </w:t>
      </w:r>
      <w:r w:rsidR="00D62D06" w:rsidRPr="00CD68BA">
        <w:rPr>
          <w:lang w:val="es-CR"/>
        </w:rPr>
        <w:t>M.C.N.</w:t>
      </w:r>
      <w:r w:rsidRPr="00CD68BA">
        <w:rPr>
          <w:lang w:val="es-CR"/>
        </w:rPr>
        <w:t xml:space="preserve">, y v) crear un espacio público de memoria en la ciudad de </w:t>
      </w:r>
      <w:r w:rsidR="007D2A13">
        <w:rPr>
          <w:lang w:val="es-CR"/>
        </w:rPr>
        <w:t>Juiz de Fora</w:t>
      </w:r>
      <w:r w:rsidRPr="00CD68BA">
        <w:rPr>
          <w:lang w:val="es-CR"/>
        </w:rPr>
        <w:t>, con la anuencia de los familiares de Gabriel Sales Pimenta,</w:t>
      </w:r>
      <w:r w:rsidRPr="00CD68BA">
        <w:rPr>
          <w:b/>
          <w:lang w:val="es-CR"/>
        </w:rPr>
        <w:t xml:space="preserve"> </w:t>
      </w:r>
      <w:r w:rsidRPr="00CD68BA">
        <w:rPr>
          <w:lang w:val="es-CR"/>
        </w:rPr>
        <w:t>en el cual se valore, proteja y resguarde el activismo de las personas defensoras de derechos humanos en Brasil, entre ellos el de Gabriel Sales Pimenta.</w:t>
      </w:r>
    </w:p>
    <w:p w14:paraId="2C17D650" w14:textId="77777777" w:rsidR="007029D3" w:rsidRPr="00CD68BA" w:rsidRDefault="007029D3" w:rsidP="00A06718">
      <w:pPr>
        <w:pStyle w:val="Prrafodelista"/>
        <w:autoSpaceDE w:val="0"/>
        <w:autoSpaceDN w:val="0"/>
        <w:adjustRightInd w:val="0"/>
        <w:spacing w:before="0" w:after="0"/>
        <w:ind w:left="0"/>
        <w:contextualSpacing w:val="0"/>
        <w:rPr>
          <w:szCs w:val="20"/>
          <w:lang w:val="es-CR"/>
        </w:rPr>
      </w:pPr>
    </w:p>
    <w:p w14:paraId="0DFB9B4B" w14:textId="1CFC54EF" w:rsidR="007029D3" w:rsidRPr="00CD68BA" w:rsidRDefault="006E0991"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Posteriormente, en el escrito de alegatos finales escritos, los representantes hicieron constar que algunos de los familiares de Gabriel Sales Pimenta solicitaron erigir en la ciudad de Marabá, en el estado de Pará, un monumento para Gabriel Sales Pimenta “y otros defensores de derechos humanos”, y realizar una película o documental sobre “la vida y lucha” de Gabriel Sales Pimenta.</w:t>
      </w:r>
    </w:p>
    <w:p w14:paraId="453BB279" w14:textId="77777777" w:rsidR="007029D3" w:rsidRPr="00CD68BA" w:rsidRDefault="007029D3" w:rsidP="00A06718">
      <w:pPr>
        <w:pStyle w:val="Prrafodelista"/>
        <w:spacing w:before="0" w:after="0"/>
        <w:contextualSpacing w:val="0"/>
        <w:rPr>
          <w:lang w:val="es-CR"/>
        </w:rPr>
      </w:pPr>
    </w:p>
    <w:p w14:paraId="72DF23E0" w14:textId="6738C63B" w:rsidR="006E0991" w:rsidRPr="00CD68BA" w:rsidRDefault="006E0991"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 xml:space="preserve">El </w:t>
      </w:r>
      <w:r w:rsidRPr="00CD68BA">
        <w:rPr>
          <w:b/>
          <w:i/>
          <w:lang w:val="es-CR"/>
        </w:rPr>
        <w:t>Estado</w:t>
      </w:r>
      <w:r w:rsidRPr="00CD68BA">
        <w:rPr>
          <w:lang w:val="es-CR"/>
        </w:rPr>
        <w:t xml:space="preserve"> indicó que la ejecución de las medidas solicitadas es “excesivamente invasiva”. Además, señaló que </w:t>
      </w:r>
      <w:r w:rsidRPr="00CD68BA">
        <w:rPr>
          <w:lang w:val="es-CR" w:bidi="en-US"/>
        </w:rPr>
        <w:t>no ha cometido ninguna violación de derechos humanos relacionada con los hechos del presente caso, por lo que no hay razón para que la Corte establezca las medidas solicitadas.</w:t>
      </w:r>
    </w:p>
    <w:p w14:paraId="59C2AC11" w14:textId="38B1C6FF" w:rsidR="00450AFB" w:rsidRPr="00CD68BA" w:rsidRDefault="00450AFB" w:rsidP="00A06718">
      <w:pPr>
        <w:pStyle w:val="Prrafodelista"/>
        <w:autoSpaceDE w:val="0"/>
        <w:autoSpaceDN w:val="0"/>
        <w:adjustRightInd w:val="0"/>
        <w:spacing w:before="0" w:after="0"/>
        <w:ind w:left="0"/>
        <w:contextualSpacing w:val="0"/>
        <w:rPr>
          <w:rStyle w:val="markedcontent"/>
          <w:i/>
          <w:iCs/>
          <w:szCs w:val="20"/>
          <w:lang w:val="es-CR"/>
        </w:rPr>
      </w:pPr>
    </w:p>
    <w:p w14:paraId="1C4FE876" w14:textId="77777777" w:rsidR="00450AFB" w:rsidRPr="00CD68BA" w:rsidRDefault="00450AFB" w:rsidP="00A06718">
      <w:pPr>
        <w:pStyle w:val="Ttulo4"/>
        <w:spacing w:before="0" w:after="0"/>
        <w:ind w:left="1440" w:hanging="720"/>
        <w:rPr>
          <w:lang w:val="es-CR"/>
        </w:rPr>
      </w:pPr>
      <w:r w:rsidRPr="00CD68BA">
        <w:rPr>
          <w:lang w:val="es-CR" w:eastAsia="es-MX"/>
        </w:rPr>
        <w:t>Publicación de la Sentencia</w:t>
      </w:r>
    </w:p>
    <w:p w14:paraId="4095BA01" w14:textId="77777777" w:rsidR="00450AFB" w:rsidRPr="00CD68BA" w:rsidRDefault="00450AFB" w:rsidP="00A06718">
      <w:pPr>
        <w:pStyle w:val="PrrafodeSentencia"/>
      </w:pPr>
    </w:p>
    <w:p w14:paraId="4B0D889C" w14:textId="73E9658B" w:rsidR="00450AFB" w:rsidRPr="00CD68BA" w:rsidRDefault="00450AF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Este Tribunal, como lo ha hecho en otros casos</w:t>
      </w:r>
      <w:r w:rsidRPr="00CD68BA">
        <w:rPr>
          <w:rStyle w:val="Refdenotaalpie"/>
          <w:lang w:val="es-CR"/>
        </w:rPr>
        <w:footnoteReference w:id="225"/>
      </w:r>
      <w:r w:rsidRPr="00CD68BA">
        <w:rPr>
          <w:lang w:val="es-CR"/>
        </w:rPr>
        <w:t xml:space="preserve">, dispone que el Estado publique, en el plazo de seis meses, contado a partir de la notificación de este Fallo, en un tamaño de letra legible y adecuado: a) </w:t>
      </w:r>
      <w:r w:rsidR="00CC1DAB" w:rsidRPr="00CD68BA">
        <w:rPr>
          <w:lang w:val="es-CR"/>
        </w:rPr>
        <w:t>el resumen oficial de la Sentencia elaborado por la Corte, por una sola vez, en el Diario Oficial</w:t>
      </w:r>
      <w:r w:rsidR="00F55870" w:rsidRPr="00CD68BA">
        <w:rPr>
          <w:lang w:val="es-CR"/>
        </w:rPr>
        <w:t xml:space="preserve"> de la Unión y en el Diario Oficial del estado de Pará; b) </w:t>
      </w:r>
      <w:r w:rsidR="002E3913" w:rsidRPr="00CD68BA">
        <w:rPr>
          <w:lang w:val="es-CR"/>
        </w:rPr>
        <w:t xml:space="preserve">el resumen oficial de la presente Sentencia elaborado por la Corte, por una sola vez, en </w:t>
      </w:r>
      <w:r w:rsidR="0049035E" w:rsidRPr="00CD68BA">
        <w:rPr>
          <w:lang w:val="es-CR"/>
        </w:rPr>
        <w:t xml:space="preserve">un </w:t>
      </w:r>
      <w:r w:rsidR="002E3913" w:rsidRPr="00CD68BA">
        <w:rPr>
          <w:lang w:val="es-CR"/>
        </w:rPr>
        <w:t>diario de amplia circulación nacional</w:t>
      </w:r>
      <w:r w:rsidR="00F55870" w:rsidRPr="00CD68BA">
        <w:rPr>
          <w:lang w:val="es-CR"/>
        </w:rPr>
        <w:t>, y</w:t>
      </w:r>
      <w:r w:rsidRPr="00CD68BA">
        <w:rPr>
          <w:lang w:val="es-CR"/>
        </w:rPr>
        <w:t xml:space="preserve"> </w:t>
      </w:r>
      <w:r w:rsidR="00F55870" w:rsidRPr="00CD68BA">
        <w:rPr>
          <w:lang w:val="es-CR"/>
        </w:rPr>
        <w:t>c</w:t>
      </w:r>
      <w:r w:rsidRPr="00CD68BA">
        <w:rPr>
          <w:lang w:val="es-CR"/>
        </w:rPr>
        <w:t xml:space="preserve">) la presente Sentencia en su integridad, disponible por un período de </w:t>
      </w:r>
      <w:r w:rsidR="00234BE0" w:rsidRPr="00CD68BA">
        <w:rPr>
          <w:lang w:val="es-CR"/>
        </w:rPr>
        <w:t xml:space="preserve">al menos </w:t>
      </w:r>
      <w:r w:rsidRPr="00CD68BA">
        <w:rPr>
          <w:lang w:val="es-CR"/>
        </w:rPr>
        <w:t xml:space="preserve">un año, </w:t>
      </w:r>
      <w:r w:rsidR="00234BE0" w:rsidRPr="00CD68BA">
        <w:rPr>
          <w:lang w:val="es-CR"/>
        </w:rPr>
        <w:t>de manera accesible al público</w:t>
      </w:r>
      <w:r w:rsidR="00C3411B" w:rsidRPr="00CD68BA">
        <w:rPr>
          <w:lang w:val="es-CR"/>
        </w:rPr>
        <w:t>,</w:t>
      </w:r>
      <w:r w:rsidR="00FB27BE" w:rsidRPr="00CD68BA">
        <w:rPr>
          <w:lang w:val="es-CR"/>
        </w:rPr>
        <w:t xml:space="preserve"> mediante un</w:t>
      </w:r>
      <w:r w:rsidR="00C3411B" w:rsidRPr="00CD68BA">
        <w:rPr>
          <w:lang w:val="es-CR"/>
        </w:rPr>
        <w:t xml:space="preserve"> destacado</w:t>
      </w:r>
      <w:r w:rsidR="00FB27BE" w:rsidRPr="00CD68BA">
        <w:rPr>
          <w:lang w:val="es-CR"/>
        </w:rPr>
        <w:t xml:space="preserve"> </w:t>
      </w:r>
      <w:r w:rsidR="00C3411B" w:rsidRPr="00CD68BA">
        <w:rPr>
          <w:lang w:val="es-CR"/>
        </w:rPr>
        <w:t>(</w:t>
      </w:r>
      <w:r w:rsidR="00FB27BE" w:rsidRPr="00CD68BA">
        <w:rPr>
          <w:i/>
          <w:iCs/>
          <w:lang w:val="es-CR"/>
        </w:rPr>
        <w:t>banner</w:t>
      </w:r>
      <w:r w:rsidR="00137B75" w:rsidRPr="00CD68BA">
        <w:rPr>
          <w:i/>
          <w:iCs/>
          <w:lang w:val="es-CR"/>
        </w:rPr>
        <w:t>)</w:t>
      </w:r>
      <w:r w:rsidR="00383BAE" w:rsidRPr="00CD68BA">
        <w:rPr>
          <w:i/>
          <w:iCs/>
          <w:lang w:val="es-CR"/>
        </w:rPr>
        <w:t xml:space="preserve"> </w:t>
      </w:r>
      <w:r w:rsidR="00FB27BE" w:rsidRPr="00CD68BA">
        <w:rPr>
          <w:lang w:val="es-CR"/>
        </w:rPr>
        <w:t xml:space="preserve">ubicado en </w:t>
      </w:r>
      <w:r w:rsidRPr="00CD68BA">
        <w:rPr>
          <w:lang w:val="es-CR"/>
        </w:rPr>
        <w:t xml:space="preserve">la página de inicio del sitio </w:t>
      </w:r>
      <w:r w:rsidRPr="00CD68BA">
        <w:rPr>
          <w:i/>
          <w:iCs/>
          <w:lang w:val="es-CR"/>
        </w:rPr>
        <w:t>web</w:t>
      </w:r>
      <w:r w:rsidRPr="00CD68BA">
        <w:rPr>
          <w:lang w:val="es-CR"/>
        </w:rPr>
        <w:t xml:space="preserve"> del </w:t>
      </w:r>
      <w:r w:rsidR="00234BE0" w:rsidRPr="00CD68BA">
        <w:rPr>
          <w:lang w:val="es-CR"/>
        </w:rPr>
        <w:t>Gobierno Federal</w:t>
      </w:r>
      <w:r w:rsidR="008075F5" w:rsidRPr="00CD68BA">
        <w:rPr>
          <w:lang w:val="es-CR"/>
        </w:rPr>
        <w:t xml:space="preserve">, </w:t>
      </w:r>
      <w:r w:rsidR="00234BE0" w:rsidRPr="00CD68BA">
        <w:rPr>
          <w:lang w:val="es-CR"/>
        </w:rPr>
        <w:t xml:space="preserve">del </w:t>
      </w:r>
      <w:r w:rsidRPr="00CD68BA">
        <w:rPr>
          <w:lang w:val="es-CR"/>
        </w:rPr>
        <w:t>Ministerio Público y del Poder Judicial</w:t>
      </w:r>
      <w:r w:rsidR="00234BE0" w:rsidRPr="00CD68BA">
        <w:rPr>
          <w:lang w:val="es-CR"/>
        </w:rPr>
        <w:t xml:space="preserve"> del </w:t>
      </w:r>
      <w:r w:rsidR="00D05245" w:rsidRPr="00CD68BA">
        <w:rPr>
          <w:lang w:val="es-CR"/>
        </w:rPr>
        <w:t>e</w:t>
      </w:r>
      <w:r w:rsidR="00234BE0" w:rsidRPr="00CD68BA">
        <w:rPr>
          <w:lang w:val="es-CR"/>
        </w:rPr>
        <w:t>stado de Pará</w:t>
      </w:r>
      <w:r w:rsidRPr="00CD68BA">
        <w:rPr>
          <w:lang w:val="es-CR"/>
        </w:rPr>
        <w:t xml:space="preserve">. El Estado deberá informar de forma inmediata a este Tribunal una vez que proceda a realizar cada una de las publicaciones dispuestas, independientemente del plazo de un año para presentar su primer informe, conforme a lo señalado en el punto resolutivo </w:t>
      </w:r>
      <w:r w:rsidR="00BF3995" w:rsidRPr="00CD68BA">
        <w:rPr>
          <w:lang w:val="es-CR"/>
        </w:rPr>
        <w:t>19</w:t>
      </w:r>
      <w:r w:rsidRPr="00CD68BA">
        <w:rPr>
          <w:lang w:val="es-CR"/>
        </w:rPr>
        <w:t xml:space="preserve"> de est</w:t>
      </w:r>
      <w:r w:rsidR="00DC4F6B" w:rsidRPr="00CD68BA">
        <w:rPr>
          <w:lang w:val="es-CR"/>
        </w:rPr>
        <w:t>a Sentencia</w:t>
      </w:r>
      <w:r w:rsidRPr="00CD68BA">
        <w:rPr>
          <w:lang w:val="es-CR"/>
        </w:rPr>
        <w:t>.</w:t>
      </w:r>
      <w:r w:rsidR="002E05B0" w:rsidRPr="00CD68BA">
        <w:rPr>
          <w:lang w:val="es-CR"/>
        </w:rPr>
        <w:t xml:space="preserve"> </w:t>
      </w:r>
    </w:p>
    <w:p w14:paraId="613EB71D" w14:textId="77777777" w:rsidR="00450AFB" w:rsidRPr="00CD68BA" w:rsidRDefault="00450AFB" w:rsidP="00A06718">
      <w:pPr>
        <w:pStyle w:val="Prrafodelista"/>
        <w:spacing w:before="0" w:after="0"/>
        <w:ind w:left="0"/>
        <w:contextualSpacing w:val="0"/>
        <w:rPr>
          <w:szCs w:val="20"/>
          <w:lang w:val="es-CR"/>
        </w:rPr>
      </w:pPr>
    </w:p>
    <w:p w14:paraId="3E03C9B3" w14:textId="054DDC68" w:rsidR="00450AFB" w:rsidRPr="00CD68BA" w:rsidRDefault="0043702B" w:rsidP="00A06718">
      <w:pPr>
        <w:pStyle w:val="Ttulo4"/>
        <w:spacing w:before="0" w:after="0"/>
        <w:ind w:left="1440" w:hanging="720"/>
        <w:rPr>
          <w:lang w:val="es-CR"/>
        </w:rPr>
      </w:pPr>
      <w:r w:rsidRPr="00CD68BA">
        <w:rPr>
          <w:lang w:val="es-CR"/>
        </w:rPr>
        <w:t xml:space="preserve"> </w:t>
      </w:r>
      <w:r w:rsidR="00450AFB" w:rsidRPr="00CD68BA">
        <w:rPr>
          <w:lang w:val="es-CR"/>
        </w:rPr>
        <w:t xml:space="preserve">Acto público de reconocimiento de responsabilidad internacional </w:t>
      </w:r>
    </w:p>
    <w:p w14:paraId="19D73A84" w14:textId="0E819B1E" w:rsidR="00E37707" w:rsidRPr="00CD68BA" w:rsidRDefault="00E37707" w:rsidP="00A06718">
      <w:pPr>
        <w:pStyle w:val="Prrafodelista"/>
        <w:spacing w:before="0" w:after="0"/>
        <w:ind w:left="792"/>
        <w:contextualSpacing w:val="0"/>
        <w:rPr>
          <w:i/>
          <w:iCs/>
          <w:szCs w:val="20"/>
          <w:lang w:val="es-CR"/>
        </w:rPr>
      </w:pPr>
    </w:p>
    <w:p w14:paraId="0846191D" w14:textId="77043D2E" w:rsidR="00253210" w:rsidRPr="00CD68BA" w:rsidRDefault="00450AF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Con el fin de reparar el daño causado a las víctimas, y evitar que hechos como los de este caso se repitan, </w:t>
      </w:r>
      <w:r w:rsidR="00537E46" w:rsidRPr="00CD68BA">
        <w:rPr>
          <w:lang w:val="es-CR"/>
        </w:rPr>
        <w:t xml:space="preserve">especialmente teniendo en cuenta del </w:t>
      </w:r>
      <w:r w:rsidR="00537E46" w:rsidRPr="00CD68BA">
        <w:rPr>
          <w:i/>
          <w:iCs/>
          <w:lang w:val="es-CR"/>
        </w:rPr>
        <w:t>chilling effect</w:t>
      </w:r>
      <w:r w:rsidR="00537E46" w:rsidRPr="00CD68BA">
        <w:rPr>
          <w:lang w:val="es-CR"/>
        </w:rPr>
        <w:t xml:space="preserve"> que puede generar el homicidio de una persona defensora de derechos humanos y la impunidad en que el mismo se encuentra, </w:t>
      </w:r>
      <w:r w:rsidRPr="00CD68BA">
        <w:rPr>
          <w:lang w:val="es-CR"/>
        </w:rPr>
        <w:t xml:space="preserve">la Corte estima necesario ordenar que el Estado realice un acto público de reconocimiento de responsabilidad internacional en relación con los hechos del presente caso, en el plazo de un año a partir de la notificación de la presente Sentencia. En dicho acto, se deberá hacer referencia a las violaciones de los derechos humanos declaradas en los párrafos </w:t>
      </w:r>
      <w:r w:rsidR="00843D62" w:rsidRPr="00CD68BA">
        <w:rPr>
          <w:lang w:val="es-CR"/>
        </w:rPr>
        <w:t>119 y 120</w:t>
      </w:r>
      <w:r w:rsidRPr="00CD68BA">
        <w:rPr>
          <w:lang w:val="es-CR"/>
        </w:rPr>
        <w:t xml:space="preserve"> de </w:t>
      </w:r>
      <w:r w:rsidR="008075F5" w:rsidRPr="00CD68BA">
        <w:rPr>
          <w:lang w:val="es-CR"/>
        </w:rPr>
        <w:t xml:space="preserve">esta </w:t>
      </w:r>
      <w:r w:rsidRPr="00CD68BA">
        <w:rPr>
          <w:lang w:val="es-CR"/>
        </w:rPr>
        <w:t>Sentencia. Asimismo, deberá realizar “un reconocimiento expreso sobre la labor de las defensoras y defensores de derechos humanos, así como una condena expresa a todo tipo de atentados y delitos que se cometan contra ellas y ellos”</w:t>
      </w:r>
      <w:r w:rsidRPr="00CD68BA">
        <w:rPr>
          <w:rStyle w:val="Refdenotaalpie"/>
          <w:lang w:val="es-CR"/>
        </w:rPr>
        <w:footnoteReference w:id="226"/>
      </w:r>
      <w:r w:rsidR="007E0142" w:rsidRPr="00CD68BA">
        <w:rPr>
          <w:lang w:val="es-CR"/>
        </w:rPr>
        <w:t xml:space="preserve"> y respecto de la obligación de debida diligencia reforzada que tiene todas las autoridades estatales correspondientes de prevenir, investigar, procesar y sancionar </w:t>
      </w:r>
      <w:r w:rsidR="00843D62" w:rsidRPr="00CD68BA">
        <w:rPr>
          <w:lang w:val="es-CR"/>
        </w:rPr>
        <w:t xml:space="preserve">a </w:t>
      </w:r>
      <w:r w:rsidR="007E0142" w:rsidRPr="00CD68BA">
        <w:rPr>
          <w:lang w:val="es-CR"/>
        </w:rPr>
        <w:t>los responsables de amenazas, hostigamientos y homicidios de defensores/as de derechos humanos</w:t>
      </w:r>
      <w:r w:rsidRPr="00CD68BA">
        <w:rPr>
          <w:lang w:val="es-CR"/>
        </w:rPr>
        <w:t>. El referido acto, deberá llevarse a cabo mediante una ceremonia pública en presencia de las víctimas declaradas en este Fallo, si así lo desean, y de altos funcionarios del estado de Pará y el Gobierno Federal. Corresponderá al Gobierno local y Federal definir a quienes se encomienda tal tarea. Además, el Estado deberá invitar a organizaciones de la sociedad civil vinculadas con la lucha contra la violencia agraria en Brasil</w:t>
      </w:r>
      <w:r w:rsidRPr="00CD68BA">
        <w:rPr>
          <w:rStyle w:val="Refdenotaalpie"/>
          <w:lang w:val="es-CR"/>
        </w:rPr>
        <w:footnoteReference w:id="227"/>
      </w:r>
      <w:r w:rsidRPr="00CD68BA">
        <w:rPr>
          <w:lang w:val="es-CR"/>
        </w:rPr>
        <w:t>. La determinación de la fecha, el lugar y las modalidades del acto, deberán ser consultados y acordados previamente con las víctimas y/o sus representantes</w:t>
      </w:r>
      <w:r w:rsidRPr="00CD68BA">
        <w:rPr>
          <w:rStyle w:val="Refdenotaalpie"/>
          <w:lang w:val="es-CR"/>
        </w:rPr>
        <w:footnoteReference w:id="228"/>
      </w:r>
      <w:r w:rsidRPr="00CD68BA">
        <w:rPr>
          <w:lang w:val="es-CR"/>
        </w:rPr>
        <w:t xml:space="preserve">. </w:t>
      </w:r>
    </w:p>
    <w:p w14:paraId="78E44AFE" w14:textId="77777777" w:rsidR="00253210" w:rsidRPr="00CD68BA" w:rsidRDefault="00253210"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61947B8D" w14:textId="780F64D3" w:rsidR="00450AFB" w:rsidRPr="00CD68BA" w:rsidRDefault="00450AF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Además, a fin de contribuir a despertar la conciencia para prevenir y evitar la repetición de hechos lesivos como los ocurridos en el presente caso, la Corte ordena al Estado difundir dicho acto a través de algún medio televisivo</w:t>
      </w:r>
      <w:r w:rsidR="004A42BB" w:rsidRPr="00CD68BA">
        <w:rPr>
          <w:lang w:val="es-CR"/>
        </w:rPr>
        <w:t xml:space="preserve"> abierto y</w:t>
      </w:r>
      <w:r w:rsidRPr="00CD68BA">
        <w:rPr>
          <w:lang w:val="es-CR"/>
        </w:rPr>
        <w:t xml:space="preserve"> de alcance nacional</w:t>
      </w:r>
      <w:r w:rsidR="00C943D9" w:rsidRPr="00CD68BA">
        <w:rPr>
          <w:lang w:val="es-CR"/>
        </w:rPr>
        <w:t xml:space="preserve">, </w:t>
      </w:r>
      <w:r w:rsidRPr="00CD68BA">
        <w:rPr>
          <w:lang w:val="es-CR"/>
        </w:rPr>
        <w:t xml:space="preserve">y </w:t>
      </w:r>
      <w:r w:rsidR="00C943D9" w:rsidRPr="00CD68BA">
        <w:rPr>
          <w:lang w:val="es-CR"/>
        </w:rPr>
        <w:t xml:space="preserve">en </w:t>
      </w:r>
      <w:r w:rsidRPr="00CD68BA">
        <w:rPr>
          <w:lang w:val="es-CR"/>
        </w:rPr>
        <w:t>la red social de un órgano esta</w:t>
      </w:r>
      <w:r w:rsidR="004A42BB" w:rsidRPr="00CD68BA">
        <w:rPr>
          <w:lang w:val="es-CR"/>
        </w:rPr>
        <w:t>t</w:t>
      </w:r>
      <w:r w:rsidRPr="00CD68BA">
        <w:rPr>
          <w:lang w:val="es-CR"/>
        </w:rPr>
        <w:t>al de Pará</w:t>
      </w:r>
      <w:r w:rsidRPr="00CD68BA">
        <w:rPr>
          <w:rStyle w:val="Refdenotaalpie"/>
          <w:lang w:val="es-CR"/>
        </w:rPr>
        <w:footnoteReference w:id="229"/>
      </w:r>
      <w:r w:rsidRPr="00CD68BA">
        <w:rPr>
          <w:lang w:val="es-CR"/>
        </w:rPr>
        <w:t>.</w:t>
      </w:r>
    </w:p>
    <w:p w14:paraId="1854C184" w14:textId="77777777" w:rsidR="00450AFB" w:rsidRPr="00CD68BA" w:rsidRDefault="00450AFB" w:rsidP="00A06718">
      <w:pPr>
        <w:pStyle w:val="Prrafodelista"/>
        <w:spacing w:before="0" w:after="0"/>
        <w:ind w:left="0"/>
        <w:contextualSpacing w:val="0"/>
        <w:rPr>
          <w:b/>
          <w:bCs/>
          <w:i/>
          <w:iCs/>
          <w:szCs w:val="20"/>
          <w:lang w:val="es-CR"/>
        </w:rPr>
      </w:pPr>
    </w:p>
    <w:p w14:paraId="0690B102" w14:textId="4DBE7213" w:rsidR="00450AFB" w:rsidRPr="00CD68BA" w:rsidRDefault="0043702B" w:rsidP="00A06718">
      <w:pPr>
        <w:pStyle w:val="Ttulo4"/>
        <w:spacing w:before="0" w:after="0"/>
        <w:ind w:left="1440" w:hanging="720"/>
        <w:rPr>
          <w:lang w:val="es-CR"/>
        </w:rPr>
      </w:pPr>
      <w:r w:rsidRPr="00CD68BA">
        <w:rPr>
          <w:lang w:val="es-CR"/>
        </w:rPr>
        <w:t xml:space="preserve"> </w:t>
      </w:r>
      <w:r w:rsidR="00450AFB" w:rsidRPr="00CD68BA">
        <w:rPr>
          <w:lang w:val="es-CR"/>
        </w:rPr>
        <w:t xml:space="preserve">Actos de preservación de la memoria </w:t>
      </w:r>
    </w:p>
    <w:p w14:paraId="5FAAC068" w14:textId="4B3EFFE4" w:rsidR="00253210" w:rsidRPr="00CD68BA" w:rsidRDefault="00253210" w:rsidP="00A06718">
      <w:pPr>
        <w:pStyle w:val="Prrafodelista"/>
        <w:spacing w:before="0" w:after="0"/>
        <w:ind w:left="0"/>
        <w:contextualSpacing w:val="0"/>
        <w:rPr>
          <w:szCs w:val="20"/>
          <w:lang w:val="es-CR"/>
        </w:rPr>
      </w:pPr>
    </w:p>
    <w:p w14:paraId="2105A960" w14:textId="019BDC15" w:rsidR="00253210" w:rsidRPr="00CD68BA" w:rsidRDefault="00450AF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el presente caso se ha solicitado que se ordene al Estado nombr</w:t>
      </w:r>
      <w:r w:rsidR="00286D03" w:rsidRPr="00CD68BA">
        <w:rPr>
          <w:lang w:val="es-CR"/>
        </w:rPr>
        <w:t>ar a</w:t>
      </w:r>
      <w:r w:rsidRPr="00CD68BA">
        <w:rPr>
          <w:lang w:val="es-CR"/>
        </w:rPr>
        <w:t xml:space="preserve"> dos plazas con el nombre de Gabriel Sales Pimenta</w:t>
      </w:r>
      <w:r w:rsidR="00E9205F" w:rsidRPr="00CD68BA">
        <w:rPr>
          <w:lang w:val="es-CR"/>
        </w:rPr>
        <w:t xml:space="preserve"> y crear un espacio público de memoria en el cual se valorice, proteja y resguarde el activismo de las personas defensoras de derechos humanos en Brasil, entre ellos el de Gabriel Sales Pimenta</w:t>
      </w:r>
      <w:r w:rsidRPr="00CD68BA">
        <w:rPr>
          <w:lang w:val="es-CR"/>
        </w:rPr>
        <w:t xml:space="preserve"> </w:t>
      </w:r>
      <w:r w:rsidR="00BF16B5" w:rsidRPr="00CD68BA">
        <w:rPr>
          <w:lang w:val="es-CR"/>
        </w:rPr>
        <w:t>(</w:t>
      </w:r>
      <w:r w:rsidR="00BF16B5" w:rsidRPr="00CD68BA">
        <w:rPr>
          <w:i/>
          <w:iCs/>
          <w:lang w:val="es-CR"/>
        </w:rPr>
        <w:t>supra</w:t>
      </w:r>
      <w:r w:rsidR="00BF16B5" w:rsidRPr="00CD68BA">
        <w:rPr>
          <w:lang w:val="es-CR"/>
        </w:rPr>
        <w:t xml:space="preserve"> pár</w:t>
      </w:r>
      <w:r w:rsidR="00C943D9" w:rsidRPr="00CD68BA">
        <w:rPr>
          <w:lang w:val="es-CR"/>
        </w:rPr>
        <w:t>r</w:t>
      </w:r>
      <w:r w:rsidR="00BF16B5" w:rsidRPr="00CD68BA">
        <w:rPr>
          <w:lang w:val="es-CR"/>
        </w:rPr>
        <w:t xml:space="preserve">. </w:t>
      </w:r>
      <w:r w:rsidR="00C943D9" w:rsidRPr="00CD68BA">
        <w:rPr>
          <w:lang w:val="es-CR"/>
        </w:rPr>
        <w:t>154</w:t>
      </w:r>
      <w:r w:rsidR="00BF16B5" w:rsidRPr="00CD68BA">
        <w:rPr>
          <w:lang w:val="es-CR"/>
        </w:rPr>
        <w:t>)</w:t>
      </w:r>
      <w:r w:rsidRPr="00CD68BA">
        <w:rPr>
          <w:lang w:val="es-CR"/>
        </w:rPr>
        <w:t xml:space="preserve">. </w:t>
      </w:r>
    </w:p>
    <w:p w14:paraId="2A4047FD" w14:textId="77777777" w:rsidR="00253210" w:rsidRPr="00CD68BA" w:rsidRDefault="00253210"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2D42F8AA" w14:textId="405C0AEF" w:rsidR="00253210" w:rsidRPr="00CD68BA" w:rsidRDefault="00450AF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Ahora bien, este Tribunal considera que los actos de preservación de la memoria contribuyen a evitar la repetición de hechos lesivos y conservar la memoria de las víctimas</w:t>
      </w:r>
      <w:r w:rsidRPr="00CD68BA">
        <w:rPr>
          <w:rStyle w:val="Refdenotaalpie"/>
          <w:lang w:val="es-CR"/>
        </w:rPr>
        <w:footnoteReference w:id="230"/>
      </w:r>
      <w:r w:rsidRPr="00CD68BA">
        <w:rPr>
          <w:lang w:val="es-CR"/>
        </w:rPr>
        <w:t>. Además, la Corte coincide con lo señalado por la perita en este caso</w:t>
      </w:r>
      <w:r w:rsidRPr="00CD68BA">
        <w:rPr>
          <w:rStyle w:val="Refdenotaalpie"/>
          <w:lang w:val="es-CR"/>
        </w:rPr>
        <w:footnoteReference w:id="231"/>
      </w:r>
      <w:r w:rsidRPr="00CD68BA">
        <w:rPr>
          <w:lang w:val="es-CR"/>
        </w:rPr>
        <w:t xml:space="preserve">, en tanto que estas medidas sirven, por un lado, para “preservar y celebrar” la labor de las personas defensoras de derechos humanos, y por otro, poseen un potencial educacional sobre la importancia de su labor. </w:t>
      </w:r>
      <w:r w:rsidR="00E9205F" w:rsidRPr="00CD68BA">
        <w:rPr>
          <w:lang w:val="es-CR"/>
        </w:rPr>
        <w:t xml:space="preserve">En el presente caso, ante el contexto de violencia e impunidad relacionado con la lucha por la tierra en Brasil, los actos de preservación de la </w:t>
      </w:r>
      <w:r w:rsidR="005E4CCB" w:rsidRPr="00CD68BA">
        <w:rPr>
          <w:lang w:val="es-CR"/>
        </w:rPr>
        <w:t>memoria</w:t>
      </w:r>
      <w:r w:rsidR="00E9205F" w:rsidRPr="00CD68BA">
        <w:rPr>
          <w:lang w:val="es-CR"/>
        </w:rPr>
        <w:t xml:space="preserve"> tienen</w:t>
      </w:r>
      <w:r w:rsidR="005F639B" w:rsidRPr="00CD68BA">
        <w:rPr>
          <w:lang w:val="es-CR"/>
        </w:rPr>
        <w:t xml:space="preserve"> además un rol de sensibilizar </w:t>
      </w:r>
      <w:r w:rsidR="00077D8A" w:rsidRPr="00CD68BA">
        <w:rPr>
          <w:lang w:val="es-CR"/>
        </w:rPr>
        <w:t xml:space="preserve">a </w:t>
      </w:r>
      <w:r w:rsidR="005F639B" w:rsidRPr="00CD68BA">
        <w:rPr>
          <w:lang w:val="es-CR"/>
        </w:rPr>
        <w:t>la sociedad como un todo</w:t>
      </w:r>
      <w:r w:rsidR="00077D8A" w:rsidRPr="00CD68BA">
        <w:rPr>
          <w:lang w:val="es-CR"/>
        </w:rPr>
        <w:t>,</w:t>
      </w:r>
      <w:r w:rsidR="005F639B" w:rsidRPr="00CD68BA">
        <w:rPr>
          <w:lang w:val="es-CR"/>
        </w:rPr>
        <w:t xml:space="preserve"> respecto </w:t>
      </w:r>
      <w:r w:rsidR="00C943D9" w:rsidRPr="00CD68BA">
        <w:rPr>
          <w:lang w:val="es-CR"/>
        </w:rPr>
        <w:t>de</w:t>
      </w:r>
      <w:r w:rsidR="005F639B" w:rsidRPr="00CD68BA">
        <w:rPr>
          <w:lang w:val="es-CR"/>
        </w:rPr>
        <w:t xml:space="preserve"> </w:t>
      </w:r>
      <w:r w:rsidR="00C943D9" w:rsidRPr="00CD68BA">
        <w:rPr>
          <w:lang w:val="es-CR"/>
        </w:rPr>
        <w:t>tal</w:t>
      </w:r>
      <w:r w:rsidR="005F639B" w:rsidRPr="00CD68BA">
        <w:rPr>
          <w:lang w:val="es-CR"/>
        </w:rPr>
        <w:t xml:space="preserve"> situación.</w:t>
      </w:r>
    </w:p>
    <w:p w14:paraId="0596AF6C" w14:textId="77777777" w:rsidR="00253210" w:rsidRPr="00CD68BA" w:rsidRDefault="00253210" w:rsidP="00A06718">
      <w:pPr>
        <w:pStyle w:val="Prrafodelista"/>
        <w:spacing w:before="0" w:after="0"/>
        <w:contextualSpacing w:val="0"/>
        <w:rPr>
          <w:szCs w:val="20"/>
          <w:lang w:val="es-CR" w:eastAsia="es-ES"/>
        </w:rPr>
      </w:pPr>
    </w:p>
    <w:p w14:paraId="60BC7CE1" w14:textId="6EF8A40F" w:rsidR="00253210" w:rsidRPr="00CD68BA" w:rsidRDefault="00450AF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tal sentido, la Corte ordena </w:t>
      </w:r>
      <w:r w:rsidR="005F639B" w:rsidRPr="00CD68BA">
        <w:rPr>
          <w:lang w:val="es-CR"/>
        </w:rPr>
        <w:t>a</w:t>
      </w:r>
      <w:r w:rsidR="006668AF" w:rsidRPr="00CD68BA">
        <w:rPr>
          <w:lang w:val="es-CR"/>
        </w:rPr>
        <w:t xml:space="preserve">l Estado, en el plazo de </w:t>
      </w:r>
      <w:r w:rsidR="00077D8A" w:rsidRPr="00CD68BA">
        <w:rPr>
          <w:lang w:val="es-CR"/>
        </w:rPr>
        <w:t>un</w:t>
      </w:r>
      <w:r w:rsidR="006668AF" w:rsidRPr="00CD68BA">
        <w:rPr>
          <w:lang w:val="es-CR"/>
        </w:rPr>
        <w:t xml:space="preserve"> año</w:t>
      </w:r>
      <w:r w:rsidRPr="00CD68BA">
        <w:rPr>
          <w:lang w:val="es-CR"/>
        </w:rPr>
        <w:t xml:space="preserve">: 1) </w:t>
      </w:r>
      <w:bookmarkStart w:id="159" w:name="_Hlk105970516"/>
      <w:r w:rsidRPr="00CD68BA">
        <w:rPr>
          <w:lang w:val="es-CR"/>
        </w:rPr>
        <w:t>nombrar en el municipio de Marabá, en el estado de Pará, una plaza con el nombre de Gabriel Sales Pimenta</w:t>
      </w:r>
      <w:bookmarkEnd w:id="159"/>
      <w:r w:rsidRPr="00CD68BA">
        <w:rPr>
          <w:lang w:val="es-CR"/>
        </w:rPr>
        <w:t xml:space="preserve">. Asimismo, en un lugar visible de tal plaza, deberá instalarse una placa de bronce que indique </w:t>
      </w:r>
      <w:r w:rsidR="00681FD0" w:rsidRPr="00CD68BA">
        <w:rPr>
          <w:lang w:val="es-CR"/>
        </w:rPr>
        <w:t>el</w:t>
      </w:r>
      <w:r w:rsidRPr="00CD68BA">
        <w:rPr>
          <w:lang w:val="es-CR"/>
        </w:rPr>
        <w:t xml:space="preserve"> nombre completo </w:t>
      </w:r>
      <w:r w:rsidR="00681FD0" w:rsidRPr="00CD68BA">
        <w:rPr>
          <w:lang w:val="es-CR"/>
        </w:rPr>
        <w:t xml:space="preserve">de Gabriel Sales Pimenta </w:t>
      </w:r>
      <w:r w:rsidRPr="00CD68BA">
        <w:rPr>
          <w:lang w:val="es-CR"/>
        </w:rPr>
        <w:t>y explique brevemente su vida. Al respecto, la breve reseña biográfica deberá ser consultada y acordada previamente con las víctimas y/o sus representantes</w:t>
      </w:r>
      <w:r w:rsidR="005F639B" w:rsidRPr="00CD68BA">
        <w:rPr>
          <w:lang w:val="es-CR"/>
        </w:rPr>
        <w:t>, y</w:t>
      </w:r>
      <w:r w:rsidRPr="00CD68BA">
        <w:rPr>
          <w:lang w:val="es-CR"/>
        </w:rPr>
        <w:t xml:space="preserve"> 2) </w:t>
      </w:r>
      <w:r w:rsidR="005F639B" w:rsidRPr="00CD68BA">
        <w:rPr>
          <w:lang w:val="es-CR"/>
        </w:rPr>
        <w:t xml:space="preserve">crear un espacio público de memoria en la ciudad de </w:t>
      </w:r>
      <w:r w:rsidR="007D2A13">
        <w:rPr>
          <w:lang w:val="es-CR"/>
        </w:rPr>
        <w:t>Juiz de Fora</w:t>
      </w:r>
      <w:r w:rsidR="005F639B" w:rsidRPr="00CD68BA">
        <w:rPr>
          <w:lang w:val="es-CR"/>
        </w:rPr>
        <w:t xml:space="preserve">, con la anuencia de los familiares de Gabriel Sales Pimenta, en el cual se valore, proteja y resguarde el activismo de las personas defensoras de derechos humanos en Brasil, entre ellos el de Gabriel Sales Pimenta. </w:t>
      </w:r>
    </w:p>
    <w:p w14:paraId="6DA0C437" w14:textId="77777777" w:rsidR="00253210" w:rsidRPr="00CD68BA" w:rsidRDefault="00253210" w:rsidP="00A06718">
      <w:pPr>
        <w:pStyle w:val="Prrafodelista"/>
        <w:autoSpaceDE w:val="0"/>
        <w:autoSpaceDN w:val="0"/>
        <w:adjustRightInd w:val="0"/>
        <w:spacing w:before="0" w:after="0"/>
        <w:ind w:left="0"/>
        <w:contextualSpacing w:val="0"/>
        <w:rPr>
          <w:rFonts w:eastAsia="Times New Roman" w:cs="Times New Roman"/>
          <w:color w:val="FF0000"/>
          <w:szCs w:val="20"/>
          <w:lang w:val="es-CR" w:eastAsia="es-CR"/>
        </w:rPr>
      </w:pPr>
    </w:p>
    <w:p w14:paraId="5F89F124" w14:textId="4675C403" w:rsidR="00277464" w:rsidRPr="00CD68BA" w:rsidRDefault="00450AF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Finalmente, respecto a las reseñas biográficas que deberán contener las placas, en </w:t>
      </w:r>
      <w:r w:rsidR="0023335D" w:rsidRPr="00CD68BA">
        <w:rPr>
          <w:lang w:val="es-CR"/>
        </w:rPr>
        <w:t xml:space="preserve">la eventualidad que </w:t>
      </w:r>
      <w:r w:rsidRPr="00CD68BA">
        <w:rPr>
          <w:lang w:val="es-CR"/>
        </w:rPr>
        <w:t>las partes no lleg</w:t>
      </w:r>
      <w:r w:rsidR="0023335D" w:rsidRPr="00CD68BA">
        <w:rPr>
          <w:lang w:val="es-CR"/>
        </w:rPr>
        <w:t>uen</w:t>
      </w:r>
      <w:r w:rsidR="00A7748A" w:rsidRPr="00CD68BA">
        <w:rPr>
          <w:lang w:val="es-CR"/>
        </w:rPr>
        <w:t xml:space="preserve"> </w:t>
      </w:r>
      <w:r w:rsidRPr="00CD68BA">
        <w:rPr>
          <w:lang w:val="es-CR"/>
        </w:rPr>
        <w:t xml:space="preserve">a un consenso sobre el contenido y su extensión, la Corte establecerá tal reseña conforme a los hechos probados en el presente Fallo. </w:t>
      </w:r>
    </w:p>
    <w:p w14:paraId="36BD6683" w14:textId="77777777" w:rsidR="00277464" w:rsidRPr="00CD68BA" w:rsidRDefault="00277464" w:rsidP="00A06718">
      <w:pPr>
        <w:pStyle w:val="Prrafodelista"/>
        <w:spacing w:before="0" w:after="0"/>
        <w:ind w:left="0"/>
        <w:contextualSpacing w:val="0"/>
        <w:rPr>
          <w:b/>
          <w:bCs/>
          <w:i/>
          <w:iCs/>
          <w:szCs w:val="20"/>
          <w:lang w:val="es-CR"/>
        </w:rPr>
      </w:pPr>
    </w:p>
    <w:p w14:paraId="1B1292A5" w14:textId="4179E716" w:rsidR="00277464" w:rsidRPr="00CD68BA" w:rsidRDefault="00277464" w:rsidP="00A06718">
      <w:pPr>
        <w:pStyle w:val="Ttulo4"/>
        <w:spacing w:before="0" w:after="0"/>
        <w:ind w:left="1440" w:hanging="720"/>
        <w:rPr>
          <w:lang w:val="es-CR"/>
        </w:rPr>
      </w:pPr>
      <w:r w:rsidRPr="00CD68BA">
        <w:rPr>
          <w:lang w:val="es-CR"/>
        </w:rPr>
        <w:t xml:space="preserve"> Otras medidas de</w:t>
      </w:r>
      <w:r w:rsidR="00E51B9F" w:rsidRPr="00CD68BA">
        <w:rPr>
          <w:lang w:val="es-CR"/>
        </w:rPr>
        <w:t xml:space="preserve"> satisfacción</w:t>
      </w:r>
      <w:r w:rsidRPr="00CD68BA">
        <w:rPr>
          <w:lang w:val="es-CR"/>
        </w:rPr>
        <w:t xml:space="preserve"> solicitadas </w:t>
      </w:r>
    </w:p>
    <w:p w14:paraId="329074B9" w14:textId="77777777" w:rsidR="00277464" w:rsidRPr="00CD68BA" w:rsidRDefault="00277464" w:rsidP="00A06718">
      <w:pPr>
        <w:pStyle w:val="Prrafodelista"/>
        <w:spacing w:before="0" w:after="0"/>
        <w:ind w:left="0"/>
        <w:contextualSpacing w:val="0"/>
        <w:rPr>
          <w:szCs w:val="20"/>
          <w:lang w:val="es-CR"/>
        </w:rPr>
      </w:pPr>
    </w:p>
    <w:p w14:paraId="44592B5B" w14:textId="77777777" w:rsidR="007029D3" w:rsidRPr="00CD68BA" w:rsidRDefault="00E51B9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La Corte estima que la emisión de la presente Sentencia, así como las demás medidas ordenadas, resultan suficientes y adecuadas para remediar las violaciones sufridas por las víctimas. De este modo, no estima necesario ordenar las medidas </w:t>
      </w:r>
      <w:r w:rsidR="00853763" w:rsidRPr="00CD68BA">
        <w:rPr>
          <w:lang w:val="es-CR"/>
        </w:rPr>
        <w:t xml:space="preserve">de satisfacción </w:t>
      </w:r>
      <w:r w:rsidRPr="00CD68BA">
        <w:rPr>
          <w:lang w:val="es-CR"/>
        </w:rPr>
        <w:t>adicionales solicitadas por los representantes</w:t>
      </w:r>
      <w:r w:rsidR="007B14A9" w:rsidRPr="00CD68BA">
        <w:rPr>
          <w:rStyle w:val="Refdenotaalpie"/>
          <w:lang w:val="es-CR"/>
        </w:rPr>
        <w:footnoteReference w:id="232"/>
      </w:r>
      <w:r w:rsidRPr="00CD68BA">
        <w:rPr>
          <w:lang w:val="es-CR"/>
        </w:rPr>
        <w:t>.</w:t>
      </w:r>
    </w:p>
    <w:p w14:paraId="0FC0246B" w14:textId="77777777" w:rsidR="007029D3" w:rsidRPr="00CD68BA" w:rsidRDefault="007029D3" w:rsidP="00A06718">
      <w:pPr>
        <w:pStyle w:val="Prrafodelista"/>
        <w:autoSpaceDE w:val="0"/>
        <w:autoSpaceDN w:val="0"/>
        <w:adjustRightInd w:val="0"/>
        <w:spacing w:before="0" w:after="0"/>
        <w:ind w:left="0"/>
        <w:contextualSpacing w:val="0"/>
        <w:rPr>
          <w:szCs w:val="20"/>
          <w:lang w:val="es-CR"/>
        </w:rPr>
      </w:pPr>
    </w:p>
    <w:p w14:paraId="3BCAD1C9" w14:textId="1E8281F4" w:rsidR="00070353" w:rsidRPr="00CD68BA" w:rsidRDefault="00070353"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El Tribunal advierte que las medidas de satisfacción solicitadas por los representantes por primera vez en sus alegatos finales escritos</w:t>
      </w:r>
      <w:r w:rsidRPr="00CD68BA">
        <w:rPr>
          <w:rStyle w:val="Refdenotaalpie"/>
          <w:lang w:val="es-CR"/>
        </w:rPr>
        <w:footnoteReference w:id="233"/>
      </w:r>
      <w:r w:rsidRPr="00CD68BA">
        <w:rPr>
          <w:lang w:val="es-CR"/>
        </w:rPr>
        <w:t xml:space="preserve"> no pueden ser admitidas por extemporáneas. </w:t>
      </w:r>
      <w:r w:rsidR="00A70E4B" w:rsidRPr="00CD68BA">
        <w:rPr>
          <w:lang w:val="es-CR"/>
        </w:rPr>
        <w:t>En consecuencia, la Corte no se pronunciará al respecto.</w:t>
      </w:r>
    </w:p>
    <w:p w14:paraId="0DAFEF23" w14:textId="77777777" w:rsidR="008161CC" w:rsidRPr="00CD68BA" w:rsidRDefault="008161CC" w:rsidP="00A06718">
      <w:pPr>
        <w:spacing w:before="0" w:after="0"/>
        <w:rPr>
          <w:lang w:val="es-CR"/>
        </w:rPr>
      </w:pPr>
    </w:p>
    <w:p w14:paraId="55DDEC01" w14:textId="77777777" w:rsidR="00D05BDF" w:rsidRPr="00CD68BA" w:rsidRDefault="00D05BDF" w:rsidP="00A06718">
      <w:pPr>
        <w:pStyle w:val="Estilo3"/>
        <w:numPr>
          <w:ilvl w:val="0"/>
          <w:numId w:val="11"/>
        </w:numPr>
        <w:spacing w:line="240" w:lineRule="auto"/>
        <w:ind w:left="810" w:hanging="450"/>
      </w:pPr>
      <w:bookmarkStart w:id="160" w:name="_Toc114778804"/>
      <w:r w:rsidRPr="00CD68BA">
        <w:t>Garantías de no repetición</w:t>
      </w:r>
      <w:bookmarkEnd w:id="160"/>
    </w:p>
    <w:p w14:paraId="22A57D39" w14:textId="77777777" w:rsidR="004E4781" w:rsidRPr="00CD68BA" w:rsidRDefault="004E4781" w:rsidP="00A06718">
      <w:pPr>
        <w:pStyle w:val="Prrafodelista"/>
        <w:autoSpaceDE w:val="0"/>
        <w:autoSpaceDN w:val="0"/>
        <w:adjustRightInd w:val="0"/>
        <w:spacing w:before="0" w:after="0"/>
        <w:ind w:left="0"/>
        <w:contextualSpacing w:val="0"/>
        <w:rPr>
          <w:lang w:val="es-CR" w:eastAsia="es-ES" w:bidi="en-US"/>
        </w:rPr>
      </w:pPr>
    </w:p>
    <w:p w14:paraId="4B069DE0" w14:textId="1ED92A36" w:rsidR="004E4781"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bidi="en-US"/>
        </w:rPr>
        <w:lastRenderedPageBreak/>
        <w:t xml:space="preserve">La </w:t>
      </w:r>
      <w:r w:rsidRPr="00CD68BA">
        <w:rPr>
          <w:b/>
          <w:i/>
          <w:lang w:val="es-CR" w:bidi="en-US"/>
        </w:rPr>
        <w:t xml:space="preserve">Comisión </w:t>
      </w:r>
      <w:r w:rsidRPr="00CD68BA">
        <w:rPr>
          <w:lang w:val="es-CR"/>
        </w:rPr>
        <w:t xml:space="preserve">solicitó que la Corte ordene al Estado i) fortalecer el Programa de Protección de Defensores de Derechos Humanos, enfocándose en la prevención de actos de violencia contra personas defensoras de los derechos de los trabajadores rurales en Brasil; </w:t>
      </w:r>
      <w:bookmarkStart w:id="161" w:name="_Hlk104379995"/>
      <w:r w:rsidRPr="00CD68BA">
        <w:rPr>
          <w:lang w:val="es-CR"/>
        </w:rPr>
        <w:t>ii) un diagnóstico independiente, serio y efectivo de la situación de los defensores de derechos humanos en el contexto de los conflictos sobre tierras con el objetivo de adoptar medidas estructurales que permitan detectar y erradicar las fuentes de riesgo que enfrentan las y los defensores</w:t>
      </w:r>
      <w:bookmarkEnd w:id="161"/>
      <w:r w:rsidRPr="00CD68BA">
        <w:rPr>
          <w:lang w:val="es-CR"/>
        </w:rPr>
        <w:t>. El diagnóstico incluirá, entre otros aspectos, un análisis sobre la distribución inequitativa de tierras como causa estructural de la violencia, y iii) fortalecer la capacidad para investigar delitos contra personas defensoras de derechos humanos.</w:t>
      </w:r>
    </w:p>
    <w:p w14:paraId="11F1B848" w14:textId="77777777" w:rsidR="004E4781" w:rsidRPr="00CD68BA" w:rsidRDefault="004E4781"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6F2B4DB6" w14:textId="1143CC08" w:rsidR="007029D3"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Los </w:t>
      </w:r>
      <w:r w:rsidRPr="00CD68BA">
        <w:rPr>
          <w:b/>
          <w:i/>
          <w:lang w:val="es-CR"/>
        </w:rPr>
        <w:t xml:space="preserve">representantes </w:t>
      </w:r>
      <w:r w:rsidRPr="00CD68BA">
        <w:rPr>
          <w:lang w:val="es-CR"/>
        </w:rPr>
        <w:t>solicitaron que la Corte ordene al Estado i) crear un protocolo nacional de debida diligencia para la investigación de delitos contra las personas defensores de derechos humanos, el cual deberá regular, de forma integral, la actuación de los órganos involucrados en la investigación de delitos contra las y los defensores de derechos humanos, entre ellos el Ministerio Público, la Policía y el Poder Judicial, con el fin de alcanzar una respuesta adecuada, oportuna y célere. Asimismo, que considere la participación de la sociedad civil; ii) crear un sistema de información sobre las violaciones de derechos de personas defensoras de derechos humanos con informaciones específicas y detalladas sobre la respuesta estatal; iii) crear unidades especializadas dentro de los Ministerios Públicos, a nivel estatal y federal; iv) crear la “Comisión para enfrentar la Violencia contra los Defensores y Defensoras de Derechos Humanos” que tenga una composición plural y, cuyos casos y actividades sean divulgados; v) realizar cursos de capacitación para las autoridades encargadas de investigar violaciones contra las personas defensoras de derechos humanos a fin de efectuar investigaciones con la debida diligencia. Asimismo, con el fin de posibilitar una debida diligencia en las actuaciones, promover un curso sobre la protección de defensores</w:t>
      </w:r>
      <w:r w:rsidR="00831819" w:rsidRPr="00CD68BA">
        <w:rPr>
          <w:lang w:val="es-CR"/>
        </w:rPr>
        <w:t xml:space="preserve"> de</w:t>
      </w:r>
      <w:r w:rsidRPr="00CD68BA">
        <w:rPr>
          <w:lang w:val="es-CR"/>
        </w:rPr>
        <w:t xml:space="preserve"> derechos humanos, incluyendo aquellos que actúan en la defensa de la tierra. Por otra parte, los representantes secundaron la medida de fortalecimiento del Programa de Protección de Defensores de Derechos Humanos, solicitada por la Comisión. En particular, solicitaron la “formalización” del referido programa como política pública, que contara con la participación de la sociedad civil, y </w:t>
      </w:r>
      <w:r w:rsidR="00914E28" w:rsidRPr="00CD68BA">
        <w:rPr>
          <w:lang w:val="es-CR"/>
        </w:rPr>
        <w:t xml:space="preserve">que </w:t>
      </w:r>
      <w:r w:rsidRPr="00CD68BA">
        <w:rPr>
          <w:lang w:val="es-CR"/>
        </w:rPr>
        <w:t>se le dot</w:t>
      </w:r>
      <w:r w:rsidR="00914E28" w:rsidRPr="00CD68BA">
        <w:rPr>
          <w:lang w:val="es-CR"/>
        </w:rPr>
        <w:t>ar</w:t>
      </w:r>
      <w:r w:rsidR="008D3C5D" w:rsidRPr="00CD68BA">
        <w:rPr>
          <w:lang w:val="es-CR"/>
        </w:rPr>
        <w:t>a</w:t>
      </w:r>
      <w:r w:rsidRPr="00CD68BA">
        <w:rPr>
          <w:lang w:val="es-CR"/>
        </w:rPr>
        <w:t xml:space="preserve"> de un “presupuesto adecuado y amplio para los demás estados” de Brasil.</w:t>
      </w:r>
    </w:p>
    <w:p w14:paraId="520E4E9F" w14:textId="77777777" w:rsidR="007029D3" w:rsidRPr="00CD68BA" w:rsidRDefault="007029D3" w:rsidP="00A06718">
      <w:pPr>
        <w:pStyle w:val="Prrafodelista"/>
        <w:autoSpaceDE w:val="0"/>
        <w:autoSpaceDN w:val="0"/>
        <w:adjustRightInd w:val="0"/>
        <w:spacing w:before="0" w:after="0"/>
        <w:ind w:left="0"/>
        <w:contextualSpacing w:val="0"/>
        <w:rPr>
          <w:szCs w:val="20"/>
          <w:lang w:val="es-CR"/>
        </w:rPr>
      </w:pPr>
    </w:p>
    <w:p w14:paraId="5CB3B22C" w14:textId="2B3FC508" w:rsidR="00D00698"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El </w:t>
      </w:r>
      <w:r w:rsidRPr="00CD68BA">
        <w:rPr>
          <w:b/>
          <w:i/>
          <w:lang w:val="es-CR"/>
        </w:rPr>
        <w:t>Estado</w:t>
      </w:r>
      <w:r w:rsidRPr="00CD68BA">
        <w:rPr>
          <w:lang w:val="es-CR"/>
        </w:rPr>
        <w:t xml:space="preserve"> indicó que ya existe un sólido compromiso estatal de proteger a las personas defensoras de derechos humanos. Al respecto, señaló que existe una estructura estatal para protegerlos y combatir los conflictos y violencia en el campo A saber, informó sobre i) el Programa de Protección de Defensores de Derechos Humanos</w:t>
      </w:r>
      <w:r w:rsidR="008E7E81" w:rsidRPr="00CD68BA">
        <w:rPr>
          <w:lang w:val="es-CR"/>
        </w:rPr>
        <w:t>, Ambientalistas y Comunicadores Sociales</w:t>
      </w:r>
      <w:r w:rsidRPr="00CD68BA">
        <w:rPr>
          <w:lang w:val="es-CR"/>
        </w:rPr>
        <w:t>, el cual, según manifestó, se encuentra conforme a la Constitución de la República Federativa de Brasil y la Convención Americana, y sobre la base de una política pública de Estado (decreto no. 6. 044);</w:t>
      </w:r>
      <w:r w:rsidR="007042D9" w:rsidRPr="00CD68BA">
        <w:rPr>
          <w:lang w:val="es-CR"/>
        </w:rPr>
        <w:t xml:space="preserve"> </w:t>
      </w:r>
      <w:r w:rsidRPr="00CD68BA">
        <w:rPr>
          <w:lang w:val="es-CR"/>
        </w:rPr>
        <w:t>ii) instituciones relacionadas con el “combate de los conflictos y violencia en el campo”, como el Instituto de Investigación Económica Aplicada y el Instituto Nacional de Colonización y Reforma Agraria; iii) en el caso del estado de Pará, se cuenta con un Ombudsman en temas agrarios</w:t>
      </w:r>
      <w:r w:rsidR="004B275F" w:rsidRPr="00CD68BA">
        <w:rPr>
          <w:rStyle w:val="Refdenotaalpie"/>
          <w:lang w:val="es-CR"/>
        </w:rPr>
        <w:footnoteReference w:id="234"/>
      </w:r>
      <w:r w:rsidRPr="00CD68BA">
        <w:rPr>
          <w:lang w:val="es-CR"/>
        </w:rPr>
        <w:t xml:space="preserve">, “comisiones especializadas en conflictos agrarios”, </w:t>
      </w:r>
      <w:r w:rsidR="007042D9" w:rsidRPr="00CD68BA">
        <w:rPr>
          <w:lang w:val="es-CR"/>
        </w:rPr>
        <w:t>cinco</w:t>
      </w:r>
      <w:r w:rsidRPr="00CD68BA">
        <w:rPr>
          <w:lang w:val="es-CR"/>
        </w:rPr>
        <w:t xml:space="preserve"> unidades especializadas de la Policía Civil para atender conflictos en el campo, la Comisión de Mediación de Conflictos de Tierra, y el Sistema de Registro de Tierras, y iv) proyectos como el Sistema Nacional de Análisis Balístico. Además, en su escrito de alegatos finales escritos, señaló la existencia del Banco Nacional de Monitoreo de Prisiones, el nivel de ejecución del presupuesto asignado al Programa de Protección de Defensores de Derechos Humanos, así como su composición, la cantidad de personas beneficiadas y las formas en cómo participaría la sociedad civil en su ejecución</w:t>
      </w:r>
      <w:r w:rsidR="00AE28E6" w:rsidRPr="00CD68BA">
        <w:rPr>
          <w:lang w:val="es-CR"/>
        </w:rPr>
        <w:t>.</w:t>
      </w:r>
    </w:p>
    <w:p w14:paraId="74C71946" w14:textId="4715B4D4" w:rsidR="00D00698" w:rsidRPr="00CD68BA" w:rsidRDefault="00D00698" w:rsidP="00A06718">
      <w:pPr>
        <w:pStyle w:val="Prrafodelista"/>
        <w:spacing w:before="0" w:after="0"/>
        <w:ind w:left="360"/>
        <w:contextualSpacing w:val="0"/>
        <w:rPr>
          <w:bCs/>
          <w:i/>
          <w:szCs w:val="20"/>
          <w:lang w:val="es-CR"/>
        </w:rPr>
      </w:pPr>
    </w:p>
    <w:p w14:paraId="152183B9" w14:textId="687CE1FF" w:rsidR="00D00698" w:rsidRPr="00CD68BA" w:rsidRDefault="00D00698" w:rsidP="00A06718">
      <w:pPr>
        <w:pStyle w:val="Prrafodelista"/>
        <w:numPr>
          <w:ilvl w:val="0"/>
          <w:numId w:val="13"/>
        </w:numPr>
        <w:spacing w:before="0" w:after="0"/>
        <w:ind w:hanging="720"/>
        <w:contextualSpacing w:val="0"/>
        <w:rPr>
          <w:i/>
          <w:iCs/>
          <w:szCs w:val="20"/>
          <w:lang w:val="es-CR"/>
        </w:rPr>
      </w:pPr>
      <w:r w:rsidRPr="00CD68BA">
        <w:rPr>
          <w:i/>
          <w:iCs/>
          <w:szCs w:val="20"/>
          <w:lang w:val="es-CR"/>
        </w:rPr>
        <w:t xml:space="preserve">Protocolo nacional de debida diligencia para la investigación de </w:t>
      </w:r>
      <w:r w:rsidR="00A73401" w:rsidRPr="00CD68BA">
        <w:rPr>
          <w:i/>
          <w:iCs/>
          <w:szCs w:val="20"/>
          <w:lang w:val="es-CR"/>
        </w:rPr>
        <w:t xml:space="preserve">los </w:t>
      </w:r>
      <w:r w:rsidRPr="00CD68BA">
        <w:rPr>
          <w:i/>
          <w:iCs/>
          <w:szCs w:val="20"/>
          <w:lang w:val="es-CR"/>
        </w:rPr>
        <w:t>delitos contra las personas defensor</w:t>
      </w:r>
      <w:r w:rsidR="00826E0F" w:rsidRPr="00CD68BA">
        <w:rPr>
          <w:i/>
          <w:iCs/>
          <w:szCs w:val="20"/>
          <w:lang w:val="es-CR"/>
        </w:rPr>
        <w:t>a</w:t>
      </w:r>
      <w:r w:rsidRPr="00CD68BA">
        <w:rPr>
          <w:i/>
          <w:iCs/>
          <w:szCs w:val="20"/>
          <w:lang w:val="es-CR"/>
        </w:rPr>
        <w:t>s de derechos humanos</w:t>
      </w:r>
    </w:p>
    <w:p w14:paraId="33CE22D0" w14:textId="139BD2B5" w:rsidR="004E0AA8" w:rsidRPr="00CD68BA" w:rsidRDefault="004E0AA8" w:rsidP="00A06718">
      <w:pPr>
        <w:spacing w:before="0" w:after="0"/>
        <w:rPr>
          <w:i/>
          <w:iCs/>
          <w:szCs w:val="20"/>
          <w:lang w:val="es-CR"/>
        </w:rPr>
      </w:pPr>
    </w:p>
    <w:p w14:paraId="0E93F7D5" w14:textId="0C35188F" w:rsidR="00D00698"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el capítulo </w:t>
      </w:r>
      <w:r w:rsidR="006F53C1" w:rsidRPr="00CD68BA">
        <w:rPr>
          <w:lang w:val="es-CR"/>
        </w:rPr>
        <w:t>VIII-1</w:t>
      </w:r>
      <w:r w:rsidRPr="00CD68BA">
        <w:rPr>
          <w:lang w:val="es-CR"/>
        </w:rPr>
        <w:t xml:space="preserve"> de esta Sentencia, el Tribunal constató que el proceso penal se paralizó en distintos momentos por inercia de las autoridades estatales, de modo tal que se concluyó que </w:t>
      </w:r>
      <w:r w:rsidRPr="00CD68BA">
        <w:rPr>
          <w:lang w:val="es-CR"/>
        </w:rPr>
        <w:lastRenderedPageBreak/>
        <w:t xml:space="preserve">Brasil no emprendió </w:t>
      </w:r>
      <w:r w:rsidR="00B44467" w:rsidRPr="00CD68BA">
        <w:rPr>
          <w:lang w:val="es-CR"/>
        </w:rPr>
        <w:t xml:space="preserve">en un tiempo razonable </w:t>
      </w:r>
      <w:r w:rsidRPr="00CD68BA">
        <w:rPr>
          <w:lang w:val="es-CR"/>
        </w:rPr>
        <w:t>todos los esfuerzos</w:t>
      </w:r>
      <w:r w:rsidR="00B44467" w:rsidRPr="00CD68BA">
        <w:rPr>
          <w:lang w:val="es-CR"/>
        </w:rPr>
        <w:t xml:space="preserve"> para permitir</w:t>
      </w:r>
      <w:r w:rsidRPr="00CD68BA">
        <w:rPr>
          <w:lang w:val="es-CR"/>
        </w:rPr>
        <w:t>, en un tiempo razonable, la determinación de la verdad, la identificación y sanción de todos los responsables, incluyendo la persecución y captura de estos para su eventual enjuiciamiento. Asimismo, la Corte observó que el presente caso se inserta en un contexto de impunidad (</w:t>
      </w:r>
      <w:r w:rsidRPr="00CD68BA">
        <w:rPr>
          <w:i/>
          <w:iCs/>
          <w:lang w:val="es-CR"/>
        </w:rPr>
        <w:t xml:space="preserve">supra </w:t>
      </w:r>
      <w:r w:rsidRPr="00CD68BA">
        <w:rPr>
          <w:lang w:val="es-CR"/>
        </w:rPr>
        <w:t xml:space="preserve">párr. </w:t>
      </w:r>
      <w:r w:rsidR="00831819" w:rsidRPr="00CD68BA">
        <w:rPr>
          <w:lang w:val="es-CR"/>
        </w:rPr>
        <w:t>51</w:t>
      </w:r>
      <w:r w:rsidRPr="00CD68BA">
        <w:rPr>
          <w:lang w:val="es-CR"/>
        </w:rPr>
        <w:t>) que se mantiene a la fecha</w:t>
      </w:r>
      <w:r w:rsidRPr="00CD68BA">
        <w:rPr>
          <w:rStyle w:val="Refdenotaalpie"/>
          <w:lang w:val="es-CR"/>
        </w:rPr>
        <w:footnoteReference w:id="235"/>
      </w:r>
      <w:r w:rsidRPr="00CD68BA">
        <w:rPr>
          <w:lang w:val="es-CR"/>
        </w:rPr>
        <w:t xml:space="preserve">, aunado a la continuidad de un contexto de violencia y </w:t>
      </w:r>
      <w:r w:rsidR="00B91566" w:rsidRPr="00CD68BA">
        <w:rPr>
          <w:lang w:val="es-CR"/>
        </w:rPr>
        <w:t xml:space="preserve">homicidios </w:t>
      </w:r>
      <w:r w:rsidRPr="00CD68BA">
        <w:rPr>
          <w:lang w:val="es-CR"/>
        </w:rPr>
        <w:t>contra personas defensoras de derechos humanos</w:t>
      </w:r>
      <w:r w:rsidR="0097250B" w:rsidRPr="00CD68BA">
        <w:rPr>
          <w:lang w:val="es-CR"/>
        </w:rPr>
        <w:t xml:space="preserve">, particularmente </w:t>
      </w:r>
      <w:r w:rsidR="000A30D7" w:rsidRPr="00CD68BA">
        <w:rPr>
          <w:lang w:val="es-CR"/>
        </w:rPr>
        <w:t>en el ámbito de conflictos rurales</w:t>
      </w:r>
      <w:r w:rsidRPr="00CD68BA">
        <w:rPr>
          <w:lang w:val="es-CR"/>
        </w:rPr>
        <w:t>. Al respecto, el perito Carlos Eduardo Gaio sostuvo:</w:t>
      </w:r>
    </w:p>
    <w:p w14:paraId="5D97506A" w14:textId="77777777" w:rsidR="00D00698" w:rsidRPr="00CD68BA" w:rsidRDefault="00D00698" w:rsidP="00A06718">
      <w:pPr>
        <w:pStyle w:val="Prrafodelista"/>
        <w:spacing w:before="0" w:after="0"/>
        <w:ind w:left="0"/>
        <w:contextualSpacing w:val="0"/>
        <w:rPr>
          <w:szCs w:val="20"/>
          <w:lang w:val="es-CR"/>
        </w:rPr>
      </w:pPr>
    </w:p>
    <w:p w14:paraId="10F4C887" w14:textId="63432A0B" w:rsidR="00D00698" w:rsidRPr="00CD68BA" w:rsidRDefault="00D00698" w:rsidP="00A06718">
      <w:pPr>
        <w:pStyle w:val="Prrafodelista"/>
        <w:spacing w:before="0" w:after="0"/>
        <w:ind w:right="851"/>
        <w:contextualSpacing w:val="0"/>
        <w:rPr>
          <w:sz w:val="16"/>
          <w:szCs w:val="16"/>
          <w:lang w:val="es-CR"/>
        </w:rPr>
      </w:pPr>
      <w:r w:rsidRPr="00CD68BA">
        <w:rPr>
          <w:sz w:val="16"/>
          <w:szCs w:val="16"/>
          <w:lang w:val="es-CR"/>
        </w:rPr>
        <w:t xml:space="preserve">En los últimos 20 años de datos disponibles, entre 2001 y 2020, el contexto de violencia y asesinatos se mantuvo constante o intensificó en algunos periodos. Se documentaron en ese intervalo 269 asesinatos de defensores/as del derecho a la tierra </w:t>
      </w:r>
      <w:r w:rsidR="0099518C" w:rsidRPr="00CD68BA">
        <w:rPr>
          <w:sz w:val="16"/>
          <w:szCs w:val="16"/>
          <w:lang w:val="es-CR"/>
        </w:rPr>
        <w:t>solamente</w:t>
      </w:r>
      <w:r w:rsidRPr="00CD68BA">
        <w:rPr>
          <w:sz w:val="16"/>
          <w:szCs w:val="16"/>
          <w:lang w:val="es-CR"/>
        </w:rPr>
        <w:t xml:space="preserve"> en el estado de Pará, del total de 762 activistas ejecutados en el país en el mismo periodo. Se trata sin duda alguna del estado donde la vida de los trabajadores rurales y defensores de derechos humanos se encuentra en mayor riesgo.</w:t>
      </w:r>
      <w:r w:rsidRPr="00CD68BA">
        <w:rPr>
          <w:rStyle w:val="Refdenotaalpie"/>
          <w:sz w:val="16"/>
          <w:szCs w:val="16"/>
          <w:lang w:val="es-CR"/>
        </w:rPr>
        <w:footnoteReference w:id="236"/>
      </w:r>
    </w:p>
    <w:p w14:paraId="12E606E2" w14:textId="77777777" w:rsidR="00F46466" w:rsidRPr="00CD68BA" w:rsidRDefault="00F46466" w:rsidP="00A06718">
      <w:pPr>
        <w:pStyle w:val="Prrafodelista"/>
        <w:spacing w:before="0" w:after="0"/>
        <w:ind w:left="0"/>
        <w:contextualSpacing w:val="0"/>
        <w:rPr>
          <w:szCs w:val="20"/>
          <w:lang w:val="es-CR"/>
        </w:rPr>
      </w:pPr>
    </w:p>
    <w:p w14:paraId="3EA2A191" w14:textId="5C260313" w:rsidR="002F10C7"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De ese modo, como lo ha hecho en otros casos</w:t>
      </w:r>
      <w:r w:rsidRPr="00CD68BA">
        <w:rPr>
          <w:rStyle w:val="Refdenotaalpie"/>
          <w:lang w:val="es-CR"/>
        </w:rPr>
        <w:footnoteReference w:id="237"/>
      </w:r>
      <w:r w:rsidRPr="00CD68BA">
        <w:rPr>
          <w:lang w:val="es-CR"/>
        </w:rPr>
        <w:t xml:space="preserve">, la Corte considera necesario que el Estado </w:t>
      </w:r>
      <w:r w:rsidR="003C10E2" w:rsidRPr="00CD68BA">
        <w:rPr>
          <w:lang w:val="es-CR"/>
        </w:rPr>
        <w:t>cree e implemente</w:t>
      </w:r>
      <w:r w:rsidRPr="00CD68BA">
        <w:rPr>
          <w:lang w:val="es-CR"/>
        </w:rPr>
        <w:t xml:space="preserve">, a nivel nacional, </w:t>
      </w:r>
      <w:r w:rsidR="003C10E2" w:rsidRPr="00CD68BA">
        <w:rPr>
          <w:lang w:val="es-CR"/>
        </w:rPr>
        <w:t xml:space="preserve">en un plazo no superior a </w:t>
      </w:r>
      <w:r w:rsidR="00CF72AF" w:rsidRPr="00CD68BA">
        <w:rPr>
          <w:lang w:val="es-CR"/>
        </w:rPr>
        <w:t>tres</w:t>
      </w:r>
      <w:r w:rsidR="003C10E2" w:rsidRPr="00CD68BA">
        <w:rPr>
          <w:lang w:val="es-CR"/>
        </w:rPr>
        <w:t xml:space="preserve"> años, </w:t>
      </w:r>
      <w:r w:rsidRPr="00CD68BA">
        <w:rPr>
          <w:lang w:val="es-CR"/>
        </w:rPr>
        <w:t>un protocolo de investigación, unificado e integral, dir</w:t>
      </w:r>
      <w:r w:rsidR="00A47E56" w:rsidRPr="00CD68BA">
        <w:rPr>
          <w:lang w:val="es-CR"/>
        </w:rPr>
        <w:t>igido</w:t>
      </w:r>
      <w:r w:rsidRPr="00CD68BA">
        <w:rPr>
          <w:lang w:val="es-CR"/>
        </w:rPr>
        <w:t xml:space="preserve"> específicamente a los delitos cometidos contra personas defensoras de derechos humanos</w:t>
      </w:r>
      <w:r w:rsidR="000B27F4" w:rsidRPr="00CD68BA">
        <w:rPr>
          <w:lang w:val="es-CR"/>
        </w:rPr>
        <w:t xml:space="preserve">, que tenga en cuenta los riesgos inherentes a su labor. Tal iniciativa contribuirá, en última instancia, </w:t>
      </w:r>
      <w:r w:rsidRPr="00CD68BA">
        <w:rPr>
          <w:lang w:val="es-CR"/>
        </w:rPr>
        <w:t>al acceso a la justicia</w:t>
      </w:r>
      <w:r w:rsidRPr="00CD68BA">
        <w:rPr>
          <w:rStyle w:val="Refdenotaalpie"/>
          <w:lang w:val="es-CR"/>
        </w:rPr>
        <w:footnoteReference w:id="238"/>
      </w:r>
      <w:r w:rsidRPr="00CD68BA">
        <w:rPr>
          <w:lang w:val="es-CR"/>
        </w:rPr>
        <w:t xml:space="preserve">, considerando el contexto de impunidad </w:t>
      </w:r>
      <w:r w:rsidR="000B27F4" w:rsidRPr="00CD68BA">
        <w:rPr>
          <w:lang w:val="es-CR"/>
        </w:rPr>
        <w:t>en que se encuentran los</w:t>
      </w:r>
      <w:r w:rsidRPr="00CD68BA">
        <w:rPr>
          <w:lang w:val="es-CR"/>
        </w:rPr>
        <w:t xml:space="preserve"> </w:t>
      </w:r>
      <w:r w:rsidR="00891F67" w:rsidRPr="00CD68BA">
        <w:rPr>
          <w:lang w:val="es-CR"/>
        </w:rPr>
        <w:t>homicidi</w:t>
      </w:r>
      <w:r w:rsidRPr="00CD68BA">
        <w:rPr>
          <w:lang w:val="es-CR"/>
        </w:rPr>
        <w:t xml:space="preserve">os contra personas defensoras de derechos humanos </w:t>
      </w:r>
      <w:r w:rsidR="000B27F4" w:rsidRPr="00CD68BA">
        <w:rPr>
          <w:lang w:val="es-CR"/>
        </w:rPr>
        <w:t>en Brasil</w:t>
      </w:r>
      <w:r w:rsidRPr="00CD68BA">
        <w:rPr>
          <w:lang w:val="es-CR"/>
        </w:rPr>
        <w:t xml:space="preserve"> (</w:t>
      </w:r>
      <w:r w:rsidRPr="00CD68BA">
        <w:rPr>
          <w:i/>
          <w:iCs/>
          <w:lang w:val="es-CR"/>
        </w:rPr>
        <w:t xml:space="preserve">supra </w:t>
      </w:r>
      <w:r w:rsidRPr="00CD68BA">
        <w:rPr>
          <w:lang w:val="es-CR"/>
        </w:rPr>
        <w:t xml:space="preserve">párr. </w:t>
      </w:r>
      <w:r w:rsidR="0034661D" w:rsidRPr="00CD68BA">
        <w:rPr>
          <w:lang w:val="es-CR"/>
        </w:rPr>
        <w:t>51</w:t>
      </w:r>
      <w:r w:rsidRPr="00CD68BA">
        <w:rPr>
          <w:lang w:val="es-CR"/>
        </w:rPr>
        <w:t>). Para tal efecto, este protocolo deberá</w:t>
      </w:r>
      <w:r w:rsidR="00F860C3" w:rsidRPr="00CD68BA">
        <w:rPr>
          <w:lang w:val="es-CR"/>
        </w:rPr>
        <w:t xml:space="preserve"> (i) observar los principios de debida diligencia para identificar a todos los responsables</w:t>
      </w:r>
      <w:r w:rsidR="0034661D" w:rsidRPr="00CD68BA">
        <w:rPr>
          <w:lang w:val="es-CR"/>
        </w:rPr>
        <w:t>,</w:t>
      </w:r>
      <w:r w:rsidR="00F860C3" w:rsidRPr="00CD68BA">
        <w:rPr>
          <w:lang w:val="es-CR"/>
        </w:rPr>
        <w:t xml:space="preserve"> y </w:t>
      </w:r>
      <w:r w:rsidR="0034661D" w:rsidRPr="00CD68BA">
        <w:rPr>
          <w:lang w:val="es-CR"/>
        </w:rPr>
        <w:t xml:space="preserve">los </w:t>
      </w:r>
      <w:r w:rsidR="00F860C3" w:rsidRPr="00CD68BA">
        <w:rPr>
          <w:lang w:val="es-CR"/>
        </w:rPr>
        <w:t>lineamientos “que complementan y refuerzan la debida diligencia para investigar violaciones de derechos humanos contra personas defensoras de los derechos humanos”, establecidos por el Relator Especial sobre la situación de los defensores de los derechos humanos, Michel Forst</w:t>
      </w:r>
      <w:r w:rsidR="00F860C3" w:rsidRPr="00CD68BA">
        <w:rPr>
          <w:rStyle w:val="Refdenotaalpie"/>
          <w:lang w:val="es-CR"/>
        </w:rPr>
        <w:footnoteReference w:id="239"/>
      </w:r>
      <w:r w:rsidR="0016110B" w:rsidRPr="00CD68BA">
        <w:rPr>
          <w:lang w:val="es-CR"/>
        </w:rPr>
        <w:t>; (ii)</w:t>
      </w:r>
      <w:r w:rsidRPr="00CD68BA">
        <w:rPr>
          <w:lang w:val="es-CR"/>
        </w:rPr>
        <w:t xml:space="preserve"> establecer criterios claros y uniformes</w:t>
      </w:r>
      <w:r w:rsidR="00997586" w:rsidRPr="00CD68BA">
        <w:rPr>
          <w:lang w:val="es-CR"/>
        </w:rPr>
        <w:t xml:space="preserve"> de investigación</w:t>
      </w:r>
      <w:r w:rsidR="0034661D" w:rsidRPr="00CD68BA">
        <w:rPr>
          <w:lang w:val="es-CR"/>
        </w:rPr>
        <w:t>;</w:t>
      </w:r>
      <w:r w:rsidR="00BF7245" w:rsidRPr="00CD68BA">
        <w:rPr>
          <w:lang w:val="es-CR"/>
        </w:rPr>
        <w:t xml:space="preserve"> </w:t>
      </w:r>
      <w:r w:rsidR="0016110B" w:rsidRPr="00CD68BA">
        <w:rPr>
          <w:lang w:val="es-CR"/>
        </w:rPr>
        <w:t xml:space="preserve">(iii) </w:t>
      </w:r>
      <w:r w:rsidR="00BF7245" w:rsidRPr="00CD68BA">
        <w:rPr>
          <w:lang w:val="es-CR"/>
        </w:rPr>
        <w:t>contener parámetros para todas las etapas de las investigaciones</w:t>
      </w:r>
      <w:r w:rsidR="0034661D" w:rsidRPr="00CD68BA">
        <w:rPr>
          <w:lang w:val="es-CR"/>
        </w:rPr>
        <w:t>; (iv)</w:t>
      </w:r>
      <w:r w:rsidR="00330541" w:rsidRPr="00CD68BA">
        <w:rPr>
          <w:lang w:val="es-CR"/>
        </w:rPr>
        <w:t xml:space="preserve"> reglamentar de manera integrada las atribuciones y responsabilidades específicas del Ministerio Público, la Policía, el Poder Judicial, los institutos de pericia y demás órganos involucrados en las investigaciones de graves violaciones de derechos humanos</w:t>
      </w:r>
      <w:r w:rsidR="0016110B" w:rsidRPr="00CD68BA">
        <w:rPr>
          <w:lang w:val="es-CR"/>
        </w:rPr>
        <w:t>,</w:t>
      </w:r>
      <w:r w:rsidR="00F869BA" w:rsidRPr="00CD68BA">
        <w:rPr>
          <w:lang w:val="es-CR"/>
        </w:rPr>
        <w:t xml:space="preserve"> </w:t>
      </w:r>
      <w:r w:rsidR="007A4C72" w:rsidRPr="00CD68BA">
        <w:rPr>
          <w:lang w:val="es-CR"/>
        </w:rPr>
        <w:t xml:space="preserve">y </w:t>
      </w:r>
      <w:r w:rsidR="00997586" w:rsidRPr="00CD68BA">
        <w:rPr>
          <w:lang w:val="es-CR"/>
        </w:rPr>
        <w:t xml:space="preserve">además deberá </w:t>
      </w:r>
      <w:r w:rsidR="007A4C72" w:rsidRPr="00CD68BA">
        <w:rPr>
          <w:lang w:val="es-CR"/>
        </w:rPr>
        <w:t>considerar</w:t>
      </w:r>
      <w:r w:rsidR="00F869BA" w:rsidRPr="00CD68BA">
        <w:rPr>
          <w:lang w:val="es-CR"/>
        </w:rPr>
        <w:t xml:space="preserve">: </w:t>
      </w:r>
      <w:r w:rsidRPr="00CD68BA">
        <w:rPr>
          <w:lang w:val="es-CR"/>
        </w:rPr>
        <w:t xml:space="preserve"> </w:t>
      </w:r>
    </w:p>
    <w:p w14:paraId="0668330D" w14:textId="77777777" w:rsidR="008568DC" w:rsidRPr="00CD68BA" w:rsidRDefault="008568DC" w:rsidP="00A06718">
      <w:pPr>
        <w:spacing w:before="0" w:after="0"/>
        <w:ind w:left="720" w:hanging="360"/>
        <w:rPr>
          <w:rFonts w:cs="Verdana"/>
          <w:lang w:val="es-CR"/>
        </w:rPr>
      </w:pPr>
    </w:p>
    <w:p w14:paraId="617545C1" w14:textId="41DCB0AE" w:rsidR="00BF7245"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El concepto de persona defensora de derechos humanos;</w:t>
      </w:r>
    </w:p>
    <w:p w14:paraId="1D87BA74" w14:textId="77777777" w:rsidR="008568DC" w:rsidRPr="00CD68BA" w:rsidRDefault="008568DC" w:rsidP="00A06718">
      <w:pPr>
        <w:spacing w:before="0" w:after="0"/>
        <w:ind w:left="720" w:hanging="360"/>
        <w:rPr>
          <w:lang w:val="es-CR"/>
        </w:rPr>
      </w:pPr>
    </w:p>
    <w:p w14:paraId="7B08B46D" w14:textId="3B23D5FD"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 xml:space="preserve">Los estándares sobre el desarrollo de instrumentos de investigación con la debida diligencia, incluyendo las mejores prácticas y estándares internacionales sobre debida diligencia según el tipo de delito (por ejemplo, ejecuciones extrajudiciales, </w:t>
      </w:r>
      <w:r w:rsidR="00B91566" w:rsidRPr="00CD68BA">
        <w:rPr>
          <w:lang w:val="es-CR"/>
        </w:rPr>
        <w:t>homicidios</w:t>
      </w:r>
      <w:r w:rsidRPr="00CD68BA">
        <w:rPr>
          <w:lang w:val="es-CR"/>
        </w:rPr>
        <w:t xml:space="preserve">, tortura, amenazas, </w:t>
      </w:r>
      <w:r w:rsidRPr="00CD68BA">
        <w:rPr>
          <w:i/>
          <w:lang w:val="es-CR"/>
        </w:rPr>
        <w:t>inter alia</w:t>
      </w:r>
      <w:r w:rsidRPr="00CD68BA">
        <w:rPr>
          <w:lang w:val="es-CR"/>
        </w:rPr>
        <w:t>);</w:t>
      </w:r>
    </w:p>
    <w:p w14:paraId="17FEB3F5" w14:textId="77777777" w:rsidR="008568DC" w:rsidRPr="00CD68BA" w:rsidRDefault="008568DC" w:rsidP="00A06718">
      <w:pPr>
        <w:pStyle w:val="Prrafodelista"/>
        <w:spacing w:before="0" w:after="0"/>
        <w:ind w:hanging="360"/>
        <w:contextualSpacing w:val="0"/>
        <w:rPr>
          <w:lang w:val="es-CR"/>
        </w:rPr>
      </w:pPr>
    </w:p>
    <w:p w14:paraId="214A894F" w14:textId="2FE21F9B"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 xml:space="preserve">Los riesgos inherentes a la labor de defensa de los derechos humanos en </w:t>
      </w:r>
      <w:r w:rsidR="000E093A" w:rsidRPr="00CD68BA">
        <w:rPr>
          <w:lang w:val="es-CR"/>
        </w:rPr>
        <w:t>Brasil, con las especificidades regionales que existen</w:t>
      </w:r>
      <w:r w:rsidRPr="00CD68BA">
        <w:rPr>
          <w:lang w:val="es-CR"/>
        </w:rPr>
        <w:t>;</w:t>
      </w:r>
    </w:p>
    <w:p w14:paraId="4382643B" w14:textId="77777777" w:rsidR="008568DC" w:rsidRPr="00CD68BA" w:rsidRDefault="008568DC" w:rsidP="00A06718">
      <w:pPr>
        <w:pStyle w:val="Prrafodelista"/>
        <w:spacing w:before="0" w:after="0"/>
        <w:ind w:hanging="360"/>
        <w:contextualSpacing w:val="0"/>
        <w:rPr>
          <w:lang w:val="es-CR"/>
        </w:rPr>
      </w:pPr>
    </w:p>
    <w:p w14:paraId="7C4BFEAD" w14:textId="54F85C42"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lastRenderedPageBreak/>
        <w:t>El contexto en el cual desarrollan su trabajo las defensoras y defensores de derechos humanos y los intereses que</w:t>
      </w:r>
      <w:r w:rsidR="000C7485" w:rsidRPr="00CD68BA">
        <w:rPr>
          <w:lang w:val="es-CR"/>
        </w:rPr>
        <w:t xml:space="preserve"> enfrentan</w:t>
      </w:r>
      <w:r w:rsidRPr="00CD68BA">
        <w:rPr>
          <w:lang w:val="es-CR"/>
        </w:rPr>
        <w:t xml:space="preserve"> en el país</w:t>
      </w:r>
      <w:r w:rsidR="000E093A" w:rsidRPr="00CD68BA">
        <w:rPr>
          <w:lang w:val="es-CR"/>
        </w:rPr>
        <w:t xml:space="preserve"> y en cada región</w:t>
      </w:r>
      <w:r w:rsidRPr="00CD68BA">
        <w:rPr>
          <w:lang w:val="es-CR"/>
        </w:rPr>
        <w:t xml:space="preserve">; </w:t>
      </w:r>
    </w:p>
    <w:p w14:paraId="0A762B7C" w14:textId="77777777" w:rsidR="008568DC" w:rsidRPr="00CD68BA" w:rsidRDefault="008568DC" w:rsidP="00A06718">
      <w:pPr>
        <w:pStyle w:val="Prrafodelista"/>
        <w:spacing w:before="0" w:after="0"/>
        <w:ind w:hanging="360"/>
        <w:contextualSpacing w:val="0"/>
        <w:rPr>
          <w:lang w:val="es-CR"/>
        </w:rPr>
      </w:pPr>
    </w:p>
    <w:p w14:paraId="726EF89A" w14:textId="77777777"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La existencia de patrones de amenazas y toda tipología utilizada para amedrentar, amenazar, intimidar o agredir a las defensoras y defensores de derechos humanos en el ejercicio de sus actividades;</w:t>
      </w:r>
    </w:p>
    <w:p w14:paraId="264433DE" w14:textId="77777777" w:rsidR="008568DC" w:rsidRPr="00CD68BA" w:rsidRDefault="008568DC" w:rsidP="00A06718">
      <w:pPr>
        <w:pStyle w:val="Prrafodelista"/>
        <w:spacing w:before="0" w:after="0"/>
        <w:ind w:hanging="360"/>
        <w:contextualSpacing w:val="0"/>
        <w:rPr>
          <w:lang w:val="es-CR"/>
        </w:rPr>
      </w:pPr>
    </w:p>
    <w:p w14:paraId="2186924F" w14:textId="77777777"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Criterios y técnicas de investigación para determinar si el hecho delictivo tiene relación con la actividad que realiza la persona defensora de derechos humanos;</w:t>
      </w:r>
    </w:p>
    <w:p w14:paraId="42A79F31" w14:textId="77777777" w:rsidR="008568DC" w:rsidRPr="00CD68BA" w:rsidRDefault="008568DC" w:rsidP="00A06718">
      <w:pPr>
        <w:spacing w:before="0" w:after="0"/>
        <w:ind w:left="720" w:hanging="360"/>
        <w:rPr>
          <w:lang w:val="es-CR"/>
        </w:rPr>
      </w:pPr>
    </w:p>
    <w:p w14:paraId="3392E102" w14:textId="77777777"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Técnicas para investigar la existencia y funcionamiento de estructuras criminales complejas en la zona de trabajo de las defensoras y defensores, así como análisis de contexto de otros grupos de poder ajenos al poder público;</w:t>
      </w:r>
    </w:p>
    <w:p w14:paraId="24CEEB23" w14:textId="77777777" w:rsidR="008568DC" w:rsidRPr="00CD68BA" w:rsidRDefault="008568DC" w:rsidP="00A06718">
      <w:pPr>
        <w:pStyle w:val="Prrafodelista"/>
        <w:spacing w:before="0" w:after="0"/>
        <w:ind w:hanging="360"/>
        <w:contextualSpacing w:val="0"/>
        <w:rPr>
          <w:lang w:val="es-CR"/>
        </w:rPr>
      </w:pPr>
    </w:p>
    <w:p w14:paraId="311F5649" w14:textId="77777777"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 xml:space="preserve">Técnicas </w:t>
      </w:r>
      <w:r w:rsidRPr="00CD68BA">
        <w:rPr>
          <w:rFonts w:eastAsiaTheme="minorHAnsi"/>
          <w:lang w:val="es-CR"/>
        </w:rPr>
        <w:t>para</w:t>
      </w:r>
      <w:r w:rsidRPr="00CD68BA">
        <w:rPr>
          <w:lang w:val="es-CR"/>
        </w:rPr>
        <w:t xml:space="preserve"> investigar autoría material e intelectual; </w:t>
      </w:r>
    </w:p>
    <w:p w14:paraId="1A3E0DAE" w14:textId="77777777" w:rsidR="008568DC" w:rsidRPr="00CD68BA" w:rsidRDefault="008568DC" w:rsidP="00A06718">
      <w:pPr>
        <w:pStyle w:val="Prrafodelista"/>
        <w:spacing w:before="0" w:after="0"/>
        <w:ind w:hanging="360"/>
        <w:contextualSpacing w:val="0"/>
        <w:rPr>
          <w:lang w:val="es-CR"/>
        </w:rPr>
      </w:pPr>
    </w:p>
    <w:p w14:paraId="599F99E9" w14:textId="77777777" w:rsidR="008568DC" w:rsidRPr="00CD68BA" w:rsidRDefault="008568DC" w:rsidP="00A06718">
      <w:pPr>
        <w:pStyle w:val="Prrafodelista"/>
        <w:widowControl w:val="0"/>
        <w:numPr>
          <w:ilvl w:val="0"/>
          <w:numId w:val="15"/>
        </w:numPr>
        <w:adjustRightInd w:val="0"/>
        <w:spacing w:before="0" w:after="0"/>
        <w:contextualSpacing w:val="0"/>
        <w:rPr>
          <w:lang w:val="es-CR"/>
        </w:rPr>
      </w:pPr>
      <w:r w:rsidRPr="00CD68BA">
        <w:rPr>
          <w:lang w:val="es-CR"/>
        </w:rPr>
        <w:t>La perspectiva de género y de etnia en la investigación de los delitos involucrados, eliminando estereotipos y estigmatizaciones;</w:t>
      </w:r>
    </w:p>
    <w:p w14:paraId="0CDAE389" w14:textId="77777777" w:rsidR="008568DC" w:rsidRPr="00CD68BA" w:rsidRDefault="008568DC" w:rsidP="00A06718">
      <w:pPr>
        <w:autoSpaceDE w:val="0"/>
        <w:autoSpaceDN w:val="0"/>
        <w:adjustRightInd w:val="0"/>
        <w:spacing w:before="0" w:after="0"/>
        <w:rPr>
          <w:rFonts w:eastAsia="Times New Roman" w:cs="Times New Roman"/>
          <w:szCs w:val="20"/>
          <w:lang w:val="es-CR" w:eastAsia="es-CR"/>
        </w:rPr>
      </w:pPr>
    </w:p>
    <w:p w14:paraId="0051D612" w14:textId="4776692F" w:rsidR="00F46466"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Este protocolo deberá estar dirigido al personal de la administración de justicia, que, de alguna manera, intervenga en la investigación y tramitación de casos de </w:t>
      </w:r>
      <w:r w:rsidR="00330541" w:rsidRPr="00CD68BA">
        <w:rPr>
          <w:lang w:val="es-CR"/>
        </w:rPr>
        <w:t>delitos contra</w:t>
      </w:r>
      <w:r w:rsidRPr="00CD68BA">
        <w:rPr>
          <w:lang w:val="es-CR"/>
        </w:rPr>
        <w:t xml:space="preserve"> personas defensoras de derechos humanos. Además, deberá incorporarse al trabajo de los referidos funcionarios a través de resoluciones y normas internas que obliguen su aplicación por todos los funcionarios estatales</w:t>
      </w:r>
      <w:r w:rsidRPr="00CD68BA">
        <w:rPr>
          <w:rStyle w:val="Refdenotaalpie"/>
          <w:lang w:val="es-CR"/>
        </w:rPr>
        <w:footnoteReference w:id="240"/>
      </w:r>
      <w:r w:rsidRPr="00CD68BA">
        <w:rPr>
          <w:lang w:val="es-CR"/>
        </w:rPr>
        <w:t xml:space="preserve">. </w:t>
      </w:r>
    </w:p>
    <w:p w14:paraId="6EB68C03" w14:textId="77777777" w:rsidR="00F46466" w:rsidRPr="00CD68BA" w:rsidRDefault="00F46466"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4ADE050F" w14:textId="70128521" w:rsidR="00D00698"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Asimismo, el Estado deberá realizar, </w:t>
      </w:r>
      <w:bookmarkStart w:id="163" w:name="_Hlk106368218"/>
      <w:r w:rsidRPr="00CD68BA">
        <w:rPr>
          <w:lang w:val="es-CR"/>
        </w:rPr>
        <w:t xml:space="preserve">un plan de capacitación del personal que interviene en la investigación y tramitación de casos de </w:t>
      </w:r>
      <w:r w:rsidR="00330541" w:rsidRPr="00CD68BA">
        <w:rPr>
          <w:lang w:val="es-CR"/>
        </w:rPr>
        <w:t>delitos contra</w:t>
      </w:r>
      <w:r w:rsidRPr="00CD68BA">
        <w:rPr>
          <w:lang w:val="es-CR"/>
        </w:rPr>
        <w:t xml:space="preserve"> personas defensoras de derechos humanos sobre dicho protocolo, en el Estado de Pará, así como crear un sistema de indicadores que permitan medir la efectividad del protocolo y comprobar, de manera diferenciada y por género, la disminución sustantiva de la impunidad respecto de los delito</w:t>
      </w:r>
      <w:r w:rsidR="00AE2066" w:rsidRPr="00CD68BA">
        <w:rPr>
          <w:lang w:val="es-CR"/>
        </w:rPr>
        <w:t>s</w:t>
      </w:r>
      <w:r w:rsidRPr="00CD68BA">
        <w:rPr>
          <w:lang w:val="es-CR"/>
        </w:rPr>
        <w:t xml:space="preserve"> de homicidio que afectan a las personas defensor</w:t>
      </w:r>
      <w:r w:rsidR="002F10C7" w:rsidRPr="00CD68BA">
        <w:rPr>
          <w:lang w:val="es-CR"/>
        </w:rPr>
        <w:t>a</w:t>
      </w:r>
      <w:r w:rsidRPr="00CD68BA">
        <w:rPr>
          <w:lang w:val="es-CR"/>
        </w:rPr>
        <w:t>s de derechos humanos</w:t>
      </w:r>
      <w:bookmarkEnd w:id="163"/>
      <w:r w:rsidRPr="00CD68BA">
        <w:rPr>
          <w:rStyle w:val="Refdenotaalpie"/>
          <w:lang w:val="es-CR"/>
        </w:rPr>
        <w:footnoteReference w:id="241"/>
      </w:r>
      <w:r w:rsidRPr="00CD68BA">
        <w:rPr>
          <w:lang w:val="es-CR"/>
        </w:rPr>
        <w:t>. Para cumplir con esta obligación</w:t>
      </w:r>
      <w:r w:rsidR="003C10E2" w:rsidRPr="00CD68BA">
        <w:rPr>
          <w:lang w:val="es-CR"/>
        </w:rPr>
        <w:t>,</w:t>
      </w:r>
      <w:r w:rsidRPr="00CD68BA">
        <w:rPr>
          <w:lang w:val="es-CR"/>
        </w:rPr>
        <w:t xml:space="preserve"> el Estado cuenta con un plazo de dos años a partir de la adopción del referido protocolo. Una vez adoptado, el Estado deberá remitir anualmente un informe detallado sobre el plan de capacitación y el sistema de indicadores durante cinco años a partir de la emisión y remisión a la Corte del primer informe</w:t>
      </w:r>
      <w:r w:rsidRPr="00CD68BA">
        <w:rPr>
          <w:rStyle w:val="Refdenotaalpie"/>
          <w:lang w:val="es-CR"/>
        </w:rPr>
        <w:footnoteReference w:id="242"/>
      </w:r>
      <w:r w:rsidRPr="00CD68BA">
        <w:rPr>
          <w:lang w:val="es-CR"/>
        </w:rPr>
        <w:t>.</w:t>
      </w:r>
    </w:p>
    <w:p w14:paraId="4274F4A1" w14:textId="77777777" w:rsidR="00D00698" w:rsidRPr="00CD68BA" w:rsidRDefault="00D00698" w:rsidP="00A06718">
      <w:pPr>
        <w:pStyle w:val="Prrafodelista"/>
        <w:spacing w:before="0" w:after="0"/>
        <w:contextualSpacing w:val="0"/>
        <w:rPr>
          <w:i/>
          <w:iCs/>
          <w:szCs w:val="20"/>
          <w:lang w:val="es-CR"/>
        </w:rPr>
      </w:pPr>
    </w:p>
    <w:p w14:paraId="1BD998B6" w14:textId="77777777" w:rsidR="00D00698" w:rsidRPr="00CD68BA" w:rsidRDefault="00D00698" w:rsidP="00A06718">
      <w:pPr>
        <w:pStyle w:val="Prrafodelista"/>
        <w:numPr>
          <w:ilvl w:val="0"/>
          <w:numId w:val="13"/>
        </w:numPr>
        <w:spacing w:before="0" w:after="0"/>
        <w:ind w:hanging="720"/>
        <w:contextualSpacing w:val="0"/>
        <w:rPr>
          <w:i/>
          <w:iCs/>
          <w:szCs w:val="20"/>
          <w:lang w:val="es-CR"/>
        </w:rPr>
      </w:pPr>
      <w:bookmarkStart w:id="164" w:name="_Hlk104350291"/>
      <w:r w:rsidRPr="00CD68BA">
        <w:rPr>
          <w:i/>
          <w:iCs/>
          <w:szCs w:val="20"/>
          <w:lang w:val="es-CR"/>
        </w:rPr>
        <w:t>Política pública nacional para la protección de personas defensoras de derechos humanos</w:t>
      </w:r>
    </w:p>
    <w:bookmarkEnd w:id="164"/>
    <w:p w14:paraId="05C437E4" w14:textId="77777777" w:rsidR="00D00698" w:rsidRPr="00CD68BA" w:rsidRDefault="00D00698" w:rsidP="00A06718">
      <w:pPr>
        <w:pStyle w:val="Prrafodelista"/>
        <w:spacing w:before="0" w:after="0"/>
        <w:ind w:left="792"/>
        <w:contextualSpacing w:val="0"/>
        <w:rPr>
          <w:i/>
          <w:iCs/>
          <w:szCs w:val="20"/>
          <w:lang w:val="es-CR"/>
        </w:rPr>
      </w:pPr>
    </w:p>
    <w:p w14:paraId="67CC1A87" w14:textId="0291EF7D" w:rsidR="00B5284E"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La Corte valora la </w:t>
      </w:r>
      <w:r w:rsidR="008F3367" w:rsidRPr="00CD68BA">
        <w:rPr>
          <w:lang w:val="es-CR"/>
        </w:rPr>
        <w:t>creación, por parte del Estado</w:t>
      </w:r>
      <w:r w:rsidR="003F7D4B" w:rsidRPr="00CD68BA">
        <w:rPr>
          <w:lang w:val="es-CR"/>
        </w:rPr>
        <w:t>,</w:t>
      </w:r>
      <w:r w:rsidR="008F3367" w:rsidRPr="00CD68BA">
        <w:rPr>
          <w:lang w:val="es-CR"/>
        </w:rPr>
        <w:t xml:space="preserve"> </w:t>
      </w:r>
      <w:r w:rsidRPr="00CD68BA">
        <w:rPr>
          <w:lang w:val="es-CR"/>
        </w:rPr>
        <w:t>de instituciones y mecanismos relativos a la protección de las personas defensoras de derechos humanos, en particular en el estado de Pará. No obstante, este Tribunal observa, con preocupación</w:t>
      </w:r>
      <w:r w:rsidR="003F7D4B" w:rsidRPr="00CD68BA">
        <w:rPr>
          <w:lang w:val="es-CR"/>
        </w:rPr>
        <w:t>,</w:t>
      </w:r>
      <w:r w:rsidRPr="00CD68BA">
        <w:rPr>
          <w:b/>
          <w:bCs/>
          <w:lang w:val="es-CR"/>
        </w:rPr>
        <w:t xml:space="preserve"> </w:t>
      </w:r>
      <w:r w:rsidR="00436A8C" w:rsidRPr="00CD68BA">
        <w:rPr>
          <w:lang w:val="es-CR"/>
        </w:rPr>
        <w:t>que</w:t>
      </w:r>
      <w:r w:rsidR="003F7D4B" w:rsidRPr="00CD68BA">
        <w:rPr>
          <w:lang w:val="es-CR"/>
        </w:rPr>
        <w:t>,</w:t>
      </w:r>
      <w:r w:rsidR="00436A8C" w:rsidRPr="00CD68BA">
        <w:rPr>
          <w:lang w:val="es-CR"/>
        </w:rPr>
        <w:t xml:space="preserve"> </w:t>
      </w:r>
      <w:r w:rsidRPr="00CD68BA">
        <w:rPr>
          <w:lang w:val="es-CR"/>
        </w:rPr>
        <w:t>a pesar de su existencia, el contexto de violencia y vulnerabilidad de los defensores del derecho a la tierra en Brasil permanece extremadamente grave, desde la década de 1980 hasta los días actuales</w:t>
      </w:r>
      <w:r w:rsidRPr="00CD68BA">
        <w:rPr>
          <w:rStyle w:val="Refdenotaalpie"/>
          <w:lang w:val="es-CR"/>
        </w:rPr>
        <w:footnoteReference w:id="243"/>
      </w:r>
      <w:r w:rsidRPr="00CD68BA">
        <w:rPr>
          <w:lang w:val="es-CR"/>
        </w:rPr>
        <w:t xml:space="preserve">, y dentro de este contexto, el estado de Pará es la región con mayor número de personas defensoras </w:t>
      </w:r>
      <w:r w:rsidR="00B91566" w:rsidRPr="00CD68BA">
        <w:rPr>
          <w:lang w:val="es-CR"/>
        </w:rPr>
        <w:t xml:space="preserve">víctimas de homicidios </w:t>
      </w:r>
      <w:r w:rsidRPr="00CD68BA">
        <w:rPr>
          <w:lang w:val="es-CR"/>
        </w:rPr>
        <w:t>a lo largo de los últimos 40 años</w:t>
      </w:r>
      <w:r w:rsidRPr="00CD68BA">
        <w:rPr>
          <w:rStyle w:val="Refdenotaalpie"/>
          <w:lang w:val="es-CR"/>
        </w:rPr>
        <w:footnoteReference w:id="244"/>
      </w:r>
      <w:r w:rsidRPr="00CD68BA">
        <w:rPr>
          <w:lang w:val="es-CR"/>
        </w:rPr>
        <w:t xml:space="preserve">. </w:t>
      </w:r>
    </w:p>
    <w:p w14:paraId="11AE6AC4" w14:textId="77777777" w:rsidR="00B5284E" w:rsidRPr="00CD68BA" w:rsidRDefault="00B5284E" w:rsidP="00A06718">
      <w:pPr>
        <w:pStyle w:val="Prrafodelista"/>
        <w:autoSpaceDE w:val="0"/>
        <w:autoSpaceDN w:val="0"/>
        <w:adjustRightInd w:val="0"/>
        <w:spacing w:before="0" w:after="0"/>
        <w:ind w:left="0"/>
        <w:contextualSpacing w:val="0"/>
        <w:rPr>
          <w:szCs w:val="20"/>
          <w:lang w:val="es-CR"/>
        </w:rPr>
      </w:pPr>
    </w:p>
    <w:p w14:paraId="4A784823" w14:textId="7B1C47A0" w:rsidR="00B500DF" w:rsidRPr="00CD68BA" w:rsidRDefault="003F7D4B"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Al respecto, vale recordar l</w:t>
      </w:r>
      <w:r w:rsidR="00A36104" w:rsidRPr="00CD68BA">
        <w:rPr>
          <w:lang w:val="es-CR"/>
        </w:rPr>
        <w:t xml:space="preserve">o manifestado durante la audiencia pública </w:t>
      </w:r>
      <w:r w:rsidRPr="00CD68BA">
        <w:rPr>
          <w:lang w:val="es-CR"/>
        </w:rPr>
        <w:t>por</w:t>
      </w:r>
      <w:r w:rsidR="007E1BA0" w:rsidRPr="00CD68BA">
        <w:rPr>
          <w:lang w:val="es-CR"/>
        </w:rPr>
        <w:t xml:space="preserve"> </w:t>
      </w:r>
      <w:r w:rsidRPr="00CD68BA">
        <w:rPr>
          <w:lang w:val="es-CR"/>
        </w:rPr>
        <w:t>el hermano de del señor Sales Pimenta, al señalar que “lo que queremos es que ya no muera nadie más”, “que ningún abogado más muera por su trabajo en defensa de las minorías”</w:t>
      </w:r>
      <w:r w:rsidRPr="00CD68BA">
        <w:rPr>
          <w:rStyle w:val="Refdenotaalpie"/>
          <w:lang w:val="es-CR"/>
        </w:rPr>
        <w:footnoteReference w:id="245"/>
      </w:r>
      <w:r w:rsidRPr="00CD68BA">
        <w:rPr>
          <w:lang w:val="es-CR"/>
        </w:rPr>
        <w:t>.</w:t>
      </w:r>
      <w:r w:rsidR="00243659" w:rsidRPr="00CD68BA">
        <w:rPr>
          <w:lang w:val="es-CR"/>
        </w:rPr>
        <w:t xml:space="preserve"> </w:t>
      </w:r>
      <w:r w:rsidR="00D00698" w:rsidRPr="00CD68BA">
        <w:rPr>
          <w:lang w:val="es-CR"/>
        </w:rPr>
        <w:t xml:space="preserve">Además, conforme indicó el perito Carlos Eduardo Gaio, con respecto a otras formas de violencia como amenazas de muerte, tentativas de homicidio y agresiones físicas, las consideraciones </w:t>
      </w:r>
      <w:r w:rsidR="00BE5E33" w:rsidRPr="00CD68BA">
        <w:rPr>
          <w:lang w:val="es-CR"/>
        </w:rPr>
        <w:t xml:space="preserve">sobre </w:t>
      </w:r>
      <w:r w:rsidR="00A36104" w:rsidRPr="00CD68BA">
        <w:rPr>
          <w:lang w:val="es-CR"/>
        </w:rPr>
        <w:t>el</w:t>
      </w:r>
      <w:r w:rsidR="00BE5E33" w:rsidRPr="00CD68BA">
        <w:rPr>
          <w:lang w:val="es-CR"/>
        </w:rPr>
        <w:t xml:space="preserve"> contexto de violencia</w:t>
      </w:r>
      <w:r w:rsidR="00A36104" w:rsidRPr="00CD68BA">
        <w:rPr>
          <w:lang w:val="es-CR"/>
        </w:rPr>
        <w:t xml:space="preserve"> hoy en día</w:t>
      </w:r>
      <w:r w:rsidR="00BE5E33" w:rsidRPr="00CD68BA">
        <w:rPr>
          <w:lang w:val="es-CR"/>
        </w:rPr>
        <w:t xml:space="preserve"> </w:t>
      </w:r>
      <w:r w:rsidR="00D00698" w:rsidRPr="00CD68BA">
        <w:rPr>
          <w:lang w:val="es-CR"/>
        </w:rPr>
        <w:t>son similares</w:t>
      </w:r>
      <w:r w:rsidR="00D00698" w:rsidRPr="00CD68BA">
        <w:rPr>
          <w:rStyle w:val="Refdenotaalpie"/>
          <w:lang w:val="es-CR"/>
        </w:rPr>
        <w:footnoteReference w:id="246"/>
      </w:r>
      <w:r w:rsidR="00D00698" w:rsidRPr="00CD68BA">
        <w:rPr>
          <w:lang w:val="es-CR"/>
        </w:rPr>
        <w:t>. A modo de ejemplo, el referido perito informó que,</w:t>
      </w:r>
      <w:r w:rsidR="0084403B" w:rsidRPr="00CD68BA">
        <w:rPr>
          <w:lang w:val="es-CR"/>
        </w:rPr>
        <w:t xml:space="preserve"> solo</w:t>
      </w:r>
      <w:r w:rsidR="00D00698" w:rsidRPr="00CD68BA">
        <w:rPr>
          <w:lang w:val="es-CR"/>
        </w:rPr>
        <w:t xml:space="preserve"> en el 2020, además de los 18 </w:t>
      </w:r>
      <w:r w:rsidR="00B91566" w:rsidRPr="00CD68BA">
        <w:rPr>
          <w:lang w:val="es-CR"/>
        </w:rPr>
        <w:t>homicidios</w:t>
      </w:r>
      <w:r w:rsidR="00D00698" w:rsidRPr="00CD68BA">
        <w:rPr>
          <w:lang w:val="es-CR"/>
        </w:rPr>
        <w:t xml:space="preserve">, se </w:t>
      </w:r>
      <w:r w:rsidR="00DA3321" w:rsidRPr="00CD68BA">
        <w:rPr>
          <w:lang w:val="es-CR"/>
        </w:rPr>
        <w:t>registraron</w:t>
      </w:r>
      <w:r w:rsidR="00D00698" w:rsidRPr="00CD68BA">
        <w:rPr>
          <w:lang w:val="es-CR"/>
        </w:rPr>
        <w:t xml:space="preserve"> 159 amenazas de muerte y 35 tentativas de </w:t>
      </w:r>
      <w:r w:rsidR="00B91566" w:rsidRPr="00CD68BA">
        <w:rPr>
          <w:lang w:val="es-CR"/>
        </w:rPr>
        <w:t xml:space="preserve">homicidio </w:t>
      </w:r>
      <w:r w:rsidR="0084403B" w:rsidRPr="00CD68BA">
        <w:rPr>
          <w:lang w:val="es-CR"/>
        </w:rPr>
        <w:t>en el país</w:t>
      </w:r>
      <w:r w:rsidR="00D00698" w:rsidRPr="00CD68BA">
        <w:rPr>
          <w:lang w:val="es-CR"/>
        </w:rPr>
        <w:t>.</w:t>
      </w:r>
      <w:r w:rsidR="00D00698" w:rsidRPr="00CD68BA">
        <w:rPr>
          <w:rStyle w:val="Refdenotaalpie"/>
          <w:lang w:val="es-CR"/>
        </w:rPr>
        <w:footnoteReference w:id="247"/>
      </w:r>
    </w:p>
    <w:p w14:paraId="621FC02C" w14:textId="77777777" w:rsidR="00B500DF" w:rsidRPr="00CD68BA" w:rsidRDefault="00B500DF"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79CCBD0A" w14:textId="23DF4BA0" w:rsidR="00B500DF"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De otra parte, se observa que el Programa de Protección a los Defensores de Derechos Humanos tiene como primer marco el Decreto </w:t>
      </w:r>
      <w:r w:rsidR="00D01473" w:rsidRPr="00CD68BA">
        <w:rPr>
          <w:lang w:val="es-CR"/>
        </w:rPr>
        <w:t>N</w:t>
      </w:r>
      <w:r w:rsidRPr="00CD68BA">
        <w:rPr>
          <w:lang w:val="es-CR"/>
        </w:rPr>
        <w:t>o. 6044 de 2007</w:t>
      </w:r>
      <w:r w:rsidRPr="00CD68BA">
        <w:rPr>
          <w:rStyle w:val="Refdenotaalpie"/>
          <w:lang w:val="es-CR"/>
        </w:rPr>
        <w:footnoteReference w:id="248"/>
      </w:r>
      <w:r w:rsidRPr="00CD68BA">
        <w:rPr>
          <w:lang w:val="es-CR"/>
        </w:rPr>
        <w:t>, que aprueba la Política Nacional de Protección a los Defensores de los Derechos Humanos. Posteriormente, con las directrices ahí fijadas nace el referido programa en el 2016</w:t>
      </w:r>
      <w:r w:rsidR="008B3CC3" w:rsidRPr="00CD68BA">
        <w:rPr>
          <w:lang w:val="es-CR"/>
        </w:rPr>
        <w:t>,</w:t>
      </w:r>
      <w:r w:rsidRPr="00CD68BA">
        <w:rPr>
          <w:lang w:val="es-CR"/>
        </w:rPr>
        <w:t xml:space="preserve"> a través del Decreto </w:t>
      </w:r>
      <w:r w:rsidR="00CD18B0" w:rsidRPr="00CD68BA">
        <w:rPr>
          <w:lang w:val="es-CR"/>
        </w:rPr>
        <w:t>N</w:t>
      </w:r>
      <w:r w:rsidRPr="00CD68BA">
        <w:rPr>
          <w:lang w:val="es-CR"/>
        </w:rPr>
        <w:t>o. 8.724</w:t>
      </w:r>
      <w:r w:rsidRPr="00CD68BA">
        <w:rPr>
          <w:rStyle w:val="Refdenotaalpie"/>
          <w:lang w:val="es-CR"/>
        </w:rPr>
        <w:footnoteReference w:id="249"/>
      </w:r>
      <w:r w:rsidRPr="00CD68BA">
        <w:rPr>
          <w:lang w:val="es-CR"/>
        </w:rPr>
        <w:t xml:space="preserve">, que fue derogado por el Decreto </w:t>
      </w:r>
      <w:bookmarkStart w:id="165" w:name="_Hlk104394497"/>
      <w:r w:rsidR="00CD18B0" w:rsidRPr="00CD68BA">
        <w:rPr>
          <w:lang w:val="es-CR"/>
        </w:rPr>
        <w:t>N</w:t>
      </w:r>
      <w:r w:rsidRPr="00CD68BA">
        <w:rPr>
          <w:lang w:val="es-CR"/>
        </w:rPr>
        <w:t>o.</w:t>
      </w:r>
      <w:r w:rsidR="00B72F5D" w:rsidRPr="00CD68BA">
        <w:rPr>
          <w:lang w:val="es-CR"/>
        </w:rPr>
        <w:t xml:space="preserve"> </w:t>
      </w:r>
      <w:r w:rsidRPr="00CD68BA">
        <w:rPr>
          <w:lang w:val="es-CR"/>
        </w:rPr>
        <w:t xml:space="preserve">9.937 </w:t>
      </w:r>
      <w:bookmarkEnd w:id="165"/>
      <w:r w:rsidRPr="00CD68BA">
        <w:rPr>
          <w:lang w:val="es-CR"/>
        </w:rPr>
        <w:t>de 2019</w:t>
      </w:r>
      <w:r w:rsidRPr="00CD68BA">
        <w:rPr>
          <w:rStyle w:val="Refdenotaalpie"/>
          <w:lang w:val="es-CR"/>
        </w:rPr>
        <w:footnoteReference w:id="250"/>
      </w:r>
      <w:r w:rsidRPr="00CD68BA">
        <w:rPr>
          <w:lang w:val="es-CR"/>
        </w:rPr>
        <w:t>, el cual sufrió modificaciones a partir del Decreto no. 10.815</w:t>
      </w:r>
      <w:r w:rsidRPr="00CD68BA">
        <w:rPr>
          <w:rStyle w:val="Refdenotaalpie"/>
          <w:lang w:val="es-CR"/>
        </w:rPr>
        <w:footnoteReference w:id="251"/>
      </w:r>
      <w:r w:rsidRPr="00CD68BA">
        <w:rPr>
          <w:lang w:val="es-CR"/>
        </w:rPr>
        <w:t xml:space="preserve"> de 2021</w:t>
      </w:r>
      <w:r w:rsidRPr="00CD68BA">
        <w:rPr>
          <w:rStyle w:val="Refdenotaalpie"/>
          <w:lang w:val="es-CR"/>
        </w:rPr>
        <w:footnoteReference w:id="252"/>
      </w:r>
      <w:r w:rsidRPr="00CD68BA">
        <w:rPr>
          <w:lang w:val="es-CR"/>
        </w:rPr>
        <w:t xml:space="preserve">. En ese entendido, el </w:t>
      </w:r>
      <w:r w:rsidR="008B3CC3" w:rsidRPr="00CD68BA">
        <w:rPr>
          <w:lang w:val="es-CR"/>
        </w:rPr>
        <w:t>P</w:t>
      </w:r>
      <w:r w:rsidRPr="00CD68BA">
        <w:rPr>
          <w:lang w:val="es-CR"/>
        </w:rPr>
        <w:t>rograma en comento actualmente recibe el nombre de “Programa de Protección a los Defensores de Derechos Humanos, Comunicadores e Ambientalistas” y cuenta con el “Consejo Deliberativo del programa de Protección a los Defensores de los Derechos Humanos, Comunicadores e Ambientalistas</w:t>
      </w:r>
      <w:r w:rsidR="009F0038" w:rsidRPr="00CD68BA">
        <w:rPr>
          <w:lang w:val="es-CR"/>
        </w:rPr>
        <w:t>”</w:t>
      </w:r>
      <w:r w:rsidRPr="00CD68BA">
        <w:rPr>
          <w:lang w:val="es-CR"/>
        </w:rPr>
        <w:t xml:space="preserve"> en el ámbito del Ministerio de Mujer, de la Familia, y de los Derechos Humanos</w:t>
      </w:r>
      <w:r w:rsidRPr="00CD68BA">
        <w:rPr>
          <w:rStyle w:val="Refdenotaalpie"/>
          <w:lang w:val="es-CR"/>
        </w:rPr>
        <w:footnoteReference w:id="253"/>
      </w:r>
      <w:r w:rsidR="009F0038" w:rsidRPr="00CD68BA">
        <w:rPr>
          <w:lang w:val="es-CR"/>
        </w:rPr>
        <w:t>. Dicho Consejo</w:t>
      </w:r>
      <w:r w:rsidRPr="00CD68BA">
        <w:rPr>
          <w:lang w:val="es-CR"/>
        </w:rPr>
        <w:t xml:space="preserve"> es un órgano colegiado donde la sociedad civil cuenta con 3 representantes. Además, el programa “se ejecuta a través de un convenio entre </w:t>
      </w:r>
      <w:r w:rsidR="009F0038" w:rsidRPr="00CD68BA">
        <w:rPr>
          <w:lang w:val="es-CR"/>
        </w:rPr>
        <w:t xml:space="preserve">el Gobierno Federal </w:t>
      </w:r>
      <w:r w:rsidRPr="00CD68BA">
        <w:rPr>
          <w:lang w:val="es-CR"/>
        </w:rPr>
        <w:t>y los estados</w:t>
      </w:r>
      <w:r w:rsidR="009F0038" w:rsidRPr="00CD68BA">
        <w:rPr>
          <w:lang w:val="es-CR"/>
        </w:rPr>
        <w:t xml:space="preserve"> federados</w:t>
      </w:r>
      <w:r w:rsidRPr="00CD68BA">
        <w:rPr>
          <w:lang w:val="es-CR"/>
        </w:rPr>
        <w:t xml:space="preserve">” que tienen una vigencia de 36 meses, y luego se renuevan. Asimismo, los </w:t>
      </w:r>
      <w:r w:rsidR="009F0038" w:rsidRPr="00CD68BA">
        <w:rPr>
          <w:lang w:val="es-CR"/>
        </w:rPr>
        <w:t>e</w:t>
      </w:r>
      <w:r w:rsidRPr="00CD68BA">
        <w:rPr>
          <w:lang w:val="es-CR"/>
        </w:rPr>
        <w:t>stados juntamente con el Gobierno Federal aportan recursos para su ejecución</w:t>
      </w:r>
      <w:r w:rsidRPr="00CD68BA">
        <w:rPr>
          <w:rStyle w:val="Refdenotaalpie"/>
          <w:lang w:val="es-CR"/>
        </w:rPr>
        <w:footnoteReference w:id="254"/>
      </w:r>
      <w:r w:rsidRPr="00CD68BA">
        <w:rPr>
          <w:lang w:val="es-CR"/>
        </w:rPr>
        <w:t>.</w:t>
      </w:r>
    </w:p>
    <w:p w14:paraId="28340AE1" w14:textId="77777777" w:rsidR="00B500DF" w:rsidRPr="00CD68BA" w:rsidRDefault="00B500DF" w:rsidP="00A06718">
      <w:pPr>
        <w:pStyle w:val="Prrafodelista"/>
        <w:autoSpaceDE w:val="0"/>
        <w:autoSpaceDN w:val="0"/>
        <w:adjustRightInd w:val="0"/>
        <w:spacing w:before="0" w:after="0"/>
        <w:ind w:left="0"/>
        <w:contextualSpacing w:val="0"/>
        <w:rPr>
          <w:rFonts w:eastAsia="Times New Roman" w:cs="Times New Roman"/>
          <w:szCs w:val="20"/>
          <w:lang w:val="es-CR" w:eastAsia="es-CR"/>
        </w:rPr>
      </w:pPr>
    </w:p>
    <w:p w14:paraId="574772DD" w14:textId="48650421" w:rsidR="00D00698"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Sobre lo anterior, resulta preocupan</w:t>
      </w:r>
      <w:r w:rsidR="004C53A6" w:rsidRPr="00CD68BA">
        <w:rPr>
          <w:lang w:val="es-CR"/>
        </w:rPr>
        <w:t>te</w:t>
      </w:r>
      <w:r w:rsidRPr="00CD68BA">
        <w:rPr>
          <w:lang w:val="es-CR"/>
        </w:rPr>
        <w:t xml:space="preserve"> que, conforme a la información obrante dentro del expediente, el tipo de normativa que ampara este programa</w:t>
      </w:r>
      <w:r w:rsidR="00C97EA2" w:rsidRPr="00CD68BA">
        <w:rPr>
          <w:lang w:val="es-CR"/>
        </w:rPr>
        <w:t xml:space="preserve"> no son leyes en sentido estricto, sino decretos que pueden ser alterados o revocados a cualquier momento por el Presidente de la República</w:t>
      </w:r>
      <w:r w:rsidR="00CD18B0" w:rsidRPr="00CD68BA">
        <w:rPr>
          <w:lang w:val="es-CR"/>
        </w:rPr>
        <w:t>,</w:t>
      </w:r>
      <w:r w:rsidR="00BC0233" w:rsidRPr="00CD68BA">
        <w:rPr>
          <w:lang w:val="es-CR"/>
        </w:rPr>
        <w:t xml:space="preserve"> lo que</w:t>
      </w:r>
      <w:r w:rsidRPr="00CD68BA">
        <w:rPr>
          <w:lang w:val="es-CR"/>
        </w:rPr>
        <w:t xml:space="preserve"> </w:t>
      </w:r>
      <w:r w:rsidR="00BC0233" w:rsidRPr="00CD68BA">
        <w:rPr>
          <w:lang w:val="es-CR"/>
        </w:rPr>
        <w:t>p</w:t>
      </w:r>
      <w:r w:rsidR="00CD18B0" w:rsidRPr="00CD68BA">
        <w:rPr>
          <w:lang w:val="es-CR"/>
        </w:rPr>
        <w:t>odría</w:t>
      </w:r>
      <w:r w:rsidR="00BC0233" w:rsidRPr="00CD68BA">
        <w:rPr>
          <w:lang w:val="es-CR"/>
        </w:rPr>
        <w:t xml:space="preserve"> generar falta de continuidad en su aplicación</w:t>
      </w:r>
      <w:r w:rsidRPr="00CD68BA">
        <w:rPr>
          <w:rStyle w:val="Refdenotaalpie"/>
          <w:lang w:val="es-CR"/>
        </w:rPr>
        <w:footnoteReference w:id="255"/>
      </w:r>
      <w:r w:rsidRPr="00CD68BA">
        <w:rPr>
          <w:lang w:val="es-CR"/>
        </w:rPr>
        <w:t xml:space="preserve">. Además, el </w:t>
      </w:r>
      <w:r w:rsidR="00491D39" w:rsidRPr="00CD68BA">
        <w:rPr>
          <w:lang w:val="es-CR"/>
        </w:rPr>
        <w:t>P</w:t>
      </w:r>
      <w:r w:rsidRPr="00CD68BA">
        <w:rPr>
          <w:lang w:val="es-CR"/>
        </w:rPr>
        <w:t>rograma en comento ostenta un bajo nivel de ejecución presupuestaria</w:t>
      </w:r>
      <w:r w:rsidRPr="00CD68BA">
        <w:rPr>
          <w:rStyle w:val="Refdenotaalpie"/>
          <w:lang w:val="es-CR"/>
        </w:rPr>
        <w:footnoteReference w:id="256"/>
      </w:r>
      <w:r w:rsidRPr="00CD68BA">
        <w:rPr>
          <w:lang w:val="es-CR"/>
        </w:rPr>
        <w:t xml:space="preserve">; su implementación no es uniforme en </w:t>
      </w:r>
      <w:r w:rsidRPr="00CD68BA">
        <w:rPr>
          <w:lang w:val="es-CR"/>
        </w:rPr>
        <w:lastRenderedPageBreak/>
        <w:t>los distintos estados de Brasil</w:t>
      </w:r>
      <w:r w:rsidRPr="00CD68BA">
        <w:rPr>
          <w:rStyle w:val="Refdenotaalpie"/>
          <w:lang w:val="es-CR"/>
        </w:rPr>
        <w:footnoteReference w:id="257"/>
      </w:r>
      <w:r w:rsidRPr="00CD68BA">
        <w:rPr>
          <w:lang w:val="es-CR"/>
        </w:rPr>
        <w:t>; posee requisitos restrictivos para que personas defensoras de derechos humanos puedan ser beneficiarias</w:t>
      </w:r>
      <w:r w:rsidR="00491D39" w:rsidRPr="00CD68BA">
        <w:rPr>
          <w:lang w:val="es-CR"/>
        </w:rPr>
        <w:t xml:space="preserve"> y hay falta de participación paritaria de la sociedad civil dentro del consejo deliberativo existente</w:t>
      </w:r>
      <w:r w:rsidR="00491D39" w:rsidRPr="00CD68BA">
        <w:rPr>
          <w:rStyle w:val="Refdenotaalpie"/>
          <w:lang w:val="es-CR"/>
        </w:rPr>
        <w:footnoteReference w:id="258"/>
      </w:r>
      <w:r w:rsidRPr="00CD68BA">
        <w:rPr>
          <w:lang w:val="es-CR"/>
        </w:rPr>
        <w:t xml:space="preserve">. Sobre </w:t>
      </w:r>
      <w:r w:rsidR="00491D39" w:rsidRPr="00CD68BA">
        <w:rPr>
          <w:lang w:val="es-CR"/>
        </w:rPr>
        <w:t>la</w:t>
      </w:r>
      <w:r w:rsidR="0054133F" w:rsidRPr="00CD68BA">
        <w:rPr>
          <w:lang w:val="es-CR"/>
        </w:rPr>
        <w:t>s restricciones para que</w:t>
      </w:r>
      <w:r w:rsidR="00491D39" w:rsidRPr="00CD68BA">
        <w:rPr>
          <w:lang w:val="es-CR"/>
        </w:rPr>
        <w:t xml:space="preserve"> personas defensoras sean beneficiarias</w:t>
      </w:r>
      <w:r w:rsidRPr="00CD68BA">
        <w:rPr>
          <w:lang w:val="es-CR"/>
        </w:rPr>
        <w:t>, cabe resaltar que el Estado señaló lo siguiente:</w:t>
      </w:r>
    </w:p>
    <w:p w14:paraId="6B0E6D10" w14:textId="77777777" w:rsidR="00D00698" w:rsidRPr="00CD68BA" w:rsidRDefault="00D00698" w:rsidP="00A06718">
      <w:pPr>
        <w:pStyle w:val="Prrafodelista"/>
        <w:spacing w:before="0" w:after="0"/>
        <w:ind w:left="0"/>
        <w:contextualSpacing w:val="0"/>
        <w:rPr>
          <w:szCs w:val="20"/>
          <w:lang w:val="es-CR"/>
        </w:rPr>
      </w:pPr>
    </w:p>
    <w:p w14:paraId="237AE46B" w14:textId="77777777" w:rsidR="00D00698" w:rsidRPr="00CD68BA" w:rsidRDefault="00D00698" w:rsidP="00A06718">
      <w:pPr>
        <w:pStyle w:val="Prrafodelista"/>
        <w:spacing w:before="0" w:after="0"/>
        <w:ind w:left="851" w:right="851"/>
        <w:contextualSpacing w:val="0"/>
        <w:rPr>
          <w:sz w:val="16"/>
          <w:szCs w:val="16"/>
          <w:lang w:val="es-CR"/>
        </w:rPr>
      </w:pPr>
      <w:r w:rsidRPr="00CD68BA">
        <w:rPr>
          <w:sz w:val="16"/>
          <w:szCs w:val="16"/>
          <w:lang w:val="es-CR"/>
        </w:rPr>
        <w:t xml:space="preserve">La metodología de atención del PPDDH presupone la remisión de la demanda de inclusión de la persona en situación de amenaza, que debe cumplir ciertos criterios para ser beneficiario de la protección, tales como: (a) voluntariedad en la inclusión; </w:t>
      </w:r>
      <w:r w:rsidRPr="00CD68BA">
        <w:rPr>
          <w:b/>
          <w:bCs/>
          <w:sz w:val="16"/>
          <w:szCs w:val="16"/>
          <w:lang w:val="es-CR"/>
        </w:rPr>
        <w:t>(b) representación de un colectivo y reconocimiento como representante legítimo de este colectivo</w:t>
      </w:r>
      <w:r w:rsidRPr="00CD68BA">
        <w:rPr>
          <w:sz w:val="16"/>
          <w:szCs w:val="16"/>
          <w:lang w:val="es-CR"/>
        </w:rPr>
        <w:t>; y (c) relación de la amenaza sufrida con las actividades del solicitante como defensor de los derechos humanos (énfasis añadido).</w:t>
      </w:r>
    </w:p>
    <w:p w14:paraId="3C999C09" w14:textId="77777777" w:rsidR="00D00698" w:rsidRPr="00CD68BA" w:rsidRDefault="00D00698" w:rsidP="00A06718">
      <w:pPr>
        <w:pStyle w:val="Prrafodelista"/>
        <w:spacing w:before="0" w:after="0"/>
        <w:ind w:left="0"/>
        <w:contextualSpacing w:val="0"/>
        <w:rPr>
          <w:szCs w:val="20"/>
          <w:lang w:val="es-CR"/>
        </w:rPr>
      </w:pPr>
    </w:p>
    <w:p w14:paraId="6C03E3D4" w14:textId="665C3902" w:rsidR="00D00698"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Por lo expuesto, el Estado deberá revisar y adecuar sus mecanismos existentes, en particular el Programa de Protección a los Defensores de Derechos Humanos, Comunicadores </w:t>
      </w:r>
      <w:r w:rsidR="00523870" w:rsidRPr="00CD68BA">
        <w:rPr>
          <w:lang w:val="es-CR"/>
        </w:rPr>
        <w:t>y</w:t>
      </w:r>
      <w:r w:rsidRPr="00CD68BA">
        <w:rPr>
          <w:lang w:val="es-CR"/>
        </w:rPr>
        <w:t xml:space="preserve"> Ambientalistas, a nivel federal y estadual, a efectos de que </w:t>
      </w:r>
      <w:r w:rsidR="00B51EB3" w:rsidRPr="00CD68BA">
        <w:rPr>
          <w:lang w:val="es-CR"/>
        </w:rPr>
        <w:t>sea previsto y reglamentado por una</w:t>
      </w:r>
      <w:r w:rsidRPr="00CD68BA">
        <w:rPr>
          <w:lang w:val="es-CR"/>
        </w:rPr>
        <w:t xml:space="preserve"> ley</w:t>
      </w:r>
      <w:r w:rsidR="00B51EB3" w:rsidRPr="00CD68BA">
        <w:rPr>
          <w:lang w:val="es-CR"/>
        </w:rPr>
        <w:t xml:space="preserve"> ordinaria</w:t>
      </w:r>
      <w:r w:rsidRPr="00CD68BA">
        <w:rPr>
          <w:lang w:val="es-CR"/>
        </w:rPr>
        <w:t xml:space="preserve"> y tenga en cuenta los riesgos inherentes a la actividad de defensa de los derechos humanos, tomando en cuenta, al menos, los siguientes requisitos</w:t>
      </w:r>
      <w:r w:rsidRPr="00CD68BA">
        <w:rPr>
          <w:rStyle w:val="Refdenotaalpie"/>
          <w:lang w:val="es-CR"/>
        </w:rPr>
        <w:footnoteReference w:id="259"/>
      </w:r>
      <w:r w:rsidRPr="00CD68BA">
        <w:rPr>
          <w:lang w:val="es-CR"/>
        </w:rPr>
        <w:t xml:space="preserve">: </w:t>
      </w:r>
    </w:p>
    <w:p w14:paraId="6C481EB2" w14:textId="77777777" w:rsidR="00D00698" w:rsidRPr="00CD68BA" w:rsidRDefault="00D00698" w:rsidP="00A06718">
      <w:pPr>
        <w:pStyle w:val="Prrafodelista"/>
        <w:spacing w:before="0" w:after="0"/>
        <w:ind w:left="0"/>
        <w:contextualSpacing w:val="0"/>
        <w:rPr>
          <w:szCs w:val="20"/>
          <w:lang w:val="es-CR"/>
        </w:rPr>
      </w:pPr>
    </w:p>
    <w:p w14:paraId="25CE750C" w14:textId="3AF81C30" w:rsidR="00D00698" w:rsidRPr="00CD68BA" w:rsidRDefault="00D00698" w:rsidP="00A06718">
      <w:pPr>
        <w:pStyle w:val="Prrafodelista"/>
        <w:numPr>
          <w:ilvl w:val="0"/>
          <w:numId w:val="14"/>
        </w:numPr>
        <w:spacing w:before="0" w:after="0"/>
        <w:contextualSpacing w:val="0"/>
        <w:rPr>
          <w:szCs w:val="20"/>
          <w:lang w:val="es-CR"/>
        </w:rPr>
      </w:pPr>
      <w:r w:rsidRPr="00CD68BA">
        <w:rPr>
          <w:szCs w:val="20"/>
          <w:lang w:val="es-CR"/>
        </w:rPr>
        <w:t xml:space="preserve">la participación paritaria de </w:t>
      </w:r>
      <w:r w:rsidR="00007911" w:rsidRPr="00CD68BA">
        <w:rPr>
          <w:szCs w:val="20"/>
          <w:lang w:val="es-CR"/>
        </w:rPr>
        <w:t xml:space="preserve">personas </w:t>
      </w:r>
      <w:r w:rsidRPr="00CD68BA">
        <w:rPr>
          <w:szCs w:val="20"/>
          <w:lang w:val="es-CR"/>
        </w:rPr>
        <w:t>defensor</w:t>
      </w:r>
      <w:r w:rsidR="00007911" w:rsidRPr="00CD68BA">
        <w:rPr>
          <w:szCs w:val="20"/>
          <w:lang w:val="es-CR"/>
        </w:rPr>
        <w:t>a</w:t>
      </w:r>
      <w:r w:rsidRPr="00CD68BA">
        <w:rPr>
          <w:szCs w:val="20"/>
          <w:lang w:val="es-CR"/>
        </w:rPr>
        <w:t>s de derechos humanos, organizaciones de la sociedad civil y expertos en la elaboración de las normas que puedan regular un programa de protección al colectivo en cuestión</w:t>
      </w:r>
      <w:r w:rsidR="00007911" w:rsidRPr="00CD68BA">
        <w:rPr>
          <w:szCs w:val="20"/>
          <w:lang w:val="es-CR"/>
        </w:rPr>
        <w:t>;</w:t>
      </w:r>
      <w:r w:rsidRPr="00CD68BA">
        <w:rPr>
          <w:szCs w:val="20"/>
          <w:lang w:val="es-CR"/>
        </w:rPr>
        <w:t xml:space="preserve"> </w:t>
      </w:r>
    </w:p>
    <w:p w14:paraId="5B5E3614" w14:textId="77777777" w:rsidR="007029D3" w:rsidRPr="00CD68BA" w:rsidRDefault="007029D3" w:rsidP="00A06718">
      <w:pPr>
        <w:pStyle w:val="Prrafodelista"/>
        <w:spacing w:before="0" w:after="0"/>
        <w:ind w:left="1069"/>
        <w:contextualSpacing w:val="0"/>
        <w:rPr>
          <w:szCs w:val="20"/>
          <w:lang w:val="es-CR"/>
        </w:rPr>
      </w:pPr>
    </w:p>
    <w:p w14:paraId="7C6D13DD" w14:textId="02EE4445" w:rsidR="00D00698" w:rsidRPr="00CD68BA" w:rsidRDefault="00D00698" w:rsidP="00A06718">
      <w:pPr>
        <w:pStyle w:val="Prrafodelista"/>
        <w:numPr>
          <w:ilvl w:val="0"/>
          <w:numId w:val="14"/>
        </w:numPr>
        <w:spacing w:before="0" w:after="0"/>
        <w:contextualSpacing w:val="0"/>
        <w:rPr>
          <w:szCs w:val="20"/>
          <w:lang w:val="es-CR"/>
        </w:rPr>
      </w:pPr>
      <w:r w:rsidRPr="00CD68BA">
        <w:rPr>
          <w:szCs w:val="20"/>
          <w:lang w:val="es-CR"/>
        </w:rPr>
        <w:t xml:space="preserve">contar con criterios </w:t>
      </w:r>
      <w:r w:rsidR="00007911" w:rsidRPr="00CD68BA">
        <w:rPr>
          <w:szCs w:val="20"/>
          <w:lang w:val="es-CR"/>
        </w:rPr>
        <w:t xml:space="preserve">flexibles </w:t>
      </w:r>
      <w:r w:rsidRPr="00CD68BA">
        <w:rPr>
          <w:szCs w:val="20"/>
          <w:lang w:val="es-CR"/>
        </w:rPr>
        <w:t xml:space="preserve">de inclusión de beneficiarios, que respondan a las consideraciones </w:t>
      </w:r>
      <w:r w:rsidR="00007911" w:rsidRPr="00CD68BA">
        <w:rPr>
          <w:szCs w:val="20"/>
          <w:lang w:val="es-CR"/>
        </w:rPr>
        <w:t xml:space="preserve">ya </w:t>
      </w:r>
      <w:r w:rsidRPr="00CD68BA">
        <w:rPr>
          <w:szCs w:val="20"/>
          <w:lang w:val="es-CR"/>
        </w:rPr>
        <w:t>realizadas por este Tribu</w:t>
      </w:r>
      <w:r w:rsidR="00007911" w:rsidRPr="00CD68BA">
        <w:rPr>
          <w:szCs w:val="20"/>
          <w:lang w:val="es-CR"/>
        </w:rPr>
        <w:t>n</w:t>
      </w:r>
      <w:r w:rsidRPr="00CD68BA">
        <w:rPr>
          <w:szCs w:val="20"/>
          <w:lang w:val="es-CR"/>
        </w:rPr>
        <w:t>al respecto al concepto de persona defensora de derechos humanos</w:t>
      </w:r>
      <w:r w:rsidR="00007911" w:rsidRPr="00CD68BA">
        <w:rPr>
          <w:szCs w:val="20"/>
          <w:lang w:val="es-CR"/>
        </w:rPr>
        <w:t>;</w:t>
      </w:r>
      <w:r w:rsidRPr="00CD68BA">
        <w:rPr>
          <w:szCs w:val="20"/>
          <w:lang w:val="es-CR"/>
        </w:rPr>
        <w:t xml:space="preserve"> </w:t>
      </w:r>
    </w:p>
    <w:p w14:paraId="09BDBAF3" w14:textId="77777777" w:rsidR="007029D3" w:rsidRPr="00CD68BA" w:rsidRDefault="007029D3" w:rsidP="00A06718">
      <w:pPr>
        <w:spacing w:before="0" w:after="0"/>
        <w:rPr>
          <w:szCs w:val="20"/>
          <w:lang w:val="es-CR"/>
        </w:rPr>
      </w:pPr>
    </w:p>
    <w:p w14:paraId="7FA00290" w14:textId="78ABCA5D" w:rsidR="00D00698" w:rsidRPr="00CD68BA" w:rsidRDefault="00D00698" w:rsidP="00A06718">
      <w:pPr>
        <w:pStyle w:val="Prrafodelista"/>
        <w:numPr>
          <w:ilvl w:val="0"/>
          <w:numId w:val="14"/>
        </w:numPr>
        <w:spacing w:before="0" w:after="0"/>
        <w:contextualSpacing w:val="0"/>
        <w:rPr>
          <w:szCs w:val="20"/>
          <w:lang w:val="es-CR"/>
        </w:rPr>
      </w:pPr>
      <w:r w:rsidRPr="00CD68BA">
        <w:rPr>
          <w:szCs w:val="20"/>
          <w:lang w:val="es-CR"/>
        </w:rPr>
        <w:t>la creación de un modelo de análisis de riesgo que permita determinar adecuadamente el riesgo y las necesidades de protección de cada defensor o grupo;</w:t>
      </w:r>
    </w:p>
    <w:p w14:paraId="717F5788" w14:textId="77777777" w:rsidR="007029D3" w:rsidRPr="00CD68BA" w:rsidRDefault="007029D3" w:rsidP="00A06718">
      <w:pPr>
        <w:spacing w:before="0" w:after="0"/>
        <w:rPr>
          <w:szCs w:val="20"/>
          <w:lang w:val="es-CR"/>
        </w:rPr>
      </w:pPr>
    </w:p>
    <w:p w14:paraId="388F4320" w14:textId="7AE7F80A" w:rsidR="00D00698" w:rsidRPr="00CD68BA" w:rsidRDefault="00D00698" w:rsidP="00A06718">
      <w:pPr>
        <w:pStyle w:val="Prrafodelista"/>
        <w:numPr>
          <w:ilvl w:val="0"/>
          <w:numId w:val="14"/>
        </w:numPr>
        <w:spacing w:before="0" w:after="0"/>
        <w:contextualSpacing w:val="0"/>
        <w:rPr>
          <w:szCs w:val="20"/>
          <w:lang w:val="es-CR"/>
        </w:rPr>
      </w:pPr>
      <w:r w:rsidRPr="00CD68BA">
        <w:rPr>
          <w:szCs w:val="20"/>
          <w:lang w:val="es-CR"/>
        </w:rPr>
        <w:t xml:space="preserve">el diseño de planes de protección que respondan al riesgo particular de cada defensor y defensora y a las características de su trabajo; </w:t>
      </w:r>
    </w:p>
    <w:p w14:paraId="302393F1" w14:textId="77777777" w:rsidR="007029D3" w:rsidRPr="00CD68BA" w:rsidRDefault="007029D3" w:rsidP="00A06718">
      <w:pPr>
        <w:spacing w:before="0" w:after="0"/>
        <w:rPr>
          <w:szCs w:val="20"/>
          <w:lang w:val="es-CR"/>
        </w:rPr>
      </w:pPr>
    </w:p>
    <w:p w14:paraId="6B0F035B" w14:textId="3314F373" w:rsidR="00D00698" w:rsidRPr="00CD68BA" w:rsidRDefault="00D00698" w:rsidP="00A06718">
      <w:pPr>
        <w:pStyle w:val="Prrafodelista"/>
        <w:numPr>
          <w:ilvl w:val="0"/>
          <w:numId w:val="14"/>
        </w:numPr>
        <w:spacing w:before="0" w:after="0"/>
        <w:contextualSpacing w:val="0"/>
        <w:rPr>
          <w:szCs w:val="20"/>
          <w:lang w:val="es-CR"/>
        </w:rPr>
      </w:pPr>
      <w:r w:rsidRPr="00CD68BA">
        <w:rPr>
          <w:szCs w:val="20"/>
          <w:lang w:val="es-CR"/>
        </w:rPr>
        <w:t xml:space="preserve">la promoción de una cultura de legitimación y protección de la labor de las defensoras y los defensores de derechos humanos, y </w:t>
      </w:r>
    </w:p>
    <w:p w14:paraId="45CC4889" w14:textId="77777777" w:rsidR="007029D3" w:rsidRPr="00CD68BA" w:rsidRDefault="007029D3" w:rsidP="00A06718">
      <w:pPr>
        <w:spacing w:before="0" w:after="0"/>
        <w:rPr>
          <w:szCs w:val="20"/>
          <w:lang w:val="es-CR"/>
        </w:rPr>
      </w:pPr>
    </w:p>
    <w:p w14:paraId="3A00A701" w14:textId="4793289E" w:rsidR="00D00698" w:rsidRPr="00CD68BA" w:rsidRDefault="00D00698" w:rsidP="00A06718">
      <w:pPr>
        <w:pStyle w:val="Prrafodelista"/>
        <w:numPr>
          <w:ilvl w:val="0"/>
          <w:numId w:val="14"/>
        </w:numPr>
        <w:spacing w:before="0" w:after="0"/>
        <w:contextualSpacing w:val="0"/>
        <w:rPr>
          <w:szCs w:val="20"/>
          <w:lang w:val="es-CR"/>
        </w:rPr>
      </w:pPr>
      <w:r w:rsidRPr="00CD68BA">
        <w:rPr>
          <w:szCs w:val="20"/>
          <w:lang w:val="es-CR"/>
        </w:rPr>
        <w:t>la dotación de los recursos humanos y financieros suficientes que responda a las necesidades reales de protección de las personas defensoras de derechos humanos</w:t>
      </w:r>
      <w:r w:rsidR="001D4C12" w:rsidRPr="00CD68BA">
        <w:rPr>
          <w:szCs w:val="20"/>
          <w:lang w:val="es-CR"/>
        </w:rPr>
        <w:t>, a</w:t>
      </w:r>
      <w:r w:rsidRPr="00CD68BA">
        <w:rPr>
          <w:szCs w:val="20"/>
          <w:lang w:val="es-CR"/>
        </w:rPr>
        <w:t>sí como una debida ejecución del presupuesto asignado.</w:t>
      </w:r>
    </w:p>
    <w:p w14:paraId="4613AF66" w14:textId="77777777" w:rsidR="00D00698" w:rsidRPr="00CD68BA" w:rsidRDefault="00D00698" w:rsidP="00A06718">
      <w:pPr>
        <w:pStyle w:val="Prrafodelista"/>
        <w:spacing w:before="0" w:after="0"/>
        <w:ind w:left="1069"/>
        <w:contextualSpacing w:val="0"/>
        <w:rPr>
          <w:szCs w:val="20"/>
          <w:lang w:val="es-CR"/>
        </w:rPr>
      </w:pPr>
    </w:p>
    <w:p w14:paraId="7C3CB451" w14:textId="361FC159" w:rsidR="00D00698" w:rsidRPr="00CD68BA" w:rsidRDefault="00D00698" w:rsidP="00A06718">
      <w:pPr>
        <w:pStyle w:val="Prrafodelista"/>
        <w:numPr>
          <w:ilvl w:val="0"/>
          <w:numId w:val="13"/>
        </w:numPr>
        <w:spacing w:before="0" w:after="0"/>
        <w:ind w:hanging="702"/>
        <w:contextualSpacing w:val="0"/>
        <w:rPr>
          <w:szCs w:val="20"/>
          <w:lang w:val="es-CR"/>
        </w:rPr>
      </w:pPr>
      <w:r w:rsidRPr="00CD68BA">
        <w:rPr>
          <w:szCs w:val="20"/>
          <w:lang w:val="es-CR"/>
        </w:rPr>
        <w:t xml:space="preserve"> </w:t>
      </w:r>
      <w:r w:rsidRPr="00CD68BA">
        <w:rPr>
          <w:i/>
          <w:iCs/>
          <w:szCs w:val="20"/>
          <w:lang w:val="es-CR"/>
        </w:rPr>
        <w:t xml:space="preserve">Recopilación de datos y elaboración de estadísticas </w:t>
      </w:r>
    </w:p>
    <w:p w14:paraId="3FDE8694" w14:textId="77777777" w:rsidR="00D00698" w:rsidRPr="00CD68BA" w:rsidRDefault="00D00698" w:rsidP="00A06718">
      <w:pPr>
        <w:pStyle w:val="Prrafodelista"/>
        <w:spacing w:before="0" w:after="0"/>
        <w:ind w:left="792"/>
        <w:contextualSpacing w:val="0"/>
        <w:rPr>
          <w:szCs w:val="20"/>
          <w:lang w:val="es-CR"/>
        </w:rPr>
      </w:pPr>
    </w:p>
    <w:p w14:paraId="56DDBF0B" w14:textId="2D8B65F3" w:rsidR="00D00698"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El Tribunal entiende que es necesario recolectar información integral sobre la violencia que sufren las personas las personas defensoras de derechos humanos en Brasil, a efectos de dimensionar la magnitud real de este fenómeno y diseñar estrategias</w:t>
      </w:r>
      <w:r w:rsidR="004E40C9" w:rsidRPr="00CD68BA">
        <w:rPr>
          <w:lang w:val="es-CR"/>
        </w:rPr>
        <w:t xml:space="preserve"> y políticas públicas</w:t>
      </w:r>
      <w:r w:rsidRPr="00CD68BA">
        <w:rPr>
          <w:lang w:val="es-CR"/>
        </w:rPr>
        <w:t xml:space="preserve"> para prevenir y erradicar nuevos actos de violencia. En tal sentido, como lo ha hecho en otros casos</w:t>
      </w:r>
      <w:r w:rsidRPr="00CD68BA">
        <w:rPr>
          <w:rStyle w:val="Refdenotaalpie"/>
          <w:lang w:val="es-CR"/>
        </w:rPr>
        <w:footnoteReference w:id="260"/>
      </w:r>
      <w:r w:rsidRPr="00CD68BA">
        <w:rPr>
          <w:lang w:val="es-CR"/>
        </w:rPr>
        <w:t xml:space="preserve">, la Corte ordena al Estado que diseñe e implemente en un plazo de </w:t>
      </w:r>
      <w:r w:rsidR="00EA2537" w:rsidRPr="00CD68BA">
        <w:rPr>
          <w:lang w:val="es-CR"/>
        </w:rPr>
        <w:t>dos</w:t>
      </w:r>
      <w:r w:rsidRPr="00CD68BA">
        <w:rPr>
          <w:lang w:val="es-CR"/>
        </w:rPr>
        <w:t xml:space="preserve"> año</w:t>
      </w:r>
      <w:r w:rsidR="00EA2537" w:rsidRPr="00CD68BA">
        <w:rPr>
          <w:lang w:val="es-CR"/>
        </w:rPr>
        <w:t>s</w:t>
      </w:r>
      <w:r w:rsidRPr="00CD68BA">
        <w:rPr>
          <w:lang w:val="es-CR"/>
        </w:rPr>
        <w:t xml:space="preserve">, a través del organismo </w:t>
      </w:r>
      <w:r w:rsidRPr="00CD68BA">
        <w:rPr>
          <w:lang w:val="es-CR"/>
        </w:rPr>
        <w:lastRenderedPageBreak/>
        <w:t xml:space="preserve">estatal correspondiente, un sistema </w:t>
      </w:r>
      <w:r w:rsidR="00EA2537" w:rsidRPr="00CD68BA">
        <w:rPr>
          <w:lang w:val="es-CR"/>
        </w:rPr>
        <w:t xml:space="preserve">nacional </w:t>
      </w:r>
      <w:r w:rsidRPr="00CD68BA">
        <w:rPr>
          <w:lang w:val="es-CR"/>
        </w:rPr>
        <w:t>de recopilación de datos y cifras vinculadas a los casos de violencia contra las personas defensoras de derechos humanos, con el fin de evaluar con precisión y de manera uniforme el tipo, la prevalencia, las tendencias y las pautas de la violencia contra las personas defensoras de derechos humanos, desglosando los datos por estado, origen étnico, militancia</w:t>
      </w:r>
      <w:r w:rsidR="00EA2537" w:rsidRPr="00CD68BA">
        <w:rPr>
          <w:lang w:val="es-CR"/>
        </w:rPr>
        <w:t>, género</w:t>
      </w:r>
      <w:r w:rsidRPr="00CD68BA">
        <w:rPr>
          <w:lang w:val="es-CR"/>
        </w:rPr>
        <w:t xml:space="preserve"> y edad. Además, se deberá especificar la cantidad de casos que fueron efectivamente judicializados, identificando el número de acusaciones, condenas y absoluciones. Esta información deberá ser difundida anualmente por el Estado a través del informe correspondiente, garantizando su acceso a toda la población en general, y deberá garantizar la reserva de identidad de las víctimas. A tal efecto, el Estado deberá presentar a la Corte un informe anual durante </w:t>
      </w:r>
      <w:r w:rsidR="00DF44A9" w:rsidRPr="00CD68BA">
        <w:rPr>
          <w:lang w:val="es-CR"/>
        </w:rPr>
        <w:t>cinco</w:t>
      </w:r>
      <w:r w:rsidRPr="00CD68BA">
        <w:rPr>
          <w:lang w:val="es-CR"/>
        </w:rPr>
        <w:t xml:space="preserve"> años a partir de la implementación del sistema de recopilación de datos, en el que indique las acciones que se han realizado para tal fin.</w:t>
      </w:r>
    </w:p>
    <w:p w14:paraId="5A1EC169" w14:textId="77777777" w:rsidR="00227664" w:rsidRPr="00CD68BA" w:rsidRDefault="00227664" w:rsidP="00A06718">
      <w:pPr>
        <w:autoSpaceDE w:val="0"/>
        <w:autoSpaceDN w:val="0"/>
        <w:adjustRightInd w:val="0"/>
        <w:spacing w:before="0" w:after="0"/>
        <w:rPr>
          <w:szCs w:val="20"/>
          <w:lang w:val="es-CR"/>
        </w:rPr>
      </w:pPr>
    </w:p>
    <w:p w14:paraId="56B3EF2B" w14:textId="1F9D7BBA" w:rsidR="008D3C5D" w:rsidRPr="00CD68BA" w:rsidRDefault="00847D35" w:rsidP="00A06718">
      <w:pPr>
        <w:pStyle w:val="Prrafodelista"/>
        <w:numPr>
          <w:ilvl w:val="0"/>
          <w:numId w:val="18"/>
        </w:numPr>
        <w:spacing w:before="0" w:after="0"/>
        <w:ind w:left="1440" w:hanging="720"/>
        <w:contextualSpacing w:val="0"/>
        <w:rPr>
          <w:i/>
          <w:iCs/>
          <w:szCs w:val="20"/>
          <w:lang w:val="es-CR"/>
        </w:rPr>
      </w:pPr>
      <w:r w:rsidRPr="00CD68BA">
        <w:rPr>
          <w:i/>
          <w:iCs/>
          <w:szCs w:val="20"/>
          <w:lang w:val="es-CR"/>
        </w:rPr>
        <w:t>Mecanismo</w:t>
      </w:r>
      <w:r w:rsidR="00630EFE" w:rsidRPr="00CD68BA">
        <w:rPr>
          <w:i/>
          <w:iCs/>
          <w:szCs w:val="20"/>
          <w:lang w:val="es-CR"/>
        </w:rPr>
        <w:t xml:space="preserve"> para reapertura de procesos judiciales</w:t>
      </w:r>
    </w:p>
    <w:p w14:paraId="4FEB323E" w14:textId="77777777" w:rsidR="008D3C5D" w:rsidRPr="00CD68BA" w:rsidRDefault="008D3C5D" w:rsidP="00A06718">
      <w:pPr>
        <w:spacing w:before="0" w:after="0"/>
        <w:rPr>
          <w:i/>
          <w:iCs/>
          <w:szCs w:val="20"/>
          <w:lang w:val="es-CR"/>
        </w:rPr>
      </w:pPr>
    </w:p>
    <w:p w14:paraId="78D687F0" w14:textId="5F90CE71" w:rsidR="000D7B29" w:rsidRPr="00CD68BA" w:rsidRDefault="008D3C5D"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En </w:t>
      </w:r>
      <w:r w:rsidR="005E3BD5" w:rsidRPr="00CD68BA">
        <w:rPr>
          <w:lang w:val="es-CR"/>
        </w:rPr>
        <w:t xml:space="preserve">el caso </w:t>
      </w:r>
      <w:r w:rsidR="005E3BD5" w:rsidRPr="00CD68BA">
        <w:rPr>
          <w:i/>
          <w:iCs/>
          <w:lang w:val="es-CR"/>
        </w:rPr>
        <w:t>sub judice</w:t>
      </w:r>
      <w:r w:rsidR="005E3BD5" w:rsidRPr="00CD68BA">
        <w:rPr>
          <w:lang w:val="es-CR"/>
        </w:rPr>
        <w:t>, tal como en otros casos respecto a Brasil</w:t>
      </w:r>
      <w:r w:rsidR="005E3BD5" w:rsidRPr="00CD68BA">
        <w:rPr>
          <w:rStyle w:val="Refdenotaalpie"/>
          <w:lang w:val="es-CR"/>
        </w:rPr>
        <w:footnoteReference w:id="261"/>
      </w:r>
      <w:r w:rsidR="005E3BD5" w:rsidRPr="00CD68BA">
        <w:rPr>
          <w:lang w:val="es-CR"/>
        </w:rPr>
        <w:t>, la Corte ha podido notar la persistencia de una</w:t>
      </w:r>
      <w:r w:rsidR="003F22F2" w:rsidRPr="00CD68BA">
        <w:rPr>
          <w:lang w:val="es-CR"/>
        </w:rPr>
        <w:t xml:space="preserve"> </w:t>
      </w:r>
      <w:r w:rsidR="005E3BD5" w:rsidRPr="00CD68BA">
        <w:rPr>
          <w:lang w:val="es-CR"/>
        </w:rPr>
        <w:t>situación de impunidad</w:t>
      </w:r>
      <w:r w:rsidR="003F22F2" w:rsidRPr="00CD68BA">
        <w:rPr>
          <w:lang w:val="es-CR"/>
        </w:rPr>
        <w:t xml:space="preserve"> </w:t>
      </w:r>
      <w:r w:rsidR="00121ED5" w:rsidRPr="00CD68BA">
        <w:rPr>
          <w:lang w:val="es-CR"/>
        </w:rPr>
        <w:t>debido a</w:t>
      </w:r>
      <w:r w:rsidR="003F22F2" w:rsidRPr="00CD68BA">
        <w:rPr>
          <w:lang w:val="es-CR"/>
        </w:rPr>
        <w:t xml:space="preserve"> la falta de debida diligencia</w:t>
      </w:r>
      <w:r w:rsidR="000D7B29" w:rsidRPr="00CD68BA">
        <w:rPr>
          <w:lang w:val="es-CR"/>
        </w:rPr>
        <w:t xml:space="preserve"> de las autoridades judiciales y </w:t>
      </w:r>
      <w:r w:rsidR="00291B30" w:rsidRPr="00CD68BA">
        <w:rPr>
          <w:lang w:val="es-CR"/>
        </w:rPr>
        <w:t>de</w:t>
      </w:r>
      <w:r w:rsidR="00227664" w:rsidRPr="00CD68BA">
        <w:rPr>
          <w:lang w:val="es-CR"/>
        </w:rPr>
        <w:t xml:space="preserve"> la</w:t>
      </w:r>
      <w:r w:rsidR="00291B30" w:rsidRPr="00CD68BA">
        <w:rPr>
          <w:lang w:val="es-CR"/>
        </w:rPr>
        <w:t xml:space="preserve"> determinación de las respectivas responsabilidades penales en un </w:t>
      </w:r>
      <w:r w:rsidR="000D7B29" w:rsidRPr="00CD68BA">
        <w:rPr>
          <w:lang w:val="es-CR"/>
        </w:rPr>
        <w:t xml:space="preserve">plazo razonable, las cuales han definitivamente contribuido para la declaración de la prescripción en los procesos penales. De ese modo, no se han aclarado por completo las circunstancias </w:t>
      </w:r>
      <w:r w:rsidR="006E5277" w:rsidRPr="00CD68BA">
        <w:rPr>
          <w:lang w:val="es-CR"/>
        </w:rPr>
        <w:t>en que ocurrieron</w:t>
      </w:r>
      <w:r w:rsidR="000D7B29" w:rsidRPr="00CD68BA">
        <w:rPr>
          <w:lang w:val="es-CR"/>
        </w:rPr>
        <w:t xml:space="preserve"> los hechos </w:t>
      </w:r>
      <w:r w:rsidR="00AF1EAA" w:rsidRPr="00CD68BA">
        <w:rPr>
          <w:lang w:val="es-CR"/>
        </w:rPr>
        <w:t>e</w:t>
      </w:r>
      <w:r w:rsidR="000D7B29" w:rsidRPr="00CD68BA">
        <w:rPr>
          <w:lang w:val="es-CR"/>
        </w:rPr>
        <w:t xml:space="preserve"> identificado o sancionado a los responsables.</w:t>
      </w:r>
    </w:p>
    <w:p w14:paraId="0A20A083" w14:textId="77777777" w:rsidR="0071026E" w:rsidRPr="00CD68BA" w:rsidRDefault="0071026E" w:rsidP="00A06718">
      <w:pPr>
        <w:pStyle w:val="Prrafodelista"/>
        <w:autoSpaceDE w:val="0"/>
        <w:autoSpaceDN w:val="0"/>
        <w:adjustRightInd w:val="0"/>
        <w:spacing w:before="0" w:after="0"/>
        <w:ind w:left="0"/>
        <w:contextualSpacing w:val="0"/>
        <w:rPr>
          <w:b/>
          <w:bCs/>
          <w:szCs w:val="20"/>
          <w:lang w:val="es-CR"/>
        </w:rPr>
      </w:pPr>
    </w:p>
    <w:p w14:paraId="0CF34467" w14:textId="7B03E574" w:rsidR="008D3C5D" w:rsidRPr="00CD68BA" w:rsidRDefault="000D7B29"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virtud de lo anterior,</w:t>
      </w:r>
      <w:r w:rsidR="0071026E" w:rsidRPr="00CD68BA">
        <w:rPr>
          <w:lang w:val="es-CR"/>
        </w:rPr>
        <w:t xml:space="preserve"> sin perjuicio de la </w:t>
      </w:r>
      <w:r w:rsidR="00846921" w:rsidRPr="00CD68BA">
        <w:rPr>
          <w:lang w:val="es-CR"/>
        </w:rPr>
        <w:t>obligación de las autoridades</w:t>
      </w:r>
      <w:r w:rsidR="00287391" w:rsidRPr="00CD68BA">
        <w:rPr>
          <w:lang w:val="es-CR"/>
        </w:rPr>
        <w:t xml:space="preserve"> estatales de cumplir las sentencias de este Tribunal</w:t>
      </w:r>
      <w:r w:rsidR="00287391" w:rsidRPr="00CD68BA">
        <w:rPr>
          <w:rStyle w:val="Refdenotaalpie"/>
          <w:lang w:val="es-CR"/>
        </w:rPr>
        <w:footnoteReference w:id="262"/>
      </w:r>
      <w:r w:rsidR="00287391" w:rsidRPr="00CD68BA">
        <w:rPr>
          <w:lang w:val="es-CR"/>
        </w:rPr>
        <w:t xml:space="preserve">, y de realizar el respectivo </w:t>
      </w:r>
      <w:r w:rsidR="0071026E" w:rsidRPr="00CD68BA">
        <w:rPr>
          <w:lang w:val="es-CR"/>
        </w:rPr>
        <w:t>control de convencionalidad</w:t>
      </w:r>
      <w:r w:rsidR="00287391" w:rsidRPr="00CD68BA">
        <w:rPr>
          <w:lang w:val="es-CR"/>
        </w:rPr>
        <w:t xml:space="preserve"> en el marco de sus competencias</w:t>
      </w:r>
      <w:r w:rsidR="0071026E" w:rsidRPr="00CD68BA">
        <w:rPr>
          <w:lang w:val="es-CR"/>
        </w:rPr>
        <w:t>,</w:t>
      </w:r>
      <w:r w:rsidR="005E3BD5" w:rsidRPr="00CD68BA">
        <w:rPr>
          <w:lang w:val="es-CR"/>
        </w:rPr>
        <w:t xml:space="preserve"> </w:t>
      </w:r>
      <w:r w:rsidR="00A402A1" w:rsidRPr="00CD68BA">
        <w:rPr>
          <w:lang w:val="es-CR"/>
        </w:rPr>
        <w:t xml:space="preserve">el Tribunal estima pertinente ordenar al Estado </w:t>
      </w:r>
      <w:r w:rsidR="006F608C" w:rsidRPr="00CD68BA">
        <w:rPr>
          <w:lang w:val="es-CR"/>
        </w:rPr>
        <w:t>que</w:t>
      </w:r>
      <w:r w:rsidR="00A402A1" w:rsidRPr="00CD68BA">
        <w:rPr>
          <w:lang w:val="es-CR"/>
        </w:rPr>
        <w:t xml:space="preserve"> cree, </w:t>
      </w:r>
      <w:r w:rsidR="00846921" w:rsidRPr="00CD68BA">
        <w:rPr>
          <w:lang w:val="es-CR"/>
        </w:rPr>
        <w:t>a la luz de las mejores prácticas</w:t>
      </w:r>
      <w:r w:rsidR="00287391" w:rsidRPr="00CD68BA">
        <w:rPr>
          <w:lang w:val="es-CR"/>
        </w:rPr>
        <w:t xml:space="preserve"> existentes en la materia</w:t>
      </w:r>
      <w:r w:rsidR="00287391" w:rsidRPr="00CD68BA">
        <w:rPr>
          <w:rStyle w:val="Refdenotaalpie"/>
          <w:lang w:val="es-CR"/>
        </w:rPr>
        <w:footnoteReference w:id="263"/>
      </w:r>
      <w:r w:rsidR="00846921" w:rsidRPr="00CD68BA">
        <w:rPr>
          <w:lang w:val="es-CR"/>
        </w:rPr>
        <w:t xml:space="preserve">, </w:t>
      </w:r>
      <w:r w:rsidR="00A402A1" w:rsidRPr="00CD68BA">
        <w:rPr>
          <w:lang w:val="es-CR"/>
        </w:rPr>
        <w:t xml:space="preserve">en el plazo de </w:t>
      </w:r>
      <w:r w:rsidR="00227664" w:rsidRPr="00CD68BA">
        <w:rPr>
          <w:lang w:val="es-CR"/>
        </w:rPr>
        <w:t>tres</w:t>
      </w:r>
      <w:r w:rsidR="00A402A1" w:rsidRPr="00CD68BA">
        <w:rPr>
          <w:lang w:val="es-CR"/>
        </w:rPr>
        <w:t xml:space="preserve"> años, un mecanismo que permita la </w:t>
      </w:r>
      <w:r w:rsidR="00A402A1" w:rsidRPr="00CD68BA">
        <w:rPr>
          <w:lang w:val="es-CR"/>
        </w:rPr>
        <w:lastRenderedPageBreak/>
        <w:t>reapertura de</w:t>
      </w:r>
      <w:r w:rsidR="00B759B0" w:rsidRPr="00CD68BA">
        <w:rPr>
          <w:lang w:val="es-CR"/>
        </w:rPr>
        <w:t xml:space="preserve"> investigaciones y</w:t>
      </w:r>
      <w:r w:rsidR="00A402A1" w:rsidRPr="00CD68BA">
        <w:rPr>
          <w:lang w:val="es-CR"/>
        </w:rPr>
        <w:t xml:space="preserve"> procesos judiciales</w:t>
      </w:r>
      <w:r w:rsidR="006B695A" w:rsidRPr="00CD68BA">
        <w:rPr>
          <w:lang w:val="es-CR"/>
        </w:rPr>
        <w:t>, incluso en los que ha operado la prescripción,</w:t>
      </w:r>
      <w:r w:rsidR="006E5277" w:rsidRPr="00CD68BA">
        <w:rPr>
          <w:lang w:val="es-CR"/>
        </w:rPr>
        <w:t xml:space="preserve"> cuando</w:t>
      </w:r>
      <w:r w:rsidR="0052725C" w:rsidRPr="00CD68BA">
        <w:rPr>
          <w:lang w:val="es-CR"/>
        </w:rPr>
        <w:t>,</w:t>
      </w:r>
      <w:r w:rsidR="006E5277" w:rsidRPr="00CD68BA">
        <w:rPr>
          <w:lang w:val="es-CR"/>
        </w:rPr>
        <w:t xml:space="preserve"> en una sentencia de la Corte Interamericana se determine </w:t>
      </w:r>
      <w:r w:rsidR="00881D11" w:rsidRPr="00CD68BA">
        <w:rPr>
          <w:lang w:val="es-CR"/>
        </w:rPr>
        <w:t>la responsabilidad internacional del Estado por</w:t>
      </w:r>
      <w:r w:rsidR="00B5390C" w:rsidRPr="00CD68BA">
        <w:rPr>
          <w:lang w:val="es-CR"/>
        </w:rPr>
        <w:t xml:space="preserve"> </w:t>
      </w:r>
      <w:r w:rsidR="006E5277" w:rsidRPr="00CD68BA">
        <w:rPr>
          <w:lang w:val="es-CR"/>
        </w:rPr>
        <w:t>el</w:t>
      </w:r>
      <w:r w:rsidR="00B5390C" w:rsidRPr="00CD68BA">
        <w:rPr>
          <w:lang w:val="es-CR"/>
        </w:rPr>
        <w:t xml:space="preserve"> </w:t>
      </w:r>
      <w:r w:rsidR="006E5277" w:rsidRPr="00CD68BA">
        <w:rPr>
          <w:lang w:val="es-CR"/>
        </w:rPr>
        <w:t>incumplimiento de la</w:t>
      </w:r>
      <w:r w:rsidR="00881D11" w:rsidRPr="00CD68BA">
        <w:rPr>
          <w:lang w:val="es-CR"/>
        </w:rPr>
        <w:t xml:space="preserve"> </w:t>
      </w:r>
      <w:r w:rsidR="006E5277" w:rsidRPr="00CD68BA">
        <w:rPr>
          <w:lang w:val="es-CR"/>
        </w:rPr>
        <w:t>obligaci</w:t>
      </w:r>
      <w:r w:rsidR="00881D11" w:rsidRPr="00CD68BA">
        <w:rPr>
          <w:lang w:val="es-CR"/>
        </w:rPr>
        <w:t>ón</w:t>
      </w:r>
      <w:r w:rsidR="006E5277" w:rsidRPr="00CD68BA">
        <w:rPr>
          <w:lang w:val="es-CR"/>
        </w:rPr>
        <w:t xml:space="preserve"> de investigar </w:t>
      </w:r>
      <w:r w:rsidR="006F608C" w:rsidRPr="00CD68BA">
        <w:rPr>
          <w:lang w:val="es-CR"/>
        </w:rPr>
        <w:t xml:space="preserve">violaciones de derechos humanos </w:t>
      </w:r>
      <w:r w:rsidR="00881D11" w:rsidRPr="00CD68BA">
        <w:rPr>
          <w:lang w:val="es-CR"/>
        </w:rPr>
        <w:t>de forma diligente e imparcial</w:t>
      </w:r>
      <w:r w:rsidR="006B695A" w:rsidRPr="00CD68BA">
        <w:rPr>
          <w:lang w:val="es-CR"/>
        </w:rPr>
        <w:t>.</w:t>
      </w:r>
      <w:r w:rsidR="00B314F2" w:rsidRPr="00CD68BA">
        <w:rPr>
          <w:lang w:val="es-CR"/>
        </w:rPr>
        <w:t xml:space="preserve"> </w:t>
      </w:r>
    </w:p>
    <w:p w14:paraId="0CC664DE" w14:textId="77777777" w:rsidR="0065405F" w:rsidRPr="00CD68BA" w:rsidRDefault="0065405F" w:rsidP="00A06718">
      <w:pPr>
        <w:pStyle w:val="Prrafodelista"/>
        <w:spacing w:before="0" w:after="0"/>
        <w:contextualSpacing w:val="0"/>
        <w:rPr>
          <w:b/>
          <w:bCs/>
          <w:szCs w:val="20"/>
          <w:highlight w:val="yellow"/>
          <w:lang w:val="es-CR"/>
        </w:rPr>
      </w:pPr>
    </w:p>
    <w:p w14:paraId="0548B0CD" w14:textId="77777777" w:rsidR="00D00698" w:rsidRPr="00CD68BA" w:rsidRDefault="00D00698" w:rsidP="00A06718">
      <w:pPr>
        <w:pStyle w:val="Prrafodelista"/>
        <w:numPr>
          <w:ilvl w:val="0"/>
          <w:numId w:val="18"/>
        </w:numPr>
        <w:spacing w:before="0" w:after="0"/>
        <w:ind w:left="1440" w:hanging="720"/>
        <w:contextualSpacing w:val="0"/>
        <w:rPr>
          <w:szCs w:val="20"/>
          <w:lang w:val="es-CR"/>
        </w:rPr>
      </w:pPr>
      <w:r w:rsidRPr="00CD68BA">
        <w:rPr>
          <w:i/>
          <w:iCs/>
          <w:szCs w:val="20"/>
          <w:lang w:val="es-CR"/>
        </w:rPr>
        <w:t>Otras garantías de no repetición solicitadas</w:t>
      </w:r>
    </w:p>
    <w:p w14:paraId="13923C19" w14:textId="77948D29" w:rsidR="002356AC" w:rsidRPr="00CD68BA" w:rsidRDefault="002356AC" w:rsidP="00A06718">
      <w:pPr>
        <w:spacing w:before="0" w:after="0"/>
        <w:rPr>
          <w:szCs w:val="20"/>
          <w:lang w:val="es-CR"/>
        </w:rPr>
      </w:pPr>
    </w:p>
    <w:p w14:paraId="0B70EFBD" w14:textId="5D5628F6" w:rsidR="00D00698" w:rsidRPr="00CD68BA" w:rsidRDefault="00D00698"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 Corte estima que la emisión de la presente Sentencia, así como las demás medidas ordenadas, resultan suficientes y adecuadas para remediar las violaciones sufridas por las víctimas. De este modo, no estima necesario ordenar las medidas adicionales en materia de garantías de no repetición solicitadas por los representantes</w:t>
      </w:r>
      <w:r w:rsidRPr="00CD68BA">
        <w:rPr>
          <w:rStyle w:val="Refdenotaalpie"/>
          <w:lang w:val="es-CR"/>
        </w:rPr>
        <w:footnoteReference w:id="264"/>
      </w:r>
      <w:r w:rsidR="00DE4943" w:rsidRPr="00CD68BA">
        <w:rPr>
          <w:lang w:val="es-CR"/>
        </w:rPr>
        <w:t>.</w:t>
      </w:r>
    </w:p>
    <w:p w14:paraId="53FC5410" w14:textId="77777777" w:rsidR="00162D1B" w:rsidRPr="00CD68BA" w:rsidRDefault="00162D1B" w:rsidP="00A06718">
      <w:pPr>
        <w:pStyle w:val="Prrafodelista"/>
        <w:autoSpaceDE w:val="0"/>
        <w:autoSpaceDN w:val="0"/>
        <w:adjustRightInd w:val="0"/>
        <w:spacing w:before="0" w:after="0"/>
        <w:ind w:left="0"/>
        <w:contextualSpacing w:val="0"/>
        <w:rPr>
          <w:b/>
          <w:szCs w:val="20"/>
          <w:lang w:val="es-CR"/>
        </w:rPr>
      </w:pPr>
    </w:p>
    <w:p w14:paraId="13417278" w14:textId="7A9B6CA8" w:rsidR="00821614" w:rsidRPr="00CD68BA" w:rsidRDefault="00821614" w:rsidP="00A06718">
      <w:pPr>
        <w:pStyle w:val="Estilo3"/>
        <w:numPr>
          <w:ilvl w:val="0"/>
          <w:numId w:val="11"/>
        </w:numPr>
        <w:spacing w:line="240" w:lineRule="auto"/>
        <w:ind w:left="810" w:hanging="450"/>
      </w:pPr>
      <w:bookmarkStart w:id="166" w:name="_Toc114778805"/>
      <w:r w:rsidRPr="00CD68BA">
        <w:t>Indemnizaci</w:t>
      </w:r>
      <w:r w:rsidR="00F70675" w:rsidRPr="00CD68BA">
        <w:t>ones</w:t>
      </w:r>
      <w:r w:rsidRPr="00CD68BA">
        <w:t xml:space="preserve"> compensatoria</w:t>
      </w:r>
      <w:r w:rsidR="00F70675" w:rsidRPr="00CD68BA">
        <w:t>s</w:t>
      </w:r>
      <w:bookmarkEnd w:id="166"/>
    </w:p>
    <w:p w14:paraId="29AD9100" w14:textId="77777777" w:rsidR="00911A8F" w:rsidRPr="00CD68BA" w:rsidRDefault="00911A8F" w:rsidP="00A06718">
      <w:pPr>
        <w:spacing w:before="0" w:after="0"/>
        <w:rPr>
          <w:b/>
          <w:i/>
          <w:szCs w:val="20"/>
          <w:lang w:val="es-CR"/>
        </w:rPr>
      </w:pPr>
    </w:p>
    <w:p w14:paraId="02A066D9" w14:textId="7883F147" w:rsidR="00911A8F" w:rsidRPr="00CD68BA" w:rsidRDefault="00911A8F" w:rsidP="00A06718">
      <w:pPr>
        <w:spacing w:before="0" w:after="0"/>
        <w:ind w:left="1170" w:hanging="450"/>
        <w:rPr>
          <w:b/>
          <w:i/>
          <w:iCs/>
          <w:szCs w:val="20"/>
          <w:lang w:val="es-CR"/>
        </w:rPr>
      </w:pPr>
      <w:r w:rsidRPr="00CD68BA">
        <w:rPr>
          <w:i/>
          <w:iCs/>
          <w:szCs w:val="20"/>
          <w:lang w:val="es-CR"/>
        </w:rPr>
        <w:t>F.1. Daño material e inmaterial</w:t>
      </w:r>
    </w:p>
    <w:p w14:paraId="6FE606F7" w14:textId="6C7CB144" w:rsidR="00911A8F" w:rsidRPr="00CD68BA" w:rsidRDefault="00911A8F" w:rsidP="00A06718">
      <w:pPr>
        <w:pStyle w:val="Prrafodelista"/>
        <w:spacing w:before="0" w:after="0"/>
        <w:ind w:left="0"/>
        <w:contextualSpacing w:val="0"/>
        <w:rPr>
          <w:b/>
          <w:i/>
          <w:szCs w:val="20"/>
          <w:lang w:val="es-CR"/>
        </w:rPr>
      </w:pPr>
    </w:p>
    <w:p w14:paraId="00E2A4AE" w14:textId="38A780C3" w:rsidR="00911A8F" w:rsidRPr="00CD68BA" w:rsidRDefault="00911A8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este apartado la Corte analizará en forma conjunta los daños materiales e inmateriales.</w:t>
      </w:r>
    </w:p>
    <w:p w14:paraId="6368D59D" w14:textId="77777777" w:rsidR="00911A8F" w:rsidRPr="00CD68BA" w:rsidRDefault="00911A8F" w:rsidP="00A06718">
      <w:pPr>
        <w:pStyle w:val="Prrafodelista"/>
        <w:autoSpaceDE w:val="0"/>
        <w:autoSpaceDN w:val="0"/>
        <w:adjustRightInd w:val="0"/>
        <w:spacing w:before="0" w:after="0"/>
        <w:ind w:left="0"/>
        <w:contextualSpacing w:val="0"/>
        <w:rPr>
          <w:b/>
          <w:szCs w:val="20"/>
          <w:lang w:val="es-CR"/>
        </w:rPr>
      </w:pPr>
    </w:p>
    <w:p w14:paraId="744D822D" w14:textId="47739870" w:rsidR="00911A8F" w:rsidRPr="00CD68BA" w:rsidRDefault="00911A8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bidi="en-US"/>
        </w:rPr>
        <w:t xml:space="preserve">La </w:t>
      </w:r>
      <w:r w:rsidRPr="00CD68BA">
        <w:rPr>
          <w:b/>
          <w:i/>
          <w:lang w:val="es-CR" w:bidi="en-US"/>
        </w:rPr>
        <w:t xml:space="preserve">Comisión </w:t>
      </w:r>
      <w:r w:rsidRPr="00CD68BA">
        <w:rPr>
          <w:lang w:val="es-CR" w:bidi="en-US"/>
        </w:rPr>
        <w:t>solicitó que la Corte ordene al Estado de Brasil una indemnización pecuniaria que abarque los daños materiales e inmateriales causados.</w:t>
      </w:r>
    </w:p>
    <w:p w14:paraId="6B2CCFC6" w14:textId="77777777" w:rsidR="00911A8F" w:rsidRPr="00CD68BA" w:rsidRDefault="00911A8F" w:rsidP="00A06718">
      <w:pPr>
        <w:pStyle w:val="Prrafodelista"/>
        <w:spacing w:before="0" w:after="0"/>
        <w:contextualSpacing w:val="0"/>
        <w:rPr>
          <w:szCs w:val="20"/>
          <w:lang w:val="es-CR" w:eastAsia="es-ES"/>
        </w:rPr>
      </w:pPr>
    </w:p>
    <w:p w14:paraId="5D378CD5" w14:textId="73E30C87" w:rsidR="00911A8F" w:rsidRPr="00CD68BA" w:rsidRDefault="00911A8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Los </w:t>
      </w:r>
      <w:r w:rsidRPr="00CD68BA">
        <w:rPr>
          <w:b/>
          <w:i/>
          <w:lang w:val="es-CR"/>
        </w:rPr>
        <w:t xml:space="preserve">Representantes </w:t>
      </w:r>
      <w:r w:rsidRPr="00CD68BA">
        <w:rPr>
          <w:lang w:val="es-CR"/>
        </w:rPr>
        <w:t>solicitaron a la Corte ordenar al Estado que p</w:t>
      </w:r>
      <w:r w:rsidRPr="00CD68BA">
        <w:rPr>
          <w:rFonts w:eastAsia="Calibri"/>
          <w:lang w:val="es-CR"/>
        </w:rPr>
        <w:t xml:space="preserve">ague a las presuntas víctimas una suma, determinada en equidad por el Tribunal, por concepto de daño material. Indicaron que, a lo largo de la tramitación de los procesos, realizaron diversos viajes para poder participar en estos y contrataron personas abogadas. Además, solicitaron que, en virtud del impacto emocional causado, así como el sufrimiento, la sensación de impotencia y demás consecuencias emocionales generadas por la falta de justicia, el Estado pague a cada una de las presuntas víctimas, una suma determinada en equidad por la Corte, por concepto de daño inmaterial. </w:t>
      </w:r>
    </w:p>
    <w:p w14:paraId="17F080BE" w14:textId="77777777" w:rsidR="00911A8F" w:rsidRPr="00CD68BA" w:rsidRDefault="00911A8F" w:rsidP="00A06718">
      <w:pPr>
        <w:pStyle w:val="Prrafodelista"/>
        <w:spacing w:before="0" w:after="0"/>
        <w:contextualSpacing w:val="0"/>
        <w:rPr>
          <w:rFonts w:eastAsia="Calibri"/>
          <w:szCs w:val="20"/>
          <w:lang w:val="es-CR"/>
        </w:rPr>
      </w:pPr>
    </w:p>
    <w:p w14:paraId="49193977" w14:textId="588166F5" w:rsidR="00911A8F" w:rsidRPr="00CD68BA" w:rsidRDefault="00911A8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rFonts w:eastAsia="Calibri"/>
          <w:lang w:val="es-CR"/>
        </w:rPr>
        <w:t xml:space="preserve">El </w:t>
      </w:r>
      <w:r w:rsidRPr="00CD68BA">
        <w:rPr>
          <w:rFonts w:eastAsia="Calibri"/>
          <w:b/>
          <w:i/>
          <w:lang w:val="es-CR"/>
        </w:rPr>
        <w:t xml:space="preserve">Estado </w:t>
      </w:r>
      <w:r w:rsidRPr="00CD68BA">
        <w:rPr>
          <w:rFonts w:eastAsia="Calibri"/>
          <w:lang w:val="es-CR"/>
        </w:rPr>
        <w:t xml:space="preserve">indicó que carece </w:t>
      </w:r>
      <w:r w:rsidRPr="00CD68BA">
        <w:rPr>
          <w:lang w:val="es-CR"/>
        </w:rPr>
        <w:t>de responsabilidad internacional por la violación de los artículos de la Convención, por lo que no le corresponde reparar a las presuntas víctimas. Señaló que, en la eventualidad de declarársele responsable, el Tribunal analice la medida solicitada con base en la prueba “efectivamente producida” y que conste en autos.</w:t>
      </w:r>
    </w:p>
    <w:p w14:paraId="48ED545F" w14:textId="77777777" w:rsidR="00911A8F" w:rsidRPr="00CD68BA" w:rsidRDefault="00911A8F" w:rsidP="00A06718">
      <w:pPr>
        <w:pStyle w:val="Prrafodelista"/>
        <w:spacing w:before="0" w:after="0"/>
        <w:contextualSpacing w:val="0"/>
        <w:rPr>
          <w:szCs w:val="20"/>
          <w:lang w:val="es-CR"/>
        </w:rPr>
      </w:pPr>
    </w:p>
    <w:p w14:paraId="1E56ABED" w14:textId="3E7D9B9E" w:rsidR="00911A8F" w:rsidRPr="00CD68BA" w:rsidRDefault="00911A8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Este </w:t>
      </w:r>
      <w:r w:rsidRPr="00CD68BA">
        <w:rPr>
          <w:b/>
          <w:i/>
          <w:lang w:val="es-CR"/>
        </w:rPr>
        <w:t>Tribunal</w:t>
      </w:r>
      <w:r w:rsidRPr="00CD68BA">
        <w:rPr>
          <w:i/>
          <w:lang w:val="es-CR"/>
        </w:rPr>
        <w:t xml:space="preserve"> </w:t>
      </w:r>
      <w:r w:rsidRPr="00CD68BA">
        <w:rPr>
          <w:lang w:val="es-CR"/>
        </w:rPr>
        <w:t>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CD68BA">
        <w:rPr>
          <w:rStyle w:val="Refdenotaalpie"/>
          <w:lang w:val="es-CR"/>
        </w:rPr>
        <w:footnoteReference w:id="265"/>
      </w:r>
      <w:r w:rsidRPr="00CD68BA">
        <w:rPr>
          <w:lang w:val="es-CR"/>
        </w:rPr>
        <w:t>. Asimismo, ha establecido en su jurisprudencia que el daño inmaterial puede comprender</w:t>
      </w:r>
      <w:r w:rsidRPr="00CD68BA">
        <w:rPr>
          <w:spacing w:val="-1"/>
          <w:lang w:val="es-CR"/>
        </w:rPr>
        <w:t xml:space="preserve"> </w:t>
      </w:r>
      <w:r w:rsidRPr="00CD68BA">
        <w:rPr>
          <w:lang w:val="es-CR"/>
        </w:rPr>
        <w:t>tanto los sufrimientos y las aflicciones causados por la violación como el menoscabo de valores muy significativos para las personas y cualquier alteración, de carácter no pecuniario, en las condiciones de existencia de las víctimas o su familia</w:t>
      </w:r>
      <w:r w:rsidRPr="00CD68BA">
        <w:rPr>
          <w:rStyle w:val="Refdenotaalpie"/>
          <w:lang w:val="es-CR"/>
        </w:rPr>
        <w:footnoteReference w:id="266"/>
      </w:r>
      <w:r w:rsidRPr="00CD68BA">
        <w:rPr>
          <w:lang w:val="es-CR"/>
        </w:rPr>
        <w:t xml:space="preserve">. Por otra parte, dado que no es posible asignar al daño inmaterial un equivalente monetario preciso, sólo puede ser objeto de compensación, para los fines </w:t>
      </w:r>
      <w:r w:rsidRPr="00CD68BA">
        <w:rPr>
          <w:lang w:val="es-CR"/>
        </w:rPr>
        <w:lastRenderedPageBreak/>
        <w:t>de la reparación integral a las víctimas, mediante el pago de una cantidad de dinero o la entrega de bienes</w:t>
      </w:r>
      <w:r w:rsidRPr="00CD68BA">
        <w:rPr>
          <w:spacing w:val="-10"/>
          <w:lang w:val="es-CR"/>
        </w:rPr>
        <w:t xml:space="preserve"> </w:t>
      </w:r>
      <w:r w:rsidRPr="00CD68BA">
        <w:rPr>
          <w:lang w:val="es-CR"/>
        </w:rPr>
        <w:t>o</w:t>
      </w:r>
      <w:r w:rsidRPr="00CD68BA">
        <w:rPr>
          <w:spacing w:val="-12"/>
          <w:lang w:val="es-CR"/>
        </w:rPr>
        <w:t xml:space="preserve"> </w:t>
      </w:r>
      <w:r w:rsidRPr="00CD68BA">
        <w:rPr>
          <w:lang w:val="es-CR"/>
        </w:rPr>
        <w:t>servicios</w:t>
      </w:r>
      <w:r w:rsidRPr="00CD68BA">
        <w:rPr>
          <w:spacing w:val="-14"/>
          <w:lang w:val="es-CR"/>
        </w:rPr>
        <w:t xml:space="preserve"> </w:t>
      </w:r>
      <w:r w:rsidRPr="00CD68BA">
        <w:rPr>
          <w:lang w:val="es-CR"/>
        </w:rPr>
        <w:t>apreciables</w:t>
      </w:r>
      <w:r w:rsidRPr="00CD68BA">
        <w:rPr>
          <w:spacing w:val="-12"/>
          <w:lang w:val="es-CR"/>
        </w:rPr>
        <w:t xml:space="preserve"> </w:t>
      </w:r>
      <w:r w:rsidRPr="00CD68BA">
        <w:rPr>
          <w:lang w:val="es-CR"/>
        </w:rPr>
        <w:t>en</w:t>
      </w:r>
      <w:r w:rsidRPr="00CD68BA">
        <w:rPr>
          <w:spacing w:val="-10"/>
          <w:lang w:val="es-CR"/>
        </w:rPr>
        <w:t xml:space="preserve"> </w:t>
      </w:r>
      <w:r w:rsidRPr="00CD68BA">
        <w:rPr>
          <w:lang w:val="es-CR"/>
        </w:rPr>
        <w:t>dinero,</w:t>
      </w:r>
      <w:r w:rsidRPr="00CD68BA">
        <w:rPr>
          <w:spacing w:val="-14"/>
          <w:lang w:val="es-CR"/>
        </w:rPr>
        <w:t xml:space="preserve"> </w:t>
      </w:r>
      <w:r w:rsidRPr="00CD68BA">
        <w:rPr>
          <w:lang w:val="es-CR"/>
        </w:rPr>
        <w:t>que</w:t>
      </w:r>
      <w:r w:rsidRPr="00CD68BA">
        <w:rPr>
          <w:spacing w:val="-12"/>
          <w:lang w:val="es-CR"/>
        </w:rPr>
        <w:t xml:space="preserve"> </w:t>
      </w:r>
      <w:r w:rsidRPr="00CD68BA">
        <w:rPr>
          <w:lang w:val="es-CR"/>
        </w:rPr>
        <w:t>el</w:t>
      </w:r>
      <w:r w:rsidRPr="00CD68BA">
        <w:rPr>
          <w:spacing w:val="-11"/>
          <w:lang w:val="es-CR"/>
        </w:rPr>
        <w:t xml:space="preserve"> </w:t>
      </w:r>
      <w:r w:rsidRPr="00CD68BA">
        <w:rPr>
          <w:lang w:val="es-CR"/>
        </w:rPr>
        <w:t>Tribunal</w:t>
      </w:r>
      <w:r w:rsidRPr="00CD68BA">
        <w:rPr>
          <w:spacing w:val="-13"/>
          <w:lang w:val="es-CR"/>
        </w:rPr>
        <w:t xml:space="preserve"> </w:t>
      </w:r>
      <w:r w:rsidRPr="00CD68BA">
        <w:rPr>
          <w:lang w:val="es-CR"/>
        </w:rPr>
        <w:t>determine</w:t>
      </w:r>
      <w:r w:rsidRPr="00CD68BA">
        <w:rPr>
          <w:spacing w:val="-10"/>
          <w:lang w:val="es-CR"/>
        </w:rPr>
        <w:t xml:space="preserve"> </w:t>
      </w:r>
      <w:r w:rsidRPr="00CD68BA">
        <w:rPr>
          <w:lang w:val="es-CR"/>
        </w:rPr>
        <w:t>en</w:t>
      </w:r>
      <w:r w:rsidRPr="00CD68BA">
        <w:rPr>
          <w:spacing w:val="-13"/>
          <w:lang w:val="es-CR"/>
        </w:rPr>
        <w:t xml:space="preserve"> </w:t>
      </w:r>
      <w:r w:rsidRPr="00CD68BA">
        <w:rPr>
          <w:lang w:val="es-CR"/>
        </w:rPr>
        <w:t>aplicación</w:t>
      </w:r>
      <w:r w:rsidRPr="00CD68BA">
        <w:rPr>
          <w:spacing w:val="-10"/>
          <w:lang w:val="es-CR"/>
        </w:rPr>
        <w:t xml:space="preserve"> </w:t>
      </w:r>
      <w:r w:rsidRPr="00CD68BA">
        <w:rPr>
          <w:lang w:val="es-CR"/>
        </w:rPr>
        <w:t>razonable</w:t>
      </w:r>
      <w:r w:rsidRPr="00CD68BA">
        <w:rPr>
          <w:spacing w:val="-13"/>
          <w:lang w:val="es-CR"/>
        </w:rPr>
        <w:t xml:space="preserve"> </w:t>
      </w:r>
      <w:r w:rsidRPr="00CD68BA">
        <w:rPr>
          <w:lang w:val="es-CR"/>
        </w:rPr>
        <w:t>del</w:t>
      </w:r>
      <w:r w:rsidRPr="00CD68BA">
        <w:rPr>
          <w:spacing w:val="-11"/>
          <w:lang w:val="es-CR"/>
        </w:rPr>
        <w:t xml:space="preserve"> </w:t>
      </w:r>
      <w:r w:rsidRPr="00CD68BA">
        <w:rPr>
          <w:lang w:val="es-CR"/>
        </w:rPr>
        <w:t>arbitrio judicial y en términos de equidad</w:t>
      </w:r>
      <w:r w:rsidRPr="00CD68BA">
        <w:rPr>
          <w:rStyle w:val="Refdenotaalpie"/>
          <w:lang w:val="es-CR"/>
        </w:rPr>
        <w:footnoteReference w:id="267"/>
      </w:r>
      <w:r w:rsidRPr="00CD68BA">
        <w:rPr>
          <w:lang w:val="es-CR"/>
        </w:rPr>
        <w:t>.</w:t>
      </w:r>
    </w:p>
    <w:p w14:paraId="73C7DCE7" w14:textId="77777777" w:rsidR="005D19DE" w:rsidRPr="00CD68BA" w:rsidRDefault="005D19DE" w:rsidP="00A06718">
      <w:pPr>
        <w:pStyle w:val="Prrafodelista"/>
        <w:autoSpaceDE w:val="0"/>
        <w:autoSpaceDN w:val="0"/>
        <w:adjustRightInd w:val="0"/>
        <w:spacing w:before="0" w:after="0"/>
        <w:ind w:left="0"/>
        <w:contextualSpacing w:val="0"/>
        <w:rPr>
          <w:szCs w:val="20"/>
          <w:lang w:val="es-CR"/>
        </w:rPr>
      </w:pPr>
    </w:p>
    <w:p w14:paraId="77D501A9" w14:textId="52BFBF37" w:rsidR="00911A8F" w:rsidRPr="00CD68BA" w:rsidRDefault="00911A8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cuanto a daño material, la Corte advierte que, pese a que no fueron aportados comprobantes de gastos, es de presumir que los familiares de Gabriel Sales Pimenta, en particular su madre Maria da Glória Sales Pimenta y su hermano Rafael Sales Pimenta incurrieron, respectivamente, en diversos gastos con motivo de su participación en la demanda de indemnización por daños morales (</w:t>
      </w:r>
      <w:r w:rsidRPr="00CD68BA">
        <w:rPr>
          <w:i/>
          <w:iCs/>
          <w:lang w:val="es-CR"/>
        </w:rPr>
        <w:t xml:space="preserve">supra </w:t>
      </w:r>
      <w:r w:rsidRPr="00CD68BA">
        <w:rPr>
          <w:lang w:val="es-CR"/>
        </w:rPr>
        <w:t xml:space="preserve">párr. </w:t>
      </w:r>
      <w:r w:rsidR="007D4AEC" w:rsidRPr="00CD68BA">
        <w:rPr>
          <w:lang w:val="es-CR"/>
        </w:rPr>
        <w:t>70</w:t>
      </w:r>
      <w:r w:rsidRPr="00CD68BA">
        <w:rPr>
          <w:lang w:val="es-CR"/>
        </w:rPr>
        <w:t>), y el proceso penal (</w:t>
      </w:r>
      <w:r w:rsidRPr="00CD68BA">
        <w:rPr>
          <w:i/>
          <w:iCs/>
          <w:lang w:val="es-CR"/>
        </w:rPr>
        <w:t xml:space="preserve">supra </w:t>
      </w:r>
      <w:r w:rsidRPr="00CD68BA">
        <w:rPr>
          <w:lang w:val="es-CR"/>
        </w:rPr>
        <w:t xml:space="preserve">párrs. </w:t>
      </w:r>
      <w:r w:rsidR="007D4AEC" w:rsidRPr="00CD68BA">
        <w:rPr>
          <w:lang w:val="es-CR"/>
        </w:rPr>
        <w:t>62</w:t>
      </w:r>
      <w:r w:rsidRPr="00CD68BA">
        <w:rPr>
          <w:i/>
          <w:iCs/>
          <w:lang w:val="es-CR"/>
        </w:rPr>
        <w:t xml:space="preserve"> </w:t>
      </w:r>
      <w:r w:rsidRPr="00CD68BA">
        <w:rPr>
          <w:lang w:val="es-CR"/>
        </w:rPr>
        <w:t xml:space="preserve">a </w:t>
      </w:r>
      <w:r w:rsidR="007D4AEC" w:rsidRPr="00CD68BA">
        <w:rPr>
          <w:lang w:val="es-CR"/>
        </w:rPr>
        <w:t>68</w:t>
      </w:r>
      <w:r w:rsidRPr="00CD68BA">
        <w:rPr>
          <w:lang w:val="es-CR"/>
        </w:rPr>
        <w:t>) y procedimiento seguido ante el Consejo Nacional de Justicia (</w:t>
      </w:r>
      <w:r w:rsidRPr="00CD68BA">
        <w:rPr>
          <w:i/>
          <w:iCs/>
          <w:lang w:val="es-CR"/>
        </w:rPr>
        <w:t xml:space="preserve">supra </w:t>
      </w:r>
      <w:r w:rsidRPr="00CD68BA">
        <w:rPr>
          <w:lang w:val="es-CR"/>
        </w:rPr>
        <w:t xml:space="preserve">párrs. </w:t>
      </w:r>
      <w:r w:rsidR="007D4AEC" w:rsidRPr="00CD68BA">
        <w:rPr>
          <w:lang w:val="es-CR"/>
        </w:rPr>
        <w:t>69</w:t>
      </w:r>
      <w:r w:rsidRPr="00CD68BA">
        <w:rPr>
          <w:lang w:val="es-CR"/>
        </w:rPr>
        <w:t xml:space="preserve">). Por tanto, la Corte resuelve fijar por concepto de daño material una compensación en equidad correspondiente a USD$ </w:t>
      </w:r>
      <w:r w:rsidR="006D574E" w:rsidRPr="00CD68BA">
        <w:rPr>
          <w:lang w:val="es-CR"/>
        </w:rPr>
        <w:t>2</w:t>
      </w:r>
      <w:r w:rsidR="00785BFD" w:rsidRPr="00CD68BA">
        <w:rPr>
          <w:lang w:val="es-CR"/>
        </w:rPr>
        <w:t>0.000,00</w:t>
      </w:r>
      <w:r w:rsidRPr="00CD68BA">
        <w:rPr>
          <w:lang w:val="es-CR"/>
        </w:rPr>
        <w:t xml:space="preserve"> (</w:t>
      </w:r>
      <w:r w:rsidR="00B025AF" w:rsidRPr="00CD68BA">
        <w:rPr>
          <w:lang w:val="es-CR"/>
        </w:rPr>
        <w:t>veinte</w:t>
      </w:r>
      <w:r w:rsidR="00785BFD" w:rsidRPr="00CD68BA">
        <w:rPr>
          <w:lang w:val="es-CR"/>
        </w:rPr>
        <w:t xml:space="preserve"> mil</w:t>
      </w:r>
      <w:r w:rsidRPr="00CD68BA">
        <w:rPr>
          <w:lang w:val="es-CR"/>
        </w:rPr>
        <w:t xml:space="preserve"> dólares de los Estados Unidos de América) a favor de Maria da Glória Sales Pimenta, la cual </w:t>
      </w:r>
      <w:bookmarkStart w:id="167" w:name="_Hlk104418333"/>
      <w:r w:rsidRPr="00CD68BA">
        <w:rPr>
          <w:lang w:val="es-CR"/>
        </w:rPr>
        <w:t>deberá ser entregada a sus derechohabientes en los términos previstos por el régimen legal de sucesiones vigente en Brasil</w:t>
      </w:r>
      <w:bookmarkEnd w:id="167"/>
      <w:r w:rsidRPr="00CD68BA">
        <w:rPr>
          <w:lang w:val="es-CR"/>
        </w:rPr>
        <w:t>, de USD$</w:t>
      </w:r>
      <w:r w:rsidR="00785BFD" w:rsidRPr="00CD68BA">
        <w:rPr>
          <w:lang w:val="es-CR"/>
        </w:rPr>
        <w:t xml:space="preserve"> </w:t>
      </w:r>
      <w:r w:rsidR="006D574E" w:rsidRPr="00CD68BA">
        <w:rPr>
          <w:lang w:val="es-CR"/>
        </w:rPr>
        <w:t>30</w:t>
      </w:r>
      <w:r w:rsidR="00785BFD" w:rsidRPr="00CD68BA">
        <w:rPr>
          <w:lang w:val="es-CR"/>
        </w:rPr>
        <w:t>.000,00</w:t>
      </w:r>
      <w:r w:rsidRPr="00CD68BA">
        <w:rPr>
          <w:lang w:val="es-CR"/>
        </w:rPr>
        <w:t xml:space="preserve"> (</w:t>
      </w:r>
      <w:r w:rsidR="00F31640" w:rsidRPr="00CD68BA">
        <w:rPr>
          <w:lang w:val="es-CR"/>
        </w:rPr>
        <w:t>treinta</w:t>
      </w:r>
      <w:r w:rsidR="00785BFD" w:rsidRPr="00CD68BA">
        <w:rPr>
          <w:lang w:val="es-CR"/>
        </w:rPr>
        <w:t xml:space="preserve"> mil</w:t>
      </w:r>
      <w:r w:rsidRPr="00CD68BA">
        <w:rPr>
          <w:lang w:val="es-CR"/>
        </w:rPr>
        <w:t xml:space="preserve"> dólares de los Estados Unidos de América) a favor de Rafael Sales Pimenta</w:t>
      </w:r>
      <w:r w:rsidR="00785BFD" w:rsidRPr="00CD68BA">
        <w:rPr>
          <w:lang w:val="es-CR"/>
        </w:rPr>
        <w:t>, y de USD$ 1</w:t>
      </w:r>
      <w:r w:rsidR="00B025AF" w:rsidRPr="00CD68BA">
        <w:rPr>
          <w:lang w:val="es-CR"/>
        </w:rPr>
        <w:t>0</w:t>
      </w:r>
      <w:r w:rsidR="00785BFD" w:rsidRPr="00CD68BA">
        <w:rPr>
          <w:lang w:val="es-CR"/>
        </w:rPr>
        <w:t>.000,00 (</w:t>
      </w:r>
      <w:r w:rsidR="00B025AF" w:rsidRPr="00CD68BA">
        <w:rPr>
          <w:lang w:val="es-CR"/>
        </w:rPr>
        <w:t>diez</w:t>
      </w:r>
      <w:r w:rsidR="00785BFD" w:rsidRPr="00CD68BA">
        <w:rPr>
          <w:lang w:val="es-CR"/>
        </w:rPr>
        <w:t xml:space="preserve"> mil dólares de los Estados Unidos de América) a favor de</w:t>
      </w:r>
      <w:r w:rsidR="00165490" w:rsidRPr="00CD68BA">
        <w:rPr>
          <w:lang w:val="es-CR"/>
        </w:rPr>
        <w:t xml:space="preserve"> cada un</w:t>
      </w:r>
      <w:r w:rsidR="00694BCA" w:rsidRPr="00CD68BA">
        <w:rPr>
          <w:lang w:val="es-CR"/>
        </w:rPr>
        <w:t>o</w:t>
      </w:r>
      <w:r w:rsidR="00165490" w:rsidRPr="00CD68BA">
        <w:rPr>
          <w:lang w:val="es-CR"/>
        </w:rPr>
        <w:t xml:space="preserve"> de los demás hermanos de Gabriel Sales Pimenta</w:t>
      </w:r>
      <w:r w:rsidR="000C5C5B" w:rsidRPr="00CD68BA">
        <w:rPr>
          <w:rStyle w:val="Refdenotaalpie"/>
          <w:lang w:val="es-CR"/>
        </w:rPr>
        <w:footnoteReference w:id="268"/>
      </w:r>
      <w:r w:rsidRPr="00CD68BA">
        <w:rPr>
          <w:lang w:val="es-CR"/>
        </w:rPr>
        <w:t>.</w:t>
      </w:r>
    </w:p>
    <w:p w14:paraId="5ECCCEFE" w14:textId="77777777" w:rsidR="00911A8F" w:rsidRPr="00CD68BA" w:rsidRDefault="00911A8F" w:rsidP="00A06718">
      <w:pPr>
        <w:pStyle w:val="Prrafodelista"/>
        <w:spacing w:before="0" w:after="0"/>
        <w:contextualSpacing w:val="0"/>
        <w:rPr>
          <w:szCs w:val="20"/>
          <w:lang w:val="es-CR"/>
        </w:rPr>
      </w:pPr>
    </w:p>
    <w:p w14:paraId="5DFB78DA" w14:textId="5DD57BA2" w:rsidR="00911A8F" w:rsidRPr="00CD68BA" w:rsidRDefault="00911A8F"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Asimismo, en atención a las circunstancias del presente caso, la entidad, carácter y gravedad de las violaciones cometidas, los sufrimientos señalados (</w:t>
      </w:r>
      <w:r w:rsidRPr="00CD68BA">
        <w:rPr>
          <w:i/>
          <w:iCs/>
          <w:lang w:val="es-CR"/>
        </w:rPr>
        <w:t>supra</w:t>
      </w:r>
      <w:r w:rsidRPr="00CD68BA">
        <w:rPr>
          <w:lang w:val="es-CR"/>
        </w:rPr>
        <w:t xml:space="preserve"> párrs</w:t>
      </w:r>
      <w:r w:rsidR="008F50A4" w:rsidRPr="00CD68BA">
        <w:rPr>
          <w:lang w:val="es-CR"/>
        </w:rPr>
        <w:t>.</w:t>
      </w:r>
      <w:r w:rsidRPr="00CD68BA">
        <w:rPr>
          <w:lang w:val="es-CR"/>
        </w:rPr>
        <w:t xml:space="preserve"> </w:t>
      </w:r>
      <w:r w:rsidR="00380571" w:rsidRPr="00CD68BA">
        <w:rPr>
          <w:lang w:val="es-CR"/>
        </w:rPr>
        <w:t>126</w:t>
      </w:r>
      <w:r w:rsidRPr="00CD68BA">
        <w:rPr>
          <w:lang w:val="es-CR"/>
        </w:rPr>
        <w:t xml:space="preserve"> a </w:t>
      </w:r>
      <w:r w:rsidR="00380571" w:rsidRPr="00CD68BA">
        <w:rPr>
          <w:lang w:val="es-CR"/>
        </w:rPr>
        <w:t>133</w:t>
      </w:r>
      <w:r w:rsidRPr="00CD68BA">
        <w:rPr>
          <w:lang w:val="es-CR"/>
        </w:rPr>
        <w:t xml:space="preserve">), y el tiempo transcurrido desde el momento de los hechos, la Corte considera adecuado ordenar el pago de </w:t>
      </w:r>
      <w:r w:rsidR="00A778F5" w:rsidRPr="00CD68BA">
        <w:rPr>
          <w:lang w:val="es-CR"/>
        </w:rPr>
        <w:t xml:space="preserve">una </w:t>
      </w:r>
      <w:r w:rsidRPr="00CD68BA">
        <w:rPr>
          <w:lang w:val="es-CR"/>
        </w:rPr>
        <w:t>indemnización por concepto de daño inmaterial a favor de los familiares de Gabriel Sales Pimenta</w:t>
      </w:r>
      <w:r w:rsidR="00A778F5" w:rsidRPr="00CD68BA">
        <w:rPr>
          <w:lang w:val="es-CR"/>
        </w:rPr>
        <w:t>, lo cual incluirá el monto indemnizatorio en virtud de la imposibilidad de reabrir la investigación penal sobre el homicidio del señor Sales Pimenta</w:t>
      </w:r>
      <w:r w:rsidRPr="00CD68BA">
        <w:rPr>
          <w:lang w:val="es-CR"/>
        </w:rPr>
        <w:t xml:space="preserve">. En consecuencia, el Tribunal dispone, en equidad, que el Estado debe otorgar, por daño inmaterial, una indemnización de USD$ </w:t>
      </w:r>
      <w:r w:rsidR="0012490F" w:rsidRPr="00CD68BA">
        <w:rPr>
          <w:lang w:val="es-CR"/>
        </w:rPr>
        <w:t>5</w:t>
      </w:r>
      <w:r w:rsidR="00790CAE" w:rsidRPr="00CD68BA">
        <w:rPr>
          <w:lang w:val="es-CR"/>
        </w:rPr>
        <w:t>0.000,00</w:t>
      </w:r>
      <w:r w:rsidRPr="00CD68BA">
        <w:rPr>
          <w:lang w:val="es-CR"/>
        </w:rPr>
        <w:t xml:space="preserve"> (</w:t>
      </w:r>
      <w:r w:rsidR="00EF1A19" w:rsidRPr="00CD68BA">
        <w:rPr>
          <w:lang w:val="es-CR"/>
        </w:rPr>
        <w:t xml:space="preserve">cincuenta </w:t>
      </w:r>
      <w:r w:rsidR="00790CAE" w:rsidRPr="00CD68BA">
        <w:rPr>
          <w:lang w:val="es-CR"/>
        </w:rPr>
        <w:t>mil</w:t>
      </w:r>
      <w:r w:rsidRPr="00CD68BA">
        <w:rPr>
          <w:lang w:val="es-CR"/>
        </w:rPr>
        <w:t xml:space="preserve"> dólares de los Estados Unidos de América) a favor de</w:t>
      </w:r>
      <w:r w:rsidR="00ED376A" w:rsidRPr="00CD68BA">
        <w:rPr>
          <w:lang w:val="es-CR"/>
        </w:rPr>
        <w:t xml:space="preserve"> la señora Maria da Glória Sales Pimenta, de </w:t>
      </w:r>
      <w:r w:rsidR="00790CAE" w:rsidRPr="00CD68BA">
        <w:rPr>
          <w:lang w:val="es-CR"/>
        </w:rPr>
        <w:t xml:space="preserve">USD$ </w:t>
      </w:r>
      <w:r w:rsidR="0012490F" w:rsidRPr="00CD68BA">
        <w:rPr>
          <w:lang w:val="es-CR"/>
        </w:rPr>
        <w:t>5</w:t>
      </w:r>
      <w:r w:rsidR="00790CAE" w:rsidRPr="00CD68BA">
        <w:rPr>
          <w:lang w:val="es-CR"/>
        </w:rPr>
        <w:t>0.000,00 (</w:t>
      </w:r>
      <w:r w:rsidR="00EF1A19" w:rsidRPr="00CD68BA">
        <w:rPr>
          <w:lang w:val="es-CR"/>
        </w:rPr>
        <w:t xml:space="preserve">cincuenta </w:t>
      </w:r>
      <w:r w:rsidR="00790CAE" w:rsidRPr="00CD68BA">
        <w:rPr>
          <w:lang w:val="es-CR"/>
        </w:rPr>
        <w:t xml:space="preserve">mil </w:t>
      </w:r>
      <w:r w:rsidR="00ED376A" w:rsidRPr="00CD68BA">
        <w:rPr>
          <w:lang w:val="es-CR"/>
        </w:rPr>
        <w:t xml:space="preserve">dólares de los Estados Unidos de América) a favor del señor Geraldo Gomes Pimenta, sumas que deberán ser entregadas a sus derechohabientes en los términos previstos por el régimen legal de sucesiones vigente en Brasil, y una indemnización de USD$ </w:t>
      </w:r>
      <w:r w:rsidR="0012490F" w:rsidRPr="00CD68BA">
        <w:rPr>
          <w:lang w:val="es-CR"/>
        </w:rPr>
        <w:t>3</w:t>
      </w:r>
      <w:r w:rsidR="00790CAE" w:rsidRPr="00CD68BA">
        <w:rPr>
          <w:lang w:val="es-CR"/>
        </w:rPr>
        <w:t>0.000,00</w:t>
      </w:r>
      <w:r w:rsidR="00ED376A" w:rsidRPr="00CD68BA">
        <w:rPr>
          <w:lang w:val="es-CR"/>
        </w:rPr>
        <w:t xml:space="preserve"> (</w:t>
      </w:r>
      <w:r w:rsidR="00EF1A19" w:rsidRPr="00CD68BA">
        <w:rPr>
          <w:lang w:val="es-CR"/>
        </w:rPr>
        <w:t xml:space="preserve">treinta </w:t>
      </w:r>
      <w:r w:rsidR="00790CAE" w:rsidRPr="00CD68BA">
        <w:rPr>
          <w:lang w:val="es-CR"/>
        </w:rPr>
        <w:t xml:space="preserve">mil </w:t>
      </w:r>
      <w:r w:rsidR="00ED376A" w:rsidRPr="00CD68BA">
        <w:rPr>
          <w:lang w:val="es-CR"/>
        </w:rPr>
        <w:t xml:space="preserve">dólares de los Estados Unidos de América) a favor de </w:t>
      </w:r>
      <w:r w:rsidRPr="00CD68BA">
        <w:rPr>
          <w:lang w:val="es-CR"/>
        </w:rPr>
        <w:t xml:space="preserve">cada uno de los </w:t>
      </w:r>
      <w:r w:rsidR="00ED376A" w:rsidRPr="00CD68BA">
        <w:rPr>
          <w:lang w:val="es-CR"/>
        </w:rPr>
        <w:t>hermanos</w:t>
      </w:r>
      <w:r w:rsidR="00D02191" w:rsidRPr="00CD68BA">
        <w:rPr>
          <w:rStyle w:val="Refdenotaalpie"/>
          <w:lang w:val="es-CR"/>
        </w:rPr>
        <w:footnoteReference w:id="269"/>
      </w:r>
      <w:r w:rsidRPr="00CD68BA">
        <w:rPr>
          <w:lang w:val="es-CR"/>
        </w:rPr>
        <w:t xml:space="preserve"> de Gabriel Sales Pimenta declarados como víctimas en la presente Sentencia (</w:t>
      </w:r>
      <w:r w:rsidRPr="00CD68BA">
        <w:rPr>
          <w:i/>
          <w:iCs/>
          <w:lang w:val="es-CR"/>
        </w:rPr>
        <w:t xml:space="preserve">supra </w:t>
      </w:r>
      <w:r w:rsidRPr="00CD68BA">
        <w:rPr>
          <w:lang w:val="es-CR"/>
        </w:rPr>
        <w:t>párr</w:t>
      </w:r>
      <w:r w:rsidR="00967878" w:rsidRPr="00CD68BA">
        <w:rPr>
          <w:lang w:val="es-CR"/>
        </w:rPr>
        <w:t>.</w:t>
      </w:r>
      <w:r w:rsidRPr="00CD68BA">
        <w:rPr>
          <w:lang w:val="es-CR"/>
        </w:rPr>
        <w:t xml:space="preserve"> </w:t>
      </w:r>
      <w:r w:rsidR="00B10772" w:rsidRPr="00CD68BA">
        <w:rPr>
          <w:lang w:val="es-CR"/>
        </w:rPr>
        <w:t>139</w:t>
      </w:r>
      <w:r w:rsidRPr="00CD68BA">
        <w:rPr>
          <w:lang w:val="es-CR"/>
        </w:rPr>
        <w:t>)</w:t>
      </w:r>
      <w:r w:rsidR="00ED376A" w:rsidRPr="00CD68BA">
        <w:rPr>
          <w:lang w:val="es-CR"/>
        </w:rPr>
        <w:t>.</w:t>
      </w:r>
    </w:p>
    <w:p w14:paraId="067686C1" w14:textId="77777777" w:rsidR="004448DF" w:rsidRPr="00CD68BA" w:rsidRDefault="004448DF" w:rsidP="00A06718">
      <w:pPr>
        <w:autoSpaceDE w:val="0"/>
        <w:autoSpaceDN w:val="0"/>
        <w:adjustRightInd w:val="0"/>
        <w:spacing w:before="0" w:after="0"/>
        <w:rPr>
          <w:szCs w:val="20"/>
          <w:lang w:val="es-CR"/>
        </w:rPr>
      </w:pPr>
    </w:p>
    <w:p w14:paraId="10FF73A2" w14:textId="5AD7BBC1" w:rsidR="00821614" w:rsidRPr="00CD68BA" w:rsidRDefault="00821614" w:rsidP="00A06718">
      <w:pPr>
        <w:pStyle w:val="Estilo3"/>
        <w:numPr>
          <w:ilvl w:val="0"/>
          <w:numId w:val="11"/>
        </w:numPr>
        <w:spacing w:line="240" w:lineRule="auto"/>
      </w:pPr>
      <w:bookmarkStart w:id="168" w:name="_Toc114778806"/>
      <w:r w:rsidRPr="00CD68BA">
        <w:t>Costas y Gastos</w:t>
      </w:r>
      <w:bookmarkEnd w:id="168"/>
    </w:p>
    <w:p w14:paraId="3303D183" w14:textId="77777777" w:rsidR="00821614" w:rsidRPr="00CD68BA" w:rsidRDefault="00821614" w:rsidP="00A06718">
      <w:pPr>
        <w:pStyle w:val="Prrafodelista"/>
        <w:autoSpaceDE w:val="0"/>
        <w:autoSpaceDN w:val="0"/>
        <w:adjustRightInd w:val="0"/>
        <w:spacing w:before="0" w:after="0"/>
        <w:ind w:left="0"/>
        <w:contextualSpacing w:val="0"/>
        <w:rPr>
          <w:b/>
          <w:szCs w:val="20"/>
          <w:lang w:val="es-CR"/>
        </w:rPr>
      </w:pPr>
    </w:p>
    <w:p w14:paraId="07632D58" w14:textId="69168872" w:rsidR="00F31640"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Los </w:t>
      </w:r>
      <w:r w:rsidRPr="00CD68BA">
        <w:rPr>
          <w:b/>
          <w:i/>
          <w:lang w:val="es-CR"/>
        </w:rPr>
        <w:t xml:space="preserve">Representantes </w:t>
      </w:r>
      <w:r w:rsidRPr="00CD68BA">
        <w:rPr>
          <w:lang w:val="es-CR"/>
        </w:rPr>
        <w:t xml:space="preserve">solicitaron a la Corte que determine que el Estado pague las siguientes sumas, por concepto de costas y gastos, incurridas por las organizaciones que han actuado en la defensa de las víctimas: i) la suma de </w:t>
      </w:r>
      <w:r w:rsidRPr="00CD68BA">
        <w:rPr>
          <w:rFonts w:eastAsia="Calibri"/>
          <w:lang w:val="es-CR"/>
        </w:rPr>
        <w:t>USD$</w:t>
      </w:r>
      <w:r w:rsidRPr="00CD68BA">
        <w:rPr>
          <w:lang w:val="es-CR"/>
        </w:rPr>
        <w:t xml:space="preserve"> 15.698,14 (quince mil seiscientos noventa y ocho dólares de los Estados Unidos de América con catorce centavos) por concepto de viajes, reuniones, reproducción de documentos y honorarios, a favor del Centro por la Justicia y el Derecho Internacional, y ii) la suma de USD$ 5.044,80 (cinco mil cuarenta y cuatro dólares de los Estados Unidos de América con ochenta centavos) por concepto de viajes, reuniones y honorarios a favor de la Comisión Pastoral de la Tierra. Asimismo, indicaron que el Estado deberá cubrir los gastos futuros que deberán considerar la etapa de cumplimiento de la Sentencia en el ámbito nacional e internacional. Además, solicitaron a la Corte poder presentar posteriormente las cifras y comprobantes actualizados de los gastos en los que se incurriría durante el trámite ante la Corte, y que en el Fallo se prevenga una suma para los ga</w:t>
      </w:r>
      <w:r w:rsidR="002103E8" w:rsidRPr="00CD68BA">
        <w:rPr>
          <w:lang w:val="es-CR"/>
        </w:rPr>
        <w:t>s</w:t>
      </w:r>
      <w:r w:rsidRPr="00CD68BA">
        <w:rPr>
          <w:lang w:val="es-CR"/>
        </w:rPr>
        <w:t>tos en la etapa de supervisión de cumplimiento de la Sentencia.</w:t>
      </w:r>
    </w:p>
    <w:p w14:paraId="3BC8DD74" w14:textId="77777777" w:rsidR="00F31640" w:rsidRPr="00CD68BA" w:rsidRDefault="00F31640" w:rsidP="00A06718">
      <w:pPr>
        <w:pStyle w:val="Prrafodelista"/>
        <w:autoSpaceDE w:val="0"/>
        <w:autoSpaceDN w:val="0"/>
        <w:adjustRightInd w:val="0"/>
        <w:spacing w:before="0" w:after="0"/>
        <w:ind w:left="0"/>
        <w:contextualSpacing w:val="0"/>
        <w:rPr>
          <w:szCs w:val="20"/>
          <w:lang w:val="es-CR"/>
        </w:rPr>
      </w:pPr>
    </w:p>
    <w:p w14:paraId="3133AB30" w14:textId="19A1636E" w:rsidR="00F31640"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Con posterioridad a la presentación del escrito de solicitudes y argumentos, los representantes informaron sobre los gastos incurridos por las organizaciones que han actuado en la defensa de las víctimas, el Centro por la Justicia y el Derecho Internacional y la Comisión Pastoral de la Tierra, entre abril de 2021 y abril de 2022. Respecto al Centro por la Justicia y el Derecho Internacional, indicaron haber incurrido en un gasto total de USD$ 12.595,42 (doce mil quinientos noventa y cinco dólares de los Estados Unidos de América con cuarenta y dos centavos) por conceptos relacionados con la presentación del escrito de solicitudes y argumentos, y escritos posteriores, como las observaciones a las excepciones preliminares presentadas por el Estado; con la preparación de las audiencias celebradas en el presente caso; la recolecta de declaraciones; la presentación de peritajes y las traducciones correspondientes, así como por los honorarios generados. Sobre este último extremo, destacaron que el “trabajo de defensa” incluyó una estrategia de comunicación consistente en divulgar ante la sociedad civil información relativa al caso, rescatando la memoria de Gabriel Sales Pimenta y su importante labor de defensa en la lucha </w:t>
      </w:r>
      <w:r w:rsidR="00C77CE4" w:rsidRPr="00CD68BA">
        <w:rPr>
          <w:lang w:val="es-CR"/>
        </w:rPr>
        <w:t>por</w:t>
      </w:r>
      <w:r w:rsidRPr="00CD68BA">
        <w:rPr>
          <w:lang w:val="es-CR"/>
        </w:rPr>
        <w:t xml:space="preserve"> la tierra, y publicitar la audiencia pública celebrada dentro del presente caso. En cuanto a la Comisión Pastoral de la Tierra, señalaron haber incurrido en un gasto total de USD$ </w:t>
      </w:r>
      <w:r w:rsidRPr="00CD68BA">
        <w:rPr>
          <w:rFonts w:cs="Arial"/>
          <w:lang w:val="es-CR"/>
        </w:rPr>
        <w:t>2.616,65 (dos mil seiscientos dieciséis dólares de los Estados Unidos de América con sesenta y cinco centavos) por conceptos relativos a viajes, reuniones y honorarios de dos abogados contratados en enero y abril de 2022.</w:t>
      </w:r>
    </w:p>
    <w:p w14:paraId="274D2C3C" w14:textId="77777777" w:rsidR="00F31640" w:rsidRPr="00CD68BA" w:rsidRDefault="00F31640" w:rsidP="00A06718">
      <w:pPr>
        <w:pStyle w:val="Prrafodelista"/>
        <w:autoSpaceDE w:val="0"/>
        <w:autoSpaceDN w:val="0"/>
        <w:adjustRightInd w:val="0"/>
        <w:spacing w:before="0" w:after="0"/>
        <w:ind w:left="0"/>
        <w:contextualSpacing w:val="0"/>
        <w:rPr>
          <w:szCs w:val="20"/>
          <w:lang w:val="es-CR"/>
        </w:rPr>
      </w:pPr>
    </w:p>
    <w:p w14:paraId="0ECA476F" w14:textId="11706860" w:rsidR="00F31640"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suma, los representantes solicitaron el pago de USD$ 28.293,56 (veintiocho mil doscientos noventa y tres dólares de los Estados Unidos de América con cincuenta y seis centavos) a favor del Centro por la Justicia y el Derecho Internacional, y de USD$ 7.661,45 (siete mil seiscientos sesenta y un dólares de los Estados Unidos</w:t>
      </w:r>
      <w:r w:rsidR="006047EB" w:rsidRPr="00CD68BA">
        <w:rPr>
          <w:lang w:val="es-CR"/>
        </w:rPr>
        <w:t xml:space="preserve"> de América</w:t>
      </w:r>
      <w:r w:rsidRPr="00CD68BA">
        <w:rPr>
          <w:lang w:val="es-CR"/>
        </w:rPr>
        <w:t xml:space="preserve"> con cuarenta y cinco centavos) a favor de la Comisión Pastoral de la Tierra. </w:t>
      </w:r>
    </w:p>
    <w:p w14:paraId="39189C1E" w14:textId="77777777" w:rsidR="00F31640" w:rsidRPr="00CD68BA" w:rsidRDefault="00F31640" w:rsidP="00A06718">
      <w:pPr>
        <w:pStyle w:val="Prrafodelista"/>
        <w:spacing w:before="0" w:after="0"/>
        <w:contextualSpacing w:val="0"/>
        <w:rPr>
          <w:lang w:val="es-CR" w:bidi="en-US"/>
        </w:rPr>
      </w:pPr>
    </w:p>
    <w:p w14:paraId="0E564161" w14:textId="53258DA7" w:rsidR="00F31640"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bidi="en-US"/>
        </w:rPr>
        <w:t xml:space="preserve">El </w:t>
      </w:r>
      <w:r w:rsidRPr="00CD68BA">
        <w:rPr>
          <w:b/>
          <w:i/>
          <w:lang w:val="es-CR" w:bidi="en-US"/>
        </w:rPr>
        <w:t xml:space="preserve">Estado </w:t>
      </w:r>
      <w:r w:rsidRPr="00CD68BA">
        <w:rPr>
          <w:lang w:val="es-CR" w:bidi="en-US"/>
        </w:rPr>
        <w:t>solicitó a la Corte que solo tome en cuenta los montos solicitados, la documentación que la comprueba y la relación directa de lo solicitado con las circunstancias del caso.</w:t>
      </w:r>
      <w:r w:rsidRPr="00CD68BA">
        <w:rPr>
          <w:b/>
          <w:lang w:val="es-CR" w:bidi="en-US"/>
        </w:rPr>
        <w:t xml:space="preserve"> </w:t>
      </w:r>
      <w:r w:rsidR="0008216A" w:rsidRPr="00CD68BA">
        <w:rPr>
          <w:bCs/>
          <w:lang w:val="es-CR" w:bidi="en-US"/>
        </w:rPr>
        <w:t xml:space="preserve">Requirió, además, que el Tribunal </w:t>
      </w:r>
      <w:r w:rsidR="0086244B" w:rsidRPr="00CD68BA">
        <w:rPr>
          <w:bCs/>
          <w:lang w:val="es-CR" w:bidi="en-US"/>
        </w:rPr>
        <w:t>“</w:t>
      </w:r>
      <w:r w:rsidR="0008216A" w:rsidRPr="00CD68BA">
        <w:rPr>
          <w:lang w:val="es-CR" w:bidi="en-US"/>
        </w:rPr>
        <w:t>verifi</w:t>
      </w:r>
      <w:r w:rsidR="0008216A" w:rsidRPr="00CD68BA">
        <w:rPr>
          <w:bCs/>
          <w:lang w:val="es-CR" w:bidi="en-US"/>
        </w:rPr>
        <w:t>que</w:t>
      </w:r>
      <w:r w:rsidR="0008216A" w:rsidRPr="00CD68BA">
        <w:rPr>
          <w:lang w:val="es-CR" w:bidi="en-US"/>
        </w:rPr>
        <w:t xml:space="preserve"> objetivamente el trabajo realizado </w:t>
      </w:r>
      <w:r w:rsidR="0008216A" w:rsidRPr="00CD68BA">
        <w:rPr>
          <w:bCs/>
          <w:lang w:val="es-CR" w:bidi="en-US"/>
        </w:rPr>
        <w:t xml:space="preserve">conjuntamente </w:t>
      </w:r>
      <w:r w:rsidR="0008216A" w:rsidRPr="00CD68BA">
        <w:rPr>
          <w:lang w:val="es-CR" w:bidi="en-US"/>
        </w:rPr>
        <w:t xml:space="preserve">o por los </w:t>
      </w:r>
      <w:r w:rsidR="0008216A" w:rsidRPr="00CD68BA">
        <w:rPr>
          <w:bCs/>
          <w:lang w:val="es-CR" w:bidi="en-US"/>
        </w:rPr>
        <w:t xml:space="preserve">representantes </w:t>
      </w:r>
      <w:r w:rsidR="0008216A" w:rsidRPr="00CD68BA">
        <w:rPr>
          <w:lang w:val="es-CR" w:bidi="en-US"/>
        </w:rPr>
        <w:t>y por el cual se solicita el reembolso de los costos –</w:t>
      </w:r>
      <w:r w:rsidR="0008216A" w:rsidRPr="00CD68BA">
        <w:rPr>
          <w:bCs/>
          <w:lang w:val="es-CR" w:bidi="en-US"/>
        </w:rPr>
        <w:t xml:space="preserve"> </w:t>
      </w:r>
      <w:r w:rsidR="0008216A" w:rsidRPr="00CD68BA">
        <w:rPr>
          <w:lang w:val="es-CR" w:bidi="en-US"/>
        </w:rPr>
        <w:t>elaboración del E</w:t>
      </w:r>
      <w:r w:rsidR="0008216A" w:rsidRPr="00CD68BA">
        <w:rPr>
          <w:bCs/>
          <w:lang w:val="es-CR" w:bidi="en-US"/>
        </w:rPr>
        <w:t>S</w:t>
      </w:r>
      <w:r w:rsidR="0008216A" w:rsidRPr="00CD68BA">
        <w:rPr>
          <w:lang w:val="es-CR" w:bidi="en-US"/>
        </w:rPr>
        <w:t>AP y de los alegatos finales escritos, para que no haya superposición de reembolsos con carga desproporcionada para el erario brasileño</w:t>
      </w:r>
      <w:r w:rsidR="0008216A" w:rsidRPr="00CD68BA">
        <w:rPr>
          <w:bCs/>
          <w:lang w:val="es-CR" w:bidi="en-US"/>
        </w:rPr>
        <w:t>”</w:t>
      </w:r>
      <w:r w:rsidR="0008216A" w:rsidRPr="00CD68BA">
        <w:rPr>
          <w:lang w:val="es-CR" w:bidi="en-US"/>
        </w:rPr>
        <w:t>.</w:t>
      </w:r>
      <w:r w:rsidR="00DD70E0" w:rsidRPr="00CD68BA">
        <w:rPr>
          <w:bCs/>
          <w:lang w:val="es-CR" w:bidi="en-US"/>
        </w:rPr>
        <w:t xml:space="preserve"> Por otra parte, Brasil señaló que</w:t>
      </w:r>
      <w:r w:rsidR="00FA716F" w:rsidRPr="00CD68BA">
        <w:rPr>
          <w:bCs/>
          <w:lang w:val="es-CR" w:bidi="en-US"/>
        </w:rPr>
        <w:t xml:space="preserve">, en cuanto a gastos con honorarios y viajes, no existiría una </w:t>
      </w:r>
      <w:r w:rsidR="00FA716F" w:rsidRPr="00CD68BA">
        <w:rPr>
          <w:lang w:val="es-CR" w:bidi="en-US"/>
        </w:rPr>
        <w:t xml:space="preserve">vinculación exclusiva o precisa entre el trabajo de los </w:t>
      </w:r>
      <w:r w:rsidR="00FA716F" w:rsidRPr="00CD68BA">
        <w:rPr>
          <w:bCs/>
          <w:lang w:val="es-CR" w:bidi="en-US"/>
        </w:rPr>
        <w:t>colaboradores</w:t>
      </w:r>
      <w:r w:rsidR="00FA716F" w:rsidRPr="00CD68BA">
        <w:rPr>
          <w:lang w:val="es-CR" w:bidi="en-US"/>
        </w:rPr>
        <w:t xml:space="preserve"> de</w:t>
      </w:r>
      <w:r w:rsidR="006047EB" w:rsidRPr="00CD68BA">
        <w:rPr>
          <w:lang w:val="es-CR" w:bidi="en-US"/>
        </w:rPr>
        <w:t xml:space="preserve">l </w:t>
      </w:r>
      <w:r w:rsidR="006047EB" w:rsidRPr="00CD68BA">
        <w:rPr>
          <w:lang w:val="es-CR"/>
        </w:rPr>
        <w:t xml:space="preserve">Centro por la Justicia y el Derecho Internacional </w:t>
      </w:r>
      <w:r w:rsidR="00FA716F" w:rsidRPr="00CD68BA">
        <w:rPr>
          <w:lang w:val="es-CR" w:bidi="en-US"/>
        </w:rPr>
        <w:t xml:space="preserve">y el caso, </w:t>
      </w:r>
      <w:r w:rsidR="00FA716F" w:rsidRPr="00CD68BA">
        <w:rPr>
          <w:bCs/>
          <w:lang w:val="es-CR" w:bidi="en-US"/>
        </w:rPr>
        <w:t xml:space="preserve">de modo que esa organización habría </w:t>
      </w:r>
      <w:r w:rsidR="00FA716F" w:rsidRPr="00CD68BA">
        <w:rPr>
          <w:lang w:val="es-CR" w:bidi="en-US"/>
        </w:rPr>
        <w:t>establecido unilateralmente porcentajes aproximados de actividad para la imputación al caso</w:t>
      </w:r>
      <w:r w:rsidR="00FF5C80" w:rsidRPr="00CD68BA">
        <w:rPr>
          <w:bCs/>
          <w:lang w:val="es-CR" w:bidi="en-US"/>
        </w:rPr>
        <w:t xml:space="preserve">, y </w:t>
      </w:r>
      <w:r w:rsidR="00FF5C80" w:rsidRPr="00CD68BA">
        <w:rPr>
          <w:lang w:val="es-CR" w:bidi="en-US"/>
        </w:rPr>
        <w:t>los gastos de viaje enumerados y cuyo reembolso se solicita no parece</w:t>
      </w:r>
      <w:r w:rsidR="00FF5C80" w:rsidRPr="00CD68BA">
        <w:rPr>
          <w:bCs/>
          <w:lang w:val="es-CR" w:bidi="en-US"/>
        </w:rPr>
        <w:t>rían</w:t>
      </w:r>
      <w:r w:rsidR="00FF5C80" w:rsidRPr="00CD68BA">
        <w:rPr>
          <w:lang w:val="es-CR" w:bidi="en-US"/>
        </w:rPr>
        <w:t xml:space="preserve"> estar relacionados exclusivamente con el trabajo de</w:t>
      </w:r>
      <w:r w:rsidR="006047EB" w:rsidRPr="00CD68BA">
        <w:rPr>
          <w:bCs/>
          <w:lang w:val="es-CR" w:bidi="en-US"/>
        </w:rPr>
        <w:t xml:space="preserve">l </w:t>
      </w:r>
      <w:r w:rsidR="006047EB" w:rsidRPr="00CD68BA">
        <w:rPr>
          <w:lang w:val="es-CR"/>
        </w:rPr>
        <w:t>Centro por la Justicia y el Derecho Internacional</w:t>
      </w:r>
      <w:r w:rsidR="00FF5C80" w:rsidRPr="00CD68BA">
        <w:rPr>
          <w:lang w:val="es-CR" w:bidi="en-US"/>
        </w:rPr>
        <w:t xml:space="preserve"> en el presente caso</w:t>
      </w:r>
      <w:r w:rsidR="00FF5C80" w:rsidRPr="00CD68BA">
        <w:rPr>
          <w:bCs/>
          <w:lang w:val="es-CR" w:bidi="en-US"/>
        </w:rPr>
        <w:t xml:space="preserve">. Por último, adujo que los gastos relacionados con “comunicación” no deberían ser </w:t>
      </w:r>
      <w:r w:rsidR="002103E8" w:rsidRPr="00CD68BA">
        <w:rPr>
          <w:bCs/>
          <w:lang w:val="es-CR" w:bidi="en-US"/>
        </w:rPr>
        <w:t xml:space="preserve">traslados </w:t>
      </w:r>
      <w:r w:rsidR="00871788" w:rsidRPr="00CD68BA">
        <w:rPr>
          <w:bCs/>
          <w:lang w:val="es-CR" w:bidi="en-US"/>
        </w:rPr>
        <w:t>al Estado, toda vez que no son esenciales para el trámite del caso.</w:t>
      </w:r>
    </w:p>
    <w:p w14:paraId="38FFB1A6" w14:textId="77777777" w:rsidR="00F31640" w:rsidRPr="00CD68BA" w:rsidRDefault="00F31640" w:rsidP="00A06718">
      <w:pPr>
        <w:pStyle w:val="Prrafodelista"/>
        <w:autoSpaceDE w:val="0"/>
        <w:autoSpaceDN w:val="0"/>
        <w:adjustRightInd w:val="0"/>
        <w:spacing w:before="0" w:after="0"/>
        <w:ind w:left="0"/>
        <w:contextualSpacing w:val="0"/>
        <w:rPr>
          <w:szCs w:val="20"/>
          <w:lang w:val="es-CR"/>
        </w:rPr>
      </w:pPr>
    </w:p>
    <w:p w14:paraId="7907BC4A" w14:textId="77777777" w:rsidR="00F31640"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La </w:t>
      </w:r>
      <w:r w:rsidRPr="00CD68BA">
        <w:rPr>
          <w:b/>
          <w:i/>
          <w:iCs/>
          <w:lang w:val="es-CR"/>
        </w:rPr>
        <w:t>Corte</w:t>
      </w:r>
      <w:r w:rsidRPr="00CD68BA">
        <w:rPr>
          <w:lang w:val="es-CR"/>
        </w:rPr>
        <w:t xml:space="preserve"> recuerda que, conforme a su jurisprudencia, las costas y gastos forman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CD68BA">
        <w:rPr>
          <w:rStyle w:val="Refdenotaalpie"/>
          <w:lang w:val="es-CR"/>
        </w:rPr>
        <w:footnoteReference w:id="270"/>
      </w:r>
      <w:r w:rsidRPr="00CD68BA">
        <w:rPr>
          <w:lang w:val="es-CR"/>
        </w:rPr>
        <w:t>.</w:t>
      </w:r>
    </w:p>
    <w:p w14:paraId="1AC9EB02" w14:textId="77777777" w:rsidR="00F31640" w:rsidRPr="00CD68BA" w:rsidRDefault="00F31640" w:rsidP="00A06718">
      <w:pPr>
        <w:pStyle w:val="Prrafodelista"/>
        <w:spacing w:before="0" w:after="0"/>
        <w:contextualSpacing w:val="0"/>
        <w:rPr>
          <w:lang w:val="es-CR"/>
        </w:rPr>
      </w:pPr>
    </w:p>
    <w:p w14:paraId="41117CF8" w14:textId="77777777" w:rsidR="00F31640"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lastRenderedPageBreak/>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CD68BA">
        <w:rPr>
          <w:rStyle w:val="Refdenotaalpie"/>
          <w:lang w:val="es-CR"/>
        </w:rPr>
        <w:footnoteReference w:id="271"/>
      </w:r>
      <w:r w:rsidRPr="00CD68BA">
        <w:rPr>
          <w:lang w:val="es-CR"/>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CD68BA">
        <w:rPr>
          <w:rStyle w:val="Refdenotaalpie"/>
          <w:lang w:val="es-CR"/>
        </w:rPr>
        <w:footnoteReference w:id="272"/>
      </w:r>
      <w:r w:rsidRPr="00CD68BA">
        <w:rPr>
          <w:lang w:val="es-CR"/>
        </w:rPr>
        <w:t xml:space="preserve">. </w:t>
      </w:r>
    </w:p>
    <w:p w14:paraId="62C71CF9" w14:textId="77777777" w:rsidR="00F31640" w:rsidRPr="00CD68BA" w:rsidRDefault="00F31640" w:rsidP="00A06718">
      <w:pPr>
        <w:pStyle w:val="Prrafodelista"/>
        <w:spacing w:before="0" w:after="0"/>
        <w:contextualSpacing w:val="0"/>
        <w:rPr>
          <w:lang w:val="es-CR"/>
        </w:rPr>
      </w:pPr>
    </w:p>
    <w:p w14:paraId="5AAB6BBB" w14:textId="77777777" w:rsidR="00F31640"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Tomando en cuenta los montos solicitados los representantes y los comprobantes de gastos presentados, la Corte dispone fijar en equidad el pago de la suma de USD$</w:t>
      </w:r>
      <w:r w:rsidR="00BD0F24" w:rsidRPr="00CD68BA">
        <w:rPr>
          <w:lang w:val="es-CR"/>
        </w:rPr>
        <w:t xml:space="preserve"> </w:t>
      </w:r>
      <w:r w:rsidR="00A05204" w:rsidRPr="00CD68BA">
        <w:rPr>
          <w:lang w:val="es-CR"/>
        </w:rPr>
        <w:t>2</w:t>
      </w:r>
      <w:r w:rsidR="0007771F" w:rsidRPr="00CD68BA">
        <w:rPr>
          <w:lang w:val="es-CR"/>
        </w:rPr>
        <w:t>5</w:t>
      </w:r>
      <w:r w:rsidR="00A05204" w:rsidRPr="00CD68BA">
        <w:rPr>
          <w:lang w:val="es-CR"/>
        </w:rPr>
        <w:t>.</w:t>
      </w:r>
      <w:r w:rsidR="0007771F" w:rsidRPr="00CD68BA">
        <w:rPr>
          <w:lang w:val="es-CR"/>
        </w:rPr>
        <w:t>000</w:t>
      </w:r>
      <w:r w:rsidR="00A05204" w:rsidRPr="00CD68BA">
        <w:rPr>
          <w:lang w:val="es-CR"/>
        </w:rPr>
        <w:t>,</w:t>
      </w:r>
      <w:r w:rsidR="0007771F" w:rsidRPr="00CD68BA">
        <w:rPr>
          <w:lang w:val="es-CR"/>
        </w:rPr>
        <w:t>00</w:t>
      </w:r>
      <w:r w:rsidRPr="00CD68BA">
        <w:rPr>
          <w:lang w:val="es-CR"/>
        </w:rPr>
        <w:t xml:space="preserve"> (</w:t>
      </w:r>
      <w:r w:rsidR="00A05204" w:rsidRPr="00CD68BA">
        <w:rPr>
          <w:lang w:val="es-CR"/>
        </w:rPr>
        <w:t xml:space="preserve">veinte </w:t>
      </w:r>
      <w:r w:rsidR="0007771F" w:rsidRPr="00CD68BA">
        <w:rPr>
          <w:lang w:val="es-CR"/>
        </w:rPr>
        <w:t xml:space="preserve">cinco </w:t>
      </w:r>
      <w:r w:rsidR="00A05204" w:rsidRPr="00CD68BA">
        <w:rPr>
          <w:lang w:val="es-CR"/>
        </w:rPr>
        <w:t xml:space="preserve">mil </w:t>
      </w:r>
      <w:r w:rsidRPr="00CD68BA">
        <w:rPr>
          <w:lang w:val="es-CR"/>
        </w:rPr>
        <w:t>dólares de los Estados Unidos de América) a favor del Centro por la Justicia y el Derecho Internacional, y la suma de USD$</w:t>
      </w:r>
      <w:r w:rsidR="00BD0F24" w:rsidRPr="00CD68BA">
        <w:rPr>
          <w:lang w:val="es-CR"/>
        </w:rPr>
        <w:t xml:space="preserve"> </w:t>
      </w:r>
      <w:r w:rsidR="00102EA7" w:rsidRPr="00CD68BA">
        <w:rPr>
          <w:lang w:val="es-CR"/>
        </w:rPr>
        <w:t>7</w:t>
      </w:r>
      <w:r w:rsidR="00EF16FD" w:rsidRPr="00CD68BA">
        <w:rPr>
          <w:lang w:val="es-CR"/>
        </w:rPr>
        <w:t>.</w:t>
      </w:r>
      <w:r w:rsidR="0013767E" w:rsidRPr="00CD68BA">
        <w:rPr>
          <w:lang w:val="es-CR"/>
        </w:rPr>
        <w:t>500</w:t>
      </w:r>
      <w:r w:rsidR="00102EA7" w:rsidRPr="00CD68BA">
        <w:rPr>
          <w:lang w:val="es-CR"/>
        </w:rPr>
        <w:t>,</w:t>
      </w:r>
      <w:r w:rsidR="0013767E" w:rsidRPr="00CD68BA">
        <w:rPr>
          <w:lang w:val="es-CR"/>
        </w:rPr>
        <w:t>00</w:t>
      </w:r>
      <w:r w:rsidRPr="00CD68BA">
        <w:rPr>
          <w:lang w:val="es-CR"/>
        </w:rPr>
        <w:t xml:space="preserve"> (</w:t>
      </w:r>
      <w:r w:rsidR="00EF16FD" w:rsidRPr="00CD68BA">
        <w:rPr>
          <w:lang w:val="es-CR"/>
        </w:rPr>
        <w:t>s</w:t>
      </w:r>
      <w:r w:rsidR="00102EA7" w:rsidRPr="00CD68BA">
        <w:rPr>
          <w:lang w:val="es-CR"/>
        </w:rPr>
        <w:t xml:space="preserve">iete mil </w:t>
      </w:r>
      <w:r w:rsidR="0013767E" w:rsidRPr="00CD68BA">
        <w:rPr>
          <w:lang w:val="es-CR"/>
        </w:rPr>
        <w:t>quinientos</w:t>
      </w:r>
      <w:r w:rsidR="00102EA7" w:rsidRPr="00CD68BA">
        <w:rPr>
          <w:lang w:val="es-CR"/>
        </w:rPr>
        <w:t xml:space="preserve"> </w:t>
      </w:r>
      <w:r w:rsidRPr="00CD68BA">
        <w:rPr>
          <w:lang w:val="es-CR"/>
        </w:rPr>
        <w:t xml:space="preserve">dólares de los Estados Unidos de América) a favor </w:t>
      </w:r>
      <w:r w:rsidR="00BD0F24" w:rsidRPr="00CD68BA">
        <w:rPr>
          <w:lang w:val="es-CR"/>
        </w:rPr>
        <w:t xml:space="preserve">de la </w:t>
      </w:r>
      <w:r w:rsidRPr="00CD68BA">
        <w:rPr>
          <w:lang w:val="es-CR"/>
        </w:rPr>
        <w:t>Comisión Pastoral de la Tierra, ambos montos por concepto de costas y gastos. Dicha cantidad deberá ser entregada directamente al Centro por la Justicia y el Derecho Internacional y a la Comisión Pastoral de la Tierra, respectivamente.</w:t>
      </w:r>
    </w:p>
    <w:p w14:paraId="23116ACB" w14:textId="77777777" w:rsidR="00F31640" w:rsidRPr="00CD68BA" w:rsidRDefault="00F31640" w:rsidP="00A06718">
      <w:pPr>
        <w:pStyle w:val="Prrafodelista"/>
        <w:spacing w:before="0" w:after="0"/>
        <w:contextualSpacing w:val="0"/>
        <w:rPr>
          <w:lang w:val="es-CR"/>
        </w:rPr>
      </w:pPr>
    </w:p>
    <w:p w14:paraId="7735758F" w14:textId="79BCCA57" w:rsidR="009D660A" w:rsidRPr="00CD68BA" w:rsidRDefault="009D660A"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Finalmente, respecto a la indicación de los representantes de que el Estado deberá cubrir los gastos futuros relativos a la etapa de cumplimiento de la Sentencia en el ámbito nacional e internacional, y la solicitud que esta Corte prevenga una suma para los ga</w:t>
      </w:r>
      <w:r w:rsidR="00EF412F" w:rsidRPr="00CD68BA">
        <w:rPr>
          <w:lang w:val="es-CR"/>
        </w:rPr>
        <w:t>s</w:t>
      </w:r>
      <w:r w:rsidRPr="00CD68BA">
        <w:rPr>
          <w:lang w:val="es-CR"/>
        </w:rPr>
        <w:t>tos en la etapa de supervisión de cumplimiento de la Sentencia, como lo ha hechos en otros casos</w:t>
      </w:r>
      <w:r w:rsidRPr="00CD68BA">
        <w:rPr>
          <w:rStyle w:val="Refdenotaalpie"/>
          <w:lang w:val="es-CR"/>
        </w:rPr>
        <w:footnoteReference w:id="273"/>
      </w:r>
      <w:r w:rsidRPr="00CD68BA">
        <w:rPr>
          <w:lang w:val="es-CR"/>
        </w:rPr>
        <w:t>, este Tribunal determina que, en la etapa de supervisión del cumplimiento de la presente Sentencia, se podrá disponer que el Estado reembolse a las víctimas o sus representantes los gastos razonables en que incurran en dicha etapa procesal.</w:t>
      </w:r>
    </w:p>
    <w:p w14:paraId="30D54C81" w14:textId="77777777" w:rsidR="00753607" w:rsidRPr="00CD68BA" w:rsidRDefault="00753607" w:rsidP="00A06718">
      <w:pPr>
        <w:pStyle w:val="Prrafodelista"/>
        <w:autoSpaceDE w:val="0"/>
        <w:autoSpaceDN w:val="0"/>
        <w:adjustRightInd w:val="0"/>
        <w:spacing w:before="0" w:after="0"/>
        <w:ind w:left="0"/>
        <w:contextualSpacing w:val="0"/>
        <w:rPr>
          <w:b/>
          <w:szCs w:val="20"/>
          <w:lang w:val="es-CR"/>
        </w:rPr>
      </w:pPr>
    </w:p>
    <w:p w14:paraId="581DAC1E" w14:textId="1AF3D6FF" w:rsidR="00821614" w:rsidRPr="00CD68BA" w:rsidRDefault="00821614" w:rsidP="00A06718">
      <w:pPr>
        <w:pStyle w:val="Estilo3"/>
        <w:numPr>
          <w:ilvl w:val="0"/>
          <w:numId w:val="11"/>
        </w:numPr>
        <w:spacing w:line="240" w:lineRule="auto"/>
      </w:pPr>
      <w:bookmarkStart w:id="169" w:name="_Toc114778807"/>
      <w:r w:rsidRPr="00CD68BA">
        <w:t>Modalidad de cumplimiento de los pagos ordenados</w:t>
      </w:r>
      <w:bookmarkEnd w:id="169"/>
    </w:p>
    <w:p w14:paraId="69D137CC" w14:textId="77777777" w:rsidR="006F2CA5" w:rsidRPr="00CD68BA" w:rsidRDefault="006F2CA5" w:rsidP="00A06718">
      <w:pPr>
        <w:pStyle w:val="Prrafodelista"/>
        <w:autoSpaceDE w:val="0"/>
        <w:autoSpaceDN w:val="0"/>
        <w:adjustRightInd w:val="0"/>
        <w:spacing w:before="0" w:after="0"/>
        <w:ind w:left="0"/>
        <w:contextualSpacing w:val="0"/>
        <w:rPr>
          <w:szCs w:val="20"/>
          <w:lang w:val="es-CR"/>
        </w:rPr>
      </w:pPr>
    </w:p>
    <w:p w14:paraId="2A8E9AEF" w14:textId="45795B8F" w:rsidR="00F31640" w:rsidRPr="00CD68BA" w:rsidRDefault="00821614" w:rsidP="00A06718">
      <w:pPr>
        <w:pStyle w:val="Prrafodelista"/>
        <w:numPr>
          <w:ilvl w:val="0"/>
          <w:numId w:val="16"/>
        </w:numPr>
        <w:autoSpaceDE w:val="0"/>
        <w:autoSpaceDN w:val="0"/>
        <w:adjustRightInd w:val="0"/>
        <w:spacing w:before="0" w:after="0"/>
        <w:ind w:left="0" w:firstLine="0"/>
        <w:contextualSpacing w:val="0"/>
        <w:rPr>
          <w:szCs w:val="20"/>
          <w:lang w:val="es-CR"/>
        </w:rPr>
      </w:pPr>
      <w:bookmarkStart w:id="170" w:name="_Ref512872975"/>
      <w:r w:rsidRPr="00CD68BA">
        <w:rPr>
          <w:rFonts w:eastAsia="SimSun"/>
          <w:lang w:val="es-CR"/>
        </w:rPr>
        <w:t>E</w:t>
      </w:r>
      <w:bookmarkEnd w:id="170"/>
      <w:r w:rsidR="00C176C6" w:rsidRPr="00CD68BA">
        <w:rPr>
          <w:lang w:val="es-CR"/>
        </w:rPr>
        <w:t>l Estado deberá efectuar el pago de las indemnizaciones por concepto de daño material e inmaterial y el reintegro de costas y gastos establecidos en la presente Sentencia directamente a las personas y organizaciones indicadas en la misma, dentro del plazo de un año contado a partir de la notificación de la presente Sentencia, sin perjuicio de que pueda adelantar el pago completo en un plazo menor, en los términos de los siguientes párrafos. Respecto de las indemnizaciones fijadas a favor del señor Geraldo Gomes Pimenta</w:t>
      </w:r>
      <w:r w:rsidR="00B10772" w:rsidRPr="00CD68BA">
        <w:rPr>
          <w:lang w:val="es-CR"/>
        </w:rPr>
        <w:t xml:space="preserve">, </w:t>
      </w:r>
      <w:r w:rsidR="00C176C6" w:rsidRPr="00CD68BA">
        <w:rPr>
          <w:lang w:val="es-CR"/>
        </w:rPr>
        <w:t>de la señora Maria da Glória Sales Pimenta,</w:t>
      </w:r>
      <w:r w:rsidR="00B10772" w:rsidRPr="00CD68BA">
        <w:rPr>
          <w:lang w:val="es-CR"/>
        </w:rPr>
        <w:t xml:space="preserve"> y del señor José Sales Pimenta, </w:t>
      </w:r>
      <w:r w:rsidR="00C176C6" w:rsidRPr="00CD68BA">
        <w:rPr>
          <w:lang w:val="es-CR"/>
        </w:rPr>
        <w:t>el Estado deberá pagarlas a sus derechohabientes, conforme al derecho interno aplicable, dentro del plazo de un año, contado a partir de la notificación del presente Fallo.</w:t>
      </w:r>
    </w:p>
    <w:p w14:paraId="7B25EEB4" w14:textId="77777777" w:rsidR="00F31640" w:rsidRPr="00CD68BA" w:rsidRDefault="00F31640" w:rsidP="00A06718">
      <w:pPr>
        <w:pStyle w:val="Prrafodelista"/>
        <w:autoSpaceDE w:val="0"/>
        <w:autoSpaceDN w:val="0"/>
        <w:adjustRightInd w:val="0"/>
        <w:spacing w:before="0" w:after="0"/>
        <w:ind w:left="0"/>
        <w:contextualSpacing w:val="0"/>
        <w:rPr>
          <w:szCs w:val="20"/>
          <w:lang w:val="es-CR"/>
        </w:rPr>
      </w:pPr>
    </w:p>
    <w:p w14:paraId="58A223F6" w14:textId="4E86CA90" w:rsidR="00F31640" w:rsidRPr="00CD68BA" w:rsidRDefault="00821614"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rFonts w:eastAsia="SimSun"/>
          <w:lang w:val="es-CR"/>
        </w:rPr>
        <w:t>En caso de que</w:t>
      </w:r>
      <w:r w:rsidR="00C176C6" w:rsidRPr="00CD68BA">
        <w:rPr>
          <w:rFonts w:eastAsia="SimSun"/>
          <w:lang w:val="es-CR"/>
        </w:rPr>
        <w:t xml:space="preserve"> otros</w:t>
      </w:r>
      <w:r w:rsidRPr="00CD68BA">
        <w:rPr>
          <w:rFonts w:eastAsia="SimSun"/>
          <w:lang w:val="es-CR"/>
        </w:rPr>
        <w:t xml:space="preserve"> beneficiarios fallezcan antes de que le</w:t>
      </w:r>
      <w:r w:rsidR="00416781" w:rsidRPr="00CD68BA">
        <w:rPr>
          <w:rFonts w:eastAsia="SimSun"/>
          <w:lang w:val="es-CR"/>
        </w:rPr>
        <w:t>s</w:t>
      </w:r>
      <w:r w:rsidRPr="00CD68BA">
        <w:rPr>
          <w:rFonts w:eastAsia="SimSun"/>
          <w:lang w:val="es-CR"/>
        </w:rPr>
        <w:t xml:space="preserve"> sea entregada la</w:t>
      </w:r>
      <w:r w:rsidR="00416781" w:rsidRPr="00CD68BA">
        <w:rPr>
          <w:rFonts w:eastAsia="SimSun"/>
          <w:lang w:val="es-CR"/>
        </w:rPr>
        <w:t>s indemnizaciones</w:t>
      </w:r>
      <w:r w:rsidRPr="00CD68BA">
        <w:rPr>
          <w:rFonts w:eastAsia="SimSun"/>
          <w:lang w:val="es-CR"/>
        </w:rPr>
        <w:t xml:space="preserve"> respectiva</w:t>
      </w:r>
      <w:r w:rsidR="00416781" w:rsidRPr="00CD68BA">
        <w:rPr>
          <w:rFonts w:eastAsia="SimSun"/>
          <w:lang w:val="es-CR"/>
        </w:rPr>
        <w:t>s</w:t>
      </w:r>
      <w:r w:rsidRPr="00CD68BA">
        <w:rPr>
          <w:rFonts w:eastAsia="SimSun"/>
          <w:lang w:val="es-CR"/>
        </w:rPr>
        <w:t xml:space="preserve">, esta se </w:t>
      </w:r>
      <w:r w:rsidR="00416781" w:rsidRPr="00CD68BA">
        <w:rPr>
          <w:rFonts w:eastAsia="SimSun"/>
          <w:lang w:val="es-CR"/>
        </w:rPr>
        <w:t>efectuará</w:t>
      </w:r>
      <w:r w:rsidRPr="00CD68BA">
        <w:rPr>
          <w:rFonts w:eastAsia="SimSun"/>
          <w:lang w:val="es-CR"/>
        </w:rPr>
        <w:t xml:space="preserve"> directamente a sus derechohabientes, conforme al derecho interno aplicable.</w:t>
      </w:r>
      <w:bookmarkEnd w:id="153"/>
      <w:bookmarkEnd w:id="154"/>
    </w:p>
    <w:p w14:paraId="762D2760" w14:textId="77777777" w:rsidR="00F31640" w:rsidRPr="00CD68BA" w:rsidRDefault="00F31640" w:rsidP="00A06718">
      <w:pPr>
        <w:pStyle w:val="Prrafodelista"/>
        <w:spacing w:before="0" w:after="0"/>
        <w:contextualSpacing w:val="0"/>
        <w:rPr>
          <w:lang w:val="es-CR"/>
        </w:rPr>
      </w:pPr>
    </w:p>
    <w:p w14:paraId="1B46FDAD" w14:textId="77777777" w:rsidR="00F31640" w:rsidRPr="00CD68BA" w:rsidRDefault="00FD1F7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p>
    <w:p w14:paraId="124B1D69" w14:textId="77777777" w:rsidR="00F31640" w:rsidRPr="00CD68BA" w:rsidRDefault="00F31640" w:rsidP="00A06718">
      <w:pPr>
        <w:pStyle w:val="Prrafodelista"/>
        <w:spacing w:before="0" w:after="0"/>
        <w:contextualSpacing w:val="0"/>
        <w:rPr>
          <w:lang w:val="es-CR"/>
        </w:rPr>
      </w:pPr>
    </w:p>
    <w:p w14:paraId="57C030EF" w14:textId="77777777" w:rsidR="00F31640" w:rsidRPr="00CD68BA" w:rsidRDefault="00FD1F7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 xml:space="preserve">Si por causas atribuibles a los beneficiarios de las indemnizaciones o a sus derechohabientes no fuese posible el pago de la cantidad determinada dentro del plazo indicado, el Estado consignará </w:t>
      </w:r>
      <w:r w:rsidRPr="00CD68BA">
        <w:rPr>
          <w:lang w:val="es-CR"/>
        </w:rPr>
        <w:lastRenderedPageBreak/>
        <w:t>dicho monto a su favor en una cuenta o certificado de depósito en una institución financiera brasileña solvente, en dólares de los Estados Unidos de América o su equivalente en moneda nacional, y en las condiciones financieras más favorables que permitan la legislación y la práctica bancaria. Si no se reclama el monto correspondiente una vez transcurridos diez años, las cantidades serán devueltas al Estado con los intereses devengados.</w:t>
      </w:r>
    </w:p>
    <w:p w14:paraId="48B6C0CC" w14:textId="77777777" w:rsidR="00F31640" w:rsidRPr="00CD68BA" w:rsidRDefault="00F31640" w:rsidP="00A06718">
      <w:pPr>
        <w:pStyle w:val="Prrafodelista"/>
        <w:spacing w:before="0" w:after="0"/>
        <w:contextualSpacing w:val="0"/>
        <w:rPr>
          <w:lang w:val="es-CR"/>
        </w:rPr>
      </w:pPr>
    </w:p>
    <w:p w14:paraId="209641B2" w14:textId="77777777" w:rsidR="00F31640" w:rsidRPr="00CD68BA" w:rsidRDefault="00FD1F7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Las cantidades asignadas en la presente Sentencia como medidas de reparación del daño y como reintegro de costas y gastos deberán ser entregadas de forma íntegra, sin reducciones derivadas de eventuales cargas fiscales.</w:t>
      </w:r>
      <w:bookmarkStart w:id="171" w:name="_bookmark485"/>
      <w:bookmarkEnd w:id="171"/>
    </w:p>
    <w:p w14:paraId="6CB0F57C" w14:textId="77777777" w:rsidR="00F31640" w:rsidRPr="00CD68BA" w:rsidRDefault="00F31640" w:rsidP="00A06718">
      <w:pPr>
        <w:pStyle w:val="Prrafodelista"/>
        <w:spacing w:before="0" w:after="0"/>
        <w:contextualSpacing w:val="0"/>
        <w:rPr>
          <w:lang w:val="es-CR"/>
        </w:rPr>
      </w:pPr>
    </w:p>
    <w:p w14:paraId="297EF9DE" w14:textId="58443AF1" w:rsidR="00FD1F70" w:rsidRPr="00CD68BA" w:rsidRDefault="00FD1F70" w:rsidP="00A06718">
      <w:pPr>
        <w:pStyle w:val="Prrafodelista"/>
        <w:numPr>
          <w:ilvl w:val="0"/>
          <w:numId w:val="16"/>
        </w:numPr>
        <w:autoSpaceDE w:val="0"/>
        <w:autoSpaceDN w:val="0"/>
        <w:adjustRightInd w:val="0"/>
        <w:spacing w:before="0" w:after="0"/>
        <w:ind w:left="0" w:firstLine="0"/>
        <w:contextualSpacing w:val="0"/>
        <w:rPr>
          <w:szCs w:val="20"/>
          <w:lang w:val="es-CR"/>
        </w:rPr>
      </w:pPr>
      <w:r w:rsidRPr="00CD68BA">
        <w:rPr>
          <w:lang w:val="es-CR"/>
        </w:rPr>
        <w:t>En caso de que el Estado incurriera en mora, deberá pagar un interés sobre la cantidad adeudada correspondiente al interés bancario moratorio en la República Federativa de Brasil.</w:t>
      </w:r>
    </w:p>
    <w:p w14:paraId="6E542B88" w14:textId="77777777" w:rsidR="00FD1F70" w:rsidRPr="00CD68BA" w:rsidRDefault="00FD1F70" w:rsidP="00A06718">
      <w:pPr>
        <w:pStyle w:val="Prrafodelista"/>
        <w:widowControl w:val="0"/>
        <w:adjustRightInd w:val="0"/>
        <w:spacing w:before="0" w:after="0"/>
        <w:ind w:left="0"/>
        <w:contextualSpacing w:val="0"/>
        <w:rPr>
          <w:rFonts w:eastAsia="MS Mincho" w:cs="Times New Roman"/>
          <w:szCs w:val="20"/>
          <w:lang w:val="es-CR" w:bidi="en-US"/>
        </w:rPr>
      </w:pPr>
    </w:p>
    <w:p w14:paraId="12321434" w14:textId="4C961334" w:rsidR="00A721AE" w:rsidRPr="00CD68BA" w:rsidRDefault="00F0482A" w:rsidP="00A06718">
      <w:pPr>
        <w:pStyle w:val="Ttulo1"/>
        <w:spacing w:before="0" w:after="0"/>
        <w:rPr>
          <w:lang w:val="es-CR"/>
        </w:rPr>
      </w:pPr>
      <w:bookmarkStart w:id="172" w:name="_Toc470105133"/>
      <w:bookmarkStart w:id="173" w:name="_Toc114778808"/>
      <w:r w:rsidRPr="00CD68BA">
        <w:rPr>
          <w:lang w:val="es-CR"/>
        </w:rPr>
        <w:t>X</w:t>
      </w:r>
      <w:r w:rsidRPr="00CD68BA">
        <w:rPr>
          <w:lang w:val="es-CR"/>
        </w:rPr>
        <w:br/>
      </w:r>
      <w:r w:rsidR="00A721AE" w:rsidRPr="00CD68BA">
        <w:rPr>
          <w:lang w:val="es-CR"/>
        </w:rPr>
        <w:t>PUNTOS RESOLUTIVOS</w:t>
      </w:r>
      <w:bookmarkEnd w:id="104"/>
      <w:bookmarkEnd w:id="105"/>
      <w:bookmarkEnd w:id="106"/>
      <w:bookmarkEnd w:id="172"/>
      <w:bookmarkEnd w:id="173"/>
    </w:p>
    <w:p w14:paraId="263DD673" w14:textId="77777777" w:rsidR="00CA2AEE" w:rsidRPr="00CD68BA" w:rsidRDefault="00CA2AEE" w:rsidP="00A06718">
      <w:pPr>
        <w:pStyle w:val="PrrafodeSentencia"/>
        <w:rPr>
          <w:rFonts w:eastAsia="MS Mincho"/>
          <w:lang w:bidi="en-US"/>
        </w:rPr>
      </w:pPr>
      <w:r w:rsidRPr="00CD68BA">
        <w:rPr>
          <w:rFonts w:eastAsia="MS Mincho"/>
          <w:lang w:bidi="en-US"/>
        </w:rPr>
        <w:t>Por tanto,</w:t>
      </w:r>
    </w:p>
    <w:p w14:paraId="2D58BF2A" w14:textId="77777777" w:rsidR="00CA2AEE" w:rsidRPr="00CD68BA" w:rsidRDefault="00CA2AEE" w:rsidP="00A06718">
      <w:pPr>
        <w:tabs>
          <w:tab w:val="left" w:pos="720"/>
        </w:tabs>
        <w:spacing w:before="0" w:after="0"/>
        <w:ind w:left="720" w:right="-91"/>
        <w:jc w:val="left"/>
        <w:rPr>
          <w:rFonts w:eastAsia="MS Mincho" w:cs="Times New Roman"/>
          <w:szCs w:val="20"/>
          <w:lang w:val="es-CR" w:bidi="en-US"/>
        </w:rPr>
      </w:pPr>
    </w:p>
    <w:p w14:paraId="40AA6960" w14:textId="77777777" w:rsidR="00CA2AEE" w:rsidRPr="00CD68BA" w:rsidRDefault="00285024" w:rsidP="00A06718">
      <w:pPr>
        <w:tabs>
          <w:tab w:val="left" w:pos="720"/>
        </w:tabs>
        <w:spacing w:before="0" w:after="0"/>
        <w:ind w:right="-91"/>
        <w:jc w:val="left"/>
        <w:rPr>
          <w:rFonts w:eastAsia="MS Mincho" w:cs="Times New Roman"/>
          <w:b/>
          <w:bCs/>
          <w:szCs w:val="20"/>
          <w:lang w:val="es-CR" w:bidi="en-US"/>
        </w:rPr>
      </w:pPr>
      <w:r w:rsidRPr="00CD68BA">
        <w:rPr>
          <w:rFonts w:eastAsia="MS Mincho" w:cs="Times New Roman"/>
          <w:b/>
          <w:bCs/>
          <w:szCs w:val="20"/>
          <w:lang w:val="es-CR" w:bidi="en-US"/>
        </w:rPr>
        <w:t>LA CORTE</w:t>
      </w:r>
    </w:p>
    <w:p w14:paraId="64996DC7" w14:textId="6F4FAEB9" w:rsidR="00285024" w:rsidRPr="00CD68BA" w:rsidRDefault="00285024" w:rsidP="00A06718">
      <w:pPr>
        <w:tabs>
          <w:tab w:val="left" w:pos="720"/>
        </w:tabs>
        <w:spacing w:before="0" w:after="0"/>
        <w:ind w:right="-91"/>
        <w:jc w:val="left"/>
        <w:rPr>
          <w:rFonts w:eastAsia="MS Mincho" w:cs="Times New Roman"/>
          <w:szCs w:val="20"/>
          <w:lang w:val="es-CR" w:bidi="en-US"/>
        </w:rPr>
      </w:pPr>
    </w:p>
    <w:p w14:paraId="5D53F513" w14:textId="77777777" w:rsidR="00B74043" w:rsidRPr="00CD68BA" w:rsidRDefault="00B74043" w:rsidP="00A06718">
      <w:pPr>
        <w:tabs>
          <w:tab w:val="left" w:pos="720"/>
        </w:tabs>
        <w:spacing w:before="0" w:after="0"/>
        <w:ind w:right="-90"/>
        <w:rPr>
          <w:b/>
          <w:szCs w:val="20"/>
          <w:lang w:val="es-CR"/>
        </w:rPr>
      </w:pPr>
      <w:r w:rsidRPr="00CD68BA">
        <w:rPr>
          <w:b/>
          <w:szCs w:val="20"/>
          <w:lang w:val="es-CR"/>
        </w:rPr>
        <w:t xml:space="preserve">DECIDE: </w:t>
      </w:r>
    </w:p>
    <w:p w14:paraId="78EDB456" w14:textId="77777777" w:rsidR="00B74043" w:rsidRPr="00CD68BA" w:rsidRDefault="00B74043" w:rsidP="00A06718">
      <w:pPr>
        <w:tabs>
          <w:tab w:val="left" w:pos="720"/>
        </w:tabs>
        <w:spacing w:before="0" w:after="0"/>
        <w:ind w:right="-90"/>
        <w:rPr>
          <w:szCs w:val="20"/>
          <w:lang w:val="es-CR"/>
        </w:rPr>
      </w:pPr>
    </w:p>
    <w:p w14:paraId="522C50A9" w14:textId="3A48F544" w:rsidR="00B74043" w:rsidRPr="00CD68BA" w:rsidRDefault="00B74043" w:rsidP="00A06718">
      <w:pPr>
        <w:tabs>
          <w:tab w:val="left" w:pos="720"/>
        </w:tabs>
        <w:spacing w:before="0" w:after="0"/>
        <w:ind w:right="-90"/>
        <w:rPr>
          <w:szCs w:val="20"/>
          <w:lang w:val="es-CR"/>
        </w:rPr>
      </w:pPr>
      <w:r w:rsidRPr="00CD68BA">
        <w:rPr>
          <w:szCs w:val="20"/>
          <w:lang w:val="es-CR"/>
        </w:rPr>
        <w:t xml:space="preserve">Por </w:t>
      </w:r>
      <w:r w:rsidR="007E5EE1" w:rsidRPr="00CD68BA">
        <w:rPr>
          <w:szCs w:val="20"/>
          <w:lang w:val="es-CR"/>
        </w:rPr>
        <w:t>unanimidad</w:t>
      </w:r>
      <w:r w:rsidRPr="00CD68BA">
        <w:rPr>
          <w:szCs w:val="20"/>
          <w:lang w:val="es-CR"/>
        </w:rPr>
        <w:t>,</w:t>
      </w:r>
    </w:p>
    <w:p w14:paraId="091F4255" w14:textId="77777777" w:rsidR="00B74043" w:rsidRPr="00CD68BA" w:rsidRDefault="00B74043" w:rsidP="00A06718">
      <w:pPr>
        <w:tabs>
          <w:tab w:val="left" w:pos="720"/>
        </w:tabs>
        <w:spacing w:before="0" w:after="0"/>
        <w:ind w:right="-90"/>
        <w:rPr>
          <w:szCs w:val="20"/>
          <w:lang w:val="es-CR"/>
        </w:rPr>
      </w:pPr>
    </w:p>
    <w:p w14:paraId="0F406FAE" w14:textId="636B3EC9" w:rsidR="00B74043" w:rsidRPr="00CD68BA" w:rsidRDefault="00B74043" w:rsidP="00A06718">
      <w:pPr>
        <w:pStyle w:val="Prrafodelista"/>
        <w:numPr>
          <w:ilvl w:val="3"/>
          <w:numId w:val="5"/>
        </w:numPr>
        <w:tabs>
          <w:tab w:val="left" w:pos="720"/>
        </w:tabs>
        <w:spacing w:before="0" w:after="0"/>
        <w:ind w:left="0" w:right="-90" w:firstLine="0"/>
        <w:contextualSpacing w:val="0"/>
        <w:rPr>
          <w:szCs w:val="20"/>
          <w:lang w:val="es-CR"/>
        </w:rPr>
      </w:pPr>
      <w:r w:rsidRPr="00CD68BA">
        <w:rPr>
          <w:szCs w:val="20"/>
          <w:lang w:val="es-CR"/>
        </w:rPr>
        <w:t>Desestimar la excepción preliminar por</w:t>
      </w:r>
      <w:r w:rsidR="008F3F44" w:rsidRPr="00CD68BA">
        <w:rPr>
          <w:szCs w:val="20"/>
          <w:lang w:val="es-CR"/>
        </w:rPr>
        <w:t xml:space="preserve"> </w:t>
      </w:r>
      <w:r w:rsidR="00C2235E" w:rsidRPr="00CD68BA">
        <w:rPr>
          <w:i/>
          <w:iCs/>
          <w:szCs w:val="20"/>
          <w:lang w:val="es-CR"/>
        </w:rPr>
        <w:t>ratione temporis</w:t>
      </w:r>
      <w:r w:rsidRPr="00CD68BA">
        <w:rPr>
          <w:szCs w:val="20"/>
          <w:lang w:val="es-CR"/>
        </w:rPr>
        <w:t xml:space="preserve">, de conformidad con los párrafos </w:t>
      </w:r>
      <w:r w:rsidR="00307CA8" w:rsidRPr="00CD68BA">
        <w:rPr>
          <w:szCs w:val="20"/>
          <w:lang w:val="es-CR"/>
        </w:rPr>
        <w:t>20 a 22</w:t>
      </w:r>
      <w:r w:rsidRPr="00CD68BA">
        <w:rPr>
          <w:szCs w:val="20"/>
          <w:lang w:val="es-CR"/>
        </w:rPr>
        <w:t xml:space="preserve"> de la presente Sentencia.</w:t>
      </w:r>
    </w:p>
    <w:p w14:paraId="4F8EDFA3" w14:textId="53FA4333" w:rsidR="00595437" w:rsidRPr="00CD68BA" w:rsidRDefault="008F3F44" w:rsidP="00A06718">
      <w:pPr>
        <w:pStyle w:val="Prrafodelista"/>
        <w:tabs>
          <w:tab w:val="left" w:pos="720"/>
        </w:tabs>
        <w:spacing w:before="0" w:after="0"/>
        <w:ind w:left="0" w:right="-90"/>
        <w:contextualSpacing w:val="0"/>
        <w:rPr>
          <w:szCs w:val="20"/>
          <w:lang w:val="es-CR"/>
        </w:rPr>
      </w:pPr>
      <w:r w:rsidRPr="00CD68BA">
        <w:rPr>
          <w:szCs w:val="20"/>
          <w:lang w:val="es-CR"/>
        </w:rPr>
        <w:t xml:space="preserve"> </w:t>
      </w:r>
    </w:p>
    <w:p w14:paraId="30F37D22" w14:textId="2454914B" w:rsidR="00DE680E" w:rsidRPr="00CD68BA" w:rsidRDefault="00B74043" w:rsidP="00A06718">
      <w:pPr>
        <w:pStyle w:val="Prrafodelista"/>
        <w:numPr>
          <w:ilvl w:val="3"/>
          <w:numId w:val="5"/>
        </w:numPr>
        <w:tabs>
          <w:tab w:val="left" w:pos="720"/>
        </w:tabs>
        <w:spacing w:before="0" w:after="0"/>
        <w:ind w:left="0" w:right="-90" w:firstLine="0"/>
        <w:contextualSpacing w:val="0"/>
        <w:rPr>
          <w:szCs w:val="20"/>
          <w:lang w:val="es-CR"/>
        </w:rPr>
      </w:pPr>
      <w:r w:rsidRPr="00CD68BA">
        <w:rPr>
          <w:szCs w:val="20"/>
          <w:lang w:val="es-CR"/>
        </w:rPr>
        <w:t>Desestimar la excepción preliminar sobre</w:t>
      </w:r>
      <w:r w:rsidR="008F3F44" w:rsidRPr="00CD68BA">
        <w:rPr>
          <w:szCs w:val="20"/>
          <w:lang w:val="es-CR"/>
        </w:rPr>
        <w:t xml:space="preserve"> </w:t>
      </w:r>
      <w:r w:rsidR="00C2235E" w:rsidRPr="00CD68BA">
        <w:rPr>
          <w:szCs w:val="20"/>
          <w:lang w:val="es-CR"/>
        </w:rPr>
        <w:t xml:space="preserve">la falta de agotamiento </w:t>
      </w:r>
      <w:r w:rsidR="00DE680E" w:rsidRPr="00CD68BA">
        <w:rPr>
          <w:szCs w:val="20"/>
          <w:lang w:val="es-CR"/>
        </w:rPr>
        <w:t>de los recursos internos</w:t>
      </w:r>
      <w:r w:rsidRPr="00CD68BA">
        <w:rPr>
          <w:i/>
          <w:szCs w:val="20"/>
          <w:lang w:val="es-CR"/>
        </w:rPr>
        <w:t>,</w:t>
      </w:r>
      <w:r w:rsidRPr="00CD68BA">
        <w:rPr>
          <w:szCs w:val="20"/>
          <w:lang w:val="es-CR"/>
        </w:rPr>
        <w:t xml:space="preserve"> de conformidad con los párrafos </w:t>
      </w:r>
      <w:r w:rsidR="00307CA8" w:rsidRPr="00CD68BA">
        <w:rPr>
          <w:szCs w:val="20"/>
          <w:lang w:val="es-CR"/>
        </w:rPr>
        <w:t>26 a 28</w:t>
      </w:r>
      <w:r w:rsidR="008F3F44" w:rsidRPr="00CD68BA">
        <w:rPr>
          <w:szCs w:val="20"/>
          <w:lang w:val="es-CR"/>
        </w:rPr>
        <w:t xml:space="preserve"> </w:t>
      </w:r>
      <w:r w:rsidRPr="00CD68BA">
        <w:rPr>
          <w:szCs w:val="20"/>
          <w:lang w:val="es-CR"/>
        </w:rPr>
        <w:t>de la presente Sentencia.</w:t>
      </w:r>
    </w:p>
    <w:p w14:paraId="48B2AA1A" w14:textId="77777777" w:rsidR="00DE680E" w:rsidRPr="00CD68BA" w:rsidRDefault="00DE680E" w:rsidP="00A06718">
      <w:pPr>
        <w:pStyle w:val="Prrafodelista"/>
        <w:spacing w:before="0" w:after="0"/>
        <w:contextualSpacing w:val="0"/>
        <w:rPr>
          <w:szCs w:val="20"/>
          <w:lang w:val="es-CR"/>
        </w:rPr>
      </w:pPr>
    </w:p>
    <w:p w14:paraId="56317B30" w14:textId="2D1352D9" w:rsidR="00B74043" w:rsidRPr="00CD68BA" w:rsidRDefault="00DE680E" w:rsidP="00A06718">
      <w:pPr>
        <w:pStyle w:val="Prrafodelista"/>
        <w:numPr>
          <w:ilvl w:val="3"/>
          <w:numId w:val="5"/>
        </w:numPr>
        <w:tabs>
          <w:tab w:val="left" w:pos="720"/>
        </w:tabs>
        <w:spacing w:before="0" w:after="0"/>
        <w:ind w:left="0" w:right="-90" w:firstLine="0"/>
        <w:contextualSpacing w:val="0"/>
        <w:rPr>
          <w:szCs w:val="20"/>
          <w:lang w:val="es-CR"/>
        </w:rPr>
      </w:pPr>
      <w:r w:rsidRPr="00CD68BA">
        <w:rPr>
          <w:lang w:val="es-CR"/>
        </w:rPr>
        <w:t>Desestimar la excepción preliminar relativa a la “cuarta instancia”, de conformidad con los párrafos</w:t>
      </w:r>
      <w:r w:rsidR="00B74043" w:rsidRPr="00CD68BA">
        <w:rPr>
          <w:szCs w:val="20"/>
          <w:lang w:val="es-CR"/>
        </w:rPr>
        <w:t xml:space="preserve"> </w:t>
      </w:r>
      <w:r w:rsidR="00307CA8" w:rsidRPr="00CD68BA">
        <w:rPr>
          <w:szCs w:val="20"/>
          <w:lang w:val="es-CR"/>
        </w:rPr>
        <w:t xml:space="preserve">32 </w:t>
      </w:r>
      <w:r w:rsidR="00FF1C1F" w:rsidRPr="00CD68BA">
        <w:rPr>
          <w:szCs w:val="20"/>
          <w:lang w:val="es-CR"/>
        </w:rPr>
        <w:t>y</w:t>
      </w:r>
      <w:r w:rsidR="00307CA8" w:rsidRPr="00CD68BA">
        <w:rPr>
          <w:szCs w:val="20"/>
          <w:lang w:val="es-CR"/>
        </w:rPr>
        <w:t xml:space="preserve"> 33</w:t>
      </w:r>
      <w:r w:rsidRPr="00CD68BA">
        <w:rPr>
          <w:szCs w:val="20"/>
          <w:lang w:val="es-CR"/>
        </w:rPr>
        <w:t xml:space="preserve"> de la presente Sentencia.</w:t>
      </w:r>
    </w:p>
    <w:p w14:paraId="5EEEE91D" w14:textId="77777777" w:rsidR="00B74043" w:rsidRPr="00CD68BA" w:rsidRDefault="00B74043" w:rsidP="00A06718">
      <w:pPr>
        <w:tabs>
          <w:tab w:val="left" w:pos="720"/>
        </w:tabs>
        <w:spacing w:before="0" w:after="0"/>
        <w:ind w:right="-91"/>
        <w:jc w:val="left"/>
        <w:rPr>
          <w:rFonts w:eastAsia="MS Mincho" w:cs="Times New Roman"/>
          <w:szCs w:val="20"/>
          <w:lang w:val="es-CR" w:bidi="en-US"/>
        </w:rPr>
      </w:pPr>
    </w:p>
    <w:p w14:paraId="6D154654" w14:textId="77777777" w:rsidR="00CA2AEE" w:rsidRPr="00CD68BA" w:rsidRDefault="00CA2AEE" w:rsidP="00A06718">
      <w:pPr>
        <w:tabs>
          <w:tab w:val="left" w:pos="720"/>
        </w:tabs>
        <w:spacing w:before="0" w:after="0"/>
        <w:ind w:right="-90"/>
        <w:jc w:val="left"/>
        <w:rPr>
          <w:rFonts w:eastAsia="MS Mincho" w:cs="Times New Roman"/>
          <w:szCs w:val="20"/>
          <w:lang w:val="es-CR" w:bidi="en-US"/>
        </w:rPr>
      </w:pPr>
      <w:r w:rsidRPr="00CD68BA">
        <w:rPr>
          <w:rFonts w:eastAsia="MS Mincho" w:cs="Times New Roman"/>
          <w:b/>
          <w:bCs/>
          <w:szCs w:val="20"/>
          <w:lang w:val="es-CR" w:bidi="en-US"/>
        </w:rPr>
        <w:t xml:space="preserve">DECLARA: </w:t>
      </w:r>
    </w:p>
    <w:p w14:paraId="6437F8F4" w14:textId="77777777" w:rsidR="00CA2AEE" w:rsidRPr="00CD68BA" w:rsidRDefault="00CA2AEE" w:rsidP="00A06718">
      <w:pPr>
        <w:tabs>
          <w:tab w:val="left" w:pos="720"/>
        </w:tabs>
        <w:spacing w:before="0" w:after="0"/>
        <w:ind w:right="-90"/>
        <w:jc w:val="left"/>
        <w:rPr>
          <w:rFonts w:eastAsia="MS Mincho" w:cs="Times New Roman"/>
          <w:szCs w:val="20"/>
          <w:lang w:val="es-CR" w:bidi="en-US"/>
        </w:rPr>
      </w:pPr>
    </w:p>
    <w:p w14:paraId="18A18662" w14:textId="48757AE3" w:rsidR="0084632F" w:rsidRPr="00CD68BA" w:rsidRDefault="00F007D6" w:rsidP="00F007D6">
      <w:pPr>
        <w:tabs>
          <w:tab w:val="left" w:pos="720"/>
        </w:tabs>
        <w:spacing w:before="0" w:after="0"/>
        <w:ind w:right="-90"/>
        <w:rPr>
          <w:szCs w:val="20"/>
          <w:lang w:val="es-CR"/>
        </w:rPr>
      </w:pPr>
      <w:r w:rsidRPr="00CD68BA">
        <w:rPr>
          <w:szCs w:val="20"/>
          <w:lang w:val="es-CR"/>
        </w:rPr>
        <w:t>Por unanimidad</w:t>
      </w:r>
      <w:r w:rsidR="00CA2AEE" w:rsidRPr="00CD68BA">
        <w:rPr>
          <w:rFonts w:eastAsia="MS Mincho" w:cs="Times New Roman"/>
          <w:szCs w:val="20"/>
          <w:lang w:val="es-CR" w:bidi="en-US"/>
        </w:rPr>
        <w:t>, que:</w:t>
      </w:r>
    </w:p>
    <w:p w14:paraId="650A2CCE" w14:textId="77777777" w:rsidR="0084632F" w:rsidRPr="00CD68BA" w:rsidRDefault="0084632F" w:rsidP="00A06718">
      <w:pPr>
        <w:spacing w:before="0" w:after="0"/>
        <w:ind w:right="-90"/>
        <w:jc w:val="left"/>
        <w:rPr>
          <w:rFonts w:eastAsia="MS Mincho" w:cs="Times New Roman"/>
          <w:szCs w:val="20"/>
          <w:lang w:val="es-CR" w:bidi="en-US"/>
        </w:rPr>
      </w:pPr>
    </w:p>
    <w:p w14:paraId="007B575B" w14:textId="596B759F" w:rsidR="00AF4DFE" w:rsidRPr="00CD68BA" w:rsidRDefault="00811116" w:rsidP="00A06718">
      <w:pPr>
        <w:pStyle w:val="Prrafodelista"/>
        <w:numPr>
          <w:ilvl w:val="3"/>
          <w:numId w:val="5"/>
        </w:numPr>
        <w:spacing w:before="0" w:after="0"/>
        <w:ind w:left="0" w:firstLine="0"/>
        <w:contextualSpacing w:val="0"/>
        <w:rPr>
          <w:lang w:val="es-CR"/>
        </w:rPr>
      </w:pPr>
      <w:r w:rsidRPr="00CD68BA">
        <w:rPr>
          <w:lang w:val="es-CR"/>
        </w:rPr>
        <w:t>El Estado es responsable por la violación de los derechos a las garantías judiciales y</w:t>
      </w:r>
      <w:r w:rsidR="00307CA8" w:rsidRPr="00CD68BA">
        <w:rPr>
          <w:lang w:val="es-CR"/>
        </w:rPr>
        <w:t xml:space="preserve"> a</w:t>
      </w:r>
      <w:r w:rsidRPr="00CD68BA">
        <w:rPr>
          <w:lang w:val="es-CR"/>
        </w:rPr>
        <w:t xml:space="preserve"> la protección judicial, contenidos en los artículos 8.1 y 25 de la Convención Americana sobre Derechos Humanos, en relación con la obligación de respeto y garantía de los derechos establecid</w:t>
      </w:r>
      <w:r w:rsidR="00B96338" w:rsidRPr="00CD68BA">
        <w:rPr>
          <w:lang w:val="es-CR"/>
        </w:rPr>
        <w:t>a</w:t>
      </w:r>
      <w:r w:rsidRPr="00CD68BA">
        <w:rPr>
          <w:lang w:val="es-CR"/>
        </w:rPr>
        <w:t xml:space="preserve"> en el artículo 1.1 del mismo instrumento</w:t>
      </w:r>
      <w:r w:rsidR="00DE680E" w:rsidRPr="00CD68BA">
        <w:rPr>
          <w:lang w:val="es-CR"/>
        </w:rPr>
        <w:t xml:space="preserve">, en perjuicio de </w:t>
      </w:r>
      <w:r w:rsidR="00B6133D" w:rsidRPr="00CD68BA">
        <w:rPr>
          <w:lang w:val="es-CR"/>
        </w:rPr>
        <w:t xml:space="preserve">Geraldo Gomes Pimenta, Maria da Glória Sales Pimenta, Sérgio Sales Pimenta, Marcos Sales Pimenta, José Sales Pimenta, Rafael Sales Pimenta, André Sales Pimenta </w:t>
      </w:r>
      <w:r w:rsidR="00307CA8" w:rsidRPr="00CD68BA">
        <w:rPr>
          <w:lang w:val="es-CR"/>
        </w:rPr>
        <w:t>y</w:t>
      </w:r>
      <w:r w:rsidR="00B6133D" w:rsidRPr="00CD68BA">
        <w:rPr>
          <w:lang w:val="es-CR"/>
        </w:rPr>
        <w:t xml:space="preserve"> Daniel Sales Pimenta</w:t>
      </w:r>
      <w:r w:rsidR="00A93EDC" w:rsidRPr="00CD68BA">
        <w:rPr>
          <w:lang w:val="es-CR"/>
        </w:rPr>
        <w:t xml:space="preserve">. Además, el Estado violó el derecho a la verdad en perjuicio de los familiares de Gabriel Sales Pimenta nombrados. Todo lo anterior, </w:t>
      </w:r>
      <w:r w:rsidR="00DE680E" w:rsidRPr="00CD68BA">
        <w:rPr>
          <w:lang w:val="es-CR"/>
        </w:rPr>
        <w:t xml:space="preserve">en los términos de los </w:t>
      </w:r>
      <w:r w:rsidR="00724C25" w:rsidRPr="00CD68BA">
        <w:rPr>
          <w:lang w:val="es-CR"/>
        </w:rPr>
        <w:t xml:space="preserve">párrafos </w:t>
      </w:r>
      <w:r w:rsidR="00307CA8" w:rsidRPr="00CD68BA">
        <w:rPr>
          <w:lang w:val="es-CR"/>
        </w:rPr>
        <w:t>82</w:t>
      </w:r>
      <w:r w:rsidR="001B4DCB" w:rsidRPr="00CD68BA">
        <w:rPr>
          <w:lang w:val="es-CR"/>
        </w:rPr>
        <w:t xml:space="preserve"> a </w:t>
      </w:r>
      <w:r w:rsidR="00307CA8" w:rsidRPr="00CD68BA">
        <w:rPr>
          <w:lang w:val="es-CR"/>
        </w:rPr>
        <w:t>121</w:t>
      </w:r>
      <w:r w:rsidR="00F64B29" w:rsidRPr="00CD68BA">
        <w:rPr>
          <w:lang w:val="es-CR"/>
        </w:rPr>
        <w:t xml:space="preserve"> </w:t>
      </w:r>
      <w:r w:rsidR="00724C25" w:rsidRPr="00CD68BA">
        <w:rPr>
          <w:lang w:val="es-CR"/>
        </w:rPr>
        <w:t>de la presente Sentencia.</w:t>
      </w:r>
    </w:p>
    <w:p w14:paraId="2C9C8C3A" w14:textId="1C65E025" w:rsidR="00811116" w:rsidRPr="00CD68BA" w:rsidRDefault="00811116" w:rsidP="00A06718">
      <w:pPr>
        <w:pStyle w:val="Prrafodelista"/>
        <w:spacing w:before="0" w:after="0"/>
        <w:ind w:left="0"/>
        <w:contextualSpacing w:val="0"/>
        <w:rPr>
          <w:lang w:val="es-CR"/>
        </w:rPr>
      </w:pPr>
    </w:p>
    <w:p w14:paraId="0854BF85" w14:textId="5D62D1BA" w:rsidR="00AF4DFE" w:rsidRPr="00CD68BA" w:rsidRDefault="00811116" w:rsidP="00A06718">
      <w:pPr>
        <w:pStyle w:val="Prrafodelista"/>
        <w:numPr>
          <w:ilvl w:val="3"/>
          <w:numId w:val="5"/>
        </w:numPr>
        <w:spacing w:before="0" w:after="0"/>
        <w:ind w:left="0" w:firstLine="0"/>
        <w:contextualSpacing w:val="0"/>
        <w:rPr>
          <w:lang w:val="es-CR"/>
        </w:rPr>
      </w:pPr>
      <w:r w:rsidRPr="00CD68BA">
        <w:rPr>
          <w:szCs w:val="20"/>
          <w:lang w:val="es-CR"/>
        </w:rPr>
        <w:t>El Estado es responsable por la violación del derecho a la integridad personal, reconocido en el artículo 5.1 de la Convención Americana sobre Derechos Humanos, en relación con el artículo 1.1 del mismo instrumento</w:t>
      </w:r>
      <w:r w:rsidR="00792BAF" w:rsidRPr="00CD68BA">
        <w:rPr>
          <w:szCs w:val="20"/>
          <w:lang w:val="es-CR"/>
        </w:rPr>
        <w:t>, en perjuicio de</w:t>
      </w:r>
      <w:r w:rsidR="00B1547E" w:rsidRPr="00CD68BA">
        <w:rPr>
          <w:rFonts w:cs="Verdana"/>
          <w:iCs/>
          <w:szCs w:val="20"/>
          <w:lang w:val="es-CR"/>
        </w:rPr>
        <w:t xml:space="preserve"> </w:t>
      </w:r>
      <w:r w:rsidR="0093318C" w:rsidRPr="00CD68BA">
        <w:rPr>
          <w:lang w:val="es-CR"/>
        </w:rPr>
        <w:t>Geraldo Gomes Pimenta, Maria da Glória Sales Pimenta, Sérgio Sales Pimenta, Marcos Sales Pimenta, José Sales Pimenta, Rafael Sales Pimenta, André Sales Pimenta e Daniel Sales Pimenta</w:t>
      </w:r>
      <w:r w:rsidR="00792BAF" w:rsidRPr="00CD68BA">
        <w:rPr>
          <w:szCs w:val="20"/>
          <w:lang w:val="es-CR"/>
        </w:rPr>
        <w:t xml:space="preserve">, de conformidad con lo establecido en los párrafos </w:t>
      </w:r>
      <w:r w:rsidR="007C4F87" w:rsidRPr="00CD68BA">
        <w:rPr>
          <w:szCs w:val="20"/>
          <w:lang w:val="es-CR"/>
        </w:rPr>
        <w:t>125 a 134</w:t>
      </w:r>
      <w:r w:rsidR="009F0FBD" w:rsidRPr="00CD68BA">
        <w:rPr>
          <w:szCs w:val="20"/>
          <w:lang w:val="es-CR"/>
        </w:rPr>
        <w:t xml:space="preserve"> </w:t>
      </w:r>
      <w:r w:rsidR="00792BAF" w:rsidRPr="00CD68BA">
        <w:rPr>
          <w:szCs w:val="20"/>
          <w:lang w:val="es-CR"/>
        </w:rPr>
        <w:t>de la presente Sentencia.</w:t>
      </w:r>
    </w:p>
    <w:p w14:paraId="5B7DDFAC" w14:textId="77777777" w:rsidR="00D51826" w:rsidRPr="00CD68BA" w:rsidRDefault="00D51826" w:rsidP="00A06718">
      <w:pPr>
        <w:pStyle w:val="Estilo1"/>
        <w:tabs>
          <w:tab w:val="left" w:pos="709"/>
          <w:tab w:val="left" w:pos="1134"/>
        </w:tabs>
        <w:spacing w:before="0" w:after="0"/>
        <w:ind w:left="0" w:right="-4" w:firstLine="0"/>
        <w:rPr>
          <w:rFonts w:eastAsia="Times New Roman" w:cs="Times New Roman"/>
          <w:i w:val="0"/>
          <w:szCs w:val="20"/>
          <w:lang w:val="es-CR" w:eastAsia="es-CR"/>
        </w:rPr>
      </w:pPr>
    </w:p>
    <w:p w14:paraId="1D89CBE2" w14:textId="77777777" w:rsidR="00CA2AEE" w:rsidRPr="00CD68BA" w:rsidRDefault="00CA2AEE" w:rsidP="00A06718">
      <w:pPr>
        <w:tabs>
          <w:tab w:val="left" w:pos="720"/>
        </w:tabs>
        <w:spacing w:before="0" w:after="0"/>
        <w:ind w:right="-90"/>
        <w:rPr>
          <w:rFonts w:eastAsia="MS Mincho" w:cs="Times New Roman"/>
          <w:b/>
          <w:bCs/>
          <w:szCs w:val="20"/>
          <w:lang w:val="es-CR" w:bidi="en-US"/>
        </w:rPr>
      </w:pPr>
      <w:r w:rsidRPr="00CD68BA">
        <w:rPr>
          <w:rFonts w:eastAsia="MS Mincho" w:cs="Times New Roman"/>
          <w:b/>
          <w:bCs/>
          <w:szCs w:val="20"/>
          <w:lang w:val="es-CR" w:bidi="en-US"/>
        </w:rPr>
        <w:t>Y DISPONE:</w:t>
      </w:r>
    </w:p>
    <w:p w14:paraId="4A5F67BB" w14:textId="77777777" w:rsidR="00CA2AEE" w:rsidRPr="00CD68BA" w:rsidRDefault="00CA2AEE" w:rsidP="00A06718">
      <w:pPr>
        <w:tabs>
          <w:tab w:val="left" w:pos="720"/>
        </w:tabs>
        <w:spacing w:before="0" w:after="0"/>
        <w:ind w:right="-90"/>
        <w:rPr>
          <w:rFonts w:eastAsia="MS Mincho" w:cs="Times New Roman"/>
          <w:b/>
          <w:bCs/>
          <w:szCs w:val="20"/>
          <w:lang w:val="es-CR" w:bidi="en-US"/>
        </w:rPr>
      </w:pPr>
    </w:p>
    <w:p w14:paraId="66CCB806" w14:textId="77777777" w:rsidR="007F4EE2" w:rsidRPr="00CD68BA" w:rsidRDefault="007F4EE2" w:rsidP="007F4EE2">
      <w:pPr>
        <w:tabs>
          <w:tab w:val="left" w:pos="720"/>
        </w:tabs>
        <w:spacing w:before="0" w:after="0"/>
        <w:ind w:right="-90"/>
        <w:rPr>
          <w:szCs w:val="20"/>
          <w:lang w:val="es-CR"/>
        </w:rPr>
      </w:pPr>
      <w:r w:rsidRPr="00CD68BA">
        <w:rPr>
          <w:szCs w:val="20"/>
          <w:lang w:val="es-CR"/>
        </w:rPr>
        <w:lastRenderedPageBreak/>
        <w:t>Por unanimidad</w:t>
      </w:r>
      <w:r w:rsidRPr="00CD68BA">
        <w:rPr>
          <w:rFonts w:eastAsia="MS Mincho" w:cs="Times New Roman"/>
          <w:szCs w:val="20"/>
          <w:lang w:val="es-CR" w:bidi="en-US"/>
        </w:rPr>
        <w:t>, que:</w:t>
      </w:r>
    </w:p>
    <w:p w14:paraId="3691E54B" w14:textId="00694850" w:rsidR="00CA2AEE" w:rsidRPr="00CD68BA" w:rsidRDefault="00CA2AEE" w:rsidP="00A06718">
      <w:pPr>
        <w:tabs>
          <w:tab w:val="left" w:pos="720"/>
        </w:tabs>
        <w:spacing w:before="0" w:after="0"/>
        <w:ind w:right="-90"/>
        <w:rPr>
          <w:rFonts w:eastAsia="MS Mincho" w:cs="Times New Roman"/>
          <w:bCs/>
          <w:strike/>
          <w:szCs w:val="20"/>
          <w:lang w:val="es-CR" w:bidi="en-US"/>
        </w:rPr>
      </w:pPr>
    </w:p>
    <w:p w14:paraId="5E2F9A3B" w14:textId="5781D0D3" w:rsidR="008815BD" w:rsidRPr="00CD68BA" w:rsidRDefault="00CA2AEE" w:rsidP="00A06718">
      <w:pPr>
        <w:pStyle w:val="Prrafodelista"/>
        <w:numPr>
          <w:ilvl w:val="3"/>
          <w:numId w:val="5"/>
        </w:numPr>
        <w:spacing w:before="0" w:after="0"/>
        <w:ind w:left="0" w:firstLine="0"/>
        <w:contextualSpacing w:val="0"/>
        <w:rPr>
          <w:lang w:val="es-CR"/>
        </w:rPr>
      </w:pPr>
      <w:r w:rsidRPr="00CD68BA">
        <w:rPr>
          <w:rFonts w:eastAsia="Times New Roman" w:cs="Times New Roman"/>
          <w:szCs w:val="20"/>
          <w:lang w:val="es-CR" w:eastAsia="es-CR"/>
        </w:rPr>
        <w:t>Esta</w:t>
      </w:r>
      <w:r w:rsidRPr="00CD68BA">
        <w:rPr>
          <w:rFonts w:eastAsia="Times New Roman" w:cs="Times New Roman"/>
          <w:bCs/>
          <w:szCs w:val="20"/>
          <w:lang w:val="es-CR" w:eastAsia="es-CR"/>
        </w:rPr>
        <w:t xml:space="preserve"> </w:t>
      </w:r>
      <w:r w:rsidRPr="00CD68BA">
        <w:rPr>
          <w:rFonts w:eastAsia="MS Mincho" w:cs="Times New Roman"/>
          <w:szCs w:val="20"/>
          <w:lang w:val="es-CR" w:bidi="en-US"/>
        </w:rPr>
        <w:t>Sentencia</w:t>
      </w:r>
      <w:r w:rsidR="0045442C" w:rsidRPr="00CD68BA">
        <w:rPr>
          <w:rFonts w:eastAsia="Times New Roman" w:cs="Times New Roman"/>
          <w:bCs/>
          <w:szCs w:val="20"/>
          <w:lang w:val="es-CR" w:eastAsia="es-CR"/>
        </w:rPr>
        <w:t xml:space="preserve"> constituye</w:t>
      </w:r>
      <w:r w:rsidRPr="00CD68BA">
        <w:rPr>
          <w:rFonts w:eastAsia="Times New Roman" w:cs="Times New Roman"/>
          <w:bCs/>
          <w:szCs w:val="20"/>
          <w:lang w:val="es-CR" w:eastAsia="es-CR"/>
        </w:rPr>
        <w:t xml:space="preserve"> per se una forma de reparación.</w:t>
      </w:r>
    </w:p>
    <w:p w14:paraId="69EE6656" w14:textId="77777777" w:rsidR="00B548D8" w:rsidRPr="00CD68BA" w:rsidRDefault="00B548D8" w:rsidP="00A06718">
      <w:pPr>
        <w:pStyle w:val="Prrafodelista"/>
        <w:spacing w:before="0" w:after="0"/>
        <w:ind w:left="0"/>
        <w:contextualSpacing w:val="0"/>
        <w:rPr>
          <w:lang w:val="es-CR"/>
        </w:rPr>
      </w:pPr>
    </w:p>
    <w:p w14:paraId="665D6415" w14:textId="3314A48A" w:rsidR="00B548D8" w:rsidRPr="00CD68BA" w:rsidRDefault="00B548D8" w:rsidP="00A06718">
      <w:pPr>
        <w:pStyle w:val="Prrafodelista"/>
        <w:numPr>
          <w:ilvl w:val="3"/>
          <w:numId w:val="5"/>
        </w:numPr>
        <w:spacing w:before="0" w:after="0"/>
        <w:ind w:left="0" w:firstLine="0"/>
        <w:contextualSpacing w:val="0"/>
        <w:rPr>
          <w:bCs/>
          <w:lang w:val="es-CR"/>
        </w:rPr>
      </w:pPr>
      <w:r w:rsidRPr="00CD68BA">
        <w:rPr>
          <w:rFonts w:eastAsia="Times New Roman" w:cs="Times New Roman"/>
          <w:bCs/>
          <w:szCs w:val="20"/>
          <w:lang w:val="es-CR" w:eastAsia="es-CR"/>
        </w:rPr>
        <w:t>El Estado</w:t>
      </w:r>
      <w:r w:rsidRPr="00CD68BA">
        <w:rPr>
          <w:bCs/>
          <w:lang w:val="es-CR"/>
        </w:rPr>
        <w:t xml:space="preserve"> creará un grupo de trabajo </w:t>
      </w:r>
      <w:r w:rsidRPr="00CD68BA">
        <w:rPr>
          <w:rFonts w:eastAsia="Times New Roman" w:cs="Times New Roman"/>
          <w:bCs/>
          <w:szCs w:val="20"/>
          <w:lang w:val="es-CR" w:eastAsia="es-CR"/>
        </w:rPr>
        <w:t xml:space="preserve">en los términos de los párrafos </w:t>
      </w:r>
      <w:r w:rsidR="007C4F87" w:rsidRPr="00CD68BA">
        <w:rPr>
          <w:rFonts w:eastAsia="Times New Roman" w:cs="Times New Roman"/>
          <w:bCs/>
          <w:szCs w:val="20"/>
          <w:lang w:val="es-CR" w:eastAsia="es-CR"/>
        </w:rPr>
        <w:t>145 a 147</w:t>
      </w:r>
      <w:r w:rsidRPr="00CD68BA">
        <w:rPr>
          <w:rFonts w:eastAsia="Times New Roman" w:cs="Times New Roman"/>
          <w:bCs/>
          <w:szCs w:val="20"/>
          <w:lang w:val="es-CR" w:eastAsia="es-CR"/>
        </w:rPr>
        <w:t xml:space="preserve"> de esta Sentencia.</w:t>
      </w:r>
    </w:p>
    <w:p w14:paraId="5E6E74CC" w14:textId="6632078B" w:rsidR="008815BD" w:rsidRPr="00CD68BA" w:rsidRDefault="008815BD" w:rsidP="00A06718">
      <w:pPr>
        <w:pStyle w:val="Prrafodelista"/>
        <w:spacing w:before="0" w:after="0"/>
        <w:ind w:left="0"/>
        <w:contextualSpacing w:val="0"/>
        <w:rPr>
          <w:bCs/>
          <w:highlight w:val="yellow"/>
          <w:lang w:val="es-CR"/>
        </w:rPr>
      </w:pPr>
    </w:p>
    <w:p w14:paraId="733A3463" w14:textId="01A70506" w:rsidR="009143E6" w:rsidRPr="00CD68BA" w:rsidRDefault="009143E6"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brindará </w:t>
      </w:r>
      <w:r w:rsidRPr="00CD68BA">
        <w:rPr>
          <w:lang w:val="es-CR"/>
        </w:rPr>
        <w:t>tratamiento psicológico y/o psiquiátrico a los hermanos del señor Sales Pimenta</w:t>
      </w:r>
      <w:r w:rsidRPr="00CD68BA">
        <w:rPr>
          <w:rFonts w:eastAsia="Times New Roman" w:cs="Times New Roman"/>
          <w:bCs/>
          <w:szCs w:val="20"/>
          <w:lang w:val="es-CR" w:eastAsia="es-CR"/>
        </w:rPr>
        <w:t>, en los términos de</w:t>
      </w:r>
      <w:r w:rsidR="007C4F87" w:rsidRPr="00CD68BA">
        <w:rPr>
          <w:rFonts w:eastAsia="Times New Roman" w:cs="Times New Roman"/>
          <w:bCs/>
          <w:szCs w:val="20"/>
          <w:lang w:val="es-CR" w:eastAsia="es-CR"/>
        </w:rPr>
        <w:t xml:space="preserve"> </w:t>
      </w:r>
      <w:r w:rsidRPr="00CD68BA">
        <w:rPr>
          <w:rFonts w:eastAsia="Times New Roman" w:cs="Times New Roman"/>
          <w:bCs/>
          <w:szCs w:val="20"/>
          <w:lang w:val="es-CR" w:eastAsia="es-CR"/>
        </w:rPr>
        <w:t>l</w:t>
      </w:r>
      <w:r w:rsidR="007C4F87" w:rsidRPr="00CD68BA">
        <w:rPr>
          <w:rFonts w:eastAsia="Times New Roman" w:cs="Times New Roman"/>
          <w:bCs/>
          <w:szCs w:val="20"/>
          <w:lang w:val="es-CR" w:eastAsia="es-CR"/>
        </w:rPr>
        <w:t>os</w:t>
      </w:r>
      <w:r w:rsidRPr="00CD68BA">
        <w:rPr>
          <w:rFonts w:eastAsia="Times New Roman" w:cs="Times New Roman"/>
          <w:bCs/>
          <w:szCs w:val="20"/>
          <w:lang w:val="es-CR" w:eastAsia="es-CR"/>
        </w:rPr>
        <w:t xml:space="preserve"> párrafo</w:t>
      </w:r>
      <w:r w:rsidR="007C4F87" w:rsidRPr="00CD68BA">
        <w:rPr>
          <w:rFonts w:eastAsia="Times New Roman" w:cs="Times New Roman"/>
          <w:bCs/>
          <w:szCs w:val="20"/>
          <w:lang w:val="es-CR" w:eastAsia="es-CR"/>
        </w:rPr>
        <w:t xml:space="preserve">s 151 </w:t>
      </w:r>
      <w:r w:rsidR="00FF1C1F" w:rsidRPr="00CD68BA">
        <w:rPr>
          <w:rFonts w:eastAsia="Times New Roman" w:cs="Times New Roman"/>
          <w:bCs/>
          <w:szCs w:val="20"/>
          <w:lang w:val="es-CR" w:eastAsia="es-CR"/>
        </w:rPr>
        <w:t>y</w:t>
      </w:r>
      <w:r w:rsidR="007C4F87" w:rsidRPr="00CD68BA">
        <w:rPr>
          <w:rFonts w:eastAsia="Times New Roman" w:cs="Times New Roman"/>
          <w:bCs/>
          <w:szCs w:val="20"/>
          <w:lang w:val="es-CR" w:eastAsia="es-CR"/>
        </w:rPr>
        <w:t xml:space="preserve"> 152</w:t>
      </w:r>
      <w:r w:rsidRPr="00CD68BA">
        <w:rPr>
          <w:rFonts w:eastAsia="Times New Roman" w:cs="Times New Roman"/>
          <w:bCs/>
          <w:szCs w:val="20"/>
          <w:lang w:val="es-CR" w:eastAsia="es-CR"/>
        </w:rPr>
        <w:t xml:space="preserve"> de la presente Sentencia.</w:t>
      </w:r>
    </w:p>
    <w:p w14:paraId="28583B23" w14:textId="77777777" w:rsidR="009143E6" w:rsidRPr="00CD68BA" w:rsidRDefault="009143E6" w:rsidP="00A06718">
      <w:pPr>
        <w:pStyle w:val="Prrafodelista"/>
        <w:spacing w:before="0" w:after="0"/>
        <w:ind w:left="0"/>
        <w:contextualSpacing w:val="0"/>
        <w:rPr>
          <w:bCs/>
          <w:lang w:val="es-CR"/>
        </w:rPr>
      </w:pPr>
    </w:p>
    <w:p w14:paraId="77B38CF1" w14:textId="39ADAE95" w:rsidR="008815BD" w:rsidRPr="00CD68BA" w:rsidRDefault="008815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realizará las publicaciones indicadas en el párrafo </w:t>
      </w:r>
      <w:r w:rsidR="007C4F87" w:rsidRPr="00CD68BA">
        <w:rPr>
          <w:rFonts w:eastAsia="Times New Roman" w:cs="Times New Roman"/>
          <w:bCs/>
          <w:szCs w:val="20"/>
          <w:lang w:val="es-CR" w:eastAsia="es-CR"/>
        </w:rPr>
        <w:t>157</w:t>
      </w:r>
      <w:r w:rsidRPr="00CD68BA">
        <w:rPr>
          <w:rFonts w:eastAsia="Times New Roman" w:cs="Times New Roman"/>
          <w:bCs/>
          <w:szCs w:val="20"/>
          <w:lang w:val="es-CR" w:eastAsia="es-CR"/>
        </w:rPr>
        <w:t xml:space="preserve"> de esta Sentencia, en el plazo de seis meses contados a partir de la notificación de la misma.</w:t>
      </w:r>
    </w:p>
    <w:p w14:paraId="4C4360ED" w14:textId="77777777" w:rsidR="008815BD" w:rsidRPr="00CD68BA" w:rsidRDefault="008815BD" w:rsidP="00A06718">
      <w:pPr>
        <w:pStyle w:val="Prrafodelista"/>
        <w:spacing w:before="0" w:after="0"/>
        <w:contextualSpacing w:val="0"/>
        <w:rPr>
          <w:rFonts w:eastAsia="Times New Roman" w:cs="Times New Roman"/>
          <w:bCs/>
          <w:szCs w:val="20"/>
          <w:lang w:val="es-CR" w:eastAsia="es-CR"/>
        </w:rPr>
      </w:pPr>
    </w:p>
    <w:p w14:paraId="5E418A50" w14:textId="4D6B453D" w:rsidR="008815BD" w:rsidRPr="00CD68BA" w:rsidRDefault="008815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realizará un acto </w:t>
      </w:r>
      <w:r w:rsidR="00FE5547" w:rsidRPr="00CD68BA">
        <w:rPr>
          <w:rFonts w:eastAsia="Times New Roman" w:cs="Times New Roman"/>
          <w:bCs/>
          <w:szCs w:val="20"/>
          <w:lang w:val="es-CR" w:eastAsia="es-CR"/>
        </w:rPr>
        <w:t xml:space="preserve">público </w:t>
      </w:r>
      <w:r w:rsidRPr="00CD68BA">
        <w:rPr>
          <w:rFonts w:eastAsia="Times New Roman" w:cs="Times New Roman"/>
          <w:bCs/>
          <w:szCs w:val="20"/>
          <w:lang w:val="es-CR" w:eastAsia="es-CR"/>
        </w:rPr>
        <w:t xml:space="preserve">de reconocimiento de responsabilidad internacional, en relación con los hechos de este caso, en los términos de los párrafos </w:t>
      </w:r>
      <w:r w:rsidR="007C4F87" w:rsidRPr="00CD68BA">
        <w:rPr>
          <w:rFonts w:eastAsia="Times New Roman" w:cs="Times New Roman"/>
          <w:bCs/>
          <w:szCs w:val="20"/>
          <w:lang w:val="es-CR" w:eastAsia="es-CR"/>
        </w:rPr>
        <w:t xml:space="preserve">158 </w:t>
      </w:r>
      <w:r w:rsidR="00FF1C1F" w:rsidRPr="00CD68BA">
        <w:rPr>
          <w:rFonts w:eastAsia="Times New Roman" w:cs="Times New Roman"/>
          <w:bCs/>
          <w:szCs w:val="20"/>
          <w:lang w:val="es-CR" w:eastAsia="es-CR"/>
        </w:rPr>
        <w:t>y</w:t>
      </w:r>
      <w:r w:rsidR="007C4F87" w:rsidRPr="00CD68BA">
        <w:rPr>
          <w:rFonts w:eastAsia="Times New Roman" w:cs="Times New Roman"/>
          <w:bCs/>
          <w:szCs w:val="20"/>
          <w:lang w:val="es-CR" w:eastAsia="es-CR"/>
        </w:rPr>
        <w:t xml:space="preserve"> 159</w:t>
      </w:r>
      <w:r w:rsidRPr="00CD68BA">
        <w:rPr>
          <w:rFonts w:eastAsia="Times New Roman" w:cs="Times New Roman"/>
          <w:bCs/>
          <w:szCs w:val="20"/>
          <w:lang w:val="es-CR" w:eastAsia="es-CR"/>
        </w:rPr>
        <w:t xml:space="preserve"> de esta Sentencia.</w:t>
      </w:r>
    </w:p>
    <w:p w14:paraId="03433EFB" w14:textId="77777777" w:rsidR="008815BD" w:rsidRPr="00CD68BA" w:rsidRDefault="008815BD" w:rsidP="00A06718">
      <w:pPr>
        <w:pStyle w:val="Prrafodelista"/>
        <w:spacing w:before="0" w:after="0"/>
        <w:contextualSpacing w:val="0"/>
        <w:rPr>
          <w:rFonts w:eastAsia="Times New Roman" w:cs="Times New Roman"/>
          <w:bCs/>
          <w:szCs w:val="20"/>
          <w:lang w:val="es-CR" w:eastAsia="es-CR"/>
        </w:rPr>
      </w:pPr>
    </w:p>
    <w:p w14:paraId="5D9E25D8" w14:textId="20945299" w:rsidR="008815BD" w:rsidRPr="00CD68BA" w:rsidRDefault="008815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w:t>
      </w:r>
      <w:r w:rsidR="004A6464" w:rsidRPr="00CD68BA">
        <w:rPr>
          <w:rFonts w:eastAsia="Times New Roman" w:cs="Times New Roman"/>
          <w:bCs/>
          <w:szCs w:val="20"/>
          <w:lang w:val="es-CR" w:eastAsia="es-CR"/>
        </w:rPr>
        <w:t>nombrará</w:t>
      </w:r>
      <w:r w:rsidR="00100584" w:rsidRPr="00CD68BA">
        <w:rPr>
          <w:rFonts w:eastAsia="Times New Roman" w:cs="Times New Roman"/>
          <w:bCs/>
          <w:szCs w:val="20"/>
          <w:lang w:val="es-CR" w:eastAsia="es-CR"/>
        </w:rPr>
        <w:t xml:space="preserve"> una plaza con el nombre de Gabriel Sales Pimenta</w:t>
      </w:r>
      <w:r w:rsidR="004A6464" w:rsidRPr="00CD68BA">
        <w:rPr>
          <w:rFonts w:eastAsia="Times New Roman" w:cs="Times New Roman"/>
          <w:bCs/>
          <w:szCs w:val="20"/>
          <w:lang w:val="es-CR" w:eastAsia="es-CR"/>
        </w:rPr>
        <w:t xml:space="preserve">, </w:t>
      </w:r>
      <w:r w:rsidR="00100584" w:rsidRPr="00CD68BA">
        <w:rPr>
          <w:rFonts w:eastAsia="Times New Roman" w:cs="Times New Roman"/>
          <w:bCs/>
          <w:szCs w:val="20"/>
          <w:lang w:val="es-CR" w:eastAsia="es-CR"/>
        </w:rPr>
        <w:t>en el municipio de Marabá, en el estado de Pará</w:t>
      </w:r>
      <w:r w:rsidRPr="00CD68BA">
        <w:rPr>
          <w:rFonts w:eastAsia="Times New Roman" w:cs="Times New Roman"/>
          <w:bCs/>
          <w:szCs w:val="20"/>
          <w:lang w:val="es-CR" w:eastAsia="es-CR"/>
        </w:rPr>
        <w:t xml:space="preserve">, en los términos </w:t>
      </w:r>
      <w:r w:rsidR="00FF1C1F" w:rsidRPr="00CD68BA">
        <w:rPr>
          <w:rFonts w:eastAsia="Times New Roman" w:cs="Times New Roman"/>
          <w:bCs/>
          <w:szCs w:val="20"/>
          <w:lang w:val="es-CR" w:eastAsia="es-CR"/>
        </w:rPr>
        <w:t xml:space="preserve">los párrafos </w:t>
      </w:r>
      <w:r w:rsidR="007C4F87" w:rsidRPr="00CD68BA">
        <w:rPr>
          <w:rFonts w:eastAsia="Times New Roman" w:cs="Times New Roman"/>
          <w:bCs/>
          <w:szCs w:val="20"/>
          <w:lang w:val="es-CR" w:eastAsia="es-CR"/>
        </w:rPr>
        <w:t>162</w:t>
      </w:r>
      <w:r w:rsidR="00FF1C1F" w:rsidRPr="00CD68BA">
        <w:rPr>
          <w:rFonts w:eastAsia="Times New Roman" w:cs="Times New Roman"/>
          <w:bCs/>
          <w:szCs w:val="20"/>
          <w:lang w:val="es-CR" w:eastAsia="es-CR"/>
        </w:rPr>
        <w:t xml:space="preserve"> y 163</w:t>
      </w:r>
      <w:r w:rsidRPr="00CD68BA">
        <w:rPr>
          <w:rFonts w:eastAsia="Times New Roman" w:cs="Times New Roman"/>
          <w:bCs/>
          <w:szCs w:val="20"/>
          <w:lang w:val="es-CR" w:eastAsia="es-CR"/>
        </w:rPr>
        <w:t xml:space="preserve"> de la presente Sentencia. </w:t>
      </w:r>
    </w:p>
    <w:p w14:paraId="5B63DE02" w14:textId="77777777" w:rsidR="00E12BBD" w:rsidRPr="00CD68BA" w:rsidRDefault="00E12BBD" w:rsidP="00A06718">
      <w:pPr>
        <w:pStyle w:val="Prrafodelista"/>
        <w:spacing w:before="0" w:after="0"/>
        <w:contextualSpacing w:val="0"/>
        <w:rPr>
          <w:lang w:val="es-CR"/>
        </w:rPr>
      </w:pPr>
    </w:p>
    <w:p w14:paraId="4C7AE188" w14:textId="2DA94B16" w:rsidR="00E12BBD" w:rsidRPr="00CD68BA" w:rsidRDefault="00E12B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El Estado</w:t>
      </w:r>
      <w:r w:rsidRPr="00CD68BA">
        <w:rPr>
          <w:lang w:val="es-CR"/>
        </w:rPr>
        <w:t xml:space="preserve"> creará un espacio público de memoria en la ciudad de </w:t>
      </w:r>
      <w:r w:rsidR="007D2A13">
        <w:rPr>
          <w:lang w:val="es-CR"/>
        </w:rPr>
        <w:t>Juiz de Fora</w:t>
      </w:r>
      <w:r w:rsidRPr="00CD68BA">
        <w:rPr>
          <w:lang w:val="es-CR"/>
        </w:rPr>
        <w:t>,</w:t>
      </w:r>
      <w:r w:rsidRPr="00CD68BA">
        <w:rPr>
          <w:rFonts w:eastAsia="Times New Roman" w:cs="Times New Roman"/>
          <w:bCs/>
          <w:szCs w:val="20"/>
          <w:lang w:val="es-CR" w:eastAsia="es-CR"/>
        </w:rPr>
        <w:t xml:space="preserve"> </w:t>
      </w:r>
      <w:r w:rsidR="009C2AFD" w:rsidRPr="00CD68BA">
        <w:rPr>
          <w:rFonts w:eastAsia="Times New Roman" w:cs="Times New Roman"/>
          <w:bCs/>
          <w:szCs w:val="20"/>
          <w:lang w:val="es-CR" w:eastAsia="es-CR"/>
        </w:rPr>
        <w:t xml:space="preserve">en el estado de Minas Gerais, </w:t>
      </w:r>
      <w:r w:rsidRPr="00CD68BA">
        <w:rPr>
          <w:rFonts w:eastAsia="Times New Roman" w:cs="Times New Roman"/>
          <w:bCs/>
          <w:szCs w:val="20"/>
          <w:lang w:val="es-CR" w:eastAsia="es-CR"/>
        </w:rPr>
        <w:t xml:space="preserve">en los términos del párrafo </w:t>
      </w:r>
      <w:r w:rsidR="007C4F87" w:rsidRPr="00CD68BA">
        <w:rPr>
          <w:rFonts w:eastAsia="Times New Roman" w:cs="Times New Roman"/>
          <w:bCs/>
          <w:szCs w:val="20"/>
          <w:lang w:val="es-CR" w:eastAsia="es-CR"/>
        </w:rPr>
        <w:t>162</w:t>
      </w:r>
      <w:r w:rsidRPr="00CD68BA">
        <w:rPr>
          <w:rFonts w:eastAsia="Times New Roman" w:cs="Times New Roman"/>
          <w:bCs/>
          <w:szCs w:val="20"/>
          <w:lang w:val="es-CR" w:eastAsia="es-CR"/>
        </w:rPr>
        <w:t xml:space="preserve"> de la presente Sentencia.</w:t>
      </w:r>
    </w:p>
    <w:p w14:paraId="45C070A1" w14:textId="77777777" w:rsidR="008815BD" w:rsidRPr="00CD68BA" w:rsidRDefault="008815BD" w:rsidP="00A06718">
      <w:pPr>
        <w:spacing w:before="0" w:after="0"/>
        <w:rPr>
          <w:rFonts w:eastAsia="Times New Roman" w:cs="Times New Roman"/>
          <w:bCs/>
          <w:szCs w:val="20"/>
          <w:lang w:val="es-CR" w:eastAsia="es-CR"/>
        </w:rPr>
      </w:pPr>
    </w:p>
    <w:p w14:paraId="67645E43" w14:textId="3FE4701C" w:rsidR="008815BD" w:rsidRPr="00CD68BA" w:rsidRDefault="008815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creará e implementará </w:t>
      </w:r>
      <w:r w:rsidR="009A5E91" w:rsidRPr="00CD68BA">
        <w:rPr>
          <w:lang w:val="es-CR"/>
        </w:rPr>
        <w:t xml:space="preserve">un protocolo </w:t>
      </w:r>
      <w:r w:rsidR="00A73401" w:rsidRPr="00CD68BA">
        <w:rPr>
          <w:lang w:val="es-CR"/>
        </w:rPr>
        <w:t xml:space="preserve">para la </w:t>
      </w:r>
      <w:r w:rsidR="009A5E91" w:rsidRPr="00CD68BA">
        <w:rPr>
          <w:lang w:val="es-CR"/>
        </w:rPr>
        <w:t>investigación</w:t>
      </w:r>
      <w:r w:rsidR="00FB114D" w:rsidRPr="00CD68BA">
        <w:rPr>
          <w:lang w:val="es-CR"/>
        </w:rPr>
        <w:t xml:space="preserve"> </w:t>
      </w:r>
      <w:r w:rsidR="00A73401" w:rsidRPr="00CD68BA">
        <w:rPr>
          <w:lang w:val="es-CR"/>
        </w:rPr>
        <w:t>de</w:t>
      </w:r>
      <w:r w:rsidR="009A5E91" w:rsidRPr="00CD68BA">
        <w:rPr>
          <w:lang w:val="es-CR"/>
        </w:rPr>
        <w:t xml:space="preserve"> los delitos cometidos contra personas defensoras de derechos humanos</w:t>
      </w:r>
      <w:r w:rsidR="00E12BBD" w:rsidRPr="00CD68BA">
        <w:rPr>
          <w:lang w:val="es-CR"/>
        </w:rPr>
        <w:t xml:space="preserve"> y </w:t>
      </w:r>
      <w:r w:rsidR="00E12BBD" w:rsidRPr="00CD68BA">
        <w:rPr>
          <w:rFonts w:eastAsia="Times New Roman" w:cs="Times New Roman"/>
          <w:bCs/>
          <w:szCs w:val="20"/>
          <w:lang w:val="es-CR" w:eastAsia="es-CR"/>
        </w:rPr>
        <w:t>un sistema de indicadores que permitan medir la efectividad del protocolo</w:t>
      </w:r>
      <w:r w:rsidRPr="00CD68BA">
        <w:rPr>
          <w:rFonts w:eastAsia="Times New Roman" w:cs="Times New Roman"/>
          <w:bCs/>
          <w:szCs w:val="20"/>
          <w:lang w:val="es-CR" w:eastAsia="es-CR"/>
        </w:rPr>
        <w:t>, en los términos de</w:t>
      </w:r>
      <w:r w:rsidR="00E12BBD" w:rsidRPr="00CD68BA">
        <w:rPr>
          <w:rFonts w:eastAsia="Times New Roman" w:cs="Times New Roman"/>
          <w:bCs/>
          <w:szCs w:val="20"/>
          <w:lang w:val="es-CR" w:eastAsia="es-CR"/>
        </w:rPr>
        <w:t xml:space="preserve"> </w:t>
      </w:r>
      <w:r w:rsidRPr="00CD68BA">
        <w:rPr>
          <w:rFonts w:eastAsia="Times New Roman" w:cs="Times New Roman"/>
          <w:bCs/>
          <w:szCs w:val="20"/>
          <w:lang w:val="es-CR" w:eastAsia="es-CR"/>
        </w:rPr>
        <w:t>l</w:t>
      </w:r>
      <w:r w:rsidR="00E12BBD" w:rsidRPr="00CD68BA">
        <w:rPr>
          <w:rFonts w:eastAsia="Times New Roman" w:cs="Times New Roman"/>
          <w:bCs/>
          <w:szCs w:val="20"/>
          <w:lang w:val="es-CR" w:eastAsia="es-CR"/>
        </w:rPr>
        <w:t>os</w:t>
      </w:r>
      <w:r w:rsidRPr="00CD68BA">
        <w:rPr>
          <w:rFonts w:eastAsia="Times New Roman" w:cs="Times New Roman"/>
          <w:bCs/>
          <w:szCs w:val="20"/>
          <w:lang w:val="es-CR" w:eastAsia="es-CR"/>
        </w:rPr>
        <w:t xml:space="preserve"> párrafo</w:t>
      </w:r>
      <w:r w:rsidR="00E12BBD" w:rsidRPr="00CD68BA">
        <w:rPr>
          <w:rFonts w:eastAsia="Times New Roman" w:cs="Times New Roman"/>
          <w:bCs/>
          <w:szCs w:val="20"/>
          <w:lang w:val="es-CR" w:eastAsia="es-CR"/>
        </w:rPr>
        <w:t>s</w:t>
      </w:r>
      <w:r w:rsidRPr="00CD68BA">
        <w:rPr>
          <w:rFonts w:eastAsia="Times New Roman" w:cs="Times New Roman"/>
          <w:bCs/>
          <w:szCs w:val="20"/>
          <w:lang w:val="es-CR" w:eastAsia="es-CR"/>
        </w:rPr>
        <w:t xml:space="preserve"> </w:t>
      </w:r>
      <w:r w:rsidR="007C4F87" w:rsidRPr="00CD68BA">
        <w:rPr>
          <w:rFonts w:eastAsia="Times New Roman" w:cs="Times New Roman"/>
          <w:bCs/>
          <w:szCs w:val="20"/>
          <w:lang w:val="es-CR" w:eastAsia="es-CR"/>
        </w:rPr>
        <w:t xml:space="preserve">170 </w:t>
      </w:r>
      <w:r w:rsidR="00FF1C1F" w:rsidRPr="00CD68BA">
        <w:rPr>
          <w:rFonts w:eastAsia="Times New Roman" w:cs="Times New Roman"/>
          <w:bCs/>
          <w:szCs w:val="20"/>
          <w:lang w:val="es-CR" w:eastAsia="es-CR"/>
        </w:rPr>
        <w:t>a</w:t>
      </w:r>
      <w:r w:rsidR="007C4F87" w:rsidRPr="00CD68BA">
        <w:rPr>
          <w:rFonts w:eastAsia="Times New Roman" w:cs="Times New Roman"/>
          <w:bCs/>
          <w:szCs w:val="20"/>
          <w:lang w:val="es-CR" w:eastAsia="es-CR"/>
        </w:rPr>
        <w:t xml:space="preserve"> </w:t>
      </w:r>
      <w:r w:rsidR="008038A2" w:rsidRPr="00CD68BA">
        <w:rPr>
          <w:rFonts w:eastAsia="Times New Roman" w:cs="Times New Roman"/>
          <w:bCs/>
          <w:szCs w:val="20"/>
          <w:lang w:val="es-CR" w:eastAsia="es-CR"/>
        </w:rPr>
        <w:t>17</w:t>
      </w:r>
      <w:r w:rsidR="00FE5547" w:rsidRPr="00CD68BA">
        <w:rPr>
          <w:rFonts w:eastAsia="Times New Roman" w:cs="Times New Roman"/>
          <w:bCs/>
          <w:szCs w:val="20"/>
          <w:lang w:val="es-CR" w:eastAsia="es-CR"/>
        </w:rPr>
        <w:t>2</w:t>
      </w:r>
      <w:r w:rsidRPr="00CD68BA">
        <w:rPr>
          <w:rFonts w:eastAsia="Times New Roman" w:cs="Times New Roman"/>
          <w:bCs/>
          <w:szCs w:val="20"/>
          <w:lang w:val="es-CR" w:eastAsia="es-CR"/>
        </w:rPr>
        <w:t xml:space="preserve"> de la presente Sentencia.</w:t>
      </w:r>
    </w:p>
    <w:p w14:paraId="02778A6B" w14:textId="77777777" w:rsidR="00B3721C" w:rsidRPr="00CD68BA" w:rsidRDefault="00B3721C" w:rsidP="00A06718">
      <w:pPr>
        <w:pStyle w:val="Prrafodelista"/>
        <w:spacing w:before="0" w:after="0"/>
        <w:contextualSpacing w:val="0"/>
        <w:rPr>
          <w:lang w:val="es-CR"/>
        </w:rPr>
      </w:pPr>
    </w:p>
    <w:p w14:paraId="499E4D4B" w14:textId="2EDB6BDC" w:rsidR="00B3721C" w:rsidRPr="00CD68BA" w:rsidRDefault="00B3721C" w:rsidP="00A06718">
      <w:pPr>
        <w:pStyle w:val="Prrafodelista"/>
        <w:numPr>
          <w:ilvl w:val="3"/>
          <w:numId w:val="5"/>
        </w:numPr>
        <w:spacing w:before="0" w:after="0"/>
        <w:ind w:left="0" w:firstLine="0"/>
        <w:contextualSpacing w:val="0"/>
        <w:rPr>
          <w:lang w:val="es-CR"/>
        </w:rPr>
      </w:pPr>
      <w:r w:rsidRPr="00CD68BA">
        <w:rPr>
          <w:lang w:val="es-CR"/>
        </w:rPr>
        <w:t xml:space="preserve">El Estado </w:t>
      </w:r>
      <w:r w:rsidR="001E0503" w:rsidRPr="00CD68BA">
        <w:rPr>
          <w:lang w:val="es-CR"/>
        </w:rPr>
        <w:t>realizará un plan de capacitación del personal que interviene en la investigación y tramitación de casos de delitos contra personas defensoras de derechos humanos sobre el referido protocolo</w:t>
      </w:r>
      <w:r w:rsidR="00533D7F" w:rsidRPr="00CD68BA">
        <w:rPr>
          <w:lang w:val="es-CR"/>
        </w:rPr>
        <w:t xml:space="preserve"> de</w:t>
      </w:r>
      <w:r w:rsidR="001E0503" w:rsidRPr="00CD68BA">
        <w:rPr>
          <w:lang w:val="es-CR"/>
        </w:rPr>
        <w:t xml:space="preserve"> investigación</w:t>
      </w:r>
      <w:r w:rsidR="001E0503" w:rsidRPr="00CD68BA">
        <w:rPr>
          <w:rFonts w:eastAsia="Times New Roman" w:cs="Times New Roman"/>
          <w:bCs/>
          <w:szCs w:val="20"/>
          <w:lang w:val="es-CR" w:eastAsia="es-CR"/>
        </w:rPr>
        <w:t xml:space="preserve">, en los términos del párrafo </w:t>
      </w:r>
      <w:r w:rsidR="008038A2" w:rsidRPr="00CD68BA">
        <w:rPr>
          <w:rFonts w:eastAsia="Times New Roman" w:cs="Times New Roman"/>
          <w:bCs/>
          <w:szCs w:val="20"/>
          <w:lang w:val="es-CR" w:eastAsia="es-CR"/>
        </w:rPr>
        <w:t xml:space="preserve">172 </w:t>
      </w:r>
      <w:r w:rsidR="001E0503" w:rsidRPr="00CD68BA">
        <w:rPr>
          <w:rFonts w:eastAsia="Times New Roman" w:cs="Times New Roman"/>
          <w:bCs/>
          <w:szCs w:val="20"/>
          <w:lang w:val="es-CR" w:eastAsia="es-CR"/>
        </w:rPr>
        <w:t>de la presente Sentencia.</w:t>
      </w:r>
      <w:r w:rsidR="00E12BBD" w:rsidRPr="00CD68BA">
        <w:rPr>
          <w:rFonts w:eastAsia="Times New Roman" w:cs="Times New Roman"/>
          <w:bCs/>
          <w:szCs w:val="20"/>
          <w:lang w:val="es-CR" w:eastAsia="es-CR"/>
        </w:rPr>
        <w:t xml:space="preserve"> </w:t>
      </w:r>
    </w:p>
    <w:p w14:paraId="4AEA41F2" w14:textId="77777777" w:rsidR="008815BD" w:rsidRPr="00CD68BA" w:rsidRDefault="008815BD" w:rsidP="00A06718">
      <w:pPr>
        <w:pStyle w:val="Prrafodelista"/>
        <w:spacing w:before="0" w:after="0"/>
        <w:contextualSpacing w:val="0"/>
        <w:rPr>
          <w:rFonts w:eastAsia="Times New Roman" w:cs="Times New Roman"/>
          <w:bCs/>
          <w:szCs w:val="20"/>
          <w:lang w:val="es-CR" w:eastAsia="es-CR"/>
        </w:rPr>
      </w:pPr>
    </w:p>
    <w:p w14:paraId="015E4002" w14:textId="042831C2" w:rsidR="00EF7128" w:rsidRPr="00CD68BA" w:rsidRDefault="008815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w:t>
      </w:r>
      <w:r w:rsidR="00F405E4" w:rsidRPr="00CD68BA">
        <w:rPr>
          <w:rFonts w:eastAsia="Times New Roman" w:cs="Times New Roman"/>
          <w:bCs/>
          <w:szCs w:val="20"/>
          <w:lang w:val="es-CR" w:eastAsia="es-CR"/>
        </w:rPr>
        <w:t xml:space="preserve">revisará y adecuará sus </w:t>
      </w:r>
      <w:r w:rsidR="00F405E4" w:rsidRPr="00CD68BA">
        <w:rPr>
          <w:lang w:val="es-CR"/>
        </w:rPr>
        <w:t>mecanismos existentes, en particular el Programa de Protección a los Defensores de Derechos Humanos, Comunicadores y Ambientalistas</w:t>
      </w:r>
      <w:r w:rsidRPr="00CD68BA">
        <w:rPr>
          <w:rFonts w:eastAsia="Times New Roman" w:cs="Times New Roman"/>
          <w:bCs/>
          <w:szCs w:val="20"/>
          <w:lang w:val="es-CR" w:eastAsia="es-CR"/>
        </w:rPr>
        <w:t xml:space="preserve">, en los términos del párrafo </w:t>
      </w:r>
      <w:r w:rsidR="008038A2" w:rsidRPr="00CD68BA">
        <w:rPr>
          <w:rFonts w:eastAsia="Times New Roman" w:cs="Times New Roman"/>
          <w:bCs/>
          <w:szCs w:val="20"/>
          <w:lang w:val="es-CR" w:eastAsia="es-CR"/>
        </w:rPr>
        <w:t>1</w:t>
      </w:r>
      <w:r w:rsidR="00FF1C1F" w:rsidRPr="00CD68BA">
        <w:rPr>
          <w:rFonts w:eastAsia="Times New Roman" w:cs="Times New Roman"/>
          <w:bCs/>
          <w:szCs w:val="20"/>
          <w:lang w:val="es-CR" w:eastAsia="es-CR"/>
        </w:rPr>
        <w:t>77</w:t>
      </w:r>
      <w:r w:rsidRPr="00CD68BA">
        <w:rPr>
          <w:rFonts w:eastAsia="Times New Roman" w:cs="Times New Roman"/>
          <w:bCs/>
          <w:szCs w:val="20"/>
          <w:lang w:val="es-CR" w:eastAsia="es-CR"/>
        </w:rPr>
        <w:t xml:space="preserve"> de la presente Sentencia.</w:t>
      </w:r>
    </w:p>
    <w:p w14:paraId="2BACC0A2" w14:textId="77777777" w:rsidR="00EF7128" w:rsidRPr="00CD68BA" w:rsidRDefault="00EF7128" w:rsidP="00A06718">
      <w:pPr>
        <w:spacing w:before="0" w:after="0"/>
        <w:rPr>
          <w:rFonts w:eastAsia="Times New Roman" w:cs="Times New Roman"/>
          <w:bCs/>
          <w:szCs w:val="20"/>
          <w:lang w:val="es-CR" w:eastAsia="es-CR"/>
        </w:rPr>
      </w:pPr>
    </w:p>
    <w:p w14:paraId="26EB74B3" w14:textId="568C3BD2" w:rsidR="00EF7128" w:rsidRPr="00CD68BA" w:rsidRDefault="008815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w:t>
      </w:r>
      <w:r w:rsidR="004810E2" w:rsidRPr="00CD68BA">
        <w:rPr>
          <w:rFonts w:eastAsia="Times New Roman" w:cs="Times New Roman"/>
          <w:bCs/>
          <w:szCs w:val="20"/>
          <w:lang w:val="es-CR" w:eastAsia="es-CR"/>
        </w:rPr>
        <w:t>diseñará e implementará</w:t>
      </w:r>
      <w:r w:rsidR="00D73FFE" w:rsidRPr="00CD68BA">
        <w:rPr>
          <w:rFonts w:eastAsia="Times New Roman" w:cs="Times New Roman"/>
          <w:bCs/>
          <w:szCs w:val="20"/>
          <w:lang w:val="es-CR" w:eastAsia="es-CR"/>
        </w:rPr>
        <w:t xml:space="preserve"> </w:t>
      </w:r>
      <w:r w:rsidR="004810E2" w:rsidRPr="00CD68BA">
        <w:rPr>
          <w:lang w:val="es-CR"/>
        </w:rPr>
        <w:t>un sistema nacional de recopilación de datos y cifras vinculadas a los casos de violencia contra las personas defensoras de derechos humanos</w:t>
      </w:r>
      <w:r w:rsidRPr="00CD68BA">
        <w:rPr>
          <w:rFonts w:eastAsia="Times New Roman" w:cs="Times New Roman"/>
          <w:bCs/>
          <w:szCs w:val="20"/>
          <w:lang w:val="es-CR" w:eastAsia="es-CR"/>
        </w:rPr>
        <w:t xml:space="preserve">, en los términos del párrafo </w:t>
      </w:r>
      <w:r w:rsidR="008038A2" w:rsidRPr="00CD68BA">
        <w:rPr>
          <w:rFonts w:eastAsia="Times New Roman" w:cs="Times New Roman"/>
          <w:bCs/>
          <w:szCs w:val="20"/>
          <w:lang w:val="es-CR" w:eastAsia="es-CR"/>
        </w:rPr>
        <w:t>178</w:t>
      </w:r>
      <w:r w:rsidR="00EF7128" w:rsidRPr="00CD68BA">
        <w:rPr>
          <w:rFonts w:eastAsia="Times New Roman" w:cs="Times New Roman"/>
          <w:bCs/>
          <w:szCs w:val="20"/>
          <w:lang w:val="es-CR" w:eastAsia="es-CR"/>
        </w:rPr>
        <w:t xml:space="preserve"> </w:t>
      </w:r>
      <w:r w:rsidRPr="00CD68BA">
        <w:rPr>
          <w:rFonts w:eastAsia="Times New Roman" w:cs="Times New Roman"/>
          <w:bCs/>
          <w:szCs w:val="20"/>
          <w:lang w:val="es-CR" w:eastAsia="es-CR"/>
        </w:rPr>
        <w:t>de la presente Sentencia.</w:t>
      </w:r>
    </w:p>
    <w:p w14:paraId="1A7ECB83" w14:textId="77777777" w:rsidR="004048E8" w:rsidRPr="00CD68BA" w:rsidRDefault="004048E8" w:rsidP="00A06718">
      <w:pPr>
        <w:pStyle w:val="Prrafodelista"/>
        <w:spacing w:before="0" w:after="0"/>
        <w:contextualSpacing w:val="0"/>
        <w:rPr>
          <w:lang w:val="es-CR"/>
        </w:rPr>
      </w:pPr>
    </w:p>
    <w:p w14:paraId="02D78B10" w14:textId="5CDFC2B3" w:rsidR="004048E8" w:rsidRPr="00CD68BA" w:rsidRDefault="004048E8" w:rsidP="00A06718">
      <w:pPr>
        <w:pStyle w:val="Prrafodelista"/>
        <w:numPr>
          <w:ilvl w:val="3"/>
          <w:numId w:val="5"/>
        </w:numPr>
        <w:spacing w:before="0" w:after="0"/>
        <w:ind w:left="0" w:firstLine="0"/>
        <w:contextualSpacing w:val="0"/>
        <w:rPr>
          <w:bCs/>
          <w:lang w:val="es-CR"/>
        </w:rPr>
      </w:pPr>
      <w:r w:rsidRPr="00CD68BA">
        <w:rPr>
          <w:rFonts w:eastAsia="Times New Roman" w:cs="Times New Roman"/>
          <w:bCs/>
          <w:szCs w:val="20"/>
          <w:lang w:val="es-CR" w:eastAsia="es-CR"/>
        </w:rPr>
        <w:t xml:space="preserve">El Estado </w:t>
      </w:r>
      <w:r w:rsidRPr="00CD68BA">
        <w:rPr>
          <w:bCs/>
          <w:lang w:val="es-CR"/>
        </w:rPr>
        <w:t xml:space="preserve">creará un mecanismo que permita la reapertura de procesos judiciales, </w:t>
      </w:r>
      <w:r w:rsidRPr="00CD68BA">
        <w:rPr>
          <w:rFonts w:eastAsia="Times New Roman" w:cs="Times New Roman"/>
          <w:bCs/>
          <w:szCs w:val="20"/>
          <w:lang w:val="es-CR" w:eastAsia="es-CR"/>
        </w:rPr>
        <w:t xml:space="preserve">en los términos del párrafo </w:t>
      </w:r>
      <w:r w:rsidR="008038A2" w:rsidRPr="00CD68BA">
        <w:rPr>
          <w:rFonts w:eastAsia="Times New Roman" w:cs="Times New Roman"/>
          <w:bCs/>
          <w:szCs w:val="20"/>
          <w:lang w:val="es-CR" w:eastAsia="es-CR"/>
        </w:rPr>
        <w:t>180</w:t>
      </w:r>
      <w:r w:rsidRPr="00CD68BA">
        <w:rPr>
          <w:rFonts w:eastAsia="Times New Roman" w:cs="Times New Roman"/>
          <w:bCs/>
          <w:szCs w:val="20"/>
          <w:lang w:val="es-CR" w:eastAsia="es-CR"/>
        </w:rPr>
        <w:t xml:space="preserve"> de la presente Sentencia</w:t>
      </w:r>
      <w:r w:rsidR="00FF1C1F" w:rsidRPr="00CD68BA">
        <w:rPr>
          <w:rFonts w:eastAsia="Times New Roman" w:cs="Times New Roman"/>
          <w:bCs/>
          <w:szCs w:val="20"/>
          <w:lang w:val="es-CR" w:eastAsia="es-CR"/>
        </w:rPr>
        <w:t>.</w:t>
      </w:r>
    </w:p>
    <w:p w14:paraId="52238F65" w14:textId="77777777" w:rsidR="00EF7128" w:rsidRPr="00CD68BA" w:rsidRDefault="00EF7128" w:rsidP="00A06718">
      <w:pPr>
        <w:pStyle w:val="Prrafodelista"/>
        <w:spacing w:before="0" w:after="0"/>
        <w:contextualSpacing w:val="0"/>
        <w:rPr>
          <w:rFonts w:eastAsia="Times New Roman" w:cs="Times New Roman"/>
          <w:bCs/>
          <w:szCs w:val="20"/>
          <w:lang w:val="es-CR" w:eastAsia="es-CR"/>
        </w:rPr>
      </w:pPr>
    </w:p>
    <w:p w14:paraId="10483F3D" w14:textId="4F774BC4" w:rsidR="009E5682" w:rsidRPr="00CD68BA" w:rsidRDefault="008815BD"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 xml:space="preserve">El Estado pagará las cantidades fijadas en los párrafos </w:t>
      </w:r>
      <w:r w:rsidR="00D170CD" w:rsidRPr="00CD68BA">
        <w:rPr>
          <w:rFonts w:eastAsia="Times New Roman" w:cs="Times New Roman"/>
          <w:bCs/>
          <w:szCs w:val="20"/>
          <w:lang w:val="es-CR" w:eastAsia="es-CR"/>
        </w:rPr>
        <w:t>187, 188 y 195</w:t>
      </w:r>
      <w:r w:rsidRPr="00CD68BA">
        <w:rPr>
          <w:rFonts w:eastAsia="Times New Roman" w:cs="Times New Roman"/>
          <w:bCs/>
          <w:szCs w:val="20"/>
          <w:lang w:val="es-CR" w:eastAsia="es-CR"/>
        </w:rPr>
        <w:t xml:space="preserve"> de la presente Sentencia por concepto de indemnización por daño material y daño inmaterial, y por el reintegro de costas y gastos, en los términos de los párrafos </w:t>
      </w:r>
      <w:r w:rsidR="00B10772" w:rsidRPr="00CD68BA">
        <w:rPr>
          <w:rFonts w:eastAsia="Times New Roman" w:cs="Times New Roman"/>
          <w:bCs/>
          <w:szCs w:val="20"/>
          <w:lang w:val="es-CR" w:eastAsia="es-CR"/>
        </w:rPr>
        <w:t>1</w:t>
      </w:r>
      <w:r w:rsidR="00D170CD" w:rsidRPr="00CD68BA">
        <w:rPr>
          <w:rFonts w:eastAsia="Times New Roman" w:cs="Times New Roman"/>
          <w:bCs/>
          <w:szCs w:val="20"/>
          <w:lang w:val="es-CR" w:eastAsia="es-CR"/>
        </w:rPr>
        <w:t>9</w:t>
      </w:r>
      <w:r w:rsidR="00B10772" w:rsidRPr="00CD68BA">
        <w:rPr>
          <w:rFonts w:eastAsia="Times New Roman" w:cs="Times New Roman"/>
          <w:bCs/>
          <w:szCs w:val="20"/>
          <w:lang w:val="es-CR" w:eastAsia="es-CR"/>
        </w:rPr>
        <w:t>7</w:t>
      </w:r>
      <w:r w:rsidRPr="00CD68BA">
        <w:rPr>
          <w:rFonts w:eastAsia="Times New Roman" w:cs="Times New Roman"/>
          <w:bCs/>
          <w:szCs w:val="20"/>
          <w:lang w:val="es-CR" w:eastAsia="es-CR"/>
        </w:rPr>
        <w:t xml:space="preserve"> a </w:t>
      </w:r>
      <w:r w:rsidR="00D170CD" w:rsidRPr="00CD68BA">
        <w:rPr>
          <w:rFonts w:eastAsia="Times New Roman" w:cs="Times New Roman"/>
          <w:bCs/>
          <w:szCs w:val="20"/>
          <w:lang w:val="es-CR" w:eastAsia="es-CR"/>
        </w:rPr>
        <w:t>202</w:t>
      </w:r>
      <w:r w:rsidRPr="00CD68BA">
        <w:rPr>
          <w:rFonts w:eastAsia="Times New Roman" w:cs="Times New Roman"/>
          <w:bCs/>
          <w:szCs w:val="20"/>
          <w:lang w:val="es-CR" w:eastAsia="es-CR"/>
        </w:rPr>
        <w:t xml:space="preserve"> del presente Fallo.</w:t>
      </w:r>
    </w:p>
    <w:p w14:paraId="2736A696" w14:textId="77777777" w:rsidR="009E5682" w:rsidRPr="00CD68BA" w:rsidRDefault="009E5682" w:rsidP="00A06718">
      <w:pPr>
        <w:pStyle w:val="Prrafodelista"/>
        <w:spacing w:before="0" w:after="0"/>
        <w:contextualSpacing w:val="0"/>
        <w:rPr>
          <w:rFonts w:eastAsia="Times New Roman" w:cs="Times New Roman"/>
          <w:bCs/>
          <w:szCs w:val="20"/>
          <w:lang w:val="es-CR" w:eastAsia="es-CR"/>
        </w:rPr>
      </w:pPr>
    </w:p>
    <w:p w14:paraId="51739EDA" w14:textId="7942CC61" w:rsidR="009E5682" w:rsidRPr="00CD68BA" w:rsidRDefault="00CA2AEE" w:rsidP="00A06718">
      <w:pPr>
        <w:pStyle w:val="Prrafodelista"/>
        <w:numPr>
          <w:ilvl w:val="3"/>
          <w:numId w:val="5"/>
        </w:numPr>
        <w:spacing w:before="0" w:after="0"/>
        <w:ind w:left="0" w:firstLine="0"/>
        <w:contextualSpacing w:val="0"/>
        <w:rPr>
          <w:lang w:val="es-CR"/>
        </w:rPr>
      </w:pPr>
      <w:r w:rsidRPr="00CD68BA">
        <w:rPr>
          <w:rFonts w:eastAsia="Times New Roman" w:cs="Times New Roman"/>
          <w:bCs/>
          <w:szCs w:val="20"/>
          <w:lang w:val="es-CR" w:eastAsia="es-CR"/>
        </w:rPr>
        <w:t>El Estado debe, dentro del plazo de un año contado a partir de la notificación de esta Sentencia, rendir al Tribunal un informe sobre las medidas adoptadas para cumplir con la misma.</w:t>
      </w:r>
    </w:p>
    <w:p w14:paraId="6AD84DB4" w14:textId="77777777" w:rsidR="009E5682" w:rsidRPr="00CD68BA" w:rsidRDefault="009E5682" w:rsidP="00A06718">
      <w:pPr>
        <w:pStyle w:val="Prrafodelista"/>
        <w:spacing w:before="0" w:after="0"/>
        <w:contextualSpacing w:val="0"/>
        <w:rPr>
          <w:lang w:val="es-CR"/>
        </w:rPr>
      </w:pPr>
    </w:p>
    <w:p w14:paraId="758E0EBA" w14:textId="444F9489" w:rsidR="00012116" w:rsidRPr="00CD68BA" w:rsidRDefault="00363458" w:rsidP="00A06718">
      <w:pPr>
        <w:pStyle w:val="Prrafodelista"/>
        <w:numPr>
          <w:ilvl w:val="3"/>
          <w:numId w:val="5"/>
        </w:numPr>
        <w:spacing w:before="0" w:after="0"/>
        <w:ind w:left="0" w:firstLine="0"/>
        <w:contextualSpacing w:val="0"/>
        <w:rPr>
          <w:lang w:val="es-CR"/>
        </w:rPr>
      </w:pPr>
      <w:r w:rsidRPr="00CD68BA">
        <w:rPr>
          <w:lang w:val="es-CR"/>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6B56A8FE" w14:textId="77777777" w:rsidR="00335635" w:rsidRPr="00CD68BA" w:rsidRDefault="00335635" w:rsidP="00A06718">
      <w:pPr>
        <w:spacing w:before="0" w:after="0"/>
        <w:ind w:right="-90"/>
        <w:rPr>
          <w:lang w:val="es-CR"/>
        </w:rPr>
      </w:pPr>
    </w:p>
    <w:p w14:paraId="1F1F89D6" w14:textId="127B44C6" w:rsidR="0090026E" w:rsidRPr="00CD68BA" w:rsidRDefault="00CA2AEE" w:rsidP="00A06718">
      <w:pPr>
        <w:tabs>
          <w:tab w:val="left" w:pos="720"/>
        </w:tabs>
        <w:spacing w:before="0" w:after="0"/>
        <w:ind w:right="-90"/>
        <w:rPr>
          <w:rFonts w:eastAsia="Times New Roman" w:cs="Times New Roman"/>
          <w:bCs/>
          <w:szCs w:val="20"/>
          <w:lang w:val="es-CR" w:eastAsia="es-CR"/>
        </w:rPr>
      </w:pPr>
      <w:r w:rsidRPr="00CD68BA">
        <w:rPr>
          <w:rFonts w:eastAsia="Times New Roman" w:cs="Times New Roman"/>
          <w:bCs/>
          <w:szCs w:val="20"/>
          <w:lang w:val="es-CR" w:eastAsia="es-CR"/>
        </w:rPr>
        <w:t xml:space="preserve">Redactada en español en San José, Costa Rica, el </w:t>
      </w:r>
      <w:r w:rsidR="003B7B62" w:rsidRPr="00CD68BA">
        <w:rPr>
          <w:rFonts w:eastAsia="Times New Roman" w:cs="Times New Roman"/>
          <w:bCs/>
          <w:szCs w:val="20"/>
          <w:lang w:val="es-CR" w:eastAsia="es-CR"/>
        </w:rPr>
        <w:t>30</w:t>
      </w:r>
      <w:r w:rsidR="00763421" w:rsidRPr="00CD68BA">
        <w:rPr>
          <w:rFonts w:eastAsia="Times New Roman" w:cs="Times New Roman"/>
          <w:bCs/>
          <w:szCs w:val="20"/>
          <w:lang w:val="es-CR" w:eastAsia="es-CR"/>
        </w:rPr>
        <w:t xml:space="preserve"> </w:t>
      </w:r>
      <w:r w:rsidRPr="00CD68BA">
        <w:rPr>
          <w:rFonts w:eastAsia="Times New Roman" w:cs="Times New Roman"/>
          <w:bCs/>
          <w:szCs w:val="20"/>
          <w:lang w:val="es-CR" w:eastAsia="es-CR"/>
        </w:rPr>
        <w:t xml:space="preserve">de </w:t>
      </w:r>
      <w:r w:rsidR="00695FAA" w:rsidRPr="00CD68BA">
        <w:rPr>
          <w:rFonts w:eastAsia="Times New Roman" w:cs="Times New Roman"/>
          <w:bCs/>
          <w:szCs w:val="20"/>
          <w:lang w:val="es-CR" w:eastAsia="es-CR"/>
        </w:rPr>
        <w:t>junio</w:t>
      </w:r>
      <w:r w:rsidR="00C73674" w:rsidRPr="00CD68BA">
        <w:rPr>
          <w:rFonts w:eastAsia="Times New Roman" w:cs="Times New Roman"/>
          <w:bCs/>
          <w:szCs w:val="20"/>
          <w:lang w:val="es-CR" w:eastAsia="es-CR"/>
        </w:rPr>
        <w:t xml:space="preserve"> 2</w:t>
      </w:r>
      <w:r w:rsidR="006546BC" w:rsidRPr="00CD68BA">
        <w:rPr>
          <w:rFonts w:eastAsia="Times New Roman" w:cs="Times New Roman"/>
          <w:bCs/>
          <w:szCs w:val="20"/>
          <w:lang w:val="es-CR" w:eastAsia="es-CR"/>
        </w:rPr>
        <w:t>02</w:t>
      </w:r>
      <w:r w:rsidR="00C73674" w:rsidRPr="00CD68BA">
        <w:rPr>
          <w:rFonts w:eastAsia="Times New Roman" w:cs="Times New Roman"/>
          <w:bCs/>
          <w:szCs w:val="20"/>
          <w:lang w:val="es-CR" w:eastAsia="es-CR"/>
        </w:rPr>
        <w:t>2</w:t>
      </w:r>
      <w:r w:rsidRPr="00CD68BA">
        <w:rPr>
          <w:rFonts w:eastAsia="Times New Roman" w:cs="Times New Roman"/>
          <w:bCs/>
          <w:szCs w:val="20"/>
          <w:lang w:val="es-CR" w:eastAsia="es-CR"/>
        </w:rPr>
        <w:t>.</w:t>
      </w:r>
    </w:p>
    <w:p w14:paraId="17F79D7A" w14:textId="080B9860" w:rsidR="0090026E" w:rsidRPr="00CD68BA" w:rsidRDefault="0090026E" w:rsidP="00A06718">
      <w:pPr>
        <w:spacing w:before="0" w:after="0"/>
        <w:rPr>
          <w:rFonts w:eastAsia="Times New Roman" w:cs="Times New Roman"/>
          <w:szCs w:val="20"/>
          <w:lang w:val="es-CR" w:eastAsia="es-CR"/>
        </w:rPr>
      </w:pPr>
    </w:p>
    <w:p w14:paraId="74486F75" w14:textId="15D99369" w:rsidR="00CA2AEE" w:rsidRPr="00CD68BA" w:rsidRDefault="00CA2AEE" w:rsidP="00A06718">
      <w:pPr>
        <w:spacing w:before="0" w:after="0"/>
        <w:rPr>
          <w:rFonts w:eastAsia="Times New Roman" w:cs="Times New Roman"/>
          <w:szCs w:val="20"/>
          <w:lang w:val="es-CR" w:eastAsia="es-CR"/>
        </w:rPr>
      </w:pPr>
    </w:p>
    <w:p w14:paraId="09F6ACE1" w14:textId="22899758" w:rsidR="00465F6A" w:rsidRPr="00CD68BA" w:rsidRDefault="00465F6A" w:rsidP="00A06718">
      <w:pPr>
        <w:pStyle w:val="Prrafodelista"/>
        <w:tabs>
          <w:tab w:val="left" w:pos="142"/>
          <w:tab w:val="left" w:pos="686"/>
        </w:tabs>
        <w:spacing w:before="0" w:after="0"/>
        <w:ind w:left="0"/>
        <w:contextualSpacing w:val="0"/>
        <w:rPr>
          <w:szCs w:val="20"/>
          <w:lang w:val="es-CR"/>
        </w:rPr>
      </w:pPr>
      <w:r w:rsidRPr="003C2C9B">
        <w:rPr>
          <w:szCs w:val="20"/>
          <w:lang w:val="pt-BR"/>
        </w:rPr>
        <w:t xml:space="preserve">Corte IDH. </w:t>
      </w:r>
      <w:r w:rsidRPr="003C2C9B">
        <w:rPr>
          <w:i/>
          <w:szCs w:val="20"/>
          <w:lang w:val="pt-BR"/>
        </w:rPr>
        <w:t xml:space="preserve">Caso Sales Pimenta Vs. </w:t>
      </w:r>
      <w:r w:rsidRPr="00CD68BA">
        <w:rPr>
          <w:i/>
          <w:szCs w:val="20"/>
          <w:lang w:val="es-CR"/>
        </w:rPr>
        <w:t xml:space="preserve">Brasil. </w:t>
      </w:r>
      <w:r w:rsidRPr="00CD68BA">
        <w:rPr>
          <w:szCs w:val="20"/>
          <w:lang w:val="es-CR"/>
        </w:rPr>
        <w:t xml:space="preserve">Excepciones Preliminares, Fondo, Reparaciones y Costas. Sentencia de </w:t>
      </w:r>
      <w:r w:rsidR="003B7B62" w:rsidRPr="00CD68BA">
        <w:rPr>
          <w:szCs w:val="20"/>
          <w:lang w:val="es-CR"/>
        </w:rPr>
        <w:t>30</w:t>
      </w:r>
      <w:r w:rsidRPr="00CD68BA">
        <w:rPr>
          <w:szCs w:val="20"/>
          <w:lang w:val="es-CR"/>
        </w:rPr>
        <w:t xml:space="preserve"> de junio de 2022. Sentencia adoptada en San José, Costa Rica.</w:t>
      </w:r>
    </w:p>
    <w:p w14:paraId="5752FB85" w14:textId="77777777" w:rsidR="00465F6A" w:rsidRPr="00CD68BA" w:rsidRDefault="00465F6A" w:rsidP="00A06718">
      <w:pPr>
        <w:tabs>
          <w:tab w:val="left" w:pos="142"/>
        </w:tabs>
        <w:spacing w:before="0" w:after="0"/>
        <w:rPr>
          <w:szCs w:val="20"/>
          <w:lang w:val="es-CR"/>
        </w:rPr>
      </w:pPr>
    </w:p>
    <w:p w14:paraId="6F6EB87A" w14:textId="750FBD30" w:rsidR="003C2C9B" w:rsidRPr="003C2C9B" w:rsidRDefault="003C2C9B" w:rsidP="003C2C9B">
      <w:pPr>
        <w:tabs>
          <w:tab w:val="left" w:pos="2027"/>
        </w:tabs>
        <w:spacing w:after="0"/>
        <w:rPr>
          <w:lang w:val="es-CR"/>
        </w:rPr>
      </w:pPr>
      <w:r w:rsidRPr="003C2C9B">
        <w:rPr>
          <w:lang w:val="es-CR"/>
        </w:rPr>
        <w:tab/>
      </w:r>
    </w:p>
    <w:p w14:paraId="2851FD5E" w14:textId="59DB9756" w:rsidR="003C2C9B" w:rsidRPr="009D33A1" w:rsidRDefault="003C2C9B" w:rsidP="003C2C9B">
      <w:pPr>
        <w:spacing w:after="0"/>
        <w:rPr>
          <w:lang w:val="es-CR"/>
        </w:rPr>
      </w:pPr>
    </w:p>
    <w:p w14:paraId="6C71D457" w14:textId="0B4DE964" w:rsidR="003C2C9B" w:rsidRPr="009D33A1" w:rsidRDefault="003C2C9B" w:rsidP="003C2C9B">
      <w:pPr>
        <w:spacing w:after="0"/>
        <w:rPr>
          <w:lang w:val="es-CR"/>
        </w:rPr>
      </w:pPr>
    </w:p>
    <w:p w14:paraId="0A58CEFC" w14:textId="5B9E9D9E" w:rsidR="003C2C9B" w:rsidRPr="003C2C9B" w:rsidRDefault="003C2C9B" w:rsidP="003C2C9B">
      <w:pPr>
        <w:jc w:val="center"/>
        <w:rPr>
          <w:lang w:val="pt-BR"/>
        </w:rPr>
      </w:pPr>
      <w:r w:rsidRPr="003C2C9B">
        <w:rPr>
          <w:lang w:val="pt-BR"/>
        </w:rPr>
        <w:t>Ricardo C. Pérez Manrique</w:t>
      </w:r>
    </w:p>
    <w:p w14:paraId="0C095C16" w14:textId="0F4C5075" w:rsidR="003C2C9B" w:rsidRPr="003C2C9B" w:rsidRDefault="003C2C9B" w:rsidP="003C2C9B">
      <w:pPr>
        <w:jc w:val="center"/>
        <w:rPr>
          <w:lang w:val="pt-BR"/>
        </w:rPr>
      </w:pPr>
      <w:r w:rsidRPr="003C2C9B">
        <w:rPr>
          <w:lang w:val="pt-BR"/>
        </w:rPr>
        <w:t>Presidente</w:t>
      </w:r>
    </w:p>
    <w:p w14:paraId="31656579" w14:textId="082B2B95" w:rsidR="003C2C9B" w:rsidRPr="003C2C9B" w:rsidRDefault="003C2C9B" w:rsidP="003C2C9B">
      <w:pPr>
        <w:rPr>
          <w:lang w:val="pt-BR"/>
        </w:rPr>
      </w:pPr>
    </w:p>
    <w:p w14:paraId="19F2B3C4" w14:textId="6883780E" w:rsidR="003C2C9B" w:rsidRPr="003C2C9B" w:rsidRDefault="003C2C9B" w:rsidP="003C2C9B">
      <w:pPr>
        <w:rPr>
          <w:lang w:val="pt-BR"/>
        </w:rPr>
      </w:pPr>
    </w:p>
    <w:p w14:paraId="0EE733C2" w14:textId="77777777" w:rsidR="003C2C9B" w:rsidRPr="003C2C9B" w:rsidRDefault="003C2C9B" w:rsidP="003C2C9B">
      <w:pPr>
        <w:rPr>
          <w:lang w:val="pt-BR"/>
        </w:rPr>
      </w:pPr>
    </w:p>
    <w:p w14:paraId="56B94CE0" w14:textId="65D8BFD6" w:rsidR="003C2C9B" w:rsidRPr="003C2C9B" w:rsidRDefault="003C2C9B" w:rsidP="003C2C9B">
      <w:pPr>
        <w:rPr>
          <w:lang w:val="pt-BR"/>
        </w:rPr>
      </w:pPr>
      <w:r w:rsidRPr="003C2C9B">
        <w:rPr>
          <w:lang w:val="pt-BR"/>
        </w:rPr>
        <w:t>Humberto Antonio Sierra Porto</w:t>
      </w:r>
      <w:r w:rsidRPr="003C2C9B">
        <w:rPr>
          <w:lang w:val="pt-BR"/>
        </w:rPr>
        <w:tab/>
      </w:r>
      <w:r w:rsidRPr="003C2C9B">
        <w:rPr>
          <w:lang w:val="pt-BR"/>
        </w:rPr>
        <w:tab/>
      </w:r>
      <w:r w:rsidRPr="003C2C9B">
        <w:rPr>
          <w:lang w:val="pt-BR"/>
        </w:rPr>
        <w:tab/>
      </w:r>
      <w:r w:rsidRPr="003C2C9B">
        <w:rPr>
          <w:lang w:val="pt-BR"/>
        </w:rPr>
        <w:tab/>
      </w:r>
      <w:r>
        <w:rPr>
          <w:lang w:val="pt-BR"/>
        </w:rPr>
        <w:t xml:space="preserve">          </w:t>
      </w:r>
      <w:r w:rsidRPr="003C2C9B">
        <w:rPr>
          <w:lang w:val="pt-BR"/>
        </w:rPr>
        <w:t>Eduardo Ferrer Mac-Gregor Poisot</w:t>
      </w:r>
    </w:p>
    <w:p w14:paraId="25BA0C2A" w14:textId="0F8C8933" w:rsidR="003C2C9B" w:rsidRPr="003C2C9B" w:rsidRDefault="003C2C9B" w:rsidP="003C2C9B">
      <w:pPr>
        <w:rPr>
          <w:lang w:val="pt-BR"/>
        </w:rPr>
      </w:pPr>
    </w:p>
    <w:p w14:paraId="6D71769B" w14:textId="6F118E49" w:rsidR="003C2C9B" w:rsidRPr="003C2C9B" w:rsidRDefault="003C2C9B" w:rsidP="003C2C9B">
      <w:pPr>
        <w:rPr>
          <w:lang w:val="pt-BR"/>
        </w:rPr>
      </w:pPr>
    </w:p>
    <w:p w14:paraId="34DFFFDC" w14:textId="225B0A2B" w:rsidR="003C2C9B" w:rsidRPr="003C2C9B" w:rsidRDefault="003C2C9B" w:rsidP="003C2C9B">
      <w:pPr>
        <w:rPr>
          <w:lang w:val="pt-BR"/>
        </w:rPr>
      </w:pPr>
    </w:p>
    <w:p w14:paraId="106775F7" w14:textId="77777777" w:rsidR="003C2C9B" w:rsidRPr="003C2C9B" w:rsidRDefault="003C2C9B" w:rsidP="003C2C9B">
      <w:pPr>
        <w:rPr>
          <w:lang w:val="pt-BR"/>
        </w:rPr>
      </w:pPr>
    </w:p>
    <w:p w14:paraId="6C252C71" w14:textId="1D78149D" w:rsidR="003C2C9B" w:rsidRPr="00636E12" w:rsidRDefault="003C2C9B" w:rsidP="003C2C9B">
      <w:pPr>
        <w:rPr>
          <w:lang w:val="pt-BR"/>
        </w:rPr>
      </w:pPr>
      <w:r w:rsidRPr="00636E12">
        <w:rPr>
          <w:lang w:val="pt-BR"/>
        </w:rPr>
        <w:t>Nancy Hernández López</w:t>
      </w:r>
      <w:r w:rsidRPr="00636E12">
        <w:rPr>
          <w:lang w:val="pt-BR"/>
        </w:rPr>
        <w:tab/>
      </w:r>
      <w:r w:rsidRPr="00636E12">
        <w:rPr>
          <w:lang w:val="pt-BR"/>
        </w:rPr>
        <w:tab/>
      </w:r>
      <w:r w:rsidRPr="00636E12">
        <w:rPr>
          <w:lang w:val="pt-BR"/>
        </w:rPr>
        <w:tab/>
      </w:r>
      <w:r w:rsidRPr="00636E12">
        <w:rPr>
          <w:lang w:val="pt-BR"/>
        </w:rPr>
        <w:tab/>
      </w:r>
      <w:r w:rsidR="009873CA" w:rsidRPr="00636E12">
        <w:rPr>
          <w:lang w:val="pt-BR"/>
        </w:rPr>
        <w:t xml:space="preserve">         </w:t>
      </w:r>
      <w:r w:rsidRPr="00636E12">
        <w:rPr>
          <w:lang w:val="pt-BR"/>
        </w:rPr>
        <w:t xml:space="preserve">              </w:t>
      </w:r>
      <w:r w:rsidR="009873CA" w:rsidRPr="00636E12">
        <w:rPr>
          <w:lang w:val="pt-BR"/>
        </w:rPr>
        <w:t xml:space="preserve">                    </w:t>
      </w:r>
      <w:r w:rsidRPr="00636E12">
        <w:rPr>
          <w:lang w:val="pt-BR"/>
        </w:rPr>
        <w:t xml:space="preserve"> Verónica Gómez                                                  </w:t>
      </w:r>
    </w:p>
    <w:p w14:paraId="6926CF3A" w14:textId="748C9E6B" w:rsidR="003C2C9B" w:rsidRPr="00636E12" w:rsidRDefault="003C2C9B" w:rsidP="003C2C9B">
      <w:pPr>
        <w:rPr>
          <w:lang w:val="pt-BR"/>
        </w:rPr>
      </w:pPr>
    </w:p>
    <w:p w14:paraId="10E8DEBB" w14:textId="6636A16B" w:rsidR="003C2C9B" w:rsidRPr="00636E12" w:rsidRDefault="003C2C9B" w:rsidP="003C2C9B">
      <w:pPr>
        <w:rPr>
          <w:lang w:val="pt-BR"/>
        </w:rPr>
      </w:pPr>
    </w:p>
    <w:p w14:paraId="50B56CAC" w14:textId="77777777" w:rsidR="003C2C9B" w:rsidRPr="00636E12" w:rsidRDefault="003C2C9B" w:rsidP="003C2C9B">
      <w:pPr>
        <w:rPr>
          <w:lang w:val="pt-BR"/>
        </w:rPr>
      </w:pPr>
    </w:p>
    <w:p w14:paraId="5B16D9ED" w14:textId="64AB9E7F" w:rsidR="003C2C9B" w:rsidRPr="00636E12" w:rsidRDefault="003C2C9B" w:rsidP="003C2C9B">
      <w:pPr>
        <w:rPr>
          <w:lang w:val="pt-BR"/>
        </w:rPr>
      </w:pPr>
    </w:p>
    <w:p w14:paraId="16B331F7" w14:textId="77777777" w:rsidR="003C2C9B" w:rsidRPr="00636E12" w:rsidRDefault="003C2C9B" w:rsidP="003C2C9B">
      <w:pPr>
        <w:rPr>
          <w:lang w:val="pt-BR"/>
        </w:rPr>
      </w:pPr>
    </w:p>
    <w:p w14:paraId="65EBFB99" w14:textId="2ECBB22C" w:rsidR="003C2C9B" w:rsidRDefault="003C2C9B" w:rsidP="003C2C9B">
      <w:pPr>
        <w:spacing w:after="0"/>
        <w:jc w:val="center"/>
        <w:rPr>
          <w:lang w:val="pt-BR"/>
        </w:rPr>
      </w:pPr>
      <w:r w:rsidRPr="004602BB">
        <w:rPr>
          <w:lang w:val="pt-BR"/>
        </w:rPr>
        <w:t>Patricia Pérez Goldberg</w:t>
      </w:r>
    </w:p>
    <w:p w14:paraId="29200F4D" w14:textId="22BB8F86" w:rsidR="003C2C9B" w:rsidRPr="0019261A" w:rsidRDefault="003C2C9B" w:rsidP="003C2C9B">
      <w:pPr>
        <w:spacing w:after="0"/>
        <w:rPr>
          <w:lang w:val="pt-BR"/>
        </w:rPr>
      </w:pPr>
    </w:p>
    <w:p w14:paraId="4DF7B3F8" w14:textId="0C6920B9" w:rsidR="003C2C9B" w:rsidRDefault="003C2C9B" w:rsidP="003C2C9B">
      <w:pPr>
        <w:spacing w:after="0"/>
        <w:rPr>
          <w:lang w:val="pt-BR"/>
        </w:rPr>
      </w:pPr>
    </w:p>
    <w:p w14:paraId="0EFEF3CF" w14:textId="65DBF39C" w:rsidR="003C2C9B" w:rsidRDefault="003C2C9B" w:rsidP="003C2C9B">
      <w:pPr>
        <w:spacing w:after="0"/>
        <w:rPr>
          <w:lang w:val="pt-BR"/>
        </w:rPr>
      </w:pPr>
    </w:p>
    <w:p w14:paraId="421D9657" w14:textId="1C6DD6B1" w:rsidR="003C2C9B" w:rsidRDefault="003C2C9B" w:rsidP="003C2C9B">
      <w:pPr>
        <w:spacing w:after="0"/>
        <w:rPr>
          <w:lang w:val="pt-BR"/>
        </w:rPr>
      </w:pPr>
    </w:p>
    <w:p w14:paraId="77D0F155" w14:textId="25C73388" w:rsidR="003C2C9B" w:rsidRDefault="003C2C9B" w:rsidP="003C2C9B">
      <w:pPr>
        <w:spacing w:after="0"/>
        <w:rPr>
          <w:lang w:val="pt-BR"/>
        </w:rPr>
      </w:pPr>
    </w:p>
    <w:p w14:paraId="6610A060" w14:textId="77777777" w:rsidR="003C2C9B" w:rsidRPr="0019261A" w:rsidRDefault="003C2C9B" w:rsidP="003C2C9B">
      <w:pPr>
        <w:spacing w:after="0"/>
        <w:rPr>
          <w:lang w:val="pt-BR"/>
        </w:rPr>
      </w:pPr>
    </w:p>
    <w:p w14:paraId="32C0175F" w14:textId="77777777" w:rsidR="003C2C9B" w:rsidRPr="00FC4051" w:rsidRDefault="003C2C9B" w:rsidP="003C2C9B">
      <w:pPr>
        <w:spacing w:after="0"/>
        <w:jc w:val="center"/>
        <w:rPr>
          <w:lang w:val="pt-BR"/>
        </w:rPr>
      </w:pPr>
      <w:r w:rsidRPr="00FC4051">
        <w:rPr>
          <w:lang w:val="pt-BR"/>
        </w:rPr>
        <w:t>Pablo Saavedra Alessandri</w:t>
      </w:r>
    </w:p>
    <w:p w14:paraId="0E4D6F08" w14:textId="77777777" w:rsidR="003C2C9B" w:rsidRDefault="003C2C9B" w:rsidP="003C2C9B">
      <w:pPr>
        <w:spacing w:after="0"/>
        <w:jc w:val="center"/>
        <w:rPr>
          <w:lang w:val="pt-BR"/>
        </w:rPr>
      </w:pPr>
      <w:r w:rsidRPr="00FC4051">
        <w:rPr>
          <w:lang w:val="pt-BR"/>
        </w:rPr>
        <w:t>Secret</w:t>
      </w:r>
      <w:r>
        <w:rPr>
          <w:lang w:val="pt-BR"/>
        </w:rPr>
        <w:t>a</w:t>
      </w:r>
      <w:r w:rsidRPr="00FC4051">
        <w:rPr>
          <w:lang w:val="pt-BR"/>
        </w:rPr>
        <w:t>rio</w:t>
      </w:r>
    </w:p>
    <w:p w14:paraId="4BA93F60" w14:textId="107DBBE8" w:rsidR="003C2C9B" w:rsidRPr="00FC4051" w:rsidRDefault="003C2C9B" w:rsidP="003C2C9B">
      <w:pPr>
        <w:pStyle w:val="Textonotapie"/>
        <w:rPr>
          <w:lang w:val="pt-BR"/>
        </w:rPr>
      </w:pPr>
    </w:p>
    <w:p w14:paraId="36F12BEE" w14:textId="1292DE32" w:rsidR="003C2C9B" w:rsidRPr="00FC4051" w:rsidRDefault="003C2C9B" w:rsidP="003C2C9B">
      <w:pPr>
        <w:spacing w:after="0"/>
        <w:rPr>
          <w:lang w:val="pt-BR"/>
        </w:rPr>
      </w:pPr>
      <w:r>
        <w:rPr>
          <w:lang w:val="pt-BR"/>
        </w:rPr>
        <w:t>Comuníquese y ejecútese</w:t>
      </w:r>
      <w:r w:rsidRPr="00FC4051">
        <w:rPr>
          <w:lang w:val="pt-BR"/>
        </w:rPr>
        <w:t>,</w:t>
      </w:r>
      <w:r w:rsidR="009873CA" w:rsidRPr="00636E12">
        <w:rPr>
          <w:noProof/>
          <w:lang w:val="pt-BR"/>
        </w:rPr>
        <w:t xml:space="preserve"> </w:t>
      </w:r>
    </w:p>
    <w:p w14:paraId="70EEFABC" w14:textId="5AC250B2" w:rsidR="003C2C9B" w:rsidRDefault="003C2C9B" w:rsidP="003C2C9B">
      <w:pPr>
        <w:spacing w:after="0"/>
        <w:jc w:val="center"/>
        <w:rPr>
          <w:lang w:val="pt-BR"/>
        </w:rPr>
      </w:pPr>
    </w:p>
    <w:p w14:paraId="1B15E33A" w14:textId="77777777" w:rsidR="003C2C9B" w:rsidRPr="00FC4051" w:rsidRDefault="003C2C9B" w:rsidP="003C2C9B">
      <w:pPr>
        <w:spacing w:after="0"/>
        <w:jc w:val="right"/>
        <w:rPr>
          <w:lang w:val="pt-BR"/>
        </w:rPr>
      </w:pPr>
    </w:p>
    <w:p w14:paraId="6C622F0A" w14:textId="3358420D" w:rsidR="003C2C9B" w:rsidRDefault="003C2C9B" w:rsidP="003C2C9B">
      <w:pPr>
        <w:spacing w:after="0"/>
        <w:jc w:val="center"/>
        <w:rPr>
          <w:lang w:val="pt-BR"/>
        </w:rPr>
      </w:pPr>
      <w:r>
        <w:rPr>
          <w:lang w:val="pt-BR"/>
        </w:rPr>
        <w:t xml:space="preserve">                                                                                               Ricardo C. Pérez Manrique</w:t>
      </w:r>
    </w:p>
    <w:p w14:paraId="5BEAC01E" w14:textId="040EB7AA" w:rsidR="003C2C9B" w:rsidRDefault="003C2C9B" w:rsidP="003C2C9B">
      <w:pPr>
        <w:spacing w:after="0"/>
        <w:ind w:left="6372"/>
        <w:jc w:val="center"/>
        <w:rPr>
          <w:lang w:val="pt-BR"/>
        </w:rPr>
      </w:pPr>
      <w:r>
        <w:rPr>
          <w:lang w:val="pt-BR"/>
        </w:rPr>
        <w:t>Presidente</w:t>
      </w:r>
    </w:p>
    <w:p w14:paraId="0DB39430" w14:textId="77777777" w:rsidR="003C2C9B" w:rsidRPr="00FC4051" w:rsidRDefault="003C2C9B" w:rsidP="003C2C9B">
      <w:pPr>
        <w:spacing w:after="0"/>
        <w:rPr>
          <w:lang w:val="pt-BR"/>
        </w:rPr>
      </w:pPr>
    </w:p>
    <w:p w14:paraId="3D48AB29" w14:textId="77777777" w:rsidR="003C2C9B" w:rsidRDefault="003C2C9B" w:rsidP="003C2C9B">
      <w:pPr>
        <w:spacing w:after="0"/>
        <w:rPr>
          <w:lang w:val="pt-BR"/>
        </w:rPr>
      </w:pPr>
    </w:p>
    <w:p w14:paraId="27DB26CD" w14:textId="77777777" w:rsidR="003C2C9B" w:rsidRDefault="003C2C9B" w:rsidP="003C2C9B">
      <w:pPr>
        <w:spacing w:after="0"/>
        <w:rPr>
          <w:lang w:val="pt-BR"/>
        </w:rPr>
      </w:pPr>
    </w:p>
    <w:p w14:paraId="605EBE40" w14:textId="77777777" w:rsidR="003C2C9B" w:rsidRPr="00FC4051" w:rsidRDefault="003C2C9B" w:rsidP="003C2C9B">
      <w:pPr>
        <w:spacing w:after="0"/>
        <w:rPr>
          <w:lang w:val="pt-BR"/>
        </w:rPr>
      </w:pPr>
      <w:r w:rsidRPr="00FC4051">
        <w:rPr>
          <w:lang w:val="pt-BR"/>
        </w:rPr>
        <w:t>Pablo Saavedra Alessandri</w:t>
      </w:r>
    </w:p>
    <w:p w14:paraId="56F8DD4A" w14:textId="3947CC17" w:rsidR="00465F6A" w:rsidRPr="00CD68BA" w:rsidRDefault="003C2C9B" w:rsidP="003C2C9B">
      <w:pPr>
        <w:spacing w:after="0"/>
        <w:rPr>
          <w:rFonts w:eastAsia="Times New Roman" w:cs="Times New Roman"/>
          <w:szCs w:val="20"/>
          <w:lang w:val="es-CR" w:eastAsia="es-CR"/>
        </w:rPr>
      </w:pPr>
      <w:r>
        <w:rPr>
          <w:lang w:val="pt-BR"/>
        </w:rPr>
        <w:t xml:space="preserve">          </w:t>
      </w:r>
      <w:r w:rsidRPr="0019261A">
        <w:rPr>
          <w:lang w:val="es-ES"/>
        </w:rPr>
        <w:t>Secret</w:t>
      </w:r>
      <w:r>
        <w:rPr>
          <w:lang w:val="es-ES"/>
        </w:rPr>
        <w:t>ario</w:t>
      </w:r>
    </w:p>
    <w:sectPr w:rsidR="00465F6A" w:rsidRPr="00CD68BA" w:rsidSect="00D42E50">
      <w:footerReference w:type="default" r:id="rId8"/>
      <w:pgSz w:w="12240" w:h="15840" w:code="119"/>
      <w:pgMar w:top="1440" w:right="1080" w:bottom="547" w:left="108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0785E" w14:textId="77777777" w:rsidR="00BF53C6" w:rsidRDefault="00BF53C6" w:rsidP="00C10DAE">
      <w:pPr>
        <w:spacing w:before="0" w:after="0"/>
      </w:pPr>
      <w:r>
        <w:separator/>
      </w:r>
    </w:p>
  </w:endnote>
  <w:endnote w:type="continuationSeparator" w:id="0">
    <w:p w14:paraId="317ECBD0" w14:textId="77777777" w:rsidR="00BF53C6" w:rsidRDefault="00BF53C6" w:rsidP="00C10D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Palatino-Italic">
    <w:altName w:val="Segoe UI Historic"/>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Bold">
    <w:altName w:val="Times New Roman"/>
    <w:charset w:val="00"/>
    <w:family w:val="auto"/>
    <w:pitch w:val="variable"/>
    <w:sig w:usb0="00000001"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5715-Identity-H">
    <w:altName w:val="Calibri"/>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ArialMT">
    <w:altName w:val="Klee One"/>
    <w:panose1 w:val="00000000000000000000"/>
    <w:charset w:val="80"/>
    <w:family w:val="auto"/>
    <w:notTrueType/>
    <w:pitch w:val="default"/>
    <w:sig w:usb0="00000000" w:usb1="08070000" w:usb2="00000010" w:usb3="00000000" w:csb0="00020000" w:csb1="00000000"/>
  </w:font>
  <w:font w:name="Calibri-Light">
    <w:altName w:val="Calibri"/>
    <w:charset w:val="00"/>
    <w:family w:val="swiss"/>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Italic">
    <w:altName w:val="Verdana"/>
    <w:panose1 w:val="00000000000000000000"/>
    <w:charset w:val="4D"/>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119357"/>
      <w:docPartObj>
        <w:docPartGallery w:val="Page Numbers (Bottom of Page)"/>
        <w:docPartUnique/>
      </w:docPartObj>
    </w:sdtPr>
    <w:sdtEndPr>
      <w:rPr>
        <w:noProof/>
        <w:sz w:val="16"/>
        <w:szCs w:val="16"/>
      </w:rPr>
    </w:sdtEndPr>
    <w:sdtContent>
      <w:p w14:paraId="27E88DA5" w14:textId="77777777" w:rsidR="005251B6" w:rsidRDefault="005251B6">
        <w:pPr>
          <w:pStyle w:val="Piedepgina"/>
          <w:jc w:val="center"/>
        </w:pPr>
      </w:p>
      <w:p w14:paraId="2A53BD60" w14:textId="6C9EEC9F" w:rsidR="005258E9" w:rsidRPr="00554B9D" w:rsidRDefault="005258E9">
        <w:pPr>
          <w:pStyle w:val="Piedepgina"/>
          <w:jc w:val="center"/>
          <w:rPr>
            <w:sz w:val="16"/>
            <w:szCs w:val="16"/>
          </w:rPr>
        </w:pPr>
        <w:r w:rsidRPr="00554B9D">
          <w:rPr>
            <w:sz w:val="16"/>
            <w:szCs w:val="16"/>
          </w:rPr>
          <w:fldChar w:fldCharType="begin"/>
        </w:r>
        <w:r w:rsidRPr="00554B9D">
          <w:rPr>
            <w:sz w:val="16"/>
            <w:szCs w:val="16"/>
          </w:rPr>
          <w:instrText xml:space="preserve"> PAGE   \* MERGEFORMAT </w:instrText>
        </w:r>
        <w:r w:rsidRPr="00554B9D">
          <w:rPr>
            <w:sz w:val="16"/>
            <w:szCs w:val="16"/>
          </w:rPr>
          <w:fldChar w:fldCharType="separate"/>
        </w:r>
        <w:r w:rsidR="00FF1D01" w:rsidRPr="00554B9D">
          <w:rPr>
            <w:noProof/>
            <w:sz w:val="16"/>
            <w:szCs w:val="16"/>
          </w:rPr>
          <w:t>21</w:t>
        </w:r>
        <w:r w:rsidRPr="00554B9D">
          <w:rPr>
            <w:noProof/>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A9EE5" w14:textId="77777777" w:rsidR="00BF53C6" w:rsidRDefault="00BF53C6" w:rsidP="00C10DAE">
      <w:pPr>
        <w:spacing w:before="0" w:after="0"/>
      </w:pPr>
      <w:r>
        <w:separator/>
      </w:r>
    </w:p>
  </w:footnote>
  <w:footnote w:type="continuationSeparator" w:id="0">
    <w:p w14:paraId="642C7FBF" w14:textId="77777777" w:rsidR="00BF53C6" w:rsidRDefault="00BF53C6" w:rsidP="00C10DAE">
      <w:pPr>
        <w:spacing w:before="0" w:after="0"/>
      </w:pPr>
      <w:r>
        <w:continuationSeparator/>
      </w:r>
    </w:p>
  </w:footnote>
  <w:footnote w:id="1">
    <w:p w14:paraId="7994C7B8" w14:textId="211D662F" w:rsidR="00921EB5" w:rsidRPr="00CD68BA" w:rsidRDefault="00921EB5" w:rsidP="00921EB5">
      <w:pPr>
        <w:pStyle w:val="Textonotapie"/>
        <w:rPr>
          <w:b/>
          <w:bCs/>
          <w:szCs w:val="16"/>
          <w:lang w:val="es-CR"/>
        </w:rPr>
      </w:pPr>
      <w:r w:rsidRPr="00CD68BA">
        <w:rPr>
          <w:rStyle w:val="Refdenotaalpie"/>
          <w:szCs w:val="16"/>
          <w:lang w:val="es-CR"/>
        </w:rPr>
        <w:t>*</w:t>
      </w:r>
      <w:r w:rsidRPr="00CD68BA">
        <w:rPr>
          <w:szCs w:val="16"/>
          <w:lang w:val="es-CR"/>
        </w:rPr>
        <w:t xml:space="preserve"> </w:t>
      </w:r>
      <w:r w:rsidRPr="00CD68BA">
        <w:rPr>
          <w:szCs w:val="16"/>
          <w:lang w:val="es-CR"/>
        </w:rPr>
        <w:tab/>
        <w:t xml:space="preserve">El Juez Rodrigo Mudrovitsch, de nacionalidad brasileña, no participó en la tramitación del presente caso ni en la deliberación y firma de esta Sentencia, de conformidad con lo dispuesto en los artículos 19.1 y 19.2 del Reglamento de la Corte. </w:t>
      </w:r>
    </w:p>
  </w:footnote>
  <w:footnote w:id="2">
    <w:p w14:paraId="0D88A54E" w14:textId="66106218" w:rsidR="001F5A4A" w:rsidRPr="00CD68BA" w:rsidRDefault="001F5A4A"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La Comisión designó como su delegado ante la Corte al entonces Presidente de la Comisión, el Comisionado Joel Hernández, y designó como asesora y asesor legal a la </w:t>
      </w:r>
      <w:r w:rsidR="007B4864" w:rsidRPr="00CD68BA">
        <w:rPr>
          <w:szCs w:val="16"/>
          <w:lang w:val="es-CR"/>
        </w:rPr>
        <w:t xml:space="preserve">entonces </w:t>
      </w:r>
      <w:r w:rsidRPr="00CD68BA">
        <w:rPr>
          <w:szCs w:val="16"/>
          <w:lang w:val="es-CR"/>
        </w:rPr>
        <w:t xml:space="preserve">Secretaria Ejecutiva Adjunta Marisol Blanchard Vera, y al </w:t>
      </w:r>
      <w:r w:rsidR="007B4864" w:rsidRPr="00CD68BA">
        <w:rPr>
          <w:szCs w:val="16"/>
          <w:lang w:val="es-CR"/>
        </w:rPr>
        <w:t>actual Secretario Ejecutivo Adjunto</w:t>
      </w:r>
      <w:r w:rsidRPr="00CD68BA">
        <w:rPr>
          <w:szCs w:val="16"/>
          <w:lang w:val="es-CR"/>
        </w:rPr>
        <w:t xml:space="preserve"> Jorge Meza Flores. </w:t>
      </w:r>
    </w:p>
  </w:footnote>
  <w:footnote w:id="3">
    <w:p w14:paraId="01F5A4E9" w14:textId="3C098D72" w:rsidR="007B4864" w:rsidRPr="00CD68BA" w:rsidRDefault="007B4864" w:rsidP="00D12B21">
      <w:pPr>
        <w:tabs>
          <w:tab w:val="left" w:pos="567"/>
        </w:tabs>
        <w:adjustRightInd w:val="0"/>
        <w:spacing w:before="0"/>
        <w:rPr>
          <w:rFonts w:eastAsiaTheme="minorHAnsi" w:cs="Arial"/>
          <w:sz w:val="16"/>
          <w:szCs w:val="16"/>
          <w:lang w:val="es-CR"/>
        </w:rPr>
      </w:pPr>
      <w:r w:rsidRPr="00CD68BA">
        <w:rPr>
          <w:rStyle w:val="Refdenotaalpie"/>
          <w:sz w:val="16"/>
          <w:szCs w:val="16"/>
          <w:lang w:val="es-CR"/>
        </w:rPr>
        <w:footnoteRef/>
      </w:r>
      <w:r w:rsidRPr="00CD68BA">
        <w:rPr>
          <w:sz w:val="16"/>
          <w:szCs w:val="16"/>
          <w:lang w:val="es-CR"/>
        </w:rPr>
        <w:tab/>
      </w:r>
      <w:bookmarkStart w:id="28" w:name="_Hlk109727537"/>
      <w:r w:rsidRPr="00CD68BA">
        <w:rPr>
          <w:sz w:val="16"/>
          <w:szCs w:val="16"/>
          <w:lang w:val="es-CR"/>
        </w:rPr>
        <w:t xml:space="preserve">Mediante comunicación de 11 de marzo de 2021, el Estado designó como agentes a las señoras y los señores </w:t>
      </w:r>
      <w:r w:rsidRPr="00CD68BA">
        <w:rPr>
          <w:rFonts w:eastAsiaTheme="minorHAnsi" w:cs="Arial"/>
          <w:sz w:val="16"/>
          <w:szCs w:val="16"/>
          <w:lang w:val="es-CR"/>
        </w:rPr>
        <w:t>Antônio Francisco Da Costa e Silva Neto</w:t>
      </w:r>
      <w:r w:rsidR="00384D16" w:rsidRPr="00CD68BA">
        <w:rPr>
          <w:rFonts w:eastAsiaTheme="minorHAnsi" w:cs="Arial"/>
          <w:sz w:val="16"/>
          <w:szCs w:val="16"/>
          <w:lang w:val="es-CR"/>
        </w:rPr>
        <w:t xml:space="preserve">, </w:t>
      </w:r>
      <w:r w:rsidR="003D25D4" w:rsidRPr="00CD68BA">
        <w:rPr>
          <w:rFonts w:eastAsiaTheme="minorHAnsi" w:cs="Arial"/>
          <w:sz w:val="16"/>
          <w:szCs w:val="16"/>
          <w:lang w:val="es-CR"/>
        </w:rPr>
        <w:t>E</w:t>
      </w:r>
      <w:r w:rsidR="00384D16" w:rsidRPr="00CD68BA">
        <w:rPr>
          <w:rFonts w:eastAsiaTheme="minorHAnsi" w:cs="Arial"/>
          <w:sz w:val="16"/>
          <w:szCs w:val="16"/>
          <w:lang w:val="es-CR"/>
        </w:rPr>
        <w:t>mbajador de Brasil en San José;</w:t>
      </w:r>
      <w:r w:rsidRPr="00CD68BA">
        <w:rPr>
          <w:rFonts w:eastAsiaTheme="minorHAnsi" w:cs="Arial"/>
          <w:sz w:val="16"/>
          <w:szCs w:val="16"/>
          <w:lang w:val="es-CR"/>
        </w:rPr>
        <w:t xml:space="preserve"> </w:t>
      </w:r>
      <w:bookmarkStart w:id="29" w:name="_Hlk109724187"/>
      <w:r w:rsidR="00384D16" w:rsidRPr="00CD68BA">
        <w:rPr>
          <w:rFonts w:eastAsiaTheme="minorHAnsi" w:cs="Arial"/>
          <w:sz w:val="16"/>
          <w:szCs w:val="16"/>
          <w:lang w:val="es-CR"/>
        </w:rPr>
        <w:t xml:space="preserve">Ministro </w:t>
      </w:r>
      <w:bookmarkEnd w:id="29"/>
      <w:r w:rsidRPr="00CD68BA">
        <w:rPr>
          <w:rFonts w:eastAsiaTheme="minorHAnsi" w:cs="Arial"/>
          <w:sz w:val="16"/>
          <w:szCs w:val="16"/>
          <w:lang w:val="es-CR"/>
        </w:rPr>
        <w:t>João Lucas Quental Novaes de Almeida,</w:t>
      </w:r>
      <w:r w:rsidR="00384D16" w:rsidRPr="00CD68BA">
        <w:rPr>
          <w:sz w:val="16"/>
          <w:szCs w:val="16"/>
          <w:lang w:val="es-CR"/>
        </w:rPr>
        <w:t xml:space="preserve"> </w:t>
      </w:r>
      <w:r w:rsidR="003D25D4" w:rsidRPr="00CD68BA">
        <w:rPr>
          <w:rFonts w:eastAsiaTheme="minorHAnsi" w:cs="Arial"/>
          <w:sz w:val="16"/>
          <w:szCs w:val="16"/>
          <w:lang w:val="es-CR"/>
        </w:rPr>
        <w:t>D</w:t>
      </w:r>
      <w:r w:rsidR="00384D16" w:rsidRPr="00CD68BA">
        <w:rPr>
          <w:rFonts w:eastAsiaTheme="minorHAnsi" w:cs="Arial"/>
          <w:sz w:val="16"/>
          <w:szCs w:val="16"/>
          <w:lang w:val="es-CR"/>
        </w:rPr>
        <w:t>irector del Departamento de Derechos Humanos y Ciudadanía</w:t>
      </w:r>
      <w:r w:rsidR="00B70A72" w:rsidRPr="00CD68BA">
        <w:rPr>
          <w:rFonts w:eastAsiaTheme="minorHAnsi" w:cs="Arial"/>
          <w:sz w:val="16"/>
          <w:szCs w:val="16"/>
          <w:lang w:val="es-CR"/>
        </w:rPr>
        <w:t xml:space="preserve"> del Ministerio de Relaciones Exteriores (en adelante “MRE”)</w:t>
      </w:r>
      <w:r w:rsidR="00384D16" w:rsidRPr="00CD68BA">
        <w:rPr>
          <w:rFonts w:eastAsiaTheme="minorHAnsi" w:cs="Arial"/>
          <w:sz w:val="16"/>
          <w:szCs w:val="16"/>
          <w:lang w:val="es-CR"/>
        </w:rPr>
        <w:t>;</w:t>
      </w:r>
      <w:r w:rsidRPr="00CD68BA">
        <w:rPr>
          <w:rFonts w:eastAsiaTheme="minorHAnsi" w:cs="Arial"/>
          <w:sz w:val="16"/>
          <w:szCs w:val="16"/>
          <w:lang w:val="es-CR"/>
        </w:rPr>
        <w:t xml:space="preserve"> </w:t>
      </w:r>
      <w:r w:rsidR="00384D16" w:rsidRPr="00CD68BA">
        <w:rPr>
          <w:rFonts w:eastAsiaTheme="minorHAnsi" w:cs="Arial"/>
          <w:sz w:val="16"/>
          <w:szCs w:val="16"/>
          <w:lang w:val="es-CR"/>
        </w:rPr>
        <w:t xml:space="preserve">Ministro </w:t>
      </w:r>
      <w:r w:rsidRPr="00CD68BA">
        <w:rPr>
          <w:rFonts w:eastAsiaTheme="minorHAnsi" w:cs="Arial"/>
          <w:sz w:val="16"/>
          <w:szCs w:val="16"/>
          <w:lang w:val="es-CR"/>
        </w:rPr>
        <w:t xml:space="preserve">Marcelo Ramos Araújo, </w:t>
      </w:r>
      <w:r w:rsidR="003D25D4" w:rsidRPr="00CD68BA">
        <w:rPr>
          <w:rFonts w:eastAsiaTheme="minorHAnsi" w:cs="Arial"/>
          <w:sz w:val="16"/>
          <w:szCs w:val="16"/>
          <w:lang w:val="es-CR"/>
        </w:rPr>
        <w:t>J</w:t>
      </w:r>
      <w:r w:rsidR="00384D16" w:rsidRPr="00CD68BA">
        <w:rPr>
          <w:rFonts w:eastAsiaTheme="minorHAnsi" w:cs="Arial"/>
          <w:sz w:val="16"/>
          <w:szCs w:val="16"/>
          <w:lang w:val="es-CR"/>
        </w:rPr>
        <w:t>efe de la División de Derechos Humanos</w:t>
      </w:r>
      <w:r w:rsidR="0070422B" w:rsidRPr="00CD68BA">
        <w:rPr>
          <w:rFonts w:eastAsiaTheme="minorHAnsi" w:cs="Arial"/>
          <w:sz w:val="16"/>
          <w:szCs w:val="16"/>
          <w:lang w:val="es-CR"/>
        </w:rPr>
        <w:t xml:space="preserve"> del MRE</w:t>
      </w:r>
      <w:r w:rsidR="00B70A72" w:rsidRPr="00CD68BA">
        <w:rPr>
          <w:rFonts w:eastAsiaTheme="minorHAnsi" w:cs="Arial"/>
          <w:sz w:val="16"/>
          <w:szCs w:val="16"/>
          <w:lang w:val="es-CR"/>
        </w:rPr>
        <w:t>;</w:t>
      </w:r>
      <w:r w:rsidR="00384D16" w:rsidRPr="00CD68BA">
        <w:rPr>
          <w:rFonts w:eastAsiaTheme="minorHAnsi" w:cs="Arial"/>
          <w:sz w:val="16"/>
          <w:szCs w:val="16"/>
          <w:lang w:val="es-CR"/>
        </w:rPr>
        <w:t xml:space="preserve"> </w:t>
      </w:r>
      <w:r w:rsidRPr="00CD68BA">
        <w:rPr>
          <w:rFonts w:eastAsiaTheme="minorHAnsi" w:cs="Arial"/>
          <w:sz w:val="16"/>
          <w:szCs w:val="16"/>
          <w:lang w:val="es-CR"/>
        </w:rPr>
        <w:t>Ricardo Edgard Rolf Lima Bernhard,</w:t>
      </w:r>
      <w:r w:rsidR="00B70A72" w:rsidRPr="00CD68BA">
        <w:rPr>
          <w:rFonts w:eastAsiaTheme="minorHAnsi" w:cs="Arial"/>
          <w:sz w:val="16"/>
          <w:szCs w:val="16"/>
          <w:lang w:val="es-CR"/>
        </w:rPr>
        <w:t xml:space="preserve"> </w:t>
      </w:r>
      <w:r w:rsidR="003D25D4" w:rsidRPr="00CD68BA">
        <w:rPr>
          <w:rFonts w:eastAsiaTheme="minorHAnsi" w:cs="Arial"/>
          <w:sz w:val="16"/>
          <w:szCs w:val="16"/>
          <w:lang w:val="es-CR"/>
        </w:rPr>
        <w:t>S</w:t>
      </w:r>
      <w:r w:rsidR="00B70A72" w:rsidRPr="00CD68BA">
        <w:rPr>
          <w:rFonts w:eastAsiaTheme="minorHAnsi" w:cs="Arial"/>
          <w:sz w:val="16"/>
          <w:szCs w:val="16"/>
          <w:lang w:val="es-CR"/>
        </w:rPr>
        <w:t>ubjefe de la División de Derechos Humanos</w:t>
      </w:r>
      <w:r w:rsidR="0070422B" w:rsidRPr="00CD68BA">
        <w:rPr>
          <w:rFonts w:eastAsiaTheme="minorHAnsi" w:cs="Arial"/>
          <w:sz w:val="16"/>
          <w:szCs w:val="16"/>
          <w:lang w:val="es-CR"/>
        </w:rPr>
        <w:t xml:space="preserve"> del MRE</w:t>
      </w:r>
      <w:r w:rsidR="00B70A72" w:rsidRPr="00CD68BA">
        <w:rPr>
          <w:rFonts w:eastAsiaTheme="minorHAnsi" w:cs="Arial"/>
          <w:sz w:val="16"/>
          <w:szCs w:val="16"/>
          <w:lang w:val="es-CR"/>
        </w:rPr>
        <w:t xml:space="preserve">; Secretario </w:t>
      </w:r>
      <w:r w:rsidRPr="00CD68BA">
        <w:rPr>
          <w:rFonts w:eastAsiaTheme="minorHAnsi" w:cs="Arial"/>
          <w:sz w:val="16"/>
          <w:szCs w:val="16"/>
          <w:lang w:val="es-CR"/>
        </w:rPr>
        <w:t xml:space="preserve">Daniel Leão Sousa, </w:t>
      </w:r>
      <w:r w:rsidR="003D25D4" w:rsidRPr="00CD68BA">
        <w:rPr>
          <w:rFonts w:eastAsiaTheme="minorHAnsi" w:cs="Arial"/>
          <w:sz w:val="16"/>
          <w:szCs w:val="16"/>
          <w:lang w:val="es-CR"/>
        </w:rPr>
        <w:t>A</w:t>
      </w:r>
      <w:r w:rsidR="00B70A72" w:rsidRPr="00CD68BA">
        <w:rPr>
          <w:rFonts w:eastAsiaTheme="minorHAnsi" w:cs="Arial"/>
          <w:sz w:val="16"/>
          <w:szCs w:val="16"/>
          <w:lang w:val="es-CR"/>
        </w:rPr>
        <w:t>sesor de la División de Derechos Humanos</w:t>
      </w:r>
      <w:r w:rsidR="006054E5" w:rsidRPr="00CD68BA">
        <w:rPr>
          <w:rFonts w:eastAsiaTheme="minorHAnsi" w:cs="Arial"/>
          <w:sz w:val="16"/>
          <w:szCs w:val="16"/>
          <w:lang w:val="es-CR"/>
        </w:rPr>
        <w:t xml:space="preserve"> del MRE</w:t>
      </w:r>
      <w:r w:rsidR="00B70A72" w:rsidRPr="00CD68BA">
        <w:rPr>
          <w:rFonts w:eastAsiaTheme="minorHAnsi" w:cs="Arial"/>
          <w:sz w:val="16"/>
          <w:szCs w:val="16"/>
          <w:lang w:val="es-CR"/>
        </w:rPr>
        <w:t xml:space="preserve">; </w:t>
      </w:r>
      <w:r w:rsidR="006054E5" w:rsidRPr="00CD68BA">
        <w:rPr>
          <w:rFonts w:eastAsiaTheme="minorHAnsi" w:cs="Arial"/>
          <w:sz w:val="16"/>
          <w:szCs w:val="16"/>
          <w:lang w:val="es-CR"/>
        </w:rPr>
        <w:t xml:space="preserve">Secretaria </w:t>
      </w:r>
      <w:r w:rsidRPr="00CD68BA">
        <w:rPr>
          <w:rFonts w:eastAsiaTheme="minorHAnsi" w:cs="Arial"/>
          <w:sz w:val="16"/>
          <w:szCs w:val="16"/>
          <w:lang w:val="es-CR"/>
        </w:rPr>
        <w:t xml:space="preserve">Débora Antônia Lobato Cândido, </w:t>
      </w:r>
      <w:r w:rsidR="003D25D4" w:rsidRPr="00CD68BA">
        <w:rPr>
          <w:rFonts w:eastAsiaTheme="minorHAnsi" w:cs="Arial"/>
          <w:sz w:val="16"/>
          <w:szCs w:val="16"/>
          <w:lang w:val="es-CR"/>
        </w:rPr>
        <w:t>A</w:t>
      </w:r>
      <w:r w:rsidR="00B70A72" w:rsidRPr="00CD68BA">
        <w:rPr>
          <w:rFonts w:eastAsiaTheme="minorHAnsi" w:cs="Arial"/>
          <w:sz w:val="16"/>
          <w:szCs w:val="16"/>
          <w:lang w:val="es-CR"/>
        </w:rPr>
        <w:t>sesora de la División de Derechos Humanos</w:t>
      </w:r>
      <w:r w:rsidR="006054E5" w:rsidRPr="00CD68BA">
        <w:rPr>
          <w:rFonts w:eastAsiaTheme="minorHAnsi" w:cs="Arial"/>
          <w:sz w:val="16"/>
          <w:szCs w:val="16"/>
          <w:lang w:val="es-CR"/>
        </w:rPr>
        <w:t xml:space="preserve"> del MRE</w:t>
      </w:r>
      <w:r w:rsidR="00B70A72" w:rsidRPr="00CD68BA">
        <w:rPr>
          <w:rFonts w:eastAsiaTheme="minorHAnsi" w:cs="Arial"/>
          <w:sz w:val="16"/>
          <w:szCs w:val="16"/>
          <w:lang w:val="es-CR"/>
        </w:rPr>
        <w:t xml:space="preserve">; </w:t>
      </w:r>
      <w:r w:rsidR="006054E5" w:rsidRPr="00CD68BA">
        <w:rPr>
          <w:rFonts w:eastAsiaTheme="minorHAnsi" w:cs="Arial"/>
          <w:sz w:val="16"/>
          <w:szCs w:val="16"/>
          <w:lang w:val="es-CR"/>
        </w:rPr>
        <w:t xml:space="preserve">Secretario </w:t>
      </w:r>
      <w:r w:rsidRPr="00CD68BA">
        <w:rPr>
          <w:rFonts w:eastAsiaTheme="minorHAnsi" w:cs="Arial"/>
          <w:sz w:val="16"/>
          <w:szCs w:val="16"/>
          <w:lang w:val="es-CR"/>
        </w:rPr>
        <w:t>Lucas dos Santos Furquim Ribeiro,</w:t>
      </w:r>
      <w:r w:rsidR="006054E5" w:rsidRPr="00CD68BA">
        <w:rPr>
          <w:sz w:val="16"/>
          <w:szCs w:val="16"/>
          <w:lang w:val="es-CR"/>
        </w:rPr>
        <w:t xml:space="preserve"> </w:t>
      </w:r>
      <w:r w:rsidR="003D25D4" w:rsidRPr="00CD68BA">
        <w:rPr>
          <w:sz w:val="16"/>
          <w:szCs w:val="16"/>
          <w:lang w:val="es-CR"/>
        </w:rPr>
        <w:t>J</w:t>
      </w:r>
      <w:r w:rsidR="006054E5" w:rsidRPr="00CD68BA">
        <w:rPr>
          <w:sz w:val="16"/>
          <w:szCs w:val="16"/>
          <w:lang w:val="es-CR"/>
        </w:rPr>
        <w:t xml:space="preserve">efe del </w:t>
      </w:r>
      <w:r w:rsidR="006054E5" w:rsidRPr="00CD68BA">
        <w:rPr>
          <w:rFonts w:eastAsiaTheme="minorHAnsi" w:cs="Arial"/>
          <w:sz w:val="16"/>
          <w:szCs w:val="16"/>
          <w:lang w:val="es-CR"/>
        </w:rPr>
        <w:t>sector de Derechos Humanos de la Embajada de Brasil en San José;</w:t>
      </w:r>
      <w:r w:rsidRPr="00CD68BA">
        <w:rPr>
          <w:rFonts w:eastAsiaTheme="minorHAnsi" w:cs="Arial"/>
          <w:sz w:val="16"/>
          <w:szCs w:val="16"/>
          <w:lang w:val="es-CR"/>
        </w:rPr>
        <w:t xml:space="preserve"> Homero Andretta Junior</w:t>
      </w:r>
      <w:r w:rsidR="00BA054F" w:rsidRPr="00CD68BA">
        <w:rPr>
          <w:rFonts w:eastAsiaTheme="minorHAnsi" w:cs="Arial"/>
          <w:sz w:val="16"/>
          <w:szCs w:val="16"/>
          <w:lang w:val="es-CR"/>
        </w:rPr>
        <w:t>,</w:t>
      </w:r>
      <w:r w:rsidRPr="00CD68BA">
        <w:rPr>
          <w:rFonts w:eastAsiaTheme="minorHAnsi" w:cs="Arial"/>
          <w:sz w:val="16"/>
          <w:szCs w:val="16"/>
          <w:lang w:val="es-CR"/>
        </w:rPr>
        <w:t xml:space="preserve"> Tonny Teixeira de Lima,</w:t>
      </w:r>
      <w:r w:rsidRPr="00CD68BA">
        <w:rPr>
          <w:sz w:val="16"/>
          <w:szCs w:val="16"/>
          <w:lang w:val="es-CR"/>
        </w:rPr>
        <w:t xml:space="preserve"> </w:t>
      </w:r>
      <w:r w:rsidRPr="00CD68BA">
        <w:rPr>
          <w:rFonts w:eastAsiaTheme="minorHAnsi" w:cs="Arial"/>
          <w:sz w:val="16"/>
          <w:szCs w:val="16"/>
          <w:lang w:val="es-CR"/>
        </w:rPr>
        <w:t>Beatriz Figueiredo Campos da Nóbrega</w:t>
      </w:r>
      <w:r w:rsidRPr="00CD68BA">
        <w:rPr>
          <w:sz w:val="16"/>
          <w:szCs w:val="16"/>
          <w:lang w:val="es-CR"/>
        </w:rPr>
        <w:t xml:space="preserve">, </w:t>
      </w:r>
      <w:r w:rsidRPr="00CD68BA">
        <w:rPr>
          <w:rFonts w:eastAsiaTheme="minorHAnsi" w:cs="Arial"/>
          <w:sz w:val="16"/>
          <w:szCs w:val="16"/>
          <w:lang w:val="es-CR"/>
        </w:rPr>
        <w:t>Dickson Argenta de Souza</w:t>
      </w:r>
      <w:r w:rsidRPr="00CD68BA">
        <w:rPr>
          <w:sz w:val="16"/>
          <w:szCs w:val="16"/>
          <w:lang w:val="es-CR"/>
        </w:rPr>
        <w:t xml:space="preserve">, </w:t>
      </w:r>
      <w:r w:rsidRPr="00CD68BA">
        <w:rPr>
          <w:rFonts w:eastAsiaTheme="minorHAnsi" w:cs="Arial"/>
          <w:sz w:val="16"/>
          <w:szCs w:val="16"/>
          <w:lang w:val="es-CR"/>
        </w:rPr>
        <w:t>Taiz Marrão Batista da Costa</w:t>
      </w:r>
      <w:r w:rsidRPr="00CD68BA">
        <w:rPr>
          <w:sz w:val="16"/>
          <w:szCs w:val="16"/>
          <w:lang w:val="es-CR"/>
        </w:rPr>
        <w:t>,</w:t>
      </w:r>
      <w:r w:rsidR="00BA054F" w:rsidRPr="00CD68BA">
        <w:rPr>
          <w:sz w:val="16"/>
          <w:szCs w:val="16"/>
          <w:lang w:val="es-CR"/>
        </w:rPr>
        <w:t xml:space="preserve"> </w:t>
      </w:r>
      <w:r w:rsidR="003D25D4" w:rsidRPr="00CD68BA">
        <w:rPr>
          <w:sz w:val="16"/>
          <w:szCs w:val="16"/>
          <w:lang w:val="es-CR"/>
        </w:rPr>
        <w:t>A</w:t>
      </w:r>
      <w:r w:rsidR="00BA054F" w:rsidRPr="00CD68BA">
        <w:rPr>
          <w:sz w:val="16"/>
          <w:szCs w:val="16"/>
          <w:lang w:val="es-CR"/>
        </w:rPr>
        <w:t>bogados/as de la Unión;</w:t>
      </w:r>
      <w:r w:rsidRPr="00CD68BA">
        <w:rPr>
          <w:sz w:val="16"/>
          <w:szCs w:val="16"/>
          <w:lang w:val="es-CR"/>
        </w:rPr>
        <w:t xml:space="preserve"> </w:t>
      </w:r>
      <w:r w:rsidRPr="00CD68BA">
        <w:rPr>
          <w:rFonts w:eastAsiaTheme="minorHAnsi" w:cs="Arial"/>
          <w:sz w:val="16"/>
          <w:szCs w:val="16"/>
          <w:lang w:val="es-CR"/>
        </w:rPr>
        <w:t>Milton Nunes Toledo Junior</w:t>
      </w:r>
      <w:r w:rsidRPr="00CD68BA">
        <w:rPr>
          <w:sz w:val="16"/>
          <w:szCs w:val="16"/>
          <w:lang w:val="es-CR"/>
        </w:rPr>
        <w:t>,</w:t>
      </w:r>
      <w:r w:rsidR="00BA054F" w:rsidRPr="00CD68BA">
        <w:rPr>
          <w:sz w:val="16"/>
          <w:szCs w:val="16"/>
          <w:lang w:val="es-CR"/>
        </w:rPr>
        <w:t xml:space="preserve"> </w:t>
      </w:r>
      <w:r w:rsidR="003D25D4" w:rsidRPr="00CD68BA">
        <w:rPr>
          <w:sz w:val="16"/>
          <w:szCs w:val="16"/>
          <w:lang w:val="es-CR"/>
        </w:rPr>
        <w:t>J</w:t>
      </w:r>
      <w:r w:rsidR="00BA054F" w:rsidRPr="00CD68BA">
        <w:rPr>
          <w:sz w:val="16"/>
          <w:szCs w:val="16"/>
          <w:lang w:val="es-CR"/>
        </w:rPr>
        <w:t>efe de la Asesoría Especial de Asuntos Internacionales del Ministerio de la Mujer, de la Familia y de los Derechos Humanos (</w:t>
      </w:r>
      <w:r w:rsidR="00667DD5" w:rsidRPr="00CD68BA">
        <w:rPr>
          <w:sz w:val="16"/>
          <w:szCs w:val="16"/>
          <w:lang w:val="es-CR"/>
        </w:rPr>
        <w:t>en adelante “</w:t>
      </w:r>
      <w:r w:rsidR="00BA054F" w:rsidRPr="00CD68BA">
        <w:rPr>
          <w:sz w:val="16"/>
          <w:szCs w:val="16"/>
          <w:lang w:val="es-CR"/>
        </w:rPr>
        <w:t>MMFDH</w:t>
      </w:r>
      <w:r w:rsidR="00667DD5" w:rsidRPr="00CD68BA">
        <w:rPr>
          <w:sz w:val="16"/>
          <w:szCs w:val="16"/>
          <w:lang w:val="es-CR"/>
        </w:rPr>
        <w:t>”</w:t>
      </w:r>
      <w:r w:rsidR="00BA054F" w:rsidRPr="00CD68BA">
        <w:rPr>
          <w:sz w:val="16"/>
          <w:szCs w:val="16"/>
          <w:lang w:val="es-CR"/>
        </w:rPr>
        <w:t>)</w:t>
      </w:r>
      <w:r w:rsidR="00667DD5" w:rsidRPr="00CD68BA">
        <w:rPr>
          <w:sz w:val="16"/>
          <w:szCs w:val="16"/>
          <w:lang w:val="es-CR"/>
        </w:rPr>
        <w:t>;</w:t>
      </w:r>
      <w:r w:rsidRPr="00CD68BA">
        <w:rPr>
          <w:sz w:val="16"/>
          <w:szCs w:val="16"/>
          <w:lang w:val="es-CR"/>
        </w:rPr>
        <w:t xml:space="preserve"> </w:t>
      </w:r>
      <w:r w:rsidRPr="00CD68BA">
        <w:rPr>
          <w:rFonts w:eastAsiaTheme="minorHAnsi" w:cs="Arial"/>
          <w:sz w:val="16"/>
          <w:szCs w:val="16"/>
          <w:lang w:val="es-CR"/>
        </w:rPr>
        <w:t>Bruna Nowak</w:t>
      </w:r>
      <w:r w:rsidRPr="00CD68BA">
        <w:rPr>
          <w:sz w:val="16"/>
          <w:szCs w:val="16"/>
          <w:lang w:val="es-CR"/>
        </w:rPr>
        <w:t xml:space="preserve">, </w:t>
      </w:r>
      <w:r w:rsidR="003D25D4" w:rsidRPr="00CD68BA">
        <w:rPr>
          <w:sz w:val="16"/>
          <w:szCs w:val="16"/>
          <w:lang w:val="es-CR"/>
        </w:rPr>
        <w:t>C</w:t>
      </w:r>
      <w:r w:rsidR="00667DD5" w:rsidRPr="00CD68BA">
        <w:rPr>
          <w:sz w:val="16"/>
          <w:szCs w:val="16"/>
          <w:lang w:val="es-CR"/>
        </w:rPr>
        <w:t>oordinadora de Contenciosos Internacionales de Derechos Humanos de la Asesoría Especial de Asuntos Internacionales del MMFDH</w:t>
      </w:r>
      <w:r w:rsidR="00D448F0" w:rsidRPr="00CD68BA">
        <w:rPr>
          <w:sz w:val="16"/>
          <w:szCs w:val="16"/>
          <w:lang w:val="es-CR"/>
        </w:rPr>
        <w:t>, y</w:t>
      </w:r>
      <w:r w:rsidR="00667DD5" w:rsidRPr="00CD68BA">
        <w:rPr>
          <w:sz w:val="16"/>
          <w:szCs w:val="16"/>
          <w:lang w:val="es-CR"/>
        </w:rPr>
        <w:t xml:space="preserve"> </w:t>
      </w:r>
      <w:r w:rsidRPr="00CD68BA">
        <w:rPr>
          <w:rFonts w:eastAsiaTheme="minorHAnsi" w:cs="Arial"/>
          <w:sz w:val="16"/>
          <w:szCs w:val="16"/>
          <w:lang w:val="es-CR"/>
        </w:rPr>
        <w:t>João Pedro Ribeiro Sampaio de Arruda Câmara</w:t>
      </w:r>
      <w:r w:rsidR="00D448F0" w:rsidRPr="00CD68BA">
        <w:rPr>
          <w:rFonts w:eastAsiaTheme="minorHAnsi" w:cs="Arial"/>
          <w:sz w:val="16"/>
          <w:szCs w:val="16"/>
          <w:lang w:val="es-CR"/>
        </w:rPr>
        <w:t xml:space="preserve">, </w:t>
      </w:r>
      <w:r w:rsidR="003D25D4" w:rsidRPr="00CD68BA">
        <w:rPr>
          <w:rFonts w:eastAsiaTheme="minorHAnsi" w:cs="Arial"/>
          <w:sz w:val="16"/>
          <w:szCs w:val="16"/>
          <w:lang w:val="es-CR"/>
        </w:rPr>
        <w:t>D</w:t>
      </w:r>
      <w:r w:rsidR="00D448F0" w:rsidRPr="00CD68BA">
        <w:rPr>
          <w:rFonts w:eastAsiaTheme="minorHAnsi" w:cs="Arial"/>
          <w:sz w:val="16"/>
          <w:szCs w:val="16"/>
          <w:lang w:val="es-CR"/>
        </w:rPr>
        <w:t>irector de la Cámara de Conciliación Agraria del Instituto Nacional de Colonización y Reforma Agraria (INCRA)</w:t>
      </w:r>
      <w:r w:rsidR="002955C1" w:rsidRPr="00CD68BA">
        <w:rPr>
          <w:sz w:val="16"/>
          <w:szCs w:val="16"/>
          <w:lang w:val="es-CR"/>
        </w:rPr>
        <w:t>.</w:t>
      </w:r>
      <w:bookmarkEnd w:id="28"/>
    </w:p>
  </w:footnote>
  <w:footnote w:id="4">
    <w:p w14:paraId="47C44321" w14:textId="55841DD6" w:rsidR="007B4864" w:rsidRPr="00CD68BA" w:rsidRDefault="007B4864"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Los representantes de las presuntas víctimas son la Comisión Pastoral de la Tierra</w:t>
      </w:r>
      <w:r w:rsidR="002955C1" w:rsidRPr="00CD68BA">
        <w:rPr>
          <w:szCs w:val="16"/>
          <w:lang w:val="es-CR"/>
        </w:rPr>
        <w:t>,</w:t>
      </w:r>
      <w:r w:rsidRPr="00CD68BA">
        <w:rPr>
          <w:szCs w:val="16"/>
          <w:lang w:val="es-CR"/>
        </w:rPr>
        <w:t xml:space="preserve"> y el Centro por la Justicia y el Derecho Internacional.</w:t>
      </w:r>
      <w:r w:rsidRPr="00CD68BA">
        <w:rPr>
          <w:b/>
          <w:bCs/>
          <w:szCs w:val="16"/>
          <w:lang w:val="es-CR"/>
        </w:rPr>
        <w:t xml:space="preserve"> </w:t>
      </w:r>
    </w:p>
  </w:footnote>
  <w:footnote w:id="5">
    <w:p w14:paraId="4B57064C" w14:textId="77777777" w:rsidR="00682C13" w:rsidRPr="00CD68BA" w:rsidRDefault="00682C13" w:rsidP="00D12B21">
      <w:pPr>
        <w:pStyle w:val="Textonotapie"/>
        <w:spacing w:before="0" w:after="60"/>
        <w:rPr>
          <w:szCs w:val="16"/>
          <w:lang w:val="es-CR"/>
        </w:rPr>
      </w:pPr>
      <w:r w:rsidRPr="00CD68BA">
        <w:rPr>
          <w:rStyle w:val="Refdenotaalpie"/>
          <w:szCs w:val="16"/>
          <w:lang w:val="es-CR"/>
        </w:rPr>
        <w:footnoteRef/>
      </w:r>
      <w:r w:rsidRPr="009D33A1">
        <w:rPr>
          <w:szCs w:val="16"/>
          <w:lang w:val="pt-BR"/>
        </w:rPr>
        <w:t xml:space="preserve"> </w:t>
      </w:r>
      <w:r w:rsidRPr="009D33A1">
        <w:rPr>
          <w:szCs w:val="16"/>
          <w:lang w:val="pt-BR"/>
        </w:rPr>
        <w:tab/>
      </w:r>
      <w:r w:rsidRPr="009D33A1">
        <w:rPr>
          <w:i/>
          <w:szCs w:val="16"/>
          <w:lang w:val="pt-BR"/>
        </w:rPr>
        <w:t>Cfr.</w:t>
      </w:r>
      <w:r w:rsidRPr="009D33A1">
        <w:rPr>
          <w:szCs w:val="16"/>
          <w:lang w:val="pt-BR"/>
        </w:rPr>
        <w:t xml:space="preserve"> </w:t>
      </w:r>
      <w:r w:rsidRPr="009D33A1">
        <w:rPr>
          <w:i/>
          <w:iCs/>
          <w:szCs w:val="16"/>
          <w:lang w:val="pt-BR"/>
        </w:rPr>
        <w:t xml:space="preserve">Caso Sales Pimenta Vs. </w:t>
      </w:r>
      <w:r w:rsidRPr="00CD68BA">
        <w:rPr>
          <w:i/>
          <w:iCs/>
          <w:szCs w:val="16"/>
          <w:lang w:val="es-CR"/>
        </w:rPr>
        <w:t>Brasil. Convocatoria a audiencia</w:t>
      </w:r>
      <w:r w:rsidRPr="00CD68BA">
        <w:rPr>
          <w:szCs w:val="16"/>
          <w:lang w:val="es-CR"/>
        </w:rPr>
        <w:t>. Resolución del Presidente de la Corte Interamericana de Derechos Humanos de 17 de febrero de 2022</w:t>
      </w:r>
      <w:r w:rsidRPr="00CD68BA">
        <w:rPr>
          <w:rFonts w:cs="Open Sans"/>
          <w:szCs w:val="16"/>
          <w:shd w:val="clear" w:color="auto" w:fill="FFFFFF"/>
          <w:lang w:val="es-CR"/>
        </w:rPr>
        <w:t>.</w:t>
      </w:r>
      <w:r w:rsidRPr="00CD68BA">
        <w:rPr>
          <w:rFonts w:cs="Arial"/>
          <w:szCs w:val="16"/>
          <w:shd w:val="clear" w:color="auto" w:fill="FFFFFF"/>
          <w:lang w:val="es-CR"/>
        </w:rPr>
        <w:t xml:space="preserve"> </w:t>
      </w:r>
      <w:r w:rsidRPr="00CD68BA">
        <w:rPr>
          <w:szCs w:val="16"/>
          <w:lang w:val="es-CR"/>
        </w:rPr>
        <w:t xml:space="preserve">Disponible en: </w:t>
      </w:r>
      <w:hyperlink r:id="rId1" w:history="1">
        <w:r w:rsidRPr="00CD68BA">
          <w:rPr>
            <w:rStyle w:val="Hipervnculo"/>
            <w:color w:val="auto"/>
            <w:szCs w:val="16"/>
            <w:lang w:val="es-CR"/>
          </w:rPr>
          <w:t>https://www.corteidh.or.cr/docs/asuntos/sales_pimenta_17_02_22_spa.pdf</w:t>
        </w:r>
      </w:hyperlink>
      <w:r w:rsidRPr="00CD68BA">
        <w:rPr>
          <w:szCs w:val="16"/>
          <w:lang w:val="es-CR"/>
        </w:rPr>
        <w:t xml:space="preserve">. </w:t>
      </w:r>
    </w:p>
  </w:footnote>
  <w:footnote w:id="6">
    <w:p w14:paraId="649967B3" w14:textId="7B94833E" w:rsidR="00682C13" w:rsidRPr="00CD68BA" w:rsidRDefault="00682C13" w:rsidP="00D12B21">
      <w:pPr>
        <w:pStyle w:val="Textonotapie"/>
        <w:spacing w:before="0" w:after="60"/>
        <w:rPr>
          <w:rFonts w:cs="Verdana"/>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A la audiencia comparecieron: a) por la Comisión: Julissa Mantilla Falcón, Presidenta; Marisol Blanchard,</w:t>
      </w:r>
      <w:r w:rsidR="00A55BEC" w:rsidRPr="00CD68BA">
        <w:rPr>
          <w:szCs w:val="16"/>
          <w:lang w:val="es-CR"/>
        </w:rPr>
        <w:t xml:space="preserve"> entonces</w:t>
      </w:r>
      <w:r w:rsidRPr="00CD68BA">
        <w:rPr>
          <w:szCs w:val="16"/>
          <w:lang w:val="es-CR"/>
        </w:rPr>
        <w:t xml:space="preserve"> Secretaria Ejecutiva </w:t>
      </w:r>
      <w:r w:rsidR="00E4083F" w:rsidRPr="00CD68BA">
        <w:rPr>
          <w:szCs w:val="16"/>
          <w:lang w:val="es-CR"/>
        </w:rPr>
        <w:t>A</w:t>
      </w:r>
      <w:r w:rsidRPr="00CD68BA">
        <w:rPr>
          <w:szCs w:val="16"/>
          <w:lang w:val="es-CR"/>
        </w:rPr>
        <w:t>djunta; Jorge Meza Flores,</w:t>
      </w:r>
      <w:r w:rsidR="00A55BEC" w:rsidRPr="00CD68BA">
        <w:rPr>
          <w:szCs w:val="16"/>
          <w:lang w:val="es-CR"/>
        </w:rPr>
        <w:t xml:space="preserve"> actual Secretario Ejecutivo Adjunto,</w:t>
      </w:r>
      <w:r w:rsidRPr="00CD68BA">
        <w:rPr>
          <w:szCs w:val="16"/>
          <w:lang w:val="es-CR"/>
        </w:rPr>
        <w:t xml:space="preserve"> y Analía Banfi Vique, </w:t>
      </w:r>
      <w:r w:rsidR="00A55BEC" w:rsidRPr="00CD68BA">
        <w:rPr>
          <w:szCs w:val="16"/>
          <w:lang w:val="es-CR"/>
        </w:rPr>
        <w:t>a</w:t>
      </w:r>
      <w:r w:rsidRPr="00CD68BA">
        <w:rPr>
          <w:szCs w:val="16"/>
          <w:lang w:val="es-CR"/>
        </w:rPr>
        <w:t>sesor</w:t>
      </w:r>
      <w:r w:rsidR="00A55BEC" w:rsidRPr="00CD68BA">
        <w:rPr>
          <w:szCs w:val="16"/>
          <w:lang w:val="es-CR"/>
        </w:rPr>
        <w:t>a</w:t>
      </w:r>
      <w:r w:rsidRPr="00CD68BA">
        <w:rPr>
          <w:szCs w:val="16"/>
          <w:lang w:val="es-CR"/>
        </w:rPr>
        <w:t>;</w:t>
      </w:r>
      <w:r w:rsidRPr="00CD68BA">
        <w:rPr>
          <w:rFonts w:cs="Calibri-Bold"/>
          <w:bCs/>
          <w:szCs w:val="16"/>
          <w:lang w:val="es-CR"/>
        </w:rPr>
        <w:t xml:space="preserve"> b) por los representantes: Andréia Aparecida Silvério dos Santos </w:t>
      </w:r>
      <w:r w:rsidRPr="00CD68BA">
        <w:rPr>
          <w:szCs w:val="16"/>
          <w:lang w:val="es-CR"/>
        </w:rPr>
        <w:t>y</w:t>
      </w:r>
      <w:r w:rsidRPr="00CD68BA">
        <w:rPr>
          <w:rFonts w:cs="Calibri-Bold"/>
          <w:bCs/>
          <w:szCs w:val="16"/>
          <w:lang w:val="es-CR"/>
        </w:rPr>
        <w:t xml:space="preserve"> José Batista Gonçalves Afonso</w:t>
      </w:r>
      <w:r w:rsidR="00E4083F" w:rsidRPr="00CD68BA">
        <w:rPr>
          <w:rFonts w:cs="Calibri-Bold"/>
          <w:bCs/>
          <w:szCs w:val="16"/>
          <w:lang w:val="es-CR"/>
        </w:rPr>
        <w:t xml:space="preserve">, de la </w:t>
      </w:r>
      <w:r w:rsidR="00E4083F" w:rsidRPr="00CD68BA">
        <w:rPr>
          <w:szCs w:val="16"/>
          <w:lang w:val="es-CR"/>
        </w:rPr>
        <w:t>Comisión Pastoral de la Tierra</w:t>
      </w:r>
      <w:r w:rsidRPr="00CD68BA">
        <w:rPr>
          <w:rFonts w:cs="Calibri-Bold"/>
          <w:bCs/>
          <w:szCs w:val="16"/>
          <w:lang w:val="es-CR"/>
        </w:rPr>
        <w:t>,</w:t>
      </w:r>
      <w:r w:rsidR="00E4083F" w:rsidRPr="00CD68BA">
        <w:rPr>
          <w:rFonts w:cs="Calibri-Bold"/>
          <w:bCs/>
          <w:szCs w:val="16"/>
          <w:lang w:val="es-CR"/>
        </w:rPr>
        <w:t xml:space="preserve"> y</w:t>
      </w:r>
      <w:r w:rsidRPr="00CD68BA">
        <w:rPr>
          <w:rFonts w:cs="Calibri-Bold"/>
          <w:bCs/>
          <w:szCs w:val="16"/>
          <w:lang w:val="es-CR"/>
        </w:rPr>
        <w:t xml:space="preserve"> Viviana Kristicevic, Gisela de León, Helena Rocha y Lucas Arnaud, d</w:t>
      </w:r>
      <w:r w:rsidRPr="00CD68BA">
        <w:rPr>
          <w:szCs w:val="16"/>
          <w:lang w:val="es-CR"/>
        </w:rPr>
        <w:t>el Centro por la Justicia y el Derecho Internacional,</w:t>
      </w:r>
      <w:r w:rsidRPr="00CD68BA">
        <w:rPr>
          <w:rFonts w:cs="Verdana"/>
          <w:szCs w:val="16"/>
          <w:lang w:val="es-CR"/>
        </w:rPr>
        <w:t xml:space="preserve"> y c) por el Estado: Antônio Francisco Da Costa e Silva Neto, Embajador de Brasil en Costa Rica y Jefe de la delegación; João Lucas Quental Novaes de Almeida, Director del Departamento de Derechos Humanos y Ciudadanía</w:t>
      </w:r>
      <w:r w:rsidR="003D25D4" w:rsidRPr="00CD68BA">
        <w:rPr>
          <w:rFonts w:cs="Verdana"/>
          <w:szCs w:val="16"/>
          <w:lang w:val="es-CR"/>
        </w:rPr>
        <w:t xml:space="preserve"> del MRE</w:t>
      </w:r>
      <w:r w:rsidRPr="00CD68BA">
        <w:rPr>
          <w:rFonts w:cs="Verdana"/>
          <w:szCs w:val="16"/>
          <w:lang w:val="es-CR"/>
        </w:rPr>
        <w:t>; José Armando Zema de Resende, Ministro de la Embajada de Brasil en S</w:t>
      </w:r>
      <w:r w:rsidR="008946D7" w:rsidRPr="00CD68BA">
        <w:rPr>
          <w:rFonts w:cs="Verdana"/>
          <w:szCs w:val="16"/>
          <w:lang w:val="es-CR"/>
        </w:rPr>
        <w:t>an</w:t>
      </w:r>
      <w:r w:rsidRPr="00CD68BA">
        <w:rPr>
          <w:rFonts w:cs="Verdana"/>
          <w:szCs w:val="16"/>
          <w:lang w:val="es-CR"/>
        </w:rPr>
        <w:t xml:space="preserve"> José; Bruna Vieira de Paula, Jef</w:t>
      </w:r>
      <w:r w:rsidR="003D25D4" w:rsidRPr="00CD68BA">
        <w:rPr>
          <w:rFonts w:cs="Verdana"/>
          <w:szCs w:val="16"/>
          <w:lang w:val="es-CR"/>
        </w:rPr>
        <w:t>a</w:t>
      </w:r>
      <w:r w:rsidRPr="00CD68BA">
        <w:rPr>
          <w:rFonts w:cs="Verdana"/>
          <w:szCs w:val="16"/>
          <w:lang w:val="es-CR"/>
        </w:rPr>
        <w:t xml:space="preserve"> de la División de Derechos Humanos del</w:t>
      </w:r>
      <w:r w:rsidR="003D25D4" w:rsidRPr="00CD68BA">
        <w:rPr>
          <w:rFonts w:cs="Verdana"/>
          <w:szCs w:val="16"/>
          <w:lang w:val="es-CR"/>
        </w:rPr>
        <w:t xml:space="preserve"> MRE</w:t>
      </w:r>
      <w:r w:rsidRPr="00CD68BA">
        <w:rPr>
          <w:rFonts w:cs="Verdana"/>
          <w:szCs w:val="16"/>
          <w:lang w:val="es-CR"/>
        </w:rPr>
        <w:t>; Débora Antônia Lobato Cândido, Asesora de la División de Derechos Humanos</w:t>
      </w:r>
      <w:r w:rsidR="00FF7482" w:rsidRPr="00CD68BA">
        <w:rPr>
          <w:rFonts w:cs="Verdana"/>
          <w:szCs w:val="16"/>
          <w:lang w:val="es-CR"/>
        </w:rPr>
        <w:t xml:space="preserve"> del MRE</w:t>
      </w:r>
      <w:r w:rsidRPr="00CD68BA">
        <w:rPr>
          <w:rFonts w:cs="Verdana"/>
          <w:szCs w:val="16"/>
          <w:lang w:val="es-CR"/>
        </w:rPr>
        <w:t>; Lucas dos Santos Furquim Ribeiro, Secretario de la Embajada de Brasil en S</w:t>
      </w:r>
      <w:r w:rsidR="008946D7" w:rsidRPr="00CD68BA">
        <w:rPr>
          <w:rFonts w:cs="Verdana"/>
          <w:szCs w:val="16"/>
          <w:lang w:val="es-CR"/>
        </w:rPr>
        <w:t>an</w:t>
      </w:r>
      <w:r w:rsidRPr="00CD68BA">
        <w:rPr>
          <w:rFonts w:cs="Verdana"/>
          <w:szCs w:val="16"/>
          <w:lang w:val="es-CR"/>
        </w:rPr>
        <w:t xml:space="preserve"> José; Viviane Ruffeil Teixeira Pereira, Procuradora del </w:t>
      </w:r>
      <w:r w:rsidR="008946D7" w:rsidRPr="00CD68BA">
        <w:rPr>
          <w:rFonts w:cs="Verdana"/>
          <w:szCs w:val="16"/>
          <w:lang w:val="es-CR"/>
        </w:rPr>
        <w:t>e</w:t>
      </w:r>
      <w:r w:rsidRPr="00CD68BA">
        <w:rPr>
          <w:rFonts w:cs="Verdana"/>
          <w:szCs w:val="16"/>
          <w:lang w:val="es-CR"/>
        </w:rPr>
        <w:t>stado de Pará; Tonny Teixeira de Lima</w:t>
      </w:r>
      <w:r w:rsidR="008946D7" w:rsidRPr="00CD68BA">
        <w:rPr>
          <w:rFonts w:cs="Verdana"/>
          <w:szCs w:val="16"/>
          <w:lang w:val="es-CR"/>
        </w:rPr>
        <w:t xml:space="preserve"> y </w:t>
      </w:r>
      <w:r w:rsidRPr="00CD68BA">
        <w:rPr>
          <w:rFonts w:cs="Verdana"/>
          <w:szCs w:val="16"/>
          <w:lang w:val="es-CR"/>
        </w:rPr>
        <w:t>Taiz Marrão Batista da Costa, Abogado</w:t>
      </w:r>
      <w:r w:rsidR="008946D7" w:rsidRPr="00CD68BA">
        <w:rPr>
          <w:rFonts w:cs="Verdana"/>
          <w:szCs w:val="16"/>
          <w:lang w:val="es-CR"/>
        </w:rPr>
        <w:t>s</w:t>
      </w:r>
      <w:r w:rsidRPr="00CD68BA">
        <w:rPr>
          <w:rFonts w:cs="Verdana"/>
          <w:szCs w:val="16"/>
          <w:lang w:val="es-CR"/>
        </w:rPr>
        <w:t xml:space="preserve"> de la Unión; Milton Nunes Toledo Junior, Jefe de la Asesoría Especial de Asuntos Internacionales del Ministerio de la Mujer, la Familia y los Derechos Humanos (MMFDH); Tatiana Leite Lopes Romani, Asesora de la Asesoría Especial de Asuntos Internacionales del MMFDH; Bruna Nowak, Coordinadora de Contenciosos Internacionales de Derechos Humanos de la Asesoría Especial de Asuntos Internacionales de MMFDH; Aline Albuquerque Sant</w:t>
      </w:r>
      <w:r w:rsidR="008946D7" w:rsidRPr="00CD68BA">
        <w:rPr>
          <w:rFonts w:cs="Verdana"/>
          <w:szCs w:val="16"/>
          <w:lang w:val="es-CR"/>
        </w:rPr>
        <w:t xml:space="preserve">’ </w:t>
      </w:r>
      <w:r w:rsidRPr="00CD68BA">
        <w:rPr>
          <w:rFonts w:cs="Verdana"/>
          <w:szCs w:val="16"/>
          <w:lang w:val="es-CR"/>
        </w:rPr>
        <w:t>Anna de Oliveira, Coordinadora de Asuntos Internacionales de la Consultoría Jurídica del MMFDH, y João Pedro Ribeiro Sampaio de Arruda, Director de la Cámara de Conciliación Agraria del Instituto Nacional de Colonización y Reforma Agraria (INCRA).</w:t>
      </w:r>
    </w:p>
  </w:footnote>
  <w:footnote w:id="7">
    <w:p w14:paraId="6C2C32EA" w14:textId="6824A056" w:rsidR="00682C13" w:rsidRPr="00CD68BA" w:rsidRDefault="00682C13" w:rsidP="00D12B21">
      <w:pPr>
        <w:pStyle w:val="Textonotapie"/>
        <w:spacing w:before="0" w:after="60"/>
        <w:rPr>
          <w:szCs w:val="16"/>
          <w:lang w:val="es-CR"/>
        </w:rPr>
      </w:pPr>
      <w:r w:rsidRPr="00CD68BA">
        <w:rPr>
          <w:rStyle w:val="Refdenotaalpie"/>
          <w:szCs w:val="16"/>
          <w:lang w:val="es-CR"/>
        </w:rPr>
        <w:footnoteRef/>
      </w:r>
      <w:r w:rsidRPr="003C2C9B">
        <w:rPr>
          <w:szCs w:val="16"/>
          <w:lang w:val="pt-BR"/>
        </w:rPr>
        <w:t xml:space="preserve"> </w:t>
      </w:r>
      <w:r w:rsidRPr="003C2C9B">
        <w:rPr>
          <w:szCs w:val="16"/>
          <w:lang w:val="pt-BR"/>
        </w:rPr>
        <w:tab/>
        <w:t xml:space="preserve">El escrito fue firmado por Siddharta Legale, Thainá Mamede, Bruno Stigert, Carolina Cyrillo, Danilo Sardinha, Giovanna Barbastefano, Isadora Merli, Vanessa Guimarães dos Santos, Thiago Castro, Júlia Oliveira Pessôa, Maria Eduarda Gualberto Vieira, Letícia Gabriella Costa Corrêa, </w:t>
      </w:r>
      <w:r w:rsidR="00323293" w:rsidRPr="003C2C9B">
        <w:rPr>
          <w:szCs w:val="16"/>
          <w:lang w:val="pt-BR"/>
        </w:rPr>
        <w:t xml:space="preserve">Gabriel Angelo Costa Corrêa, </w:t>
      </w:r>
      <w:r w:rsidRPr="003C2C9B">
        <w:rPr>
          <w:szCs w:val="16"/>
          <w:lang w:val="pt-BR"/>
        </w:rPr>
        <w:t xml:space="preserve">Gabrielley Custodia Alves Mascarenhas, Iris Campos Nogueira, Rebecca Ferreira Arbex, Nina Morena Teixeira Pacheco, y Yuri Ernandes Rodrigues de Carvalho. </w:t>
      </w:r>
      <w:r w:rsidRPr="00CD68BA">
        <w:rPr>
          <w:szCs w:val="16"/>
          <w:lang w:val="es-CR"/>
        </w:rPr>
        <w:t xml:space="preserve">El escrito describe presupuestos teóricos </w:t>
      </w:r>
      <w:r w:rsidR="005A6AA4" w:rsidRPr="00CD68BA">
        <w:rPr>
          <w:szCs w:val="16"/>
          <w:lang w:val="es-CR"/>
        </w:rPr>
        <w:t xml:space="preserve">sobre </w:t>
      </w:r>
      <w:r w:rsidRPr="00CD68BA">
        <w:rPr>
          <w:szCs w:val="16"/>
          <w:lang w:val="es-CR"/>
        </w:rPr>
        <w:t xml:space="preserve">la Convención Americana como </w:t>
      </w:r>
      <w:r w:rsidR="005A6AA4" w:rsidRPr="00CD68BA">
        <w:rPr>
          <w:szCs w:val="16"/>
          <w:lang w:val="es-CR"/>
        </w:rPr>
        <w:t>una</w:t>
      </w:r>
      <w:r w:rsidRPr="00CD68BA">
        <w:rPr>
          <w:szCs w:val="16"/>
          <w:lang w:val="es-CR"/>
        </w:rPr>
        <w:t xml:space="preserve"> “Constitución Interamericana”, la Corte Interamericana como </w:t>
      </w:r>
      <w:r w:rsidR="005A6AA4" w:rsidRPr="00CD68BA">
        <w:rPr>
          <w:szCs w:val="16"/>
          <w:lang w:val="es-CR"/>
        </w:rPr>
        <w:t xml:space="preserve">un </w:t>
      </w:r>
      <w:r w:rsidRPr="00CD68BA">
        <w:rPr>
          <w:szCs w:val="16"/>
          <w:lang w:val="es-CR"/>
        </w:rPr>
        <w:t>“Tribunal Constitucional Transnacional”, y sobre la “libertad sindical interamericana”</w:t>
      </w:r>
      <w:r w:rsidR="00CB3674" w:rsidRPr="00CD68BA">
        <w:rPr>
          <w:szCs w:val="16"/>
          <w:lang w:val="es-CR"/>
        </w:rPr>
        <w:t>. Asimismo, describe</w:t>
      </w:r>
      <w:r w:rsidRPr="00CD68BA">
        <w:rPr>
          <w:szCs w:val="16"/>
          <w:lang w:val="es-CR"/>
        </w:rPr>
        <w:t xml:space="preserve"> </w:t>
      </w:r>
      <w:r w:rsidR="00CB3674" w:rsidRPr="00CD68BA">
        <w:rPr>
          <w:szCs w:val="16"/>
          <w:lang w:val="es-CR"/>
        </w:rPr>
        <w:t>las</w:t>
      </w:r>
      <w:r w:rsidRPr="00CD68BA">
        <w:rPr>
          <w:szCs w:val="16"/>
          <w:lang w:val="es-CR"/>
        </w:rPr>
        <w:t xml:space="preserve"> alegadas aplicaciones prácticas sobre el acceso a la justicia, el Programa de Protección de Defensores de Derechos Humanos, la “función social de la propiedad y la necesidad de</w:t>
      </w:r>
      <w:r w:rsidR="00CB3674" w:rsidRPr="00CD68BA">
        <w:rPr>
          <w:szCs w:val="16"/>
          <w:lang w:val="es-CR"/>
        </w:rPr>
        <w:t xml:space="preserve"> que la Corte</w:t>
      </w:r>
      <w:r w:rsidRPr="00CD68BA">
        <w:rPr>
          <w:szCs w:val="16"/>
          <w:lang w:val="es-CR"/>
        </w:rPr>
        <w:t xml:space="preserve"> ampli</w:t>
      </w:r>
      <w:r w:rsidR="00CB3674" w:rsidRPr="00CD68BA">
        <w:rPr>
          <w:szCs w:val="16"/>
          <w:lang w:val="es-CR"/>
        </w:rPr>
        <w:t>e</w:t>
      </w:r>
      <w:r w:rsidRPr="00CD68BA">
        <w:rPr>
          <w:szCs w:val="16"/>
          <w:lang w:val="es-CR"/>
        </w:rPr>
        <w:t xml:space="preserve"> e</w:t>
      </w:r>
      <w:r w:rsidR="00CB3674" w:rsidRPr="00CD68BA">
        <w:rPr>
          <w:szCs w:val="16"/>
          <w:lang w:val="es-CR"/>
        </w:rPr>
        <w:t>l</w:t>
      </w:r>
      <w:r w:rsidRPr="00CD68BA">
        <w:rPr>
          <w:szCs w:val="16"/>
          <w:lang w:val="es-CR"/>
        </w:rPr>
        <w:t xml:space="preserve"> debate respecto del artículo 21 de la Convención”, y el alegado deber de reparación </w:t>
      </w:r>
      <w:r w:rsidR="00CB3674" w:rsidRPr="00CD68BA">
        <w:rPr>
          <w:szCs w:val="16"/>
          <w:lang w:val="es-CR"/>
        </w:rPr>
        <w:t>de</w:t>
      </w:r>
      <w:r w:rsidRPr="00CD68BA">
        <w:rPr>
          <w:szCs w:val="16"/>
          <w:lang w:val="es-CR"/>
        </w:rPr>
        <w:t xml:space="preserve"> las presuntas víctimas. </w:t>
      </w:r>
    </w:p>
  </w:footnote>
  <w:footnote w:id="8">
    <w:p w14:paraId="76AA22A1" w14:textId="030DEA4C" w:rsidR="00682C13" w:rsidRPr="00CD68BA" w:rsidRDefault="00682C13" w:rsidP="00D12B21">
      <w:pPr>
        <w:pStyle w:val="Textonotapie"/>
        <w:spacing w:before="0" w:after="60"/>
        <w:rPr>
          <w:b/>
          <w:bCs/>
          <w:szCs w:val="16"/>
          <w:lang w:val="es-CR"/>
        </w:rPr>
      </w:pPr>
      <w:r w:rsidRPr="00CD68BA">
        <w:rPr>
          <w:rStyle w:val="Refdenotaalpie"/>
          <w:szCs w:val="16"/>
          <w:lang w:val="es-CR"/>
        </w:rPr>
        <w:footnoteRef/>
      </w:r>
      <w:r w:rsidRPr="003C2C9B">
        <w:rPr>
          <w:szCs w:val="16"/>
          <w:lang w:val="pt-BR"/>
        </w:rPr>
        <w:t xml:space="preserve"> </w:t>
      </w:r>
      <w:r w:rsidRPr="003C2C9B">
        <w:rPr>
          <w:szCs w:val="16"/>
          <w:lang w:val="pt-BR"/>
        </w:rPr>
        <w:tab/>
        <w:t xml:space="preserve">El escrito fue firmado por </w:t>
      </w:r>
      <w:r w:rsidRPr="003C2C9B">
        <w:rPr>
          <w:rFonts w:eastAsiaTheme="minorHAnsi"/>
          <w:szCs w:val="16"/>
          <w:lang w:val="pt-BR"/>
        </w:rPr>
        <w:t xml:space="preserve">Andreia Macedo Barreto, Anna Izabel e Silva Santos, Bia Albuquerque Tiradentes, Carlos Eduardo Barros da Silva, Edgar Moreira Alamar, Guilherme Israel Kochi Silva, Juliana Andrea Oliveira, Kassandra Campos Pinto Lopes Gomes, Vladimir Augusto de Carvalho Lobo e Avelino Koenig, </w:t>
      </w:r>
      <w:r w:rsidR="00B72D28" w:rsidRPr="003C2C9B">
        <w:rPr>
          <w:rFonts w:eastAsiaTheme="minorHAnsi"/>
          <w:szCs w:val="16"/>
          <w:lang w:val="pt-BR"/>
        </w:rPr>
        <w:t xml:space="preserve">Cristina Figueiredo Terezo Ribeiro, </w:t>
      </w:r>
      <w:r w:rsidRPr="003C2C9B">
        <w:rPr>
          <w:rFonts w:eastAsiaTheme="minorHAnsi"/>
          <w:szCs w:val="16"/>
          <w:lang w:val="pt-BR"/>
        </w:rPr>
        <w:t xml:space="preserve">Amanda Pereira Reis, Daniela Bastos da Silva, y Sarah Morhy Pereira. </w:t>
      </w:r>
      <w:r w:rsidRPr="00CD68BA">
        <w:rPr>
          <w:rFonts w:eastAsiaTheme="minorHAnsi"/>
          <w:szCs w:val="16"/>
          <w:lang w:val="es-CR"/>
        </w:rPr>
        <w:t>El escrito describe los alegados conflictos de tierra en el estado de Pará</w:t>
      </w:r>
      <w:r w:rsidR="00B72D28" w:rsidRPr="00CD68BA">
        <w:rPr>
          <w:rFonts w:eastAsiaTheme="minorHAnsi"/>
          <w:szCs w:val="16"/>
          <w:lang w:val="es-CR"/>
        </w:rPr>
        <w:t xml:space="preserve"> y</w:t>
      </w:r>
      <w:r w:rsidRPr="00CD68BA">
        <w:rPr>
          <w:rFonts w:eastAsiaTheme="minorHAnsi"/>
          <w:szCs w:val="16"/>
          <w:lang w:val="es-CR"/>
        </w:rPr>
        <w:t xml:space="preserve"> las acciones realizadas que tendrían un impacto negativo en tal estado, </w:t>
      </w:r>
      <w:r w:rsidR="00B72D28" w:rsidRPr="00CD68BA">
        <w:rPr>
          <w:rFonts w:eastAsiaTheme="minorHAnsi"/>
          <w:szCs w:val="16"/>
          <w:lang w:val="es-CR"/>
        </w:rPr>
        <w:t xml:space="preserve">así como </w:t>
      </w:r>
      <w:r w:rsidRPr="00CD68BA">
        <w:rPr>
          <w:rFonts w:eastAsiaTheme="minorHAnsi"/>
          <w:szCs w:val="16"/>
          <w:lang w:val="es-CR"/>
        </w:rPr>
        <w:t>la alegada vulnerabilidad de las personas defensoras de derechos humanos, y la “posibilidad” que tendría la Corte Interamericana de “avanzar” en la protección de los derechos de</w:t>
      </w:r>
      <w:r w:rsidR="00B72D28" w:rsidRPr="00CD68BA">
        <w:rPr>
          <w:rFonts w:eastAsiaTheme="minorHAnsi"/>
          <w:szCs w:val="16"/>
          <w:lang w:val="es-CR"/>
        </w:rPr>
        <w:t xml:space="preserve"> los</w:t>
      </w:r>
      <w:r w:rsidRPr="00CD68BA">
        <w:rPr>
          <w:rFonts w:eastAsiaTheme="minorHAnsi"/>
          <w:szCs w:val="16"/>
          <w:lang w:val="es-CR"/>
        </w:rPr>
        <w:t xml:space="preserve"> territorios indígenas. </w:t>
      </w:r>
    </w:p>
  </w:footnote>
  <w:footnote w:id="9">
    <w:p w14:paraId="77FF82C8" w14:textId="6E2E49B5" w:rsidR="00682C13" w:rsidRPr="00CD68BA" w:rsidRDefault="00682C13"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El escrito fue firmado por </w:t>
      </w:r>
      <w:r w:rsidRPr="00CD68BA">
        <w:rPr>
          <w:rFonts w:eastAsiaTheme="minorHAnsi"/>
          <w:szCs w:val="16"/>
          <w:lang w:val="es-CR"/>
        </w:rPr>
        <w:t>José Alberto Ribeiro Simonetti Cabral</w:t>
      </w:r>
      <w:r w:rsidRPr="00CD68BA">
        <w:rPr>
          <w:szCs w:val="16"/>
          <w:lang w:val="es-CR"/>
        </w:rPr>
        <w:t xml:space="preserve">, </w:t>
      </w:r>
      <w:r w:rsidRPr="00CD68BA">
        <w:rPr>
          <w:rFonts w:eastAsiaTheme="minorHAnsi"/>
          <w:szCs w:val="16"/>
          <w:lang w:val="es-CR"/>
        </w:rPr>
        <w:t>Sílvia Virgínia Silva de Souza</w:t>
      </w:r>
      <w:r w:rsidRPr="00CD68BA">
        <w:rPr>
          <w:szCs w:val="16"/>
          <w:lang w:val="es-CR"/>
        </w:rPr>
        <w:t xml:space="preserve">, </w:t>
      </w:r>
      <w:r w:rsidRPr="00CD68BA">
        <w:rPr>
          <w:rFonts w:eastAsiaTheme="minorHAnsi"/>
          <w:szCs w:val="16"/>
          <w:lang w:val="es-CR"/>
        </w:rPr>
        <w:t>Melina Girardi Fachin</w:t>
      </w:r>
      <w:r w:rsidRPr="00CD68BA">
        <w:rPr>
          <w:szCs w:val="16"/>
          <w:lang w:val="es-CR"/>
        </w:rPr>
        <w:t xml:space="preserve">, </w:t>
      </w:r>
      <w:r w:rsidRPr="00CD68BA">
        <w:rPr>
          <w:rFonts w:eastAsiaTheme="minorHAnsi"/>
          <w:szCs w:val="16"/>
          <w:lang w:val="es-CR"/>
        </w:rPr>
        <w:t>Cristina Paiva</w:t>
      </w:r>
      <w:r w:rsidRPr="00CD68BA">
        <w:rPr>
          <w:szCs w:val="16"/>
          <w:lang w:val="es-CR"/>
        </w:rPr>
        <w:t>,</w:t>
      </w:r>
      <w:r w:rsidRPr="00CD68BA">
        <w:rPr>
          <w:rFonts w:eastAsiaTheme="minorHAnsi"/>
          <w:szCs w:val="16"/>
          <w:lang w:val="es-CR"/>
        </w:rPr>
        <w:t xml:space="preserve"> José Maria Vieira</w:t>
      </w:r>
      <w:r w:rsidRPr="00CD68BA">
        <w:rPr>
          <w:szCs w:val="16"/>
          <w:lang w:val="es-CR"/>
        </w:rPr>
        <w:t xml:space="preserve">, </w:t>
      </w:r>
      <w:r w:rsidRPr="00CD68BA">
        <w:rPr>
          <w:rFonts w:eastAsiaTheme="minorHAnsi"/>
          <w:szCs w:val="16"/>
          <w:lang w:val="es-CR"/>
        </w:rPr>
        <w:t>Álvaro Quintão, Anderson Ferreira, y Caupolican Padilha Junior.</w:t>
      </w:r>
      <w:r w:rsidRPr="00CD68BA">
        <w:rPr>
          <w:szCs w:val="16"/>
          <w:lang w:val="es-CR"/>
        </w:rPr>
        <w:t xml:space="preserve"> El escrito describe la alegada situación jurídica de las personas defensoras de derechos humanos, y las alegadas obligaciones estatales y derechos relativos a la materia, de conformidad con determinados estándares, así como medidas provision</w:t>
      </w:r>
      <w:r w:rsidR="00433EE2" w:rsidRPr="00CD68BA">
        <w:rPr>
          <w:szCs w:val="16"/>
          <w:lang w:val="es-CR"/>
        </w:rPr>
        <w:t>al</w:t>
      </w:r>
      <w:r w:rsidRPr="00CD68BA">
        <w:rPr>
          <w:szCs w:val="16"/>
          <w:lang w:val="es-CR"/>
        </w:rPr>
        <w:t>es y de reparación</w:t>
      </w:r>
      <w:r w:rsidR="00433EE2" w:rsidRPr="00CD68BA">
        <w:rPr>
          <w:szCs w:val="16"/>
          <w:lang w:val="es-CR"/>
        </w:rPr>
        <w:t xml:space="preserve"> de referencia</w:t>
      </w:r>
      <w:r w:rsidRPr="00CD68BA">
        <w:rPr>
          <w:szCs w:val="16"/>
          <w:lang w:val="es-CR"/>
        </w:rPr>
        <w:t>.</w:t>
      </w:r>
    </w:p>
  </w:footnote>
  <w:footnote w:id="10">
    <w:p w14:paraId="20491C15" w14:textId="0E4B4E6A" w:rsidR="00682C13" w:rsidRPr="00CD68BA" w:rsidRDefault="00682C13"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El escrito fue firmado por </w:t>
      </w:r>
      <w:r w:rsidRPr="00CD68BA">
        <w:rPr>
          <w:rFonts w:eastAsiaTheme="minorHAnsi" w:cs="*Arial-5715-Identity-H"/>
          <w:szCs w:val="16"/>
          <w:lang w:val="es-CR"/>
        </w:rPr>
        <w:t xml:space="preserve">Sérgio Rodrigues Leonardo, </w:t>
      </w:r>
      <w:r w:rsidRPr="00CD68BA">
        <w:rPr>
          <w:rFonts w:eastAsiaTheme="minorHAnsi" w:cs="Arial"/>
          <w:szCs w:val="16"/>
          <w:lang w:val="es-CR"/>
        </w:rPr>
        <w:t>William dos Santos</w:t>
      </w:r>
      <w:r w:rsidR="00433EE2" w:rsidRPr="00CD68BA">
        <w:rPr>
          <w:rFonts w:eastAsiaTheme="minorHAnsi" w:cs="Arial"/>
          <w:szCs w:val="16"/>
          <w:lang w:val="es-CR"/>
        </w:rPr>
        <w:t>,</w:t>
      </w:r>
      <w:r w:rsidRPr="00CD68BA">
        <w:rPr>
          <w:rFonts w:eastAsiaTheme="minorHAnsi" w:cs="Arial"/>
          <w:szCs w:val="16"/>
          <w:lang w:val="es-CR"/>
        </w:rPr>
        <w:t xml:space="preserve"> y Cristina Paiva Matos Fontes</w:t>
      </w:r>
      <w:r w:rsidRPr="00CD68BA">
        <w:rPr>
          <w:szCs w:val="16"/>
          <w:lang w:val="es-CR"/>
        </w:rPr>
        <w:t xml:space="preserve">. El escrito describe principalmente las medidas de reparación que </w:t>
      </w:r>
      <w:r w:rsidR="00F8118F" w:rsidRPr="00CD68BA">
        <w:rPr>
          <w:szCs w:val="16"/>
          <w:lang w:val="es-CR"/>
        </w:rPr>
        <w:t xml:space="preserve">se </w:t>
      </w:r>
      <w:r w:rsidRPr="00CD68BA">
        <w:rPr>
          <w:szCs w:val="16"/>
          <w:lang w:val="es-CR"/>
        </w:rPr>
        <w:t xml:space="preserve">consideran necesarias adoptar. </w:t>
      </w:r>
    </w:p>
  </w:footnote>
  <w:footnote w:id="11">
    <w:p w14:paraId="2FC71AFC" w14:textId="38D303EA" w:rsidR="00682C13" w:rsidRPr="00CD68BA" w:rsidRDefault="00682C13"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El escrito fue firmado por Roberto Will</w:t>
      </w:r>
      <w:r w:rsidR="00050EC6" w:rsidRPr="00CD68BA">
        <w:rPr>
          <w:szCs w:val="16"/>
          <w:lang w:val="es-CR"/>
        </w:rPr>
        <w:t>i</w:t>
      </w:r>
      <w:r w:rsidRPr="00CD68BA">
        <w:rPr>
          <w:szCs w:val="16"/>
          <w:lang w:val="es-CR"/>
        </w:rPr>
        <w:t>ams Moysés Auad y Julia Pereira Reis. El escrito realiza determinadas consideraciones de hecho y derecho, tendientes a “contribuir” con la adopción de medidas que, según</w:t>
      </w:r>
      <w:r w:rsidR="00050EC6" w:rsidRPr="00CD68BA">
        <w:rPr>
          <w:szCs w:val="16"/>
          <w:lang w:val="es-CR"/>
        </w:rPr>
        <w:t xml:space="preserve"> se</w:t>
      </w:r>
      <w:r w:rsidRPr="00CD68BA">
        <w:rPr>
          <w:szCs w:val="16"/>
          <w:lang w:val="es-CR"/>
        </w:rPr>
        <w:t xml:space="preserve"> indica, “permitan el avance de la democracia en Brasil”. </w:t>
      </w:r>
    </w:p>
  </w:footnote>
  <w:footnote w:id="12">
    <w:p w14:paraId="046308B9" w14:textId="124A0C7D" w:rsidR="00682C13" w:rsidRPr="00CD68BA" w:rsidRDefault="00682C13" w:rsidP="00D12B21">
      <w:pPr>
        <w:pStyle w:val="Textonotapie"/>
        <w:spacing w:before="0" w:after="60"/>
        <w:rPr>
          <w:szCs w:val="16"/>
          <w:lang w:val="es-CR"/>
        </w:rPr>
      </w:pPr>
      <w:r w:rsidRPr="00CD68BA">
        <w:rPr>
          <w:rStyle w:val="Refdenotaalpie"/>
          <w:szCs w:val="16"/>
          <w:lang w:val="es-CR"/>
        </w:rPr>
        <w:footnoteRef/>
      </w:r>
      <w:r w:rsidRPr="003C2C9B">
        <w:rPr>
          <w:szCs w:val="16"/>
          <w:lang w:val="pt-BR"/>
        </w:rPr>
        <w:t xml:space="preserve"> </w:t>
      </w:r>
      <w:r w:rsidRPr="003C2C9B">
        <w:rPr>
          <w:szCs w:val="16"/>
          <w:lang w:val="pt-BR"/>
        </w:rPr>
        <w:tab/>
        <w:t xml:space="preserve">El escrito fue firmado por </w:t>
      </w:r>
      <w:r w:rsidRPr="003C2C9B">
        <w:rPr>
          <w:rFonts w:eastAsiaTheme="minorHAnsi"/>
          <w:szCs w:val="16"/>
          <w:lang w:val="pt-BR"/>
        </w:rPr>
        <w:t xml:space="preserve">Sílvia Maria da Silveira Loureiro, </w:t>
      </w:r>
      <w:r w:rsidRPr="003C2C9B">
        <w:rPr>
          <w:rFonts w:eastAsiaTheme="minorHAnsi" w:cs="Arial"/>
          <w:szCs w:val="16"/>
          <w:lang w:val="pt-BR"/>
        </w:rPr>
        <w:t xml:space="preserve">Jamilly Izabela de Brito Silva, </w:t>
      </w:r>
      <w:r w:rsidRPr="003C2C9B">
        <w:rPr>
          <w:rFonts w:eastAsiaTheme="minorHAnsi"/>
          <w:szCs w:val="16"/>
          <w:lang w:val="pt-BR"/>
        </w:rPr>
        <w:t xml:space="preserve">Lucas Schneider Veríssimo de Aquino, </w:t>
      </w:r>
      <w:r w:rsidRPr="003C2C9B">
        <w:rPr>
          <w:rFonts w:eastAsiaTheme="minorHAnsi" w:cs="Arial"/>
          <w:szCs w:val="16"/>
          <w:lang w:val="pt-BR"/>
        </w:rPr>
        <w:t>João Lucas Bastos de Lima Sousa, Yasmin de Almeida Bayma, Izabelly Sabriny Oliveira Nascimento, Gabriel Henrique Pinheiro Andion, Claudevan Barros Bentes Filho, Valena Jacob Chaves Mesquita, Girolamo D. Treccani, Luana Nunes Bandeira Soares, Danielle Anne Pamplona, Júlia Coimbra Braga,</w:t>
      </w:r>
      <w:r w:rsidR="0055630A" w:rsidRPr="003C2C9B">
        <w:rPr>
          <w:rFonts w:eastAsiaTheme="minorHAnsi" w:cs="Arial"/>
          <w:szCs w:val="16"/>
          <w:lang w:val="pt-BR"/>
        </w:rPr>
        <w:t xml:space="preserve"> y</w:t>
      </w:r>
      <w:r w:rsidRPr="003C2C9B">
        <w:rPr>
          <w:rFonts w:eastAsiaTheme="minorHAnsi" w:cs="Arial"/>
          <w:szCs w:val="16"/>
          <w:lang w:val="pt-BR"/>
        </w:rPr>
        <w:t xml:space="preserve"> Eduardo Pitrez de Aguiar Correa. </w:t>
      </w:r>
      <w:r w:rsidRPr="00CD68BA">
        <w:rPr>
          <w:rFonts w:eastAsiaTheme="minorHAnsi" w:cs="Arial"/>
          <w:szCs w:val="16"/>
          <w:lang w:val="es-CR"/>
        </w:rPr>
        <w:t>El escrito realiza</w:t>
      </w:r>
      <w:r w:rsidR="007D0C27" w:rsidRPr="00CD68BA">
        <w:rPr>
          <w:rFonts w:eastAsiaTheme="minorHAnsi" w:cs="Arial"/>
          <w:szCs w:val="16"/>
          <w:lang w:val="es-CR"/>
        </w:rPr>
        <w:t>, principalmente,</w:t>
      </w:r>
      <w:r w:rsidRPr="00CD68BA">
        <w:rPr>
          <w:rFonts w:eastAsiaTheme="minorHAnsi" w:cs="Arial"/>
          <w:szCs w:val="16"/>
          <w:lang w:val="es-CR"/>
        </w:rPr>
        <w:t xml:space="preserve"> un análisis de contexto del caso y consideraciones jurídicas respecto a la alegada imprescriptibilidad del alegado “delito” cometido contra Gabriel Sales Pimenta</w:t>
      </w:r>
      <w:r w:rsidR="0055630A" w:rsidRPr="00CD68BA">
        <w:rPr>
          <w:rFonts w:eastAsiaTheme="minorHAnsi" w:cs="Arial"/>
          <w:szCs w:val="16"/>
          <w:lang w:val="es-CR"/>
        </w:rPr>
        <w:t>. Además, expone las medidas de reparación que consideran pertinentes</w:t>
      </w:r>
      <w:r w:rsidRPr="00CD68BA">
        <w:rPr>
          <w:rFonts w:eastAsiaTheme="minorHAnsi" w:cs="Arial"/>
          <w:szCs w:val="16"/>
          <w:lang w:val="es-CR"/>
        </w:rPr>
        <w:t>.</w:t>
      </w:r>
      <w:r w:rsidRPr="00CD68BA">
        <w:rPr>
          <w:szCs w:val="16"/>
          <w:lang w:val="es-CR"/>
        </w:rPr>
        <w:t xml:space="preserve"> </w:t>
      </w:r>
    </w:p>
  </w:footnote>
  <w:footnote w:id="13">
    <w:p w14:paraId="66524625" w14:textId="1E42F1BB" w:rsidR="00682C13" w:rsidRPr="00CD68BA" w:rsidRDefault="00682C13"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El escrito fue firmado por Henrique Júdice Magalhães. El escrito realiza consideraciones respecto </w:t>
      </w:r>
      <w:r w:rsidR="000501E0" w:rsidRPr="00CD68BA">
        <w:rPr>
          <w:szCs w:val="16"/>
          <w:lang w:val="es-CR"/>
        </w:rPr>
        <w:t>de l</w:t>
      </w:r>
      <w:r w:rsidRPr="00CD68BA">
        <w:rPr>
          <w:szCs w:val="16"/>
          <w:lang w:val="es-CR"/>
        </w:rPr>
        <w:t xml:space="preserve">a competencia </w:t>
      </w:r>
      <w:r w:rsidRPr="00CD68BA">
        <w:rPr>
          <w:i/>
          <w:iCs/>
          <w:szCs w:val="16"/>
          <w:lang w:val="es-CR"/>
        </w:rPr>
        <w:t xml:space="preserve">ratio temporis </w:t>
      </w:r>
      <w:r w:rsidRPr="00CD68BA">
        <w:rPr>
          <w:szCs w:val="16"/>
          <w:lang w:val="es-CR"/>
        </w:rPr>
        <w:t xml:space="preserve">de la Corte Interamericana y el contexto del caso, así como de medidas de reparación sugeridas. </w:t>
      </w:r>
    </w:p>
  </w:footnote>
  <w:footnote w:id="14">
    <w:p w14:paraId="7D59E855" w14:textId="3DCD1C5F" w:rsidR="00682C13" w:rsidRPr="00CD68BA" w:rsidRDefault="00682C13" w:rsidP="00D12B21">
      <w:pPr>
        <w:adjustRightInd w:val="0"/>
        <w:spacing w:before="0"/>
        <w:rPr>
          <w:rFonts w:eastAsiaTheme="minorHAnsi" w:cs="TimesNewRomanPS-BoldMT"/>
          <w:b/>
          <w:bCs/>
          <w:sz w:val="16"/>
          <w:szCs w:val="16"/>
          <w:lang w:val="es-CR"/>
        </w:rPr>
      </w:pPr>
      <w:r w:rsidRPr="00CD68BA">
        <w:rPr>
          <w:rStyle w:val="Refdenotaalpie"/>
          <w:sz w:val="16"/>
          <w:szCs w:val="16"/>
          <w:lang w:val="es-CR"/>
        </w:rPr>
        <w:footnoteRef/>
      </w:r>
      <w:r w:rsidRPr="003C2C9B">
        <w:rPr>
          <w:sz w:val="16"/>
          <w:szCs w:val="16"/>
          <w:lang w:val="pt-BR"/>
        </w:rPr>
        <w:t xml:space="preserve"> </w:t>
      </w:r>
      <w:r w:rsidRPr="003C2C9B">
        <w:rPr>
          <w:sz w:val="16"/>
          <w:szCs w:val="16"/>
          <w:lang w:val="pt-BR"/>
        </w:rPr>
        <w:tab/>
        <w:t xml:space="preserve">El escrito fue firmado por Marina Muniz Pinto de Carvalho Matos, </w:t>
      </w:r>
      <w:r w:rsidRPr="003C2C9B">
        <w:rPr>
          <w:rFonts w:eastAsiaTheme="minorHAnsi" w:cs="TimesNewRomanPS-BoldMT"/>
          <w:sz w:val="16"/>
          <w:szCs w:val="16"/>
          <w:lang w:val="pt-BR"/>
        </w:rPr>
        <w:t>Tatiana Emília Dias Gomes, Emmanuelle Diana Santos Neves, Carlos Eduardo Soares de Freitas, Caio Cézar Pereira dos Reis, Christian Lopes Oliveira Alves, Cristiane de Almeida Santa Rosa, Rebeca Ananias Pinto, Rebeca das Neves dos Santos, y Udma Uldiery Oliveira Silva</w:t>
      </w:r>
      <w:r w:rsidRPr="003C2C9B">
        <w:rPr>
          <w:sz w:val="16"/>
          <w:szCs w:val="16"/>
          <w:lang w:val="pt-BR"/>
        </w:rPr>
        <w:t xml:space="preserve">. </w:t>
      </w:r>
      <w:r w:rsidRPr="00CD68BA">
        <w:rPr>
          <w:sz w:val="16"/>
          <w:szCs w:val="16"/>
          <w:lang w:val="es-CR"/>
        </w:rPr>
        <w:t>El escrito describe el contexto del caso, las muertes de personas defensoras de derechos humanos en Brasil y su alegado carácter sistemático, el Programa Brasileño de Protección de Defensoras y Defensores de Derechos Humanos, y aquellas garantías de no repetición sugeridas.</w:t>
      </w:r>
    </w:p>
  </w:footnote>
  <w:footnote w:id="15">
    <w:p w14:paraId="6641E930" w14:textId="352F598D" w:rsidR="0036373B" w:rsidRPr="00CD68BA" w:rsidRDefault="0036373B" w:rsidP="00D12B21">
      <w:pPr>
        <w:pStyle w:val="Textonotapie"/>
        <w:spacing w:before="0" w:after="60"/>
        <w:rPr>
          <w:szCs w:val="16"/>
          <w:highlight w:val="yellow"/>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9334C4" w:rsidRPr="00CD68BA">
        <w:rPr>
          <w:szCs w:val="16"/>
          <w:lang w:val="es-CR"/>
        </w:rPr>
        <w:t>Brasil es Estado Parte de la Convención Americana desde el 25 de septiembre de 1992.</w:t>
      </w:r>
    </w:p>
  </w:footnote>
  <w:footnote w:id="16">
    <w:p w14:paraId="455A2639" w14:textId="0796A06E" w:rsidR="00622C21" w:rsidRPr="00CD68BA" w:rsidRDefault="00622C21"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DB020F" w:rsidRPr="00CD68BA">
        <w:rPr>
          <w:i/>
          <w:iCs/>
          <w:szCs w:val="16"/>
          <w:lang w:val="es-CR"/>
        </w:rPr>
        <w:t>Caso Tibi Vs. Ecuador. Excepciones Preliminares, Fondo, Reparaciones y Costas</w:t>
      </w:r>
      <w:r w:rsidR="00DB020F" w:rsidRPr="00CD68BA">
        <w:rPr>
          <w:szCs w:val="16"/>
          <w:lang w:val="es-CR"/>
        </w:rPr>
        <w:t>. Sentencia de 7 de septiembre de 2004. Serie C No. 114, párr</w:t>
      </w:r>
      <w:r w:rsidR="00C36065" w:rsidRPr="00CD68BA">
        <w:rPr>
          <w:szCs w:val="16"/>
          <w:lang w:val="es-CR"/>
        </w:rPr>
        <w:t>s</w:t>
      </w:r>
      <w:r w:rsidR="00DB020F" w:rsidRPr="00CD68BA">
        <w:rPr>
          <w:szCs w:val="16"/>
          <w:lang w:val="es-CR"/>
        </w:rPr>
        <w:t xml:space="preserve">. 61 </w:t>
      </w:r>
      <w:r w:rsidR="00C73EB8" w:rsidRPr="00CD68BA">
        <w:rPr>
          <w:szCs w:val="16"/>
          <w:lang w:val="es-CR"/>
        </w:rPr>
        <w:t>a 62</w:t>
      </w:r>
      <w:r w:rsidRPr="00CD68BA">
        <w:rPr>
          <w:szCs w:val="16"/>
          <w:lang w:val="es-CR"/>
        </w:rPr>
        <w:t>;</w:t>
      </w:r>
      <w:r w:rsidRPr="00CD68BA">
        <w:rPr>
          <w:i/>
          <w:iCs/>
          <w:szCs w:val="16"/>
          <w:lang w:val="es-CR"/>
        </w:rPr>
        <w:t xml:space="preserve"> Caso Heliodoro Portugal Vs. Panamá. Excepciones Preliminares, Fondo, Reparaciones y Costas. </w:t>
      </w:r>
      <w:r w:rsidRPr="00CD68BA">
        <w:rPr>
          <w:szCs w:val="16"/>
          <w:lang w:val="es-CR"/>
        </w:rPr>
        <w:t>Sentencia de 12 de agosto de 2008. Serie C No. 186, párr</w:t>
      </w:r>
      <w:r w:rsidR="00C36065" w:rsidRPr="00CD68BA">
        <w:rPr>
          <w:szCs w:val="16"/>
          <w:lang w:val="es-CR"/>
        </w:rPr>
        <w:t>s</w:t>
      </w:r>
      <w:r w:rsidRPr="00CD68BA">
        <w:rPr>
          <w:szCs w:val="16"/>
          <w:lang w:val="es-CR"/>
        </w:rPr>
        <w:t xml:space="preserve">. </w:t>
      </w:r>
      <w:r w:rsidR="00C36065" w:rsidRPr="00CD68BA">
        <w:rPr>
          <w:szCs w:val="16"/>
          <w:lang w:val="es-CR"/>
        </w:rPr>
        <w:t xml:space="preserve">23 a </w:t>
      </w:r>
      <w:r w:rsidRPr="00CD68BA">
        <w:rPr>
          <w:szCs w:val="16"/>
          <w:lang w:val="es-CR"/>
        </w:rPr>
        <w:t>24</w:t>
      </w:r>
      <w:r w:rsidR="00C73EB8" w:rsidRPr="00CD68BA">
        <w:rPr>
          <w:szCs w:val="16"/>
          <w:lang w:val="es-CR"/>
        </w:rPr>
        <w:t>;</w:t>
      </w:r>
      <w:r w:rsidRPr="00CD68BA">
        <w:rPr>
          <w:szCs w:val="16"/>
          <w:lang w:val="es-CR"/>
        </w:rPr>
        <w:t xml:space="preserve"> </w:t>
      </w:r>
      <w:r w:rsidRPr="00CD68BA">
        <w:rPr>
          <w:i/>
          <w:iCs/>
          <w:szCs w:val="16"/>
          <w:lang w:val="es-CR"/>
        </w:rPr>
        <w:t xml:space="preserve">Caso Garibaldi, </w:t>
      </w:r>
      <w:r w:rsidR="00C73EB8" w:rsidRPr="00CD68BA">
        <w:rPr>
          <w:i/>
          <w:iCs/>
          <w:szCs w:val="16"/>
          <w:lang w:val="es-CR"/>
        </w:rPr>
        <w:t>Excepciones Preliminares, Fondo, Reparaciones y Costas</w:t>
      </w:r>
      <w:r w:rsidR="00C73EB8" w:rsidRPr="00CD68BA">
        <w:rPr>
          <w:szCs w:val="16"/>
          <w:lang w:val="es-CR"/>
        </w:rPr>
        <w:t>. Sentencia de 23 de septiembre de 2009. Serie C No. 203</w:t>
      </w:r>
      <w:r w:rsidRPr="00CD68BA">
        <w:rPr>
          <w:szCs w:val="16"/>
          <w:lang w:val="es-CR"/>
        </w:rPr>
        <w:t>, párr. 20</w:t>
      </w:r>
      <w:r w:rsidRPr="00CD68BA">
        <w:rPr>
          <w:i/>
          <w:iCs/>
          <w:szCs w:val="16"/>
          <w:lang w:val="es-CR"/>
        </w:rPr>
        <w:t>; Caso Gomes Lund y otros (“Guerrilha do Araguaia”) Vs. Brasil. Excepciones Preliminares, Fondo, Reparaciones y Costa</w:t>
      </w:r>
      <w:r w:rsidRPr="00CD68BA">
        <w:rPr>
          <w:szCs w:val="16"/>
          <w:lang w:val="es-CR"/>
        </w:rPr>
        <w:t>s. Sentencia de 24 de noviembre de 2010. Serie C No. 219, párr. 16;</w:t>
      </w:r>
      <w:r w:rsidRPr="00CD68BA">
        <w:rPr>
          <w:i/>
          <w:iCs/>
          <w:szCs w:val="16"/>
          <w:lang w:val="es-CR"/>
        </w:rPr>
        <w:t xml:space="preserve"> Caso Montesinos Mejía Vs. Ecuador. Excepciones Preliminares, Fondo, Reparaciones y Costas. </w:t>
      </w:r>
      <w:r w:rsidRPr="00CD68BA">
        <w:rPr>
          <w:szCs w:val="16"/>
          <w:lang w:val="es-CR"/>
        </w:rPr>
        <w:t>Sentencia de 27 de enero de 2020. Serie C No. 398</w:t>
      </w:r>
      <w:r w:rsidR="00053484" w:rsidRPr="00CD68BA">
        <w:rPr>
          <w:szCs w:val="16"/>
          <w:lang w:val="es-CR"/>
        </w:rPr>
        <w:t>,</w:t>
      </w:r>
      <w:r w:rsidRPr="00CD68BA">
        <w:rPr>
          <w:szCs w:val="16"/>
          <w:lang w:val="es-CR"/>
        </w:rPr>
        <w:t xml:space="preserve"> párr. 18</w:t>
      </w:r>
      <w:r w:rsidRPr="00CD68BA">
        <w:rPr>
          <w:i/>
          <w:iCs/>
          <w:szCs w:val="16"/>
          <w:lang w:val="es-CR"/>
        </w:rPr>
        <w:t xml:space="preserve">, y Caso Masacre de la Aldea Los Josefinos Vs. Guatemala. Excepción Preliminar, Fondo, Reparaciones y Costas. </w:t>
      </w:r>
      <w:r w:rsidRPr="00CD68BA">
        <w:rPr>
          <w:szCs w:val="16"/>
          <w:lang w:val="es-CR"/>
        </w:rPr>
        <w:t>Sentencia de 3 de noviembre de 2021. Serie C No. 442, párr. 16.</w:t>
      </w:r>
    </w:p>
  </w:footnote>
  <w:footnote w:id="17">
    <w:p w14:paraId="2E794401" w14:textId="1E929280" w:rsidR="00622C21" w:rsidRPr="003C2C9B" w:rsidRDefault="00622C21" w:rsidP="00D12B21">
      <w:pPr>
        <w:pStyle w:val="Textonotapie"/>
        <w:spacing w:before="0" w:after="60"/>
        <w:rPr>
          <w:szCs w:val="16"/>
          <w:lang w:val="pt-BR"/>
        </w:rPr>
      </w:pPr>
      <w:r w:rsidRPr="00CD68BA">
        <w:rPr>
          <w:rStyle w:val="Refdenotaalpie"/>
          <w:szCs w:val="16"/>
          <w:lang w:val="es-CR"/>
        </w:rPr>
        <w:footnoteRef/>
      </w:r>
      <w:r w:rsidRPr="00CD68BA">
        <w:rPr>
          <w:szCs w:val="16"/>
          <w:lang w:val="es-CR"/>
        </w:rPr>
        <w:t xml:space="preserve"> </w:t>
      </w:r>
      <w:r w:rsidRPr="00CD68BA">
        <w:rPr>
          <w:szCs w:val="16"/>
          <w:lang w:val="es-CR"/>
        </w:rPr>
        <w:tab/>
        <w:t xml:space="preserve">A este respecto, la Corte ha sostenido que, aunque el primer acto de ejecución haya tenido lugar antes de la fecha de reconocimiento de la competencia contenciosa de la Corte, si dichas violaciones persisten con posterioridad a dicho reconocimiento, puesto que se continúan cometiendo, la Corte tiene competencia para conocer tales violaciones. </w:t>
      </w:r>
      <w:r w:rsidRPr="00CD68BA">
        <w:rPr>
          <w:i/>
          <w:iCs/>
          <w:szCs w:val="16"/>
          <w:lang w:val="es-CR"/>
        </w:rPr>
        <w:t>Cfr.</w:t>
      </w:r>
      <w:r w:rsidRPr="00CD68BA">
        <w:rPr>
          <w:szCs w:val="16"/>
          <w:lang w:val="es-CR"/>
        </w:rPr>
        <w:t xml:space="preserve"> </w:t>
      </w:r>
      <w:r w:rsidRPr="00CD68BA">
        <w:rPr>
          <w:i/>
          <w:iCs/>
          <w:szCs w:val="16"/>
          <w:lang w:val="es-CR"/>
        </w:rPr>
        <w:t>Caso de las Hermanas Serrano Cruz Vs. El Salvador. Excepciones Preliminares</w:t>
      </w:r>
      <w:r w:rsidRPr="00CD68BA">
        <w:rPr>
          <w:szCs w:val="16"/>
          <w:lang w:val="es-CR"/>
        </w:rPr>
        <w:t>. Sentencia de 23 de noviembre de 2004. Serie C No. 118, párr. 65</w:t>
      </w:r>
      <w:r w:rsidRPr="00CD68BA">
        <w:rPr>
          <w:i/>
          <w:iCs/>
          <w:szCs w:val="16"/>
          <w:lang w:val="es-CR"/>
        </w:rPr>
        <w:t>;</w:t>
      </w:r>
      <w:r w:rsidRPr="00CD68BA">
        <w:rPr>
          <w:szCs w:val="16"/>
          <w:lang w:val="es-CR"/>
        </w:rPr>
        <w:t xml:space="preserve"> </w:t>
      </w:r>
      <w:r w:rsidRPr="00CD68BA">
        <w:rPr>
          <w:i/>
          <w:iCs/>
          <w:szCs w:val="16"/>
          <w:lang w:val="es-CR"/>
        </w:rPr>
        <w:t>Caso Argüelles y otros Vs. Argentina. Excepciones Preliminares, Fondo, Reparaciones y Costas</w:t>
      </w:r>
      <w:r w:rsidRPr="00CD68BA">
        <w:rPr>
          <w:szCs w:val="16"/>
          <w:lang w:val="es-CR"/>
        </w:rPr>
        <w:t xml:space="preserve">. Sentencia de 20 de noviembre de 2014. Serie C No. 288, párr. 25; </w:t>
      </w:r>
      <w:r w:rsidRPr="00CD68BA">
        <w:rPr>
          <w:i/>
          <w:iCs/>
          <w:szCs w:val="16"/>
          <w:lang w:val="es-CR"/>
        </w:rPr>
        <w:t>Caso Miembros de la Aldea Chichupac y comunidades vecinas del Municipio de Rabinal Vs. Guatemala</w:t>
      </w:r>
      <w:r w:rsidRPr="00CD68BA">
        <w:rPr>
          <w:szCs w:val="16"/>
          <w:lang w:val="es-CR"/>
        </w:rPr>
        <w:t xml:space="preserve">. </w:t>
      </w:r>
      <w:r w:rsidRPr="00CD68BA">
        <w:rPr>
          <w:i/>
          <w:iCs/>
          <w:szCs w:val="16"/>
          <w:lang w:val="es-CR"/>
        </w:rPr>
        <w:t>Excepciones Preliminares, Fondo, Reparaciones y Costas</w:t>
      </w:r>
      <w:r w:rsidRPr="00CD68BA">
        <w:rPr>
          <w:szCs w:val="16"/>
          <w:lang w:val="es-CR"/>
        </w:rPr>
        <w:t>. Sentencia de 30 de noviembre de 2016. Serie C No. 328, párr. 20</w:t>
      </w:r>
      <w:r w:rsidR="00923677" w:rsidRPr="00CD68BA">
        <w:rPr>
          <w:szCs w:val="16"/>
          <w:lang w:val="es-CR"/>
        </w:rPr>
        <w:t>,</w:t>
      </w:r>
      <w:r w:rsidRPr="00CD68BA">
        <w:rPr>
          <w:szCs w:val="16"/>
          <w:lang w:val="es-CR"/>
        </w:rPr>
        <w:t xml:space="preserve"> </w:t>
      </w:r>
      <w:r w:rsidRPr="00CD68BA">
        <w:rPr>
          <w:i/>
          <w:iCs/>
          <w:szCs w:val="16"/>
          <w:lang w:val="es-CR"/>
        </w:rPr>
        <w:t xml:space="preserve">y Caso Masacre de la Aldea Los Josefinos Vs. </w:t>
      </w:r>
      <w:r w:rsidRPr="003C2C9B">
        <w:rPr>
          <w:i/>
          <w:iCs/>
          <w:szCs w:val="16"/>
          <w:lang w:val="pt-BR"/>
        </w:rPr>
        <w:t>Guatemala</w:t>
      </w:r>
      <w:r w:rsidR="00465FD0" w:rsidRPr="003C2C9B">
        <w:rPr>
          <w:i/>
          <w:iCs/>
          <w:szCs w:val="16"/>
          <w:lang w:val="pt-BR"/>
        </w:rPr>
        <w:t>, supra</w:t>
      </w:r>
      <w:r w:rsidRPr="003C2C9B">
        <w:rPr>
          <w:szCs w:val="16"/>
          <w:lang w:val="pt-BR"/>
        </w:rPr>
        <w:t>, párr. 16.</w:t>
      </w:r>
    </w:p>
  </w:footnote>
  <w:footnote w:id="18">
    <w:p w14:paraId="7D32B865" w14:textId="780B0B38" w:rsidR="00622C21" w:rsidRPr="00CD68BA" w:rsidRDefault="00622C21" w:rsidP="00D12B21">
      <w:pPr>
        <w:pStyle w:val="Textonotapie"/>
        <w:spacing w:before="0" w:after="60"/>
        <w:rPr>
          <w:b/>
          <w:bCs/>
          <w:color w:val="FF0000"/>
          <w:szCs w:val="16"/>
          <w:lang w:val="es-CR"/>
        </w:rPr>
      </w:pPr>
      <w:r w:rsidRPr="00CD68BA">
        <w:rPr>
          <w:rStyle w:val="Refdenotaalpie"/>
          <w:szCs w:val="16"/>
          <w:lang w:val="es-CR"/>
        </w:rPr>
        <w:footnoteRef/>
      </w:r>
      <w:r w:rsidRPr="003C2C9B">
        <w:rPr>
          <w:szCs w:val="16"/>
          <w:lang w:val="pt-BR"/>
        </w:rPr>
        <w:t xml:space="preserve"> </w:t>
      </w:r>
      <w:r w:rsidRPr="003C2C9B">
        <w:rPr>
          <w:szCs w:val="16"/>
          <w:lang w:val="pt-BR"/>
        </w:rPr>
        <w:tab/>
      </w:r>
      <w:r w:rsidRPr="003C2C9B">
        <w:rPr>
          <w:i/>
          <w:iCs/>
          <w:szCs w:val="16"/>
          <w:lang w:val="pt-BR"/>
        </w:rPr>
        <w:t>Cfr</w:t>
      </w:r>
      <w:r w:rsidRPr="003C2C9B">
        <w:rPr>
          <w:szCs w:val="16"/>
          <w:lang w:val="pt-BR"/>
        </w:rPr>
        <w:t xml:space="preserve">. </w:t>
      </w:r>
      <w:r w:rsidRPr="003C2C9B">
        <w:rPr>
          <w:i/>
          <w:iCs/>
          <w:szCs w:val="16"/>
          <w:lang w:val="pt-BR"/>
        </w:rPr>
        <w:t>Caso de las Hermanas Serrano Cruz Vs. El Salvador</w:t>
      </w:r>
      <w:r w:rsidR="0045550F" w:rsidRPr="003C2C9B">
        <w:rPr>
          <w:szCs w:val="16"/>
          <w:lang w:val="pt-BR"/>
        </w:rPr>
        <w:t xml:space="preserve">, </w:t>
      </w:r>
      <w:r w:rsidR="0045550F" w:rsidRPr="003C2C9B">
        <w:rPr>
          <w:i/>
          <w:iCs/>
          <w:szCs w:val="16"/>
          <w:lang w:val="pt-BR"/>
        </w:rPr>
        <w:t>supra</w:t>
      </w:r>
      <w:r w:rsidRPr="003C2C9B">
        <w:rPr>
          <w:szCs w:val="16"/>
          <w:lang w:val="pt-BR"/>
        </w:rPr>
        <w:t xml:space="preserve">, párr. 84; </w:t>
      </w:r>
      <w:r w:rsidRPr="003C2C9B">
        <w:rPr>
          <w:i/>
          <w:iCs/>
          <w:szCs w:val="16"/>
          <w:lang w:val="pt-BR"/>
        </w:rPr>
        <w:t xml:space="preserve">Caso Favela Nova Brasília Vs. </w:t>
      </w:r>
      <w:r w:rsidRPr="00CD68BA">
        <w:rPr>
          <w:i/>
          <w:iCs/>
          <w:szCs w:val="16"/>
          <w:lang w:val="es-CR"/>
        </w:rPr>
        <w:t>Brasil</w:t>
      </w:r>
      <w:r w:rsidRPr="00CD68BA">
        <w:rPr>
          <w:szCs w:val="16"/>
          <w:lang w:val="es-CR"/>
        </w:rPr>
        <w:t xml:space="preserve">. </w:t>
      </w:r>
      <w:r w:rsidRPr="00CD68BA">
        <w:rPr>
          <w:i/>
          <w:iCs/>
          <w:szCs w:val="16"/>
          <w:lang w:val="es-CR"/>
        </w:rPr>
        <w:t>Excepciones Preliminares, Fondo, Reparaciones y Costas.</w:t>
      </w:r>
      <w:r w:rsidRPr="00CD68BA">
        <w:rPr>
          <w:szCs w:val="16"/>
          <w:lang w:val="es-CR"/>
        </w:rPr>
        <w:t xml:space="preserve"> Sentencia de 16 de febrero de 2017. Serie C No. 333, párr</w:t>
      </w:r>
      <w:r w:rsidR="006C61B3" w:rsidRPr="00CD68BA">
        <w:rPr>
          <w:szCs w:val="16"/>
          <w:lang w:val="es-CR"/>
        </w:rPr>
        <w:t>s</w:t>
      </w:r>
      <w:r w:rsidRPr="00CD68BA">
        <w:rPr>
          <w:szCs w:val="16"/>
          <w:lang w:val="es-CR"/>
        </w:rPr>
        <w:t>. 49</w:t>
      </w:r>
      <w:r w:rsidR="006C61B3" w:rsidRPr="00CD68BA">
        <w:rPr>
          <w:szCs w:val="16"/>
          <w:lang w:val="es-CR"/>
        </w:rPr>
        <w:t xml:space="preserve"> a 50</w:t>
      </w:r>
      <w:r w:rsidR="00FC321A" w:rsidRPr="00CD68BA">
        <w:rPr>
          <w:szCs w:val="16"/>
          <w:lang w:val="es-CR"/>
        </w:rPr>
        <w:t xml:space="preserve">; </w:t>
      </w:r>
      <w:r w:rsidR="00FC321A" w:rsidRPr="00CD68BA">
        <w:rPr>
          <w:i/>
          <w:iCs/>
          <w:szCs w:val="16"/>
          <w:lang w:val="es-CR"/>
        </w:rPr>
        <w:t>Caso Herzog y otros Vs. Brasil. Excepciones Preliminares, Fondo, Reparaciones y Costas</w:t>
      </w:r>
      <w:r w:rsidR="00FC321A" w:rsidRPr="00CD68BA">
        <w:rPr>
          <w:szCs w:val="16"/>
          <w:lang w:val="es-CR"/>
        </w:rPr>
        <w:t>. Sentencia de 15 de marzo de 2018. Serie C No. 353, párr. 28</w:t>
      </w:r>
      <w:r w:rsidRPr="00CD68BA">
        <w:rPr>
          <w:szCs w:val="16"/>
          <w:lang w:val="es-CR"/>
        </w:rPr>
        <w:t xml:space="preserve">, y </w:t>
      </w:r>
      <w:r w:rsidRPr="00CD68BA">
        <w:rPr>
          <w:i/>
          <w:iCs/>
          <w:szCs w:val="16"/>
          <w:lang w:val="es-CR"/>
        </w:rPr>
        <w:t xml:space="preserve">Caso Barbosa de Souza y otros Vs. Brasil. Excepciones </w:t>
      </w:r>
      <w:r w:rsidR="00782044" w:rsidRPr="00CD68BA">
        <w:rPr>
          <w:i/>
          <w:iCs/>
          <w:szCs w:val="16"/>
          <w:lang w:val="es-CR"/>
        </w:rPr>
        <w:t>P</w:t>
      </w:r>
      <w:r w:rsidRPr="00CD68BA">
        <w:rPr>
          <w:i/>
          <w:iCs/>
          <w:szCs w:val="16"/>
          <w:lang w:val="es-CR"/>
        </w:rPr>
        <w:t>reliminares, Fondo, Reparaciones y Costas</w:t>
      </w:r>
      <w:r w:rsidRPr="00CD68BA">
        <w:rPr>
          <w:szCs w:val="16"/>
          <w:lang w:val="es-CR"/>
        </w:rPr>
        <w:t>. Sentencia de 7 de septiembre de 2021. Serie C No. 435</w:t>
      </w:r>
      <w:r w:rsidRPr="00CD68BA">
        <w:rPr>
          <w:i/>
          <w:iCs/>
          <w:szCs w:val="16"/>
          <w:lang w:val="es-CR"/>
        </w:rPr>
        <w:t xml:space="preserve">, </w:t>
      </w:r>
      <w:r w:rsidRPr="00CD68BA">
        <w:rPr>
          <w:szCs w:val="16"/>
          <w:lang w:val="es-CR"/>
        </w:rPr>
        <w:t>párr.</w:t>
      </w:r>
      <w:r w:rsidR="00EF5822" w:rsidRPr="00CD68BA">
        <w:rPr>
          <w:szCs w:val="16"/>
          <w:lang w:val="es-CR"/>
        </w:rPr>
        <w:t xml:space="preserve"> </w:t>
      </w:r>
      <w:r w:rsidRPr="00CD68BA">
        <w:rPr>
          <w:szCs w:val="16"/>
          <w:lang w:val="es-CR"/>
        </w:rPr>
        <w:t>21</w:t>
      </w:r>
      <w:r w:rsidR="00EF5822" w:rsidRPr="00CD68BA">
        <w:rPr>
          <w:szCs w:val="16"/>
          <w:lang w:val="es-CR"/>
        </w:rPr>
        <w:t>.</w:t>
      </w:r>
      <w:r w:rsidR="0038601E" w:rsidRPr="00CD68BA">
        <w:rPr>
          <w:szCs w:val="16"/>
          <w:lang w:val="es-CR"/>
        </w:rPr>
        <w:t xml:space="preserve"> </w:t>
      </w:r>
    </w:p>
  </w:footnote>
  <w:footnote w:id="19">
    <w:p w14:paraId="25A6F140" w14:textId="1E552E81" w:rsidR="0043479B" w:rsidRPr="00CD68BA" w:rsidRDefault="0043479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00CD419E" w:rsidRPr="00CD68BA">
        <w:rPr>
          <w:i/>
          <w:iCs/>
          <w:szCs w:val="16"/>
          <w:lang w:val="es-CR"/>
        </w:rPr>
        <w:t>Caso García Prieto y otro Vs. El Salvador. Excepciones Preliminares, Fondo, Reparaciones y Costas</w:t>
      </w:r>
      <w:r w:rsidR="00CD419E" w:rsidRPr="00CD68BA">
        <w:rPr>
          <w:szCs w:val="16"/>
          <w:lang w:val="es-CR"/>
        </w:rPr>
        <w:t xml:space="preserve">. Sentencia de 20 de noviembre de 2007. Serie C No. 168, párrs. 44 y 45, y </w:t>
      </w:r>
      <w:r w:rsidR="00036ABC" w:rsidRPr="00CD68BA">
        <w:rPr>
          <w:i/>
          <w:iCs/>
          <w:szCs w:val="16"/>
          <w:lang w:val="es-CR"/>
        </w:rPr>
        <w:t>Caso Barbosa de Souza y otros Vs. Brasil</w:t>
      </w:r>
      <w:r w:rsidR="00D133B6" w:rsidRPr="00CD68BA">
        <w:rPr>
          <w:i/>
          <w:iCs/>
          <w:szCs w:val="16"/>
          <w:lang w:val="es-CR"/>
        </w:rPr>
        <w:t>, su</w:t>
      </w:r>
      <w:r w:rsidR="00274794" w:rsidRPr="00CD68BA">
        <w:rPr>
          <w:i/>
          <w:iCs/>
          <w:szCs w:val="16"/>
          <w:lang w:val="es-CR"/>
        </w:rPr>
        <w:t>p</w:t>
      </w:r>
      <w:r w:rsidR="00D133B6" w:rsidRPr="00CD68BA">
        <w:rPr>
          <w:i/>
          <w:iCs/>
          <w:szCs w:val="16"/>
          <w:lang w:val="es-CR"/>
        </w:rPr>
        <w:t>ra</w:t>
      </w:r>
      <w:r w:rsidR="00274794" w:rsidRPr="00CD68BA">
        <w:rPr>
          <w:i/>
          <w:iCs/>
          <w:szCs w:val="16"/>
          <w:lang w:val="es-CR"/>
        </w:rPr>
        <w:t>,</w:t>
      </w:r>
      <w:r w:rsidR="00036ABC" w:rsidRPr="00CD68BA">
        <w:rPr>
          <w:i/>
          <w:iCs/>
          <w:szCs w:val="16"/>
          <w:lang w:val="es-CR"/>
        </w:rPr>
        <w:t xml:space="preserve"> </w:t>
      </w:r>
      <w:r w:rsidR="00036ABC" w:rsidRPr="00CD68BA">
        <w:rPr>
          <w:szCs w:val="16"/>
          <w:lang w:val="es-CR"/>
        </w:rPr>
        <w:t>párr. 21.</w:t>
      </w:r>
    </w:p>
  </w:footnote>
  <w:footnote w:id="20">
    <w:p w14:paraId="5F96CD57" w14:textId="126C5E43" w:rsidR="004A67E3" w:rsidRPr="00CD68BA" w:rsidRDefault="004A67E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7A3043" w:rsidRPr="00CD68BA">
        <w:rPr>
          <w:i/>
          <w:szCs w:val="16"/>
          <w:lang w:val="es-CR"/>
        </w:rPr>
        <w:t xml:space="preserve">Cfr. </w:t>
      </w:r>
      <w:r w:rsidR="007A3043" w:rsidRPr="00CD68BA">
        <w:rPr>
          <w:i/>
          <w:iCs/>
          <w:szCs w:val="16"/>
          <w:lang w:val="es-CR" w:eastAsia="es-ES"/>
        </w:rPr>
        <w:t>Caso</w:t>
      </w:r>
      <w:r w:rsidR="007A3043" w:rsidRPr="00CD68BA">
        <w:rPr>
          <w:szCs w:val="16"/>
          <w:lang w:val="es-CR" w:eastAsia="es-ES"/>
        </w:rPr>
        <w:t xml:space="preserve"> </w:t>
      </w:r>
      <w:r w:rsidR="007A3043" w:rsidRPr="00CD68BA">
        <w:rPr>
          <w:i/>
          <w:iCs/>
          <w:szCs w:val="16"/>
          <w:lang w:val="es-CR" w:eastAsia="es-ES"/>
        </w:rPr>
        <w:t>Velásquez Rodríguez Vs. Honduras. Excepciones Preliminares</w:t>
      </w:r>
      <w:r w:rsidR="007A3043" w:rsidRPr="00CD68BA">
        <w:rPr>
          <w:szCs w:val="16"/>
          <w:lang w:val="es-CR" w:eastAsia="es-ES"/>
        </w:rPr>
        <w:t>. Sentencia de 26 de junio de 1987. Serie C No. 1</w:t>
      </w:r>
      <w:r w:rsidR="007A3043" w:rsidRPr="00CD68BA">
        <w:rPr>
          <w:szCs w:val="16"/>
          <w:lang w:val="es-CR"/>
        </w:rPr>
        <w:t xml:space="preserve">, </w:t>
      </w:r>
      <w:r w:rsidR="00B218CC" w:rsidRPr="00CD68BA">
        <w:rPr>
          <w:szCs w:val="16"/>
          <w:lang w:val="es-CR"/>
        </w:rPr>
        <w:t xml:space="preserve">párr. </w:t>
      </w:r>
      <w:r w:rsidR="00385475" w:rsidRPr="00CD68BA">
        <w:rPr>
          <w:szCs w:val="16"/>
          <w:lang w:val="es-CR"/>
        </w:rPr>
        <w:t>88</w:t>
      </w:r>
      <w:r w:rsidR="00B218CC" w:rsidRPr="00CD68BA">
        <w:rPr>
          <w:szCs w:val="16"/>
          <w:lang w:val="es-CR"/>
        </w:rPr>
        <w:t xml:space="preserve">, </w:t>
      </w:r>
      <w:r w:rsidR="007A3043" w:rsidRPr="00CD68BA">
        <w:rPr>
          <w:szCs w:val="16"/>
          <w:lang w:val="es-CR"/>
        </w:rPr>
        <w:t>y</w:t>
      </w:r>
      <w:r w:rsidR="00E10D88" w:rsidRPr="00CD68BA">
        <w:rPr>
          <w:szCs w:val="16"/>
          <w:lang w:val="es-CR"/>
        </w:rPr>
        <w:t xml:space="preserve"> </w:t>
      </w:r>
      <w:r w:rsidR="00E10D88" w:rsidRPr="00CD68BA">
        <w:rPr>
          <w:i/>
          <w:iCs/>
          <w:szCs w:val="16"/>
          <w:lang w:val="es-CR"/>
        </w:rPr>
        <w:t>Caso Federación Nacional de Trabajadores Marítimos y Portuarios (FEMAPOR) Vs. Perú. Excepciones Preliminares, Fondo y Reparaciones</w:t>
      </w:r>
      <w:r w:rsidR="00E10D88" w:rsidRPr="00CD68BA">
        <w:rPr>
          <w:szCs w:val="16"/>
          <w:lang w:val="es-CR"/>
        </w:rPr>
        <w:t>. Sentencia de 1 de febrero de 2022. Serie C No. 448, párr. 26</w:t>
      </w:r>
      <w:r w:rsidR="007A3043" w:rsidRPr="00CD68BA">
        <w:rPr>
          <w:szCs w:val="16"/>
          <w:lang w:val="es-CR" w:eastAsia="es-ES"/>
        </w:rPr>
        <w:t>.</w:t>
      </w:r>
    </w:p>
  </w:footnote>
  <w:footnote w:id="21">
    <w:p w14:paraId="40295E7C" w14:textId="79DCFC98" w:rsidR="006B4373" w:rsidRPr="00CD68BA" w:rsidRDefault="006B437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Pr="00CD68BA">
        <w:rPr>
          <w:i/>
          <w:iCs/>
          <w:szCs w:val="16"/>
          <w:lang w:val="es-CR" w:eastAsia="es-ES"/>
        </w:rPr>
        <w:t>Caso Reverón Trujillo Vs. Venezuela. Excepción Preliminar, Fondo, Reparaciones y Costas</w:t>
      </w:r>
      <w:r w:rsidRPr="00CD68BA">
        <w:rPr>
          <w:szCs w:val="16"/>
          <w:lang w:val="es-CR" w:eastAsia="es-ES"/>
        </w:rPr>
        <w:t>. Sentencia de 30 de junio de 2009. Serie C No. 197, párr. 21</w:t>
      </w:r>
      <w:r w:rsidRPr="00CD68BA">
        <w:rPr>
          <w:szCs w:val="16"/>
          <w:lang w:val="es-CR"/>
        </w:rPr>
        <w:t>.</w:t>
      </w:r>
      <w:r w:rsidR="00DF0487" w:rsidRPr="00CD68BA">
        <w:rPr>
          <w:szCs w:val="16"/>
          <w:lang w:val="es-CR"/>
        </w:rPr>
        <w:t xml:space="preserve"> </w:t>
      </w:r>
    </w:p>
  </w:footnote>
  <w:footnote w:id="22">
    <w:p w14:paraId="4B5F5158" w14:textId="25920BE2" w:rsidR="00945C07" w:rsidRPr="00CD68BA" w:rsidRDefault="00945C07" w:rsidP="00D12B21">
      <w:pPr>
        <w:autoSpaceDE w:val="0"/>
        <w:autoSpaceDN w:val="0"/>
        <w:adjustRightInd w:val="0"/>
        <w:spacing w:before="0"/>
        <w:rPr>
          <w:rFonts w:cs="Verdana"/>
          <w:sz w:val="16"/>
          <w:szCs w:val="16"/>
          <w:lang w:val="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 xml:space="preserve">Cfr. </w:t>
      </w:r>
      <w:r w:rsidRPr="00CD68BA">
        <w:rPr>
          <w:i/>
          <w:sz w:val="16"/>
          <w:szCs w:val="16"/>
          <w:lang w:val="es-CR"/>
        </w:rPr>
        <w:t xml:space="preserve">Caso de los “Niños de la Calle” (Villagrán Morales y otros) Vs. Guatemala. Fondo. </w:t>
      </w:r>
      <w:r w:rsidRPr="00CD68BA">
        <w:rPr>
          <w:sz w:val="16"/>
          <w:szCs w:val="16"/>
          <w:lang w:val="es-CR"/>
        </w:rPr>
        <w:t>Sentencia de 19 de</w:t>
      </w:r>
      <w:r w:rsidRPr="00CD68BA">
        <w:rPr>
          <w:spacing w:val="1"/>
          <w:sz w:val="16"/>
          <w:szCs w:val="16"/>
          <w:lang w:val="es-CR"/>
        </w:rPr>
        <w:t xml:space="preserve"> </w:t>
      </w:r>
      <w:r w:rsidRPr="00CD68BA">
        <w:rPr>
          <w:sz w:val="16"/>
          <w:szCs w:val="16"/>
          <w:lang w:val="es-CR"/>
        </w:rPr>
        <w:t xml:space="preserve">noviembre de 1999. Serie C No. 63, párr. 222, y </w:t>
      </w:r>
      <w:r w:rsidR="00471A27" w:rsidRPr="00CD68BA">
        <w:rPr>
          <w:i/>
          <w:iCs/>
          <w:sz w:val="16"/>
          <w:szCs w:val="16"/>
          <w:lang w:val="es-CR"/>
        </w:rPr>
        <w:t>Caso Digna Ochoa y familiares Vs. México. Excepciones Preliminares, Fondo, Reparaciones y Costas</w:t>
      </w:r>
      <w:r w:rsidR="00471A27" w:rsidRPr="00CD68BA">
        <w:rPr>
          <w:sz w:val="16"/>
          <w:szCs w:val="16"/>
          <w:lang w:val="es-CR"/>
        </w:rPr>
        <w:t>. Sentencia de 25 de noviembre de 2021. Serie C No. 447, párr. 38.</w:t>
      </w:r>
      <w:r w:rsidR="00471A27" w:rsidRPr="00CD68BA" w:rsidDel="00471A27">
        <w:rPr>
          <w:i/>
          <w:iCs/>
          <w:sz w:val="16"/>
          <w:szCs w:val="16"/>
          <w:lang w:val="es-CR"/>
        </w:rPr>
        <w:t xml:space="preserve"> </w:t>
      </w:r>
    </w:p>
  </w:footnote>
  <w:footnote w:id="23">
    <w:p w14:paraId="4F410736" w14:textId="1DA1FBA5" w:rsidR="00AF7F0C" w:rsidRPr="00CD68BA" w:rsidRDefault="00AF7F0C" w:rsidP="00D12B21">
      <w:pPr>
        <w:autoSpaceDE w:val="0"/>
        <w:autoSpaceDN w:val="0"/>
        <w:adjustRightInd w:val="0"/>
        <w:spacing w:before="0"/>
        <w:rPr>
          <w:rFonts w:cs="Verdana"/>
          <w:sz w:val="16"/>
          <w:szCs w:val="16"/>
          <w:lang w:val="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 xml:space="preserve">Cfr. </w:t>
      </w:r>
      <w:r w:rsidRPr="00CD68BA">
        <w:rPr>
          <w:i/>
          <w:sz w:val="16"/>
          <w:szCs w:val="16"/>
          <w:lang w:val="es-CR"/>
        </w:rPr>
        <w:t>Caso de los “Niños de la Calle” (Villagrán Morales y otros) Vs. Guatemala</w:t>
      </w:r>
      <w:r w:rsidR="000B72B4" w:rsidRPr="00CD68BA">
        <w:rPr>
          <w:i/>
          <w:sz w:val="16"/>
          <w:szCs w:val="16"/>
          <w:lang w:val="es-CR"/>
        </w:rPr>
        <w:t>, supra</w:t>
      </w:r>
      <w:r w:rsidRPr="00CD68BA">
        <w:rPr>
          <w:sz w:val="16"/>
          <w:szCs w:val="16"/>
          <w:lang w:val="es-CR"/>
        </w:rPr>
        <w:t>, párr. 222</w:t>
      </w:r>
      <w:r w:rsidRPr="00CD68BA">
        <w:rPr>
          <w:rFonts w:cs="Verdana"/>
          <w:sz w:val="16"/>
          <w:szCs w:val="16"/>
          <w:lang w:val="es-CR"/>
        </w:rPr>
        <w:t xml:space="preserve">, párr. 32, y </w:t>
      </w:r>
      <w:r w:rsidRPr="00CD68BA">
        <w:rPr>
          <w:rFonts w:cs="Verdana"/>
          <w:i/>
          <w:iCs/>
          <w:sz w:val="16"/>
          <w:szCs w:val="16"/>
          <w:lang w:val="es-CR"/>
        </w:rPr>
        <w:t>Caso Digna Ochoa y familiares Vs. México</w:t>
      </w:r>
      <w:r w:rsidR="000B72B4" w:rsidRPr="00CD68BA">
        <w:rPr>
          <w:rFonts w:cs="Verdana"/>
          <w:i/>
          <w:iCs/>
          <w:sz w:val="16"/>
          <w:szCs w:val="16"/>
          <w:lang w:val="es-CR"/>
        </w:rPr>
        <w:t>, supra</w:t>
      </w:r>
      <w:r w:rsidRPr="00CD68BA">
        <w:rPr>
          <w:rFonts w:cs="Verdana"/>
          <w:sz w:val="16"/>
          <w:szCs w:val="16"/>
          <w:lang w:val="es-CR"/>
        </w:rPr>
        <w:t>, párr. 38.</w:t>
      </w:r>
    </w:p>
  </w:footnote>
  <w:footnote w:id="24">
    <w:p w14:paraId="67BC95E1" w14:textId="1C8A9F5C" w:rsidR="00671245" w:rsidRPr="00CD68BA" w:rsidRDefault="00671245" w:rsidP="00D12B21">
      <w:pPr>
        <w:autoSpaceDE w:val="0"/>
        <w:autoSpaceDN w:val="0"/>
        <w:adjustRightInd w:val="0"/>
        <w:spacing w:before="0"/>
        <w:rPr>
          <w:rFonts w:cs="Verdana"/>
          <w:sz w:val="16"/>
          <w:szCs w:val="16"/>
          <w:lang w:val="es-CR"/>
        </w:rPr>
      </w:pPr>
      <w:r w:rsidRPr="00CD68BA">
        <w:rPr>
          <w:rStyle w:val="Refdenotaalpie"/>
          <w:sz w:val="16"/>
          <w:szCs w:val="16"/>
          <w:lang w:val="es-CR"/>
        </w:rPr>
        <w:footnoteRef/>
      </w:r>
      <w:r w:rsidRPr="009D33A1">
        <w:rPr>
          <w:sz w:val="16"/>
          <w:szCs w:val="16"/>
          <w:lang w:val="pt-BR"/>
        </w:rPr>
        <w:t xml:space="preserve"> </w:t>
      </w:r>
      <w:r w:rsidRPr="009D33A1">
        <w:rPr>
          <w:sz w:val="16"/>
          <w:szCs w:val="16"/>
          <w:lang w:val="pt-BR"/>
        </w:rPr>
        <w:tab/>
      </w:r>
      <w:r w:rsidRPr="009D33A1">
        <w:rPr>
          <w:i/>
          <w:iCs/>
          <w:sz w:val="16"/>
          <w:szCs w:val="16"/>
          <w:lang w:val="pt-BR"/>
        </w:rPr>
        <w:t>Cfr.</w:t>
      </w:r>
      <w:r w:rsidRPr="009D33A1">
        <w:rPr>
          <w:i/>
          <w:sz w:val="16"/>
          <w:szCs w:val="16"/>
          <w:lang w:val="pt-BR"/>
        </w:rPr>
        <w:t xml:space="preserve"> Caso Familia Pacheco Tineo Vs. </w:t>
      </w:r>
      <w:r w:rsidRPr="00CD68BA">
        <w:rPr>
          <w:i/>
          <w:sz w:val="16"/>
          <w:szCs w:val="16"/>
          <w:lang w:val="es-CR"/>
        </w:rPr>
        <w:t>Bolivia. Excepciones Preliminares, Fondo, Reparaciones y Costas</w:t>
      </w:r>
      <w:r w:rsidRPr="00CD68BA">
        <w:rPr>
          <w:iCs/>
          <w:sz w:val="16"/>
          <w:szCs w:val="16"/>
          <w:lang w:val="es-CR"/>
        </w:rPr>
        <w:t xml:space="preserve">. Sentencia de 25 de noviembre de 2013. Serie C No. 272, párr. 22, y </w:t>
      </w:r>
      <w:r w:rsidRPr="00CD68BA">
        <w:rPr>
          <w:rFonts w:cs="Open Sans"/>
          <w:i/>
          <w:iCs/>
          <w:sz w:val="16"/>
          <w:szCs w:val="16"/>
          <w:shd w:val="clear" w:color="auto" w:fill="FFFFFF"/>
          <w:lang w:val="es-CR"/>
        </w:rPr>
        <w:t>Caso Digna Ochoa y familiares Vs. México</w:t>
      </w:r>
      <w:r w:rsidR="00974DDB" w:rsidRPr="00CD68BA">
        <w:rPr>
          <w:rFonts w:cs="Open Sans"/>
          <w:i/>
          <w:iCs/>
          <w:sz w:val="16"/>
          <w:szCs w:val="16"/>
          <w:shd w:val="clear" w:color="auto" w:fill="FFFFFF"/>
          <w:lang w:val="es-CR"/>
        </w:rPr>
        <w:t>, supra</w:t>
      </w:r>
      <w:r w:rsidRPr="00CD68BA">
        <w:rPr>
          <w:rFonts w:cs="Verdana"/>
          <w:iCs/>
          <w:sz w:val="16"/>
          <w:szCs w:val="16"/>
          <w:lang w:val="es-CR"/>
        </w:rPr>
        <w:t>,</w:t>
      </w:r>
      <w:r w:rsidRPr="00CD68BA">
        <w:rPr>
          <w:rFonts w:cs="Verdana"/>
          <w:sz w:val="16"/>
          <w:szCs w:val="16"/>
          <w:lang w:val="es-CR"/>
        </w:rPr>
        <w:t xml:space="preserve"> párr. 33.</w:t>
      </w:r>
    </w:p>
  </w:footnote>
  <w:footnote w:id="25">
    <w:p w14:paraId="37C149EB" w14:textId="0D105182" w:rsidR="00C37F32" w:rsidRPr="00CD68BA" w:rsidRDefault="00C37F3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 establecidas en el referido artículo 57.2 del Reglamento (fuerza mayor o impedimento grave) o si se trata de un hecho superviniente, es decir, ocurrido con posterioridad a los citados momentos procesales</w:t>
      </w:r>
      <w:r w:rsidR="00820CC3" w:rsidRPr="00CD68BA">
        <w:rPr>
          <w:szCs w:val="16"/>
          <w:lang w:val="es-CR"/>
        </w:rPr>
        <w:t xml:space="preserve">. </w:t>
      </w:r>
      <w:r w:rsidR="00820CC3" w:rsidRPr="00CD68BA">
        <w:rPr>
          <w:i/>
          <w:iCs/>
          <w:szCs w:val="16"/>
          <w:lang w:val="es-CR"/>
        </w:rPr>
        <w:t>Cfr. Caso Familia Barrios Vs. Venezuela. Fondo, Reparaciones y Costas</w:t>
      </w:r>
      <w:r w:rsidR="00820CC3" w:rsidRPr="00CD68BA">
        <w:rPr>
          <w:szCs w:val="16"/>
          <w:lang w:val="es-CR"/>
        </w:rPr>
        <w:t xml:space="preserve">. Sentencia de 24 de noviembre de 2011. Serie C No. 237, párrs. 17 y 18, y </w:t>
      </w:r>
      <w:r w:rsidR="00820CC3" w:rsidRPr="00CD68BA">
        <w:rPr>
          <w:i/>
          <w:iCs/>
          <w:szCs w:val="16"/>
          <w:lang w:val="es-CR"/>
        </w:rPr>
        <w:t>Caso Federación Nacional de Trabajadores Marítimos y Portuarios (FEMAPOR) Vs. Perú, supra</w:t>
      </w:r>
      <w:r w:rsidR="00820CC3" w:rsidRPr="00CD68BA">
        <w:rPr>
          <w:szCs w:val="16"/>
          <w:lang w:val="es-CR"/>
        </w:rPr>
        <w:t>, nota al pie 33.</w:t>
      </w:r>
    </w:p>
  </w:footnote>
  <w:footnote w:id="26">
    <w:p w14:paraId="4E0C1713" w14:textId="4309CABE" w:rsidR="00C37F32" w:rsidRPr="00CD68BA" w:rsidRDefault="00C37F32" w:rsidP="00D12B21">
      <w:pPr>
        <w:pStyle w:val="Textonotapie"/>
        <w:spacing w:before="0" w:after="60"/>
        <w:rPr>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rFonts w:eastAsia="Arial Unicode MS" w:cs="Arial Unicode MS"/>
          <w:i/>
          <w:szCs w:val="16"/>
          <w:lang w:val="es-CR"/>
        </w:rPr>
        <w:t>Cfr.</w:t>
      </w:r>
      <w:r w:rsidRPr="00CD68BA">
        <w:rPr>
          <w:rFonts w:eastAsia="Arial Unicode MS" w:cs="Arial Unicode MS"/>
          <w:szCs w:val="16"/>
          <w:lang w:val="es-CR"/>
        </w:rPr>
        <w:t xml:space="preserve"> </w:t>
      </w:r>
      <w:r w:rsidRPr="00CD68BA">
        <w:rPr>
          <w:rFonts w:eastAsia="Arial Unicode MS" w:cs="Arial Unicode MS"/>
          <w:i/>
          <w:iCs/>
          <w:szCs w:val="16"/>
          <w:lang w:val="es-CR"/>
        </w:rPr>
        <w:t xml:space="preserve">Caso Velásquez Rodríguez Vs. Honduras. Fondo. </w:t>
      </w:r>
      <w:r w:rsidRPr="00CD68BA">
        <w:rPr>
          <w:rFonts w:eastAsia="Arial Unicode MS" w:cs="Arial Unicode MS"/>
          <w:szCs w:val="16"/>
          <w:lang w:val="es-CR"/>
        </w:rPr>
        <w:t xml:space="preserve">Sentencia de 29 de julio de 1988. Serie C No. 4, párr. 140, y </w:t>
      </w:r>
      <w:r w:rsidR="00441BCB" w:rsidRPr="00CD68BA">
        <w:rPr>
          <w:rFonts w:eastAsia="Arial Unicode MS" w:cs="Arial Unicode MS"/>
          <w:i/>
          <w:szCs w:val="16"/>
          <w:lang w:val="es-CR"/>
        </w:rPr>
        <w:t xml:space="preserve">Caso Pavez Pavez Vs. Chile. Fondo, Reparaciones y Costas. </w:t>
      </w:r>
      <w:r w:rsidR="00441BCB" w:rsidRPr="00CD68BA">
        <w:rPr>
          <w:rFonts w:eastAsia="Arial Unicode MS" w:cs="Arial Unicode MS"/>
          <w:iCs/>
          <w:szCs w:val="16"/>
          <w:lang w:val="es-CR"/>
        </w:rPr>
        <w:t>Sentencia de 4 de febrero de 2022. Serie C No. 449</w:t>
      </w:r>
      <w:r w:rsidRPr="00CD68BA">
        <w:rPr>
          <w:rFonts w:eastAsia="Arial Unicode MS" w:cs="Arial Unicode MS"/>
          <w:iCs/>
          <w:szCs w:val="16"/>
          <w:lang w:val="es-CR"/>
        </w:rPr>
        <w:t>, párr.</w:t>
      </w:r>
      <w:r w:rsidRPr="00CD68BA" w:rsidDel="004F7484">
        <w:rPr>
          <w:rFonts w:eastAsia="Arial Unicode MS" w:cs="Arial Unicode MS"/>
          <w:iCs/>
          <w:szCs w:val="16"/>
          <w:lang w:val="es-CR"/>
        </w:rPr>
        <w:t xml:space="preserve"> </w:t>
      </w:r>
      <w:r w:rsidR="00441BCB" w:rsidRPr="00CD68BA">
        <w:rPr>
          <w:rFonts w:eastAsia="Arial Unicode MS" w:cs="Arial Unicode MS"/>
          <w:iCs/>
          <w:szCs w:val="16"/>
          <w:lang w:val="es-CR"/>
        </w:rPr>
        <w:t>14</w:t>
      </w:r>
      <w:r w:rsidRPr="00CD68BA">
        <w:rPr>
          <w:rFonts w:eastAsia="Arial Unicode MS" w:cs="Arial Unicode MS"/>
          <w:iCs/>
          <w:szCs w:val="16"/>
          <w:lang w:val="es-CR"/>
        </w:rPr>
        <w:t>.</w:t>
      </w:r>
    </w:p>
  </w:footnote>
  <w:footnote w:id="27">
    <w:p w14:paraId="728845FF" w14:textId="0515B456" w:rsidR="00010884" w:rsidRPr="00CD68BA" w:rsidRDefault="0001088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Estos documentos son los siguientes: </w:t>
      </w:r>
      <w:r w:rsidR="00C83EDB" w:rsidRPr="00CD68BA">
        <w:rPr>
          <w:szCs w:val="16"/>
          <w:lang w:val="es-CR"/>
        </w:rPr>
        <w:t>"</w:t>
      </w:r>
      <w:bookmarkStart w:id="83" w:name="_Hlk110408038"/>
      <w:r w:rsidR="00B375BC" w:rsidRPr="00CD68BA">
        <w:rPr>
          <w:szCs w:val="16"/>
          <w:lang w:val="es-CR"/>
        </w:rPr>
        <w:t>Defensores en primera línea</w:t>
      </w:r>
      <w:r w:rsidR="00D306BF" w:rsidRPr="00CD68BA">
        <w:rPr>
          <w:szCs w:val="16"/>
          <w:lang w:val="es-CR"/>
        </w:rPr>
        <w:t xml:space="preserve">, </w:t>
      </w:r>
      <w:r w:rsidR="00B375BC" w:rsidRPr="00CD68BA">
        <w:rPr>
          <w:szCs w:val="16"/>
          <w:lang w:val="es-CR"/>
        </w:rPr>
        <w:t>Análisis Global 2021</w:t>
      </w:r>
      <w:bookmarkEnd w:id="83"/>
      <w:r w:rsidR="00C83EDB" w:rsidRPr="00CD68BA">
        <w:rPr>
          <w:szCs w:val="16"/>
          <w:lang w:val="es-CR"/>
        </w:rPr>
        <w:t>”</w:t>
      </w:r>
      <w:r w:rsidR="00D306BF" w:rsidRPr="00CD68BA">
        <w:rPr>
          <w:szCs w:val="16"/>
          <w:lang w:val="es-CR"/>
        </w:rPr>
        <w:t xml:space="preserve">, </w:t>
      </w:r>
      <w:r w:rsidR="00B375BC" w:rsidRPr="00CD68BA">
        <w:rPr>
          <w:szCs w:val="16"/>
          <w:lang w:val="es-CR"/>
        </w:rPr>
        <w:t xml:space="preserve">de </w:t>
      </w:r>
      <w:r w:rsidRPr="00CD68BA">
        <w:rPr>
          <w:szCs w:val="16"/>
          <w:lang w:val="es-CR"/>
        </w:rPr>
        <w:t xml:space="preserve">23 de </w:t>
      </w:r>
      <w:r w:rsidR="00D306BF" w:rsidRPr="00CD68BA">
        <w:rPr>
          <w:szCs w:val="16"/>
          <w:lang w:val="es-CR"/>
        </w:rPr>
        <w:t>febrero</w:t>
      </w:r>
      <w:r w:rsidRPr="00CD68BA">
        <w:rPr>
          <w:szCs w:val="16"/>
          <w:lang w:val="es-CR"/>
        </w:rPr>
        <w:t xml:space="preserve"> de 2022</w:t>
      </w:r>
      <w:r w:rsidR="00D306BF" w:rsidRPr="00CD68BA">
        <w:rPr>
          <w:szCs w:val="16"/>
          <w:lang w:val="es-CR"/>
        </w:rPr>
        <w:t xml:space="preserve"> (Anexo 1)</w:t>
      </w:r>
      <w:r w:rsidRPr="00CD68BA">
        <w:rPr>
          <w:szCs w:val="16"/>
          <w:lang w:val="es-CR"/>
        </w:rPr>
        <w:t xml:space="preserve">; </w:t>
      </w:r>
      <w:r w:rsidR="00B375BC" w:rsidRPr="00CD68BA">
        <w:rPr>
          <w:szCs w:val="16"/>
          <w:lang w:val="es-CR"/>
        </w:rPr>
        <w:t>Reporteros sin Fronteras</w:t>
      </w:r>
      <w:r w:rsidR="00C83EDB" w:rsidRPr="00CD68BA">
        <w:rPr>
          <w:szCs w:val="16"/>
          <w:lang w:val="es-CR"/>
        </w:rPr>
        <w:t>.</w:t>
      </w:r>
      <w:r w:rsidR="00B375BC" w:rsidRPr="00CD68BA">
        <w:rPr>
          <w:szCs w:val="16"/>
          <w:lang w:val="es-CR"/>
        </w:rPr>
        <w:t xml:space="preserve"> </w:t>
      </w:r>
      <w:r w:rsidR="00B375BC" w:rsidRPr="00CD68BA">
        <w:rPr>
          <w:i/>
          <w:iCs/>
          <w:szCs w:val="16"/>
          <w:lang w:val="es-CR"/>
        </w:rPr>
        <w:t xml:space="preserve">“En riesgo: cómo superar las deficiencias de los programas de protección de periodistas en </w:t>
      </w:r>
      <w:r w:rsidRPr="00CD68BA">
        <w:rPr>
          <w:i/>
          <w:iCs/>
          <w:szCs w:val="16"/>
          <w:lang w:val="es-CR"/>
        </w:rPr>
        <w:t>América Latina</w:t>
      </w:r>
      <w:r w:rsidR="00D306BF" w:rsidRPr="00CD68BA">
        <w:rPr>
          <w:i/>
          <w:iCs/>
          <w:szCs w:val="16"/>
          <w:lang w:val="es-CR"/>
        </w:rPr>
        <w:t>”</w:t>
      </w:r>
      <w:r w:rsidR="00B375BC" w:rsidRPr="00CD68BA">
        <w:rPr>
          <w:szCs w:val="16"/>
          <w:lang w:val="es-CR"/>
        </w:rPr>
        <w:t>, de</w:t>
      </w:r>
      <w:r w:rsidRPr="00CD68BA">
        <w:rPr>
          <w:szCs w:val="16"/>
          <w:lang w:val="es-CR"/>
        </w:rPr>
        <w:t xml:space="preserve"> </w:t>
      </w:r>
      <w:r w:rsidR="00B375BC" w:rsidRPr="00CD68BA">
        <w:rPr>
          <w:szCs w:val="16"/>
          <w:lang w:val="es-CR"/>
        </w:rPr>
        <w:t>f</w:t>
      </w:r>
      <w:r w:rsidR="00D306BF" w:rsidRPr="00CD68BA">
        <w:rPr>
          <w:szCs w:val="16"/>
          <w:lang w:val="es-CR"/>
        </w:rPr>
        <w:t>ebrero</w:t>
      </w:r>
      <w:r w:rsidRPr="00CD68BA">
        <w:rPr>
          <w:szCs w:val="16"/>
          <w:lang w:val="es-CR"/>
        </w:rPr>
        <w:t xml:space="preserve"> de 2022</w:t>
      </w:r>
      <w:r w:rsidR="00D306BF" w:rsidRPr="00CD68BA">
        <w:rPr>
          <w:szCs w:val="16"/>
          <w:lang w:val="es-CR"/>
        </w:rPr>
        <w:t xml:space="preserve"> (Anexo 2)</w:t>
      </w:r>
      <w:r w:rsidR="00C24FC7" w:rsidRPr="00CD68BA">
        <w:rPr>
          <w:szCs w:val="16"/>
          <w:lang w:val="es-CR"/>
        </w:rPr>
        <w:t xml:space="preserve">, y </w:t>
      </w:r>
      <w:r w:rsidR="00B375BC" w:rsidRPr="00CD68BA">
        <w:rPr>
          <w:szCs w:val="16"/>
          <w:lang w:val="es-CR"/>
        </w:rPr>
        <w:t xml:space="preserve">Justicia </w:t>
      </w:r>
      <w:r w:rsidR="00CC1AAA" w:rsidRPr="00CD68BA">
        <w:rPr>
          <w:szCs w:val="16"/>
          <w:lang w:val="es-CR"/>
        </w:rPr>
        <w:t>Global y Tierra de Derechos</w:t>
      </w:r>
      <w:r w:rsidR="00C83EDB" w:rsidRPr="00CD68BA">
        <w:rPr>
          <w:szCs w:val="16"/>
          <w:lang w:val="es-CR"/>
        </w:rPr>
        <w:t>.</w:t>
      </w:r>
      <w:r w:rsidR="00D306BF" w:rsidRPr="00CD68BA">
        <w:rPr>
          <w:szCs w:val="16"/>
          <w:lang w:val="es-CR"/>
        </w:rPr>
        <w:t xml:space="preserve"> </w:t>
      </w:r>
      <w:r w:rsidR="00CC1AAA" w:rsidRPr="00CD68BA">
        <w:rPr>
          <w:i/>
          <w:iCs/>
          <w:szCs w:val="16"/>
          <w:lang w:val="es-CR"/>
        </w:rPr>
        <w:t>“¿El comienzo del fin? El peor momento del Programa de Protección a Defensores de Derechos Humanos, Comunicadores y Ambientalistas”</w:t>
      </w:r>
      <w:r w:rsidR="00D306BF" w:rsidRPr="00CD68BA">
        <w:rPr>
          <w:szCs w:val="16"/>
          <w:lang w:val="es-CR"/>
        </w:rPr>
        <w:t xml:space="preserve">, </w:t>
      </w:r>
      <w:r w:rsidR="00CC1AAA" w:rsidRPr="00CD68BA">
        <w:rPr>
          <w:szCs w:val="16"/>
          <w:lang w:val="es-CR"/>
        </w:rPr>
        <w:t xml:space="preserve">de </w:t>
      </w:r>
      <w:r w:rsidR="00D306BF" w:rsidRPr="00CD68BA">
        <w:rPr>
          <w:szCs w:val="16"/>
          <w:lang w:val="es-CR"/>
        </w:rPr>
        <w:t>diciembre</w:t>
      </w:r>
      <w:r w:rsidR="00C24FC7" w:rsidRPr="00CD68BA">
        <w:rPr>
          <w:szCs w:val="16"/>
          <w:lang w:val="es-CR"/>
        </w:rPr>
        <w:t xml:space="preserve"> de 2021</w:t>
      </w:r>
      <w:r w:rsidR="00D306BF" w:rsidRPr="00CD68BA">
        <w:rPr>
          <w:szCs w:val="16"/>
          <w:lang w:val="es-CR"/>
        </w:rPr>
        <w:t xml:space="preserve"> (Anexo 3)</w:t>
      </w:r>
      <w:r w:rsidR="00C24FC7" w:rsidRPr="00CD68BA">
        <w:rPr>
          <w:szCs w:val="16"/>
          <w:lang w:val="es-CR"/>
        </w:rPr>
        <w:t>.</w:t>
      </w:r>
    </w:p>
  </w:footnote>
  <w:footnote w:id="28">
    <w:p w14:paraId="64693C52" w14:textId="492A3D8D" w:rsidR="006543E6" w:rsidRPr="00CD68BA" w:rsidRDefault="006543E6" w:rsidP="00D12B21">
      <w:pPr>
        <w:pStyle w:val="Textonotapie"/>
        <w:spacing w:before="0" w:after="60"/>
        <w:rPr>
          <w:b/>
          <w:bCs/>
          <w:color w:val="FF0000"/>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Estos documentos son los siguientes</w:t>
      </w:r>
      <w:r w:rsidR="002525D8" w:rsidRPr="00CD68BA">
        <w:rPr>
          <w:szCs w:val="16"/>
          <w:lang w:val="es-CR"/>
        </w:rPr>
        <w:t xml:space="preserve">: </w:t>
      </w:r>
      <w:r w:rsidR="00A80571" w:rsidRPr="00CD68BA">
        <w:rPr>
          <w:szCs w:val="16"/>
          <w:lang w:val="es-CR"/>
        </w:rPr>
        <w:t>Decisión de</w:t>
      </w:r>
      <w:r w:rsidR="00301575" w:rsidRPr="00CD68BA">
        <w:rPr>
          <w:szCs w:val="16"/>
          <w:lang w:val="es-CR"/>
        </w:rPr>
        <w:t xml:space="preserve"> la Primera Sala</w:t>
      </w:r>
      <w:r w:rsidR="00A80571" w:rsidRPr="00CD68BA">
        <w:rPr>
          <w:szCs w:val="16"/>
          <w:lang w:val="es-CR"/>
        </w:rPr>
        <w:t xml:space="preserve"> </w:t>
      </w:r>
      <w:r w:rsidR="00301575" w:rsidRPr="00CD68BA">
        <w:rPr>
          <w:szCs w:val="16"/>
          <w:lang w:val="es-CR"/>
        </w:rPr>
        <w:t>del Superior</w:t>
      </w:r>
      <w:r w:rsidR="00C83EDB" w:rsidRPr="00CD68BA">
        <w:rPr>
          <w:szCs w:val="16"/>
          <w:lang w:val="es-CR"/>
        </w:rPr>
        <w:t xml:space="preserve"> Tribunal</w:t>
      </w:r>
      <w:r w:rsidR="00301575" w:rsidRPr="00CD68BA">
        <w:rPr>
          <w:szCs w:val="16"/>
          <w:lang w:val="es-CR"/>
        </w:rPr>
        <w:t xml:space="preserve"> de Justicia </w:t>
      </w:r>
      <w:r w:rsidR="00A80571" w:rsidRPr="00CD68BA">
        <w:rPr>
          <w:szCs w:val="16"/>
          <w:lang w:val="es-CR"/>
        </w:rPr>
        <w:t>en los “embargos de declaración” relacionado</w:t>
      </w:r>
      <w:r w:rsidR="00301575" w:rsidRPr="00CD68BA">
        <w:rPr>
          <w:szCs w:val="16"/>
          <w:lang w:val="es-CR"/>
        </w:rPr>
        <w:t>s</w:t>
      </w:r>
      <w:r w:rsidR="00A80571" w:rsidRPr="00CD68BA">
        <w:rPr>
          <w:szCs w:val="16"/>
          <w:lang w:val="es-CR"/>
        </w:rPr>
        <w:t xml:space="preserve"> con el Recurso Especial </w:t>
      </w:r>
      <w:r w:rsidR="00301575" w:rsidRPr="00CD68BA">
        <w:rPr>
          <w:szCs w:val="16"/>
          <w:lang w:val="es-CR"/>
        </w:rPr>
        <w:t>No</w:t>
      </w:r>
      <w:r w:rsidR="00A80571" w:rsidRPr="00CD68BA">
        <w:rPr>
          <w:szCs w:val="16"/>
          <w:lang w:val="es-CR"/>
        </w:rPr>
        <w:t xml:space="preserve">. 1303755 (Anexo 1); Trámite procesal del “Agravio” en Recurso Especial </w:t>
      </w:r>
      <w:r w:rsidR="00301575" w:rsidRPr="00CD68BA">
        <w:rPr>
          <w:szCs w:val="16"/>
          <w:lang w:val="es-CR"/>
        </w:rPr>
        <w:t>No.</w:t>
      </w:r>
      <w:r w:rsidR="00A80571" w:rsidRPr="00CD68BA">
        <w:rPr>
          <w:szCs w:val="16"/>
          <w:lang w:val="es-CR"/>
        </w:rPr>
        <w:t xml:space="preserve"> 1303755 (Anexo 2); Decreto </w:t>
      </w:r>
      <w:r w:rsidR="00301575" w:rsidRPr="00CD68BA">
        <w:rPr>
          <w:szCs w:val="16"/>
          <w:lang w:val="es-CR"/>
        </w:rPr>
        <w:t>No</w:t>
      </w:r>
      <w:r w:rsidR="00A80571" w:rsidRPr="00CD68BA">
        <w:rPr>
          <w:szCs w:val="16"/>
          <w:lang w:val="es-CR"/>
        </w:rPr>
        <w:t xml:space="preserve">. 10.815/2021 (Anexo 3); Resolución </w:t>
      </w:r>
      <w:r w:rsidR="00301575" w:rsidRPr="00CD68BA">
        <w:rPr>
          <w:szCs w:val="16"/>
          <w:lang w:val="es-CR"/>
        </w:rPr>
        <w:t>No</w:t>
      </w:r>
      <w:r w:rsidR="00A80571" w:rsidRPr="00CD68BA">
        <w:rPr>
          <w:szCs w:val="16"/>
          <w:lang w:val="es-CR"/>
        </w:rPr>
        <w:t xml:space="preserve">. 201, de 4 de noviembre de 2019, del Consejo Nacional del Ministerio Público (Anexo 4); Ley </w:t>
      </w:r>
      <w:r w:rsidR="00301575" w:rsidRPr="00CD68BA">
        <w:rPr>
          <w:szCs w:val="16"/>
          <w:lang w:val="es-CR"/>
        </w:rPr>
        <w:t>No</w:t>
      </w:r>
      <w:r w:rsidR="00A80571" w:rsidRPr="00CD68BA">
        <w:rPr>
          <w:szCs w:val="16"/>
          <w:lang w:val="es-CR"/>
        </w:rPr>
        <w:t xml:space="preserve">. 12.403, de 4 de mayo de 2011 (Anexo 5); Resolución </w:t>
      </w:r>
      <w:r w:rsidR="00301575" w:rsidRPr="00CD68BA">
        <w:rPr>
          <w:szCs w:val="16"/>
          <w:lang w:val="es-CR"/>
        </w:rPr>
        <w:t>No</w:t>
      </w:r>
      <w:r w:rsidR="00A80571" w:rsidRPr="00CD68BA">
        <w:rPr>
          <w:szCs w:val="16"/>
          <w:lang w:val="es-CR"/>
        </w:rPr>
        <w:t xml:space="preserve">. 251/2018 del Consejo Nacional de Justicia (Anexo 6), y Resolución </w:t>
      </w:r>
      <w:r w:rsidR="00301575" w:rsidRPr="00CD68BA">
        <w:rPr>
          <w:szCs w:val="16"/>
          <w:lang w:val="es-CR"/>
        </w:rPr>
        <w:t>No</w:t>
      </w:r>
      <w:r w:rsidR="00A80571" w:rsidRPr="00CD68BA">
        <w:rPr>
          <w:szCs w:val="16"/>
          <w:lang w:val="es-CR"/>
        </w:rPr>
        <w:t>. 417/2021 del Consejo Nacional de Justicia (Anexo 7).</w:t>
      </w:r>
      <w:r w:rsidR="00DD451F" w:rsidRPr="00CD68BA">
        <w:rPr>
          <w:szCs w:val="16"/>
          <w:lang w:val="es-CR"/>
        </w:rPr>
        <w:t xml:space="preserve"> </w:t>
      </w:r>
    </w:p>
  </w:footnote>
  <w:footnote w:id="29">
    <w:p w14:paraId="7331BAFC" w14:textId="0D040969" w:rsidR="006543E6" w:rsidRPr="00CD68BA" w:rsidRDefault="006543E6"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Estos documentos son los siguientes:</w:t>
      </w:r>
      <w:r w:rsidR="00653C75" w:rsidRPr="00CD68BA">
        <w:rPr>
          <w:szCs w:val="16"/>
          <w:lang w:val="es-CR"/>
        </w:rPr>
        <w:t xml:space="preserve"> C</w:t>
      </w:r>
      <w:r w:rsidR="00301575" w:rsidRPr="00CD68BA">
        <w:rPr>
          <w:szCs w:val="16"/>
          <w:lang w:val="es-CR"/>
        </w:rPr>
        <w:t xml:space="preserve">omisión </w:t>
      </w:r>
      <w:r w:rsidR="00653C75" w:rsidRPr="00CD68BA">
        <w:rPr>
          <w:szCs w:val="16"/>
          <w:lang w:val="es-CR"/>
        </w:rPr>
        <w:t>P</w:t>
      </w:r>
      <w:r w:rsidR="00301575" w:rsidRPr="00CD68BA">
        <w:rPr>
          <w:szCs w:val="16"/>
          <w:lang w:val="es-CR"/>
        </w:rPr>
        <w:t>astoral de la Tierra</w:t>
      </w:r>
      <w:r w:rsidR="00C83EDB" w:rsidRPr="00CD68BA">
        <w:rPr>
          <w:szCs w:val="16"/>
          <w:lang w:val="es-CR"/>
        </w:rPr>
        <w:t>.</w:t>
      </w:r>
      <w:r w:rsidR="00653C75" w:rsidRPr="00CD68BA">
        <w:rPr>
          <w:szCs w:val="16"/>
          <w:lang w:val="es-CR"/>
        </w:rPr>
        <w:t xml:space="preserve"> </w:t>
      </w:r>
      <w:r w:rsidR="00BF4B1D" w:rsidRPr="00CD68BA">
        <w:rPr>
          <w:szCs w:val="16"/>
          <w:lang w:val="es-CR"/>
        </w:rPr>
        <w:t>“</w:t>
      </w:r>
      <w:r w:rsidR="00653C75" w:rsidRPr="00CD68BA">
        <w:rPr>
          <w:i/>
          <w:iCs/>
          <w:szCs w:val="16"/>
          <w:lang w:val="es-CR"/>
        </w:rPr>
        <w:t xml:space="preserve">Reforma </w:t>
      </w:r>
      <w:r w:rsidR="00DD451F" w:rsidRPr="00CD68BA">
        <w:rPr>
          <w:i/>
          <w:iCs/>
          <w:szCs w:val="16"/>
          <w:lang w:val="es-CR"/>
        </w:rPr>
        <w:t>Agraria</w:t>
      </w:r>
      <w:r w:rsidR="00653C75" w:rsidRPr="00CD68BA">
        <w:rPr>
          <w:i/>
          <w:iCs/>
          <w:szCs w:val="16"/>
          <w:lang w:val="es-CR"/>
        </w:rPr>
        <w:t xml:space="preserve"> </w:t>
      </w:r>
      <w:r w:rsidR="00301575" w:rsidRPr="00CD68BA">
        <w:rPr>
          <w:i/>
          <w:iCs/>
          <w:szCs w:val="16"/>
          <w:lang w:val="es-CR"/>
        </w:rPr>
        <w:t>en</w:t>
      </w:r>
      <w:r w:rsidR="00653C75" w:rsidRPr="00CD68BA">
        <w:rPr>
          <w:i/>
          <w:iCs/>
          <w:szCs w:val="16"/>
          <w:lang w:val="es-CR"/>
        </w:rPr>
        <w:t xml:space="preserve"> Brasil</w:t>
      </w:r>
      <w:r w:rsidR="00BF4B1D" w:rsidRPr="00CD68BA">
        <w:rPr>
          <w:i/>
          <w:iCs/>
          <w:szCs w:val="16"/>
          <w:lang w:val="es-CR"/>
        </w:rPr>
        <w:t>”</w:t>
      </w:r>
      <w:r w:rsidR="00653C75" w:rsidRPr="00CD68BA">
        <w:rPr>
          <w:szCs w:val="16"/>
          <w:lang w:val="es-CR"/>
        </w:rPr>
        <w:t xml:space="preserve">, </w:t>
      </w:r>
      <w:r w:rsidR="00872232" w:rsidRPr="00CD68BA">
        <w:rPr>
          <w:szCs w:val="16"/>
          <w:lang w:val="es-CR"/>
        </w:rPr>
        <w:t xml:space="preserve">de </w:t>
      </w:r>
      <w:r w:rsidR="00653C75" w:rsidRPr="00CD68BA">
        <w:rPr>
          <w:szCs w:val="16"/>
          <w:lang w:val="es-CR"/>
        </w:rPr>
        <w:t>2022</w:t>
      </w:r>
      <w:r w:rsidR="00BF4B1D" w:rsidRPr="00CD68BA">
        <w:rPr>
          <w:szCs w:val="16"/>
          <w:lang w:val="es-CR"/>
        </w:rPr>
        <w:t xml:space="preserve"> (Anexo 1)</w:t>
      </w:r>
      <w:r w:rsidR="00653C75" w:rsidRPr="00CD68BA">
        <w:rPr>
          <w:szCs w:val="16"/>
          <w:lang w:val="es-CR"/>
        </w:rPr>
        <w:t>; Comi</w:t>
      </w:r>
      <w:r w:rsidR="00301575" w:rsidRPr="00CD68BA">
        <w:rPr>
          <w:szCs w:val="16"/>
          <w:lang w:val="es-CR"/>
        </w:rPr>
        <w:t>sión</w:t>
      </w:r>
      <w:r w:rsidR="00653C75" w:rsidRPr="00CD68BA">
        <w:rPr>
          <w:szCs w:val="16"/>
          <w:lang w:val="es-CR"/>
        </w:rPr>
        <w:t xml:space="preserve"> Pastoral d</w:t>
      </w:r>
      <w:r w:rsidR="00301575" w:rsidRPr="00CD68BA">
        <w:rPr>
          <w:szCs w:val="16"/>
          <w:lang w:val="es-CR"/>
        </w:rPr>
        <w:t>e l</w:t>
      </w:r>
      <w:r w:rsidR="00653C75" w:rsidRPr="00CD68BA">
        <w:rPr>
          <w:szCs w:val="16"/>
          <w:lang w:val="es-CR"/>
        </w:rPr>
        <w:t>a T</w:t>
      </w:r>
      <w:r w:rsidR="00301575" w:rsidRPr="00CD68BA">
        <w:rPr>
          <w:szCs w:val="16"/>
          <w:lang w:val="es-CR"/>
        </w:rPr>
        <w:t>i</w:t>
      </w:r>
      <w:r w:rsidR="00653C75" w:rsidRPr="00CD68BA">
        <w:rPr>
          <w:szCs w:val="16"/>
          <w:lang w:val="es-CR"/>
        </w:rPr>
        <w:t>erra</w:t>
      </w:r>
      <w:r w:rsidR="00C83EDB" w:rsidRPr="00CD68BA">
        <w:rPr>
          <w:szCs w:val="16"/>
          <w:lang w:val="es-CR"/>
        </w:rPr>
        <w:t>.</w:t>
      </w:r>
      <w:r w:rsidR="00653C75" w:rsidRPr="00CD68BA">
        <w:rPr>
          <w:szCs w:val="16"/>
          <w:lang w:val="es-CR"/>
        </w:rPr>
        <w:t xml:space="preserve"> </w:t>
      </w:r>
      <w:r w:rsidR="00BF4B1D" w:rsidRPr="00CD68BA">
        <w:rPr>
          <w:i/>
          <w:iCs/>
          <w:szCs w:val="16"/>
          <w:lang w:val="es-CR"/>
        </w:rPr>
        <w:t>“</w:t>
      </w:r>
      <w:r w:rsidR="00DD451F" w:rsidRPr="00CD68BA">
        <w:rPr>
          <w:i/>
          <w:iCs/>
          <w:szCs w:val="16"/>
          <w:lang w:val="es-CR"/>
        </w:rPr>
        <w:t>Conflictos</w:t>
      </w:r>
      <w:r w:rsidR="00653C75" w:rsidRPr="00CD68BA">
        <w:rPr>
          <w:i/>
          <w:iCs/>
          <w:szCs w:val="16"/>
          <w:lang w:val="es-CR"/>
        </w:rPr>
        <w:t xml:space="preserve"> </w:t>
      </w:r>
      <w:r w:rsidR="00872232" w:rsidRPr="00CD68BA">
        <w:rPr>
          <w:i/>
          <w:iCs/>
          <w:szCs w:val="16"/>
          <w:lang w:val="es-CR"/>
        </w:rPr>
        <w:t>en el</w:t>
      </w:r>
      <w:r w:rsidR="00653C75" w:rsidRPr="00CD68BA">
        <w:rPr>
          <w:i/>
          <w:iCs/>
          <w:szCs w:val="16"/>
          <w:lang w:val="es-CR"/>
        </w:rPr>
        <w:t xml:space="preserve"> Campo Brasil</w:t>
      </w:r>
      <w:r w:rsidR="00653C75" w:rsidRPr="00CD68BA">
        <w:rPr>
          <w:szCs w:val="16"/>
          <w:lang w:val="es-CR"/>
        </w:rPr>
        <w:t xml:space="preserve"> 2021</w:t>
      </w:r>
      <w:r w:rsidR="00872232" w:rsidRPr="00CD68BA">
        <w:rPr>
          <w:szCs w:val="16"/>
          <w:lang w:val="es-CR"/>
        </w:rPr>
        <w:t>”</w:t>
      </w:r>
      <w:r w:rsidR="00BF4B1D" w:rsidRPr="00CD68BA">
        <w:rPr>
          <w:szCs w:val="16"/>
          <w:lang w:val="es-CR"/>
        </w:rPr>
        <w:t>,</w:t>
      </w:r>
      <w:r w:rsidR="00653C75" w:rsidRPr="00CD68BA">
        <w:rPr>
          <w:szCs w:val="16"/>
          <w:lang w:val="es-CR"/>
        </w:rPr>
        <w:t xml:space="preserve"> </w:t>
      </w:r>
      <w:r w:rsidR="00872232" w:rsidRPr="00CD68BA">
        <w:rPr>
          <w:szCs w:val="16"/>
          <w:lang w:val="es-CR"/>
        </w:rPr>
        <w:t xml:space="preserve">de </w:t>
      </w:r>
      <w:r w:rsidR="0086293B" w:rsidRPr="00CD68BA">
        <w:rPr>
          <w:szCs w:val="16"/>
          <w:lang w:val="es-CR"/>
        </w:rPr>
        <w:t>a</w:t>
      </w:r>
      <w:r w:rsidR="00653C75" w:rsidRPr="00CD68BA">
        <w:rPr>
          <w:szCs w:val="16"/>
          <w:lang w:val="es-CR"/>
        </w:rPr>
        <w:t>bril de 2022</w:t>
      </w:r>
      <w:r w:rsidR="00BF4B1D" w:rsidRPr="00CD68BA">
        <w:rPr>
          <w:szCs w:val="16"/>
          <w:lang w:val="es-CR"/>
        </w:rPr>
        <w:t xml:space="preserve"> (Anexo 2)</w:t>
      </w:r>
      <w:r w:rsidR="00653C75" w:rsidRPr="00CD68BA">
        <w:rPr>
          <w:szCs w:val="16"/>
          <w:lang w:val="es-CR"/>
        </w:rPr>
        <w:t xml:space="preserve">; </w:t>
      </w:r>
      <w:r w:rsidR="00872232" w:rsidRPr="00CD68BA">
        <w:rPr>
          <w:szCs w:val="16"/>
          <w:lang w:val="es-CR"/>
        </w:rPr>
        <w:t>Comisión Pastoral de la Tierra</w:t>
      </w:r>
      <w:r w:rsidR="00C83EDB" w:rsidRPr="00CD68BA">
        <w:rPr>
          <w:szCs w:val="16"/>
          <w:lang w:val="es-CR"/>
        </w:rPr>
        <w:t>.</w:t>
      </w:r>
      <w:r w:rsidR="0086293B" w:rsidRPr="00CD68BA">
        <w:rPr>
          <w:szCs w:val="16"/>
          <w:lang w:val="es-CR"/>
        </w:rPr>
        <w:t xml:space="preserve"> “</w:t>
      </w:r>
      <w:r w:rsidR="0037028F" w:rsidRPr="00CD68BA">
        <w:rPr>
          <w:i/>
          <w:iCs/>
          <w:szCs w:val="16"/>
          <w:lang w:val="es-CR"/>
        </w:rPr>
        <w:t>Comunicado</w:t>
      </w:r>
      <w:r w:rsidR="00653C75" w:rsidRPr="00CD68BA">
        <w:rPr>
          <w:i/>
          <w:iCs/>
          <w:szCs w:val="16"/>
          <w:lang w:val="es-CR"/>
        </w:rPr>
        <w:t xml:space="preserve">: </w:t>
      </w:r>
      <w:r w:rsidR="0037028F" w:rsidRPr="00CD68BA">
        <w:rPr>
          <w:i/>
          <w:iCs/>
          <w:szCs w:val="16"/>
          <w:lang w:val="es-CR"/>
        </w:rPr>
        <w:t>Violencia contra la persona: aumento del 75% e</w:t>
      </w:r>
      <w:r w:rsidR="00C83EDB" w:rsidRPr="00CD68BA">
        <w:rPr>
          <w:i/>
          <w:iCs/>
          <w:szCs w:val="16"/>
          <w:lang w:val="es-CR"/>
        </w:rPr>
        <w:t>n</w:t>
      </w:r>
      <w:r w:rsidR="0037028F" w:rsidRPr="00CD68BA">
        <w:rPr>
          <w:i/>
          <w:iCs/>
          <w:szCs w:val="16"/>
          <w:lang w:val="es-CR"/>
        </w:rPr>
        <w:t xml:space="preserve"> los asesinatos, más de 1.000% de las muertes como consecuencia de </w:t>
      </w:r>
      <w:r w:rsidR="00C83EDB" w:rsidRPr="00CD68BA">
        <w:rPr>
          <w:i/>
          <w:iCs/>
          <w:szCs w:val="16"/>
          <w:lang w:val="es-CR"/>
        </w:rPr>
        <w:t xml:space="preserve">los </w:t>
      </w:r>
      <w:r w:rsidR="0037028F" w:rsidRPr="00CD68BA">
        <w:rPr>
          <w:i/>
          <w:iCs/>
          <w:szCs w:val="16"/>
          <w:lang w:val="es-CR"/>
        </w:rPr>
        <w:t>conflictos y dos masacres marcan 2021”</w:t>
      </w:r>
      <w:r w:rsidR="0086293B" w:rsidRPr="00CD68BA">
        <w:rPr>
          <w:szCs w:val="16"/>
          <w:lang w:val="es-CR"/>
        </w:rPr>
        <w:t>,</w:t>
      </w:r>
      <w:r w:rsidR="00C83EDB" w:rsidRPr="00CD68BA">
        <w:rPr>
          <w:szCs w:val="16"/>
          <w:lang w:val="es-CR"/>
        </w:rPr>
        <w:t xml:space="preserve"> de</w:t>
      </w:r>
      <w:r w:rsidR="0086293B" w:rsidRPr="00CD68BA">
        <w:rPr>
          <w:szCs w:val="16"/>
          <w:lang w:val="es-CR"/>
        </w:rPr>
        <w:t xml:space="preserve"> a</w:t>
      </w:r>
      <w:r w:rsidR="00653C75" w:rsidRPr="00CD68BA">
        <w:rPr>
          <w:szCs w:val="16"/>
          <w:lang w:val="es-CR"/>
        </w:rPr>
        <w:t>bril de 2022</w:t>
      </w:r>
      <w:r w:rsidR="0086293B" w:rsidRPr="00CD68BA">
        <w:rPr>
          <w:szCs w:val="16"/>
          <w:lang w:val="es-CR"/>
        </w:rPr>
        <w:t xml:space="preserve"> (Anexo 3)</w:t>
      </w:r>
      <w:r w:rsidR="00653C75" w:rsidRPr="00CD68BA">
        <w:rPr>
          <w:szCs w:val="16"/>
          <w:lang w:val="es-CR"/>
        </w:rPr>
        <w:t>; Superior Tribunal de Justi</w:t>
      </w:r>
      <w:r w:rsidR="0086293B" w:rsidRPr="00CD68BA">
        <w:rPr>
          <w:szCs w:val="16"/>
          <w:lang w:val="es-CR"/>
        </w:rPr>
        <w:t>cia</w:t>
      </w:r>
      <w:r w:rsidR="00C83EDB" w:rsidRPr="00CD68BA">
        <w:rPr>
          <w:szCs w:val="16"/>
          <w:lang w:val="es-CR"/>
        </w:rPr>
        <w:t>.</w:t>
      </w:r>
      <w:r w:rsidR="0086293B" w:rsidRPr="00CD68BA">
        <w:rPr>
          <w:szCs w:val="16"/>
          <w:lang w:val="es-CR"/>
        </w:rPr>
        <w:t xml:space="preserve"> </w:t>
      </w:r>
      <w:r w:rsidR="00C83EDB" w:rsidRPr="00CD68BA">
        <w:rPr>
          <w:szCs w:val="16"/>
          <w:lang w:val="es-CR"/>
        </w:rPr>
        <w:t>D</w:t>
      </w:r>
      <w:r w:rsidR="00653C75" w:rsidRPr="00CD68BA">
        <w:rPr>
          <w:szCs w:val="16"/>
          <w:lang w:val="es-CR"/>
        </w:rPr>
        <w:t>ecis</w:t>
      </w:r>
      <w:r w:rsidR="0086293B" w:rsidRPr="00CD68BA">
        <w:rPr>
          <w:szCs w:val="16"/>
          <w:lang w:val="es-CR"/>
        </w:rPr>
        <w:t>ión denegatoria de</w:t>
      </w:r>
      <w:r w:rsidR="005719CC" w:rsidRPr="00CD68BA">
        <w:rPr>
          <w:szCs w:val="16"/>
          <w:lang w:val="es-CR"/>
        </w:rPr>
        <w:t>l</w:t>
      </w:r>
      <w:r w:rsidR="0086293B" w:rsidRPr="00CD68BA">
        <w:rPr>
          <w:szCs w:val="16"/>
          <w:lang w:val="es-CR"/>
        </w:rPr>
        <w:t xml:space="preserve"> recurso del</w:t>
      </w:r>
      <w:r w:rsidR="00653C75" w:rsidRPr="00CD68BA">
        <w:rPr>
          <w:szCs w:val="16"/>
          <w:lang w:val="es-CR"/>
        </w:rPr>
        <w:t xml:space="preserve"> AREsp 1.303.755/ PA</w:t>
      </w:r>
      <w:r w:rsidR="005719CC" w:rsidRPr="00CD68BA">
        <w:rPr>
          <w:szCs w:val="16"/>
          <w:lang w:val="es-CR"/>
        </w:rPr>
        <w:t>, de</w:t>
      </w:r>
      <w:r w:rsidR="00653C75" w:rsidRPr="00CD68BA">
        <w:rPr>
          <w:szCs w:val="16"/>
          <w:lang w:val="es-CR"/>
        </w:rPr>
        <w:t xml:space="preserve"> 17 de agosto de 2021</w:t>
      </w:r>
      <w:r w:rsidR="0086293B" w:rsidRPr="00CD68BA">
        <w:rPr>
          <w:szCs w:val="16"/>
          <w:lang w:val="es-CR"/>
        </w:rPr>
        <w:t xml:space="preserve"> (Anexo 4)</w:t>
      </w:r>
      <w:r w:rsidR="00653C75" w:rsidRPr="00CD68BA">
        <w:rPr>
          <w:szCs w:val="16"/>
          <w:lang w:val="es-CR"/>
        </w:rPr>
        <w:t>; Certi</w:t>
      </w:r>
      <w:r w:rsidR="0086293B" w:rsidRPr="00CD68BA">
        <w:rPr>
          <w:szCs w:val="16"/>
          <w:lang w:val="es-CR"/>
        </w:rPr>
        <w:t xml:space="preserve">ficado de cosa juzgada de la </w:t>
      </w:r>
      <w:r w:rsidR="005719CC" w:rsidRPr="00CD68BA">
        <w:rPr>
          <w:szCs w:val="16"/>
          <w:lang w:val="es-CR"/>
        </w:rPr>
        <w:t>a</w:t>
      </w:r>
      <w:r w:rsidR="0086293B" w:rsidRPr="00CD68BA">
        <w:rPr>
          <w:szCs w:val="16"/>
          <w:lang w:val="es-CR"/>
        </w:rPr>
        <w:t xml:space="preserve">cción indemnizatoria </w:t>
      </w:r>
      <w:r w:rsidR="00653C75" w:rsidRPr="00CD68BA">
        <w:rPr>
          <w:szCs w:val="16"/>
          <w:lang w:val="es-CR"/>
        </w:rPr>
        <w:t xml:space="preserve">por </w:t>
      </w:r>
      <w:r w:rsidR="0086293B" w:rsidRPr="00CD68BA">
        <w:rPr>
          <w:szCs w:val="16"/>
          <w:lang w:val="es-CR"/>
        </w:rPr>
        <w:t>d</w:t>
      </w:r>
      <w:r w:rsidR="00653C75" w:rsidRPr="00CD68BA">
        <w:rPr>
          <w:szCs w:val="16"/>
          <w:lang w:val="es-CR"/>
        </w:rPr>
        <w:t>a</w:t>
      </w:r>
      <w:r w:rsidR="0086293B" w:rsidRPr="00CD68BA">
        <w:rPr>
          <w:szCs w:val="16"/>
          <w:lang w:val="es-CR"/>
        </w:rPr>
        <w:t>ño</w:t>
      </w:r>
      <w:r w:rsidR="00653C75" w:rsidRPr="00CD68BA">
        <w:rPr>
          <w:szCs w:val="16"/>
          <w:lang w:val="es-CR"/>
        </w:rPr>
        <w:t xml:space="preserve">s </w:t>
      </w:r>
      <w:r w:rsidR="0086293B" w:rsidRPr="00CD68BA">
        <w:rPr>
          <w:szCs w:val="16"/>
          <w:lang w:val="es-CR"/>
        </w:rPr>
        <w:t>m</w:t>
      </w:r>
      <w:r w:rsidR="00653C75" w:rsidRPr="00CD68BA">
        <w:rPr>
          <w:szCs w:val="16"/>
          <w:lang w:val="es-CR"/>
        </w:rPr>
        <w:t>ora</w:t>
      </w:r>
      <w:r w:rsidR="0086293B" w:rsidRPr="00CD68BA">
        <w:rPr>
          <w:szCs w:val="16"/>
          <w:lang w:val="es-CR"/>
        </w:rPr>
        <w:t>le</w:t>
      </w:r>
      <w:r w:rsidR="00653C75" w:rsidRPr="00CD68BA">
        <w:rPr>
          <w:szCs w:val="16"/>
          <w:lang w:val="es-CR"/>
        </w:rPr>
        <w:t xml:space="preserve">s </w:t>
      </w:r>
      <w:r w:rsidR="005719CC" w:rsidRPr="00CD68BA">
        <w:rPr>
          <w:szCs w:val="16"/>
          <w:lang w:val="es-CR"/>
        </w:rPr>
        <w:t xml:space="preserve">No. </w:t>
      </w:r>
      <w:r w:rsidR="00653C75" w:rsidRPr="00CD68BA">
        <w:rPr>
          <w:szCs w:val="16"/>
          <w:lang w:val="es-CR"/>
        </w:rPr>
        <w:t>0007348-91.2007.8.14.0028</w:t>
      </w:r>
      <w:r w:rsidR="0086293B" w:rsidRPr="00CD68BA">
        <w:rPr>
          <w:szCs w:val="16"/>
          <w:lang w:val="es-CR"/>
        </w:rPr>
        <w:t xml:space="preserve">, </w:t>
      </w:r>
      <w:r w:rsidR="005719CC" w:rsidRPr="00CD68BA">
        <w:rPr>
          <w:szCs w:val="16"/>
          <w:lang w:val="es-CR"/>
        </w:rPr>
        <w:t xml:space="preserve">de </w:t>
      </w:r>
      <w:r w:rsidR="00653C75" w:rsidRPr="00CD68BA">
        <w:rPr>
          <w:szCs w:val="16"/>
          <w:lang w:val="es-CR"/>
        </w:rPr>
        <w:t xml:space="preserve">13 de </w:t>
      </w:r>
      <w:r w:rsidR="0086293B" w:rsidRPr="00CD68BA">
        <w:rPr>
          <w:szCs w:val="16"/>
          <w:lang w:val="es-CR"/>
        </w:rPr>
        <w:t>septiembre</w:t>
      </w:r>
      <w:r w:rsidR="00653C75" w:rsidRPr="00CD68BA">
        <w:rPr>
          <w:szCs w:val="16"/>
          <w:lang w:val="es-CR"/>
        </w:rPr>
        <w:t xml:space="preserve"> de 2021</w:t>
      </w:r>
      <w:r w:rsidR="0086293B" w:rsidRPr="00CD68BA">
        <w:rPr>
          <w:szCs w:val="16"/>
          <w:lang w:val="es-CR"/>
        </w:rPr>
        <w:t xml:space="preserve"> (Anexo 5)</w:t>
      </w:r>
      <w:r w:rsidR="00653C75" w:rsidRPr="00CD68BA">
        <w:rPr>
          <w:szCs w:val="16"/>
          <w:lang w:val="es-CR"/>
        </w:rPr>
        <w:t xml:space="preserve">; </w:t>
      </w:r>
      <w:r w:rsidR="0086293B" w:rsidRPr="00CD68BA">
        <w:rPr>
          <w:szCs w:val="16"/>
          <w:lang w:val="es-CR"/>
        </w:rPr>
        <w:t>comprobantes de los gastos de la</w:t>
      </w:r>
      <w:r w:rsidR="00653C75" w:rsidRPr="00CD68BA">
        <w:rPr>
          <w:szCs w:val="16"/>
          <w:lang w:val="es-CR"/>
        </w:rPr>
        <w:t xml:space="preserve"> </w:t>
      </w:r>
      <w:r w:rsidR="005719CC" w:rsidRPr="00CD68BA">
        <w:rPr>
          <w:szCs w:val="16"/>
          <w:lang w:val="es-CR"/>
        </w:rPr>
        <w:t>Comisión Pastoral de la Tierra</w:t>
      </w:r>
      <w:r w:rsidR="0086293B" w:rsidRPr="00CD68BA">
        <w:rPr>
          <w:i/>
          <w:iCs/>
          <w:szCs w:val="16"/>
          <w:lang w:val="es-CR"/>
        </w:rPr>
        <w:t xml:space="preserve"> </w:t>
      </w:r>
      <w:r w:rsidR="0086293B" w:rsidRPr="00CD68BA">
        <w:rPr>
          <w:szCs w:val="16"/>
          <w:lang w:val="es-CR"/>
        </w:rPr>
        <w:t xml:space="preserve">(Anexo 6), y comprobantes de los gastos de </w:t>
      </w:r>
      <w:r w:rsidR="00653C75" w:rsidRPr="00CD68BA">
        <w:rPr>
          <w:szCs w:val="16"/>
          <w:lang w:val="es-CR"/>
        </w:rPr>
        <w:t>CEJIL</w:t>
      </w:r>
      <w:r w:rsidR="005719CC" w:rsidRPr="00CD68BA">
        <w:rPr>
          <w:szCs w:val="16"/>
          <w:lang w:val="es-CR"/>
        </w:rPr>
        <w:t xml:space="preserve"> (Anexo 7)</w:t>
      </w:r>
      <w:r w:rsidR="00653C75" w:rsidRPr="00CD68BA">
        <w:rPr>
          <w:szCs w:val="16"/>
          <w:lang w:val="es-CR"/>
        </w:rPr>
        <w:t>.</w:t>
      </w:r>
    </w:p>
  </w:footnote>
  <w:footnote w:id="30">
    <w:p w14:paraId="1D57212F" w14:textId="6EE9C0FB" w:rsidR="00C95FE0" w:rsidRPr="00CD68BA" w:rsidRDefault="00F42F2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24601C" w:rsidRPr="00CD68BA">
        <w:rPr>
          <w:szCs w:val="16"/>
          <w:lang w:val="es-CR"/>
        </w:rPr>
        <w:t>Se recibieron las declaraciones rendidas ante fedatario público (</w:t>
      </w:r>
      <w:r w:rsidR="0024601C" w:rsidRPr="00CD68BA">
        <w:rPr>
          <w:i/>
          <w:iCs/>
          <w:szCs w:val="16"/>
          <w:lang w:val="es-CR"/>
        </w:rPr>
        <w:t>affidavit</w:t>
      </w:r>
      <w:r w:rsidR="0024601C" w:rsidRPr="00CD68BA">
        <w:rPr>
          <w:szCs w:val="16"/>
          <w:lang w:val="es-CR"/>
        </w:rPr>
        <w:t xml:space="preserve">) de </w:t>
      </w:r>
      <w:r w:rsidR="00C95FE0" w:rsidRPr="00CD68BA">
        <w:rPr>
          <w:szCs w:val="16"/>
          <w:lang w:val="es-CR"/>
        </w:rPr>
        <w:t>Sérgio Sales Pimenta, Marcos Sales Pimenta, André Sales Pimenta, Daniel Sales Pimenta, Darci Frigo, José Batista Gonçalves Afonso, Deborah</w:t>
      </w:r>
      <w:r w:rsidR="003D1919" w:rsidRPr="00CD68BA">
        <w:rPr>
          <w:szCs w:val="16"/>
          <w:lang w:val="es-CR"/>
        </w:rPr>
        <w:t xml:space="preserve"> Macedo</w:t>
      </w:r>
      <w:r w:rsidR="00C95FE0" w:rsidRPr="00CD68BA">
        <w:rPr>
          <w:szCs w:val="16"/>
          <w:lang w:val="es-CR"/>
        </w:rPr>
        <w:t xml:space="preserve"> Duprat</w:t>
      </w:r>
      <w:r w:rsidR="003D1919" w:rsidRPr="00CD68BA">
        <w:rPr>
          <w:szCs w:val="16"/>
          <w:lang w:val="es-CR"/>
        </w:rPr>
        <w:t xml:space="preserve"> de Britto Pereira</w:t>
      </w:r>
      <w:r w:rsidR="00C95FE0" w:rsidRPr="00CD68BA">
        <w:rPr>
          <w:szCs w:val="16"/>
          <w:lang w:val="es-CR"/>
        </w:rPr>
        <w:t>, Cristina Mair Barros Mauer, Fernando Michelotti, Carlos Eduardo Gaio, Laurel Emilie Fletcher, Maria Adelina Guglioti Braglia, propuestas por los representantes, y la declaración de Guilherme Brenner Lucchesi, propuesta por el Estado</w:t>
      </w:r>
      <w:r w:rsidR="0024601C" w:rsidRPr="00CD68BA">
        <w:rPr>
          <w:szCs w:val="16"/>
          <w:lang w:val="es-CR"/>
        </w:rPr>
        <w:t>.</w:t>
      </w:r>
      <w:r w:rsidRPr="00CD68BA">
        <w:rPr>
          <w:szCs w:val="16"/>
          <w:lang w:val="es-CR"/>
        </w:rPr>
        <w:t xml:space="preserve"> </w:t>
      </w:r>
    </w:p>
  </w:footnote>
  <w:footnote w:id="31">
    <w:p w14:paraId="7955E6C6" w14:textId="189D5419" w:rsidR="00F42F24" w:rsidRPr="00CD68BA" w:rsidRDefault="00F42F2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24601C" w:rsidRPr="00CD68BA">
        <w:rPr>
          <w:szCs w:val="16"/>
          <w:lang w:val="es-CR"/>
        </w:rPr>
        <w:t xml:space="preserve">Se recibieron las declaraciones de </w:t>
      </w:r>
      <w:r w:rsidR="00580817" w:rsidRPr="00CD68BA">
        <w:rPr>
          <w:szCs w:val="16"/>
          <w:lang w:val="es-CR"/>
        </w:rPr>
        <w:t xml:space="preserve">Rafael Sales Pimenta </w:t>
      </w:r>
      <w:r w:rsidR="0024601C" w:rsidRPr="00CD68BA">
        <w:rPr>
          <w:szCs w:val="16"/>
          <w:lang w:val="es-CR"/>
        </w:rPr>
        <w:t xml:space="preserve">y </w:t>
      </w:r>
      <w:r w:rsidR="00580817" w:rsidRPr="00CD68BA">
        <w:rPr>
          <w:szCs w:val="16"/>
          <w:lang w:val="es-CR"/>
        </w:rPr>
        <w:t>Rui Carlo Dissenha</w:t>
      </w:r>
      <w:r w:rsidR="0024601C" w:rsidRPr="00CD68BA">
        <w:rPr>
          <w:szCs w:val="16"/>
          <w:lang w:val="es-CR"/>
        </w:rPr>
        <w:t>, propuest</w:t>
      </w:r>
      <w:r w:rsidR="00580817" w:rsidRPr="00CD68BA">
        <w:rPr>
          <w:szCs w:val="16"/>
          <w:lang w:val="es-CR"/>
        </w:rPr>
        <w:t>a</w:t>
      </w:r>
      <w:r w:rsidR="0024601C" w:rsidRPr="00CD68BA">
        <w:rPr>
          <w:szCs w:val="16"/>
          <w:lang w:val="es-CR"/>
        </w:rPr>
        <w:t xml:space="preserve">s por </w:t>
      </w:r>
      <w:r w:rsidR="00580817" w:rsidRPr="00CD68BA">
        <w:rPr>
          <w:szCs w:val="16"/>
          <w:lang w:val="es-CR"/>
        </w:rPr>
        <w:t xml:space="preserve">los representantes; la declaración de Douglas Sampaio Franco, propuesta por </w:t>
      </w:r>
      <w:r w:rsidR="0024601C" w:rsidRPr="00CD68BA">
        <w:rPr>
          <w:szCs w:val="16"/>
          <w:lang w:val="es-CR"/>
        </w:rPr>
        <w:t>el Estado</w:t>
      </w:r>
      <w:r w:rsidR="00580817" w:rsidRPr="00CD68BA">
        <w:rPr>
          <w:szCs w:val="16"/>
          <w:lang w:val="es-CR"/>
        </w:rPr>
        <w:t>, y la declaración de Renan Bernardi Kalil, propuesta por la Comisión</w:t>
      </w:r>
      <w:r w:rsidR="0024601C" w:rsidRPr="00CD68BA">
        <w:rPr>
          <w:szCs w:val="16"/>
          <w:lang w:val="es-CR"/>
        </w:rPr>
        <w:t>.</w:t>
      </w:r>
      <w:r w:rsidRPr="00CD68BA">
        <w:rPr>
          <w:szCs w:val="16"/>
          <w:lang w:val="es-CR"/>
        </w:rPr>
        <w:t xml:space="preserve"> </w:t>
      </w:r>
    </w:p>
  </w:footnote>
  <w:footnote w:id="32">
    <w:p w14:paraId="0B8CCD0A" w14:textId="66B000BF" w:rsidR="00F42F24" w:rsidRPr="00CD68BA" w:rsidRDefault="00F42F2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DD5092" w:rsidRPr="00CD68BA">
        <w:rPr>
          <w:szCs w:val="16"/>
          <w:lang w:val="es-CR"/>
        </w:rPr>
        <w:t>Los objetos de las declaraciones se encuentran establecidos en la Resolución del Presidente de la Corte de 17 de febrero de 2022. Disponible aquí:</w:t>
      </w:r>
      <w:r w:rsidR="00950667" w:rsidRPr="00CD68BA">
        <w:rPr>
          <w:szCs w:val="16"/>
          <w:lang w:val="es-CR"/>
        </w:rPr>
        <w:t xml:space="preserve"> </w:t>
      </w:r>
      <w:hyperlink r:id="rId2" w:history="1">
        <w:r w:rsidR="00DD5092" w:rsidRPr="00CD68BA">
          <w:rPr>
            <w:rStyle w:val="Hipervnculo"/>
            <w:color w:val="auto"/>
            <w:szCs w:val="16"/>
            <w:lang w:val="es-CR"/>
          </w:rPr>
          <w:t>https://www.corteidh.or.cr/docs/asuntos/sales_pimenta_17_02_22_spa.pdf</w:t>
        </w:r>
      </w:hyperlink>
      <w:r w:rsidRPr="00CD68BA">
        <w:rPr>
          <w:szCs w:val="16"/>
          <w:lang w:val="es-CR"/>
        </w:rPr>
        <w:t xml:space="preserve">. </w:t>
      </w:r>
    </w:p>
  </w:footnote>
  <w:footnote w:id="33">
    <w:p w14:paraId="61AB549C" w14:textId="158F0451" w:rsidR="00686C33" w:rsidRPr="00CD68BA" w:rsidRDefault="00686C33"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ONU, </w:t>
      </w:r>
      <w:r w:rsidRPr="00CD68BA">
        <w:rPr>
          <w:i/>
          <w:iCs/>
          <w:szCs w:val="16"/>
          <w:lang w:val="es-CR"/>
        </w:rPr>
        <w:t>Informe del Relator Especial sobre una vivienda adecuada, como parte del derecho a un nivel de vida adecuado, Sr. Miloon Kothari. Adicción. Misión a Brasil</w:t>
      </w:r>
      <w:r w:rsidRPr="00CD68BA">
        <w:rPr>
          <w:szCs w:val="16"/>
          <w:lang w:val="es-CR"/>
        </w:rPr>
        <w:t xml:space="preserve">. Doc. E/CN.4/2005/48/Add.3, 18 de febrero de 2004, párr. 37; OEA, CIDH. Informe sobre la Situación de los Derechos Humanos en Brasil, </w:t>
      </w:r>
      <w:r w:rsidRPr="00CD68BA">
        <w:rPr>
          <w:i/>
          <w:iCs/>
          <w:szCs w:val="16"/>
          <w:lang w:val="es-CR"/>
        </w:rPr>
        <w:t>Capítulo VII: la propiedad de la tierra rural y los derechos humanos de los trabajadores rurales</w:t>
      </w:r>
      <w:r w:rsidRPr="00CD68BA">
        <w:rPr>
          <w:szCs w:val="16"/>
          <w:lang w:val="es-CR"/>
        </w:rPr>
        <w:t xml:space="preserve">, OEA/Ser.L/V/II.97, 29 septiembre 1997, párr.1, y Oxfam, Brasil. </w:t>
      </w:r>
      <w:r w:rsidRPr="00CD68BA">
        <w:rPr>
          <w:i/>
          <w:iCs/>
          <w:szCs w:val="16"/>
          <w:lang w:val="es-CR"/>
        </w:rPr>
        <w:t>Tierra de la Desigualdad: Tierra, agricultura y desigualdades en Brasil rural</w:t>
      </w:r>
      <w:r w:rsidRPr="00CD68BA">
        <w:rPr>
          <w:szCs w:val="16"/>
          <w:lang w:val="es-CR"/>
        </w:rPr>
        <w:t xml:space="preserve">, 2016, p.3. Disponible en: </w:t>
      </w:r>
      <w:hyperlink r:id="rId3" w:history="1">
        <w:r w:rsidRPr="00CD68BA">
          <w:rPr>
            <w:rStyle w:val="Hipervnculo"/>
            <w:color w:val="auto"/>
            <w:szCs w:val="16"/>
            <w:lang w:val="es-CR"/>
          </w:rPr>
          <w:t>https://rdstation-static.s3.amazonaws.com/cms/files/115321/1596831720relatorio-terrenos_desigualdade-brasil_0-2.pdf</w:t>
        </w:r>
      </w:hyperlink>
      <w:r w:rsidRPr="00CD68BA">
        <w:rPr>
          <w:rStyle w:val="Hipervnculo"/>
          <w:color w:val="auto"/>
          <w:szCs w:val="16"/>
          <w:u w:val="none"/>
          <w:lang w:val="es-CR"/>
        </w:rPr>
        <w:t>.</w:t>
      </w:r>
      <w:r w:rsidR="005F1DEC" w:rsidRPr="00CD68BA">
        <w:rPr>
          <w:rStyle w:val="Hipervnculo"/>
          <w:color w:val="auto"/>
          <w:szCs w:val="16"/>
          <w:u w:val="none"/>
          <w:lang w:val="es-CR"/>
        </w:rPr>
        <w:t xml:space="preserve"> Véase</w:t>
      </w:r>
      <w:r w:rsidR="006C730C" w:rsidRPr="00CD68BA">
        <w:rPr>
          <w:rStyle w:val="Hipervnculo"/>
          <w:color w:val="auto"/>
          <w:szCs w:val="16"/>
          <w:u w:val="none"/>
          <w:lang w:val="es-CR"/>
        </w:rPr>
        <w:t>,</w:t>
      </w:r>
      <w:r w:rsidR="005F1DEC" w:rsidRPr="00CD68BA">
        <w:rPr>
          <w:rStyle w:val="Hipervnculo"/>
          <w:color w:val="auto"/>
          <w:szCs w:val="16"/>
          <w:u w:val="none"/>
          <w:lang w:val="es-CR"/>
        </w:rPr>
        <w:t xml:space="preserve"> también</w:t>
      </w:r>
      <w:r w:rsidR="006C730C" w:rsidRPr="00CD68BA">
        <w:rPr>
          <w:rStyle w:val="Hipervnculo"/>
          <w:color w:val="auto"/>
          <w:szCs w:val="16"/>
          <w:u w:val="none"/>
          <w:lang w:val="es-CR"/>
        </w:rPr>
        <w:t>,</w:t>
      </w:r>
      <w:r w:rsidR="005F1DEC" w:rsidRPr="00CD68BA">
        <w:rPr>
          <w:rStyle w:val="Hipervnculo"/>
          <w:color w:val="auto"/>
          <w:szCs w:val="16"/>
          <w:u w:val="none"/>
          <w:lang w:val="es-CR"/>
        </w:rPr>
        <w:t xml:space="preserve"> </w:t>
      </w:r>
      <w:bookmarkStart w:id="108" w:name="_Hlk110340382"/>
      <w:r w:rsidR="005F1DEC" w:rsidRPr="00CD68BA">
        <w:rPr>
          <w:rStyle w:val="Hipervnculo"/>
          <w:color w:val="auto"/>
          <w:szCs w:val="16"/>
          <w:u w:val="none"/>
          <w:lang w:val="es-CR"/>
        </w:rPr>
        <w:t xml:space="preserve">Peritaje </w:t>
      </w:r>
      <w:r w:rsidR="00905AB3" w:rsidRPr="00CD68BA">
        <w:rPr>
          <w:rStyle w:val="Hipervnculo"/>
          <w:color w:val="auto"/>
          <w:szCs w:val="16"/>
          <w:u w:val="none"/>
          <w:lang w:val="es-CR"/>
        </w:rPr>
        <w:t>de</w:t>
      </w:r>
      <w:r w:rsidR="005F1DEC" w:rsidRPr="00CD68BA">
        <w:rPr>
          <w:rStyle w:val="Hipervnculo"/>
          <w:color w:val="auto"/>
          <w:szCs w:val="16"/>
          <w:u w:val="none"/>
          <w:lang w:val="es-CR"/>
        </w:rPr>
        <w:t xml:space="preserve"> Deborah </w:t>
      </w:r>
      <w:r w:rsidR="003D1919" w:rsidRPr="00CD68BA">
        <w:rPr>
          <w:rStyle w:val="Hipervnculo"/>
          <w:color w:val="auto"/>
          <w:szCs w:val="16"/>
          <w:u w:val="none"/>
          <w:lang w:val="es-CR"/>
        </w:rPr>
        <w:t xml:space="preserve">Macedo </w:t>
      </w:r>
      <w:r w:rsidR="005F1DEC" w:rsidRPr="00CD68BA">
        <w:rPr>
          <w:rStyle w:val="Hipervnculo"/>
          <w:color w:val="auto"/>
          <w:szCs w:val="16"/>
          <w:u w:val="none"/>
          <w:lang w:val="es-CR"/>
        </w:rPr>
        <w:t>Duprat</w:t>
      </w:r>
      <w:r w:rsidR="003D1919" w:rsidRPr="00CD68BA">
        <w:rPr>
          <w:szCs w:val="16"/>
          <w:lang w:val="es-CR"/>
        </w:rPr>
        <w:t xml:space="preserve"> de Britto Pereira</w:t>
      </w:r>
      <w:r w:rsidR="003D1919" w:rsidRPr="00CD68BA">
        <w:rPr>
          <w:rStyle w:val="Hipervnculo"/>
          <w:color w:val="auto"/>
          <w:szCs w:val="16"/>
          <w:u w:val="none"/>
          <w:lang w:val="es-CR"/>
        </w:rPr>
        <w:t xml:space="preserve"> </w:t>
      </w:r>
      <w:r w:rsidR="00835596" w:rsidRPr="00CD68BA">
        <w:rPr>
          <w:rStyle w:val="Hipervnculo"/>
          <w:color w:val="auto"/>
          <w:szCs w:val="16"/>
          <w:u w:val="none"/>
          <w:lang w:val="es-CR"/>
        </w:rPr>
        <w:t>de</w:t>
      </w:r>
      <w:r w:rsidR="00C6585F" w:rsidRPr="00CD68BA">
        <w:rPr>
          <w:rStyle w:val="Hipervnculo"/>
          <w:color w:val="auto"/>
          <w:szCs w:val="16"/>
          <w:u w:val="none"/>
          <w:lang w:val="es-CR"/>
        </w:rPr>
        <w:t xml:space="preserve"> </w:t>
      </w:r>
      <w:r w:rsidR="003D1919" w:rsidRPr="00CD68BA">
        <w:rPr>
          <w:rStyle w:val="Hipervnculo"/>
          <w:color w:val="auto"/>
          <w:szCs w:val="16"/>
          <w:u w:val="none"/>
          <w:lang w:val="es-CR"/>
        </w:rPr>
        <w:t xml:space="preserve">9 de marzo de 2022 </w:t>
      </w:r>
      <w:r w:rsidR="00C6585F" w:rsidRPr="00CD68BA">
        <w:rPr>
          <w:rStyle w:val="Hipervnculo"/>
          <w:color w:val="auto"/>
          <w:szCs w:val="16"/>
          <w:u w:val="none"/>
          <w:lang w:val="es-CR"/>
        </w:rPr>
        <w:t>(expediente de prueba, folios 7183 a 7184</w:t>
      </w:r>
      <w:r w:rsidR="009D1630" w:rsidRPr="00CD68BA">
        <w:rPr>
          <w:rStyle w:val="Hipervnculo"/>
          <w:color w:val="auto"/>
          <w:szCs w:val="16"/>
          <w:u w:val="none"/>
          <w:lang w:val="es-CR"/>
        </w:rPr>
        <w:t>)</w:t>
      </w:r>
      <w:bookmarkEnd w:id="108"/>
      <w:r w:rsidR="00905AB3" w:rsidRPr="00CD68BA">
        <w:rPr>
          <w:rStyle w:val="Hipervnculo"/>
          <w:color w:val="auto"/>
          <w:szCs w:val="16"/>
          <w:u w:val="none"/>
          <w:lang w:val="es-CR"/>
        </w:rPr>
        <w:t>.</w:t>
      </w:r>
    </w:p>
  </w:footnote>
  <w:footnote w:id="34">
    <w:p w14:paraId="04D9C901" w14:textId="77777777"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Sistema de Recuperación Automática (SIDRA) del Instituto Brasileño de Geografía y Estadística. Censo agropecuario, tabla 263: número de asentamientos y áreas rurales por grupos de área total. Disponible en: </w:t>
      </w:r>
      <w:hyperlink r:id="rId4" w:history="1">
        <w:r w:rsidRPr="00CD68BA">
          <w:rPr>
            <w:rStyle w:val="Hipervnculo"/>
            <w:color w:val="auto"/>
            <w:szCs w:val="16"/>
            <w:lang w:val="es-CR"/>
          </w:rPr>
          <w:t>https://sidra.ibge.gov.br/tabela/263</w:t>
        </w:r>
      </w:hyperlink>
      <w:r w:rsidRPr="00CD68BA">
        <w:rPr>
          <w:szCs w:val="16"/>
          <w:lang w:val="es-CR"/>
        </w:rPr>
        <w:t xml:space="preserve">. </w:t>
      </w:r>
    </w:p>
  </w:footnote>
  <w:footnote w:id="35">
    <w:p w14:paraId="3200E728" w14:textId="77777777"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Sistema de Recuperación Automática (SIDRA) del Instituto Brasileño de Geografía y Estadística. Censo agropecuario, tabla 263: número de asentamientos y áreas rurales por grupos de área total. Disponible en: </w:t>
      </w:r>
      <w:hyperlink r:id="rId5" w:anchor="resultado" w:history="1">
        <w:r w:rsidRPr="00CD68BA">
          <w:rPr>
            <w:rStyle w:val="Hipervnculo"/>
            <w:color w:val="auto"/>
            <w:szCs w:val="16"/>
            <w:lang w:val="es-CR"/>
          </w:rPr>
          <w:t>https://sidra.ibge.gov.br/tabela/263#resultado</w:t>
        </w:r>
      </w:hyperlink>
      <w:r w:rsidRPr="00CD68BA">
        <w:rPr>
          <w:szCs w:val="16"/>
          <w:lang w:val="es-CR"/>
        </w:rPr>
        <w:t xml:space="preserve">. </w:t>
      </w:r>
    </w:p>
  </w:footnote>
  <w:footnote w:id="36">
    <w:p w14:paraId="23268809" w14:textId="0B29C32B" w:rsidR="00FE20A4" w:rsidRPr="00CD68BA" w:rsidRDefault="00FE20A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Oxfam</w:t>
      </w:r>
      <w:r w:rsidR="007307BF" w:rsidRPr="00CD68BA">
        <w:rPr>
          <w:szCs w:val="16"/>
          <w:lang w:val="es-CR"/>
        </w:rPr>
        <w:t>, Brasil</w:t>
      </w:r>
      <w:r w:rsidRPr="00CD68BA">
        <w:rPr>
          <w:szCs w:val="16"/>
          <w:lang w:val="es-CR"/>
        </w:rPr>
        <w:t xml:space="preserve">. </w:t>
      </w:r>
      <w:r w:rsidRPr="00CD68BA">
        <w:rPr>
          <w:i/>
          <w:iCs/>
          <w:szCs w:val="16"/>
          <w:lang w:val="es-CR"/>
        </w:rPr>
        <w:t>T</w:t>
      </w:r>
      <w:r w:rsidR="007307BF" w:rsidRPr="00CD68BA">
        <w:rPr>
          <w:i/>
          <w:iCs/>
          <w:szCs w:val="16"/>
          <w:lang w:val="es-CR"/>
        </w:rPr>
        <w:t>ierra</w:t>
      </w:r>
      <w:r w:rsidRPr="00CD68BA">
        <w:rPr>
          <w:i/>
          <w:iCs/>
          <w:szCs w:val="16"/>
          <w:lang w:val="es-CR"/>
        </w:rPr>
        <w:t xml:space="preserve"> d</w:t>
      </w:r>
      <w:r w:rsidR="007307BF" w:rsidRPr="00CD68BA">
        <w:rPr>
          <w:i/>
          <w:iCs/>
          <w:szCs w:val="16"/>
          <w:lang w:val="es-CR"/>
        </w:rPr>
        <w:t>e</w:t>
      </w:r>
      <w:r w:rsidRPr="00CD68BA">
        <w:rPr>
          <w:i/>
          <w:iCs/>
          <w:szCs w:val="16"/>
          <w:lang w:val="es-CR"/>
        </w:rPr>
        <w:t xml:space="preserve"> </w:t>
      </w:r>
      <w:r w:rsidR="007307BF" w:rsidRPr="00CD68BA">
        <w:rPr>
          <w:i/>
          <w:iCs/>
          <w:szCs w:val="16"/>
          <w:lang w:val="es-CR"/>
        </w:rPr>
        <w:t xml:space="preserve">la </w:t>
      </w:r>
      <w:r w:rsidRPr="00CD68BA">
        <w:rPr>
          <w:i/>
          <w:iCs/>
          <w:szCs w:val="16"/>
          <w:lang w:val="es-CR"/>
        </w:rPr>
        <w:t>Desigualda</w:t>
      </w:r>
      <w:r w:rsidR="007307BF" w:rsidRPr="00CD68BA">
        <w:rPr>
          <w:i/>
          <w:iCs/>
          <w:szCs w:val="16"/>
          <w:lang w:val="es-CR"/>
        </w:rPr>
        <w:t>d</w:t>
      </w:r>
      <w:r w:rsidRPr="00CD68BA">
        <w:rPr>
          <w:szCs w:val="16"/>
          <w:lang w:val="es-CR"/>
        </w:rPr>
        <w:t xml:space="preserve">: </w:t>
      </w:r>
      <w:r w:rsidRPr="00CD68BA">
        <w:rPr>
          <w:i/>
          <w:iCs/>
          <w:szCs w:val="16"/>
          <w:lang w:val="es-CR"/>
        </w:rPr>
        <w:t>T</w:t>
      </w:r>
      <w:r w:rsidR="007307BF" w:rsidRPr="00CD68BA">
        <w:rPr>
          <w:i/>
          <w:iCs/>
          <w:szCs w:val="16"/>
          <w:lang w:val="es-CR"/>
        </w:rPr>
        <w:t>i</w:t>
      </w:r>
      <w:r w:rsidRPr="00CD68BA">
        <w:rPr>
          <w:i/>
          <w:iCs/>
          <w:szCs w:val="16"/>
          <w:lang w:val="es-CR"/>
        </w:rPr>
        <w:t xml:space="preserve">erra, agricultura </w:t>
      </w:r>
      <w:r w:rsidR="007307BF" w:rsidRPr="00CD68BA">
        <w:rPr>
          <w:i/>
          <w:iCs/>
          <w:szCs w:val="16"/>
          <w:lang w:val="es-CR"/>
        </w:rPr>
        <w:t>y</w:t>
      </w:r>
      <w:r w:rsidRPr="00CD68BA">
        <w:rPr>
          <w:i/>
          <w:iCs/>
          <w:szCs w:val="16"/>
          <w:lang w:val="es-CR"/>
        </w:rPr>
        <w:t xml:space="preserve"> desigualdades </w:t>
      </w:r>
      <w:r w:rsidR="007307BF" w:rsidRPr="00CD68BA">
        <w:rPr>
          <w:i/>
          <w:iCs/>
          <w:szCs w:val="16"/>
          <w:lang w:val="es-CR"/>
        </w:rPr>
        <w:t>e</w:t>
      </w:r>
      <w:r w:rsidRPr="00CD68BA">
        <w:rPr>
          <w:i/>
          <w:iCs/>
          <w:szCs w:val="16"/>
          <w:lang w:val="es-CR"/>
        </w:rPr>
        <w:t>n Brasil rural</w:t>
      </w:r>
      <w:r w:rsidRPr="00CD68BA">
        <w:rPr>
          <w:szCs w:val="16"/>
          <w:lang w:val="es-CR"/>
        </w:rPr>
        <w:t xml:space="preserve">, </w:t>
      </w:r>
      <w:r w:rsidR="00EF5352" w:rsidRPr="00CD68BA">
        <w:rPr>
          <w:i/>
          <w:iCs/>
          <w:szCs w:val="16"/>
          <w:lang w:val="es-CR"/>
        </w:rPr>
        <w:t>supra</w:t>
      </w:r>
      <w:r w:rsidRPr="00CD68BA">
        <w:rPr>
          <w:szCs w:val="16"/>
          <w:lang w:val="es-CR"/>
        </w:rPr>
        <w:t xml:space="preserve">, p. 6. </w:t>
      </w:r>
    </w:p>
  </w:footnote>
  <w:footnote w:id="37">
    <w:p w14:paraId="49E4212D" w14:textId="341B8B8A" w:rsidR="000F0451" w:rsidRPr="00CD68BA" w:rsidRDefault="000F0451"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E04825" w:rsidRPr="00CD68BA">
        <w:rPr>
          <w:szCs w:val="16"/>
          <w:lang w:val="es-CR"/>
        </w:rPr>
        <w:t>El perito Michelo</w:t>
      </w:r>
      <w:r w:rsidR="0065671B" w:rsidRPr="00CD68BA">
        <w:rPr>
          <w:szCs w:val="16"/>
          <w:lang w:val="es-CR"/>
        </w:rPr>
        <w:t>t</w:t>
      </w:r>
      <w:r w:rsidR="00E04825" w:rsidRPr="00CD68BA">
        <w:rPr>
          <w:szCs w:val="16"/>
          <w:lang w:val="es-CR"/>
        </w:rPr>
        <w:t xml:space="preserve">ti señaló la ausencia de </w:t>
      </w:r>
      <w:r w:rsidRPr="00CD68BA">
        <w:rPr>
          <w:szCs w:val="16"/>
          <w:lang w:val="es-CR"/>
        </w:rPr>
        <w:t>datos oficiales y sistematizados sobre la magnitud de la violencia en el campo en Brasil</w:t>
      </w:r>
      <w:r w:rsidR="00F8062C" w:rsidRPr="00CD68BA">
        <w:rPr>
          <w:szCs w:val="16"/>
          <w:lang w:val="es-CR"/>
        </w:rPr>
        <w:t xml:space="preserve">. </w:t>
      </w:r>
      <w:r w:rsidRPr="00CD68BA">
        <w:rPr>
          <w:i/>
          <w:iCs/>
          <w:szCs w:val="16"/>
          <w:lang w:val="es-CR"/>
        </w:rPr>
        <w:t>Cfr.</w:t>
      </w:r>
      <w:r w:rsidRPr="00CD68BA">
        <w:rPr>
          <w:szCs w:val="16"/>
          <w:lang w:val="es-CR"/>
        </w:rPr>
        <w:t xml:space="preserve"> </w:t>
      </w:r>
      <w:bookmarkStart w:id="109" w:name="_Hlk110340911"/>
      <w:r w:rsidRPr="00CD68BA">
        <w:rPr>
          <w:szCs w:val="16"/>
          <w:lang w:val="es-CR"/>
        </w:rPr>
        <w:t>Peritaje de Fernando Michelo</w:t>
      </w:r>
      <w:r w:rsidR="0065671B" w:rsidRPr="00CD68BA">
        <w:rPr>
          <w:szCs w:val="16"/>
          <w:lang w:val="es-CR"/>
        </w:rPr>
        <w:t>t</w:t>
      </w:r>
      <w:r w:rsidRPr="00CD68BA">
        <w:rPr>
          <w:szCs w:val="16"/>
          <w:lang w:val="es-CR"/>
        </w:rPr>
        <w:t>ti</w:t>
      </w:r>
      <w:r w:rsidR="0065671B" w:rsidRPr="00CD68BA">
        <w:rPr>
          <w:szCs w:val="16"/>
          <w:lang w:val="es-CR"/>
        </w:rPr>
        <w:t xml:space="preserve"> de 7 de marzo de 2022</w:t>
      </w:r>
      <w:r w:rsidR="00E37327" w:rsidRPr="00CD68BA">
        <w:rPr>
          <w:szCs w:val="16"/>
          <w:lang w:val="es-CR"/>
        </w:rPr>
        <w:t xml:space="preserve"> </w:t>
      </w:r>
      <w:bookmarkEnd w:id="109"/>
      <w:r w:rsidR="00E37327" w:rsidRPr="00CD68BA">
        <w:rPr>
          <w:szCs w:val="16"/>
          <w:lang w:val="es-CR"/>
        </w:rPr>
        <w:t>(expediente de prueba, folio 7215</w:t>
      </w:r>
      <w:r w:rsidRPr="00CD68BA">
        <w:rPr>
          <w:szCs w:val="16"/>
          <w:lang w:val="es-CR"/>
        </w:rPr>
        <w:t>)</w:t>
      </w:r>
      <w:r w:rsidR="0065671B" w:rsidRPr="00CD68BA">
        <w:rPr>
          <w:szCs w:val="16"/>
          <w:lang w:val="es-CR"/>
        </w:rPr>
        <w:t>.</w:t>
      </w:r>
      <w:r w:rsidRPr="00CD68BA">
        <w:rPr>
          <w:szCs w:val="16"/>
          <w:lang w:val="es-CR"/>
        </w:rPr>
        <w:t xml:space="preserve"> </w:t>
      </w:r>
      <w:r w:rsidR="0065671B" w:rsidRPr="00CD68BA">
        <w:rPr>
          <w:szCs w:val="16"/>
          <w:lang w:val="es-CR"/>
        </w:rPr>
        <w:t>Al respecto</w:t>
      </w:r>
      <w:r w:rsidRPr="00CD68BA">
        <w:rPr>
          <w:szCs w:val="16"/>
          <w:lang w:val="es-CR"/>
        </w:rPr>
        <w:t xml:space="preserve">, el perito Gaio subrayó que los propios órganos gubernamentales utilizan los datos compilados por la Comisión Pastoral de la Tierra en algunas ocasiones. </w:t>
      </w:r>
      <w:r w:rsidRPr="00CD68BA">
        <w:rPr>
          <w:i/>
          <w:iCs/>
          <w:szCs w:val="16"/>
          <w:lang w:val="es-CR"/>
        </w:rPr>
        <w:t>Cfr.</w:t>
      </w:r>
      <w:r w:rsidRPr="00CD68BA">
        <w:rPr>
          <w:szCs w:val="16"/>
          <w:lang w:val="es-CR"/>
        </w:rPr>
        <w:t xml:space="preserve"> Peritaje de Carlos </w:t>
      </w:r>
      <w:r w:rsidR="0065671B" w:rsidRPr="00CD68BA">
        <w:rPr>
          <w:szCs w:val="16"/>
          <w:lang w:val="es-CR"/>
        </w:rPr>
        <w:t xml:space="preserve">Eduardo </w:t>
      </w:r>
      <w:r w:rsidRPr="00CD68BA">
        <w:rPr>
          <w:szCs w:val="16"/>
          <w:lang w:val="es-CR"/>
        </w:rPr>
        <w:t>Gaio</w:t>
      </w:r>
      <w:r w:rsidR="0065671B" w:rsidRPr="00CD68BA">
        <w:rPr>
          <w:szCs w:val="16"/>
          <w:lang w:val="es-CR"/>
        </w:rPr>
        <w:t xml:space="preserve"> de</w:t>
      </w:r>
      <w:r w:rsidR="00667E62" w:rsidRPr="00CD68BA">
        <w:rPr>
          <w:szCs w:val="16"/>
          <w:lang w:val="es-CR"/>
        </w:rPr>
        <w:t xml:space="preserve"> 11 de marzo de 2022</w:t>
      </w:r>
      <w:r w:rsidR="0065671B" w:rsidRPr="00CD68BA">
        <w:rPr>
          <w:szCs w:val="16"/>
          <w:lang w:val="es-CR"/>
        </w:rPr>
        <w:t xml:space="preserve"> </w:t>
      </w:r>
      <w:r w:rsidR="00667E62" w:rsidRPr="00CD68BA">
        <w:rPr>
          <w:szCs w:val="16"/>
          <w:lang w:val="es-CR"/>
        </w:rPr>
        <w:t>(expediente de prueba, folios 7287 a 7288)</w:t>
      </w:r>
      <w:r w:rsidR="00516B45" w:rsidRPr="00CD68BA">
        <w:rPr>
          <w:szCs w:val="16"/>
          <w:lang w:val="es-CR"/>
        </w:rPr>
        <w:t>.</w:t>
      </w:r>
    </w:p>
  </w:footnote>
  <w:footnote w:id="38">
    <w:p w14:paraId="09E33F10" w14:textId="40432286" w:rsidR="00ED7844" w:rsidRPr="00CD68BA" w:rsidRDefault="00ED784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Human Rights Watch</w:t>
      </w:r>
      <w:r w:rsidR="00F62C9E" w:rsidRPr="00CD68BA">
        <w:rPr>
          <w:szCs w:val="16"/>
          <w:lang w:val="es-CR"/>
        </w:rPr>
        <w:t>.</w:t>
      </w:r>
      <w:r w:rsidRPr="00CD68BA">
        <w:rPr>
          <w:szCs w:val="16"/>
          <w:lang w:val="es-CR"/>
        </w:rPr>
        <w:t xml:space="preserve"> </w:t>
      </w:r>
      <w:r w:rsidR="00F62C9E" w:rsidRPr="00CD68BA">
        <w:rPr>
          <w:i/>
          <w:iCs/>
          <w:szCs w:val="16"/>
          <w:lang w:val="es-CR"/>
        </w:rPr>
        <w:t>La lucha por la tierra en Brasil: La violencia rural continua</w:t>
      </w:r>
      <w:r w:rsidRPr="00CD68BA">
        <w:rPr>
          <w:szCs w:val="16"/>
          <w:lang w:val="es-CR"/>
        </w:rPr>
        <w:t xml:space="preserve">, 1992, p. </w:t>
      </w:r>
      <w:r w:rsidR="00136527" w:rsidRPr="00CD68BA">
        <w:rPr>
          <w:szCs w:val="16"/>
          <w:lang w:val="es-CR"/>
        </w:rPr>
        <w:t>6</w:t>
      </w:r>
      <w:r w:rsidRPr="00CD68BA">
        <w:rPr>
          <w:szCs w:val="16"/>
          <w:lang w:val="es-CR"/>
        </w:rPr>
        <w:t>.</w:t>
      </w:r>
      <w:r w:rsidR="007307BF" w:rsidRPr="00CD68BA">
        <w:rPr>
          <w:szCs w:val="16"/>
          <w:lang w:val="es-CR"/>
        </w:rPr>
        <w:t xml:space="preserve"> Disponible en: </w:t>
      </w:r>
      <w:hyperlink r:id="rId6" w:history="1">
        <w:r w:rsidR="00073221" w:rsidRPr="00CD68BA">
          <w:rPr>
            <w:rStyle w:val="Hipervnculo"/>
            <w:color w:val="auto"/>
            <w:szCs w:val="16"/>
            <w:lang w:val="es-CR"/>
          </w:rPr>
          <w:t>https://www.hrw.org/sites/default/files/reports/braz926full.pdf</w:t>
        </w:r>
      </w:hyperlink>
      <w:r w:rsidR="00073221" w:rsidRPr="00CD68BA">
        <w:rPr>
          <w:szCs w:val="16"/>
          <w:lang w:val="es-CR"/>
        </w:rPr>
        <w:t xml:space="preserve">. </w:t>
      </w:r>
    </w:p>
  </w:footnote>
  <w:footnote w:id="39">
    <w:p w14:paraId="67B0C16C" w14:textId="6486FB23"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El término “</w:t>
      </w:r>
      <w:r w:rsidRPr="00CD68BA">
        <w:rPr>
          <w:i/>
          <w:iCs/>
          <w:szCs w:val="16"/>
          <w:lang w:val="es-CR"/>
        </w:rPr>
        <w:t>grilagem</w:t>
      </w:r>
      <w:r w:rsidRPr="00CD68BA">
        <w:rPr>
          <w:szCs w:val="16"/>
          <w:lang w:val="es-CR"/>
        </w:rPr>
        <w:t xml:space="preserve">” puede entenderse como aquella acción ilegal tendiente a la transferencia de tierras públicas a favor de terceros. </w:t>
      </w:r>
      <w:r w:rsidRPr="00CD68BA">
        <w:rPr>
          <w:i/>
          <w:iCs/>
          <w:szCs w:val="16"/>
          <w:lang w:val="es-CR"/>
        </w:rPr>
        <w:t xml:space="preserve">Cfr. </w:t>
      </w:r>
      <w:r w:rsidRPr="00CD68BA">
        <w:rPr>
          <w:szCs w:val="16"/>
          <w:lang w:val="es-CR"/>
        </w:rPr>
        <w:t xml:space="preserve">Oxfam, Brasil. </w:t>
      </w:r>
      <w:r w:rsidRPr="00CD68BA">
        <w:rPr>
          <w:i/>
          <w:iCs/>
          <w:szCs w:val="16"/>
          <w:lang w:val="es-CR"/>
        </w:rPr>
        <w:t>Tierra de la Desigualdad: Tierra, agricultura y desigualdades en Brasil rural</w:t>
      </w:r>
      <w:r w:rsidRPr="00CD68BA">
        <w:rPr>
          <w:szCs w:val="16"/>
          <w:lang w:val="es-CR"/>
        </w:rPr>
        <w:t xml:space="preserve">. 2016, </w:t>
      </w:r>
      <w:r w:rsidR="00956A09" w:rsidRPr="00CD68BA">
        <w:rPr>
          <w:i/>
          <w:iCs/>
          <w:szCs w:val="16"/>
          <w:lang w:val="es-CR"/>
        </w:rPr>
        <w:t xml:space="preserve">supra, </w:t>
      </w:r>
      <w:r w:rsidRPr="00CD68BA">
        <w:rPr>
          <w:szCs w:val="16"/>
          <w:lang w:val="es-CR"/>
        </w:rPr>
        <w:t>p.3.</w:t>
      </w:r>
    </w:p>
  </w:footnote>
  <w:footnote w:id="40">
    <w:p w14:paraId="02F9288D" w14:textId="7C12848A"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Durante el proceso de modernización de la agricultura en Brasil, los grandes asentamientos recibieron incentivos fiscales y tuvieron acceso a créditos, investigaciones y asistencia técnica gubernamental con el objetivo de producir para la exportación y atender la agroindustria. Asimismo, tal proceso modernización “provocó el desplazamiento de millones de familias, principalmente del Noreste y Sur del país, en dirección a las ciudades y regiones del Centro-Oeste y Norte”. </w:t>
      </w:r>
      <w:r w:rsidRPr="00CD68BA">
        <w:rPr>
          <w:i/>
          <w:iCs/>
          <w:szCs w:val="16"/>
          <w:lang w:val="es-CR"/>
        </w:rPr>
        <w:t xml:space="preserve">Cfr. </w:t>
      </w:r>
      <w:r w:rsidRPr="00CD68BA">
        <w:rPr>
          <w:szCs w:val="16"/>
          <w:lang w:val="es-CR"/>
        </w:rPr>
        <w:t xml:space="preserve">Oxfam, Brasil. </w:t>
      </w:r>
      <w:r w:rsidRPr="00CD68BA">
        <w:rPr>
          <w:i/>
          <w:iCs/>
          <w:szCs w:val="16"/>
          <w:lang w:val="es-CR"/>
        </w:rPr>
        <w:t>Tierra de la Desigualdad: Tierra, agricultura y desigualdades en Brasil rural</w:t>
      </w:r>
      <w:r w:rsidRPr="00CD68BA">
        <w:rPr>
          <w:szCs w:val="16"/>
          <w:lang w:val="es-CR"/>
        </w:rPr>
        <w:t xml:space="preserve">. 2016, </w:t>
      </w:r>
      <w:r w:rsidR="00956A09" w:rsidRPr="00CD68BA">
        <w:rPr>
          <w:i/>
          <w:iCs/>
          <w:szCs w:val="16"/>
          <w:lang w:val="es-CR"/>
        </w:rPr>
        <w:t xml:space="preserve">supra, </w:t>
      </w:r>
      <w:r w:rsidRPr="00CD68BA">
        <w:rPr>
          <w:szCs w:val="16"/>
          <w:lang w:val="es-CR"/>
        </w:rPr>
        <w:t>pp. 4</w:t>
      </w:r>
      <w:r w:rsidR="00956A09" w:rsidRPr="00CD68BA">
        <w:rPr>
          <w:szCs w:val="16"/>
          <w:lang w:val="es-CR"/>
        </w:rPr>
        <w:t xml:space="preserve"> a </w:t>
      </w:r>
      <w:r w:rsidRPr="00CD68BA">
        <w:rPr>
          <w:szCs w:val="16"/>
          <w:lang w:val="es-CR"/>
        </w:rPr>
        <w:t>5.</w:t>
      </w:r>
    </w:p>
  </w:footnote>
  <w:footnote w:id="41">
    <w:p w14:paraId="21D1603A" w14:textId="37FCDEFF" w:rsidR="00921F85" w:rsidRPr="00CD68BA" w:rsidRDefault="00921F8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ONU, </w:t>
      </w:r>
      <w:r w:rsidRPr="00CD68BA">
        <w:rPr>
          <w:i/>
          <w:iCs/>
          <w:szCs w:val="16"/>
          <w:lang w:val="es-CR"/>
        </w:rPr>
        <w:t>Informe del Relator Especial sobre una vivienda adecuada, como parte del derecho a un nivel de vida adecuado, Sr. Miloon Kothari. Adicción. Misión al Brasil</w:t>
      </w:r>
      <w:r w:rsidR="00EF5352" w:rsidRPr="00CD68BA">
        <w:rPr>
          <w:szCs w:val="16"/>
          <w:lang w:val="es-CR"/>
        </w:rPr>
        <w:t xml:space="preserve">, </w:t>
      </w:r>
      <w:r w:rsidR="00EF5352" w:rsidRPr="00CD68BA">
        <w:rPr>
          <w:i/>
          <w:iCs/>
          <w:szCs w:val="16"/>
          <w:lang w:val="es-CR"/>
        </w:rPr>
        <w:t>supra</w:t>
      </w:r>
      <w:r w:rsidRPr="00CD68BA">
        <w:rPr>
          <w:szCs w:val="16"/>
          <w:lang w:val="es-CR"/>
        </w:rPr>
        <w:t>, párrs. 37, 39 y 40.</w:t>
      </w:r>
    </w:p>
  </w:footnote>
  <w:footnote w:id="42">
    <w:p w14:paraId="1AD01F30" w14:textId="165C745D" w:rsidR="00686C33" w:rsidRPr="00CD68BA" w:rsidRDefault="00686C33" w:rsidP="00D12B21">
      <w:pPr>
        <w:autoSpaceDE w:val="0"/>
        <w:autoSpaceDN w:val="0"/>
        <w:adjustRightInd w:val="0"/>
        <w:spacing w:before="0"/>
        <w:rPr>
          <w:rFonts w:cs="ArialMT"/>
          <w:sz w:val="16"/>
          <w:szCs w:val="16"/>
          <w:lang w:val="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Cfr.</w:t>
      </w:r>
      <w:r w:rsidRPr="00CD68BA">
        <w:rPr>
          <w:sz w:val="16"/>
          <w:szCs w:val="16"/>
          <w:lang w:val="es-CR"/>
        </w:rPr>
        <w:t xml:space="preserve"> Secretaría de Derechos Humanos de la Presidencia de la República, Brasil. Campesinos muertos y desaparecidos: excluidos de la justicia transicional</w:t>
      </w:r>
      <w:r w:rsidR="005E631E" w:rsidRPr="00CD68BA">
        <w:rPr>
          <w:rFonts w:cs="Arial"/>
          <w:sz w:val="16"/>
          <w:szCs w:val="16"/>
          <w:lang w:val="es-CR"/>
        </w:rPr>
        <w:t>,</w:t>
      </w:r>
      <w:r w:rsidRPr="00CD68BA">
        <w:rPr>
          <w:rFonts w:cs="ArialMT"/>
          <w:sz w:val="16"/>
          <w:szCs w:val="16"/>
          <w:lang w:val="es-CR"/>
        </w:rPr>
        <w:t xml:space="preserve"> </w:t>
      </w:r>
      <w:r w:rsidRPr="00CD68BA">
        <w:rPr>
          <w:rFonts w:cs="Arial"/>
          <w:sz w:val="16"/>
          <w:szCs w:val="16"/>
          <w:lang w:val="es-CR"/>
        </w:rPr>
        <w:t xml:space="preserve">1ª Edición: Brasilia, DF, 2013, p. 6. Disponible en: </w:t>
      </w:r>
      <w:hyperlink r:id="rId7" w:history="1">
        <w:r w:rsidRPr="00CD68BA">
          <w:rPr>
            <w:rStyle w:val="Hipervnculo"/>
            <w:rFonts w:cs="Arial"/>
            <w:color w:val="auto"/>
            <w:sz w:val="16"/>
            <w:szCs w:val="16"/>
            <w:lang w:val="es-CR"/>
          </w:rPr>
          <w:t>http://www.biblioteca.presidencia.gov.br/publicacoes-oficiais/catalogo/dilma/sdh_direito-a-memoria-e-a-verdade-camponeses-mortos-e-desaparecidos_2013.pdf</w:t>
        </w:r>
      </w:hyperlink>
      <w:r w:rsidRPr="00CD68BA">
        <w:rPr>
          <w:rFonts w:cs="Arial"/>
          <w:sz w:val="16"/>
          <w:szCs w:val="16"/>
          <w:lang w:val="es-CR"/>
        </w:rPr>
        <w:t xml:space="preserve">, y </w:t>
      </w:r>
      <w:r w:rsidRPr="00CD68BA">
        <w:rPr>
          <w:sz w:val="16"/>
          <w:szCs w:val="16"/>
          <w:lang w:val="es-CR"/>
        </w:rPr>
        <w:t xml:space="preserve">Ministerio de Desarrollo Agrario, Brasil. El retrato de la represión política en el campo-Brasil 1962-1985: Campesinos torturados, muertos y desaparecidos, </w:t>
      </w:r>
      <w:r w:rsidR="000D279A" w:rsidRPr="00CD68BA">
        <w:rPr>
          <w:sz w:val="16"/>
          <w:szCs w:val="16"/>
          <w:lang w:val="es-CR"/>
        </w:rPr>
        <w:t>2</w:t>
      </w:r>
      <w:r w:rsidRPr="00CD68BA">
        <w:rPr>
          <w:rFonts w:cs="Arial"/>
          <w:sz w:val="16"/>
          <w:szCs w:val="16"/>
          <w:lang w:val="es-CR"/>
        </w:rPr>
        <w:t>ª Edición: Brasilia, DF, 201</w:t>
      </w:r>
      <w:r w:rsidR="000D279A" w:rsidRPr="00CD68BA">
        <w:rPr>
          <w:rFonts w:cs="Arial"/>
          <w:sz w:val="16"/>
          <w:szCs w:val="16"/>
          <w:lang w:val="es-CR"/>
        </w:rPr>
        <w:t>1</w:t>
      </w:r>
      <w:r w:rsidRPr="00CD68BA">
        <w:rPr>
          <w:rFonts w:cs="Arial"/>
          <w:sz w:val="16"/>
          <w:szCs w:val="16"/>
          <w:lang w:val="es-CR"/>
        </w:rPr>
        <w:t>, p</w:t>
      </w:r>
      <w:r w:rsidR="000D279A" w:rsidRPr="00CD68BA">
        <w:rPr>
          <w:rFonts w:cs="Arial"/>
          <w:sz w:val="16"/>
          <w:szCs w:val="16"/>
          <w:lang w:val="es-CR"/>
        </w:rPr>
        <w:t>p</w:t>
      </w:r>
      <w:r w:rsidRPr="00CD68BA">
        <w:rPr>
          <w:rFonts w:cs="Arial"/>
          <w:sz w:val="16"/>
          <w:szCs w:val="16"/>
          <w:lang w:val="es-CR"/>
        </w:rPr>
        <w:t>.</w:t>
      </w:r>
      <w:r w:rsidR="000D279A" w:rsidRPr="00CD68BA">
        <w:rPr>
          <w:rFonts w:cs="Arial"/>
          <w:sz w:val="16"/>
          <w:szCs w:val="16"/>
          <w:lang w:val="es-CR"/>
        </w:rPr>
        <w:t xml:space="preserve"> 17, 24</w:t>
      </w:r>
      <w:r w:rsidRPr="00CD68BA">
        <w:rPr>
          <w:rFonts w:cs="Arial"/>
          <w:sz w:val="16"/>
          <w:szCs w:val="16"/>
          <w:lang w:val="es-CR"/>
        </w:rPr>
        <w:t xml:space="preserve">26. Disponible en: </w:t>
      </w:r>
      <w:hyperlink r:id="rId8" w:history="1">
        <w:r w:rsidR="000D279A" w:rsidRPr="00CD68BA">
          <w:rPr>
            <w:rStyle w:val="Hipervnculo"/>
            <w:rFonts w:cs="Arial"/>
            <w:color w:val="auto"/>
            <w:sz w:val="16"/>
            <w:szCs w:val="16"/>
            <w:lang w:val="es-CR"/>
          </w:rPr>
          <w:t>https://repositorio.iica.int/handle/11324/20158</w:t>
        </w:r>
      </w:hyperlink>
      <w:r w:rsidR="000D279A" w:rsidRPr="00CD68BA">
        <w:rPr>
          <w:rFonts w:cs="Arial"/>
          <w:sz w:val="16"/>
          <w:szCs w:val="16"/>
          <w:lang w:val="es-CR"/>
        </w:rPr>
        <w:t>.</w:t>
      </w:r>
    </w:p>
  </w:footnote>
  <w:footnote w:id="43">
    <w:p w14:paraId="3E1C44AF" w14:textId="7DAA1974"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Secretaría de Derechos Humanos de la Presidencia de la República, Brasil. Campesinos muertos y desaparecidos: excluidos de la justicia transicional</w:t>
      </w:r>
      <w:r w:rsidRPr="00CD68BA">
        <w:rPr>
          <w:rFonts w:cs="ArialMT"/>
          <w:szCs w:val="16"/>
          <w:lang w:val="es-CR"/>
        </w:rPr>
        <w:t xml:space="preserve">, </w:t>
      </w:r>
      <w:r w:rsidR="00956A09" w:rsidRPr="00CD68BA">
        <w:rPr>
          <w:rFonts w:cs="ArialMT"/>
          <w:i/>
          <w:iCs/>
          <w:szCs w:val="16"/>
          <w:lang w:val="es-CR"/>
        </w:rPr>
        <w:t>supra</w:t>
      </w:r>
      <w:r w:rsidRPr="00CD68BA">
        <w:rPr>
          <w:rFonts w:cs="Arial"/>
          <w:szCs w:val="16"/>
          <w:lang w:val="es-CR"/>
        </w:rPr>
        <w:t xml:space="preserve">, p. 20. </w:t>
      </w:r>
    </w:p>
  </w:footnote>
  <w:footnote w:id="44">
    <w:p w14:paraId="051299FC" w14:textId="7558E66D"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Secretaría de Derechos Humanos de la Presidencia de la República, Brasil. Campesinos muertos y desaparecidos: excluidos de la justicia transicional</w:t>
      </w:r>
      <w:r w:rsidRPr="00CD68BA">
        <w:rPr>
          <w:rFonts w:cs="Arial"/>
          <w:szCs w:val="16"/>
          <w:lang w:val="es-CR"/>
        </w:rPr>
        <w:t xml:space="preserve">, </w:t>
      </w:r>
      <w:r w:rsidR="000A375D" w:rsidRPr="00CD68BA">
        <w:rPr>
          <w:rFonts w:cs="ArialMT"/>
          <w:i/>
          <w:iCs/>
          <w:szCs w:val="16"/>
          <w:lang w:val="es-CR"/>
        </w:rPr>
        <w:t>supra</w:t>
      </w:r>
      <w:r w:rsidRPr="00CD68BA">
        <w:rPr>
          <w:rFonts w:cs="Arial"/>
          <w:szCs w:val="16"/>
          <w:lang w:val="es-CR"/>
        </w:rPr>
        <w:t xml:space="preserve">, p. 28, y </w:t>
      </w:r>
      <w:r w:rsidRPr="00CD68BA">
        <w:rPr>
          <w:szCs w:val="16"/>
          <w:lang w:val="es-CR"/>
        </w:rPr>
        <w:t>Ministerio de Desarrollo Agrario, Brasil. El retrato de la represión política en el campo-Brasil 1962-1985: Campesinos torturados, muertos y desaparecidos, 1</w:t>
      </w:r>
      <w:r w:rsidRPr="00CD68BA">
        <w:rPr>
          <w:rFonts w:cs="Arial"/>
          <w:szCs w:val="16"/>
          <w:lang w:val="es-CR"/>
        </w:rPr>
        <w:t xml:space="preserve">ª Edición: Brasilia, DF, 2010, pp. 326-330. Disponible en: </w:t>
      </w:r>
      <w:hyperlink r:id="rId9" w:history="1">
        <w:r w:rsidRPr="00CD68BA">
          <w:rPr>
            <w:rStyle w:val="Hipervnculo"/>
            <w:rFonts w:cs="Arial"/>
            <w:color w:val="auto"/>
            <w:szCs w:val="16"/>
            <w:lang w:val="es-CR"/>
          </w:rPr>
          <w:t>https://www.gov.br/mdh/pt-br/centrais-de-conteudo/memoria-e-verdade/retrato-da-repressao-politica-no-campo-2013-brasil-1962-1985-camponeses-torturados-mortos-e-desaparecidos/view</w:t>
        </w:r>
      </w:hyperlink>
      <w:r w:rsidRPr="00CD68BA">
        <w:rPr>
          <w:rStyle w:val="Hipervnculo"/>
          <w:rFonts w:cs="Arial"/>
          <w:color w:val="auto"/>
          <w:szCs w:val="16"/>
          <w:lang w:val="es-CR"/>
        </w:rPr>
        <w:t>.</w:t>
      </w:r>
    </w:p>
  </w:footnote>
  <w:footnote w:id="45">
    <w:p w14:paraId="39D9169E" w14:textId="39F21DCF" w:rsidR="007359C3" w:rsidRPr="00CD68BA" w:rsidRDefault="007359C3"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BF083E" w:rsidRPr="00CD68BA">
        <w:rPr>
          <w:szCs w:val="16"/>
          <w:lang w:val="es-CR"/>
        </w:rPr>
        <w:t xml:space="preserve">Secretaría de Derechos Humanos de la Presidencia de la República, Brasil. </w:t>
      </w:r>
      <w:r w:rsidR="00BF083E" w:rsidRPr="00CD68BA">
        <w:rPr>
          <w:i/>
          <w:iCs/>
          <w:szCs w:val="16"/>
          <w:lang w:val="es-CR"/>
        </w:rPr>
        <w:t>Campesinos muertos y desaparecidos: excluidos de la justicia transiciona</w:t>
      </w:r>
      <w:r w:rsidR="00BF083E" w:rsidRPr="00CD68BA">
        <w:rPr>
          <w:szCs w:val="16"/>
          <w:lang w:val="es-CR"/>
        </w:rPr>
        <w:t>l</w:t>
      </w:r>
      <w:r w:rsidR="00BF083E" w:rsidRPr="00CD68BA">
        <w:rPr>
          <w:rFonts w:cs="Arial"/>
          <w:szCs w:val="16"/>
          <w:lang w:val="es-CR"/>
        </w:rPr>
        <w:t xml:space="preserve">, </w:t>
      </w:r>
      <w:r w:rsidR="00AA6403" w:rsidRPr="00CD68BA">
        <w:rPr>
          <w:rFonts w:cs="ArialMT"/>
          <w:i/>
          <w:iCs/>
          <w:szCs w:val="16"/>
          <w:lang w:val="es-CR"/>
        </w:rPr>
        <w:t>supra</w:t>
      </w:r>
      <w:r w:rsidR="00CE1D83" w:rsidRPr="00CD68BA">
        <w:rPr>
          <w:szCs w:val="16"/>
          <w:lang w:val="es-CR"/>
        </w:rPr>
        <w:t>,</w:t>
      </w:r>
      <w:r w:rsidRPr="00CD68BA">
        <w:rPr>
          <w:szCs w:val="16"/>
          <w:lang w:val="es-CR"/>
        </w:rPr>
        <w:t xml:space="preserve"> </w:t>
      </w:r>
      <w:r w:rsidRPr="00CD68BA">
        <w:rPr>
          <w:rFonts w:cs="Arial"/>
          <w:szCs w:val="16"/>
          <w:lang w:val="es-CR"/>
        </w:rPr>
        <w:t>p. 82</w:t>
      </w:r>
      <w:r w:rsidRPr="00CD68BA">
        <w:rPr>
          <w:szCs w:val="16"/>
          <w:lang w:val="es-CR"/>
        </w:rPr>
        <w:t>.</w:t>
      </w:r>
      <w:r w:rsidRPr="00CD68BA">
        <w:rPr>
          <w:rFonts w:cs="Arial"/>
          <w:szCs w:val="16"/>
          <w:lang w:val="es-CR"/>
        </w:rPr>
        <w:t xml:space="preserve"> En sentido similar, Darci Frigo afirmó que “la defe</w:t>
      </w:r>
      <w:r w:rsidR="00CE1D83" w:rsidRPr="00CD68BA">
        <w:rPr>
          <w:rFonts w:cs="Arial"/>
          <w:szCs w:val="16"/>
          <w:lang w:val="es-CR"/>
        </w:rPr>
        <w:t>n</w:t>
      </w:r>
      <w:r w:rsidRPr="00CD68BA">
        <w:rPr>
          <w:rFonts w:cs="Arial"/>
          <w:szCs w:val="16"/>
          <w:lang w:val="es-CR"/>
        </w:rPr>
        <w:t>sa de los derechos humanos es algo pe</w:t>
      </w:r>
      <w:r w:rsidR="00CE1D83" w:rsidRPr="00CD68BA">
        <w:rPr>
          <w:rFonts w:cs="Arial"/>
          <w:szCs w:val="16"/>
          <w:lang w:val="es-CR"/>
        </w:rPr>
        <w:t>l</w:t>
      </w:r>
      <w:r w:rsidRPr="00CD68BA">
        <w:rPr>
          <w:rFonts w:cs="Arial"/>
          <w:szCs w:val="16"/>
          <w:lang w:val="es-CR"/>
        </w:rPr>
        <w:t>ig</w:t>
      </w:r>
      <w:r w:rsidR="00CE1D83" w:rsidRPr="00CD68BA">
        <w:rPr>
          <w:rFonts w:cs="Arial"/>
          <w:szCs w:val="16"/>
          <w:lang w:val="es-CR"/>
        </w:rPr>
        <w:t>r</w:t>
      </w:r>
      <w:r w:rsidRPr="00CD68BA">
        <w:rPr>
          <w:rFonts w:cs="Arial"/>
          <w:szCs w:val="16"/>
          <w:lang w:val="es-CR"/>
        </w:rPr>
        <w:t xml:space="preserve">oso”. </w:t>
      </w:r>
      <w:r w:rsidRPr="00CD68BA">
        <w:rPr>
          <w:rFonts w:cs="Arial"/>
          <w:i/>
          <w:iCs/>
          <w:szCs w:val="16"/>
          <w:lang w:val="es-CR"/>
        </w:rPr>
        <w:t>Cfr</w:t>
      </w:r>
      <w:r w:rsidRPr="00CD68BA">
        <w:rPr>
          <w:rFonts w:cs="Arial"/>
          <w:szCs w:val="16"/>
          <w:lang w:val="es-CR"/>
        </w:rPr>
        <w:t xml:space="preserve">. Declaración </w:t>
      </w:r>
      <w:r w:rsidR="00A13007" w:rsidRPr="00CD68BA">
        <w:rPr>
          <w:rFonts w:cs="Arial"/>
          <w:szCs w:val="16"/>
          <w:lang w:val="es-CR"/>
        </w:rPr>
        <w:t>de</w:t>
      </w:r>
      <w:r w:rsidRPr="00CD68BA">
        <w:rPr>
          <w:rFonts w:cs="Arial"/>
          <w:szCs w:val="16"/>
          <w:lang w:val="es-CR"/>
        </w:rPr>
        <w:t xml:space="preserve"> Darci Frigo</w:t>
      </w:r>
      <w:r w:rsidR="00CE1D83" w:rsidRPr="00CD68BA">
        <w:rPr>
          <w:rFonts w:cs="Arial"/>
          <w:szCs w:val="16"/>
          <w:lang w:val="es-CR"/>
        </w:rPr>
        <w:t xml:space="preserve"> e</w:t>
      </w:r>
      <w:r w:rsidR="0089100F" w:rsidRPr="00CD68BA">
        <w:rPr>
          <w:rFonts w:cs="Arial"/>
          <w:szCs w:val="16"/>
          <w:lang w:val="es-CR"/>
        </w:rPr>
        <w:t>l</w:t>
      </w:r>
      <w:r w:rsidR="00E96962" w:rsidRPr="00CD68BA">
        <w:rPr>
          <w:rFonts w:cs="Arial"/>
          <w:szCs w:val="16"/>
          <w:lang w:val="es-CR"/>
        </w:rPr>
        <w:t xml:space="preserve"> 8 de marzo de 2022</w:t>
      </w:r>
      <w:r w:rsidRPr="00CD68BA">
        <w:rPr>
          <w:rFonts w:cs="Arial"/>
          <w:szCs w:val="16"/>
          <w:lang w:val="es-CR"/>
        </w:rPr>
        <w:t xml:space="preserve"> (expediente de prueba, folio 6723).</w:t>
      </w:r>
      <w:r w:rsidR="00E96962" w:rsidRPr="00CD68BA">
        <w:rPr>
          <w:rFonts w:cs="Arial"/>
          <w:szCs w:val="16"/>
          <w:lang w:val="es-CR"/>
        </w:rPr>
        <w:t xml:space="preserve"> </w:t>
      </w:r>
    </w:p>
  </w:footnote>
  <w:footnote w:id="46">
    <w:p w14:paraId="35FEE7A8" w14:textId="5947BDC1" w:rsidR="00EB5699" w:rsidRPr="00CD68BA" w:rsidRDefault="00EB569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Secretaría de Derechos Humanos de la Presidencia de la República, Brasil. Campesinos muertos y desaparecidos: excluidos de la justicia transicional</w:t>
      </w:r>
      <w:r w:rsidRPr="00CD68BA">
        <w:rPr>
          <w:rFonts w:cs="Arial"/>
          <w:szCs w:val="16"/>
          <w:lang w:val="es-CR"/>
        </w:rPr>
        <w:t>,</w:t>
      </w:r>
      <w:r w:rsidRPr="00CD68BA">
        <w:rPr>
          <w:rFonts w:cs="ArialMT"/>
          <w:szCs w:val="16"/>
          <w:lang w:val="es-CR"/>
        </w:rPr>
        <w:t xml:space="preserve"> </w:t>
      </w:r>
      <w:r w:rsidR="00AA6403" w:rsidRPr="00CD68BA">
        <w:rPr>
          <w:rFonts w:cs="ArialMT"/>
          <w:i/>
          <w:iCs/>
          <w:szCs w:val="16"/>
          <w:lang w:val="es-CR"/>
        </w:rPr>
        <w:t>supra</w:t>
      </w:r>
      <w:r w:rsidRPr="00CD68BA">
        <w:rPr>
          <w:rFonts w:cs="Arial"/>
          <w:szCs w:val="16"/>
          <w:lang w:val="es-CR"/>
        </w:rPr>
        <w:t xml:space="preserve">, p. 25. </w:t>
      </w:r>
    </w:p>
  </w:footnote>
  <w:footnote w:id="47">
    <w:p w14:paraId="0F09F878" w14:textId="77777777" w:rsidR="00EB5699" w:rsidRPr="00CD68BA" w:rsidRDefault="00EB5699" w:rsidP="00D12B21">
      <w:pPr>
        <w:pStyle w:val="Textonotapie"/>
        <w:spacing w:before="0" w:after="60"/>
        <w:rPr>
          <w:szCs w:val="16"/>
          <w:lang w:val="es-CR"/>
        </w:rPr>
      </w:pPr>
      <w:r w:rsidRPr="00CD68BA">
        <w:rPr>
          <w:rStyle w:val="Refdenotaalpie"/>
          <w:szCs w:val="16"/>
          <w:lang w:val="es-CR"/>
        </w:rPr>
        <w:footnoteRef/>
      </w:r>
      <w:r w:rsidRPr="003C2C9B">
        <w:rPr>
          <w:szCs w:val="16"/>
          <w:lang w:val="pt-BR"/>
        </w:rPr>
        <w:t xml:space="preserve"> </w:t>
      </w:r>
      <w:r w:rsidRPr="003C2C9B">
        <w:rPr>
          <w:szCs w:val="16"/>
          <w:lang w:val="pt-BR"/>
        </w:rPr>
        <w:tab/>
      </w:r>
      <w:r w:rsidRPr="003C2C9B">
        <w:rPr>
          <w:i/>
          <w:iCs/>
          <w:szCs w:val="16"/>
          <w:lang w:val="pt-BR"/>
        </w:rPr>
        <w:t>Cfr.</w:t>
      </w:r>
      <w:r w:rsidRPr="003C2C9B">
        <w:rPr>
          <w:szCs w:val="16"/>
          <w:lang w:val="pt-BR"/>
        </w:rPr>
        <w:t xml:space="preserve"> </w:t>
      </w:r>
      <w:r w:rsidRPr="003C2C9B">
        <w:rPr>
          <w:rFonts w:cs="Arial"/>
          <w:szCs w:val="16"/>
          <w:lang w:val="pt-BR"/>
        </w:rPr>
        <w:t xml:space="preserve">Airton dos Reis Pereira. </w:t>
      </w:r>
      <w:r w:rsidRPr="00CD68BA">
        <w:rPr>
          <w:rFonts w:cs="Arial"/>
          <w:i/>
          <w:iCs/>
          <w:szCs w:val="16"/>
          <w:lang w:val="es-CR"/>
        </w:rPr>
        <w:t>Conflictos de Tierra y Violencia en el Sur de Pará (1975-1990)</w:t>
      </w:r>
      <w:r w:rsidRPr="00CD68BA">
        <w:rPr>
          <w:rFonts w:cs="Arial"/>
          <w:szCs w:val="16"/>
          <w:lang w:val="es-CR"/>
        </w:rPr>
        <w:t xml:space="preserve">, rendido en el X Encuentro Nacional de Historia Oral. Testimonios: Historia y Política, Universidad Federal de Pernambuco, Recife, 26 a 30 de abril de 2010, p. 11. Disponible en: </w:t>
      </w:r>
      <w:hyperlink r:id="rId10" w:history="1">
        <w:r w:rsidRPr="00CD68BA">
          <w:rPr>
            <w:rStyle w:val="Hipervnculo"/>
            <w:rFonts w:cs="Arial"/>
            <w:color w:val="auto"/>
            <w:szCs w:val="16"/>
            <w:lang w:val="es-CR"/>
          </w:rPr>
          <w:t>https://www.encontro2010.historiaoral.org.br/resources/anais/2/1268332455_ARQUIVO_ConflitosdeterraeViolencianoSuldoPara_1975-1990_.pdf</w:t>
        </w:r>
      </w:hyperlink>
      <w:r w:rsidRPr="00CD68BA">
        <w:rPr>
          <w:rFonts w:cs="Arial"/>
          <w:szCs w:val="16"/>
          <w:lang w:val="es-CR"/>
        </w:rPr>
        <w:t xml:space="preserve">, y Comisión Pastoral de la Tierra </w:t>
      </w:r>
      <w:r w:rsidRPr="00CD68BA">
        <w:rPr>
          <w:rFonts w:cs="Arial"/>
          <w:i/>
          <w:iCs/>
          <w:szCs w:val="16"/>
          <w:lang w:val="es-CR"/>
        </w:rPr>
        <w:t>et al. Violación de los Derechos Humanos en la Amazonia: Conflicto y Violencia en la frontera paraense</w:t>
      </w:r>
      <w:r w:rsidRPr="00CD68BA">
        <w:rPr>
          <w:rFonts w:cs="Arial"/>
          <w:szCs w:val="16"/>
          <w:lang w:val="es-CR"/>
        </w:rPr>
        <w:t xml:space="preserve">, 2005, p.33. Disponible en: </w:t>
      </w:r>
      <w:hyperlink r:id="rId11" w:history="1">
        <w:r w:rsidRPr="00CD68BA">
          <w:rPr>
            <w:rStyle w:val="Hipervnculo"/>
            <w:rFonts w:cs="Arial"/>
            <w:color w:val="auto"/>
            <w:szCs w:val="16"/>
            <w:lang w:val="es-CR"/>
          </w:rPr>
          <w:t>https://www.fdcl.org/wp-content/uploads/2005/11/relatorioparaportugues.pdf</w:t>
        </w:r>
      </w:hyperlink>
      <w:r w:rsidRPr="00CD68BA">
        <w:rPr>
          <w:rStyle w:val="Hipervnculo"/>
          <w:rFonts w:cs="Arial"/>
          <w:color w:val="auto"/>
          <w:szCs w:val="16"/>
          <w:lang w:val="es-CR"/>
        </w:rPr>
        <w:t>.</w:t>
      </w:r>
      <w:r w:rsidRPr="00CD68BA">
        <w:rPr>
          <w:rFonts w:cs="Arial"/>
          <w:szCs w:val="16"/>
          <w:lang w:val="es-CR"/>
        </w:rPr>
        <w:t xml:space="preserve"> </w:t>
      </w:r>
    </w:p>
  </w:footnote>
  <w:footnote w:id="48">
    <w:p w14:paraId="0C8DBE4E" w14:textId="59C1A509" w:rsidR="00EB5699" w:rsidRPr="00CD68BA" w:rsidRDefault="00EB569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ONU, </w:t>
      </w:r>
      <w:r w:rsidRPr="00CD68BA">
        <w:rPr>
          <w:i/>
          <w:iCs/>
          <w:szCs w:val="16"/>
          <w:lang w:val="es-CR"/>
        </w:rPr>
        <w:t>Informe sobre la Misión a Brasil</w:t>
      </w:r>
      <w:r w:rsidR="00E001E2" w:rsidRPr="00CD68BA">
        <w:rPr>
          <w:i/>
          <w:iCs/>
          <w:szCs w:val="16"/>
          <w:lang w:val="es-CR"/>
        </w:rPr>
        <w:t xml:space="preserve"> de</w:t>
      </w:r>
      <w:r w:rsidR="00B547AD" w:rsidRPr="00CD68BA">
        <w:rPr>
          <w:i/>
          <w:iCs/>
          <w:szCs w:val="16"/>
          <w:lang w:val="es-CR"/>
        </w:rPr>
        <w:t xml:space="preserve"> </w:t>
      </w:r>
      <w:r w:rsidR="00E001E2" w:rsidRPr="00CD68BA">
        <w:rPr>
          <w:i/>
          <w:iCs/>
          <w:szCs w:val="16"/>
          <w:lang w:val="es-CR"/>
        </w:rPr>
        <w:t>l</w:t>
      </w:r>
      <w:r w:rsidR="00B547AD" w:rsidRPr="00CD68BA">
        <w:rPr>
          <w:i/>
          <w:iCs/>
          <w:szCs w:val="16"/>
          <w:lang w:val="es-CR"/>
        </w:rPr>
        <w:t>a</w:t>
      </w:r>
      <w:r w:rsidRPr="00CD68BA">
        <w:rPr>
          <w:i/>
          <w:iCs/>
          <w:szCs w:val="16"/>
          <w:lang w:val="es-CR"/>
        </w:rPr>
        <w:t xml:space="preserve"> </w:t>
      </w:r>
      <w:r w:rsidR="00FD55AF" w:rsidRPr="00CD68BA">
        <w:rPr>
          <w:i/>
          <w:iCs/>
          <w:szCs w:val="16"/>
          <w:lang w:val="es-CR"/>
        </w:rPr>
        <w:t>Representante Especial del Secretario General sobre la situaci</w:t>
      </w:r>
      <w:r w:rsidR="00E001E2" w:rsidRPr="00CD68BA">
        <w:rPr>
          <w:i/>
          <w:iCs/>
          <w:szCs w:val="16"/>
          <w:lang w:val="es-CR"/>
        </w:rPr>
        <w:t>ó</w:t>
      </w:r>
      <w:r w:rsidR="00FD55AF" w:rsidRPr="00CD68BA">
        <w:rPr>
          <w:i/>
          <w:iCs/>
          <w:szCs w:val="16"/>
          <w:lang w:val="es-CR"/>
        </w:rPr>
        <w:t>n de los defensores de los derechos humanos</w:t>
      </w:r>
      <w:r w:rsidRPr="00CD68BA">
        <w:rPr>
          <w:i/>
          <w:iCs/>
          <w:szCs w:val="16"/>
          <w:lang w:val="es-CR"/>
        </w:rPr>
        <w:t>, Hina Jilani</w:t>
      </w:r>
      <w:r w:rsidR="00B547AD" w:rsidRPr="00CD68BA">
        <w:rPr>
          <w:szCs w:val="16"/>
          <w:lang w:val="es-CR"/>
        </w:rPr>
        <w:t>, Adición.</w:t>
      </w:r>
      <w:r w:rsidR="00FC48BE" w:rsidRPr="00CD68BA">
        <w:rPr>
          <w:szCs w:val="16"/>
          <w:lang w:val="es-CR"/>
        </w:rPr>
        <w:t xml:space="preserve"> Doc. A/HRC/4/37/Add.2, 19 de diciembre de 2006</w:t>
      </w:r>
      <w:r w:rsidRPr="00CD68BA">
        <w:rPr>
          <w:szCs w:val="16"/>
          <w:lang w:val="es-CR"/>
        </w:rPr>
        <w:t>, párr</w:t>
      </w:r>
      <w:r w:rsidR="00C63772" w:rsidRPr="00CD68BA">
        <w:rPr>
          <w:szCs w:val="16"/>
          <w:lang w:val="es-CR"/>
        </w:rPr>
        <w:t>s</w:t>
      </w:r>
      <w:r w:rsidRPr="00CD68BA">
        <w:rPr>
          <w:szCs w:val="16"/>
          <w:lang w:val="es-CR"/>
        </w:rPr>
        <w:t xml:space="preserve">. 16, 17, 19, 20; ONU, </w:t>
      </w:r>
      <w:r w:rsidRPr="00CD68BA">
        <w:rPr>
          <w:i/>
          <w:iCs/>
          <w:szCs w:val="16"/>
          <w:lang w:val="es-CR"/>
        </w:rPr>
        <w:t>Informe sobre la Misión a Brasil, Relator Especial sobre ejecuciones extrajudiciales, sumarias o arbitrarias, Philip Alston</w:t>
      </w:r>
      <w:r w:rsidR="00AA4A09" w:rsidRPr="00CD68BA">
        <w:rPr>
          <w:szCs w:val="16"/>
          <w:lang w:val="es-CR"/>
        </w:rPr>
        <w:t>. Doc. A/HRC/11/2/Add.2</w:t>
      </w:r>
      <w:r w:rsidRPr="00CD68BA">
        <w:rPr>
          <w:szCs w:val="16"/>
          <w:lang w:val="es-CR"/>
        </w:rPr>
        <w:t>,</w:t>
      </w:r>
      <w:r w:rsidR="00AA4A09" w:rsidRPr="00CD68BA">
        <w:rPr>
          <w:szCs w:val="16"/>
          <w:lang w:val="es-CR"/>
        </w:rPr>
        <w:t xml:space="preserve"> 23 de marzo de 2009,</w:t>
      </w:r>
      <w:r w:rsidRPr="00CD68BA">
        <w:rPr>
          <w:szCs w:val="16"/>
          <w:lang w:val="es-CR"/>
        </w:rPr>
        <w:t xml:space="preserve"> párr. 40; Human Rights Watch</w:t>
      </w:r>
      <w:r w:rsidR="0083015B" w:rsidRPr="00CD68BA">
        <w:rPr>
          <w:szCs w:val="16"/>
          <w:lang w:val="es-CR"/>
        </w:rPr>
        <w:t>.</w:t>
      </w:r>
      <w:r w:rsidRPr="00CD68BA">
        <w:rPr>
          <w:szCs w:val="16"/>
          <w:lang w:val="es-CR"/>
        </w:rPr>
        <w:t xml:space="preserve"> </w:t>
      </w:r>
      <w:r w:rsidRPr="00CD68BA">
        <w:rPr>
          <w:i/>
          <w:iCs/>
          <w:szCs w:val="16"/>
          <w:lang w:val="es-CR"/>
        </w:rPr>
        <w:t>Violencia rural en Brasil</w:t>
      </w:r>
      <w:r w:rsidR="0083015B" w:rsidRPr="00CD68BA">
        <w:rPr>
          <w:szCs w:val="16"/>
          <w:lang w:val="es-CR"/>
        </w:rPr>
        <w:t>,</w:t>
      </w:r>
      <w:r w:rsidRPr="00CD68BA">
        <w:rPr>
          <w:szCs w:val="16"/>
          <w:lang w:val="es-CR"/>
        </w:rPr>
        <w:t xml:space="preserve"> 1991</w:t>
      </w:r>
      <w:r w:rsidR="0083015B" w:rsidRPr="00CD68BA">
        <w:rPr>
          <w:szCs w:val="16"/>
          <w:lang w:val="es-CR"/>
        </w:rPr>
        <w:t>, pp. 21 a</w:t>
      </w:r>
      <w:r w:rsidR="003F3FC7" w:rsidRPr="00CD68BA">
        <w:rPr>
          <w:szCs w:val="16"/>
          <w:lang w:val="es-CR"/>
        </w:rPr>
        <w:t xml:space="preserve"> 23</w:t>
      </w:r>
      <w:r w:rsidRPr="00CD68BA">
        <w:rPr>
          <w:szCs w:val="16"/>
          <w:lang w:val="es-CR"/>
        </w:rPr>
        <w:t xml:space="preserve"> y</w:t>
      </w:r>
      <w:r w:rsidR="003F3FC7" w:rsidRPr="00CD68BA">
        <w:rPr>
          <w:szCs w:val="16"/>
          <w:lang w:val="es-CR"/>
        </w:rPr>
        <w:t xml:space="preserve"> 57 a 66. </w:t>
      </w:r>
      <w:r w:rsidR="003F3FC7" w:rsidRPr="009D33A1">
        <w:rPr>
          <w:szCs w:val="16"/>
          <w:lang w:val="en-US"/>
        </w:rPr>
        <w:t xml:space="preserve">Disponible en: </w:t>
      </w:r>
      <w:hyperlink r:id="rId12" w:history="1">
        <w:r w:rsidR="003F3FC7" w:rsidRPr="009D33A1">
          <w:rPr>
            <w:rStyle w:val="Hipervnculo"/>
            <w:color w:val="auto"/>
            <w:szCs w:val="16"/>
            <w:lang w:val="en-US"/>
          </w:rPr>
          <w:t>https://www.hrw.org/reports//pdfs/b/brazil/brazil.912/braz912full.pdf</w:t>
        </w:r>
      </w:hyperlink>
      <w:r w:rsidR="00057FC9" w:rsidRPr="009D33A1">
        <w:rPr>
          <w:szCs w:val="16"/>
          <w:lang w:val="en-US"/>
        </w:rPr>
        <w:t xml:space="preserve">; </w:t>
      </w:r>
      <w:r w:rsidR="004F0ACE" w:rsidRPr="009D33A1">
        <w:rPr>
          <w:szCs w:val="16"/>
          <w:lang w:val="en-US"/>
        </w:rPr>
        <w:t xml:space="preserve">Human Rights Watch. </w:t>
      </w:r>
      <w:r w:rsidRPr="00CD68BA">
        <w:rPr>
          <w:i/>
          <w:iCs/>
          <w:szCs w:val="16"/>
          <w:lang w:val="es-CR"/>
        </w:rPr>
        <w:t xml:space="preserve">La lucha por la tierra en Brasil: </w:t>
      </w:r>
      <w:r w:rsidR="00057FC9" w:rsidRPr="00CD68BA">
        <w:rPr>
          <w:i/>
          <w:iCs/>
          <w:szCs w:val="16"/>
          <w:lang w:val="es-CR"/>
        </w:rPr>
        <w:t>L</w:t>
      </w:r>
      <w:r w:rsidRPr="00CD68BA">
        <w:rPr>
          <w:i/>
          <w:iCs/>
          <w:szCs w:val="16"/>
          <w:lang w:val="es-CR"/>
        </w:rPr>
        <w:t>a violencia rural continúa</w:t>
      </w:r>
      <w:r w:rsidR="00956A09" w:rsidRPr="00CD68BA">
        <w:rPr>
          <w:i/>
          <w:iCs/>
          <w:szCs w:val="16"/>
          <w:lang w:val="es-CR"/>
        </w:rPr>
        <w:t>, supra</w:t>
      </w:r>
      <w:r w:rsidR="00057FC9" w:rsidRPr="00CD68BA">
        <w:rPr>
          <w:szCs w:val="16"/>
          <w:lang w:val="es-CR"/>
        </w:rPr>
        <w:t>, pp. 6 a 10,</w:t>
      </w:r>
      <w:r w:rsidRPr="00CD68BA">
        <w:rPr>
          <w:szCs w:val="16"/>
          <w:lang w:val="es-CR"/>
        </w:rPr>
        <w:t xml:space="preserve"> y Amnistía Internacional, Corumbiara y Eldorado De Carajás: Violencia rural, brutalidad policial e impunidad</w:t>
      </w:r>
      <w:r w:rsidR="009123E9" w:rsidRPr="00CD68BA">
        <w:rPr>
          <w:szCs w:val="16"/>
          <w:lang w:val="es-CR"/>
        </w:rPr>
        <w:t xml:space="preserve">, </w:t>
      </w:r>
      <w:r w:rsidRPr="00CD68BA">
        <w:rPr>
          <w:szCs w:val="16"/>
          <w:lang w:val="es-CR"/>
        </w:rPr>
        <w:t>1998</w:t>
      </w:r>
      <w:r w:rsidR="009123E9" w:rsidRPr="00CD68BA">
        <w:rPr>
          <w:szCs w:val="16"/>
          <w:lang w:val="es-CR"/>
        </w:rPr>
        <w:t>, pp. 4 a 6</w:t>
      </w:r>
      <w:r w:rsidRPr="00CD68BA">
        <w:rPr>
          <w:szCs w:val="16"/>
          <w:lang w:val="es-CR"/>
        </w:rPr>
        <w:t xml:space="preserve">. </w:t>
      </w:r>
      <w:r w:rsidR="00057FC9" w:rsidRPr="00CD68BA">
        <w:rPr>
          <w:szCs w:val="16"/>
          <w:lang w:val="es-CR"/>
        </w:rPr>
        <w:t xml:space="preserve">Disponible en: </w:t>
      </w:r>
      <w:hyperlink r:id="rId13" w:history="1">
        <w:r w:rsidR="00207F12" w:rsidRPr="00CD68BA">
          <w:rPr>
            <w:rStyle w:val="Hipervnculo"/>
            <w:color w:val="auto"/>
            <w:szCs w:val="16"/>
            <w:lang w:val="es-CR"/>
          </w:rPr>
          <w:t>https://www.amnesty.org/en/documents/amr19/001/1998/es/</w:t>
        </w:r>
      </w:hyperlink>
      <w:r w:rsidR="00207F12" w:rsidRPr="00CD68BA">
        <w:rPr>
          <w:szCs w:val="16"/>
          <w:lang w:val="es-CR"/>
        </w:rPr>
        <w:t xml:space="preserve">. </w:t>
      </w:r>
    </w:p>
  </w:footnote>
  <w:footnote w:id="49">
    <w:p w14:paraId="0571C68E" w14:textId="040CF7B6" w:rsidR="00D24823" w:rsidRPr="00CD68BA" w:rsidRDefault="00D24823" w:rsidP="00D12B21">
      <w:pPr>
        <w:pStyle w:val="Textonotapie"/>
        <w:spacing w:before="0" w:after="60"/>
        <w:rPr>
          <w:i/>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00805B27" w:rsidRPr="00CD68BA">
        <w:rPr>
          <w:szCs w:val="16"/>
          <w:lang w:val="es-CR"/>
        </w:rPr>
        <w:t xml:space="preserve"> </w:t>
      </w:r>
      <w:r w:rsidR="006D4399" w:rsidRPr="00CD68BA">
        <w:rPr>
          <w:szCs w:val="16"/>
          <w:lang w:val="es-CR"/>
        </w:rPr>
        <w:t>Ministerio de Desarrollo Agrario, Brasil. El retrato de la represión política en el campo-Brasil 1962-1985: Campesinos torturados, muertos y desaparecidos, 2</w:t>
      </w:r>
      <w:r w:rsidR="006D4399" w:rsidRPr="00CD68BA">
        <w:rPr>
          <w:rFonts w:cs="Arial"/>
          <w:szCs w:val="16"/>
          <w:lang w:val="es-CR"/>
        </w:rPr>
        <w:t>ª Edición</w:t>
      </w:r>
      <w:r w:rsidR="006D4399" w:rsidRPr="00CD68BA">
        <w:rPr>
          <w:i/>
          <w:iCs/>
          <w:szCs w:val="16"/>
          <w:lang w:val="es-CR"/>
        </w:rPr>
        <w:t>, supra</w:t>
      </w:r>
      <w:r w:rsidR="00805B27" w:rsidRPr="00CD68BA">
        <w:rPr>
          <w:i/>
          <w:iCs/>
          <w:szCs w:val="16"/>
          <w:lang w:val="es-CR"/>
        </w:rPr>
        <w:t>, p. 2</w:t>
      </w:r>
      <w:r w:rsidR="00EF5352" w:rsidRPr="00CD68BA">
        <w:rPr>
          <w:i/>
          <w:iCs/>
          <w:szCs w:val="16"/>
          <w:lang w:val="es-CR"/>
        </w:rPr>
        <w:t>6</w:t>
      </w:r>
      <w:r w:rsidR="00805B27" w:rsidRPr="00CD68BA">
        <w:rPr>
          <w:i/>
          <w:iCs/>
          <w:szCs w:val="16"/>
          <w:lang w:val="es-CR"/>
        </w:rPr>
        <w:t>.</w:t>
      </w:r>
      <w:r w:rsidRPr="00CD68BA">
        <w:rPr>
          <w:rFonts w:cs="Arial"/>
          <w:szCs w:val="16"/>
          <w:lang w:val="es-CR"/>
        </w:rPr>
        <w:t xml:space="preserve"> </w:t>
      </w:r>
    </w:p>
  </w:footnote>
  <w:footnote w:id="50">
    <w:p w14:paraId="6B082289" w14:textId="6BFF1E42" w:rsidR="00EF4038" w:rsidRPr="00CD68BA" w:rsidRDefault="00EF403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D06591" w:rsidRPr="00CD68BA">
        <w:rPr>
          <w:szCs w:val="16"/>
          <w:lang w:val="es-CR"/>
        </w:rPr>
        <w:t xml:space="preserve">Secretaría de Derechos Humanos de la Presidencia de la República, Brasil. </w:t>
      </w:r>
      <w:r w:rsidR="00D06591" w:rsidRPr="00CD68BA">
        <w:rPr>
          <w:i/>
          <w:iCs/>
          <w:szCs w:val="16"/>
          <w:lang w:val="es-CR"/>
        </w:rPr>
        <w:t>Campesinos muertos y desaparecidos: excluidos de la justicia transiciona</w:t>
      </w:r>
      <w:r w:rsidR="00D06591" w:rsidRPr="00CD68BA">
        <w:rPr>
          <w:szCs w:val="16"/>
          <w:lang w:val="es-CR"/>
        </w:rPr>
        <w:t>l</w:t>
      </w:r>
      <w:r w:rsidR="00D06591" w:rsidRPr="00CD68BA">
        <w:rPr>
          <w:rFonts w:cs="Arial"/>
          <w:szCs w:val="16"/>
          <w:lang w:val="es-CR"/>
        </w:rPr>
        <w:t xml:space="preserve">, </w:t>
      </w:r>
      <w:r w:rsidR="006D4399" w:rsidRPr="00CD68BA">
        <w:rPr>
          <w:i/>
          <w:iCs/>
          <w:szCs w:val="16"/>
          <w:lang w:val="es-CR"/>
        </w:rPr>
        <w:t>supra</w:t>
      </w:r>
      <w:r w:rsidR="00D06591" w:rsidRPr="00CD68BA">
        <w:rPr>
          <w:rFonts w:cs="Arial"/>
          <w:szCs w:val="16"/>
          <w:lang w:val="es-CR"/>
        </w:rPr>
        <w:t>, p. 23.</w:t>
      </w:r>
    </w:p>
  </w:footnote>
  <w:footnote w:id="51">
    <w:p w14:paraId="4A0949B9" w14:textId="6159F032" w:rsidR="00AA4935" w:rsidRPr="00CD68BA" w:rsidRDefault="00AA493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ONU, </w:t>
      </w:r>
      <w:r w:rsidR="00925B2C" w:rsidRPr="00CD68BA">
        <w:rPr>
          <w:i/>
          <w:iCs/>
          <w:szCs w:val="16"/>
          <w:lang w:val="es-CR"/>
        </w:rPr>
        <w:t>Informe</w:t>
      </w:r>
      <w:r w:rsidRPr="00CD68BA">
        <w:rPr>
          <w:i/>
          <w:iCs/>
          <w:szCs w:val="16"/>
          <w:lang w:val="es-CR"/>
        </w:rPr>
        <w:t xml:space="preserve"> Especial </w:t>
      </w:r>
      <w:r w:rsidR="00B547AD" w:rsidRPr="00CD68BA">
        <w:rPr>
          <w:i/>
          <w:iCs/>
          <w:szCs w:val="16"/>
          <w:lang w:val="es-CR"/>
        </w:rPr>
        <w:t>s</w:t>
      </w:r>
      <w:r w:rsidRPr="00CD68BA">
        <w:rPr>
          <w:i/>
          <w:iCs/>
          <w:szCs w:val="16"/>
          <w:lang w:val="es-CR"/>
        </w:rPr>
        <w:t xml:space="preserve">obre </w:t>
      </w:r>
      <w:r w:rsidR="00925B2C" w:rsidRPr="00CD68BA">
        <w:rPr>
          <w:i/>
          <w:iCs/>
          <w:szCs w:val="16"/>
          <w:lang w:val="es-CR"/>
        </w:rPr>
        <w:t>l</w:t>
      </w:r>
      <w:r w:rsidRPr="00CD68BA">
        <w:rPr>
          <w:i/>
          <w:iCs/>
          <w:szCs w:val="16"/>
          <w:lang w:val="es-CR"/>
        </w:rPr>
        <w:t>a Mis</w:t>
      </w:r>
      <w:r w:rsidR="00925B2C" w:rsidRPr="00CD68BA">
        <w:rPr>
          <w:i/>
          <w:iCs/>
          <w:szCs w:val="16"/>
          <w:lang w:val="es-CR"/>
        </w:rPr>
        <w:t>ión a</w:t>
      </w:r>
      <w:r w:rsidRPr="00CD68BA">
        <w:rPr>
          <w:i/>
          <w:iCs/>
          <w:szCs w:val="16"/>
          <w:lang w:val="es-CR"/>
        </w:rPr>
        <w:t xml:space="preserve"> Brasil d</w:t>
      </w:r>
      <w:r w:rsidR="00925B2C" w:rsidRPr="00CD68BA">
        <w:rPr>
          <w:i/>
          <w:iCs/>
          <w:szCs w:val="16"/>
          <w:lang w:val="es-CR"/>
        </w:rPr>
        <w:t>e l</w:t>
      </w:r>
      <w:r w:rsidRPr="00CD68BA">
        <w:rPr>
          <w:i/>
          <w:iCs/>
          <w:szCs w:val="16"/>
          <w:lang w:val="es-CR"/>
        </w:rPr>
        <w:t xml:space="preserve">a Relatora Especial sobre </w:t>
      </w:r>
      <w:r w:rsidR="00B547AD" w:rsidRPr="00CD68BA">
        <w:rPr>
          <w:i/>
          <w:iCs/>
          <w:szCs w:val="16"/>
          <w:lang w:val="es-CR"/>
        </w:rPr>
        <w:t>e</w:t>
      </w:r>
      <w:r w:rsidR="00925B2C" w:rsidRPr="00CD68BA">
        <w:rPr>
          <w:i/>
          <w:iCs/>
          <w:szCs w:val="16"/>
          <w:lang w:val="es-CR"/>
        </w:rPr>
        <w:t>jecuciones</w:t>
      </w:r>
      <w:r w:rsidRPr="00CD68BA">
        <w:rPr>
          <w:i/>
          <w:iCs/>
          <w:szCs w:val="16"/>
          <w:lang w:val="es-CR"/>
        </w:rPr>
        <w:t xml:space="preserve"> </w:t>
      </w:r>
      <w:r w:rsidR="00B547AD" w:rsidRPr="00CD68BA">
        <w:rPr>
          <w:i/>
          <w:iCs/>
          <w:szCs w:val="16"/>
          <w:lang w:val="es-CR"/>
        </w:rPr>
        <w:t>e</w:t>
      </w:r>
      <w:r w:rsidRPr="00CD68BA">
        <w:rPr>
          <w:i/>
          <w:iCs/>
          <w:szCs w:val="16"/>
          <w:lang w:val="es-CR"/>
        </w:rPr>
        <w:t>xtrajudicia</w:t>
      </w:r>
      <w:r w:rsidR="00925B2C" w:rsidRPr="00CD68BA">
        <w:rPr>
          <w:i/>
          <w:iCs/>
          <w:szCs w:val="16"/>
          <w:lang w:val="es-CR"/>
        </w:rPr>
        <w:t>le</w:t>
      </w:r>
      <w:r w:rsidRPr="00CD68BA">
        <w:rPr>
          <w:i/>
          <w:iCs/>
          <w:szCs w:val="16"/>
          <w:lang w:val="es-CR"/>
        </w:rPr>
        <w:t xml:space="preserve">s, </w:t>
      </w:r>
      <w:r w:rsidR="00B547AD" w:rsidRPr="00CD68BA">
        <w:rPr>
          <w:i/>
          <w:iCs/>
          <w:szCs w:val="16"/>
          <w:lang w:val="es-CR"/>
        </w:rPr>
        <w:t>s</w:t>
      </w:r>
      <w:r w:rsidRPr="00CD68BA">
        <w:rPr>
          <w:i/>
          <w:iCs/>
          <w:szCs w:val="16"/>
          <w:lang w:val="es-CR"/>
        </w:rPr>
        <w:t>um</w:t>
      </w:r>
      <w:r w:rsidR="00925B2C" w:rsidRPr="00CD68BA">
        <w:rPr>
          <w:i/>
          <w:iCs/>
          <w:szCs w:val="16"/>
          <w:lang w:val="es-CR"/>
        </w:rPr>
        <w:t>a</w:t>
      </w:r>
      <w:r w:rsidRPr="00CD68BA">
        <w:rPr>
          <w:i/>
          <w:iCs/>
          <w:szCs w:val="16"/>
          <w:lang w:val="es-CR"/>
        </w:rPr>
        <w:t xml:space="preserve">rias o </w:t>
      </w:r>
      <w:r w:rsidR="00B547AD" w:rsidRPr="00CD68BA">
        <w:rPr>
          <w:i/>
          <w:iCs/>
          <w:szCs w:val="16"/>
          <w:lang w:val="es-CR"/>
        </w:rPr>
        <w:t>a</w:t>
      </w:r>
      <w:r w:rsidR="00925B2C" w:rsidRPr="00CD68BA">
        <w:rPr>
          <w:i/>
          <w:iCs/>
          <w:szCs w:val="16"/>
          <w:lang w:val="es-CR"/>
        </w:rPr>
        <w:t>rbitrarias</w:t>
      </w:r>
      <w:r w:rsidRPr="00CD68BA">
        <w:rPr>
          <w:i/>
          <w:iCs/>
          <w:szCs w:val="16"/>
          <w:lang w:val="es-CR"/>
        </w:rPr>
        <w:t>, Asma Jahangir</w:t>
      </w:r>
      <w:r w:rsidR="00B547AD" w:rsidRPr="00CD68BA">
        <w:rPr>
          <w:szCs w:val="16"/>
          <w:lang w:val="es-CR"/>
        </w:rPr>
        <w:t>.</w:t>
      </w:r>
      <w:r w:rsidRPr="00CD68BA">
        <w:rPr>
          <w:szCs w:val="16"/>
          <w:lang w:val="es-CR"/>
        </w:rPr>
        <w:t xml:space="preserve"> Doc. E/CN.4/2004/7/Add.3, p. 18</w:t>
      </w:r>
      <w:r w:rsidR="00253F45" w:rsidRPr="00CD68BA">
        <w:rPr>
          <w:szCs w:val="16"/>
          <w:lang w:val="es-CR"/>
        </w:rPr>
        <w:t xml:space="preserve">, y </w:t>
      </w:r>
      <w:r w:rsidR="001752AE" w:rsidRPr="00CD68BA">
        <w:rPr>
          <w:szCs w:val="16"/>
          <w:lang w:val="es-CR"/>
        </w:rPr>
        <w:t xml:space="preserve">ONU, </w:t>
      </w:r>
      <w:r w:rsidR="00925B2C" w:rsidRPr="00CD68BA">
        <w:rPr>
          <w:i/>
          <w:iCs/>
          <w:szCs w:val="16"/>
          <w:lang w:val="es-CR"/>
        </w:rPr>
        <w:t xml:space="preserve">Informe sobre </w:t>
      </w:r>
      <w:r w:rsidR="00B547AD" w:rsidRPr="00CD68BA">
        <w:rPr>
          <w:i/>
          <w:iCs/>
          <w:szCs w:val="16"/>
          <w:lang w:val="es-CR"/>
        </w:rPr>
        <w:t>l</w:t>
      </w:r>
      <w:r w:rsidR="00925B2C" w:rsidRPr="00CD68BA">
        <w:rPr>
          <w:i/>
          <w:iCs/>
          <w:szCs w:val="16"/>
          <w:lang w:val="es-CR"/>
        </w:rPr>
        <w:t xml:space="preserve">a Misión a Brasil de </w:t>
      </w:r>
      <w:bookmarkStart w:id="110" w:name="_Hlk110388329"/>
      <w:r w:rsidR="00925B2C" w:rsidRPr="00CD68BA">
        <w:rPr>
          <w:i/>
          <w:iCs/>
          <w:szCs w:val="16"/>
          <w:lang w:val="es-CR"/>
        </w:rPr>
        <w:t>la</w:t>
      </w:r>
      <w:r w:rsidR="00BC7EC3" w:rsidRPr="00CD68BA">
        <w:rPr>
          <w:i/>
          <w:iCs/>
          <w:szCs w:val="16"/>
          <w:lang w:val="es-CR"/>
        </w:rPr>
        <w:t xml:space="preserve"> Representante Especial del Secretario General sobre la situación de los defensores de los derechos humanos</w:t>
      </w:r>
      <w:bookmarkEnd w:id="110"/>
      <w:r w:rsidR="00925B2C" w:rsidRPr="00CD68BA">
        <w:rPr>
          <w:i/>
          <w:iCs/>
          <w:szCs w:val="16"/>
          <w:lang w:val="es-CR"/>
        </w:rPr>
        <w:t>, Hina Jilani</w:t>
      </w:r>
      <w:r w:rsidR="00925B2C" w:rsidRPr="00CD68BA">
        <w:rPr>
          <w:szCs w:val="16"/>
          <w:lang w:val="es-CR"/>
        </w:rPr>
        <w:t>,</w:t>
      </w:r>
      <w:r w:rsidR="00B547AD" w:rsidRPr="00CD68BA">
        <w:rPr>
          <w:szCs w:val="16"/>
          <w:lang w:val="es-CR"/>
        </w:rPr>
        <w:t xml:space="preserve"> </w:t>
      </w:r>
      <w:r w:rsidR="00B547AD" w:rsidRPr="00CD68BA">
        <w:rPr>
          <w:i/>
          <w:iCs/>
          <w:szCs w:val="16"/>
          <w:lang w:val="es-CR"/>
        </w:rPr>
        <w:t>supra</w:t>
      </w:r>
      <w:r w:rsidR="001752AE" w:rsidRPr="00CD68BA">
        <w:rPr>
          <w:szCs w:val="16"/>
          <w:lang w:val="es-CR"/>
        </w:rPr>
        <w:t xml:space="preserve">, par. 18. </w:t>
      </w:r>
    </w:p>
  </w:footnote>
  <w:footnote w:id="52">
    <w:p w14:paraId="0F39E349" w14:textId="028BF8E1" w:rsidR="00FA443F" w:rsidRPr="00CD68BA" w:rsidRDefault="00FA443F"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Justi</w:t>
      </w:r>
      <w:r w:rsidR="00A3593B" w:rsidRPr="00CD68BA">
        <w:rPr>
          <w:szCs w:val="16"/>
          <w:lang w:val="es-CR"/>
        </w:rPr>
        <w:t>ci</w:t>
      </w:r>
      <w:r w:rsidRPr="00CD68BA">
        <w:rPr>
          <w:szCs w:val="16"/>
          <w:lang w:val="es-CR"/>
        </w:rPr>
        <w:t xml:space="preserve">a Global </w:t>
      </w:r>
      <w:r w:rsidR="00DD5B73" w:rsidRPr="00CD68BA">
        <w:rPr>
          <w:szCs w:val="16"/>
          <w:lang w:val="es-CR"/>
        </w:rPr>
        <w:t>y</w:t>
      </w:r>
      <w:r w:rsidRPr="00CD68BA">
        <w:rPr>
          <w:szCs w:val="16"/>
          <w:lang w:val="es-CR"/>
        </w:rPr>
        <w:t xml:space="preserve"> </w:t>
      </w:r>
      <w:r w:rsidR="00E37FD9" w:rsidRPr="00CD68BA">
        <w:rPr>
          <w:szCs w:val="16"/>
          <w:lang w:val="es-CR"/>
        </w:rPr>
        <w:t>Defensores en primera línea</w:t>
      </w:r>
      <w:r w:rsidRPr="00CD68BA">
        <w:rPr>
          <w:szCs w:val="16"/>
          <w:lang w:val="es-CR"/>
        </w:rPr>
        <w:t xml:space="preserve">. </w:t>
      </w:r>
      <w:r w:rsidRPr="00CD68BA">
        <w:rPr>
          <w:i/>
          <w:iCs/>
          <w:szCs w:val="16"/>
          <w:lang w:val="es-CR"/>
        </w:rPr>
        <w:t>L</w:t>
      </w:r>
      <w:r w:rsidR="00DD5B73" w:rsidRPr="00CD68BA">
        <w:rPr>
          <w:i/>
          <w:iCs/>
          <w:szCs w:val="16"/>
          <w:lang w:val="es-CR"/>
        </w:rPr>
        <w:t>íne</w:t>
      </w:r>
      <w:r w:rsidRPr="00CD68BA">
        <w:rPr>
          <w:i/>
          <w:iCs/>
          <w:szCs w:val="16"/>
          <w:lang w:val="es-CR"/>
        </w:rPr>
        <w:t>a de Frente: Defensores de D</w:t>
      </w:r>
      <w:r w:rsidR="00DD5B73" w:rsidRPr="00CD68BA">
        <w:rPr>
          <w:i/>
          <w:iCs/>
          <w:szCs w:val="16"/>
          <w:lang w:val="es-CR"/>
        </w:rPr>
        <w:t>erechos</w:t>
      </w:r>
      <w:r w:rsidRPr="00CD68BA">
        <w:rPr>
          <w:i/>
          <w:iCs/>
          <w:szCs w:val="16"/>
          <w:lang w:val="es-CR"/>
        </w:rPr>
        <w:t xml:space="preserve"> Humanos </w:t>
      </w:r>
      <w:r w:rsidR="00DD5B73" w:rsidRPr="00CD68BA">
        <w:rPr>
          <w:i/>
          <w:iCs/>
          <w:szCs w:val="16"/>
          <w:lang w:val="es-CR"/>
        </w:rPr>
        <w:t>en</w:t>
      </w:r>
      <w:r w:rsidRPr="00CD68BA">
        <w:rPr>
          <w:i/>
          <w:iCs/>
          <w:szCs w:val="16"/>
          <w:lang w:val="es-CR"/>
        </w:rPr>
        <w:t xml:space="preserve"> Brasil, Resum</w:t>
      </w:r>
      <w:r w:rsidR="00034157" w:rsidRPr="00CD68BA">
        <w:rPr>
          <w:i/>
          <w:iCs/>
          <w:szCs w:val="16"/>
          <w:lang w:val="es-CR"/>
        </w:rPr>
        <w:t>en</w:t>
      </w:r>
      <w:r w:rsidRPr="00CD68BA">
        <w:rPr>
          <w:i/>
          <w:iCs/>
          <w:szCs w:val="16"/>
          <w:lang w:val="es-CR"/>
        </w:rPr>
        <w:t xml:space="preserve"> E</w:t>
      </w:r>
      <w:r w:rsidR="00034157" w:rsidRPr="00CD68BA">
        <w:rPr>
          <w:i/>
          <w:iCs/>
          <w:szCs w:val="16"/>
          <w:lang w:val="es-CR"/>
        </w:rPr>
        <w:t>j</w:t>
      </w:r>
      <w:r w:rsidRPr="00CD68BA">
        <w:rPr>
          <w:i/>
          <w:iCs/>
          <w:szCs w:val="16"/>
          <w:lang w:val="es-CR"/>
        </w:rPr>
        <w:t>ecutivo</w:t>
      </w:r>
      <w:r w:rsidR="00034157" w:rsidRPr="00CD68BA">
        <w:rPr>
          <w:szCs w:val="16"/>
          <w:lang w:val="es-CR"/>
        </w:rPr>
        <w:t>.</w:t>
      </w:r>
      <w:r w:rsidRPr="00CD68BA">
        <w:rPr>
          <w:szCs w:val="16"/>
          <w:lang w:val="es-CR"/>
        </w:rPr>
        <w:t xml:space="preserve"> Disponible en: </w:t>
      </w:r>
      <w:hyperlink r:id="rId14" w:history="1">
        <w:r w:rsidRPr="00CD68BA">
          <w:rPr>
            <w:rStyle w:val="Hipervnculo"/>
            <w:color w:val="auto"/>
            <w:szCs w:val="16"/>
            <w:lang w:val="es-CR"/>
          </w:rPr>
          <w:t>http://www.dhnet.org.br/dados/relatorios/dh/br/jglobal/jglobal_frontline/01_resumoexecutivo.htm</w:t>
        </w:r>
      </w:hyperlink>
      <w:r w:rsidR="0091232B" w:rsidRPr="00CD68BA">
        <w:rPr>
          <w:szCs w:val="16"/>
          <w:lang w:val="es-CR"/>
        </w:rPr>
        <w:t>; F</w:t>
      </w:r>
      <w:r w:rsidR="00034157" w:rsidRPr="00CD68BA">
        <w:rPr>
          <w:szCs w:val="16"/>
          <w:lang w:val="es-CR"/>
        </w:rPr>
        <w:t>ederación Internacional de las Ligas de Derechos Humanos</w:t>
      </w:r>
      <w:r w:rsidR="0091232B" w:rsidRPr="00CD68BA">
        <w:rPr>
          <w:szCs w:val="16"/>
          <w:lang w:val="es-CR"/>
        </w:rPr>
        <w:t xml:space="preserve">. </w:t>
      </w:r>
      <w:r w:rsidR="0091232B" w:rsidRPr="00CD68BA">
        <w:rPr>
          <w:i/>
          <w:iCs/>
          <w:szCs w:val="16"/>
          <w:lang w:val="es-CR"/>
        </w:rPr>
        <w:t>Brasil Graves viola</w:t>
      </w:r>
      <w:r w:rsidR="00034157" w:rsidRPr="00CD68BA">
        <w:rPr>
          <w:i/>
          <w:iCs/>
          <w:szCs w:val="16"/>
          <w:lang w:val="es-CR"/>
        </w:rPr>
        <w:t>cion</w:t>
      </w:r>
      <w:r w:rsidR="0091232B" w:rsidRPr="00CD68BA">
        <w:rPr>
          <w:i/>
          <w:iCs/>
          <w:szCs w:val="16"/>
          <w:lang w:val="es-CR"/>
        </w:rPr>
        <w:t>es de d</w:t>
      </w:r>
      <w:r w:rsidR="00034157" w:rsidRPr="00CD68BA">
        <w:rPr>
          <w:i/>
          <w:iCs/>
          <w:szCs w:val="16"/>
          <w:lang w:val="es-CR"/>
        </w:rPr>
        <w:t>er</w:t>
      </w:r>
      <w:r w:rsidR="0091232B" w:rsidRPr="00CD68BA">
        <w:rPr>
          <w:i/>
          <w:iCs/>
          <w:szCs w:val="16"/>
          <w:lang w:val="es-CR"/>
        </w:rPr>
        <w:t>e</w:t>
      </w:r>
      <w:r w:rsidR="00034157" w:rsidRPr="00CD68BA">
        <w:rPr>
          <w:i/>
          <w:iCs/>
          <w:szCs w:val="16"/>
          <w:lang w:val="es-CR"/>
        </w:rPr>
        <w:t>ch</w:t>
      </w:r>
      <w:r w:rsidR="0091232B" w:rsidRPr="00CD68BA">
        <w:rPr>
          <w:i/>
          <w:iCs/>
          <w:szCs w:val="16"/>
          <w:lang w:val="es-CR"/>
        </w:rPr>
        <w:t xml:space="preserve">os humanos </w:t>
      </w:r>
      <w:r w:rsidR="00034157" w:rsidRPr="00CD68BA">
        <w:rPr>
          <w:i/>
          <w:iCs/>
          <w:szCs w:val="16"/>
          <w:lang w:val="es-CR"/>
        </w:rPr>
        <w:t>en l</w:t>
      </w:r>
      <w:r w:rsidR="0091232B" w:rsidRPr="00CD68BA">
        <w:rPr>
          <w:i/>
          <w:iCs/>
          <w:szCs w:val="16"/>
          <w:lang w:val="es-CR"/>
        </w:rPr>
        <w:t>a zona rural</w:t>
      </w:r>
      <w:r w:rsidR="0091232B" w:rsidRPr="00CD68BA">
        <w:rPr>
          <w:szCs w:val="16"/>
          <w:lang w:val="es-CR"/>
        </w:rPr>
        <w:t xml:space="preserve">, 2000, p. 14. Disponible en: </w:t>
      </w:r>
      <w:hyperlink r:id="rId15" w:history="1">
        <w:r w:rsidR="0091232B" w:rsidRPr="00CD68BA">
          <w:rPr>
            <w:rStyle w:val="Hipervnculo"/>
            <w:color w:val="auto"/>
            <w:szCs w:val="16"/>
            <w:lang w:val="es-CR"/>
          </w:rPr>
          <w:t>http://www.dhnet.org.br/dados/relatorios/nacionais/r_fidh_brasil.pdf</w:t>
        </w:r>
      </w:hyperlink>
      <w:r w:rsidR="0075482D" w:rsidRPr="00CD68BA">
        <w:rPr>
          <w:szCs w:val="16"/>
          <w:lang w:val="es-CR"/>
        </w:rPr>
        <w:t xml:space="preserve">; </w:t>
      </w:r>
      <w:r w:rsidR="00E50A65" w:rsidRPr="00CD68BA">
        <w:rPr>
          <w:szCs w:val="16"/>
          <w:lang w:val="es-CR"/>
        </w:rPr>
        <w:t xml:space="preserve">Comité </w:t>
      </w:r>
      <w:r w:rsidR="0075482D" w:rsidRPr="00CD68BA">
        <w:rPr>
          <w:szCs w:val="16"/>
          <w:lang w:val="es-CR"/>
        </w:rPr>
        <w:t>B</w:t>
      </w:r>
      <w:r w:rsidR="00E50A65" w:rsidRPr="00CD68BA">
        <w:rPr>
          <w:szCs w:val="16"/>
          <w:lang w:val="es-CR"/>
        </w:rPr>
        <w:t xml:space="preserve">rasileño de </w:t>
      </w:r>
      <w:r w:rsidR="0075482D" w:rsidRPr="00CD68BA">
        <w:rPr>
          <w:szCs w:val="16"/>
          <w:lang w:val="es-CR"/>
        </w:rPr>
        <w:t>D</w:t>
      </w:r>
      <w:r w:rsidR="00E50A65" w:rsidRPr="00CD68BA">
        <w:rPr>
          <w:szCs w:val="16"/>
          <w:lang w:val="es-CR"/>
        </w:rPr>
        <w:t>efensoras y Defensores de Derechos Humanos</w:t>
      </w:r>
      <w:r w:rsidR="0075482D" w:rsidRPr="00CD68BA">
        <w:rPr>
          <w:szCs w:val="16"/>
          <w:lang w:val="es-CR"/>
        </w:rPr>
        <w:t>. Vidas e</w:t>
      </w:r>
      <w:r w:rsidR="00034157" w:rsidRPr="00CD68BA">
        <w:rPr>
          <w:szCs w:val="16"/>
          <w:lang w:val="es-CR"/>
        </w:rPr>
        <w:t>n</w:t>
      </w:r>
      <w:r w:rsidR="0075482D" w:rsidRPr="00CD68BA">
        <w:rPr>
          <w:szCs w:val="16"/>
          <w:lang w:val="es-CR"/>
        </w:rPr>
        <w:t xml:space="preserve"> Lu</w:t>
      </w:r>
      <w:r w:rsidR="00034157" w:rsidRPr="00CD68BA">
        <w:rPr>
          <w:szCs w:val="16"/>
          <w:lang w:val="es-CR"/>
        </w:rPr>
        <w:t>ch</w:t>
      </w:r>
      <w:r w:rsidR="0075482D" w:rsidRPr="00CD68BA">
        <w:rPr>
          <w:szCs w:val="16"/>
          <w:lang w:val="es-CR"/>
        </w:rPr>
        <w:t xml:space="preserve">a: </w:t>
      </w:r>
      <w:r w:rsidR="00034157" w:rsidRPr="00CD68BA">
        <w:rPr>
          <w:szCs w:val="16"/>
          <w:lang w:val="es-CR"/>
        </w:rPr>
        <w:t>Criminalización y violencia contra defensoras y defensores de derechos humanos</w:t>
      </w:r>
      <w:r w:rsidR="00E50A65" w:rsidRPr="00CD68BA">
        <w:rPr>
          <w:szCs w:val="16"/>
          <w:lang w:val="es-CR"/>
        </w:rPr>
        <w:t xml:space="preserve"> en Brasil</w:t>
      </w:r>
      <w:r w:rsidR="0075482D" w:rsidRPr="00CD68BA">
        <w:rPr>
          <w:szCs w:val="16"/>
          <w:lang w:val="es-CR"/>
        </w:rPr>
        <w:t>, 201</w:t>
      </w:r>
      <w:r w:rsidR="00E50A65" w:rsidRPr="00CD68BA">
        <w:rPr>
          <w:szCs w:val="16"/>
          <w:lang w:val="es-CR"/>
        </w:rPr>
        <w:t>7</w:t>
      </w:r>
      <w:r w:rsidR="0075482D" w:rsidRPr="00CD68BA">
        <w:rPr>
          <w:szCs w:val="16"/>
          <w:lang w:val="es-CR"/>
        </w:rPr>
        <w:t>, p</w:t>
      </w:r>
      <w:r w:rsidR="0051514A" w:rsidRPr="00CD68BA">
        <w:rPr>
          <w:szCs w:val="16"/>
          <w:lang w:val="es-CR"/>
        </w:rPr>
        <w:t>p</w:t>
      </w:r>
      <w:r w:rsidR="0075482D" w:rsidRPr="00CD68BA">
        <w:rPr>
          <w:szCs w:val="16"/>
          <w:lang w:val="es-CR"/>
        </w:rPr>
        <w:t xml:space="preserve">. </w:t>
      </w:r>
      <w:r w:rsidR="0051514A" w:rsidRPr="00CD68BA">
        <w:rPr>
          <w:szCs w:val="16"/>
          <w:lang w:val="es-CR"/>
        </w:rPr>
        <w:t>70 a 73</w:t>
      </w:r>
      <w:r w:rsidR="0075482D" w:rsidRPr="00CD68BA">
        <w:rPr>
          <w:szCs w:val="16"/>
          <w:lang w:val="es-CR"/>
        </w:rPr>
        <w:t>. Dispon</w:t>
      </w:r>
      <w:r w:rsidR="00925B2C" w:rsidRPr="00CD68BA">
        <w:rPr>
          <w:szCs w:val="16"/>
          <w:lang w:val="es-CR"/>
        </w:rPr>
        <w:t>ible</w:t>
      </w:r>
      <w:r w:rsidR="0075482D" w:rsidRPr="00CD68BA">
        <w:rPr>
          <w:szCs w:val="16"/>
          <w:lang w:val="es-CR"/>
        </w:rPr>
        <w:t xml:space="preserve"> e</w:t>
      </w:r>
      <w:r w:rsidR="00E37FD9" w:rsidRPr="00CD68BA">
        <w:rPr>
          <w:szCs w:val="16"/>
          <w:lang w:val="es-CR"/>
        </w:rPr>
        <w:t>n</w:t>
      </w:r>
      <w:r w:rsidR="0075482D" w:rsidRPr="00CD68BA">
        <w:rPr>
          <w:szCs w:val="16"/>
          <w:lang w:val="es-CR"/>
        </w:rPr>
        <w:t>:</w:t>
      </w:r>
      <w:r w:rsidR="00E37FD9" w:rsidRPr="00CD68BA">
        <w:rPr>
          <w:szCs w:val="16"/>
          <w:lang w:val="es-CR"/>
        </w:rPr>
        <w:t xml:space="preserve"> </w:t>
      </w:r>
      <w:hyperlink r:id="rId16" w:history="1">
        <w:r w:rsidR="00E37FD9" w:rsidRPr="00CD68BA">
          <w:rPr>
            <w:rStyle w:val="Hipervnculo"/>
            <w:color w:val="auto"/>
            <w:szCs w:val="16"/>
            <w:lang w:val="es-CR"/>
          </w:rPr>
          <w:t>https://terradedireitos.org.br/uploads/arquivos/CBDDDH---DOSSIE-2017_011118_web.pdf</w:t>
        </w:r>
      </w:hyperlink>
      <w:r w:rsidR="00E37FD9" w:rsidRPr="00CD68BA">
        <w:rPr>
          <w:szCs w:val="16"/>
          <w:lang w:val="es-CR"/>
        </w:rPr>
        <w:t>;</w:t>
      </w:r>
      <w:r w:rsidR="003E6B5F" w:rsidRPr="00CD68BA">
        <w:rPr>
          <w:szCs w:val="16"/>
          <w:lang w:val="es-CR"/>
        </w:rPr>
        <w:t xml:space="preserve"> </w:t>
      </w:r>
      <w:r w:rsidR="00E37FD9" w:rsidRPr="00CD68BA">
        <w:rPr>
          <w:szCs w:val="16"/>
          <w:lang w:val="es-CR"/>
        </w:rPr>
        <w:t xml:space="preserve">Defensores en primera línea. </w:t>
      </w:r>
      <w:r w:rsidR="00E37FD9" w:rsidRPr="00CD68BA">
        <w:rPr>
          <w:i/>
          <w:iCs/>
          <w:szCs w:val="16"/>
          <w:lang w:val="es-CR"/>
        </w:rPr>
        <w:t>Análisis Global 2020</w:t>
      </w:r>
      <w:r w:rsidR="00E37FD9" w:rsidRPr="00CD68BA">
        <w:rPr>
          <w:szCs w:val="16"/>
          <w:lang w:val="es-CR"/>
        </w:rPr>
        <w:t xml:space="preserve">, </w:t>
      </w:r>
      <w:r w:rsidR="003E6B5F" w:rsidRPr="00CD68BA">
        <w:rPr>
          <w:szCs w:val="16"/>
          <w:lang w:val="es-CR"/>
        </w:rPr>
        <w:t>p</w:t>
      </w:r>
      <w:r w:rsidR="00E37FD9" w:rsidRPr="00CD68BA">
        <w:rPr>
          <w:szCs w:val="16"/>
          <w:lang w:val="es-CR"/>
        </w:rPr>
        <w:t>p</w:t>
      </w:r>
      <w:r w:rsidR="003E6B5F" w:rsidRPr="00CD68BA">
        <w:rPr>
          <w:szCs w:val="16"/>
          <w:lang w:val="es-CR"/>
        </w:rPr>
        <w:t>. 4</w:t>
      </w:r>
      <w:r w:rsidR="00E37FD9" w:rsidRPr="00CD68BA">
        <w:rPr>
          <w:szCs w:val="16"/>
          <w:lang w:val="es-CR"/>
        </w:rPr>
        <w:t xml:space="preserve"> a 5</w:t>
      </w:r>
      <w:r w:rsidR="003E6B5F" w:rsidRPr="00CD68BA">
        <w:rPr>
          <w:szCs w:val="16"/>
          <w:lang w:val="es-CR"/>
        </w:rPr>
        <w:t xml:space="preserve">. Disponible en: </w:t>
      </w:r>
      <w:hyperlink r:id="rId17" w:history="1">
        <w:r w:rsidR="003E6B5F" w:rsidRPr="00CD68BA">
          <w:rPr>
            <w:rStyle w:val="Hipervnculo"/>
            <w:color w:val="auto"/>
            <w:szCs w:val="16"/>
            <w:lang w:val="es-CR"/>
          </w:rPr>
          <w:t>https://www.frontlinedefenders.org/sites/default/files/fld_global_analysis_2020.pdf</w:t>
        </w:r>
      </w:hyperlink>
      <w:r w:rsidR="004F33D9" w:rsidRPr="00CD68BA">
        <w:rPr>
          <w:rStyle w:val="Hipervnculo"/>
          <w:color w:val="auto"/>
          <w:szCs w:val="16"/>
          <w:u w:val="none"/>
          <w:lang w:val="es-CR"/>
        </w:rPr>
        <w:t>, y</w:t>
      </w:r>
      <w:r w:rsidR="003E6B5F" w:rsidRPr="00CD68BA">
        <w:rPr>
          <w:szCs w:val="16"/>
          <w:lang w:val="es-CR"/>
        </w:rPr>
        <w:t xml:space="preserve"> Global Witness. </w:t>
      </w:r>
      <w:r w:rsidR="003E6B5F" w:rsidRPr="00CD68BA">
        <w:rPr>
          <w:i/>
          <w:iCs/>
          <w:szCs w:val="16"/>
          <w:lang w:val="es-CR"/>
        </w:rPr>
        <w:t>Defendiendo el Mañana: La crisis climática y amenazas contra defensores de la tierra y medio ambiente</w:t>
      </w:r>
      <w:r w:rsidR="003E6B5F" w:rsidRPr="00CD68BA">
        <w:rPr>
          <w:szCs w:val="16"/>
          <w:lang w:val="es-CR"/>
        </w:rPr>
        <w:t xml:space="preserve">, 2020, p. 10 Disponible em: </w:t>
      </w:r>
      <w:hyperlink r:id="rId18" w:history="1">
        <w:r w:rsidR="003E6B5F" w:rsidRPr="00CD68BA">
          <w:rPr>
            <w:rStyle w:val="Hipervnculo"/>
            <w:color w:val="auto"/>
            <w:szCs w:val="16"/>
            <w:lang w:val="es-CR"/>
          </w:rPr>
          <w:t>https://www.globalwitness.org/documents/19941/Defending_Tomorrow_ES_low_res_-_July_2020.pdf</w:t>
        </w:r>
      </w:hyperlink>
      <w:r w:rsidR="0075482D" w:rsidRPr="00CD68BA">
        <w:rPr>
          <w:szCs w:val="16"/>
          <w:lang w:val="es-CR"/>
        </w:rPr>
        <w:t>.</w:t>
      </w:r>
      <w:r w:rsidR="00EE6ACB" w:rsidRPr="00CD68BA">
        <w:rPr>
          <w:szCs w:val="16"/>
          <w:lang w:val="es-CR"/>
        </w:rPr>
        <w:t xml:space="preserve"> Según el perito Michelotti, “[l]os asesinatos derivados de los conflictos agrarios, especialmente de los defensores de los derechos humanos</w:t>
      </w:r>
      <w:r w:rsidR="00E2773F" w:rsidRPr="00CD68BA">
        <w:rPr>
          <w:szCs w:val="16"/>
          <w:lang w:val="es-CR"/>
        </w:rPr>
        <w:t xml:space="preserve"> </w:t>
      </w:r>
      <w:r w:rsidR="00EE6ACB" w:rsidRPr="00CD68BA">
        <w:rPr>
          <w:szCs w:val="16"/>
          <w:lang w:val="es-CR"/>
        </w:rPr>
        <w:t>que actúan como líderes de movimientos sociales, sindicatos o asesora</w:t>
      </w:r>
      <w:r w:rsidR="006508B5" w:rsidRPr="00CD68BA">
        <w:rPr>
          <w:szCs w:val="16"/>
          <w:lang w:val="es-CR"/>
        </w:rPr>
        <w:t>n</w:t>
      </w:r>
      <w:r w:rsidR="00EE6ACB" w:rsidRPr="00CD68BA">
        <w:rPr>
          <w:szCs w:val="16"/>
          <w:lang w:val="es-CR"/>
        </w:rPr>
        <w:t xml:space="preserve"> a las organizaciones de trabajadores, son también un intento de silenciar la lucha de la lucha por los derechos”. </w:t>
      </w:r>
      <w:bookmarkStart w:id="111" w:name="_Hlk110412302"/>
      <w:r w:rsidR="00EE6ACB" w:rsidRPr="00CD68BA">
        <w:rPr>
          <w:szCs w:val="16"/>
          <w:lang w:val="es-CR"/>
        </w:rPr>
        <w:t xml:space="preserve">Peritaje </w:t>
      </w:r>
      <w:r w:rsidR="00C92038" w:rsidRPr="00CD68BA">
        <w:rPr>
          <w:szCs w:val="16"/>
          <w:lang w:val="es-CR"/>
        </w:rPr>
        <w:t>de</w:t>
      </w:r>
      <w:r w:rsidR="00CF7EB8" w:rsidRPr="00CD68BA">
        <w:rPr>
          <w:szCs w:val="16"/>
          <w:lang w:val="es-CR"/>
        </w:rPr>
        <w:t xml:space="preserve"> Fernando</w:t>
      </w:r>
      <w:r w:rsidR="00C92038" w:rsidRPr="00CD68BA">
        <w:rPr>
          <w:szCs w:val="16"/>
          <w:lang w:val="es-CR"/>
        </w:rPr>
        <w:t xml:space="preserve"> Michelotti </w:t>
      </w:r>
      <w:r w:rsidR="00CF7EB8" w:rsidRPr="00CD68BA">
        <w:rPr>
          <w:szCs w:val="16"/>
          <w:lang w:val="es-CR"/>
        </w:rPr>
        <w:t xml:space="preserve">de </w:t>
      </w:r>
      <w:bookmarkEnd w:id="111"/>
      <w:r w:rsidR="00CF7EB8" w:rsidRPr="00CD68BA">
        <w:rPr>
          <w:szCs w:val="16"/>
          <w:lang w:val="es-CR"/>
        </w:rPr>
        <w:t xml:space="preserve">7 de marzo de 2022 </w:t>
      </w:r>
      <w:r w:rsidR="00C92038" w:rsidRPr="00CD68BA">
        <w:rPr>
          <w:szCs w:val="16"/>
          <w:lang w:val="es-CR"/>
        </w:rPr>
        <w:t>(expediente de prueba, folio 7245).</w:t>
      </w:r>
    </w:p>
  </w:footnote>
  <w:footnote w:id="53">
    <w:p w14:paraId="61D9B396" w14:textId="25288AAA" w:rsidR="00C25AB4" w:rsidRPr="00CD68BA" w:rsidRDefault="00C25AB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Escrito de </w:t>
      </w:r>
      <w:r w:rsidRPr="00CD68BA">
        <w:rPr>
          <w:i/>
          <w:iCs/>
          <w:szCs w:val="16"/>
          <w:lang w:val="es-CR"/>
        </w:rPr>
        <w:t>amicus curiae</w:t>
      </w:r>
      <w:r w:rsidRPr="00CD68BA">
        <w:rPr>
          <w:szCs w:val="16"/>
          <w:lang w:val="es-CR"/>
        </w:rPr>
        <w:t xml:space="preserve"> presentado por</w:t>
      </w:r>
      <w:r w:rsidR="00CF7EB8" w:rsidRPr="00CD68BA">
        <w:rPr>
          <w:szCs w:val="16"/>
          <w:lang w:val="es-CR"/>
        </w:rPr>
        <w:t xml:space="preserve"> la</w:t>
      </w:r>
      <w:r w:rsidRPr="00CD68BA">
        <w:rPr>
          <w:szCs w:val="16"/>
          <w:lang w:val="es-CR"/>
        </w:rPr>
        <w:t xml:space="preserve"> </w:t>
      </w:r>
      <w:r w:rsidR="005537E6" w:rsidRPr="00CD68BA">
        <w:rPr>
          <w:szCs w:val="16"/>
          <w:lang w:val="es-CR"/>
        </w:rPr>
        <w:t>Orden de Abogados de Brasil, sección de Minas Gerais (expediente de prueba, folio 7725).</w:t>
      </w:r>
    </w:p>
  </w:footnote>
  <w:footnote w:id="54">
    <w:p w14:paraId="3706A9C9" w14:textId="354E5C64" w:rsidR="00406968" w:rsidRPr="00CD68BA" w:rsidRDefault="0040696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Peritaje </w:t>
      </w:r>
      <w:r w:rsidR="00FF72D4" w:rsidRPr="00CD68BA">
        <w:rPr>
          <w:szCs w:val="16"/>
          <w:lang w:val="es-CR"/>
        </w:rPr>
        <w:t>de</w:t>
      </w:r>
      <w:r w:rsidRPr="00CD68BA">
        <w:rPr>
          <w:szCs w:val="16"/>
          <w:lang w:val="es-CR"/>
        </w:rPr>
        <w:t xml:space="preserve"> Carlos Eduardo Gaio</w:t>
      </w:r>
      <w:r w:rsidR="00FF72D4" w:rsidRPr="00CD68BA">
        <w:rPr>
          <w:szCs w:val="16"/>
          <w:lang w:val="es-CR"/>
        </w:rPr>
        <w:t xml:space="preserve">, </w:t>
      </w:r>
      <w:r w:rsidR="00FF72D4" w:rsidRPr="00CD68BA">
        <w:rPr>
          <w:i/>
          <w:iCs/>
          <w:szCs w:val="16"/>
          <w:lang w:val="es-CR"/>
        </w:rPr>
        <w:t>supra</w:t>
      </w:r>
      <w:r w:rsidRPr="00CD68BA">
        <w:rPr>
          <w:szCs w:val="16"/>
          <w:lang w:val="es-CR"/>
        </w:rPr>
        <w:t xml:space="preserve"> (expediente de prueba, folio 7293).</w:t>
      </w:r>
    </w:p>
  </w:footnote>
  <w:footnote w:id="55">
    <w:p w14:paraId="141CDC81" w14:textId="1982DDB0"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En la masacre de Eldorado dos Carajas de 1996, dos oficiales al mando, acusados por l</w:t>
      </w:r>
      <w:r w:rsidR="00B91566" w:rsidRPr="00CD68BA">
        <w:rPr>
          <w:szCs w:val="16"/>
          <w:lang w:val="es-CR"/>
        </w:rPr>
        <w:t>a</w:t>
      </w:r>
      <w:r w:rsidRPr="00CD68BA">
        <w:rPr>
          <w:szCs w:val="16"/>
          <w:lang w:val="es-CR"/>
        </w:rPr>
        <w:t xml:space="preserve"> </w:t>
      </w:r>
      <w:r w:rsidR="00B91566" w:rsidRPr="00CD68BA">
        <w:rPr>
          <w:szCs w:val="16"/>
          <w:lang w:val="es-CR"/>
        </w:rPr>
        <w:t xml:space="preserve">ejecución </w:t>
      </w:r>
      <w:r w:rsidRPr="00CD68BA">
        <w:rPr>
          <w:szCs w:val="16"/>
          <w:lang w:val="es-CR"/>
        </w:rPr>
        <w:t xml:space="preserve">de 19 trabajadores rurales sin tierra </w:t>
      </w:r>
      <w:r w:rsidR="008525F1" w:rsidRPr="00CD68BA">
        <w:rPr>
          <w:szCs w:val="16"/>
          <w:lang w:val="es-CR"/>
        </w:rPr>
        <w:t>“</w:t>
      </w:r>
      <w:r w:rsidRPr="00CD68BA">
        <w:rPr>
          <w:szCs w:val="16"/>
          <w:lang w:val="es-CR"/>
        </w:rPr>
        <w:t>que se manifestaban pacíficamente para pedir sus derechos sobre la tierra fueron condenados a 228 y 158 años, respectivamente</w:t>
      </w:r>
      <w:r w:rsidR="008525F1" w:rsidRPr="00CD68BA">
        <w:rPr>
          <w:szCs w:val="16"/>
          <w:lang w:val="es-CR"/>
        </w:rPr>
        <w:t>”</w:t>
      </w:r>
      <w:r w:rsidRPr="00CD68BA">
        <w:rPr>
          <w:szCs w:val="16"/>
          <w:lang w:val="es-CR"/>
        </w:rPr>
        <w:t xml:space="preserve">. Sin embargo, nunca fueron detenidos al apelar sus sentencias mientras estaban </w:t>
      </w:r>
      <w:r w:rsidR="006E4A3C" w:rsidRPr="00CD68BA">
        <w:rPr>
          <w:szCs w:val="16"/>
          <w:lang w:val="es-CR"/>
        </w:rPr>
        <w:t xml:space="preserve">en </w:t>
      </w:r>
      <w:r w:rsidRPr="00CD68BA">
        <w:rPr>
          <w:szCs w:val="16"/>
          <w:lang w:val="es-CR"/>
        </w:rPr>
        <w:t>lib</w:t>
      </w:r>
      <w:r w:rsidR="006E4A3C" w:rsidRPr="00CD68BA">
        <w:rPr>
          <w:szCs w:val="16"/>
          <w:lang w:val="es-CR"/>
        </w:rPr>
        <w:t>ertad</w:t>
      </w:r>
      <w:r w:rsidRPr="00CD68BA">
        <w:rPr>
          <w:szCs w:val="16"/>
          <w:lang w:val="es-CR"/>
        </w:rPr>
        <w:t xml:space="preserve">. En cuanto al tercer oficial al mando acusado en el caso, fue absuelto. Asimismo, </w:t>
      </w:r>
      <w:r w:rsidR="009C17CB" w:rsidRPr="00CD68BA">
        <w:rPr>
          <w:szCs w:val="16"/>
          <w:lang w:val="es-CR"/>
        </w:rPr>
        <w:t>“</w:t>
      </w:r>
      <w:r w:rsidRPr="00CD68BA">
        <w:rPr>
          <w:szCs w:val="16"/>
          <w:lang w:val="es-CR"/>
        </w:rPr>
        <w:t>el tribunal absolvió a nueve sargentos de la policía y a otros 126 agentes de la policía militar, dictaminando que sólo ‘dispararon sus armas al aire’ y no contra los trabajadores rurales</w:t>
      </w:r>
      <w:r w:rsidR="009C17CB" w:rsidRPr="00CD68BA">
        <w:rPr>
          <w:szCs w:val="16"/>
          <w:lang w:val="es-CR"/>
        </w:rPr>
        <w:t>”</w:t>
      </w:r>
      <w:r w:rsidRPr="00CD68BA">
        <w:rPr>
          <w:szCs w:val="16"/>
          <w:lang w:val="es-CR"/>
        </w:rPr>
        <w:t xml:space="preserve">. Por último, los funcionarios del gobierno con presunta responsabilidad ante la masacre, a saber, el gobernador de Pará y el comandante general de la policía militar de la época, no habrían sido procesados. </w:t>
      </w:r>
      <w:r w:rsidRPr="00CD68BA">
        <w:rPr>
          <w:i/>
          <w:iCs/>
          <w:szCs w:val="16"/>
          <w:lang w:val="es-CR"/>
        </w:rPr>
        <w:t xml:space="preserve">Cfr. </w:t>
      </w:r>
      <w:r w:rsidRPr="00CD68BA">
        <w:rPr>
          <w:szCs w:val="16"/>
          <w:lang w:val="es-CR"/>
        </w:rPr>
        <w:t xml:space="preserve">ONU, </w:t>
      </w:r>
      <w:r w:rsidR="00596469" w:rsidRPr="00CD68BA">
        <w:rPr>
          <w:i/>
          <w:iCs/>
          <w:szCs w:val="16"/>
          <w:lang w:val="es-CR"/>
        </w:rPr>
        <w:t>Informe Especial sobre la Misión a Brasil de la Relatora Especial sobre ejecuciones extrajudiciales, sumarias o arbitrarias, Asma Jahangir</w:t>
      </w:r>
      <w:r w:rsidRPr="00CD68BA">
        <w:rPr>
          <w:szCs w:val="16"/>
          <w:lang w:val="es-CR"/>
        </w:rPr>
        <w:t xml:space="preserve">, </w:t>
      </w:r>
      <w:r w:rsidR="008525F1" w:rsidRPr="00CD68BA">
        <w:rPr>
          <w:i/>
          <w:iCs/>
          <w:szCs w:val="16"/>
          <w:lang w:val="es-CR"/>
        </w:rPr>
        <w:t xml:space="preserve">supra, </w:t>
      </w:r>
      <w:r w:rsidRPr="00CD68BA">
        <w:rPr>
          <w:szCs w:val="16"/>
          <w:lang w:val="es-CR"/>
        </w:rPr>
        <w:t>p. 18.</w:t>
      </w:r>
    </w:p>
  </w:footnote>
  <w:footnote w:id="56">
    <w:p w14:paraId="3243F4A4" w14:textId="12CCB818"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5809A3" w:rsidRPr="00CD68BA">
        <w:rPr>
          <w:i/>
          <w:iCs/>
          <w:szCs w:val="16"/>
          <w:lang w:val="es-CR"/>
        </w:rPr>
        <w:t>Cfr.</w:t>
      </w:r>
      <w:r w:rsidR="00D96285" w:rsidRPr="00CD68BA">
        <w:rPr>
          <w:i/>
          <w:iCs/>
          <w:szCs w:val="16"/>
          <w:lang w:val="es-CR"/>
        </w:rPr>
        <w:t xml:space="preserve"> </w:t>
      </w:r>
      <w:r w:rsidR="00D96285" w:rsidRPr="00CD68BA">
        <w:rPr>
          <w:szCs w:val="16"/>
          <w:lang w:val="es-CR"/>
        </w:rPr>
        <w:t>Informe de la</w:t>
      </w:r>
      <w:r w:rsidR="005809A3" w:rsidRPr="00CD68BA">
        <w:rPr>
          <w:szCs w:val="16"/>
          <w:lang w:val="es-CR"/>
        </w:rPr>
        <w:t xml:space="preserve"> </w:t>
      </w:r>
      <w:r w:rsidRPr="00CD68BA">
        <w:rPr>
          <w:i/>
          <w:iCs/>
          <w:szCs w:val="16"/>
          <w:lang w:val="es-CR"/>
        </w:rPr>
        <w:t>Sociedade Paraense de Defesa dos Direitos Humanos – SSDH</w:t>
      </w:r>
      <w:r w:rsidRPr="00CD68BA">
        <w:rPr>
          <w:szCs w:val="16"/>
          <w:lang w:val="es-CR"/>
        </w:rPr>
        <w:t>, 2005. Belém, 2005</w:t>
      </w:r>
      <w:r w:rsidR="00350C66" w:rsidRPr="00CD68BA">
        <w:rPr>
          <w:szCs w:val="16"/>
          <w:lang w:val="es-CR"/>
        </w:rPr>
        <w:t>,</w:t>
      </w:r>
      <w:r w:rsidRPr="00CD68BA">
        <w:rPr>
          <w:szCs w:val="16"/>
          <w:lang w:val="es-CR"/>
        </w:rPr>
        <w:t xml:space="preserve"> p. 5 (</w:t>
      </w:r>
      <w:r w:rsidR="00350C66" w:rsidRPr="00CD68BA">
        <w:rPr>
          <w:szCs w:val="16"/>
          <w:lang w:val="es-CR"/>
        </w:rPr>
        <w:t>expediente de prueba, folio 844</w:t>
      </w:r>
      <w:r w:rsidR="000161FA" w:rsidRPr="00CD68BA">
        <w:rPr>
          <w:szCs w:val="16"/>
          <w:lang w:val="es-CR"/>
        </w:rPr>
        <w:t>)</w:t>
      </w:r>
      <w:r w:rsidRPr="00CD68BA">
        <w:rPr>
          <w:szCs w:val="16"/>
          <w:lang w:val="es-CR"/>
        </w:rPr>
        <w:t>.</w:t>
      </w:r>
      <w:r w:rsidR="001341D2" w:rsidRPr="00CD68BA">
        <w:rPr>
          <w:szCs w:val="16"/>
          <w:lang w:val="es-CR"/>
        </w:rPr>
        <w:t xml:space="preserve"> </w:t>
      </w:r>
    </w:p>
  </w:footnote>
  <w:footnote w:id="57">
    <w:p w14:paraId="740CFEC2" w14:textId="120B07CF"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ONU, </w:t>
      </w:r>
      <w:r w:rsidRPr="00CD68BA">
        <w:rPr>
          <w:i/>
          <w:iCs/>
          <w:szCs w:val="16"/>
          <w:lang w:val="es-CR"/>
        </w:rPr>
        <w:t xml:space="preserve">Informe </w:t>
      </w:r>
      <w:r w:rsidR="00FA732F" w:rsidRPr="00CD68BA">
        <w:rPr>
          <w:i/>
          <w:iCs/>
          <w:szCs w:val="16"/>
          <w:lang w:val="es-CR"/>
        </w:rPr>
        <w:t>del Relator Especial sobre la independencia de los magistrados y abogados,</w:t>
      </w:r>
      <w:r w:rsidR="00FA732F" w:rsidRPr="00CD68BA" w:rsidDel="00FA732F">
        <w:rPr>
          <w:i/>
          <w:iCs/>
          <w:szCs w:val="16"/>
          <w:lang w:val="es-CR"/>
        </w:rPr>
        <w:t xml:space="preserve"> </w:t>
      </w:r>
      <w:r w:rsidRPr="00CD68BA">
        <w:rPr>
          <w:i/>
          <w:iCs/>
          <w:szCs w:val="16"/>
          <w:lang w:val="es-CR"/>
        </w:rPr>
        <w:t>Leandro Despouy</w:t>
      </w:r>
      <w:r w:rsidR="00FA732F" w:rsidRPr="00CD68BA">
        <w:rPr>
          <w:szCs w:val="16"/>
          <w:lang w:val="es-CR"/>
        </w:rPr>
        <w:t>. Doc.</w:t>
      </w:r>
      <w:r w:rsidRPr="00CD68BA">
        <w:rPr>
          <w:szCs w:val="16"/>
          <w:lang w:val="es-CR"/>
        </w:rPr>
        <w:t xml:space="preserve"> E/CN.4/2005/60/Add.3, 22 de febrero de 2005, párr. 35</w:t>
      </w:r>
      <w:r w:rsidRPr="00CD68BA">
        <w:rPr>
          <w:rStyle w:val="Hipervnculo"/>
          <w:color w:val="auto"/>
          <w:szCs w:val="16"/>
          <w:u w:val="none"/>
          <w:lang w:val="es-CR"/>
        </w:rPr>
        <w:t>.</w:t>
      </w:r>
    </w:p>
  </w:footnote>
  <w:footnote w:id="58">
    <w:p w14:paraId="319647BF" w14:textId="77777777"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Comisión Pastoral de la Tierra. </w:t>
      </w:r>
      <w:r w:rsidRPr="00CD68BA">
        <w:rPr>
          <w:i/>
          <w:iCs/>
          <w:szCs w:val="16"/>
          <w:lang w:val="es-CR"/>
        </w:rPr>
        <w:t xml:space="preserve">Conflicto en el Campo: Brasil </w:t>
      </w:r>
      <w:r w:rsidRPr="00CD68BA">
        <w:rPr>
          <w:szCs w:val="16"/>
          <w:lang w:val="es-CR"/>
        </w:rPr>
        <w:t xml:space="preserve">2013, p. 116. Disponible en: </w:t>
      </w:r>
      <w:hyperlink r:id="rId19" w:history="1">
        <w:r w:rsidRPr="00CD68BA">
          <w:rPr>
            <w:rStyle w:val="Hipervnculo"/>
            <w:color w:val="auto"/>
            <w:szCs w:val="16"/>
            <w:lang w:val="es-CR"/>
          </w:rPr>
          <w:t>https://cptnacional.org.br/downlods?task=download.send&amp;id=344&amp;catid=41&amp;m=0</w:t>
        </w:r>
      </w:hyperlink>
      <w:r w:rsidRPr="00CD68BA">
        <w:rPr>
          <w:szCs w:val="16"/>
          <w:lang w:val="es-CR"/>
        </w:rPr>
        <w:t>.</w:t>
      </w:r>
    </w:p>
  </w:footnote>
  <w:footnote w:id="59">
    <w:p w14:paraId="6D4B3A2F" w14:textId="134FC160" w:rsidR="00686C33" w:rsidRPr="00CD68BA" w:rsidRDefault="00686C3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Pr="00CD68BA">
        <w:rPr>
          <w:rFonts w:cs="Arial"/>
          <w:szCs w:val="16"/>
          <w:lang w:val="es-CR"/>
        </w:rPr>
        <w:t xml:space="preserve">Comisión Pastoral de la Tierra </w:t>
      </w:r>
      <w:r w:rsidRPr="00CD68BA">
        <w:rPr>
          <w:rFonts w:cs="Arial"/>
          <w:i/>
          <w:iCs/>
          <w:szCs w:val="16"/>
          <w:lang w:val="es-CR"/>
        </w:rPr>
        <w:t xml:space="preserve">et al. </w:t>
      </w:r>
      <w:r w:rsidRPr="00CD68BA">
        <w:rPr>
          <w:rFonts w:cs="Arial"/>
          <w:szCs w:val="16"/>
          <w:lang w:val="es-CR"/>
        </w:rPr>
        <w:t>Violación de los Derechos Humanos en la Amazonia: Conflicto y Violencia en la frontera paraense,</w:t>
      </w:r>
      <w:r w:rsidR="00E26866" w:rsidRPr="00CD68BA">
        <w:rPr>
          <w:rFonts w:cs="Arial"/>
          <w:szCs w:val="16"/>
          <w:lang w:val="es-CR"/>
        </w:rPr>
        <w:t xml:space="preserve"> </w:t>
      </w:r>
      <w:r w:rsidR="00E26866" w:rsidRPr="00CD68BA">
        <w:rPr>
          <w:rFonts w:cs="Arial"/>
          <w:i/>
          <w:iCs/>
          <w:szCs w:val="16"/>
          <w:lang w:val="es-CR"/>
        </w:rPr>
        <w:t>supra</w:t>
      </w:r>
      <w:r w:rsidRPr="00CD68BA">
        <w:rPr>
          <w:rFonts w:cs="Arial"/>
          <w:szCs w:val="16"/>
          <w:lang w:val="es-CR"/>
        </w:rPr>
        <w:t>, p. 45</w:t>
      </w:r>
      <w:r w:rsidRPr="00CD68BA">
        <w:rPr>
          <w:rStyle w:val="Hipervnculo"/>
          <w:rFonts w:cs="Arial"/>
          <w:color w:val="auto"/>
          <w:szCs w:val="16"/>
          <w:u w:val="none"/>
          <w:lang w:val="es-CR"/>
        </w:rPr>
        <w:t>.</w:t>
      </w:r>
    </w:p>
  </w:footnote>
  <w:footnote w:id="60">
    <w:p w14:paraId="55176808" w14:textId="021DF4AB" w:rsidR="00921C96" w:rsidRPr="00CD68BA" w:rsidRDefault="00921C96" w:rsidP="00D12B21">
      <w:pPr>
        <w:pStyle w:val="Textonotapie"/>
        <w:spacing w:before="0" w:after="60"/>
        <w:rPr>
          <w:i/>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Oficio </w:t>
      </w:r>
      <w:r w:rsidR="004C03F1" w:rsidRPr="00CD68BA">
        <w:rPr>
          <w:szCs w:val="16"/>
          <w:lang w:val="es-CR"/>
        </w:rPr>
        <w:t>N</w:t>
      </w:r>
      <w:r w:rsidRPr="00CD68BA">
        <w:rPr>
          <w:szCs w:val="16"/>
          <w:lang w:val="es-CR"/>
        </w:rPr>
        <w:t>o. ANATAG/15/82 emitido por la Asociación Nacional de Abogados de Trabaj</w:t>
      </w:r>
      <w:r w:rsidR="007F61CD" w:rsidRPr="00CD68BA">
        <w:rPr>
          <w:szCs w:val="16"/>
          <w:lang w:val="es-CR"/>
        </w:rPr>
        <w:t>a</w:t>
      </w:r>
      <w:r w:rsidRPr="00CD68BA">
        <w:rPr>
          <w:szCs w:val="16"/>
          <w:lang w:val="es-CR"/>
        </w:rPr>
        <w:t>dore</w:t>
      </w:r>
      <w:r w:rsidR="007F61CD" w:rsidRPr="00CD68BA">
        <w:rPr>
          <w:szCs w:val="16"/>
          <w:lang w:val="es-CR"/>
        </w:rPr>
        <w:t>s</w:t>
      </w:r>
      <w:r w:rsidRPr="00CD68BA">
        <w:rPr>
          <w:szCs w:val="16"/>
          <w:lang w:val="es-CR"/>
        </w:rPr>
        <w:t xml:space="preserve"> en la Agricultura</w:t>
      </w:r>
      <w:r w:rsidR="004679EC" w:rsidRPr="00CD68BA">
        <w:rPr>
          <w:szCs w:val="16"/>
          <w:lang w:val="es-CR"/>
        </w:rPr>
        <w:t>, de 21 de julio de 1982</w:t>
      </w:r>
      <w:r w:rsidRPr="00CD68BA">
        <w:rPr>
          <w:szCs w:val="16"/>
          <w:lang w:val="es-CR"/>
        </w:rPr>
        <w:t xml:space="preserve"> (expediente de prueba, folio </w:t>
      </w:r>
      <w:r w:rsidRPr="00CD68BA">
        <w:rPr>
          <w:rFonts w:cs="Arial"/>
          <w:szCs w:val="16"/>
          <w:lang w:val="es-CR"/>
        </w:rPr>
        <w:t>2202</w:t>
      </w:r>
      <w:r w:rsidR="00FF72D4" w:rsidRPr="00CD68BA">
        <w:rPr>
          <w:rFonts w:cs="Arial"/>
          <w:szCs w:val="16"/>
          <w:lang w:val="es-CR"/>
        </w:rPr>
        <w:t xml:space="preserve"> a </w:t>
      </w:r>
      <w:r w:rsidRPr="00CD68BA">
        <w:rPr>
          <w:rFonts w:cs="Arial"/>
          <w:szCs w:val="16"/>
          <w:lang w:val="es-CR"/>
        </w:rPr>
        <w:t>2203);</w:t>
      </w:r>
      <w:r w:rsidRPr="00CD68BA">
        <w:rPr>
          <w:i/>
          <w:iCs/>
          <w:szCs w:val="16"/>
          <w:lang w:val="es-CR"/>
        </w:rPr>
        <w:t xml:space="preserve"> </w:t>
      </w:r>
      <w:r w:rsidRPr="00CD68BA">
        <w:rPr>
          <w:szCs w:val="16"/>
          <w:lang w:val="es-CR"/>
        </w:rPr>
        <w:t xml:space="preserve">Sociedad Paraense de Defensa de los Derechos Humanos </w:t>
      </w:r>
      <w:r w:rsidRPr="00CD68BA">
        <w:rPr>
          <w:i/>
          <w:iCs/>
          <w:szCs w:val="16"/>
          <w:lang w:val="es-CR"/>
        </w:rPr>
        <w:t>et al</w:t>
      </w:r>
      <w:r w:rsidRPr="00CD68BA">
        <w:rPr>
          <w:szCs w:val="16"/>
          <w:lang w:val="es-CR"/>
        </w:rPr>
        <w:t xml:space="preserve">. </w:t>
      </w:r>
      <w:r w:rsidR="00147193" w:rsidRPr="00CD68BA">
        <w:rPr>
          <w:szCs w:val="16"/>
          <w:lang w:val="es-CR"/>
        </w:rPr>
        <w:t>“</w:t>
      </w:r>
      <w:r w:rsidRPr="00CD68BA">
        <w:rPr>
          <w:szCs w:val="16"/>
          <w:lang w:val="es-CR"/>
        </w:rPr>
        <w:t>Informe presentado a Hina Jilani, Relatora Especial de la ONU sobre Defensores de Derechos Humanos</w:t>
      </w:r>
      <w:r w:rsidR="00147193" w:rsidRPr="00CD68BA">
        <w:rPr>
          <w:szCs w:val="16"/>
          <w:lang w:val="es-CR"/>
        </w:rPr>
        <w:t>”</w:t>
      </w:r>
      <w:r w:rsidRPr="00CD68BA">
        <w:rPr>
          <w:szCs w:val="16"/>
          <w:lang w:val="es-CR"/>
        </w:rPr>
        <w:t xml:space="preserve">, </w:t>
      </w:r>
      <w:r w:rsidR="00FF72D4" w:rsidRPr="00CD68BA">
        <w:rPr>
          <w:szCs w:val="16"/>
          <w:lang w:val="es-CR"/>
        </w:rPr>
        <w:t xml:space="preserve">de </w:t>
      </w:r>
      <w:r w:rsidRPr="00CD68BA">
        <w:rPr>
          <w:szCs w:val="16"/>
          <w:lang w:val="es-CR"/>
        </w:rPr>
        <w:t xml:space="preserve">7 de diciembre de 2005 (expediente de prueba, folios 544 a 545); Declaración de </w:t>
      </w:r>
      <w:r w:rsidRPr="00CD68BA">
        <w:rPr>
          <w:rFonts w:cs="Arial"/>
          <w:szCs w:val="16"/>
          <w:lang w:val="es-CR"/>
        </w:rPr>
        <w:t>Emmanuel Wambergue, hecha constar en la declaración de audiencia de instrucción y juzgamiento de 24 de marzo de 2011 (expediente de prueba, folio 1338)</w:t>
      </w:r>
      <w:r w:rsidRPr="00CD68BA">
        <w:rPr>
          <w:szCs w:val="16"/>
          <w:lang w:val="es-CR"/>
        </w:rPr>
        <w:t xml:space="preserve">, y </w:t>
      </w:r>
      <w:r w:rsidRPr="00CD68BA">
        <w:rPr>
          <w:rFonts w:cs="Times New Roman"/>
          <w:szCs w:val="16"/>
          <w:lang w:val="es-CR"/>
        </w:rPr>
        <w:t xml:space="preserve">Oficio no. 1595/2018-GP emitido por el presidente del Tribunal de Justicia del estado de Pará </w:t>
      </w:r>
      <w:r w:rsidRPr="00CD68BA">
        <w:rPr>
          <w:szCs w:val="16"/>
          <w:lang w:val="es-CR"/>
        </w:rPr>
        <w:t xml:space="preserve">(expediente de prueba, folio </w:t>
      </w:r>
      <w:r w:rsidRPr="00CD68BA">
        <w:rPr>
          <w:rFonts w:cs="Arial"/>
          <w:szCs w:val="16"/>
          <w:lang w:val="es-CR"/>
        </w:rPr>
        <w:t>1509).</w:t>
      </w:r>
    </w:p>
  </w:footnote>
  <w:footnote w:id="61">
    <w:p w14:paraId="750EA49D" w14:textId="1945C705" w:rsidR="001B1296" w:rsidRPr="00CD68BA" w:rsidRDefault="001B1296"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La zona rural conocida como “Pau Seco” se encuentra localizada a cuatro kilómetros de la carretera PA-70, dentro del municipio de Marabá, en el sur del estado de Pará, en la región norte de Brasil. </w:t>
      </w:r>
      <w:r w:rsidRPr="00CD68BA">
        <w:rPr>
          <w:i/>
          <w:iCs/>
          <w:szCs w:val="16"/>
          <w:lang w:val="es-CR"/>
        </w:rPr>
        <w:t>Cfr</w:t>
      </w:r>
      <w:r w:rsidRPr="00CD68BA">
        <w:rPr>
          <w:szCs w:val="16"/>
          <w:lang w:val="es-CR"/>
        </w:rPr>
        <w:t xml:space="preserve">. Informe estatal de mayo de 2020, presentado ante la Comisión Interamericana de Derechos Humanos en el marco del caso </w:t>
      </w:r>
      <w:r w:rsidR="00196777" w:rsidRPr="00CD68BA">
        <w:rPr>
          <w:szCs w:val="16"/>
          <w:lang w:val="es-CR"/>
        </w:rPr>
        <w:t>N</w:t>
      </w:r>
      <w:r w:rsidRPr="00CD68BA">
        <w:rPr>
          <w:szCs w:val="16"/>
          <w:lang w:val="es-CR"/>
        </w:rPr>
        <w:t xml:space="preserve">o. </w:t>
      </w:r>
      <w:r w:rsidRPr="00CD68BA">
        <w:rPr>
          <w:rFonts w:cs="TimesNewRomanPS-BoldMT"/>
          <w:szCs w:val="16"/>
          <w:lang w:val="es-CR"/>
        </w:rPr>
        <w:t>12.675</w:t>
      </w:r>
      <w:r w:rsidRPr="00CD68BA">
        <w:rPr>
          <w:szCs w:val="16"/>
          <w:lang w:val="es-CR"/>
        </w:rPr>
        <w:t xml:space="preserve"> (expediente de prueba, folio </w:t>
      </w:r>
      <w:r w:rsidRPr="00CD68BA">
        <w:rPr>
          <w:rFonts w:cs="Arial"/>
          <w:szCs w:val="16"/>
          <w:lang w:val="es-CR"/>
        </w:rPr>
        <w:t>1862);</w:t>
      </w:r>
      <w:r w:rsidRPr="00CD68BA">
        <w:rPr>
          <w:szCs w:val="16"/>
          <w:lang w:val="es-CR"/>
        </w:rPr>
        <w:t xml:space="preserve"> Ministerio de la Mujer, la Familia y los Derechos Humanos. Agenda tentativa para la misión en Pará de diciembre de 2020 (expediente de prueba folio 1935); Acción civil resarcitoria por daño moral interpuesta por Maria Da Gloria Sales Pimenta </w:t>
      </w:r>
      <w:r w:rsidR="00C03693" w:rsidRPr="00CD68BA">
        <w:rPr>
          <w:szCs w:val="16"/>
          <w:lang w:val="es-CR"/>
        </w:rPr>
        <w:t>recibida</w:t>
      </w:r>
      <w:r w:rsidR="00217035" w:rsidRPr="00CD68BA">
        <w:rPr>
          <w:szCs w:val="16"/>
          <w:lang w:val="es-CR"/>
        </w:rPr>
        <w:t xml:space="preserve"> </w:t>
      </w:r>
      <w:r w:rsidR="00C03693" w:rsidRPr="00CD68BA">
        <w:rPr>
          <w:szCs w:val="16"/>
          <w:lang w:val="es-CR"/>
        </w:rPr>
        <w:t>el 22</w:t>
      </w:r>
      <w:r w:rsidR="00217035" w:rsidRPr="00CD68BA">
        <w:rPr>
          <w:szCs w:val="16"/>
          <w:lang w:val="es-CR"/>
        </w:rPr>
        <w:t xml:space="preserve"> de noviembre de 2007 </w:t>
      </w:r>
      <w:r w:rsidRPr="00CD68BA">
        <w:rPr>
          <w:szCs w:val="16"/>
          <w:lang w:val="es-CR"/>
        </w:rPr>
        <w:t xml:space="preserve">(expediente de prueba, folios </w:t>
      </w:r>
      <w:r w:rsidRPr="00CD68BA">
        <w:rPr>
          <w:rFonts w:cs="Arial"/>
          <w:szCs w:val="16"/>
          <w:lang w:val="es-CR"/>
        </w:rPr>
        <w:t xml:space="preserve">2712 a 2716);Tomo 5 del expediente de la acción civil resarcitoria por daño moral (expediente de prueba, folio 4248), y </w:t>
      </w:r>
      <w:r w:rsidRPr="00CD68BA">
        <w:rPr>
          <w:szCs w:val="16"/>
          <w:lang w:val="es-CR"/>
        </w:rPr>
        <w:t>Solicitud de prisión preventiva suscrito por el Comisario de la División de Delitos contra la Persona el 22 de julio de 1982</w:t>
      </w:r>
      <w:r w:rsidRPr="00CD68BA">
        <w:rPr>
          <w:rFonts w:cs="Arial"/>
          <w:szCs w:val="16"/>
          <w:lang w:val="es-CR"/>
        </w:rPr>
        <w:t xml:space="preserve"> </w:t>
      </w:r>
      <w:r w:rsidRPr="00CD68BA">
        <w:rPr>
          <w:szCs w:val="16"/>
          <w:lang w:val="es-CR"/>
        </w:rPr>
        <w:t xml:space="preserve">(expediente de prueba, folio </w:t>
      </w:r>
      <w:r w:rsidRPr="00CD68BA">
        <w:rPr>
          <w:rFonts w:cs="Arial"/>
          <w:szCs w:val="16"/>
          <w:lang w:val="es-CR"/>
        </w:rPr>
        <w:t>2215).</w:t>
      </w:r>
    </w:p>
  </w:footnote>
  <w:footnote w:id="62">
    <w:p w14:paraId="6D105FF7" w14:textId="24F0C9D5" w:rsidR="00E407A2" w:rsidRPr="00CD68BA" w:rsidRDefault="00E407A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Acción civil resarcitoria por daño moral interpuesta por Maria Da Gloria Sales Pimenta</w:t>
      </w:r>
      <w:r w:rsidR="00217035" w:rsidRPr="00CD68BA">
        <w:rPr>
          <w:szCs w:val="16"/>
          <w:lang w:val="es-CR"/>
        </w:rPr>
        <w:t xml:space="preserve">, </w:t>
      </w:r>
      <w:r w:rsidR="00217035" w:rsidRPr="00CD68BA">
        <w:rPr>
          <w:i/>
          <w:iCs/>
          <w:szCs w:val="16"/>
          <w:lang w:val="es-CR"/>
        </w:rPr>
        <w:t>supra</w:t>
      </w:r>
      <w:r w:rsidRPr="00CD68BA">
        <w:rPr>
          <w:szCs w:val="16"/>
          <w:lang w:val="es-CR"/>
        </w:rPr>
        <w:t xml:space="preserve"> (expediente de prueba, folios </w:t>
      </w:r>
      <w:r w:rsidRPr="00CD68BA">
        <w:rPr>
          <w:rFonts w:cs="Arial"/>
          <w:szCs w:val="16"/>
          <w:lang w:val="es-CR"/>
        </w:rPr>
        <w:t>2712 a 2713).</w:t>
      </w:r>
    </w:p>
  </w:footnote>
  <w:footnote w:id="63">
    <w:p w14:paraId="5D9980FA" w14:textId="324346A9" w:rsidR="00524EEE" w:rsidRPr="00CD68BA" w:rsidRDefault="00524EEE" w:rsidP="00D12B21">
      <w:pPr>
        <w:autoSpaceDE w:val="0"/>
        <w:autoSpaceDN w:val="0"/>
        <w:adjustRightInd w:val="0"/>
        <w:spacing w:before="0"/>
        <w:rPr>
          <w:sz w:val="16"/>
          <w:szCs w:val="16"/>
          <w:lang w:val="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 xml:space="preserve">Cfr. </w:t>
      </w:r>
      <w:r w:rsidRPr="00CD68BA">
        <w:rPr>
          <w:rFonts w:cs="Times New Roman"/>
          <w:sz w:val="16"/>
          <w:szCs w:val="16"/>
          <w:lang w:val="es-CR"/>
        </w:rPr>
        <w:t xml:space="preserve">Antonio Francisco da Silva, entonces presidente del Sindicato de Trabajadores Rurales, afirmó que vivía en Pau Seco desde 1974 y que cuando llegó a tal zona, Pau Seco ya se encontraba habitada por otras familias. </w:t>
      </w:r>
      <w:r w:rsidRPr="00CD68BA">
        <w:rPr>
          <w:rFonts w:cs="Times New Roman"/>
          <w:i/>
          <w:iCs/>
          <w:sz w:val="16"/>
          <w:szCs w:val="16"/>
          <w:lang w:val="es-CR"/>
        </w:rPr>
        <w:t xml:space="preserve">Cfr. </w:t>
      </w:r>
      <w:r w:rsidRPr="00CD68BA">
        <w:rPr>
          <w:rFonts w:cs="Times New Roman"/>
          <w:sz w:val="16"/>
          <w:szCs w:val="16"/>
          <w:lang w:val="es-CR"/>
        </w:rPr>
        <w:t xml:space="preserve">Declaración realizada por Antonio Francisco da Silva el 17 de septiembre de 2008 (expediente de prueba, folio </w:t>
      </w:r>
      <w:r w:rsidRPr="00CD68BA">
        <w:rPr>
          <w:rFonts w:cs="Arial"/>
          <w:sz w:val="16"/>
          <w:szCs w:val="16"/>
          <w:lang w:val="es-CR"/>
        </w:rPr>
        <w:t xml:space="preserve">4494), y Alegatos finales </w:t>
      </w:r>
      <w:r w:rsidR="00055256" w:rsidRPr="00CD68BA">
        <w:rPr>
          <w:rFonts w:cs="Arial"/>
          <w:sz w:val="16"/>
          <w:szCs w:val="16"/>
          <w:lang w:val="es-CR"/>
        </w:rPr>
        <w:t xml:space="preserve">suscritos por los defensores públicos de </w:t>
      </w:r>
      <w:r w:rsidRPr="00CD68BA">
        <w:rPr>
          <w:rFonts w:cs="Arial"/>
          <w:sz w:val="16"/>
          <w:szCs w:val="16"/>
          <w:lang w:val="es-CR"/>
        </w:rPr>
        <w:t>M</w:t>
      </w:r>
      <w:r w:rsidR="00314656" w:rsidRPr="00CD68BA">
        <w:rPr>
          <w:rFonts w:cs="Arial"/>
          <w:sz w:val="16"/>
          <w:szCs w:val="16"/>
          <w:lang w:val="es-CR"/>
        </w:rPr>
        <w:t>.</w:t>
      </w:r>
      <w:r w:rsidRPr="00CD68BA">
        <w:rPr>
          <w:rFonts w:cs="Arial"/>
          <w:sz w:val="16"/>
          <w:szCs w:val="16"/>
          <w:lang w:val="es-CR"/>
        </w:rPr>
        <w:t>C</w:t>
      </w:r>
      <w:r w:rsidR="00314656" w:rsidRPr="00CD68BA">
        <w:rPr>
          <w:rFonts w:cs="Arial"/>
          <w:sz w:val="16"/>
          <w:szCs w:val="16"/>
          <w:lang w:val="es-CR"/>
        </w:rPr>
        <w:t>.</w:t>
      </w:r>
      <w:r w:rsidRPr="00CD68BA">
        <w:rPr>
          <w:rFonts w:cs="Arial"/>
          <w:sz w:val="16"/>
          <w:szCs w:val="16"/>
          <w:lang w:val="es-CR"/>
        </w:rPr>
        <w:t>N</w:t>
      </w:r>
      <w:r w:rsidR="00314656" w:rsidRPr="00CD68BA">
        <w:rPr>
          <w:rFonts w:cs="Arial"/>
          <w:sz w:val="16"/>
          <w:szCs w:val="16"/>
          <w:lang w:val="es-CR"/>
        </w:rPr>
        <w:t>.</w:t>
      </w:r>
      <w:r w:rsidRPr="00CD68BA">
        <w:rPr>
          <w:rFonts w:cs="Arial"/>
          <w:sz w:val="16"/>
          <w:szCs w:val="16"/>
          <w:lang w:val="es-CR"/>
        </w:rPr>
        <w:t xml:space="preserve"> el 28 de junio de 1997 dentro del proceso penal </w:t>
      </w:r>
      <w:r w:rsidR="005C6FCE" w:rsidRPr="00CD68BA">
        <w:rPr>
          <w:rFonts w:cs="Arial"/>
          <w:sz w:val="16"/>
          <w:szCs w:val="16"/>
          <w:lang w:val="es-CR"/>
        </w:rPr>
        <w:t>N</w:t>
      </w:r>
      <w:r w:rsidRPr="00CD68BA">
        <w:rPr>
          <w:rFonts w:cs="Arial"/>
          <w:sz w:val="16"/>
          <w:szCs w:val="16"/>
          <w:lang w:val="es-CR"/>
        </w:rPr>
        <w:t>o. 077/89 (expediente de prueba, folio 281).</w:t>
      </w:r>
      <w:r w:rsidRPr="00CD68BA">
        <w:rPr>
          <w:rFonts w:cs="Times New Roman"/>
          <w:sz w:val="16"/>
          <w:szCs w:val="16"/>
          <w:lang w:val="es-CR"/>
        </w:rPr>
        <w:t xml:space="preserve"> Asimismo, Onésia Tome de Souza, agricultora, y Francisco Veloso, colono, señalaron vivir en Pau Seco desde 1973. </w:t>
      </w:r>
      <w:r w:rsidRPr="00CD68BA">
        <w:rPr>
          <w:rFonts w:cs="Times New Roman"/>
          <w:i/>
          <w:iCs/>
          <w:sz w:val="16"/>
          <w:szCs w:val="16"/>
          <w:lang w:val="es-CR"/>
        </w:rPr>
        <w:t xml:space="preserve">Cfr. </w:t>
      </w:r>
      <w:r w:rsidRPr="00CD68BA">
        <w:rPr>
          <w:rFonts w:cs="Times New Roman"/>
          <w:sz w:val="16"/>
          <w:szCs w:val="16"/>
          <w:lang w:val="es-CR"/>
        </w:rPr>
        <w:t>Artículo</w:t>
      </w:r>
      <w:r w:rsidR="00CA329C" w:rsidRPr="00CD68BA">
        <w:rPr>
          <w:rFonts w:cs="Times New Roman"/>
          <w:sz w:val="16"/>
          <w:szCs w:val="16"/>
          <w:lang w:val="es-CR"/>
        </w:rPr>
        <w:t xml:space="preserve"> de periódico</w:t>
      </w:r>
      <w:r w:rsidRPr="00CD68BA">
        <w:rPr>
          <w:rFonts w:cs="Times New Roman"/>
          <w:sz w:val="16"/>
          <w:szCs w:val="16"/>
          <w:lang w:val="es-CR"/>
        </w:rPr>
        <w:t xml:space="preserve"> titulado como</w:t>
      </w:r>
      <w:r w:rsidRPr="00CD68BA">
        <w:rPr>
          <w:rFonts w:cs="Times New Roman"/>
          <w:i/>
          <w:iCs/>
          <w:sz w:val="16"/>
          <w:szCs w:val="16"/>
          <w:lang w:val="es-CR"/>
        </w:rPr>
        <w:t xml:space="preserve"> “</w:t>
      </w:r>
      <w:r w:rsidRPr="00CD68BA">
        <w:rPr>
          <w:rFonts w:cs="Times New Roman"/>
          <w:sz w:val="16"/>
          <w:szCs w:val="16"/>
          <w:lang w:val="es-CR"/>
        </w:rPr>
        <w:t xml:space="preserve">El pueblo de Pau Seco no se olvida de Gabriel Pimenta” incorporado dentro del </w:t>
      </w:r>
      <w:r w:rsidRPr="00CD68BA">
        <w:rPr>
          <w:rFonts w:cs="Arial"/>
          <w:sz w:val="16"/>
          <w:szCs w:val="16"/>
          <w:lang w:val="es-CR"/>
        </w:rPr>
        <w:t xml:space="preserve">expediente de la acción civil resarcitoria por daño moral de </w:t>
      </w:r>
      <w:r w:rsidRPr="00CD68BA">
        <w:rPr>
          <w:sz w:val="16"/>
          <w:szCs w:val="16"/>
          <w:lang w:val="es-CR"/>
        </w:rPr>
        <w:t>19 de noviembre de 2007</w:t>
      </w:r>
      <w:r w:rsidRPr="00CD68BA">
        <w:rPr>
          <w:rFonts w:cs="Times New Roman"/>
          <w:sz w:val="16"/>
          <w:szCs w:val="16"/>
          <w:lang w:val="es-CR"/>
        </w:rPr>
        <w:t xml:space="preserve"> (expediente de prueba, folio 4936). </w:t>
      </w:r>
    </w:p>
  </w:footnote>
  <w:footnote w:id="64">
    <w:p w14:paraId="281065DE" w14:textId="33056035" w:rsidR="00931625" w:rsidRPr="00CD68BA" w:rsidRDefault="0093162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M</w:t>
      </w:r>
      <w:r w:rsidR="00314656" w:rsidRPr="00CD68BA">
        <w:rPr>
          <w:szCs w:val="16"/>
          <w:lang w:val="es-CR"/>
        </w:rPr>
        <w:t>.</w:t>
      </w:r>
      <w:r w:rsidRPr="00CD68BA">
        <w:rPr>
          <w:szCs w:val="16"/>
          <w:lang w:val="es-CR"/>
        </w:rPr>
        <w:t>C</w:t>
      </w:r>
      <w:r w:rsidR="00314656" w:rsidRPr="00CD68BA">
        <w:rPr>
          <w:szCs w:val="16"/>
          <w:lang w:val="es-CR"/>
        </w:rPr>
        <w:t>.</w:t>
      </w:r>
      <w:r w:rsidRPr="00CD68BA">
        <w:rPr>
          <w:szCs w:val="16"/>
          <w:lang w:val="es-CR"/>
        </w:rPr>
        <w:t>N</w:t>
      </w:r>
      <w:r w:rsidR="00314656" w:rsidRPr="00CD68BA">
        <w:rPr>
          <w:szCs w:val="16"/>
          <w:lang w:val="es-CR"/>
        </w:rPr>
        <w:t>.</w:t>
      </w:r>
      <w:r w:rsidRPr="00CD68BA">
        <w:rPr>
          <w:szCs w:val="16"/>
          <w:lang w:val="es-CR"/>
        </w:rPr>
        <w:t xml:space="preserve"> era hermano del exgobernador del estado de Minas Gerais, el señor Newton Cardoso.</w:t>
      </w:r>
      <w:r w:rsidR="00D35DBC" w:rsidRPr="00CD68BA">
        <w:rPr>
          <w:szCs w:val="16"/>
          <w:lang w:val="es-CR"/>
        </w:rPr>
        <w:t xml:space="preserve"> </w:t>
      </w:r>
      <w:r w:rsidR="00D35DBC" w:rsidRPr="00CD68BA">
        <w:rPr>
          <w:i/>
          <w:iCs/>
          <w:szCs w:val="16"/>
          <w:lang w:val="es-CR"/>
        </w:rPr>
        <w:t>Cfr.</w:t>
      </w:r>
      <w:r w:rsidR="001D03BA" w:rsidRPr="00CD68BA">
        <w:rPr>
          <w:i/>
          <w:iCs/>
          <w:szCs w:val="16"/>
          <w:lang w:val="es-CR"/>
        </w:rPr>
        <w:t xml:space="preserve"> </w:t>
      </w:r>
      <w:r w:rsidR="00CA329C" w:rsidRPr="00CD68BA">
        <w:rPr>
          <w:szCs w:val="16"/>
          <w:lang w:val="es-CR"/>
        </w:rPr>
        <w:t>Artículo</w:t>
      </w:r>
      <w:r w:rsidR="00B14019" w:rsidRPr="00CD68BA">
        <w:rPr>
          <w:szCs w:val="16"/>
          <w:lang w:val="es-CR"/>
        </w:rPr>
        <w:t xml:space="preserve"> de</w:t>
      </w:r>
      <w:r w:rsidR="00CA329C" w:rsidRPr="00CD68BA">
        <w:rPr>
          <w:szCs w:val="16"/>
          <w:lang w:val="es-CR"/>
        </w:rPr>
        <w:t>l</w:t>
      </w:r>
      <w:r w:rsidR="00B14019" w:rsidRPr="00CD68BA">
        <w:rPr>
          <w:szCs w:val="16"/>
          <w:lang w:val="es-CR"/>
        </w:rPr>
        <w:t xml:space="preserve"> periódico </w:t>
      </w:r>
      <w:r w:rsidR="001D03BA" w:rsidRPr="00CD68BA">
        <w:rPr>
          <w:szCs w:val="16"/>
          <w:lang w:val="es-CR"/>
        </w:rPr>
        <w:t>La nueva democracia</w:t>
      </w:r>
      <w:r w:rsidR="00B14019" w:rsidRPr="00CD68BA">
        <w:rPr>
          <w:szCs w:val="16"/>
          <w:lang w:val="es-CR"/>
        </w:rPr>
        <w:t xml:space="preserve">, </w:t>
      </w:r>
      <w:r w:rsidR="00CA329C" w:rsidRPr="00CD68BA">
        <w:rPr>
          <w:szCs w:val="16"/>
          <w:lang w:val="es-CR"/>
        </w:rPr>
        <w:t xml:space="preserve">titulado como </w:t>
      </w:r>
      <w:r w:rsidR="001D03BA" w:rsidRPr="00CD68BA">
        <w:rPr>
          <w:szCs w:val="16"/>
          <w:lang w:val="es-CR"/>
        </w:rPr>
        <w:t>“Justicia premia a asesino”</w:t>
      </w:r>
      <w:r w:rsidR="00D35DBC" w:rsidRPr="00CD68BA">
        <w:rPr>
          <w:i/>
          <w:iCs/>
          <w:szCs w:val="16"/>
          <w:lang w:val="es-CR"/>
        </w:rPr>
        <w:t xml:space="preserve"> </w:t>
      </w:r>
      <w:r w:rsidR="00B14019" w:rsidRPr="00CD68BA">
        <w:rPr>
          <w:szCs w:val="16"/>
          <w:lang w:val="es-CR"/>
        </w:rPr>
        <w:t xml:space="preserve">de 30 de abril de 2006 </w:t>
      </w:r>
      <w:r w:rsidR="001D03BA" w:rsidRPr="00CD68BA">
        <w:rPr>
          <w:szCs w:val="16"/>
          <w:lang w:val="es-CR"/>
        </w:rPr>
        <w:t>(expediente de prueba, folio 459)</w:t>
      </w:r>
      <w:r w:rsidR="00307F1A" w:rsidRPr="00CD68BA">
        <w:rPr>
          <w:szCs w:val="16"/>
          <w:lang w:val="es-CR"/>
        </w:rPr>
        <w:t>.</w:t>
      </w:r>
      <w:r w:rsidR="00D35DBC" w:rsidRPr="00CD68BA">
        <w:rPr>
          <w:szCs w:val="16"/>
          <w:lang w:val="es-CR"/>
        </w:rPr>
        <w:t xml:space="preserve"> </w:t>
      </w:r>
    </w:p>
  </w:footnote>
  <w:footnote w:id="65">
    <w:p w14:paraId="64F5DF91" w14:textId="5C5FF9B6" w:rsidR="00524EEE" w:rsidRPr="00CD68BA" w:rsidRDefault="00524EEE" w:rsidP="00D12B21">
      <w:pPr>
        <w:autoSpaceDE w:val="0"/>
        <w:autoSpaceDN w:val="0"/>
        <w:adjustRightInd w:val="0"/>
        <w:spacing w:before="0"/>
        <w:rPr>
          <w:rFonts w:cs="Arial"/>
          <w:sz w:val="16"/>
          <w:szCs w:val="16"/>
          <w:lang w:val="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Cfr.</w:t>
      </w:r>
      <w:r w:rsidRPr="00CD68BA">
        <w:rPr>
          <w:sz w:val="16"/>
          <w:szCs w:val="16"/>
          <w:lang w:val="es-CR"/>
        </w:rPr>
        <w:t xml:space="preserve"> </w:t>
      </w:r>
      <w:r w:rsidRPr="00CD68BA">
        <w:rPr>
          <w:rFonts w:cs="Times New Roman"/>
          <w:sz w:val="16"/>
          <w:szCs w:val="16"/>
          <w:lang w:val="es-CR"/>
        </w:rPr>
        <w:t>Declaración realizada por Antonio Francisco da Silva el 19 de septiembre de 1988 (expediente de prueba, folio 196);</w:t>
      </w:r>
      <w:r w:rsidRPr="00CD68BA">
        <w:rPr>
          <w:rFonts w:cs="Calibri-Light"/>
          <w:sz w:val="16"/>
          <w:szCs w:val="16"/>
          <w:lang w:val="es-CR"/>
        </w:rPr>
        <w:t xml:space="preserve"> Sentencia emitida por el </w:t>
      </w:r>
      <w:r w:rsidR="005C6FCE" w:rsidRPr="00CD68BA">
        <w:rPr>
          <w:rFonts w:cs="Calibri-Light"/>
          <w:sz w:val="16"/>
          <w:szCs w:val="16"/>
          <w:lang w:val="es-CR"/>
        </w:rPr>
        <w:t xml:space="preserve">Tercer </w:t>
      </w:r>
      <w:r w:rsidRPr="00CD68BA">
        <w:rPr>
          <w:rFonts w:cs="Calibri-Light"/>
          <w:sz w:val="16"/>
          <w:szCs w:val="16"/>
          <w:lang w:val="es-CR"/>
        </w:rPr>
        <w:t xml:space="preserve">Juzgado Civil de Marabá el 5 de octubre de 2011, dentro del proceso </w:t>
      </w:r>
      <w:r w:rsidR="005C6FCE" w:rsidRPr="00CD68BA">
        <w:rPr>
          <w:rFonts w:cs="Calibri-Light"/>
          <w:sz w:val="16"/>
          <w:szCs w:val="16"/>
          <w:lang w:val="es-CR"/>
        </w:rPr>
        <w:t>N</w:t>
      </w:r>
      <w:r w:rsidRPr="00CD68BA">
        <w:rPr>
          <w:rFonts w:cs="Calibri-Light"/>
          <w:sz w:val="16"/>
          <w:szCs w:val="16"/>
          <w:lang w:val="es-CR"/>
        </w:rPr>
        <w:t xml:space="preserve">o. 0007348-91.2007.814.0028 </w:t>
      </w:r>
      <w:r w:rsidRPr="00CD68BA">
        <w:rPr>
          <w:rFonts w:cs="Times New Roman"/>
          <w:sz w:val="16"/>
          <w:szCs w:val="16"/>
          <w:lang w:val="es-CR"/>
        </w:rPr>
        <w:t xml:space="preserve">(expediente de prueba, folio </w:t>
      </w:r>
      <w:r w:rsidRPr="00CD68BA">
        <w:rPr>
          <w:rFonts w:cs="Arial"/>
          <w:sz w:val="16"/>
          <w:szCs w:val="16"/>
          <w:lang w:val="es-CR"/>
        </w:rPr>
        <w:t xml:space="preserve">1367); Denuncia interpuesta por Rafael Sales Pimenta ante el Consejo Nacional de Justicia </w:t>
      </w:r>
      <w:r w:rsidR="00025973" w:rsidRPr="00CD68BA">
        <w:rPr>
          <w:rFonts w:cs="Arial"/>
          <w:sz w:val="16"/>
          <w:szCs w:val="16"/>
          <w:lang w:val="es-CR"/>
        </w:rPr>
        <w:t xml:space="preserve">el 18 de junio de 2007 </w:t>
      </w:r>
      <w:r w:rsidRPr="00CD68BA">
        <w:rPr>
          <w:rFonts w:cs="Arial"/>
          <w:sz w:val="16"/>
          <w:szCs w:val="16"/>
          <w:lang w:val="es-CR"/>
        </w:rPr>
        <w:t xml:space="preserve">(expediente de prueba, folio 5298); </w:t>
      </w:r>
      <w:r w:rsidRPr="00CD68BA">
        <w:rPr>
          <w:sz w:val="16"/>
          <w:szCs w:val="16"/>
          <w:lang w:val="es-CR"/>
        </w:rPr>
        <w:t>Acción civil resarcitoria por daño moral interpuesta por Maria Da Gloria Sales Pimenta</w:t>
      </w:r>
      <w:r w:rsidR="0072053D" w:rsidRPr="00CD68BA">
        <w:rPr>
          <w:sz w:val="16"/>
          <w:szCs w:val="16"/>
          <w:lang w:val="es-CR"/>
        </w:rPr>
        <w:t xml:space="preserve">, </w:t>
      </w:r>
      <w:r w:rsidR="0072053D" w:rsidRPr="00CD68BA">
        <w:rPr>
          <w:i/>
          <w:iCs/>
          <w:sz w:val="16"/>
          <w:szCs w:val="16"/>
          <w:lang w:val="es-CR"/>
        </w:rPr>
        <w:t>supra</w:t>
      </w:r>
      <w:r w:rsidRPr="00CD68BA">
        <w:rPr>
          <w:sz w:val="16"/>
          <w:szCs w:val="16"/>
          <w:lang w:val="es-CR"/>
        </w:rPr>
        <w:t xml:space="preserve"> (expediente de prueba, folios </w:t>
      </w:r>
      <w:r w:rsidRPr="00CD68BA">
        <w:rPr>
          <w:rFonts w:cs="Arial"/>
          <w:sz w:val="16"/>
          <w:szCs w:val="16"/>
          <w:lang w:val="es-CR"/>
        </w:rPr>
        <w:t>2712 a 2714), y Declaración realizada por José Ribamar Nonato de Souza el 24 de octubre de 1981 (expediente de prueba, folios 3730).</w:t>
      </w:r>
    </w:p>
  </w:footnote>
  <w:footnote w:id="66">
    <w:p w14:paraId="519BAF40" w14:textId="15CDB558" w:rsidR="00524EEE" w:rsidRPr="00CD68BA" w:rsidRDefault="00524EE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007065DC" w:rsidRPr="00CD68BA">
        <w:rPr>
          <w:i/>
          <w:iCs/>
          <w:szCs w:val="16"/>
          <w:lang w:val="es-CR"/>
        </w:rPr>
        <w:t xml:space="preserve"> </w:t>
      </w:r>
      <w:r w:rsidR="007065DC" w:rsidRPr="00CD68BA">
        <w:rPr>
          <w:szCs w:val="16"/>
          <w:lang w:val="es-CR"/>
        </w:rPr>
        <w:t>Decisión provisional de la Jueza Ruth Nazare Couto Gurjão de 9 de octubre de 1981</w:t>
      </w:r>
      <w:r w:rsidR="00EB4A80" w:rsidRPr="00CD68BA">
        <w:rPr>
          <w:szCs w:val="16"/>
          <w:lang w:val="es-CR"/>
        </w:rPr>
        <w:t xml:space="preserve"> (expediente de prueba, folio </w:t>
      </w:r>
      <w:r w:rsidR="007C0621" w:rsidRPr="00CD68BA">
        <w:rPr>
          <w:szCs w:val="16"/>
          <w:lang w:val="es-CR"/>
        </w:rPr>
        <w:t>2189)</w:t>
      </w:r>
      <w:r w:rsidR="007065DC" w:rsidRPr="00CD68BA">
        <w:rPr>
          <w:szCs w:val="16"/>
          <w:lang w:val="es-CR"/>
        </w:rPr>
        <w:t>;</w:t>
      </w:r>
      <w:r w:rsidRPr="00CD68BA">
        <w:rPr>
          <w:i/>
          <w:iCs/>
          <w:szCs w:val="16"/>
          <w:lang w:val="es-CR"/>
        </w:rPr>
        <w:t xml:space="preserve"> Manda</w:t>
      </w:r>
      <w:r w:rsidR="007C0621" w:rsidRPr="00CD68BA">
        <w:rPr>
          <w:i/>
          <w:iCs/>
          <w:szCs w:val="16"/>
          <w:lang w:val="es-CR"/>
        </w:rPr>
        <w:t>d</w:t>
      </w:r>
      <w:r w:rsidRPr="00CD68BA">
        <w:rPr>
          <w:i/>
          <w:iCs/>
          <w:szCs w:val="16"/>
          <w:lang w:val="es-CR"/>
        </w:rPr>
        <w:t>o de segur</w:t>
      </w:r>
      <w:r w:rsidR="007C0621" w:rsidRPr="00CD68BA">
        <w:rPr>
          <w:i/>
          <w:iCs/>
          <w:szCs w:val="16"/>
          <w:lang w:val="es-CR"/>
        </w:rPr>
        <w:t>ança</w:t>
      </w:r>
      <w:r w:rsidRPr="00CD68BA">
        <w:rPr>
          <w:szCs w:val="16"/>
          <w:lang w:val="es-CR"/>
        </w:rPr>
        <w:t xml:space="preserve"> interpuesto por Gabriel Sales Pimenta el 20 de noviembre de 1981 (expediente de prueba, folios 2191 a 21</w:t>
      </w:r>
      <w:r w:rsidR="007C0621" w:rsidRPr="00CD68BA">
        <w:rPr>
          <w:szCs w:val="16"/>
          <w:lang w:val="es-CR"/>
        </w:rPr>
        <w:t>9</w:t>
      </w:r>
      <w:r w:rsidRPr="00CD68BA">
        <w:rPr>
          <w:szCs w:val="16"/>
          <w:lang w:val="es-CR"/>
        </w:rPr>
        <w:t xml:space="preserve">3), y </w:t>
      </w:r>
      <w:r w:rsidRPr="00CD68BA">
        <w:rPr>
          <w:rFonts w:cs="Times New Roman"/>
          <w:szCs w:val="16"/>
          <w:lang w:val="es-CR"/>
        </w:rPr>
        <w:t>Declaración realizada por Antonio Francisco da Silva</w:t>
      </w:r>
      <w:r w:rsidR="001636E2" w:rsidRPr="00CD68BA">
        <w:rPr>
          <w:rFonts w:cs="Times New Roman"/>
          <w:szCs w:val="16"/>
          <w:lang w:val="es-CR"/>
        </w:rPr>
        <w:t xml:space="preserve">, </w:t>
      </w:r>
      <w:r w:rsidR="001636E2" w:rsidRPr="00CD68BA">
        <w:rPr>
          <w:rFonts w:cs="Times New Roman"/>
          <w:i/>
          <w:iCs/>
          <w:szCs w:val="16"/>
          <w:lang w:val="es-CR"/>
        </w:rPr>
        <w:t>supra</w:t>
      </w:r>
      <w:r w:rsidR="009C4901" w:rsidRPr="00CD68BA">
        <w:rPr>
          <w:rFonts w:cs="Times New Roman"/>
          <w:i/>
          <w:iCs/>
          <w:szCs w:val="16"/>
          <w:lang w:val="es-CR"/>
        </w:rPr>
        <w:t xml:space="preserve"> </w:t>
      </w:r>
      <w:r w:rsidRPr="00CD68BA">
        <w:rPr>
          <w:rFonts w:cs="Times New Roman"/>
          <w:szCs w:val="16"/>
          <w:lang w:val="es-CR"/>
        </w:rPr>
        <w:t>(expediente de prueba, folio 196)</w:t>
      </w:r>
      <w:r w:rsidRPr="00CD68BA">
        <w:rPr>
          <w:szCs w:val="16"/>
          <w:lang w:val="es-CR"/>
        </w:rPr>
        <w:t>.</w:t>
      </w:r>
    </w:p>
  </w:footnote>
  <w:footnote w:id="67">
    <w:p w14:paraId="5BEEC7FF" w14:textId="63AF1FFE" w:rsidR="00B04AE2" w:rsidRPr="00CD68BA" w:rsidRDefault="00B04AE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Consiste en una </w:t>
      </w:r>
      <w:r w:rsidR="00B6697A" w:rsidRPr="00CD68BA">
        <w:rPr>
          <w:szCs w:val="16"/>
          <w:lang w:val="es-CR"/>
        </w:rPr>
        <w:t xml:space="preserve">acción prevista en la Constitución </w:t>
      </w:r>
      <w:r w:rsidR="00A63B45" w:rsidRPr="00CD68BA">
        <w:rPr>
          <w:szCs w:val="16"/>
          <w:lang w:val="es-CR"/>
        </w:rPr>
        <w:t xml:space="preserve">de la República </w:t>
      </w:r>
      <w:r w:rsidR="00EE377C" w:rsidRPr="00CD68BA">
        <w:rPr>
          <w:szCs w:val="16"/>
          <w:lang w:val="es-CR"/>
        </w:rPr>
        <w:t>F</w:t>
      </w:r>
      <w:r w:rsidR="00B6697A" w:rsidRPr="00CD68BA">
        <w:rPr>
          <w:szCs w:val="16"/>
          <w:lang w:val="es-CR"/>
        </w:rPr>
        <w:t xml:space="preserve">ederal </w:t>
      </w:r>
      <w:r w:rsidR="00A63B45" w:rsidRPr="00CD68BA">
        <w:rPr>
          <w:szCs w:val="16"/>
          <w:lang w:val="es-CR"/>
        </w:rPr>
        <w:t xml:space="preserve">de Brasil (en adelante “Constitución </w:t>
      </w:r>
      <w:r w:rsidR="00B6697A" w:rsidRPr="00CD68BA">
        <w:rPr>
          <w:szCs w:val="16"/>
          <w:lang w:val="es-CR"/>
        </w:rPr>
        <w:t>brasileña</w:t>
      </w:r>
      <w:r w:rsidR="00A63B45" w:rsidRPr="00CD68BA">
        <w:rPr>
          <w:szCs w:val="16"/>
          <w:lang w:val="es-CR"/>
        </w:rPr>
        <w:t>”)</w:t>
      </w:r>
      <w:r w:rsidR="00B6697A" w:rsidRPr="00CD68BA">
        <w:rPr>
          <w:szCs w:val="16"/>
          <w:lang w:val="es-CR"/>
        </w:rPr>
        <w:t>, cuyo objetivo es proteger un derecho ciert</w:t>
      </w:r>
      <w:r w:rsidR="00F9790A" w:rsidRPr="00CD68BA">
        <w:rPr>
          <w:szCs w:val="16"/>
          <w:lang w:val="es-CR"/>
        </w:rPr>
        <w:t>o</w:t>
      </w:r>
      <w:r w:rsidR="00B6697A" w:rsidRPr="00CD68BA">
        <w:rPr>
          <w:szCs w:val="16"/>
          <w:lang w:val="es-CR"/>
        </w:rPr>
        <w:t xml:space="preserve"> que ha sido violado por un acto ilegal o abusivo de una autoridad pública o un agente de </w:t>
      </w:r>
      <w:r w:rsidR="007D2DA4" w:rsidRPr="00CD68BA">
        <w:rPr>
          <w:szCs w:val="16"/>
          <w:lang w:val="es-CR"/>
        </w:rPr>
        <w:t xml:space="preserve">una </w:t>
      </w:r>
      <w:r w:rsidR="00B6697A" w:rsidRPr="00CD68BA">
        <w:rPr>
          <w:szCs w:val="16"/>
          <w:lang w:val="es-CR"/>
        </w:rPr>
        <w:t>persona jurídica en ejercicio de atribuciones del Poder Público</w:t>
      </w:r>
      <w:r w:rsidRPr="00CD68BA">
        <w:rPr>
          <w:rFonts w:cs="Arial"/>
          <w:szCs w:val="16"/>
          <w:lang w:val="es-CR"/>
        </w:rPr>
        <w:t>.</w:t>
      </w:r>
      <w:r w:rsidR="00B24689" w:rsidRPr="00CD68BA">
        <w:rPr>
          <w:rFonts w:cs="Arial"/>
          <w:szCs w:val="16"/>
          <w:lang w:val="es-CR"/>
        </w:rPr>
        <w:t xml:space="preserve"> </w:t>
      </w:r>
      <w:r w:rsidR="00B24689" w:rsidRPr="00CD68BA">
        <w:rPr>
          <w:rFonts w:cs="Arial"/>
          <w:i/>
          <w:iCs/>
          <w:szCs w:val="16"/>
          <w:lang w:val="es-CR"/>
        </w:rPr>
        <w:t>Cfr.</w:t>
      </w:r>
      <w:r w:rsidR="00B24689" w:rsidRPr="00CD68BA">
        <w:rPr>
          <w:rFonts w:cs="Arial"/>
          <w:szCs w:val="16"/>
          <w:lang w:val="es-CR"/>
        </w:rPr>
        <w:t xml:space="preserve"> Artículo 5, LXIX, de la Constitución</w:t>
      </w:r>
      <w:r w:rsidR="00A63B45" w:rsidRPr="00CD68BA">
        <w:rPr>
          <w:rFonts w:cs="Arial"/>
          <w:szCs w:val="16"/>
          <w:lang w:val="es-CR"/>
        </w:rPr>
        <w:t xml:space="preserve"> brasileña</w:t>
      </w:r>
      <w:r w:rsidR="00B24689" w:rsidRPr="00CD68BA">
        <w:rPr>
          <w:rFonts w:cs="Arial"/>
          <w:szCs w:val="16"/>
          <w:lang w:val="es-CR"/>
        </w:rPr>
        <w:t xml:space="preserve">. Disponible en: </w:t>
      </w:r>
      <w:hyperlink r:id="rId20" w:history="1">
        <w:r w:rsidR="00B24689" w:rsidRPr="00CD68BA">
          <w:rPr>
            <w:rStyle w:val="Hipervnculo"/>
            <w:rFonts w:cs="Arial"/>
            <w:color w:val="auto"/>
            <w:szCs w:val="16"/>
            <w:lang w:val="es-CR"/>
          </w:rPr>
          <w:t>http://www.planalto.gov.br/ccivil_03/constituicao/constituicao.htm</w:t>
        </w:r>
      </w:hyperlink>
      <w:r w:rsidR="00B24689" w:rsidRPr="00CD68BA">
        <w:rPr>
          <w:rFonts w:cs="Arial"/>
          <w:szCs w:val="16"/>
          <w:lang w:val="es-CR"/>
        </w:rPr>
        <w:t xml:space="preserve">. </w:t>
      </w:r>
    </w:p>
  </w:footnote>
  <w:footnote w:id="68">
    <w:p w14:paraId="5D863FD8" w14:textId="0CBEFB2E" w:rsidR="00524EEE" w:rsidRPr="00CD68BA" w:rsidRDefault="00524EE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00D43B36" w:rsidRPr="00CD68BA">
        <w:rPr>
          <w:i/>
          <w:iCs/>
          <w:szCs w:val="16"/>
          <w:lang w:val="es-CR"/>
        </w:rPr>
        <w:t>Mandado de segurança</w:t>
      </w:r>
      <w:r w:rsidR="00D43B36" w:rsidRPr="00CD68BA">
        <w:rPr>
          <w:szCs w:val="16"/>
          <w:lang w:val="es-CR"/>
        </w:rPr>
        <w:t xml:space="preserve"> </w:t>
      </w:r>
      <w:r w:rsidR="00B016F4" w:rsidRPr="00CD68BA">
        <w:rPr>
          <w:szCs w:val="16"/>
          <w:lang w:val="es-CR"/>
        </w:rPr>
        <w:t>interpuesto por Gabriel Sales Pimenta</w:t>
      </w:r>
      <w:r w:rsidR="00D43B36" w:rsidRPr="00CD68BA">
        <w:rPr>
          <w:szCs w:val="16"/>
          <w:lang w:val="es-CR"/>
        </w:rPr>
        <w:t xml:space="preserve">, </w:t>
      </w:r>
      <w:r w:rsidR="00D43B36" w:rsidRPr="00CD68BA">
        <w:rPr>
          <w:i/>
          <w:iCs/>
          <w:szCs w:val="16"/>
          <w:lang w:val="es-CR"/>
        </w:rPr>
        <w:t xml:space="preserve">supra </w:t>
      </w:r>
      <w:r w:rsidR="00B016F4" w:rsidRPr="00CD68BA">
        <w:rPr>
          <w:szCs w:val="16"/>
          <w:lang w:val="es-CR"/>
        </w:rPr>
        <w:t>(expediente de prueba, folios 2191 a 21</w:t>
      </w:r>
      <w:r w:rsidR="00D43B36" w:rsidRPr="00CD68BA">
        <w:rPr>
          <w:szCs w:val="16"/>
          <w:lang w:val="es-CR"/>
        </w:rPr>
        <w:t>9</w:t>
      </w:r>
      <w:r w:rsidR="00B016F4" w:rsidRPr="00CD68BA">
        <w:rPr>
          <w:szCs w:val="16"/>
          <w:lang w:val="es-CR"/>
        </w:rPr>
        <w:t xml:space="preserve">3), y </w:t>
      </w:r>
      <w:r w:rsidRPr="00CD68BA">
        <w:rPr>
          <w:szCs w:val="16"/>
          <w:lang w:val="es-CR"/>
        </w:rPr>
        <w:t>Artículo de periódico titulado como “La causa del asesinato”</w:t>
      </w:r>
      <w:r w:rsidR="001320F1" w:rsidRPr="00CD68BA">
        <w:rPr>
          <w:szCs w:val="16"/>
          <w:lang w:val="es-CR"/>
        </w:rPr>
        <w:t xml:space="preserve"> </w:t>
      </w:r>
      <w:r w:rsidRPr="00CD68BA">
        <w:rPr>
          <w:szCs w:val="16"/>
          <w:lang w:val="es-CR"/>
        </w:rPr>
        <w:t xml:space="preserve">(expediente de prueba, folio </w:t>
      </w:r>
      <w:r w:rsidRPr="00CD68BA">
        <w:rPr>
          <w:rFonts w:cs="Arial"/>
          <w:szCs w:val="16"/>
          <w:lang w:val="es-CR"/>
        </w:rPr>
        <w:t>3699</w:t>
      </w:r>
      <w:r w:rsidR="001320F1" w:rsidRPr="00CD68BA">
        <w:rPr>
          <w:rFonts w:cs="Arial"/>
          <w:szCs w:val="16"/>
          <w:lang w:val="es-CR"/>
        </w:rPr>
        <w:t>).</w:t>
      </w:r>
    </w:p>
  </w:footnote>
  <w:footnote w:id="69">
    <w:p w14:paraId="46A9387B" w14:textId="15B6DAF9" w:rsidR="00524EEE" w:rsidRPr="00CD68BA" w:rsidRDefault="00524EE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Resolución emitida por la jueza de Derecho del Distrito Judicial de </w:t>
      </w:r>
      <w:r w:rsidR="00DB33EF" w:rsidRPr="00CD68BA">
        <w:rPr>
          <w:szCs w:val="16"/>
          <w:lang w:val="es-CR"/>
        </w:rPr>
        <w:t>Marabá</w:t>
      </w:r>
      <w:r w:rsidRPr="00CD68BA">
        <w:rPr>
          <w:szCs w:val="16"/>
          <w:lang w:val="es-CR"/>
        </w:rPr>
        <w:t xml:space="preserve"> el 21 de diciembre de 1981 (expediente de prueba, folio 4956).</w:t>
      </w:r>
    </w:p>
  </w:footnote>
  <w:footnote w:id="70">
    <w:p w14:paraId="56DD27BD" w14:textId="77777777" w:rsidR="001375C4" w:rsidRPr="00CD68BA" w:rsidRDefault="001375C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Declaración de Risomar Daniel Castro, </w:t>
      </w:r>
      <w:r w:rsidRPr="00CD68BA">
        <w:rPr>
          <w:rFonts w:cs="Arial"/>
          <w:szCs w:val="16"/>
          <w:lang w:val="es-CR"/>
        </w:rPr>
        <w:t>hecha constar en la declaración de audiencia de instrucción y juzgamiento de 24 de marzo de 2011 (expediente de prueba, folio 2011)</w:t>
      </w:r>
      <w:r w:rsidRPr="00CD68BA">
        <w:rPr>
          <w:szCs w:val="16"/>
          <w:lang w:val="es-CR"/>
        </w:rPr>
        <w:t>.</w:t>
      </w:r>
    </w:p>
  </w:footnote>
  <w:footnote w:id="71">
    <w:p w14:paraId="3E37FE55" w14:textId="5F2ACE6C" w:rsidR="00C61B6D" w:rsidRPr="00CD68BA" w:rsidRDefault="00C61B6D"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Sobre el particular, M.C.N. y J.P.N. afirmaron que matarían a Gabriel Sales Pimenta antes del 4 de agosto de 1982, fecha programada para celebrar la audiencia relacionada con la acción de restitución de posesión </w:t>
      </w:r>
      <w:r w:rsidRPr="00CD68BA">
        <w:rPr>
          <w:i/>
          <w:iCs/>
          <w:szCs w:val="16"/>
          <w:lang w:val="es-CR"/>
        </w:rPr>
        <w:t>supra</w:t>
      </w:r>
      <w:r w:rsidRPr="00CD68BA">
        <w:rPr>
          <w:szCs w:val="16"/>
          <w:lang w:val="es-CR"/>
        </w:rPr>
        <w:t xml:space="preserve"> mencionada. A tal efecto, varios declarantes afirmaron haber visto: i) pasar pistoleros frente a la casa de Gabriel Sales el día de su muerte y decir que, “la casa del hombre es esta” y, luego haberse dirigido a la casa de M.C.N., en donde entraron; (ii) a dos presuntos pistoleros de M.C.N. conversando en un bar</w:t>
      </w:r>
      <w:r w:rsidR="00B93A10" w:rsidRPr="00CD68BA">
        <w:rPr>
          <w:szCs w:val="16"/>
          <w:lang w:val="es-CR"/>
        </w:rPr>
        <w:t>,</w:t>
      </w:r>
      <w:r w:rsidRPr="00CD68BA">
        <w:rPr>
          <w:szCs w:val="16"/>
          <w:lang w:val="es-CR"/>
        </w:rPr>
        <w:t xml:space="preserve"> y que uno le comentaba al otro que tenía que “cumplir el contrato” de M.C.N., y (iii) a unos individuos en la casa de M.C.N. que parecían ser pistoleros. Asimismo, Antonio Francisco da Silva afirmó que Gabriel Sales</w:t>
      </w:r>
      <w:r w:rsidR="00B93A10" w:rsidRPr="00CD68BA">
        <w:rPr>
          <w:szCs w:val="16"/>
          <w:lang w:val="es-CR"/>
        </w:rPr>
        <w:t xml:space="preserve"> Pimenta</w:t>
      </w:r>
      <w:r w:rsidRPr="00CD68BA">
        <w:rPr>
          <w:szCs w:val="16"/>
          <w:lang w:val="es-CR"/>
        </w:rPr>
        <w:t xml:space="preserve"> le informó que estaba siendo amenazado de muerte por M.C.N. y J.P.N. </w:t>
      </w:r>
      <w:r w:rsidR="00DC5315" w:rsidRPr="00CD68BA">
        <w:rPr>
          <w:i/>
          <w:iCs/>
          <w:szCs w:val="16"/>
          <w:lang w:val="es-CR"/>
        </w:rPr>
        <w:t xml:space="preserve">Cfr. </w:t>
      </w:r>
      <w:r w:rsidR="00DC5315" w:rsidRPr="00CD68BA">
        <w:rPr>
          <w:szCs w:val="16"/>
          <w:lang w:val="es-CR"/>
        </w:rPr>
        <w:t>Declaración realizada por Risomar Daniel Castro el 21 de julio de 1982 (expediente de prueba, folio</w:t>
      </w:r>
      <w:r w:rsidR="00B93A10" w:rsidRPr="00CD68BA">
        <w:rPr>
          <w:szCs w:val="16"/>
          <w:lang w:val="es-CR"/>
        </w:rPr>
        <w:t>s</w:t>
      </w:r>
      <w:r w:rsidR="00DC5315" w:rsidRPr="00CD68BA">
        <w:rPr>
          <w:szCs w:val="16"/>
          <w:lang w:val="es-CR"/>
        </w:rPr>
        <w:t xml:space="preserve"> 2230 y 2231); Declaración realizada por João Martins dos Santos el 19 de julio de 1982 (expediente de prueba, folio 2238); Declaración realizada por Etelvina Honorato de Paulo el 21 de julio de 1982 (expediente de prueba, folio 2282), y </w:t>
      </w:r>
      <w:r w:rsidR="00DC5315" w:rsidRPr="00CD68BA">
        <w:rPr>
          <w:rFonts w:cs="Times New Roman"/>
          <w:szCs w:val="16"/>
          <w:lang w:val="es-CR"/>
        </w:rPr>
        <w:t>Declaración realizada por Antonio Francisco da Silva</w:t>
      </w:r>
      <w:r w:rsidR="001636E2" w:rsidRPr="00CD68BA">
        <w:rPr>
          <w:rFonts w:cs="Times New Roman"/>
          <w:szCs w:val="16"/>
          <w:lang w:val="es-CR"/>
        </w:rPr>
        <w:t xml:space="preserve">, </w:t>
      </w:r>
      <w:r w:rsidR="001636E2" w:rsidRPr="00CD68BA">
        <w:rPr>
          <w:rFonts w:cs="Times New Roman"/>
          <w:i/>
          <w:iCs/>
          <w:szCs w:val="16"/>
          <w:lang w:val="es-CR"/>
        </w:rPr>
        <w:t xml:space="preserve">supra </w:t>
      </w:r>
      <w:r w:rsidR="00DC5315" w:rsidRPr="00CD68BA">
        <w:rPr>
          <w:rFonts w:cs="Times New Roman"/>
          <w:szCs w:val="16"/>
          <w:lang w:val="es-CR"/>
        </w:rPr>
        <w:t>(expediente de prueba, folio 196).</w:t>
      </w:r>
    </w:p>
  </w:footnote>
  <w:footnote w:id="72">
    <w:p w14:paraId="074CE332" w14:textId="5E1A4889" w:rsidR="00533ED7" w:rsidRPr="00CD68BA" w:rsidRDefault="00533ED7" w:rsidP="00D12B21">
      <w:pPr>
        <w:pStyle w:val="Prrafodelista"/>
        <w:spacing w:before="0"/>
        <w:ind w:left="0"/>
        <w:contextualSpacing w:val="0"/>
        <w:rPr>
          <w:sz w:val="16"/>
          <w:szCs w:val="16"/>
          <w:lang w:val="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Cfr.</w:t>
      </w:r>
      <w:r w:rsidRPr="00CD68BA">
        <w:rPr>
          <w:sz w:val="16"/>
          <w:szCs w:val="16"/>
          <w:lang w:val="es-CR"/>
        </w:rPr>
        <w:t xml:space="preserve"> Oficio </w:t>
      </w:r>
      <w:r w:rsidR="004C03F1" w:rsidRPr="00CD68BA">
        <w:rPr>
          <w:sz w:val="16"/>
          <w:szCs w:val="16"/>
          <w:lang w:val="es-CR"/>
        </w:rPr>
        <w:t>N</w:t>
      </w:r>
      <w:r w:rsidRPr="00CD68BA">
        <w:rPr>
          <w:sz w:val="16"/>
          <w:szCs w:val="16"/>
          <w:lang w:val="es-CR"/>
        </w:rPr>
        <w:t>o. ANATAG/15/82</w:t>
      </w:r>
      <w:r w:rsidR="004C03F1" w:rsidRPr="00CD68BA">
        <w:rPr>
          <w:sz w:val="16"/>
          <w:szCs w:val="16"/>
          <w:lang w:val="es-CR"/>
        </w:rPr>
        <w:t xml:space="preserve">, </w:t>
      </w:r>
      <w:r w:rsidR="004C03F1" w:rsidRPr="00CD68BA">
        <w:rPr>
          <w:i/>
          <w:iCs/>
          <w:sz w:val="16"/>
          <w:szCs w:val="16"/>
          <w:lang w:val="es-CR"/>
        </w:rPr>
        <w:t xml:space="preserve">supra </w:t>
      </w:r>
      <w:r w:rsidRPr="00CD68BA">
        <w:rPr>
          <w:sz w:val="16"/>
          <w:szCs w:val="16"/>
          <w:lang w:val="es-CR"/>
        </w:rPr>
        <w:t xml:space="preserve">(expediente de prueba, folios </w:t>
      </w:r>
      <w:r w:rsidRPr="00CD68BA">
        <w:rPr>
          <w:rFonts w:cs="Arial"/>
          <w:sz w:val="16"/>
          <w:szCs w:val="16"/>
          <w:lang w:val="es-CR"/>
        </w:rPr>
        <w:t xml:space="preserve">2202 a 2203), y </w:t>
      </w:r>
      <w:r w:rsidR="00977427" w:rsidRPr="00CD68BA">
        <w:rPr>
          <w:rFonts w:cs="Arial"/>
          <w:sz w:val="16"/>
          <w:szCs w:val="16"/>
          <w:lang w:val="es-CR"/>
        </w:rPr>
        <w:t>D</w:t>
      </w:r>
      <w:r w:rsidRPr="00CD68BA">
        <w:rPr>
          <w:rFonts w:cs="Arial"/>
          <w:sz w:val="16"/>
          <w:szCs w:val="16"/>
          <w:lang w:val="es-CR"/>
        </w:rPr>
        <w:t xml:space="preserve">eclaración de Rafael Sales Pimenta </w:t>
      </w:r>
      <w:r w:rsidR="004C03F1" w:rsidRPr="00CD68BA">
        <w:rPr>
          <w:rFonts w:cs="Arial"/>
          <w:sz w:val="16"/>
          <w:szCs w:val="16"/>
          <w:lang w:val="es-CR"/>
        </w:rPr>
        <w:t>durante</w:t>
      </w:r>
      <w:r w:rsidRPr="00CD68BA">
        <w:rPr>
          <w:rFonts w:cs="Arial"/>
          <w:sz w:val="16"/>
          <w:szCs w:val="16"/>
          <w:lang w:val="es-CR"/>
        </w:rPr>
        <w:t xml:space="preserve"> la audiencia pública del </w:t>
      </w:r>
      <w:r w:rsidR="004C03F1" w:rsidRPr="00CD68BA">
        <w:rPr>
          <w:rFonts w:cs="Arial"/>
          <w:sz w:val="16"/>
          <w:szCs w:val="16"/>
          <w:lang w:val="es-CR"/>
        </w:rPr>
        <w:t>presente caso</w:t>
      </w:r>
      <w:r w:rsidRPr="00CD68BA">
        <w:rPr>
          <w:rFonts w:cs="Arial"/>
          <w:sz w:val="16"/>
          <w:szCs w:val="16"/>
          <w:lang w:val="es-CR"/>
        </w:rPr>
        <w:t>.</w:t>
      </w:r>
    </w:p>
  </w:footnote>
  <w:footnote w:id="73">
    <w:p w14:paraId="17F663BB" w14:textId="7FCE0C82" w:rsidR="00287AD0" w:rsidRPr="00CD68BA" w:rsidRDefault="00287A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Entonces candidato a concejal por el Partido del Movimiento Democrático Brasileño. </w:t>
      </w:r>
      <w:r w:rsidRPr="00CD68BA">
        <w:rPr>
          <w:i/>
          <w:iCs/>
          <w:szCs w:val="16"/>
          <w:lang w:val="es-CR"/>
        </w:rPr>
        <w:t xml:space="preserve">Cfr. </w:t>
      </w:r>
      <w:bookmarkStart w:id="117" w:name="_Hlk110449117"/>
      <w:r w:rsidRPr="00CD68BA">
        <w:rPr>
          <w:szCs w:val="16"/>
          <w:lang w:val="es-CR"/>
        </w:rPr>
        <w:t xml:space="preserve">Artículo </w:t>
      </w:r>
      <w:r w:rsidR="0094503D" w:rsidRPr="00CD68BA">
        <w:rPr>
          <w:szCs w:val="16"/>
          <w:lang w:val="es-CR"/>
        </w:rPr>
        <w:t xml:space="preserve">del periódico </w:t>
      </w:r>
      <w:r w:rsidR="0094503D" w:rsidRPr="00CD68BA">
        <w:rPr>
          <w:i/>
          <w:iCs/>
          <w:szCs w:val="16"/>
          <w:lang w:val="es-CR"/>
        </w:rPr>
        <w:t xml:space="preserve">A Província do Pará, </w:t>
      </w:r>
      <w:r w:rsidRPr="00CD68BA">
        <w:rPr>
          <w:szCs w:val="16"/>
          <w:lang w:val="es-CR"/>
        </w:rPr>
        <w:t>titulado</w:t>
      </w:r>
      <w:r w:rsidR="0094503D" w:rsidRPr="00CD68BA">
        <w:rPr>
          <w:szCs w:val="16"/>
          <w:lang w:val="es-CR"/>
        </w:rPr>
        <w:t xml:space="preserve"> como</w:t>
      </w:r>
      <w:r w:rsidRPr="00CD68BA">
        <w:rPr>
          <w:szCs w:val="16"/>
          <w:lang w:val="es-CR"/>
        </w:rPr>
        <w:t xml:space="preserve"> “Sospechosos ya están en el ajedrez”, </w:t>
      </w:r>
      <w:r w:rsidR="0094503D" w:rsidRPr="00CD68BA">
        <w:rPr>
          <w:szCs w:val="16"/>
          <w:lang w:val="es-CR"/>
        </w:rPr>
        <w:t xml:space="preserve">de </w:t>
      </w:r>
      <w:r w:rsidRPr="00CD68BA">
        <w:rPr>
          <w:szCs w:val="16"/>
          <w:lang w:val="es-CR"/>
        </w:rPr>
        <w:t xml:space="preserve">21 de julio de 1982 </w:t>
      </w:r>
      <w:bookmarkEnd w:id="117"/>
      <w:r w:rsidRPr="00CD68BA">
        <w:rPr>
          <w:szCs w:val="16"/>
          <w:lang w:val="es-CR"/>
        </w:rPr>
        <w:t xml:space="preserve">(expediente de prueba, folio 2292). </w:t>
      </w:r>
    </w:p>
  </w:footnote>
  <w:footnote w:id="74">
    <w:p w14:paraId="3B5898BA" w14:textId="542CD81C" w:rsidR="00676C87" w:rsidRPr="00CD68BA" w:rsidRDefault="00676C87"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Una testigo ocular, Luzia Batista da Silva, observó cómo el mismo automóvil tipo </w:t>
      </w:r>
      <w:r w:rsidR="003E597C" w:rsidRPr="00CD68BA">
        <w:rPr>
          <w:szCs w:val="16"/>
          <w:lang w:val="es-CR"/>
        </w:rPr>
        <w:t>f</w:t>
      </w:r>
      <w:r w:rsidRPr="00CD68BA">
        <w:rPr>
          <w:szCs w:val="16"/>
          <w:lang w:val="es-CR"/>
        </w:rPr>
        <w:t>usca reapareció en el lugar de los hechos estacionándose en las proximidades. Según declaró, de tal vehículo salieron dos personas preguntando qué había sucedido, una de las cuales Luz</w:t>
      </w:r>
      <w:r w:rsidR="00760FD6" w:rsidRPr="00CD68BA">
        <w:rPr>
          <w:szCs w:val="16"/>
          <w:lang w:val="es-CR"/>
        </w:rPr>
        <w:t>i</w:t>
      </w:r>
      <w:r w:rsidRPr="00CD68BA">
        <w:rPr>
          <w:szCs w:val="16"/>
          <w:lang w:val="es-CR"/>
        </w:rPr>
        <w:t xml:space="preserve">a reconoció como la misma persona que estaba momentos antes conduciendo el mismo vehículo tipo </w:t>
      </w:r>
      <w:r w:rsidR="009216AF" w:rsidRPr="00CD68BA">
        <w:rPr>
          <w:szCs w:val="16"/>
          <w:lang w:val="es-CR"/>
        </w:rPr>
        <w:t>escarabajo</w:t>
      </w:r>
      <w:r w:rsidRPr="00CD68BA">
        <w:rPr>
          <w:szCs w:val="16"/>
          <w:lang w:val="es-CR"/>
        </w:rPr>
        <w:t xml:space="preserve"> a quien, con posterioridad, el 2 de agosto de 1982, identificó como J.P.N.</w:t>
      </w:r>
      <w:r w:rsidRPr="00CD68BA">
        <w:rPr>
          <w:b/>
          <w:szCs w:val="16"/>
          <w:lang w:val="es-CR"/>
        </w:rPr>
        <w:t xml:space="preserve"> </w:t>
      </w:r>
      <w:r w:rsidRPr="00CD68BA">
        <w:rPr>
          <w:i/>
          <w:iCs/>
          <w:szCs w:val="16"/>
          <w:lang w:val="es-CR"/>
        </w:rPr>
        <w:t xml:space="preserve">Cfr. </w:t>
      </w:r>
      <w:r w:rsidRPr="00CD68BA">
        <w:rPr>
          <w:szCs w:val="16"/>
          <w:lang w:val="es-CR"/>
        </w:rPr>
        <w:t>Declaración realizada por Luz</w:t>
      </w:r>
      <w:r w:rsidR="00760FD6" w:rsidRPr="00CD68BA">
        <w:rPr>
          <w:szCs w:val="16"/>
          <w:lang w:val="es-CR"/>
        </w:rPr>
        <w:t>i</w:t>
      </w:r>
      <w:r w:rsidRPr="00CD68BA">
        <w:rPr>
          <w:szCs w:val="16"/>
          <w:lang w:val="es-CR"/>
        </w:rPr>
        <w:t>a Batista da Silva el 31 de julio de 1982 (expediente de prueba, folio</w:t>
      </w:r>
      <w:r w:rsidR="003E597C" w:rsidRPr="00CD68BA">
        <w:rPr>
          <w:szCs w:val="16"/>
          <w:lang w:val="es-CR"/>
        </w:rPr>
        <w:t>s</w:t>
      </w:r>
      <w:r w:rsidRPr="00CD68BA">
        <w:rPr>
          <w:szCs w:val="16"/>
          <w:lang w:val="es-CR"/>
        </w:rPr>
        <w:t xml:space="preserve"> 2226</w:t>
      </w:r>
      <w:r w:rsidR="003E597C" w:rsidRPr="00CD68BA">
        <w:rPr>
          <w:szCs w:val="16"/>
          <w:lang w:val="es-CR"/>
        </w:rPr>
        <w:t xml:space="preserve"> a </w:t>
      </w:r>
      <w:r w:rsidRPr="00CD68BA">
        <w:rPr>
          <w:szCs w:val="16"/>
          <w:lang w:val="es-CR"/>
        </w:rPr>
        <w:t>2227)</w:t>
      </w:r>
      <w:r w:rsidR="003E597C" w:rsidRPr="00CD68BA">
        <w:rPr>
          <w:szCs w:val="16"/>
          <w:lang w:val="es-CR"/>
        </w:rPr>
        <w:t>;</w:t>
      </w:r>
      <w:r w:rsidRPr="00CD68BA">
        <w:rPr>
          <w:szCs w:val="16"/>
          <w:lang w:val="es-CR"/>
        </w:rPr>
        <w:t xml:space="preserve"> Anexo al pedido de prisión preventiva suscrito por el comisario Luiz Carlos de Carvalho el 6 de agosto de 1982 (expediente de prueba, folio 2244), y Auto de reconocimiento realizado por Luz</w:t>
      </w:r>
      <w:r w:rsidR="00760FD6" w:rsidRPr="00CD68BA">
        <w:rPr>
          <w:szCs w:val="16"/>
          <w:lang w:val="es-CR"/>
        </w:rPr>
        <w:t>i</w:t>
      </w:r>
      <w:r w:rsidRPr="00CD68BA">
        <w:rPr>
          <w:szCs w:val="16"/>
          <w:lang w:val="es-CR"/>
        </w:rPr>
        <w:t>a Batista da Silva el 2 de agosto de 1982 (expediente de prueba, folios 2273 a 2274).</w:t>
      </w:r>
    </w:p>
  </w:footnote>
  <w:footnote w:id="75">
    <w:p w14:paraId="625CC46A" w14:textId="3222BA87" w:rsidR="00287AD0" w:rsidRPr="00CD68BA" w:rsidRDefault="00287A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Solicitud de prisión preventiva suscrito por el Comisario de la División de Delitos contra la Persona</w:t>
      </w:r>
      <w:r w:rsidR="00982016" w:rsidRPr="00CD68BA">
        <w:rPr>
          <w:szCs w:val="16"/>
          <w:lang w:val="es-CR"/>
        </w:rPr>
        <w:t xml:space="preserve">, </w:t>
      </w:r>
      <w:r w:rsidR="00982016" w:rsidRPr="00CD68BA">
        <w:rPr>
          <w:i/>
          <w:iCs/>
          <w:szCs w:val="16"/>
          <w:lang w:val="es-CR"/>
        </w:rPr>
        <w:t xml:space="preserve">supra </w:t>
      </w:r>
      <w:r w:rsidRPr="00CD68BA">
        <w:rPr>
          <w:szCs w:val="16"/>
          <w:lang w:val="es-CR"/>
        </w:rPr>
        <w:t>(expediente de prueba, folio 2210); Declaración realizada por Edson Rodrigues Guimarães el 21 de julio de 1982 (expediente de prueba, folio 2220); Declaración realizada por Risomar Daniel Castro el 17 de abril de 1991 (expediente de prueba, folio</w:t>
      </w:r>
      <w:r w:rsidR="00A90304" w:rsidRPr="00CD68BA">
        <w:rPr>
          <w:szCs w:val="16"/>
          <w:lang w:val="es-CR"/>
        </w:rPr>
        <w:t>s</w:t>
      </w:r>
      <w:r w:rsidRPr="00CD68BA">
        <w:rPr>
          <w:szCs w:val="16"/>
          <w:lang w:val="es-CR"/>
        </w:rPr>
        <w:t xml:space="preserve"> 241</w:t>
      </w:r>
      <w:r w:rsidR="00A90304" w:rsidRPr="00CD68BA">
        <w:rPr>
          <w:szCs w:val="16"/>
          <w:lang w:val="es-CR"/>
        </w:rPr>
        <w:t xml:space="preserve"> a </w:t>
      </w:r>
      <w:r w:rsidRPr="00CD68BA">
        <w:rPr>
          <w:szCs w:val="16"/>
          <w:lang w:val="es-CR"/>
        </w:rPr>
        <w:t>242); Resolución emitida por el juez en ejercicio dentro del proceso penal no. 86200004-0 el 31 de agosto de 2000 (expediente de prueba</w:t>
      </w:r>
      <w:r w:rsidR="00A90304" w:rsidRPr="00CD68BA">
        <w:rPr>
          <w:szCs w:val="16"/>
          <w:lang w:val="es-CR"/>
        </w:rPr>
        <w:t>, folio</w:t>
      </w:r>
      <w:r w:rsidRPr="00CD68BA">
        <w:rPr>
          <w:szCs w:val="16"/>
          <w:lang w:val="es-CR"/>
        </w:rPr>
        <w:t xml:space="preserve"> 291); Informe emitido por el </w:t>
      </w:r>
      <w:r w:rsidR="00A90304" w:rsidRPr="00CD68BA">
        <w:rPr>
          <w:szCs w:val="16"/>
          <w:lang w:val="es-CR"/>
        </w:rPr>
        <w:t>C</w:t>
      </w:r>
      <w:r w:rsidRPr="00CD68BA">
        <w:rPr>
          <w:szCs w:val="16"/>
          <w:lang w:val="es-CR"/>
        </w:rPr>
        <w:t>omisario de</w:t>
      </w:r>
      <w:r w:rsidR="00026FEE" w:rsidRPr="00CD68BA">
        <w:rPr>
          <w:szCs w:val="16"/>
          <w:lang w:val="es-CR"/>
        </w:rPr>
        <w:t xml:space="preserve"> </w:t>
      </w:r>
      <w:r w:rsidRPr="00CD68BA">
        <w:rPr>
          <w:szCs w:val="16"/>
          <w:lang w:val="es-CR"/>
        </w:rPr>
        <w:t>Polic</w:t>
      </w:r>
      <w:r w:rsidR="00026FEE" w:rsidRPr="00CD68BA">
        <w:rPr>
          <w:szCs w:val="16"/>
          <w:lang w:val="es-CR"/>
        </w:rPr>
        <w:t>í</w:t>
      </w:r>
      <w:r w:rsidRPr="00CD68BA">
        <w:rPr>
          <w:szCs w:val="16"/>
          <w:lang w:val="es-CR"/>
        </w:rPr>
        <w:t>a el 8 de se</w:t>
      </w:r>
      <w:r w:rsidR="00BB4689" w:rsidRPr="00CD68BA">
        <w:rPr>
          <w:szCs w:val="16"/>
          <w:lang w:val="es-CR"/>
        </w:rPr>
        <w:t>p</w:t>
      </w:r>
      <w:r w:rsidRPr="00CD68BA">
        <w:rPr>
          <w:szCs w:val="16"/>
          <w:lang w:val="es-CR"/>
        </w:rPr>
        <w:t>tiembre de 1982 (expediente</w:t>
      </w:r>
      <w:r w:rsidR="00BE129A" w:rsidRPr="00CD68BA">
        <w:rPr>
          <w:szCs w:val="16"/>
          <w:lang w:val="es-CR"/>
        </w:rPr>
        <w:t xml:space="preserve"> de prueba, folio</w:t>
      </w:r>
      <w:r w:rsidRPr="00CD68BA">
        <w:rPr>
          <w:szCs w:val="16"/>
          <w:lang w:val="es-CR"/>
        </w:rPr>
        <w:t xml:space="preserve"> 2265), y</w:t>
      </w:r>
      <w:r w:rsidRPr="00CD68BA">
        <w:rPr>
          <w:i/>
          <w:iCs/>
          <w:szCs w:val="16"/>
          <w:lang w:val="es-CR"/>
        </w:rPr>
        <w:t xml:space="preserve"> </w:t>
      </w:r>
      <w:r w:rsidRPr="00CD68BA">
        <w:rPr>
          <w:szCs w:val="16"/>
          <w:lang w:val="es-CR"/>
        </w:rPr>
        <w:t xml:space="preserve">Declaración de Risomar Daniel Castro, </w:t>
      </w:r>
      <w:r w:rsidR="00026FEE" w:rsidRPr="00CD68BA">
        <w:rPr>
          <w:i/>
          <w:iCs/>
          <w:szCs w:val="16"/>
          <w:lang w:val="es-CR"/>
        </w:rPr>
        <w:t>supra</w:t>
      </w:r>
      <w:r w:rsidRPr="00CD68BA">
        <w:rPr>
          <w:rFonts w:cs="Arial"/>
          <w:szCs w:val="16"/>
          <w:lang w:val="es-CR"/>
        </w:rPr>
        <w:t xml:space="preserve"> (expediente de prueba, folios 2230 a 2231)</w:t>
      </w:r>
      <w:r w:rsidRPr="00CD68BA">
        <w:rPr>
          <w:szCs w:val="16"/>
          <w:lang w:val="es-CR"/>
        </w:rPr>
        <w:t>.</w:t>
      </w:r>
    </w:p>
  </w:footnote>
  <w:footnote w:id="76">
    <w:p w14:paraId="1BE7FB4A" w14:textId="795AA934" w:rsidR="00287AD0" w:rsidRPr="00CD68BA" w:rsidRDefault="00287A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i/>
          <w:iCs/>
          <w:szCs w:val="16"/>
          <w:lang w:val="es-CR"/>
        </w:rPr>
        <w:tab/>
        <w:t xml:space="preserve">Cfr. </w:t>
      </w:r>
      <w:r w:rsidRPr="00CD68BA">
        <w:rPr>
          <w:szCs w:val="16"/>
          <w:lang w:val="es-CR"/>
        </w:rPr>
        <w:t>Declaración realizada por Edson rodrigues Guimarães</w:t>
      </w:r>
      <w:r w:rsidR="00982016" w:rsidRPr="00CD68BA">
        <w:rPr>
          <w:szCs w:val="16"/>
          <w:lang w:val="es-CR"/>
        </w:rPr>
        <w:t xml:space="preserve">, </w:t>
      </w:r>
      <w:r w:rsidR="00982016" w:rsidRPr="00CD68BA">
        <w:rPr>
          <w:i/>
          <w:iCs/>
          <w:szCs w:val="16"/>
          <w:lang w:val="es-CR"/>
        </w:rPr>
        <w:t xml:space="preserve">supra </w:t>
      </w:r>
      <w:r w:rsidRPr="00CD68BA">
        <w:rPr>
          <w:szCs w:val="16"/>
          <w:lang w:val="es-CR"/>
        </w:rPr>
        <w:t>(expediente de prueba, folio 2220).</w:t>
      </w:r>
    </w:p>
  </w:footnote>
  <w:footnote w:id="77">
    <w:p w14:paraId="6EF15BC9" w14:textId="525B4101" w:rsidR="00287AD0" w:rsidRPr="00CD68BA" w:rsidRDefault="00287A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rFonts w:cs="Calibri-Light"/>
          <w:szCs w:val="16"/>
          <w:lang w:val="es-CR"/>
        </w:rPr>
        <w:t xml:space="preserve">Sentencia emitida por el </w:t>
      </w:r>
      <w:r w:rsidR="00A45A14" w:rsidRPr="00CD68BA">
        <w:rPr>
          <w:rFonts w:cs="Calibri-Light"/>
          <w:szCs w:val="16"/>
          <w:lang w:val="es-CR"/>
        </w:rPr>
        <w:t xml:space="preserve">Tercer </w:t>
      </w:r>
      <w:r w:rsidRPr="00CD68BA">
        <w:rPr>
          <w:rFonts w:cs="Calibri-Light"/>
          <w:szCs w:val="16"/>
          <w:lang w:val="es-CR"/>
        </w:rPr>
        <w:t>Juzgado Civil de Marabá</w:t>
      </w:r>
      <w:r w:rsidR="00A45A14" w:rsidRPr="00CD68BA">
        <w:rPr>
          <w:rFonts w:cs="Calibri-Light"/>
          <w:szCs w:val="16"/>
          <w:lang w:val="es-CR"/>
        </w:rPr>
        <w:t xml:space="preserve">, </w:t>
      </w:r>
      <w:r w:rsidR="00A45A14" w:rsidRPr="00CD68BA">
        <w:rPr>
          <w:rFonts w:cs="Calibri-Light"/>
          <w:i/>
          <w:iCs/>
          <w:szCs w:val="16"/>
          <w:lang w:val="es-CR"/>
        </w:rPr>
        <w:t xml:space="preserve">supra </w:t>
      </w:r>
      <w:r w:rsidRPr="00CD68BA">
        <w:rPr>
          <w:rFonts w:cs="Times New Roman"/>
          <w:szCs w:val="16"/>
          <w:lang w:val="es-CR"/>
        </w:rPr>
        <w:t xml:space="preserve">(expediente de prueba, folio </w:t>
      </w:r>
      <w:r w:rsidRPr="00CD68BA">
        <w:rPr>
          <w:rFonts w:cs="Arial"/>
          <w:szCs w:val="16"/>
          <w:lang w:val="es-CR"/>
        </w:rPr>
        <w:t>1367).</w:t>
      </w:r>
    </w:p>
  </w:footnote>
  <w:footnote w:id="78">
    <w:p w14:paraId="17709217" w14:textId="576B8C67" w:rsidR="00AE31F2" w:rsidRPr="00CD68BA" w:rsidRDefault="00AE31F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BC6B9F" w:rsidRPr="00CD68BA">
        <w:rPr>
          <w:szCs w:val="16"/>
          <w:lang w:val="es-CR"/>
        </w:rPr>
        <w:t>Según noticias de la época, el comisario a cargo de las investigaciones observó reticencia en los y las testigos, lo cual lo llevó a creer que habían sido amenazados y los habían incitado a no decir toda la verdad. También se conoce que, Edson Rodrigues Guimarães y Neuzila C</w:t>
      </w:r>
      <w:r w:rsidR="00395A9D" w:rsidRPr="00CD68BA">
        <w:rPr>
          <w:szCs w:val="16"/>
          <w:lang w:val="es-CR"/>
        </w:rPr>
        <w:t>e</w:t>
      </w:r>
      <w:r w:rsidR="00BC6B9F" w:rsidRPr="00CD68BA">
        <w:rPr>
          <w:szCs w:val="16"/>
          <w:lang w:val="es-CR"/>
        </w:rPr>
        <w:t xml:space="preserve">rqueira Guimarães, quienes acompañaban a Gabriel Sales Pimenta en el momento de su </w:t>
      </w:r>
      <w:r w:rsidR="00644107" w:rsidRPr="00CD68BA">
        <w:rPr>
          <w:szCs w:val="16"/>
          <w:lang w:val="es-CR"/>
        </w:rPr>
        <w:t>muerte</w:t>
      </w:r>
      <w:r w:rsidR="00BC6B9F" w:rsidRPr="00CD68BA">
        <w:rPr>
          <w:szCs w:val="16"/>
          <w:lang w:val="es-CR"/>
        </w:rPr>
        <w:t>, se mantuvieron escondidos por miedo a que los mataran. En cuanto a la testigo ocular del caso, Luzia Batista da Silva dijo que, después de los hechos, tenía miedo de contar lo que había visto.</w:t>
      </w:r>
      <w:r w:rsidR="00BC6B9F" w:rsidRPr="00CD68BA">
        <w:rPr>
          <w:b/>
          <w:szCs w:val="16"/>
          <w:lang w:val="es-CR"/>
        </w:rPr>
        <w:t xml:space="preserve"> </w:t>
      </w:r>
      <w:r w:rsidR="00BC6B9F" w:rsidRPr="00CD68BA">
        <w:rPr>
          <w:i/>
          <w:iCs/>
          <w:szCs w:val="16"/>
          <w:lang w:val="es-CR"/>
        </w:rPr>
        <w:t xml:space="preserve">Cfr. </w:t>
      </w:r>
      <w:r w:rsidR="00BC6B9F" w:rsidRPr="00CD68BA">
        <w:rPr>
          <w:szCs w:val="16"/>
          <w:lang w:val="es-CR"/>
        </w:rPr>
        <w:t>Artículo</w:t>
      </w:r>
      <w:r w:rsidR="00200473" w:rsidRPr="00CD68BA">
        <w:rPr>
          <w:szCs w:val="16"/>
          <w:lang w:val="es-CR"/>
        </w:rPr>
        <w:t xml:space="preserve"> de periódico</w:t>
      </w:r>
      <w:r w:rsidR="00BC6B9F" w:rsidRPr="00CD68BA">
        <w:rPr>
          <w:szCs w:val="16"/>
          <w:lang w:val="es-CR"/>
        </w:rPr>
        <w:t xml:space="preserve"> </w:t>
      </w:r>
      <w:r w:rsidR="00200473" w:rsidRPr="00CD68BA">
        <w:rPr>
          <w:i/>
          <w:iCs/>
          <w:szCs w:val="16"/>
          <w:lang w:val="es-CR"/>
        </w:rPr>
        <w:t xml:space="preserve">A Província do Pará, </w:t>
      </w:r>
      <w:r w:rsidR="00BC6B9F" w:rsidRPr="00CD68BA">
        <w:rPr>
          <w:szCs w:val="16"/>
          <w:lang w:val="es-CR"/>
        </w:rPr>
        <w:t>titulado</w:t>
      </w:r>
      <w:r w:rsidR="00200473" w:rsidRPr="00CD68BA">
        <w:rPr>
          <w:szCs w:val="16"/>
          <w:lang w:val="es-CR"/>
        </w:rPr>
        <w:t xml:space="preserve"> como</w:t>
      </w:r>
      <w:r w:rsidR="00BC6B9F" w:rsidRPr="00CD68BA">
        <w:rPr>
          <w:szCs w:val="16"/>
          <w:lang w:val="es-CR"/>
        </w:rPr>
        <w:t xml:space="preserve"> “Pistolero estuvo en la casa del campesino el domingo en la mañana”</w:t>
      </w:r>
      <w:r w:rsidR="00F40765" w:rsidRPr="00CD68BA">
        <w:rPr>
          <w:szCs w:val="16"/>
          <w:lang w:val="es-CR"/>
        </w:rPr>
        <w:t xml:space="preserve"> </w:t>
      </w:r>
      <w:r w:rsidR="00BC6B9F" w:rsidRPr="00CD68BA">
        <w:rPr>
          <w:szCs w:val="16"/>
          <w:lang w:val="es-CR"/>
        </w:rPr>
        <w:t xml:space="preserve">(s. f) (expediente de prueba, folio 2290); </w:t>
      </w:r>
      <w:r w:rsidR="00BC6B9F" w:rsidRPr="00CD68BA">
        <w:rPr>
          <w:i/>
          <w:iCs/>
          <w:szCs w:val="16"/>
          <w:lang w:val="es-CR"/>
        </w:rPr>
        <w:t xml:space="preserve">Cfr. </w:t>
      </w:r>
      <w:r w:rsidR="00BC6B9F" w:rsidRPr="00CD68BA">
        <w:rPr>
          <w:szCs w:val="16"/>
          <w:lang w:val="es-CR"/>
        </w:rPr>
        <w:t xml:space="preserve">Artículo </w:t>
      </w:r>
      <w:r w:rsidR="00EE0B1A" w:rsidRPr="00CD68BA">
        <w:rPr>
          <w:szCs w:val="16"/>
          <w:lang w:val="es-CR"/>
        </w:rPr>
        <w:t xml:space="preserve">del periódico </w:t>
      </w:r>
      <w:r w:rsidR="00EE0B1A" w:rsidRPr="00CD68BA">
        <w:rPr>
          <w:i/>
          <w:iCs/>
          <w:szCs w:val="16"/>
          <w:lang w:val="es-CR"/>
        </w:rPr>
        <w:t xml:space="preserve">A Província do Pará, </w:t>
      </w:r>
      <w:r w:rsidR="00BC6B9F" w:rsidRPr="00CD68BA">
        <w:rPr>
          <w:szCs w:val="16"/>
          <w:lang w:val="es-CR"/>
        </w:rPr>
        <w:t>titulado</w:t>
      </w:r>
      <w:r w:rsidR="00EE0B1A" w:rsidRPr="00CD68BA">
        <w:rPr>
          <w:szCs w:val="16"/>
          <w:lang w:val="es-CR"/>
        </w:rPr>
        <w:t xml:space="preserve"> como</w:t>
      </w:r>
      <w:r w:rsidR="00BC6B9F" w:rsidRPr="00CD68BA">
        <w:rPr>
          <w:szCs w:val="16"/>
          <w:lang w:val="es-CR"/>
        </w:rPr>
        <w:t xml:space="preserve"> “Sospechosos ya están en el ajedrez”, </w:t>
      </w:r>
      <w:r w:rsidR="00EE0B1A" w:rsidRPr="00CD68BA">
        <w:rPr>
          <w:i/>
          <w:iCs/>
          <w:szCs w:val="16"/>
          <w:lang w:val="es-CR"/>
        </w:rPr>
        <w:t xml:space="preserve">supra </w:t>
      </w:r>
      <w:r w:rsidR="00BC6B9F" w:rsidRPr="00CD68BA">
        <w:rPr>
          <w:szCs w:val="16"/>
          <w:lang w:val="es-CR"/>
        </w:rPr>
        <w:t xml:space="preserve">(expediente de prueba, folio 2292), y </w:t>
      </w:r>
      <w:r w:rsidR="00BC6B9F" w:rsidRPr="00CD68BA">
        <w:rPr>
          <w:i/>
          <w:iCs/>
          <w:szCs w:val="16"/>
          <w:lang w:val="es-CR"/>
        </w:rPr>
        <w:t xml:space="preserve">Cfr. </w:t>
      </w:r>
      <w:r w:rsidR="00BC6B9F" w:rsidRPr="00CD68BA">
        <w:rPr>
          <w:szCs w:val="16"/>
          <w:lang w:val="es-CR"/>
        </w:rPr>
        <w:t xml:space="preserve">Auto de nuevo interrogatorio de Luzia Batista da Silva de 13 de junio de 1983 (expediente de prueba, folio 2278). </w:t>
      </w:r>
    </w:p>
  </w:footnote>
  <w:footnote w:id="79">
    <w:p w14:paraId="1D367D7E" w14:textId="77777777" w:rsidR="00287AD0" w:rsidRPr="00CD68BA" w:rsidRDefault="00287A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Solicitud de prisión preventiva suscrito por el comisario de la División de Delitos contra la Persona el 22 de julio de 1982 (expediente de prueba, folio 2214).</w:t>
      </w:r>
    </w:p>
  </w:footnote>
  <w:footnote w:id="80">
    <w:p w14:paraId="4E791F38" w14:textId="1F46F8B4" w:rsidR="00287AD0" w:rsidRPr="00CD68BA" w:rsidRDefault="00287A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Informe </w:t>
      </w:r>
      <w:r w:rsidR="00BB4689" w:rsidRPr="00CD68BA">
        <w:rPr>
          <w:szCs w:val="16"/>
          <w:lang w:val="es-CR"/>
        </w:rPr>
        <w:t xml:space="preserve">emitido </w:t>
      </w:r>
      <w:r w:rsidRPr="00CD68BA">
        <w:rPr>
          <w:szCs w:val="16"/>
          <w:lang w:val="es-CR"/>
        </w:rPr>
        <w:t xml:space="preserve">por el </w:t>
      </w:r>
      <w:r w:rsidR="005E0E4A" w:rsidRPr="00CD68BA">
        <w:rPr>
          <w:szCs w:val="16"/>
          <w:lang w:val="es-CR"/>
        </w:rPr>
        <w:t>C</w:t>
      </w:r>
      <w:r w:rsidRPr="00CD68BA">
        <w:rPr>
          <w:szCs w:val="16"/>
          <w:lang w:val="es-CR"/>
        </w:rPr>
        <w:t xml:space="preserve">omisario </w:t>
      </w:r>
      <w:r w:rsidR="005E0E4A" w:rsidRPr="00CD68BA">
        <w:rPr>
          <w:szCs w:val="16"/>
          <w:lang w:val="es-CR"/>
        </w:rPr>
        <w:t>de P</w:t>
      </w:r>
      <w:r w:rsidRPr="00CD68BA">
        <w:rPr>
          <w:szCs w:val="16"/>
          <w:lang w:val="es-CR"/>
        </w:rPr>
        <w:t>olic</w:t>
      </w:r>
      <w:r w:rsidR="005E0E4A" w:rsidRPr="00CD68BA">
        <w:rPr>
          <w:szCs w:val="16"/>
          <w:lang w:val="es-CR"/>
        </w:rPr>
        <w:t>í</w:t>
      </w:r>
      <w:r w:rsidRPr="00CD68BA">
        <w:rPr>
          <w:szCs w:val="16"/>
          <w:lang w:val="es-CR"/>
        </w:rPr>
        <w:t>a</w:t>
      </w:r>
      <w:r w:rsidR="00BB4689" w:rsidRPr="00CD68BA">
        <w:rPr>
          <w:szCs w:val="16"/>
          <w:lang w:val="es-CR"/>
        </w:rPr>
        <w:t xml:space="preserve">, </w:t>
      </w:r>
      <w:r w:rsidR="00BB4689" w:rsidRPr="00CD68BA">
        <w:rPr>
          <w:i/>
          <w:iCs/>
          <w:szCs w:val="16"/>
          <w:lang w:val="es-CR"/>
        </w:rPr>
        <w:t xml:space="preserve">supra </w:t>
      </w:r>
      <w:r w:rsidRPr="00CD68BA">
        <w:rPr>
          <w:szCs w:val="16"/>
          <w:lang w:val="es-CR"/>
        </w:rPr>
        <w:t>(expediente de prueba, folio 2267).</w:t>
      </w:r>
    </w:p>
  </w:footnote>
  <w:footnote w:id="81">
    <w:p w14:paraId="2143F28C" w14:textId="00BFCC97" w:rsidR="00EB45CB" w:rsidRPr="00CD68BA" w:rsidRDefault="00EB45C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Previsto en el artículo 121, párrafo segundo, ítem IV, del Código Penal </w:t>
      </w:r>
      <w:r w:rsidR="00BB4689" w:rsidRPr="00CD68BA">
        <w:rPr>
          <w:szCs w:val="16"/>
          <w:lang w:val="es-CR"/>
        </w:rPr>
        <w:t>b</w:t>
      </w:r>
      <w:r w:rsidRPr="00CD68BA">
        <w:rPr>
          <w:szCs w:val="16"/>
          <w:lang w:val="es-CR"/>
        </w:rPr>
        <w:t xml:space="preserve">rasileño. Disponible en: </w:t>
      </w:r>
      <w:hyperlink r:id="rId21" w:history="1">
        <w:r w:rsidR="00BB4689" w:rsidRPr="00CD68BA">
          <w:rPr>
            <w:rStyle w:val="Hipervnculo"/>
            <w:color w:val="auto"/>
            <w:szCs w:val="16"/>
            <w:lang w:val="es-CR"/>
          </w:rPr>
          <w:t>http://www.planalto.gov.br/ccivil_03/decreto-lei/del2848compilado.htm</w:t>
        </w:r>
      </w:hyperlink>
      <w:r w:rsidRPr="00CD68BA">
        <w:rPr>
          <w:szCs w:val="16"/>
          <w:lang w:val="es-CR"/>
        </w:rPr>
        <w:t>.</w:t>
      </w:r>
      <w:r w:rsidR="00BB4689" w:rsidRPr="00CD68BA">
        <w:rPr>
          <w:szCs w:val="16"/>
          <w:lang w:val="es-CR"/>
        </w:rPr>
        <w:t xml:space="preserve"> </w:t>
      </w:r>
    </w:p>
  </w:footnote>
  <w:footnote w:id="82">
    <w:p w14:paraId="7315E411" w14:textId="77777777"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Denuncia del Ministerio Público de 19 de agosto de 1983 (expediente de prueba, folios 2328 a 2329).</w:t>
      </w:r>
    </w:p>
  </w:footnote>
  <w:footnote w:id="83">
    <w:p w14:paraId="29DB536B" w14:textId="6C47CD28"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w:t>
      </w:r>
      <w:r w:rsidR="009D75FD" w:rsidRPr="00CD68BA">
        <w:rPr>
          <w:szCs w:val="16"/>
          <w:lang w:val="es-CR"/>
        </w:rPr>
        <w:t xml:space="preserve"> </w:t>
      </w:r>
      <w:r w:rsidRPr="00CD68BA">
        <w:rPr>
          <w:szCs w:val="16"/>
          <w:lang w:val="es-CR"/>
        </w:rPr>
        <w:t>Certificado del oficial de justicia de 22 de diciembre de 1983 (expediente de prueba, folio 2331).</w:t>
      </w:r>
    </w:p>
  </w:footnote>
  <w:footnote w:id="84">
    <w:p w14:paraId="710A06B0" w14:textId="1996732A"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Escrito suscrito por la jueza de Derecho del Distrito Judicial de Marabá el 27 de abril de 1984 (expediente de prueba, folio 2334)</w:t>
      </w:r>
      <w:r w:rsidR="000A0FA9" w:rsidRPr="00CD68BA">
        <w:rPr>
          <w:szCs w:val="16"/>
          <w:lang w:val="es-CR"/>
        </w:rPr>
        <w:t>, y Citación por edicto de M</w:t>
      </w:r>
      <w:r w:rsidR="00FD65AB" w:rsidRPr="00CD68BA">
        <w:rPr>
          <w:szCs w:val="16"/>
          <w:lang w:val="es-CR"/>
        </w:rPr>
        <w:t>.</w:t>
      </w:r>
      <w:r w:rsidR="000A0FA9" w:rsidRPr="00CD68BA">
        <w:rPr>
          <w:szCs w:val="16"/>
          <w:lang w:val="es-CR"/>
        </w:rPr>
        <w:t>C</w:t>
      </w:r>
      <w:r w:rsidR="00FD65AB" w:rsidRPr="00CD68BA">
        <w:rPr>
          <w:szCs w:val="16"/>
          <w:lang w:val="es-CR"/>
        </w:rPr>
        <w:t>.</w:t>
      </w:r>
      <w:r w:rsidR="000A0FA9" w:rsidRPr="00CD68BA">
        <w:rPr>
          <w:szCs w:val="16"/>
          <w:lang w:val="es-CR"/>
        </w:rPr>
        <w:t>N</w:t>
      </w:r>
      <w:r w:rsidR="00FD65AB" w:rsidRPr="00CD68BA">
        <w:rPr>
          <w:szCs w:val="16"/>
          <w:lang w:val="es-CR"/>
        </w:rPr>
        <w:t>.</w:t>
      </w:r>
      <w:r w:rsidR="000A0FA9" w:rsidRPr="00CD68BA">
        <w:rPr>
          <w:szCs w:val="16"/>
          <w:lang w:val="es-CR"/>
        </w:rPr>
        <w:t xml:space="preserve"> y C</w:t>
      </w:r>
      <w:r w:rsidR="00FD65AB" w:rsidRPr="00CD68BA">
        <w:rPr>
          <w:szCs w:val="16"/>
          <w:lang w:val="es-CR"/>
        </w:rPr>
        <w:t>.</w:t>
      </w:r>
      <w:r w:rsidR="000A0FA9" w:rsidRPr="00CD68BA">
        <w:rPr>
          <w:szCs w:val="16"/>
          <w:lang w:val="es-CR"/>
        </w:rPr>
        <w:t>O</w:t>
      </w:r>
      <w:r w:rsidR="00FD65AB" w:rsidRPr="00CD68BA">
        <w:rPr>
          <w:szCs w:val="16"/>
          <w:lang w:val="es-CR"/>
        </w:rPr>
        <w:t>.</w:t>
      </w:r>
      <w:r w:rsidR="000A0FA9" w:rsidRPr="00CD68BA">
        <w:rPr>
          <w:szCs w:val="16"/>
          <w:lang w:val="es-CR"/>
        </w:rPr>
        <w:t>S</w:t>
      </w:r>
      <w:r w:rsidR="00FD65AB" w:rsidRPr="00CD68BA">
        <w:rPr>
          <w:szCs w:val="16"/>
          <w:lang w:val="es-CR"/>
        </w:rPr>
        <w:t>.</w:t>
      </w:r>
      <w:r w:rsidR="000A0FA9" w:rsidRPr="00CD68BA">
        <w:rPr>
          <w:szCs w:val="16"/>
          <w:lang w:val="es-CR"/>
        </w:rPr>
        <w:t xml:space="preserve"> para la audiencia del 27 de abril de 1984 (expediente de prueba, folio 2340)</w:t>
      </w:r>
    </w:p>
  </w:footnote>
  <w:footnote w:id="85">
    <w:p w14:paraId="28AF8633" w14:textId="68FD2CA2"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Documentación de la calificación e interrogatorio de </w:t>
      </w:r>
      <w:r w:rsidR="00D62D06" w:rsidRPr="00CD68BA">
        <w:rPr>
          <w:szCs w:val="16"/>
          <w:lang w:val="es-CR"/>
        </w:rPr>
        <w:t>J.P.N.</w:t>
      </w:r>
      <w:r w:rsidRPr="00CD68BA">
        <w:rPr>
          <w:szCs w:val="16"/>
          <w:lang w:val="es-CR"/>
        </w:rPr>
        <w:t xml:space="preserve"> de 27 de abril de 1984 (expediente de prueba, folios 2337 a 2338).</w:t>
      </w:r>
    </w:p>
  </w:footnote>
  <w:footnote w:id="86">
    <w:p w14:paraId="537F8FCF" w14:textId="53F62A47" w:rsidR="009D1A60" w:rsidRPr="00CD68BA" w:rsidRDefault="009D1A6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El 4 de julio de 1984, C.O.S. compareció a audiencia y fue interrogado, en ella, negó su participación en el </w:t>
      </w:r>
      <w:r w:rsidR="00644107" w:rsidRPr="00CD68BA">
        <w:rPr>
          <w:szCs w:val="16"/>
          <w:lang w:val="es-CR"/>
        </w:rPr>
        <w:t>homicidio</w:t>
      </w:r>
      <w:r w:rsidRPr="00CD68BA">
        <w:rPr>
          <w:szCs w:val="16"/>
          <w:lang w:val="es-CR"/>
        </w:rPr>
        <w:t xml:space="preserve">, explicó que no había comparecido ante la falta de notificación y afirmó su disponibilidad e intención de no darse a la fuga e indicó su dirección. Ante ello, el 18 de julio de 1984, el juez de Derecho del Distrito Judicial de Marabá revocó su orden de prisión preventiva al considerar que su finalidad dejó de existir. </w:t>
      </w:r>
      <w:r w:rsidR="00DB03D9" w:rsidRPr="00CD68BA">
        <w:rPr>
          <w:i/>
          <w:iCs/>
          <w:szCs w:val="16"/>
          <w:lang w:val="es-CR"/>
        </w:rPr>
        <w:t xml:space="preserve">Cfr. </w:t>
      </w:r>
      <w:r w:rsidR="00DB03D9" w:rsidRPr="00CD68BA">
        <w:rPr>
          <w:szCs w:val="16"/>
          <w:lang w:val="es-CR"/>
        </w:rPr>
        <w:t>Documentación de la calificación y el interrogatorio de</w:t>
      </w:r>
      <w:r w:rsidR="00DB03D9" w:rsidRPr="00CD68BA">
        <w:rPr>
          <w:rFonts w:cs="Calibri-Light"/>
          <w:szCs w:val="16"/>
          <w:lang w:val="es-CR"/>
        </w:rPr>
        <w:t xml:space="preserve"> </w:t>
      </w:r>
      <w:r w:rsidR="00DB03D9" w:rsidRPr="00CD68BA">
        <w:rPr>
          <w:szCs w:val="16"/>
          <w:lang w:val="es-CR"/>
        </w:rPr>
        <w:t xml:space="preserve">C.O.S. </w:t>
      </w:r>
      <w:r w:rsidR="00DB03D9" w:rsidRPr="00CD68BA">
        <w:rPr>
          <w:rFonts w:cs="Calibri-Light"/>
          <w:szCs w:val="16"/>
          <w:lang w:val="es-CR"/>
        </w:rPr>
        <w:t>de 4 de julio de 1984 (expediente de prueba, folios 2342 a 2343)</w:t>
      </w:r>
      <w:r w:rsidR="00BA4483" w:rsidRPr="00CD68BA">
        <w:rPr>
          <w:rFonts w:cs="Calibri-Light"/>
          <w:szCs w:val="16"/>
          <w:lang w:val="es-CR"/>
        </w:rPr>
        <w:t xml:space="preserve">, y </w:t>
      </w:r>
      <w:r w:rsidR="00BA4483" w:rsidRPr="00CD68BA">
        <w:rPr>
          <w:szCs w:val="16"/>
          <w:lang w:val="es-CR"/>
        </w:rPr>
        <w:t>Resolución emitida por el juez de Derecho del Distrito Judicial de Marabá el 18 de julio de 1984 (expediente de prueba, folio 2345)</w:t>
      </w:r>
      <w:r w:rsidR="00DB03D9" w:rsidRPr="00CD68BA">
        <w:rPr>
          <w:rFonts w:cs="Calibri-Light"/>
          <w:szCs w:val="16"/>
          <w:lang w:val="es-CR"/>
        </w:rPr>
        <w:t xml:space="preserve">. </w:t>
      </w:r>
      <w:r w:rsidR="00DB03D9" w:rsidRPr="00CD68BA">
        <w:rPr>
          <w:szCs w:val="16"/>
          <w:lang w:val="es-CR"/>
        </w:rPr>
        <w:t>El juez de Derecho del Distrito Judicial de Marabá hizo constar que C.O.S. “informó todos los detalles de su paradero y dirección, y se puso a disposición [del] Juez para cuando se necesitara su presencia”. Resolución emitida por el juez de Derecho del Distrito Judicial de Marabá el 18 de julio de 1984 (expediente de prueba, folio 2345).</w:t>
      </w:r>
    </w:p>
  </w:footnote>
  <w:footnote w:id="87">
    <w:p w14:paraId="70BC1A88" w14:textId="7788553C"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Decreto de prisión preventiva contra M</w:t>
      </w:r>
      <w:r w:rsidR="00F927C7" w:rsidRPr="00CD68BA">
        <w:rPr>
          <w:szCs w:val="16"/>
          <w:lang w:val="es-CR"/>
        </w:rPr>
        <w:t>.</w:t>
      </w:r>
      <w:r w:rsidRPr="00CD68BA">
        <w:rPr>
          <w:szCs w:val="16"/>
          <w:lang w:val="es-CR"/>
        </w:rPr>
        <w:t>C</w:t>
      </w:r>
      <w:r w:rsidR="00F927C7" w:rsidRPr="00CD68BA">
        <w:rPr>
          <w:szCs w:val="16"/>
          <w:lang w:val="es-CR"/>
        </w:rPr>
        <w:t>.</w:t>
      </w:r>
      <w:r w:rsidRPr="00CD68BA">
        <w:rPr>
          <w:szCs w:val="16"/>
          <w:lang w:val="es-CR"/>
        </w:rPr>
        <w:t>N</w:t>
      </w:r>
      <w:r w:rsidR="00F927C7" w:rsidRPr="00CD68BA">
        <w:rPr>
          <w:szCs w:val="16"/>
          <w:lang w:val="es-CR"/>
        </w:rPr>
        <w:t>.</w:t>
      </w:r>
      <w:r w:rsidRPr="00CD68BA">
        <w:rPr>
          <w:szCs w:val="16"/>
          <w:lang w:val="es-CR"/>
        </w:rPr>
        <w:t xml:space="preserve"> y C</w:t>
      </w:r>
      <w:r w:rsidR="00F927C7" w:rsidRPr="00CD68BA">
        <w:rPr>
          <w:szCs w:val="16"/>
          <w:lang w:val="es-CR"/>
        </w:rPr>
        <w:t>.</w:t>
      </w:r>
      <w:r w:rsidRPr="00CD68BA">
        <w:rPr>
          <w:szCs w:val="16"/>
          <w:lang w:val="es-CR"/>
        </w:rPr>
        <w:t>O</w:t>
      </w:r>
      <w:r w:rsidR="00F927C7" w:rsidRPr="00CD68BA">
        <w:rPr>
          <w:szCs w:val="16"/>
          <w:lang w:val="es-CR"/>
        </w:rPr>
        <w:t>.</w:t>
      </w:r>
      <w:r w:rsidRPr="00CD68BA">
        <w:rPr>
          <w:szCs w:val="16"/>
          <w:lang w:val="es-CR"/>
        </w:rPr>
        <w:t>S</w:t>
      </w:r>
      <w:r w:rsidR="00F927C7" w:rsidRPr="00CD68BA">
        <w:rPr>
          <w:szCs w:val="16"/>
          <w:lang w:val="es-CR"/>
        </w:rPr>
        <w:t>.</w:t>
      </w:r>
      <w:r w:rsidRPr="00CD68BA">
        <w:rPr>
          <w:szCs w:val="16"/>
          <w:lang w:val="es-CR"/>
        </w:rPr>
        <w:t xml:space="preserve"> de 20 de junio de 1984. (expediente de prueba, folios 2318 a 2319).</w:t>
      </w:r>
    </w:p>
  </w:footnote>
  <w:footnote w:id="88">
    <w:p w14:paraId="5E0B1F70" w14:textId="55FFB10F" w:rsidR="00686197" w:rsidRPr="00CD68BA" w:rsidRDefault="00686197"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Durante ese período, al menos dos escribanos fueron excluidos del proceso por recusación: uno porque su hija se había casado con J.P.N., y otro porque era tío de la esposa de J.P.N. </w:t>
      </w:r>
      <w:r w:rsidR="00C96BB6" w:rsidRPr="00CD68BA">
        <w:rPr>
          <w:szCs w:val="16"/>
          <w:lang w:val="es-CR"/>
        </w:rPr>
        <w:t>Además,</w:t>
      </w:r>
      <w:r w:rsidRPr="00CD68BA">
        <w:rPr>
          <w:szCs w:val="16"/>
          <w:lang w:val="es-CR"/>
        </w:rPr>
        <w:t xml:space="preserve"> </w:t>
      </w:r>
      <w:r w:rsidR="00A6339F" w:rsidRPr="00CD68BA">
        <w:rPr>
          <w:szCs w:val="16"/>
          <w:lang w:val="es-CR"/>
        </w:rPr>
        <w:t>la abogada del señor J.P.N.</w:t>
      </w:r>
      <w:r w:rsidRPr="00CD68BA">
        <w:rPr>
          <w:szCs w:val="16"/>
          <w:lang w:val="es-CR"/>
        </w:rPr>
        <w:t xml:space="preserve"> solicitó la recusación dos notarios del registro: uno porque era tío de la esposa de J.P.N. y otr</w:t>
      </w:r>
      <w:r w:rsidR="00C96BB6" w:rsidRPr="00CD68BA">
        <w:rPr>
          <w:szCs w:val="16"/>
          <w:lang w:val="es-CR"/>
        </w:rPr>
        <w:t>o</w:t>
      </w:r>
      <w:r w:rsidRPr="00CD68BA">
        <w:rPr>
          <w:szCs w:val="16"/>
          <w:lang w:val="es-CR"/>
        </w:rPr>
        <w:t xml:space="preserve"> porque era prima de ella. </w:t>
      </w:r>
      <w:r w:rsidRPr="00CD68BA">
        <w:rPr>
          <w:i/>
          <w:iCs/>
          <w:szCs w:val="16"/>
          <w:lang w:val="es-CR"/>
        </w:rPr>
        <w:t xml:space="preserve">Cfr. </w:t>
      </w:r>
      <w:r w:rsidR="00CF4168" w:rsidRPr="00CD68BA">
        <w:rPr>
          <w:szCs w:val="16"/>
          <w:lang w:val="es-CR"/>
        </w:rPr>
        <w:t>Manifestación</w:t>
      </w:r>
      <w:r w:rsidRPr="00CD68BA">
        <w:rPr>
          <w:szCs w:val="16"/>
          <w:lang w:val="es-CR"/>
        </w:rPr>
        <w:t xml:space="preserve"> del escribano de 13 de marzo de 1986. (expediente de prueba, folio 2372); </w:t>
      </w:r>
      <w:r w:rsidR="00CF4168" w:rsidRPr="00CD68BA">
        <w:rPr>
          <w:szCs w:val="16"/>
          <w:lang w:val="es-CR"/>
        </w:rPr>
        <w:t>Manifestación</w:t>
      </w:r>
      <w:r w:rsidRPr="00CD68BA">
        <w:rPr>
          <w:szCs w:val="16"/>
          <w:lang w:val="es-CR"/>
        </w:rPr>
        <w:t xml:space="preserve"> </w:t>
      </w:r>
      <w:r w:rsidR="00A6339F" w:rsidRPr="00CD68BA">
        <w:rPr>
          <w:szCs w:val="16"/>
          <w:lang w:val="es-CR"/>
        </w:rPr>
        <w:t>d</w:t>
      </w:r>
      <w:r w:rsidRPr="00CD68BA">
        <w:rPr>
          <w:szCs w:val="16"/>
          <w:lang w:val="es-CR"/>
        </w:rPr>
        <w:t>el escribano</w:t>
      </w:r>
      <w:r w:rsidR="00A6339F" w:rsidRPr="00CD68BA">
        <w:rPr>
          <w:szCs w:val="16"/>
          <w:lang w:val="es-CR"/>
        </w:rPr>
        <w:t xml:space="preserve"> de</w:t>
      </w:r>
      <w:r w:rsidRPr="00CD68BA">
        <w:rPr>
          <w:szCs w:val="16"/>
          <w:lang w:val="es-CR"/>
        </w:rPr>
        <w:t xml:space="preserve"> 17 de marzo de 1986 (expediente de prueba, folio 2374), y Carta suscrita por la abogada del J.P.N. del 21 de febrero de 1987 (expediente de prueba, folio 2376).</w:t>
      </w:r>
    </w:p>
  </w:footnote>
  <w:footnote w:id="89">
    <w:p w14:paraId="70C4D6AD" w14:textId="4AE0A3D0" w:rsidR="00686197" w:rsidRPr="00CD68BA" w:rsidRDefault="00686197"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El 24 de agosto de 1984, el juez programó el interrogatorio para el 26 de septiembre de 1984; el 22 de noviembre de 1984, el mismo juez emitió edicto para publicar la citación del M.C.N. a comparecer en audiencia de 23 de enero de 1985; el 2 de agosto de 1985, el juez designó el 11 de septiembre de 1985 como otr</w:t>
      </w:r>
      <w:r w:rsidR="001E508D" w:rsidRPr="00CD68BA">
        <w:rPr>
          <w:szCs w:val="16"/>
          <w:lang w:val="es-CR"/>
        </w:rPr>
        <w:t>a</w:t>
      </w:r>
      <w:r w:rsidRPr="00CD68BA">
        <w:rPr>
          <w:szCs w:val="16"/>
          <w:lang w:val="es-CR"/>
        </w:rPr>
        <w:t xml:space="preserve"> fecha para el interrogatorio; por último, el 19 de marzo de 1986, la jueza Marta Ines Autunes Lima emitió un edicto para citar al reo a comparecer en audiencia de 2 de mayo de 1986. </w:t>
      </w:r>
      <w:r w:rsidRPr="00CD68BA">
        <w:rPr>
          <w:i/>
          <w:iCs/>
          <w:szCs w:val="16"/>
          <w:lang w:val="es-CR"/>
        </w:rPr>
        <w:t xml:space="preserve">Cfr. </w:t>
      </w:r>
      <w:r w:rsidRPr="00CD68BA">
        <w:rPr>
          <w:szCs w:val="16"/>
          <w:lang w:val="es-CR"/>
        </w:rPr>
        <w:t>Resoluciones emitidas el 24 de agosto y 22 de noviembre de 1984 (expediente de prueba, folios 2348 a 2351), y Edictos de 5 de agosto de 1985 y 19 de marzo de 1986 (expediente de prueba, folios 2352 a 2353).</w:t>
      </w:r>
    </w:p>
  </w:footnote>
  <w:footnote w:id="90">
    <w:p w14:paraId="32755F3A" w14:textId="3BC3BEA4" w:rsidR="00506BC0" w:rsidRPr="00CD68BA" w:rsidRDefault="00506BC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Pedido de revocación de la orden de prisión preventiva de M</w:t>
      </w:r>
      <w:r w:rsidR="00D70924" w:rsidRPr="00CD68BA">
        <w:rPr>
          <w:szCs w:val="16"/>
          <w:lang w:val="es-CR"/>
        </w:rPr>
        <w:t>.</w:t>
      </w:r>
      <w:r w:rsidRPr="00CD68BA">
        <w:rPr>
          <w:szCs w:val="16"/>
          <w:lang w:val="es-CR"/>
        </w:rPr>
        <w:t>C</w:t>
      </w:r>
      <w:r w:rsidR="00D70924" w:rsidRPr="00CD68BA">
        <w:rPr>
          <w:szCs w:val="16"/>
          <w:lang w:val="es-CR"/>
        </w:rPr>
        <w:t>.</w:t>
      </w:r>
      <w:r w:rsidRPr="00CD68BA">
        <w:rPr>
          <w:szCs w:val="16"/>
          <w:lang w:val="es-CR"/>
        </w:rPr>
        <w:t>N</w:t>
      </w:r>
      <w:r w:rsidR="00D70924" w:rsidRPr="00CD68BA">
        <w:rPr>
          <w:szCs w:val="16"/>
          <w:lang w:val="es-CR"/>
        </w:rPr>
        <w:t>.</w:t>
      </w:r>
      <w:r w:rsidRPr="00CD68BA">
        <w:rPr>
          <w:szCs w:val="16"/>
          <w:lang w:val="es-CR"/>
        </w:rPr>
        <w:t xml:space="preserve"> de 19 de noviembre de 1987 (expediente de prueba, folios 2355 a 2357).</w:t>
      </w:r>
    </w:p>
  </w:footnote>
  <w:footnote w:id="91">
    <w:p w14:paraId="76A7F6B0" w14:textId="5F75652E" w:rsidR="003E17E9" w:rsidRPr="00CD68BA" w:rsidRDefault="003E17E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Resolución suscrita por la jueza de Derecho del </w:t>
      </w:r>
      <w:r w:rsidR="001E1C36" w:rsidRPr="00CD68BA">
        <w:rPr>
          <w:szCs w:val="16"/>
          <w:lang w:val="es-CR"/>
        </w:rPr>
        <w:t>C</w:t>
      </w:r>
      <w:r w:rsidRPr="00CD68BA">
        <w:rPr>
          <w:szCs w:val="16"/>
          <w:lang w:val="es-CR"/>
        </w:rPr>
        <w:t xml:space="preserve">uarto Juzgado Penal el 23 de noviembre de 1987 (expediente </w:t>
      </w:r>
      <w:r w:rsidR="001E1C36" w:rsidRPr="00CD68BA">
        <w:rPr>
          <w:szCs w:val="16"/>
          <w:lang w:val="es-CR"/>
        </w:rPr>
        <w:t xml:space="preserve">de prueba, folios </w:t>
      </w:r>
      <w:r w:rsidRPr="00CD68BA">
        <w:rPr>
          <w:szCs w:val="16"/>
          <w:lang w:val="es-CR"/>
        </w:rPr>
        <w:t xml:space="preserve">2365 a 2366). </w:t>
      </w:r>
    </w:p>
  </w:footnote>
  <w:footnote w:id="92">
    <w:p w14:paraId="02ABBA93" w14:textId="4D42A059"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Documentación de la calificación e interrogatorio de M</w:t>
      </w:r>
      <w:r w:rsidR="00261492" w:rsidRPr="00CD68BA">
        <w:rPr>
          <w:szCs w:val="16"/>
          <w:lang w:val="es-CR"/>
        </w:rPr>
        <w:t>.</w:t>
      </w:r>
      <w:r w:rsidRPr="00CD68BA">
        <w:rPr>
          <w:szCs w:val="16"/>
          <w:lang w:val="es-CR"/>
        </w:rPr>
        <w:t>C</w:t>
      </w:r>
      <w:r w:rsidR="00261492" w:rsidRPr="00CD68BA">
        <w:rPr>
          <w:szCs w:val="16"/>
          <w:lang w:val="es-CR"/>
        </w:rPr>
        <w:t>.</w:t>
      </w:r>
      <w:r w:rsidRPr="00CD68BA">
        <w:rPr>
          <w:szCs w:val="16"/>
          <w:lang w:val="es-CR"/>
        </w:rPr>
        <w:t>N de 29 de abril de 1988 (expediente de prueba, folio</w:t>
      </w:r>
      <w:r w:rsidR="001D58B8" w:rsidRPr="00CD68BA">
        <w:rPr>
          <w:szCs w:val="16"/>
          <w:lang w:val="es-CR"/>
        </w:rPr>
        <w:t>s</w:t>
      </w:r>
      <w:r w:rsidRPr="00CD68BA">
        <w:rPr>
          <w:szCs w:val="16"/>
          <w:lang w:val="es-CR"/>
        </w:rPr>
        <w:t xml:space="preserve"> </w:t>
      </w:r>
      <w:r w:rsidR="001D58B8" w:rsidRPr="00CD68BA">
        <w:rPr>
          <w:szCs w:val="16"/>
          <w:lang w:val="es-CR"/>
        </w:rPr>
        <w:t xml:space="preserve">2360 a </w:t>
      </w:r>
      <w:r w:rsidRPr="00CD68BA">
        <w:rPr>
          <w:szCs w:val="16"/>
          <w:lang w:val="es-CR"/>
        </w:rPr>
        <w:t xml:space="preserve">2361). </w:t>
      </w:r>
    </w:p>
  </w:footnote>
  <w:footnote w:id="93">
    <w:p w14:paraId="5C40914A" w14:textId="77777777" w:rsidR="004128F5" w:rsidRPr="00CD68BA" w:rsidRDefault="004128F5" w:rsidP="00EE6124">
      <w:pPr>
        <w:pStyle w:val="Default"/>
        <w:spacing w:after="60"/>
        <w:ind w:left="708" w:hanging="708"/>
        <w:jc w:val="both"/>
        <w:rPr>
          <w:rFonts w:ascii="Verdana" w:hAnsi="Verdana"/>
          <w:color w:val="auto"/>
          <w:sz w:val="16"/>
          <w:szCs w:val="16"/>
        </w:rPr>
      </w:pPr>
      <w:r w:rsidRPr="00CD68BA">
        <w:rPr>
          <w:rStyle w:val="Refdenotaalpie"/>
          <w:rFonts w:ascii="Verdana" w:hAnsi="Verdana"/>
          <w:color w:val="auto"/>
          <w:sz w:val="16"/>
          <w:szCs w:val="16"/>
        </w:rPr>
        <w:footnoteRef/>
      </w:r>
      <w:r w:rsidRPr="00CD68BA">
        <w:rPr>
          <w:rFonts w:ascii="Verdana" w:hAnsi="Verdana"/>
          <w:color w:val="auto"/>
          <w:sz w:val="16"/>
          <w:szCs w:val="16"/>
        </w:rPr>
        <w:t xml:space="preserve"> </w:t>
      </w:r>
      <w:r w:rsidRPr="00CD68BA">
        <w:rPr>
          <w:rFonts w:ascii="Verdana" w:hAnsi="Verdana"/>
          <w:color w:val="auto"/>
          <w:sz w:val="16"/>
          <w:szCs w:val="16"/>
        </w:rPr>
        <w:tab/>
      </w:r>
      <w:r w:rsidRPr="00CD68BA">
        <w:rPr>
          <w:rFonts w:ascii="Verdana" w:hAnsi="Verdana"/>
          <w:i/>
          <w:iCs/>
          <w:color w:val="auto"/>
          <w:sz w:val="16"/>
          <w:szCs w:val="16"/>
        </w:rPr>
        <w:t xml:space="preserve">Cfr. </w:t>
      </w:r>
      <w:r w:rsidRPr="00CD68BA">
        <w:rPr>
          <w:rFonts w:ascii="Verdana" w:hAnsi="Verdana"/>
          <w:color w:val="auto"/>
          <w:sz w:val="16"/>
          <w:szCs w:val="16"/>
        </w:rPr>
        <w:t>Alegatos finales del Ministerio Público de 8 de junio de 1992 (expediente de prueba, folios 2437 a 2440).</w:t>
      </w:r>
    </w:p>
  </w:footnote>
  <w:footnote w:id="94">
    <w:p w14:paraId="6F2E4B97" w14:textId="6914A1B0" w:rsidR="00EC2BAC" w:rsidRPr="00CD68BA" w:rsidRDefault="00EC2BA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El 28 de septiembre de 1995 se designó un defensor público para que actuara en defensa del señor </w:t>
      </w:r>
      <w:r w:rsidR="00DA0D5A" w:rsidRPr="00CD68BA">
        <w:rPr>
          <w:szCs w:val="16"/>
          <w:lang w:val="es-CR"/>
        </w:rPr>
        <w:t>M.</w:t>
      </w:r>
      <w:r w:rsidRPr="00CD68BA">
        <w:rPr>
          <w:szCs w:val="16"/>
          <w:lang w:val="es-CR"/>
        </w:rPr>
        <w:t>C</w:t>
      </w:r>
      <w:r w:rsidR="00DA0D5A" w:rsidRPr="00CD68BA">
        <w:rPr>
          <w:szCs w:val="16"/>
          <w:lang w:val="es-CR"/>
        </w:rPr>
        <w:t>.N.</w:t>
      </w:r>
      <w:r w:rsidRPr="00CD68BA">
        <w:rPr>
          <w:szCs w:val="16"/>
          <w:lang w:val="es-CR"/>
        </w:rPr>
        <w:t xml:space="preserve"> y presentara sus alegatos finales. El 2</w:t>
      </w:r>
      <w:r w:rsidR="00AB2F2F" w:rsidRPr="00CD68BA">
        <w:rPr>
          <w:szCs w:val="16"/>
          <w:lang w:val="es-CR"/>
        </w:rPr>
        <w:t>6</w:t>
      </w:r>
      <w:r w:rsidRPr="00CD68BA">
        <w:rPr>
          <w:szCs w:val="16"/>
          <w:lang w:val="es-CR"/>
        </w:rPr>
        <w:t xml:space="preserve"> de abril de 1996, la Defensa Pública declinó su designación de defensora del acusado pues este, en su condición de hacendado y poseedor de tierras, contaba con las “condiciones necesarias” para contratar su defensa. El 3 de junio de 1996, mediante exhorto dirigido al Distrito Judicial de Vitória da Conquista, se le concedió un plazo de 48 horas al señor </w:t>
      </w:r>
      <w:r w:rsidR="00DA0D5A" w:rsidRPr="00CD68BA">
        <w:rPr>
          <w:szCs w:val="16"/>
          <w:lang w:val="es-CR"/>
        </w:rPr>
        <w:t>M.C.N</w:t>
      </w:r>
      <w:r w:rsidR="00662E55" w:rsidRPr="00CD68BA">
        <w:rPr>
          <w:szCs w:val="16"/>
          <w:lang w:val="es-CR"/>
        </w:rPr>
        <w:t>.</w:t>
      </w:r>
      <w:r w:rsidRPr="00CD68BA">
        <w:rPr>
          <w:szCs w:val="16"/>
          <w:lang w:val="es-CR"/>
        </w:rPr>
        <w:t xml:space="preserve"> para que contratara a una persona abogada y presentara sus alegatos finales. El 16 de julio de 1996, el señor </w:t>
      </w:r>
      <w:r w:rsidR="00DA0D5A" w:rsidRPr="00CD68BA">
        <w:rPr>
          <w:szCs w:val="16"/>
          <w:lang w:val="es-CR"/>
        </w:rPr>
        <w:t>M.C.N</w:t>
      </w:r>
      <w:r w:rsidR="00662E55" w:rsidRPr="00CD68BA">
        <w:rPr>
          <w:szCs w:val="16"/>
          <w:lang w:val="es-CR"/>
        </w:rPr>
        <w:t>.</w:t>
      </w:r>
      <w:r w:rsidRPr="00CD68BA">
        <w:rPr>
          <w:szCs w:val="16"/>
          <w:lang w:val="es-CR"/>
        </w:rPr>
        <w:t xml:space="preserve"> se presentó al Juzgado de Vitória da Conquista e informó que no tenía recursos para contratar su defensa. El 12 de mayo de 1997, el hermano de la </w:t>
      </w:r>
      <w:r w:rsidR="00DA0D5A" w:rsidRPr="00CD68BA">
        <w:rPr>
          <w:szCs w:val="16"/>
          <w:lang w:val="es-CR"/>
        </w:rPr>
        <w:t xml:space="preserve">presunta </w:t>
      </w:r>
      <w:r w:rsidRPr="00CD68BA">
        <w:rPr>
          <w:szCs w:val="16"/>
          <w:lang w:val="es-CR"/>
        </w:rPr>
        <w:t>víctima, Rafael Sales Pimenta, habilitó a un abogado para que actuara como asistente de acusación en el proceso</w:t>
      </w:r>
      <w:r w:rsidR="00DA0D5A" w:rsidRPr="00CD68BA">
        <w:rPr>
          <w:szCs w:val="16"/>
          <w:lang w:val="es-CR"/>
        </w:rPr>
        <w:t>,</w:t>
      </w:r>
      <w:r w:rsidRPr="00CD68BA">
        <w:rPr>
          <w:szCs w:val="16"/>
          <w:lang w:val="es-CR"/>
        </w:rPr>
        <w:t xml:space="preserve"> y </w:t>
      </w:r>
      <w:r w:rsidR="00D239FE" w:rsidRPr="00CD68BA">
        <w:rPr>
          <w:szCs w:val="16"/>
          <w:lang w:val="es-CR"/>
        </w:rPr>
        <w:t xml:space="preserve">el 28 de mayo de 1997 </w:t>
      </w:r>
      <w:r w:rsidRPr="00CD68BA">
        <w:rPr>
          <w:szCs w:val="16"/>
          <w:lang w:val="es-CR"/>
        </w:rPr>
        <w:t xml:space="preserve">solicitó que se le concediera defensa pública al señor </w:t>
      </w:r>
      <w:r w:rsidR="00DA0D5A" w:rsidRPr="00CD68BA">
        <w:rPr>
          <w:szCs w:val="16"/>
          <w:lang w:val="es-CR"/>
        </w:rPr>
        <w:t>M.</w:t>
      </w:r>
      <w:r w:rsidRPr="00CD68BA">
        <w:rPr>
          <w:szCs w:val="16"/>
          <w:lang w:val="es-CR"/>
        </w:rPr>
        <w:t>C</w:t>
      </w:r>
      <w:r w:rsidR="00DA0D5A" w:rsidRPr="00CD68BA">
        <w:rPr>
          <w:szCs w:val="16"/>
          <w:lang w:val="es-CR"/>
        </w:rPr>
        <w:t>.N</w:t>
      </w:r>
      <w:r w:rsidRPr="00CD68BA">
        <w:rPr>
          <w:szCs w:val="16"/>
          <w:lang w:val="es-CR"/>
        </w:rPr>
        <w:t xml:space="preserve">. </w:t>
      </w:r>
      <w:r w:rsidRPr="00CD68BA">
        <w:rPr>
          <w:i/>
          <w:iCs/>
          <w:szCs w:val="16"/>
          <w:lang w:val="es-CR"/>
        </w:rPr>
        <w:t xml:space="preserve">Cfr. </w:t>
      </w:r>
      <w:r w:rsidRPr="00CD68BA">
        <w:rPr>
          <w:szCs w:val="16"/>
          <w:lang w:val="es-CR"/>
        </w:rPr>
        <w:t>Auto suscrito por la jueza de Derecho del Cuarto Juzgado Penal el 28 de septiembre de 1995 (expediente de prueba, folio 2465);</w:t>
      </w:r>
      <w:r w:rsidRPr="00CD68BA">
        <w:rPr>
          <w:i/>
          <w:iCs/>
          <w:szCs w:val="16"/>
          <w:lang w:val="es-CR"/>
        </w:rPr>
        <w:t xml:space="preserve"> </w:t>
      </w:r>
      <w:r w:rsidRPr="00CD68BA">
        <w:rPr>
          <w:szCs w:val="16"/>
          <w:lang w:val="es-CR"/>
        </w:rPr>
        <w:t xml:space="preserve">Escrito de declinación suscrito por la Defensa Pública el 26 de abril de 1996 (expediente de prueba, folios 2467 a 2468); Exhorto suscrito por la jueza del Cuarto Juzgado Penal de Marabá el 3 de junio de 1996 (expediente de prueba, folios 2470 a 2471); Certificado emitido por el escribano de Vitória da Conquista el 16 de julio de 1996 (expediente de prueba, folio 2473); Poder suscrito por Rafael Sales Pimenta el 12 de mayo de 1997 (expediente de prueba, folio 2475), y Solicitud suscrita por el abogado de Rafael Sales Pimenta el 28 de mayo de 1997 (expediente de prueba, </w:t>
      </w:r>
      <w:r w:rsidR="003C2CBC" w:rsidRPr="00CD68BA">
        <w:rPr>
          <w:szCs w:val="16"/>
          <w:lang w:val="es-CR"/>
        </w:rPr>
        <w:t xml:space="preserve">folios </w:t>
      </w:r>
      <w:r w:rsidRPr="00CD68BA">
        <w:rPr>
          <w:szCs w:val="16"/>
          <w:lang w:val="es-CR"/>
        </w:rPr>
        <w:t>2478 a 2480)</w:t>
      </w:r>
      <w:r w:rsidR="00DA0D5A" w:rsidRPr="00CD68BA">
        <w:rPr>
          <w:szCs w:val="16"/>
          <w:lang w:val="es-CR"/>
        </w:rPr>
        <w:t>.</w:t>
      </w:r>
    </w:p>
  </w:footnote>
  <w:footnote w:id="95">
    <w:p w14:paraId="34129974" w14:textId="038DA1EA"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Alegatos finales de </w:t>
      </w:r>
      <w:r w:rsidR="00D62D06" w:rsidRPr="00CD68BA">
        <w:rPr>
          <w:szCs w:val="16"/>
          <w:lang w:val="es-CR"/>
        </w:rPr>
        <w:t>J.P.N.</w:t>
      </w:r>
      <w:r w:rsidRPr="00CD68BA">
        <w:rPr>
          <w:szCs w:val="16"/>
          <w:lang w:val="es-CR"/>
        </w:rPr>
        <w:t xml:space="preserve"> de 3 de diciembre de 1992 (expediente de prueba, folios 2453 a 2461)</w:t>
      </w:r>
      <w:r w:rsidR="003C2CBC" w:rsidRPr="00CD68BA">
        <w:rPr>
          <w:szCs w:val="16"/>
          <w:lang w:val="es-CR"/>
        </w:rPr>
        <w:t>, y</w:t>
      </w:r>
      <w:r w:rsidRPr="00CD68BA">
        <w:rPr>
          <w:szCs w:val="16"/>
          <w:lang w:val="es-CR"/>
        </w:rPr>
        <w:t xml:space="preserve"> Pedido de renuncia suscrito por el abogado </w:t>
      </w:r>
      <w:r w:rsidR="004774A4" w:rsidRPr="00CD68BA">
        <w:rPr>
          <w:szCs w:val="16"/>
          <w:lang w:val="es-CR"/>
        </w:rPr>
        <w:t>de M.C.N. el</w:t>
      </w:r>
      <w:r w:rsidRPr="00CD68BA">
        <w:rPr>
          <w:szCs w:val="16"/>
          <w:lang w:val="es-CR"/>
        </w:rPr>
        <w:t xml:space="preserve"> 26 de febrero de 1993 (expediente de prueba, folio 2463).</w:t>
      </w:r>
    </w:p>
  </w:footnote>
  <w:footnote w:id="96">
    <w:p w14:paraId="5748F682" w14:textId="488CDFD1"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Alegatos finales de M</w:t>
      </w:r>
      <w:r w:rsidR="003C2CBC" w:rsidRPr="00CD68BA">
        <w:rPr>
          <w:szCs w:val="16"/>
          <w:lang w:val="es-CR"/>
        </w:rPr>
        <w:t>.</w:t>
      </w:r>
      <w:r w:rsidRPr="00CD68BA">
        <w:rPr>
          <w:szCs w:val="16"/>
          <w:lang w:val="es-CR"/>
        </w:rPr>
        <w:t>C</w:t>
      </w:r>
      <w:r w:rsidR="003C2CBC" w:rsidRPr="00CD68BA">
        <w:rPr>
          <w:szCs w:val="16"/>
          <w:lang w:val="es-CR"/>
        </w:rPr>
        <w:t>.</w:t>
      </w:r>
      <w:r w:rsidRPr="00CD68BA">
        <w:rPr>
          <w:szCs w:val="16"/>
          <w:lang w:val="es-CR"/>
        </w:rPr>
        <w:t>N</w:t>
      </w:r>
      <w:r w:rsidR="003C2CBC" w:rsidRPr="00CD68BA">
        <w:rPr>
          <w:szCs w:val="16"/>
          <w:lang w:val="es-CR"/>
        </w:rPr>
        <w:t>.</w:t>
      </w:r>
      <w:r w:rsidRPr="00CD68BA">
        <w:rPr>
          <w:szCs w:val="16"/>
          <w:lang w:val="es-CR"/>
        </w:rPr>
        <w:t xml:space="preserve"> de 28 de junio de 1997 (expediente de prueba, folios </w:t>
      </w:r>
      <w:r w:rsidR="003C2CBC" w:rsidRPr="00CD68BA">
        <w:rPr>
          <w:szCs w:val="16"/>
          <w:lang w:val="es-CR"/>
        </w:rPr>
        <w:t xml:space="preserve">2482 </w:t>
      </w:r>
      <w:r w:rsidRPr="00CD68BA">
        <w:rPr>
          <w:szCs w:val="16"/>
          <w:lang w:val="es-CR"/>
        </w:rPr>
        <w:t>a 2485).</w:t>
      </w:r>
    </w:p>
  </w:footnote>
  <w:footnote w:id="97">
    <w:p w14:paraId="2525B3F7" w14:textId="77777777"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Solicitud suscrita por el Ministerio Público el 29 de julio de 1997 (expediente de prueba, folio 2487).</w:t>
      </w:r>
    </w:p>
  </w:footnote>
  <w:footnote w:id="98">
    <w:p w14:paraId="3275E34C" w14:textId="4C5DC34A" w:rsidR="004128F5" w:rsidRPr="00CD68BA" w:rsidRDefault="004128F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Alegatos finales de C</w:t>
      </w:r>
      <w:r w:rsidR="000A2952" w:rsidRPr="00CD68BA">
        <w:rPr>
          <w:szCs w:val="16"/>
          <w:lang w:val="es-CR"/>
        </w:rPr>
        <w:t>.</w:t>
      </w:r>
      <w:r w:rsidRPr="00CD68BA">
        <w:rPr>
          <w:szCs w:val="16"/>
          <w:lang w:val="es-CR"/>
        </w:rPr>
        <w:t>O</w:t>
      </w:r>
      <w:r w:rsidR="000A2952" w:rsidRPr="00CD68BA">
        <w:rPr>
          <w:szCs w:val="16"/>
          <w:lang w:val="es-CR"/>
        </w:rPr>
        <w:t>.</w:t>
      </w:r>
      <w:r w:rsidRPr="00CD68BA">
        <w:rPr>
          <w:szCs w:val="16"/>
          <w:lang w:val="es-CR"/>
        </w:rPr>
        <w:t>S</w:t>
      </w:r>
      <w:r w:rsidR="000A2952" w:rsidRPr="00CD68BA">
        <w:rPr>
          <w:szCs w:val="16"/>
          <w:lang w:val="es-CR"/>
        </w:rPr>
        <w:t>.</w:t>
      </w:r>
      <w:r w:rsidRPr="00CD68BA">
        <w:rPr>
          <w:szCs w:val="16"/>
          <w:lang w:val="es-CR"/>
        </w:rPr>
        <w:t xml:space="preserve"> de 27 de abril de 1998 (expediente de prueba, folios 2489 a 2490).</w:t>
      </w:r>
    </w:p>
  </w:footnote>
  <w:footnote w:id="99">
    <w:p w14:paraId="2B783DFA" w14:textId="2ACBB632" w:rsidR="00844B9B" w:rsidRPr="00CD68BA" w:rsidRDefault="00844B9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Acta de defunción de </w:t>
      </w:r>
      <w:r w:rsidR="00D62D06" w:rsidRPr="00CD68BA">
        <w:rPr>
          <w:szCs w:val="16"/>
          <w:lang w:val="es-CR"/>
        </w:rPr>
        <w:t>J.P.N</w:t>
      </w:r>
      <w:r w:rsidRPr="00CD68BA">
        <w:rPr>
          <w:szCs w:val="16"/>
          <w:lang w:val="es-CR"/>
        </w:rPr>
        <w:t>.</w:t>
      </w:r>
      <w:r w:rsidR="009C07DB" w:rsidRPr="00CD68BA">
        <w:rPr>
          <w:szCs w:val="16"/>
          <w:lang w:val="es-CR"/>
        </w:rPr>
        <w:t xml:space="preserve"> de 13 de septiembre de 1999 (expediente de prueba, folio 2498).</w:t>
      </w:r>
    </w:p>
  </w:footnote>
  <w:footnote w:id="100">
    <w:p w14:paraId="23864319" w14:textId="2D53E5F7"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A61C0C" w:rsidRPr="00CD68BA">
        <w:rPr>
          <w:szCs w:val="16"/>
          <w:lang w:val="es-CR"/>
        </w:rPr>
        <w:t>Solicitud</w:t>
      </w:r>
      <w:r w:rsidRPr="00CD68BA">
        <w:rPr>
          <w:szCs w:val="16"/>
          <w:lang w:val="es-CR"/>
        </w:rPr>
        <w:t xml:space="preserve"> del Ministerio Público de 23 de noviembre de 1999 (expediente de prueba, folio 2061); Extinción de la </w:t>
      </w:r>
      <w:r w:rsidR="006E3F10" w:rsidRPr="00CD68BA">
        <w:rPr>
          <w:szCs w:val="16"/>
          <w:lang w:val="es-CR"/>
        </w:rPr>
        <w:t>responsabilidad penal</w:t>
      </w:r>
      <w:r w:rsidRPr="00CD68BA">
        <w:rPr>
          <w:szCs w:val="16"/>
          <w:lang w:val="es-CR"/>
        </w:rPr>
        <w:t xml:space="preserve"> con respecto a </w:t>
      </w:r>
      <w:r w:rsidR="00D62D06" w:rsidRPr="00CD68BA">
        <w:rPr>
          <w:szCs w:val="16"/>
          <w:lang w:val="es-CR"/>
        </w:rPr>
        <w:t>J.P.N.</w:t>
      </w:r>
      <w:r w:rsidRPr="00CD68BA">
        <w:rPr>
          <w:szCs w:val="16"/>
          <w:lang w:val="es-CR"/>
        </w:rPr>
        <w:t xml:space="preserve"> de 31 de agosto de 2000 (expediente de prueba, folio 2497), y Auto de imputación de los acusados emitido por el juez </w:t>
      </w:r>
      <w:r w:rsidR="005E0198" w:rsidRPr="00CD68BA">
        <w:rPr>
          <w:szCs w:val="16"/>
          <w:lang w:val="es-CR"/>
        </w:rPr>
        <w:t>en ejercicio</w:t>
      </w:r>
      <w:r w:rsidRPr="00CD68BA">
        <w:rPr>
          <w:szCs w:val="16"/>
          <w:lang w:val="es-CR"/>
        </w:rPr>
        <w:t xml:space="preserve"> el 31 de agosto de 2000 (expediente de prueba, folios 249</w:t>
      </w:r>
      <w:r w:rsidR="005E0198" w:rsidRPr="00CD68BA">
        <w:rPr>
          <w:szCs w:val="16"/>
          <w:lang w:val="es-CR"/>
        </w:rPr>
        <w:t>4</w:t>
      </w:r>
      <w:r w:rsidRPr="00CD68BA">
        <w:rPr>
          <w:szCs w:val="16"/>
          <w:lang w:val="es-CR"/>
        </w:rPr>
        <w:t xml:space="preserve"> a 2495).</w:t>
      </w:r>
    </w:p>
  </w:footnote>
  <w:footnote w:id="101">
    <w:p w14:paraId="70C8D2D9" w14:textId="0BF9D8FE"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La sentencia de “</w:t>
      </w:r>
      <w:r w:rsidRPr="00CD68BA">
        <w:rPr>
          <w:i/>
          <w:iCs/>
          <w:szCs w:val="16"/>
          <w:lang w:val="es-CR"/>
        </w:rPr>
        <w:t>pronúncia</w:t>
      </w:r>
      <w:r w:rsidRPr="00CD68BA">
        <w:rPr>
          <w:szCs w:val="16"/>
          <w:lang w:val="es-CR"/>
        </w:rPr>
        <w:t xml:space="preserve">” consiste en la decisión de un juez en el curso del proceso penal por medio de la cual determina si un </w:t>
      </w:r>
      <w:r w:rsidR="008339F1" w:rsidRPr="00CD68BA">
        <w:rPr>
          <w:szCs w:val="16"/>
          <w:lang w:val="es-CR"/>
        </w:rPr>
        <w:t>imputado</w:t>
      </w:r>
      <w:r w:rsidRPr="00CD68BA">
        <w:rPr>
          <w:szCs w:val="16"/>
          <w:lang w:val="es-CR"/>
        </w:rPr>
        <w:t xml:space="preserve"> </w:t>
      </w:r>
      <w:r w:rsidRPr="00CD68BA">
        <w:rPr>
          <w:rFonts w:eastAsia="Calibri"/>
          <w:szCs w:val="16"/>
          <w:lang w:val="es-CR"/>
        </w:rPr>
        <w:t>debe o no ser sometido al Tribunal del Jurado, en virtud de la existencia o no de indicios suficientes para determinar la autoría de un delito doloso contra la vida.</w:t>
      </w:r>
    </w:p>
  </w:footnote>
  <w:footnote w:id="102">
    <w:p w14:paraId="634DCB96" w14:textId="46250250" w:rsidR="00E060D0" w:rsidRPr="00CD68BA" w:rsidRDefault="00E060D0" w:rsidP="00D12B21">
      <w:pPr>
        <w:pStyle w:val="Default"/>
        <w:spacing w:after="60"/>
        <w:jc w:val="both"/>
        <w:rPr>
          <w:rFonts w:ascii="Verdana" w:hAnsi="Verdana"/>
          <w:color w:val="auto"/>
          <w:sz w:val="16"/>
          <w:szCs w:val="16"/>
        </w:rPr>
      </w:pPr>
      <w:r w:rsidRPr="00CD68BA">
        <w:rPr>
          <w:rStyle w:val="Refdenotaalpie"/>
          <w:rFonts w:ascii="Verdana" w:hAnsi="Verdana"/>
          <w:color w:val="auto"/>
          <w:sz w:val="16"/>
          <w:szCs w:val="16"/>
        </w:rPr>
        <w:footnoteRef/>
      </w:r>
      <w:r w:rsidRPr="00CD68BA">
        <w:rPr>
          <w:rFonts w:ascii="Verdana" w:hAnsi="Verdana"/>
          <w:color w:val="auto"/>
          <w:sz w:val="16"/>
          <w:szCs w:val="16"/>
        </w:rPr>
        <w:t xml:space="preserve"> </w:t>
      </w:r>
      <w:r w:rsidRPr="00CD68BA">
        <w:rPr>
          <w:rFonts w:ascii="Verdana" w:hAnsi="Verdana"/>
          <w:color w:val="auto"/>
          <w:sz w:val="16"/>
          <w:szCs w:val="16"/>
        </w:rPr>
        <w:tab/>
      </w:r>
      <w:r w:rsidRPr="00CD68BA">
        <w:rPr>
          <w:rFonts w:ascii="Verdana" w:hAnsi="Verdana"/>
          <w:i/>
          <w:iCs/>
          <w:color w:val="auto"/>
          <w:sz w:val="16"/>
          <w:szCs w:val="16"/>
        </w:rPr>
        <w:t xml:space="preserve">Cfr. </w:t>
      </w:r>
      <w:r w:rsidRPr="00CD68BA">
        <w:rPr>
          <w:rFonts w:ascii="Verdana" w:hAnsi="Verdana"/>
          <w:color w:val="auto"/>
          <w:sz w:val="16"/>
          <w:szCs w:val="16"/>
        </w:rPr>
        <w:t>Exhorto No. 01/2001 de 30 de enero de 2001 (expediente de prueba, folio 2500); Certificado de intimación de M</w:t>
      </w:r>
      <w:r w:rsidR="00A61C0C" w:rsidRPr="00CD68BA">
        <w:rPr>
          <w:rFonts w:ascii="Verdana" w:hAnsi="Verdana"/>
          <w:color w:val="auto"/>
          <w:sz w:val="16"/>
          <w:szCs w:val="16"/>
        </w:rPr>
        <w:t>.</w:t>
      </w:r>
      <w:r w:rsidRPr="00CD68BA">
        <w:rPr>
          <w:rFonts w:ascii="Verdana" w:hAnsi="Verdana"/>
          <w:color w:val="auto"/>
          <w:sz w:val="16"/>
          <w:szCs w:val="16"/>
        </w:rPr>
        <w:t>C</w:t>
      </w:r>
      <w:r w:rsidR="00A61C0C" w:rsidRPr="00CD68BA">
        <w:rPr>
          <w:rFonts w:ascii="Verdana" w:hAnsi="Verdana"/>
          <w:color w:val="auto"/>
          <w:sz w:val="16"/>
          <w:szCs w:val="16"/>
        </w:rPr>
        <w:t>.</w:t>
      </w:r>
      <w:r w:rsidRPr="00CD68BA">
        <w:rPr>
          <w:rFonts w:ascii="Verdana" w:hAnsi="Verdana"/>
          <w:color w:val="auto"/>
          <w:sz w:val="16"/>
          <w:szCs w:val="16"/>
        </w:rPr>
        <w:t>N</w:t>
      </w:r>
      <w:r w:rsidR="00A61C0C" w:rsidRPr="00CD68BA">
        <w:rPr>
          <w:rFonts w:ascii="Verdana" w:hAnsi="Verdana"/>
          <w:color w:val="auto"/>
          <w:sz w:val="16"/>
          <w:szCs w:val="16"/>
        </w:rPr>
        <w:t>.</w:t>
      </w:r>
      <w:r w:rsidRPr="00CD68BA">
        <w:rPr>
          <w:rFonts w:ascii="Verdana" w:hAnsi="Verdana"/>
          <w:color w:val="auto"/>
          <w:sz w:val="16"/>
          <w:szCs w:val="16"/>
        </w:rPr>
        <w:t xml:space="preserve"> para los días 15 de febrero de 2001 y 3 de mayo de 2001 (expediente de prueba, folios 2503 a 2504), y Certifica</w:t>
      </w:r>
      <w:r w:rsidR="00B4522D" w:rsidRPr="00CD68BA">
        <w:rPr>
          <w:rFonts w:ascii="Verdana" w:hAnsi="Verdana"/>
          <w:color w:val="auto"/>
          <w:sz w:val="16"/>
          <w:szCs w:val="16"/>
        </w:rPr>
        <w:t xml:space="preserve">ción </w:t>
      </w:r>
      <w:r w:rsidRPr="00CD68BA">
        <w:rPr>
          <w:rFonts w:ascii="Verdana" w:hAnsi="Verdana"/>
          <w:color w:val="auto"/>
          <w:sz w:val="16"/>
          <w:szCs w:val="16"/>
        </w:rPr>
        <w:t xml:space="preserve">de </w:t>
      </w:r>
      <w:r w:rsidR="004D73F3" w:rsidRPr="00CD68BA">
        <w:rPr>
          <w:rFonts w:ascii="Verdana" w:hAnsi="Verdana"/>
          <w:color w:val="auto"/>
          <w:sz w:val="16"/>
          <w:szCs w:val="16"/>
        </w:rPr>
        <w:t>cosa</w:t>
      </w:r>
      <w:r w:rsidRPr="00CD68BA">
        <w:rPr>
          <w:rFonts w:ascii="Verdana" w:hAnsi="Verdana"/>
          <w:color w:val="auto"/>
          <w:sz w:val="16"/>
          <w:szCs w:val="16"/>
        </w:rPr>
        <w:t xml:space="preserve"> juzgad</w:t>
      </w:r>
      <w:r w:rsidR="004D73F3" w:rsidRPr="00CD68BA">
        <w:rPr>
          <w:rFonts w:ascii="Verdana" w:hAnsi="Verdana"/>
          <w:color w:val="auto"/>
          <w:sz w:val="16"/>
          <w:szCs w:val="16"/>
        </w:rPr>
        <w:t>a</w:t>
      </w:r>
      <w:r w:rsidRPr="00CD68BA">
        <w:rPr>
          <w:rFonts w:ascii="Verdana" w:hAnsi="Verdana"/>
          <w:color w:val="auto"/>
          <w:sz w:val="16"/>
          <w:szCs w:val="16"/>
        </w:rPr>
        <w:t xml:space="preserve"> de la sentencia de “</w:t>
      </w:r>
      <w:r w:rsidRPr="00CD68BA">
        <w:rPr>
          <w:rFonts w:ascii="Verdana" w:hAnsi="Verdana"/>
          <w:i/>
          <w:iCs/>
          <w:color w:val="auto"/>
          <w:sz w:val="16"/>
          <w:szCs w:val="16"/>
        </w:rPr>
        <w:t>pronúncia</w:t>
      </w:r>
      <w:r w:rsidRPr="00CD68BA">
        <w:rPr>
          <w:rFonts w:ascii="Verdana" w:hAnsi="Verdana"/>
          <w:color w:val="auto"/>
          <w:sz w:val="16"/>
          <w:szCs w:val="16"/>
        </w:rPr>
        <w:t>” de M</w:t>
      </w:r>
      <w:r w:rsidR="00A61C0C" w:rsidRPr="00CD68BA">
        <w:rPr>
          <w:rFonts w:ascii="Verdana" w:hAnsi="Verdana"/>
          <w:color w:val="auto"/>
          <w:sz w:val="16"/>
          <w:szCs w:val="16"/>
        </w:rPr>
        <w:t>.</w:t>
      </w:r>
      <w:r w:rsidRPr="00CD68BA">
        <w:rPr>
          <w:rFonts w:ascii="Verdana" w:hAnsi="Verdana"/>
          <w:color w:val="auto"/>
          <w:sz w:val="16"/>
          <w:szCs w:val="16"/>
        </w:rPr>
        <w:t>C</w:t>
      </w:r>
      <w:r w:rsidR="00A61C0C" w:rsidRPr="00CD68BA">
        <w:rPr>
          <w:rFonts w:ascii="Verdana" w:hAnsi="Verdana"/>
          <w:color w:val="auto"/>
          <w:sz w:val="16"/>
          <w:szCs w:val="16"/>
        </w:rPr>
        <w:t>.</w:t>
      </w:r>
      <w:r w:rsidRPr="00CD68BA">
        <w:rPr>
          <w:rFonts w:ascii="Verdana" w:hAnsi="Verdana"/>
          <w:color w:val="auto"/>
          <w:sz w:val="16"/>
          <w:szCs w:val="16"/>
        </w:rPr>
        <w:t>N</w:t>
      </w:r>
      <w:r w:rsidR="00A61C0C" w:rsidRPr="00CD68BA">
        <w:rPr>
          <w:rFonts w:ascii="Verdana" w:hAnsi="Verdana"/>
          <w:color w:val="auto"/>
          <w:sz w:val="16"/>
          <w:szCs w:val="16"/>
        </w:rPr>
        <w:t>.</w:t>
      </w:r>
      <w:r w:rsidRPr="00CD68BA">
        <w:rPr>
          <w:rFonts w:ascii="Verdana" w:hAnsi="Verdana"/>
          <w:color w:val="auto"/>
          <w:sz w:val="16"/>
          <w:szCs w:val="16"/>
        </w:rPr>
        <w:t xml:space="preserve"> de 7 de enero de 2002 (expediente de prueba, folio 2508).</w:t>
      </w:r>
    </w:p>
  </w:footnote>
  <w:footnote w:id="103">
    <w:p w14:paraId="13D898D8" w14:textId="1F1A6159"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Auto susc</w:t>
      </w:r>
      <w:r w:rsidR="00336679" w:rsidRPr="00CD68BA">
        <w:rPr>
          <w:szCs w:val="16"/>
          <w:lang w:val="es-CR"/>
        </w:rPr>
        <w:t>r</w:t>
      </w:r>
      <w:r w:rsidRPr="00CD68BA">
        <w:rPr>
          <w:szCs w:val="16"/>
          <w:lang w:val="es-CR"/>
        </w:rPr>
        <w:t>ito por el juez de Derecho designado el 26 de marzo de 2002 (expediente de prueba, folio 2515).</w:t>
      </w:r>
    </w:p>
  </w:footnote>
  <w:footnote w:id="104">
    <w:p w14:paraId="776C4F56" w14:textId="77777777"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Mandamiento de notificación No. 247/2002 de 7 de mayo de 2002 (expediente de prueba, folio 2533).</w:t>
      </w:r>
    </w:p>
  </w:footnote>
  <w:footnote w:id="105">
    <w:p w14:paraId="112C9147" w14:textId="77777777"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Certificado del Oficial de Justicia de 21 de mayo de 2002 (expediente de prueba, folio 2534).</w:t>
      </w:r>
    </w:p>
  </w:footnote>
  <w:footnote w:id="106">
    <w:p w14:paraId="75CE0E28" w14:textId="55378EB9"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Exhorto de 2 de marzo de 2022 (expediente de prueba, folio 2516); y Certificado de imposibilidad de intimar a M</w:t>
      </w:r>
      <w:r w:rsidR="00817B97" w:rsidRPr="00CD68BA">
        <w:rPr>
          <w:szCs w:val="16"/>
          <w:lang w:val="es-CR"/>
        </w:rPr>
        <w:t>.</w:t>
      </w:r>
      <w:r w:rsidRPr="00CD68BA">
        <w:rPr>
          <w:szCs w:val="16"/>
          <w:lang w:val="es-CR"/>
        </w:rPr>
        <w:t>C</w:t>
      </w:r>
      <w:r w:rsidR="00817B97" w:rsidRPr="00CD68BA">
        <w:rPr>
          <w:szCs w:val="16"/>
          <w:lang w:val="es-CR"/>
        </w:rPr>
        <w:t>.</w:t>
      </w:r>
      <w:r w:rsidRPr="00CD68BA">
        <w:rPr>
          <w:szCs w:val="16"/>
          <w:lang w:val="es-CR"/>
        </w:rPr>
        <w:t>N</w:t>
      </w:r>
      <w:r w:rsidR="00817B97" w:rsidRPr="00CD68BA">
        <w:rPr>
          <w:szCs w:val="16"/>
          <w:lang w:val="es-CR"/>
        </w:rPr>
        <w:t>.</w:t>
      </w:r>
      <w:r w:rsidRPr="00CD68BA">
        <w:rPr>
          <w:szCs w:val="16"/>
          <w:lang w:val="es-CR"/>
        </w:rPr>
        <w:t xml:space="preserve"> de 11 de abril de 2002 (expediente de prueba, folio 2518); Exhorto de 30 de abril de 2002 (expediente de prueba, folio 2520), y Certificado de imposibilidad de intimar a M</w:t>
      </w:r>
      <w:r w:rsidR="00817B97" w:rsidRPr="00CD68BA">
        <w:rPr>
          <w:szCs w:val="16"/>
          <w:lang w:val="es-CR"/>
        </w:rPr>
        <w:t>.</w:t>
      </w:r>
      <w:r w:rsidRPr="00CD68BA">
        <w:rPr>
          <w:szCs w:val="16"/>
          <w:lang w:val="es-CR"/>
        </w:rPr>
        <w:t>C</w:t>
      </w:r>
      <w:r w:rsidR="00817B97" w:rsidRPr="00CD68BA">
        <w:rPr>
          <w:szCs w:val="16"/>
          <w:lang w:val="es-CR"/>
        </w:rPr>
        <w:t>.</w:t>
      </w:r>
      <w:r w:rsidRPr="00CD68BA">
        <w:rPr>
          <w:szCs w:val="16"/>
          <w:lang w:val="es-CR"/>
        </w:rPr>
        <w:t>N</w:t>
      </w:r>
      <w:r w:rsidR="00817B97" w:rsidRPr="00CD68BA">
        <w:rPr>
          <w:szCs w:val="16"/>
          <w:lang w:val="es-CR"/>
        </w:rPr>
        <w:t>.</w:t>
      </w:r>
      <w:r w:rsidRPr="00CD68BA">
        <w:rPr>
          <w:szCs w:val="16"/>
          <w:lang w:val="es-CR"/>
        </w:rPr>
        <w:t xml:space="preserve"> de 20 de mayo de 2002 (expediente de prueba, folio 2521).</w:t>
      </w:r>
    </w:p>
  </w:footnote>
  <w:footnote w:id="107">
    <w:p w14:paraId="7D020BAA" w14:textId="4F6B3303"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Orden de prisión preventiva No. 0272/2002 de 23 de mayo de 2002 (expediente de prueba, folio 2541)</w:t>
      </w:r>
      <w:r w:rsidR="00115520" w:rsidRPr="00CD68BA">
        <w:rPr>
          <w:szCs w:val="16"/>
          <w:lang w:val="es-CR"/>
        </w:rPr>
        <w:t>, y</w:t>
      </w:r>
      <w:r w:rsidRPr="00CD68BA">
        <w:rPr>
          <w:szCs w:val="16"/>
          <w:lang w:val="es-CR"/>
        </w:rPr>
        <w:t xml:space="preserve"> Decisión emitida por el juez de Derecho designado el 23 de mayo de 2002 (expediente de prueba, folio 2536 a 2538). </w:t>
      </w:r>
    </w:p>
  </w:footnote>
  <w:footnote w:id="108">
    <w:p w14:paraId="528671C4" w14:textId="2501678B"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004752D0" w:rsidRPr="00CD68BA">
        <w:rPr>
          <w:szCs w:val="16"/>
          <w:lang w:val="es-CR"/>
        </w:rPr>
        <w:t xml:space="preserve">Poder de representación a favor de Jose Batista Gonçalves Afonso </w:t>
      </w:r>
      <w:r w:rsidRPr="00CD68BA">
        <w:rPr>
          <w:szCs w:val="16"/>
          <w:lang w:val="es-CR"/>
        </w:rPr>
        <w:t>de</w:t>
      </w:r>
      <w:r w:rsidR="004752D0" w:rsidRPr="00CD68BA">
        <w:rPr>
          <w:szCs w:val="16"/>
          <w:lang w:val="es-CR"/>
        </w:rPr>
        <w:t xml:space="preserve"> </w:t>
      </w:r>
      <w:r w:rsidRPr="00CD68BA">
        <w:rPr>
          <w:szCs w:val="16"/>
          <w:lang w:val="es-CR"/>
        </w:rPr>
        <w:t>1 de junio de 2002 (expediente de prueba, folio</w:t>
      </w:r>
      <w:r w:rsidR="004752D0" w:rsidRPr="00CD68BA">
        <w:rPr>
          <w:szCs w:val="16"/>
          <w:lang w:val="es-CR"/>
        </w:rPr>
        <w:t>s</w:t>
      </w:r>
      <w:r w:rsidRPr="00CD68BA">
        <w:rPr>
          <w:szCs w:val="16"/>
          <w:lang w:val="es-CR"/>
        </w:rPr>
        <w:t xml:space="preserve"> 2528 a 25</w:t>
      </w:r>
      <w:r w:rsidR="004752D0" w:rsidRPr="00CD68BA">
        <w:rPr>
          <w:szCs w:val="16"/>
          <w:lang w:val="es-CR"/>
        </w:rPr>
        <w:t>2</w:t>
      </w:r>
      <w:r w:rsidRPr="00CD68BA">
        <w:rPr>
          <w:szCs w:val="16"/>
          <w:lang w:val="es-CR"/>
        </w:rPr>
        <w:t xml:space="preserve">9). El 22 de abril de 2002, un mes antes del juicio por jurado, el abogado que actuaba en calidad de parte contingente se recusó del proceso porque había sido nombrado Procurador General del Municipio de Marabá. </w:t>
      </w:r>
      <w:r w:rsidRPr="00CD68BA">
        <w:rPr>
          <w:i/>
          <w:iCs/>
          <w:szCs w:val="16"/>
          <w:lang w:val="es-CR"/>
        </w:rPr>
        <w:t>Cfr.</w:t>
      </w:r>
      <w:r w:rsidRPr="00CD68BA">
        <w:rPr>
          <w:szCs w:val="16"/>
          <w:lang w:val="es-CR"/>
        </w:rPr>
        <w:t xml:space="preserve"> Nombramiento del entonces abogado de Rafael Sales Pimenta de </w:t>
      </w:r>
      <w:r w:rsidR="00817B97" w:rsidRPr="00CD68BA">
        <w:rPr>
          <w:szCs w:val="16"/>
          <w:lang w:val="es-CR"/>
        </w:rPr>
        <w:t>6</w:t>
      </w:r>
      <w:r w:rsidRPr="00CD68BA">
        <w:rPr>
          <w:szCs w:val="16"/>
          <w:lang w:val="es-CR"/>
        </w:rPr>
        <w:t xml:space="preserve"> de febrero de 2002 (expediente de prueba, folio 2526), y Petición del entonces abogado de Rafael Sales Pimenta de 22 de abril de 2002 (expediente de prueba, folio 2525). </w:t>
      </w:r>
    </w:p>
  </w:footnote>
  <w:footnote w:id="109">
    <w:p w14:paraId="0AC75388" w14:textId="77777777" w:rsidR="00E060D0" w:rsidRPr="00CD68BA" w:rsidRDefault="00E060D0" w:rsidP="00D12B21">
      <w:pPr>
        <w:pStyle w:val="Default"/>
        <w:spacing w:after="60"/>
        <w:jc w:val="both"/>
        <w:rPr>
          <w:rFonts w:ascii="Verdana" w:hAnsi="Verdana"/>
          <w:color w:val="auto"/>
          <w:sz w:val="16"/>
          <w:szCs w:val="16"/>
        </w:rPr>
      </w:pPr>
      <w:r w:rsidRPr="00CD68BA">
        <w:rPr>
          <w:rStyle w:val="Refdenotaalpie"/>
          <w:rFonts w:ascii="Verdana" w:hAnsi="Verdana"/>
          <w:color w:val="auto"/>
          <w:sz w:val="16"/>
          <w:szCs w:val="16"/>
        </w:rPr>
        <w:footnoteRef/>
      </w:r>
      <w:r w:rsidRPr="00CD68BA">
        <w:rPr>
          <w:rFonts w:ascii="Verdana" w:hAnsi="Verdana"/>
          <w:color w:val="auto"/>
          <w:sz w:val="16"/>
          <w:szCs w:val="16"/>
        </w:rPr>
        <w:t xml:space="preserve"> </w:t>
      </w:r>
      <w:r w:rsidRPr="00CD68BA">
        <w:rPr>
          <w:rFonts w:ascii="Verdana" w:hAnsi="Verdana"/>
          <w:color w:val="auto"/>
          <w:sz w:val="16"/>
          <w:szCs w:val="16"/>
        </w:rPr>
        <w:tab/>
      </w:r>
      <w:r w:rsidRPr="00CD68BA">
        <w:rPr>
          <w:rFonts w:ascii="Verdana" w:hAnsi="Verdana"/>
          <w:i/>
          <w:iCs/>
          <w:color w:val="auto"/>
          <w:sz w:val="16"/>
          <w:szCs w:val="16"/>
        </w:rPr>
        <w:t>Cfr</w:t>
      </w:r>
      <w:r w:rsidRPr="00CD68BA">
        <w:rPr>
          <w:rFonts w:ascii="Verdana" w:hAnsi="Verdana"/>
          <w:color w:val="auto"/>
          <w:sz w:val="16"/>
          <w:szCs w:val="16"/>
        </w:rPr>
        <w:t>. Resolución de incompetencia emitida por la jueza de Derecho substituta del Cuarto Juzgado el 20 de febrero de 2004 (expediente de prueba, folio 2543).</w:t>
      </w:r>
    </w:p>
  </w:footnote>
  <w:footnote w:id="110">
    <w:p w14:paraId="1BDC4E64" w14:textId="7C823FCF" w:rsidR="00E060D0" w:rsidRPr="00CD68BA" w:rsidRDefault="00E060D0" w:rsidP="00D12B21">
      <w:pPr>
        <w:pStyle w:val="Default"/>
        <w:spacing w:after="60"/>
        <w:jc w:val="both"/>
        <w:rPr>
          <w:rFonts w:ascii="Verdana" w:hAnsi="Verdana"/>
          <w:color w:val="auto"/>
          <w:sz w:val="16"/>
          <w:szCs w:val="16"/>
        </w:rPr>
      </w:pPr>
      <w:r w:rsidRPr="00CD68BA">
        <w:rPr>
          <w:rStyle w:val="Refdenotaalpie"/>
          <w:rFonts w:ascii="Verdana" w:hAnsi="Verdana"/>
          <w:color w:val="auto"/>
          <w:sz w:val="16"/>
          <w:szCs w:val="16"/>
        </w:rPr>
        <w:footnoteRef/>
      </w:r>
      <w:r w:rsidRPr="00CD68BA">
        <w:rPr>
          <w:rFonts w:ascii="Verdana" w:hAnsi="Verdana"/>
          <w:color w:val="auto"/>
          <w:sz w:val="16"/>
          <w:szCs w:val="16"/>
        </w:rPr>
        <w:t xml:space="preserve"> </w:t>
      </w:r>
      <w:r w:rsidRPr="00CD68BA">
        <w:rPr>
          <w:rFonts w:ascii="Verdana" w:hAnsi="Verdana"/>
          <w:color w:val="auto"/>
          <w:sz w:val="16"/>
          <w:szCs w:val="16"/>
        </w:rPr>
        <w:tab/>
      </w:r>
      <w:r w:rsidRPr="00CD68BA">
        <w:rPr>
          <w:rFonts w:ascii="Verdana" w:hAnsi="Verdana"/>
          <w:i/>
          <w:iCs/>
          <w:color w:val="auto"/>
          <w:sz w:val="16"/>
          <w:szCs w:val="16"/>
        </w:rPr>
        <w:t>Cfr</w:t>
      </w:r>
      <w:r w:rsidRPr="00CD68BA">
        <w:rPr>
          <w:rFonts w:ascii="Verdana" w:hAnsi="Verdana"/>
          <w:color w:val="auto"/>
          <w:sz w:val="16"/>
          <w:szCs w:val="16"/>
        </w:rPr>
        <w:t xml:space="preserve">. Carta No. 200/04-VA de 7 de julio de 2004 (expediente de prueba, folio 2548). </w:t>
      </w:r>
    </w:p>
  </w:footnote>
  <w:footnote w:id="111">
    <w:p w14:paraId="6DB81ED4" w14:textId="31586B3A"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730EE0" w:rsidRPr="00CD68BA">
        <w:rPr>
          <w:szCs w:val="16"/>
          <w:lang w:val="es-CR"/>
        </w:rPr>
        <w:t>Oficio No. 367/200/04-VA suscrito por el Comisario de</w:t>
      </w:r>
      <w:r w:rsidR="00B1472F" w:rsidRPr="00CD68BA">
        <w:rPr>
          <w:szCs w:val="16"/>
          <w:lang w:val="es-CR"/>
        </w:rPr>
        <w:t xml:space="preserve"> la Secretaría de Ingresos Federales </w:t>
      </w:r>
      <w:r w:rsidR="00730EE0" w:rsidRPr="00CD68BA">
        <w:rPr>
          <w:szCs w:val="16"/>
          <w:lang w:val="es-CR"/>
        </w:rPr>
        <w:t>(“</w:t>
      </w:r>
      <w:r w:rsidR="00730EE0" w:rsidRPr="00CD68BA">
        <w:rPr>
          <w:i/>
          <w:iCs/>
          <w:szCs w:val="16"/>
          <w:lang w:val="es-CR"/>
        </w:rPr>
        <w:t>Receita Federal”)</w:t>
      </w:r>
      <w:r w:rsidR="00730EE0" w:rsidRPr="00CD68BA">
        <w:rPr>
          <w:szCs w:val="16"/>
          <w:lang w:val="es-CR"/>
        </w:rPr>
        <w:t xml:space="preserve"> el 4 de agosto de 2004 (expediente de prueba, folio 2549)</w:t>
      </w:r>
      <w:r w:rsidR="00061165" w:rsidRPr="00CD68BA">
        <w:rPr>
          <w:szCs w:val="16"/>
          <w:lang w:val="es-CR"/>
        </w:rPr>
        <w:t>.</w:t>
      </w:r>
    </w:p>
  </w:footnote>
  <w:footnote w:id="112">
    <w:p w14:paraId="2D0D39A2" w14:textId="668F381E" w:rsidR="002C221B" w:rsidRPr="00CD68BA" w:rsidRDefault="002C221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Decisión emitida por el juez de Derecho Sustituto de la Región Agraria de Marabá el 28 de julio de 2005 (expediente de prueba, folios 2545 a 2546).</w:t>
      </w:r>
    </w:p>
  </w:footnote>
  <w:footnote w:id="113">
    <w:p w14:paraId="7DA8EC58" w14:textId="7BFE82F0"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2C221B" w:rsidRPr="00CD68BA">
        <w:rPr>
          <w:szCs w:val="16"/>
          <w:lang w:val="es-CR"/>
        </w:rPr>
        <w:t xml:space="preserve">Decisión emitida por el juez de Derecho Sustituto del </w:t>
      </w:r>
      <w:r w:rsidR="00C62C47" w:rsidRPr="00CD68BA">
        <w:rPr>
          <w:szCs w:val="16"/>
          <w:lang w:val="es-CR"/>
        </w:rPr>
        <w:t xml:space="preserve">Cuarto </w:t>
      </w:r>
      <w:r w:rsidR="002C221B" w:rsidRPr="00CD68BA">
        <w:rPr>
          <w:szCs w:val="16"/>
          <w:lang w:val="es-CR"/>
        </w:rPr>
        <w:t xml:space="preserve">Juzgado Penal del Distrito Judicial de Marabá el 18 de noviembre de 2005 (expediente de prueba, folio 2552), y </w:t>
      </w:r>
      <w:r w:rsidR="00C62C47" w:rsidRPr="00CD68BA">
        <w:rPr>
          <w:szCs w:val="16"/>
          <w:lang w:val="es-CR"/>
        </w:rPr>
        <w:t>Orden</w:t>
      </w:r>
      <w:r w:rsidR="002C221B" w:rsidRPr="00CD68BA">
        <w:rPr>
          <w:szCs w:val="16"/>
          <w:lang w:val="es-CR"/>
        </w:rPr>
        <w:t xml:space="preserve"> de prisión preventiva de 21 de noviembre de 2005 (expediente de prueba, folio 2554).</w:t>
      </w:r>
    </w:p>
  </w:footnote>
  <w:footnote w:id="114">
    <w:p w14:paraId="547FEB1F" w14:textId="6DF22E3E"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D31C0F" w:rsidRPr="00CD68BA">
        <w:rPr>
          <w:szCs w:val="16"/>
          <w:lang w:val="es-CR"/>
        </w:rPr>
        <w:t xml:space="preserve">Exhorto suscrito por el juez de Derecho Sustituto en ejercicio del </w:t>
      </w:r>
      <w:r w:rsidR="00F5600E" w:rsidRPr="00CD68BA">
        <w:rPr>
          <w:szCs w:val="16"/>
          <w:lang w:val="es-CR"/>
        </w:rPr>
        <w:t>Cuarto</w:t>
      </w:r>
      <w:r w:rsidR="00D31C0F" w:rsidRPr="00CD68BA">
        <w:rPr>
          <w:szCs w:val="16"/>
          <w:lang w:val="es-CR"/>
        </w:rPr>
        <w:t xml:space="preserve"> Juzgado Penal </w:t>
      </w:r>
      <w:r w:rsidR="00F5600E" w:rsidRPr="00CD68BA">
        <w:rPr>
          <w:szCs w:val="16"/>
          <w:lang w:val="es-CR"/>
        </w:rPr>
        <w:t xml:space="preserve">del Distrito Judicial de Marabá el 21 de noviembre de 2005 </w:t>
      </w:r>
      <w:r w:rsidR="00D31C0F" w:rsidRPr="00CD68BA">
        <w:rPr>
          <w:szCs w:val="16"/>
          <w:lang w:val="es-CR"/>
        </w:rPr>
        <w:t xml:space="preserve">(expediente de prueba, folio 2556). </w:t>
      </w:r>
    </w:p>
  </w:footnote>
  <w:footnote w:id="115">
    <w:p w14:paraId="4A6BE78B" w14:textId="7EE4E081"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954951" w:rsidRPr="00CD68BA">
        <w:rPr>
          <w:szCs w:val="16"/>
          <w:lang w:val="es-CR"/>
        </w:rPr>
        <w:t>Acta de la sesión del juicio por jurado de 15 de febrero de 2006 (expediente de prueba, folio 2587).</w:t>
      </w:r>
    </w:p>
  </w:footnote>
  <w:footnote w:id="116">
    <w:p w14:paraId="289E8CD3" w14:textId="6EA021CD"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 Cfr</w:t>
      </w:r>
      <w:r w:rsidRPr="00CD68BA">
        <w:rPr>
          <w:szCs w:val="16"/>
          <w:lang w:val="es-CR"/>
        </w:rPr>
        <w:t xml:space="preserve">. </w:t>
      </w:r>
      <w:r w:rsidR="00954951" w:rsidRPr="00CD68BA">
        <w:rPr>
          <w:szCs w:val="16"/>
          <w:lang w:val="es-CR"/>
        </w:rPr>
        <w:t>Acta de la sesión del juicio por jurado de 15 de febrero de 2006 (expediente de prueba, folio 2589)</w:t>
      </w:r>
      <w:r w:rsidR="00480790" w:rsidRPr="00CD68BA">
        <w:rPr>
          <w:szCs w:val="16"/>
          <w:lang w:val="es-CR"/>
        </w:rPr>
        <w:t>, y Cartas de respuesta del 13, 15, 16, 17, 20, 21, 23 y 31 de marzo de 2006 (expediente de prueba, folios 2597 a 2611).</w:t>
      </w:r>
    </w:p>
  </w:footnote>
  <w:footnote w:id="117">
    <w:p w14:paraId="658D3F82" w14:textId="4B987224"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480790" w:rsidRPr="00CD68BA">
        <w:rPr>
          <w:szCs w:val="16"/>
          <w:lang w:val="es-CR"/>
        </w:rPr>
        <w:t>Carta No. 45/2006-GAB/DPF.B/MBA/PA suscrito por el jefe de la Delegación de Policía Federal en Marabá el 24 de febrero de 2006 (expediente de prueba, folio 2613).</w:t>
      </w:r>
    </w:p>
  </w:footnote>
  <w:footnote w:id="118">
    <w:p w14:paraId="76CA5BA7" w14:textId="48B81529"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F93B08" w:rsidRPr="00CD68BA">
        <w:rPr>
          <w:szCs w:val="16"/>
          <w:lang w:val="es-CR"/>
        </w:rPr>
        <w:t xml:space="preserve">Carta suscrita por la abogada de M.C.N. el 6 de marzo de 2006 </w:t>
      </w:r>
      <w:r w:rsidR="00552FB3" w:rsidRPr="00CD68BA">
        <w:rPr>
          <w:szCs w:val="16"/>
          <w:lang w:val="es-CR"/>
        </w:rPr>
        <w:t xml:space="preserve">mediante el cual se remitió el poder otorgado por M.C.N, haciéndose constar a su vez su domicilio </w:t>
      </w:r>
      <w:r w:rsidR="00F93B08" w:rsidRPr="00CD68BA">
        <w:rPr>
          <w:szCs w:val="16"/>
          <w:lang w:val="es-CR"/>
        </w:rPr>
        <w:t>(expediente de prueba, folios 2615 a 2616).</w:t>
      </w:r>
    </w:p>
  </w:footnote>
  <w:footnote w:id="119">
    <w:p w14:paraId="4C2B186B" w14:textId="6CE3EB71"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552FB3" w:rsidRPr="00CD68BA">
        <w:rPr>
          <w:szCs w:val="16"/>
          <w:lang w:val="es-CR"/>
        </w:rPr>
        <w:t>Carta No. 085/2006-NO/DREX/SR/DPF/PA de 3 de abril de 2006 (expediente de prueba, folio 2618).</w:t>
      </w:r>
    </w:p>
  </w:footnote>
  <w:footnote w:id="120">
    <w:p w14:paraId="2C54995D" w14:textId="6C7D9A93"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E9722C" w:rsidRPr="00CD68BA">
        <w:rPr>
          <w:szCs w:val="16"/>
          <w:lang w:val="es-CR"/>
        </w:rPr>
        <w:t>Auto suscrito por el juez de Derecho Substituto del Cuarto Juzgado Penal del Distrito Judicial de Marabá el 5 de abril de 2006 (expediente de prueba, folio 2625).</w:t>
      </w:r>
    </w:p>
  </w:footnote>
  <w:footnote w:id="121">
    <w:p w14:paraId="58368055" w14:textId="633B4DC8" w:rsidR="00B80FF2" w:rsidRPr="00CD68BA" w:rsidRDefault="00B80FF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Los abogados alegaron la prescripción con base en los artículos 109 y 115 del Código Penal</w:t>
      </w:r>
      <w:r w:rsidR="000576D5" w:rsidRPr="00CD68BA">
        <w:rPr>
          <w:szCs w:val="16"/>
          <w:lang w:val="es-CR"/>
        </w:rPr>
        <w:t>. I</w:t>
      </w:r>
      <w:r w:rsidRPr="00CD68BA">
        <w:rPr>
          <w:szCs w:val="16"/>
          <w:lang w:val="es-CR"/>
        </w:rPr>
        <w:t xml:space="preserve">ndicaron que se había cumplido el plazo de prescripción porque el reo </w:t>
      </w:r>
      <w:r w:rsidR="00301AEA" w:rsidRPr="00CD68BA">
        <w:rPr>
          <w:szCs w:val="16"/>
          <w:lang w:val="es-CR"/>
        </w:rPr>
        <w:t xml:space="preserve">tenía más de </w:t>
      </w:r>
      <w:r w:rsidR="000576D5" w:rsidRPr="00CD68BA">
        <w:rPr>
          <w:szCs w:val="16"/>
          <w:lang w:val="es-CR"/>
        </w:rPr>
        <w:t>8</w:t>
      </w:r>
      <w:r w:rsidRPr="00CD68BA">
        <w:rPr>
          <w:szCs w:val="16"/>
          <w:lang w:val="es-CR"/>
        </w:rPr>
        <w:t xml:space="preserve">0 años y habían transcurrido más de diez años desde el último acto procesal. </w:t>
      </w:r>
      <w:r w:rsidR="00A811CE" w:rsidRPr="00CD68BA">
        <w:rPr>
          <w:szCs w:val="16"/>
          <w:lang w:val="es-CR"/>
        </w:rPr>
        <w:t>Expusieron que c</w:t>
      </w:r>
      <w:r w:rsidRPr="00CD68BA">
        <w:rPr>
          <w:szCs w:val="16"/>
          <w:lang w:val="es-CR"/>
        </w:rPr>
        <w:t xml:space="preserve">onforme al artículo 109, inciso I, el plazo máximo de prescripción de la pretensión punitiva con respecto al homicidio es de 20 años y, el artículo 115 del Código Penal reduce a la mitad los plazos de prescripción en los casos en que el </w:t>
      </w:r>
      <w:r w:rsidR="00301AEA" w:rsidRPr="00CD68BA">
        <w:rPr>
          <w:szCs w:val="16"/>
          <w:lang w:val="es-CR"/>
        </w:rPr>
        <w:t xml:space="preserve">condenado </w:t>
      </w:r>
      <w:r w:rsidRPr="00CD68BA">
        <w:rPr>
          <w:szCs w:val="16"/>
          <w:lang w:val="es-CR"/>
        </w:rPr>
        <w:t xml:space="preserve">tenga más de 70 años a la fecha de la sentencia. </w:t>
      </w:r>
      <w:r w:rsidRPr="00CD68BA">
        <w:rPr>
          <w:i/>
          <w:iCs/>
          <w:szCs w:val="16"/>
          <w:lang w:val="es-CR"/>
        </w:rPr>
        <w:t>Cfr</w:t>
      </w:r>
      <w:r w:rsidRPr="00CD68BA">
        <w:rPr>
          <w:szCs w:val="16"/>
          <w:lang w:val="es-CR"/>
        </w:rPr>
        <w:t xml:space="preserve">. Hábeas corpus </w:t>
      </w:r>
      <w:r w:rsidR="00A811CE" w:rsidRPr="00CD68BA">
        <w:rPr>
          <w:szCs w:val="16"/>
          <w:lang w:val="es-CR"/>
        </w:rPr>
        <w:t xml:space="preserve">interpuesto </w:t>
      </w:r>
      <w:r w:rsidRPr="00CD68BA">
        <w:rPr>
          <w:szCs w:val="16"/>
          <w:lang w:val="es-CR"/>
        </w:rPr>
        <w:t>a favor de M.C.N. e</w:t>
      </w:r>
      <w:r w:rsidR="00A811CE" w:rsidRPr="00CD68BA">
        <w:rPr>
          <w:szCs w:val="16"/>
          <w:lang w:val="es-CR"/>
        </w:rPr>
        <w:t>l</w:t>
      </w:r>
      <w:r w:rsidR="000576D5" w:rsidRPr="00CD68BA">
        <w:rPr>
          <w:szCs w:val="16"/>
          <w:lang w:val="es-CR"/>
        </w:rPr>
        <w:t xml:space="preserve"> </w:t>
      </w:r>
      <w:r w:rsidRPr="00CD68BA">
        <w:rPr>
          <w:szCs w:val="16"/>
          <w:lang w:val="es-CR"/>
        </w:rPr>
        <w:t>10 de abril de 2006</w:t>
      </w:r>
      <w:r w:rsidR="000576D5" w:rsidRPr="00CD68BA">
        <w:rPr>
          <w:szCs w:val="16"/>
          <w:lang w:val="es-CR"/>
        </w:rPr>
        <w:t xml:space="preserve"> </w:t>
      </w:r>
      <w:r w:rsidR="00552FB3" w:rsidRPr="00CD68BA">
        <w:rPr>
          <w:szCs w:val="16"/>
          <w:lang w:val="es-CR"/>
        </w:rPr>
        <w:t>(expediente de prueba, folios 2628 a 2640)</w:t>
      </w:r>
      <w:r w:rsidR="000576D5" w:rsidRPr="00CD68BA">
        <w:rPr>
          <w:szCs w:val="16"/>
          <w:lang w:val="es-CR"/>
        </w:rPr>
        <w:t>.</w:t>
      </w:r>
    </w:p>
  </w:footnote>
  <w:footnote w:id="122">
    <w:p w14:paraId="1D56CD82" w14:textId="6C8B7D3C"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Solicitud del Ministerio Público de 12 de abril de 2006 para que se decrete la prescripción </w:t>
      </w:r>
      <w:r w:rsidR="0072149B" w:rsidRPr="00CD68BA">
        <w:rPr>
          <w:szCs w:val="16"/>
          <w:lang w:val="es-CR"/>
        </w:rPr>
        <w:t>(expediente de prueba, folios 2643 a 2644).</w:t>
      </w:r>
    </w:p>
  </w:footnote>
  <w:footnote w:id="123">
    <w:p w14:paraId="2616B2A5" w14:textId="28DD92C1"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931D2D" w:rsidRPr="00CD68BA">
        <w:rPr>
          <w:i/>
          <w:iCs/>
          <w:szCs w:val="16"/>
          <w:lang w:val="es-CR"/>
        </w:rPr>
        <w:t xml:space="preserve">Cfr. </w:t>
      </w:r>
      <w:r w:rsidR="00931D2D" w:rsidRPr="00CD68BA">
        <w:rPr>
          <w:szCs w:val="16"/>
          <w:lang w:val="es-CR"/>
        </w:rPr>
        <w:t>Escrito de la Comisión Pastoral de la Tierra en el cual se refiere sobre la solicitud de prescripción</w:t>
      </w:r>
      <w:r w:rsidR="006879A8" w:rsidRPr="00CD68BA">
        <w:rPr>
          <w:szCs w:val="16"/>
          <w:lang w:val="es-CR"/>
        </w:rPr>
        <w:t>, recibida el</w:t>
      </w:r>
      <w:r w:rsidR="00931D2D" w:rsidRPr="00CD68BA">
        <w:rPr>
          <w:szCs w:val="16"/>
          <w:lang w:val="es-CR"/>
        </w:rPr>
        <w:t xml:space="preserve"> 20 de abril de 2006 (expediente de prueba, folios 264</w:t>
      </w:r>
      <w:r w:rsidR="006879A8" w:rsidRPr="00CD68BA">
        <w:rPr>
          <w:szCs w:val="16"/>
          <w:lang w:val="es-CR"/>
        </w:rPr>
        <w:t>6</w:t>
      </w:r>
      <w:r w:rsidR="00931D2D" w:rsidRPr="00CD68BA">
        <w:rPr>
          <w:szCs w:val="16"/>
          <w:lang w:val="es-CR"/>
        </w:rPr>
        <w:t xml:space="preserve"> a 2650).</w:t>
      </w:r>
    </w:p>
  </w:footnote>
  <w:footnote w:id="124">
    <w:p w14:paraId="4FD0232E" w14:textId="40756DD4"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6879A8" w:rsidRPr="00CD68BA">
        <w:rPr>
          <w:szCs w:val="16"/>
          <w:lang w:val="es-CR"/>
        </w:rPr>
        <w:t>Decisión emitida por el Cuarto Juzgado Penal del Distrito Judicial de Marabá el 2 de mayo de 2006 (expediente de prueba, folios 2652 a 2665).</w:t>
      </w:r>
    </w:p>
  </w:footnote>
  <w:footnote w:id="125">
    <w:p w14:paraId="7EE2813C" w14:textId="1996FD78" w:rsidR="00E060D0" w:rsidRPr="00CD68BA" w:rsidRDefault="00E060D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AD7581" w:rsidRPr="00CD68BA">
        <w:rPr>
          <w:szCs w:val="16"/>
          <w:lang w:val="es-CR"/>
        </w:rPr>
        <w:t xml:space="preserve">Oficio emitido por la Presidenta de las Cámaras Penales Reunidas el 8 de mayo de 2006 mediante el cual comunica la decisión emitida (expediente de prueba, folio 2667); Orden de </w:t>
      </w:r>
      <w:r w:rsidR="00D10597" w:rsidRPr="00CD68BA">
        <w:rPr>
          <w:szCs w:val="16"/>
          <w:lang w:val="es-CR"/>
        </w:rPr>
        <w:t>liberación</w:t>
      </w:r>
      <w:r w:rsidR="00AD7581" w:rsidRPr="00CD68BA">
        <w:rPr>
          <w:szCs w:val="16"/>
          <w:lang w:val="es-CR"/>
        </w:rPr>
        <w:t xml:space="preserve"> No. 028/2006 suscrita por la Presidenta de las Cámaras Penales Reunidas el 8 de mayo de 2006 (expediente de prueba, folio 2668). Publicación de la decisión de 8 de mayo de 2005 en el Diario Oficial del estado de Pará el 18 de mayo de 2006 (expediente de prueba, folio 2674).</w:t>
      </w:r>
    </w:p>
  </w:footnote>
  <w:footnote w:id="126">
    <w:p w14:paraId="645A82B1" w14:textId="5B8873D3" w:rsidR="006D082E" w:rsidRPr="00CD68BA" w:rsidRDefault="006D082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Decisión suscrita por el Inspector (“</w:t>
      </w:r>
      <w:r w:rsidRPr="00CD68BA">
        <w:rPr>
          <w:i/>
          <w:iCs/>
          <w:szCs w:val="16"/>
          <w:lang w:val="es-CR"/>
        </w:rPr>
        <w:t>Corregedo</w:t>
      </w:r>
      <w:r w:rsidRPr="00CD68BA">
        <w:rPr>
          <w:szCs w:val="16"/>
          <w:lang w:val="es-CR"/>
        </w:rPr>
        <w:t>r”) Nacional de Justicia el 12 de septiembre de 2008 (expediente de prueba, folio 6265), y Página de seguimiento del proceso No. 200710000004997 ante el Consejo Nacional de Justicia (expediente de prueba folios 2037 a 2038).</w:t>
      </w:r>
    </w:p>
  </w:footnote>
  <w:footnote w:id="127">
    <w:p w14:paraId="14C4C85B" w14:textId="037D6599" w:rsidR="00C03693" w:rsidRPr="00CD68BA" w:rsidRDefault="00C03693" w:rsidP="00D12B21">
      <w:pPr>
        <w:pStyle w:val="Textonotapie"/>
        <w:spacing w:before="0" w:after="60"/>
        <w:rPr>
          <w:i/>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Acción civil resarcitoria por daño moral interpuesta por Maria Da Gloria Sales Pimenta, </w:t>
      </w:r>
      <w:r w:rsidRPr="00CD68BA">
        <w:rPr>
          <w:i/>
          <w:iCs/>
          <w:szCs w:val="16"/>
          <w:lang w:val="es-CR"/>
        </w:rPr>
        <w:t>supra</w:t>
      </w:r>
      <w:r w:rsidRPr="00CD68BA">
        <w:rPr>
          <w:szCs w:val="16"/>
          <w:lang w:val="es-CR"/>
        </w:rPr>
        <w:t xml:space="preserve"> (expediente de prueba, folios </w:t>
      </w:r>
      <w:r w:rsidRPr="00CD68BA">
        <w:rPr>
          <w:rFonts w:cs="Arial"/>
          <w:szCs w:val="16"/>
          <w:lang w:val="es-CR"/>
        </w:rPr>
        <w:t>2711 a 2770).</w:t>
      </w:r>
    </w:p>
  </w:footnote>
  <w:footnote w:id="128">
    <w:p w14:paraId="2E2D0CE4" w14:textId="22769E2B" w:rsidR="004C7DF1" w:rsidRPr="00CD68BA" w:rsidRDefault="004C7DF1"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Sentencia emitida por el Tercer Juzgado Civil del Distrito Judicial de Marabá el 5 de octubre de 2011 (expediente de prueba, folio 2015).</w:t>
      </w:r>
    </w:p>
  </w:footnote>
  <w:footnote w:id="129">
    <w:p w14:paraId="048D7AF5" w14:textId="5086A94D" w:rsidR="003F629C" w:rsidRPr="00CD68BA" w:rsidRDefault="003F629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Acta de audiencia de instrucción y juzgamiento de 24 de marzo de 2011 (expediente de prueba, folios 2008 a 2012)</w:t>
      </w:r>
      <w:r w:rsidR="000B3782" w:rsidRPr="00CD68BA">
        <w:rPr>
          <w:szCs w:val="16"/>
          <w:lang w:val="es-CR"/>
        </w:rPr>
        <w:t xml:space="preserve">; </w:t>
      </w:r>
      <w:r w:rsidR="00CF285D" w:rsidRPr="00CD68BA">
        <w:rPr>
          <w:szCs w:val="16"/>
          <w:lang w:val="es-CR"/>
        </w:rPr>
        <w:t>Alegatos finales presentados por los abogados de Maria da Glória Sales Pimenta el 19 de agosto de 2011 (expediente de prueba, folios 5426 a 5434), y Alegatos finales presentados por los abogados de Maria da Glória Sales Pimenta el 16 de agosto de 2011 (expediente de prueba, folios 5435 a 5439)</w:t>
      </w:r>
    </w:p>
  </w:footnote>
  <w:footnote w:id="130">
    <w:p w14:paraId="5A3CE2F5" w14:textId="1A4A9B54" w:rsidR="00BD1F85" w:rsidRPr="00CD68BA" w:rsidRDefault="00BD1F8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Sentencia emitida por el Tercer Juzgado Civil del Distrito Judicial de Marabá</w:t>
      </w:r>
      <w:r w:rsidR="004C7DF1" w:rsidRPr="00CD68BA">
        <w:rPr>
          <w:szCs w:val="16"/>
          <w:lang w:val="es-CR"/>
        </w:rPr>
        <w:t xml:space="preserve">, </w:t>
      </w:r>
      <w:r w:rsidR="004C7DF1" w:rsidRPr="00CD68BA">
        <w:rPr>
          <w:i/>
          <w:iCs/>
          <w:szCs w:val="16"/>
          <w:lang w:val="es-CR"/>
        </w:rPr>
        <w:t xml:space="preserve">supra </w:t>
      </w:r>
      <w:r w:rsidR="00E46AEB" w:rsidRPr="00CD68BA">
        <w:rPr>
          <w:szCs w:val="16"/>
          <w:lang w:val="es-CR"/>
        </w:rPr>
        <w:t>(expediente de prueba, folio 2023).</w:t>
      </w:r>
    </w:p>
  </w:footnote>
  <w:footnote w:id="131">
    <w:p w14:paraId="671C1712" w14:textId="06449F0B" w:rsidR="002150D1" w:rsidRPr="00CD68BA" w:rsidRDefault="002150D1" w:rsidP="00D12B21">
      <w:pPr>
        <w:pStyle w:val="Textonotapie"/>
        <w:spacing w:before="0" w:after="60"/>
        <w:rPr>
          <w:color w:val="FF0000"/>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Decisión emitida por </w:t>
      </w:r>
      <w:r w:rsidR="006F3DF1" w:rsidRPr="00CD68BA">
        <w:rPr>
          <w:szCs w:val="16"/>
          <w:lang w:val="es-CR"/>
        </w:rPr>
        <w:t xml:space="preserve">la Quinta Sala Civil Aislada </w:t>
      </w:r>
      <w:r w:rsidR="00211B8B" w:rsidRPr="00CD68BA">
        <w:rPr>
          <w:szCs w:val="16"/>
          <w:lang w:val="es-CR"/>
        </w:rPr>
        <w:t xml:space="preserve">del Tribunal de Justicia del estado de Pará </w:t>
      </w:r>
      <w:r w:rsidRPr="00CD68BA">
        <w:rPr>
          <w:szCs w:val="16"/>
          <w:lang w:val="es-CR"/>
        </w:rPr>
        <w:t xml:space="preserve">el 2 de junio de 2016 (expediente de prueba, folios 2170 y 2181 a 2182). </w:t>
      </w:r>
    </w:p>
  </w:footnote>
  <w:footnote w:id="132">
    <w:p w14:paraId="227AF106" w14:textId="717F711E" w:rsidR="006F3DF1" w:rsidRPr="00CD68BA" w:rsidRDefault="006F3DF1"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0031260C" w:rsidRPr="00CD68BA">
        <w:rPr>
          <w:szCs w:val="16"/>
          <w:lang w:val="es-CR"/>
        </w:rPr>
        <w:t xml:space="preserve">Decisión </w:t>
      </w:r>
      <w:r w:rsidR="0062145F" w:rsidRPr="00CD68BA">
        <w:rPr>
          <w:szCs w:val="16"/>
          <w:lang w:val="es-CR"/>
        </w:rPr>
        <w:t>emitida por la</w:t>
      </w:r>
      <w:r w:rsidR="0031260C" w:rsidRPr="00CD68BA">
        <w:rPr>
          <w:szCs w:val="16"/>
          <w:lang w:val="es-CR"/>
        </w:rPr>
        <w:t xml:space="preserve"> Quinta Sala Civil Aislada del Tribunal de Justicia del estado de Pará el 30 de julio de 2012 (expediente de prueba, folio 2184</w:t>
      </w:r>
      <w:r w:rsidR="00A63A23" w:rsidRPr="00CD68BA">
        <w:rPr>
          <w:szCs w:val="16"/>
          <w:lang w:val="es-CR"/>
        </w:rPr>
        <w:t>)</w:t>
      </w:r>
      <w:r w:rsidR="0062145F" w:rsidRPr="00CD68BA">
        <w:rPr>
          <w:szCs w:val="16"/>
          <w:lang w:val="es-CR"/>
        </w:rPr>
        <w:t>; Decisión la Quinta Sala Civil Aislada del Tribunal de Justicia del estado de Pará el 15 de septiembre de 2016 (expediente de prueba, folios 6300 a 6305)</w:t>
      </w:r>
      <w:r w:rsidR="00B76983" w:rsidRPr="00CD68BA">
        <w:rPr>
          <w:szCs w:val="16"/>
          <w:lang w:val="es-CR"/>
        </w:rPr>
        <w:t xml:space="preserve">; Decisión </w:t>
      </w:r>
      <w:r w:rsidR="0087500E" w:rsidRPr="00CD68BA">
        <w:rPr>
          <w:szCs w:val="16"/>
          <w:lang w:val="es-CR"/>
        </w:rPr>
        <w:t>emitida por el Presidente del Tribunal de Justicia del estado de Pará el 26 de junio y 3 de octubre de 2017 (expediente de prueba, folios 6307 a 6318);</w:t>
      </w:r>
      <w:r w:rsidR="004F7571" w:rsidRPr="00CD68BA">
        <w:rPr>
          <w:szCs w:val="16"/>
          <w:lang w:val="es-CR"/>
        </w:rPr>
        <w:t>Decisión emitida por el Superior Tribunal de Justicia</w:t>
      </w:r>
      <w:r w:rsidR="0087500E" w:rsidRPr="00CD68BA">
        <w:rPr>
          <w:szCs w:val="16"/>
          <w:lang w:val="es-CR"/>
        </w:rPr>
        <w:t xml:space="preserve"> </w:t>
      </w:r>
      <w:r w:rsidR="00926160" w:rsidRPr="00CD68BA">
        <w:rPr>
          <w:szCs w:val="16"/>
          <w:lang w:val="es-CR"/>
        </w:rPr>
        <w:t xml:space="preserve">el </w:t>
      </w:r>
      <w:r w:rsidR="00837998" w:rsidRPr="00CD68BA">
        <w:rPr>
          <w:szCs w:val="16"/>
          <w:lang w:val="es-CR"/>
        </w:rPr>
        <w:t xml:space="preserve">29 de julio de 2018 </w:t>
      </w:r>
      <w:r w:rsidR="00926160" w:rsidRPr="00CD68BA">
        <w:rPr>
          <w:szCs w:val="16"/>
          <w:lang w:val="es-CR"/>
        </w:rPr>
        <w:t>(expediente de prueba, folios 6327 a 6328)</w:t>
      </w:r>
      <w:r w:rsidR="00837998" w:rsidRPr="00CD68BA">
        <w:rPr>
          <w:szCs w:val="16"/>
          <w:lang w:val="es-CR"/>
        </w:rPr>
        <w:t xml:space="preserve">, y Decisión emitida por el Superior Tribunal de Justicia el </w:t>
      </w:r>
      <w:r w:rsidR="00FC08DC" w:rsidRPr="00CD68BA">
        <w:rPr>
          <w:szCs w:val="16"/>
          <w:lang w:val="es-CR"/>
        </w:rPr>
        <w:t>8</w:t>
      </w:r>
      <w:r w:rsidR="00837998" w:rsidRPr="00CD68BA">
        <w:rPr>
          <w:szCs w:val="16"/>
          <w:lang w:val="es-CR"/>
        </w:rPr>
        <w:t xml:space="preserve"> de junio de 2021 (expediente de prueba, folio</w:t>
      </w:r>
      <w:r w:rsidR="00FC08DC" w:rsidRPr="00CD68BA">
        <w:rPr>
          <w:szCs w:val="16"/>
          <w:lang w:val="es-CR"/>
        </w:rPr>
        <w:t>s</w:t>
      </w:r>
      <w:r w:rsidR="00837998" w:rsidRPr="00CD68BA">
        <w:rPr>
          <w:szCs w:val="16"/>
          <w:lang w:val="es-CR"/>
        </w:rPr>
        <w:t xml:space="preserve"> 633</w:t>
      </w:r>
      <w:r w:rsidR="00FC08DC" w:rsidRPr="00CD68BA">
        <w:rPr>
          <w:szCs w:val="16"/>
          <w:lang w:val="es-CR"/>
        </w:rPr>
        <w:t>3 a 6334</w:t>
      </w:r>
      <w:r w:rsidR="00837998" w:rsidRPr="00CD68BA">
        <w:rPr>
          <w:szCs w:val="16"/>
          <w:lang w:val="es-CR"/>
        </w:rPr>
        <w:t>).</w:t>
      </w:r>
      <w:r w:rsidR="00926160" w:rsidRPr="00CD68BA">
        <w:rPr>
          <w:szCs w:val="16"/>
          <w:lang w:val="es-CR"/>
        </w:rPr>
        <w:t xml:space="preserve"> </w:t>
      </w:r>
    </w:p>
  </w:footnote>
  <w:footnote w:id="133">
    <w:p w14:paraId="7CD8D75E" w14:textId="52852587" w:rsidR="007D7C85" w:rsidRPr="00CD68BA" w:rsidRDefault="007D7C8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Certifica</w:t>
      </w:r>
      <w:r w:rsidR="00B4522D" w:rsidRPr="00CD68BA">
        <w:rPr>
          <w:szCs w:val="16"/>
          <w:lang w:val="es-CR"/>
        </w:rPr>
        <w:t>ción de co</w:t>
      </w:r>
      <w:r w:rsidR="004D73F3" w:rsidRPr="00CD68BA">
        <w:rPr>
          <w:szCs w:val="16"/>
          <w:lang w:val="es-CR"/>
        </w:rPr>
        <w:t>s</w:t>
      </w:r>
      <w:r w:rsidR="00B4522D" w:rsidRPr="00CD68BA">
        <w:rPr>
          <w:szCs w:val="16"/>
          <w:lang w:val="es-CR"/>
        </w:rPr>
        <w:t>a juzgada</w:t>
      </w:r>
      <w:r w:rsidR="009100E4" w:rsidRPr="00CD68BA">
        <w:rPr>
          <w:szCs w:val="16"/>
          <w:lang w:val="es-CR"/>
        </w:rPr>
        <w:t xml:space="preserve"> emitida dentro del proceso de a</w:t>
      </w:r>
      <w:r w:rsidRPr="00CD68BA">
        <w:rPr>
          <w:szCs w:val="16"/>
          <w:lang w:val="es-CR"/>
        </w:rPr>
        <w:t xml:space="preserve">cción de </w:t>
      </w:r>
      <w:r w:rsidR="009100E4" w:rsidRPr="00CD68BA">
        <w:rPr>
          <w:szCs w:val="16"/>
          <w:lang w:val="es-CR"/>
        </w:rPr>
        <w:t>i</w:t>
      </w:r>
      <w:r w:rsidRPr="00CD68BA">
        <w:rPr>
          <w:szCs w:val="16"/>
          <w:lang w:val="es-CR"/>
        </w:rPr>
        <w:t xml:space="preserve">ndemnización por </w:t>
      </w:r>
      <w:r w:rsidR="009100E4" w:rsidRPr="00CD68BA">
        <w:rPr>
          <w:szCs w:val="16"/>
          <w:lang w:val="es-CR"/>
        </w:rPr>
        <w:t>d</w:t>
      </w:r>
      <w:r w:rsidRPr="00CD68BA">
        <w:rPr>
          <w:szCs w:val="16"/>
          <w:lang w:val="es-CR"/>
        </w:rPr>
        <w:t xml:space="preserve">años </w:t>
      </w:r>
      <w:r w:rsidR="009100E4" w:rsidRPr="00CD68BA">
        <w:rPr>
          <w:szCs w:val="16"/>
          <w:lang w:val="es-CR"/>
        </w:rPr>
        <w:t>m</w:t>
      </w:r>
      <w:r w:rsidRPr="00CD68BA">
        <w:rPr>
          <w:szCs w:val="16"/>
          <w:lang w:val="es-CR"/>
        </w:rPr>
        <w:t xml:space="preserve">orales 0007348-91.2007.8.14.0028, </w:t>
      </w:r>
      <w:r w:rsidR="009100E4" w:rsidRPr="00CD68BA">
        <w:rPr>
          <w:szCs w:val="16"/>
          <w:lang w:val="es-CR"/>
        </w:rPr>
        <w:t xml:space="preserve">el </w:t>
      </w:r>
      <w:r w:rsidRPr="00CD68BA">
        <w:rPr>
          <w:szCs w:val="16"/>
          <w:lang w:val="es-CR"/>
        </w:rPr>
        <w:t>13 de septiembre de 2021</w:t>
      </w:r>
      <w:r w:rsidR="009100E4" w:rsidRPr="00CD68BA">
        <w:rPr>
          <w:szCs w:val="16"/>
          <w:lang w:val="es-CR"/>
        </w:rPr>
        <w:t xml:space="preserve"> (expediente de pru</w:t>
      </w:r>
      <w:r w:rsidR="00485DD4" w:rsidRPr="00CD68BA">
        <w:rPr>
          <w:szCs w:val="16"/>
          <w:lang w:val="es-CR"/>
        </w:rPr>
        <w:t>e</w:t>
      </w:r>
      <w:r w:rsidR="009100E4" w:rsidRPr="00CD68BA">
        <w:rPr>
          <w:szCs w:val="16"/>
          <w:lang w:val="es-CR"/>
        </w:rPr>
        <w:t>b</w:t>
      </w:r>
      <w:r w:rsidR="00485DD4" w:rsidRPr="00CD68BA">
        <w:rPr>
          <w:szCs w:val="16"/>
          <w:lang w:val="es-CR"/>
        </w:rPr>
        <w:t>a</w:t>
      </w:r>
      <w:r w:rsidR="009100E4" w:rsidRPr="00CD68BA">
        <w:rPr>
          <w:szCs w:val="16"/>
          <w:lang w:val="es-CR"/>
        </w:rPr>
        <w:t>, folio 8547)</w:t>
      </w:r>
    </w:p>
  </w:footnote>
  <w:footnote w:id="134">
    <w:p w14:paraId="2BA88AF8" w14:textId="286199D3" w:rsidR="00804DEE" w:rsidRPr="00CD68BA" w:rsidRDefault="00804DE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Esta Corte ha considerado que la calidad de defensor de derechos humanos radica en la labor que se realiza, con independencia de que la persona que lo haga sea un particular o un funcionario público. Al respecto, la Corte se ha referido a las actividades de vigilancia, denuncia y educación que realizan las defensoras y los defensores de derechos humanos, resaltando que la defensa de los derechos no sólo atiende a los derechos civiles y políticos, sino que abarca necesariamente los derechos económicos, sociales y culturales, de conformidad con los principios de universalidad, indivisibilidad e interdependencia. (</w:t>
      </w:r>
      <w:r w:rsidRPr="00CD68BA">
        <w:rPr>
          <w:i/>
          <w:iCs/>
          <w:szCs w:val="16"/>
          <w:lang w:val="es-CR"/>
        </w:rPr>
        <w:t>Cfr.</w:t>
      </w:r>
      <w:r w:rsidRPr="00CD68BA">
        <w:rPr>
          <w:szCs w:val="16"/>
          <w:lang w:val="es-CR"/>
        </w:rPr>
        <w:t xml:space="preserve"> </w:t>
      </w:r>
      <w:r w:rsidRPr="00CD68BA">
        <w:rPr>
          <w:i/>
          <w:iCs/>
          <w:szCs w:val="16"/>
          <w:lang w:val="es-CR"/>
        </w:rPr>
        <w:t>Caso Defensor de Derechos Humanos y otros Vs. Guatemala. Excepciones Preliminares, Fondo, Reparaciones y Costas.</w:t>
      </w:r>
      <w:r w:rsidRPr="00CD68BA">
        <w:rPr>
          <w:szCs w:val="16"/>
          <w:lang w:val="es-CR"/>
        </w:rPr>
        <w:t xml:space="preserve"> Sentencia de 28 de agosto de 2014. Serie C No. 283, párr. 129). Además, tal como lo consideró el perito Ren</w:t>
      </w:r>
      <w:r w:rsidR="00CF4168" w:rsidRPr="00CD68BA">
        <w:rPr>
          <w:szCs w:val="16"/>
          <w:lang w:val="es-CR"/>
        </w:rPr>
        <w:t>a</w:t>
      </w:r>
      <w:r w:rsidRPr="00CD68BA">
        <w:rPr>
          <w:szCs w:val="16"/>
          <w:lang w:val="es-CR"/>
        </w:rPr>
        <w:t>n Kalil, “los dirigentes de trabajadores, en la medida en que defienden los derechos e intereses de trabajadores y trabajadoras, desempeñan funciones de defensores de derechos humanos</w:t>
      </w:r>
      <w:r w:rsidR="00151381" w:rsidRPr="00CD68BA">
        <w:rPr>
          <w:szCs w:val="16"/>
          <w:lang w:val="es-CR"/>
        </w:rPr>
        <w:t xml:space="preserve"> […]</w:t>
      </w:r>
      <w:r w:rsidRPr="00CD68BA">
        <w:rPr>
          <w:szCs w:val="16"/>
          <w:lang w:val="es-CR"/>
        </w:rPr>
        <w:t xml:space="preserve">, [lo cual] implica la existencia de riesgos y amenazas por parte de actores no estatales, que pueden verse agravados por las normas sociales y los estereotipos”. </w:t>
      </w:r>
      <w:r w:rsidR="00646E39" w:rsidRPr="00CD68BA">
        <w:rPr>
          <w:szCs w:val="16"/>
          <w:lang w:val="es-CR"/>
        </w:rPr>
        <w:t>V</w:t>
      </w:r>
      <w:r w:rsidRPr="00CD68BA">
        <w:rPr>
          <w:szCs w:val="16"/>
          <w:lang w:val="es-CR"/>
        </w:rPr>
        <w:t xml:space="preserve">ersión escrita del peritaje </w:t>
      </w:r>
      <w:r w:rsidR="00884294" w:rsidRPr="00CD68BA">
        <w:rPr>
          <w:szCs w:val="16"/>
          <w:lang w:val="es-CR"/>
        </w:rPr>
        <w:t>de Ren</w:t>
      </w:r>
      <w:r w:rsidR="00CF4168" w:rsidRPr="00CD68BA">
        <w:rPr>
          <w:szCs w:val="16"/>
          <w:lang w:val="es-CR"/>
        </w:rPr>
        <w:t>a</w:t>
      </w:r>
      <w:r w:rsidR="00884294" w:rsidRPr="00CD68BA">
        <w:rPr>
          <w:szCs w:val="16"/>
          <w:lang w:val="es-CR"/>
        </w:rPr>
        <w:t xml:space="preserve">n Kalil </w:t>
      </w:r>
      <w:r w:rsidR="008E6F5B" w:rsidRPr="00CD68BA">
        <w:rPr>
          <w:szCs w:val="16"/>
          <w:lang w:val="es-CR"/>
        </w:rPr>
        <w:t>de 20 de abril</w:t>
      </w:r>
      <w:r w:rsidRPr="00CD68BA">
        <w:rPr>
          <w:szCs w:val="16"/>
          <w:lang w:val="es-CR"/>
        </w:rPr>
        <w:t xml:space="preserve"> de 2022</w:t>
      </w:r>
      <w:r w:rsidR="002370E0" w:rsidRPr="00CD68BA">
        <w:rPr>
          <w:szCs w:val="16"/>
          <w:lang w:val="es-CR"/>
        </w:rPr>
        <w:t xml:space="preserve"> (expediente de prueba, folios</w:t>
      </w:r>
      <w:r w:rsidR="00151381" w:rsidRPr="00CD68BA">
        <w:rPr>
          <w:szCs w:val="16"/>
          <w:lang w:val="es-CR"/>
        </w:rPr>
        <w:t xml:space="preserve"> 8697</w:t>
      </w:r>
      <w:r w:rsidR="002370E0" w:rsidRPr="00CD68BA">
        <w:rPr>
          <w:szCs w:val="16"/>
          <w:lang w:val="es-CR"/>
        </w:rPr>
        <w:t>)</w:t>
      </w:r>
      <w:r w:rsidRPr="00CD68BA">
        <w:rPr>
          <w:szCs w:val="16"/>
          <w:lang w:val="es-CR"/>
        </w:rPr>
        <w:t xml:space="preserve">. </w:t>
      </w:r>
    </w:p>
  </w:footnote>
  <w:footnote w:id="135">
    <w:p w14:paraId="64372CBE" w14:textId="44D3ACB3" w:rsidR="00A053DF" w:rsidRPr="00CD68BA" w:rsidRDefault="00A053DF"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Al respecto, </w:t>
      </w:r>
      <w:r w:rsidR="001B1BB4" w:rsidRPr="00CD68BA">
        <w:rPr>
          <w:szCs w:val="16"/>
          <w:lang w:val="es-CR"/>
        </w:rPr>
        <w:t xml:space="preserve">las autoridades estatales tenían conocimiento de la calidad de defensor de derechos humanos de Gabriel Sales Pimenta. </w:t>
      </w:r>
      <w:r w:rsidR="001B1BB4" w:rsidRPr="00CD68BA">
        <w:rPr>
          <w:i/>
          <w:iCs/>
          <w:szCs w:val="16"/>
          <w:lang w:val="es-CR"/>
        </w:rPr>
        <w:t>Cfr.</w:t>
      </w:r>
      <w:r w:rsidR="001B1BB4" w:rsidRPr="00CD68BA">
        <w:rPr>
          <w:szCs w:val="16"/>
          <w:lang w:val="es-CR"/>
        </w:rPr>
        <w:t xml:space="preserve"> </w:t>
      </w:r>
      <w:r w:rsidR="004C03F1" w:rsidRPr="00CD68BA">
        <w:rPr>
          <w:szCs w:val="16"/>
          <w:lang w:val="es-CR"/>
        </w:rPr>
        <w:t xml:space="preserve">Oficio No. ANATAG/15/82, </w:t>
      </w:r>
      <w:r w:rsidR="004C03F1" w:rsidRPr="00CD68BA">
        <w:rPr>
          <w:i/>
          <w:iCs/>
          <w:szCs w:val="16"/>
          <w:lang w:val="es-CR"/>
        </w:rPr>
        <w:t xml:space="preserve">supra </w:t>
      </w:r>
      <w:r w:rsidR="001B1BB4" w:rsidRPr="00CD68BA">
        <w:rPr>
          <w:szCs w:val="16"/>
          <w:lang w:val="es-CR"/>
        </w:rPr>
        <w:t>(expediente de pruebas, folio</w:t>
      </w:r>
      <w:r w:rsidR="006452D6" w:rsidRPr="00CD68BA">
        <w:rPr>
          <w:szCs w:val="16"/>
          <w:lang w:val="es-CR"/>
        </w:rPr>
        <w:t>s 2202 a 2206</w:t>
      </w:r>
      <w:r w:rsidR="001B1BB4" w:rsidRPr="00CD68BA">
        <w:rPr>
          <w:szCs w:val="16"/>
          <w:lang w:val="es-CR"/>
        </w:rPr>
        <w:t>);</w:t>
      </w:r>
      <w:r w:rsidR="006452D6" w:rsidRPr="00CD68BA">
        <w:rPr>
          <w:szCs w:val="16"/>
          <w:lang w:val="es-CR"/>
        </w:rPr>
        <w:t xml:space="preserve"> </w:t>
      </w:r>
      <w:r w:rsidR="00E938FA" w:rsidRPr="00CD68BA">
        <w:rPr>
          <w:szCs w:val="16"/>
          <w:lang w:val="es-CR"/>
        </w:rPr>
        <w:t>Informe del Comisario de Policía Luiz Carlos de Carvalho de 8 de septiembre de 1982 (expediente de prueba, folios 2265 a 2267)</w:t>
      </w:r>
      <w:r w:rsidR="00761C9E" w:rsidRPr="00CD68BA">
        <w:rPr>
          <w:szCs w:val="16"/>
          <w:lang w:val="es-CR"/>
        </w:rPr>
        <w:t>, y</w:t>
      </w:r>
      <w:r w:rsidR="001B1BB4" w:rsidRPr="00CD68BA">
        <w:rPr>
          <w:szCs w:val="16"/>
          <w:lang w:val="es-CR"/>
        </w:rPr>
        <w:t xml:space="preserve"> </w:t>
      </w:r>
      <w:r w:rsidR="00371B43" w:rsidRPr="00CD68BA">
        <w:rPr>
          <w:szCs w:val="16"/>
          <w:lang w:val="es-CR"/>
        </w:rPr>
        <w:t xml:space="preserve">Acta de </w:t>
      </w:r>
      <w:r w:rsidR="00D90DA6" w:rsidRPr="00CD68BA">
        <w:rPr>
          <w:szCs w:val="16"/>
          <w:lang w:val="es-CR"/>
        </w:rPr>
        <w:t>a</w:t>
      </w:r>
      <w:r w:rsidR="00371B43" w:rsidRPr="00CD68BA">
        <w:rPr>
          <w:szCs w:val="16"/>
          <w:lang w:val="es-CR"/>
        </w:rPr>
        <w:t>udiencia</w:t>
      </w:r>
      <w:r w:rsidR="00D90DA6" w:rsidRPr="00CD68BA">
        <w:rPr>
          <w:szCs w:val="16"/>
          <w:lang w:val="es-CR"/>
        </w:rPr>
        <w:t xml:space="preserve"> emitida dentro del caso No. 0007348-91.2007.814.0028</w:t>
      </w:r>
      <w:r w:rsidR="00371B43" w:rsidRPr="00CD68BA">
        <w:rPr>
          <w:szCs w:val="16"/>
          <w:lang w:val="es-CR"/>
        </w:rPr>
        <w:t xml:space="preserve">, Tribunal de Justicia del Estado de Pará, </w:t>
      </w:r>
      <w:r w:rsidR="00D90DA6" w:rsidRPr="00CD68BA">
        <w:rPr>
          <w:szCs w:val="16"/>
          <w:lang w:val="es-CR"/>
        </w:rPr>
        <w:t xml:space="preserve">de 24 de marzo de 2011 </w:t>
      </w:r>
      <w:r w:rsidR="00371B43" w:rsidRPr="00CD68BA">
        <w:rPr>
          <w:szCs w:val="16"/>
          <w:lang w:val="es-CR"/>
        </w:rPr>
        <w:t>(expediente de prueba, folios 2009 a 2010)</w:t>
      </w:r>
      <w:r w:rsidR="00761C9E" w:rsidRPr="00CD68BA">
        <w:rPr>
          <w:szCs w:val="16"/>
          <w:lang w:val="es-CR"/>
        </w:rPr>
        <w:t>.</w:t>
      </w:r>
      <w:r w:rsidR="00371B43" w:rsidRPr="00CD68BA">
        <w:rPr>
          <w:szCs w:val="16"/>
          <w:lang w:val="es-CR"/>
        </w:rPr>
        <w:t xml:space="preserve"> </w:t>
      </w:r>
    </w:p>
  </w:footnote>
  <w:footnote w:id="136">
    <w:p w14:paraId="40382278" w14:textId="77777777"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Artículo 8 de la Convención Americana.</w:t>
      </w:r>
    </w:p>
  </w:footnote>
  <w:footnote w:id="137">
    <w:p w14:paraId="448F3859" w14:textId="77777777"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Artículo 25 de la Convención Americana.</w:t>
      </w:r>
    </w:p>
  </w:footnote>
  <w:footnote w:id="138">
    <w:p w14:paraId="6D64164E" w14:textId="30F9E2A1" w:rsidR="002402D7" w:rsidRPr="00CD68BA" w:rsidRDefault="002402D7"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Artículos 8</w:t>
      </w:r>
      <w:r w:rsidR="00284CF7" w:rsidRPr="00CD68BA">
        <w:rPr>
          <w:szCs w:val="16"/>
          <w:lang w:val="es-CR"/>
        </w:rPr>
        <w:t>, 13</w:t>
      </w:r>
      <w:r w:rsidRPr="00CD68BA">
        <w:rPr>
          <w:szCs w:val="16"/>
          <w:lang w:val="es-CR"/>
        </w:rPr>
        <w:t xml:space="preserve"> y 25 de la Convención Americana.</w:t>
      </w:r>
    </w:p>
  </w:footnote>
  <w:footnote w:id="139">
    <w:p w14:paraId="4571979B" w14:textId="77777777"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Artículo 1.1 de la Convención Americana.</w:t>
      </w:r>
    </w:p>
  </w:footnote>
  <w:footnote w:id="140">
    <w:p w14:paraId="31ABC03B" w14:textId="77777777" w:rsidR="00D92195"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El Estado señaló que</w:t>
      </w:r>
      <w:r w:rsidR="00D92195" w:rsidRPr="00CD68BA">
        <w:rPr>
          <w:szCs w:val="16"/>
          <w:lang w:val="es-CR"/>
        </w:rPr>
        <w:t>,</w:t>
      </w:r>
      <w:r w:rsidRPr="00CD68BA">
        <w:rPr>
          <w:szCs w:val="16"/>
          <w:lang w:val="es-CR"/>
        </w:rPr>
        <w:t xml:space="preserve"> </w:t>
      </w:r>
    </w:p>
    <w:p w14:paraId="31D1F704" w14:textId="0D85AD42" w:rsidR="00001FD9" w:rsidRPr="00CD68BA" w:rsidRDefault="00001FD9" w:rsidP="00EE6124">
      <w:pPr>
        <w:pStyle w:val="Textonotapie"/>
        <w:spacing w:before="0" w:after="60"/>
        <w:ind w:left="851" w:right="851"/>
        <w:rPr>
          <w:b/>
          <w:szCs w:val="16"/>
          <w:lang w:val="es-CR"/>
        </w:rPr>
      </w:pPr>
      <w:r w:rsidRPr="00CD68BA">
        <w:rPr>
          <w:szCs w:val="16"/>
          <w:lang w:val="es-CR"/>
        </w:rPr>
        <w:t xml:space="preserve">teniendo el acusado 74 años en el momento de su imputación y habiendo transcurrido 17 años entre el primer acto de interrupción de la prescripción (la recepción de la denuncia por el Tribunal) y el segundo acto de interrupción de la prescripción (la decisión de imputar), el Tribunal de Justicia de Pará, acertadamente, declaró el acaecimiento de la prescripción y la consiguiente extinción de la </w:t>
      </w:r>
      <w:r w:rsidR="006E3F10" w:rsidRPr="00CD68BA">
        <w:rPr>
          <w:szCs w:val="16"/>
          <w:lang w:val="es-CR"/>
        </w:rPr>
        <w:t>responsabilidad penal</w:t>
      </w:r>
      <w:r w:rsidRPr="00CD68BA">
        <w:rPr>
          <w:szCs w:val="16"/>
          <w:lang w:val="es-CR"/>
        </w:rPr>
        <w:t xml:space="preserve"> por el transcurso un plazo superior a 10 años (tiempo aplicable después de la reducción a la mitad debido a la edad del demandado) entre los dos hitos interruptores de la prescripción.</w:t>
      </w:r>
    </w:p>
  </w:footnote>
  <w:footnote w:id="141">
    <w:p w14:paraId="5EFE28E5" w14:textId="4921B28F" w:rsidR="00001FD9" w:rsidRPr="00892427" w:rsidRDefault="00001FD9" w:rsidP="00D12B21">
      <w:pPr>
        <w:pStyle w:val="Textonotapie"/>
        <w:spacing w:before="0" w:after="60"/>
        <w:rPr>
          <w:bCs/>
          <w:i/>
          <w:szCs w:val="16"/>
          <w:lang w:val="es-CR"/>
        </w:rPr>
      </w:pPr>
      <w:r w:rsidRPr="00CD68BA">
        <w:rPr>
          <w:rStyle w:val="Refdenotaalpie"/>
          <w:rFonts w:eastAsia="MS Mincho"/>
          <w:szCs w:val="16"/>
          <w:lang w:val="es-CR"/>
        </w:rPr>
        <w:footnoteRef/>
      </w:r>
      <w:r w:rsidRPr="00CD68BA">
        <w:rPr>
          <w:szCs w:val="16"/>
          <w:lang w:val="es-CR"/>
        </w:rPr>
        <w:t xml:space="preserve"> </w:t>
      </w:r>
      <w:r w:rsidRPr="00CD68BA">
        <w:rPr>
          <w:szCs w:val="16"/>
          <w:lang w:val="es-CR"/>
        </w:rPr>
        <w:tab/>
      </w:r>
      <w:r w:rsidRPr="00892427">
        <w:rPr>
          <w:i/>
          <w:szCs w:val="16"/>
          <w:lang w:val="es-CR"/>
        </w:rPr>
        <w:t xml:space="preserve">Cfr. </w:t>
      </w:r>
      <w:r w:rsidRPr="00892427">
        <w:rPr>
          <w:rFonts w:cs="Courier New"/>
          <w:i/>
          <w:szCs w:val="16"/>
          <w:lang w:val="es-CR"/>
        </w:rPr>
        <w:t>Caso Velásquez Rodríguez Vs. Honduras. Excepciones Preliminares</w:t>
      </w:r>
      <w:r w:rsidR="00233F07" w:rsidRPr="00892427">
        <w:rPr>
          <w:rFonts w:cs="Courier New"/>
          <w:szCs w:val="16"/>
          <w:lang w:val="es-CR"/>
        </w:rPr>
        <w:t>,</w:t>
      </w:r>
      <w:r w:rsidR="00233F07" w:rsidRPr="00892427">
        <w:rPr>
          <w:rFonts w:cs="Courier New"/>
          <w:i/>
          <w:iCs/>
          <w:szCs w:val="16"/>
          <w:lang w:val="es-CR"/>
        </w:rPr>
        <w:t xml:space="preserve"> supra</w:t>
      </w:r>
      <w:r w:rsidRPr="00892427">
        <w:rPr>
          <w:bCs/>
          <w:szCs w:val="16"/>
          <w:lang w:val="es-CR"/>
        </w:rPr>
        <w:t xml:space="preserve">, párr. 91, </w:t>
      </w:r>
      <w:r w:rsidRPr="00892427">
        <w:rPr>
          <w:szCs w:val="16"/>
          <w:lang w:val="es-CR"/>
        </w:rPr>
        <w:t>y</w:t>
      </w:r>
      <w:r w:rsidR="007E1997" w:rsidRPr="00892427">
        <w:rPr>
          <w:i/>
          <w:szCs w:val="16"/>
          <w:lang w:val="es-CR"/>
        </w:rPr>
        <w:t xml:space="preserve"> Caso Digna Ochoa y familiares Vs. México</w:t>
      </w:r>
      <w:r w:rsidR="007E1997" w:rsidRPr="00892427">
        <w:rPr>
          <w:iCs/>
          <w:szCs w:val="16"/>
          <w:lang w:val="es-CR"/>
        </w:rPr>
        <w:t xml:space="preserve">, </w:t>
      </w:r>
      <w:r w:rsidR="007E1997" w:rsidRPr="00892427">
        <w:rPr>
          <w:i/>
          <w:szCs w:val="16"/>
          <w:lang w:val="es-CR"/>
        </w:rPr>
        <w:t xml:space="preserve">supra, </w:t>
      </w:r>
      <w:r w:rsidR="007E1997" w:rsidRPr="00892427">
        <w:rPr>
          <w:iCs/>
          <w:szCs w:val="16"/>
          <w:lang w:val="es-CR"/>
        </w:rPr>
        <w:t>párr. 98</w:t>
      </w:r>
      <w:r w:rsidRPr="00892427">
        <w:rPr>
          <w:rFonts w:cs="Arial"/>
          <w:szCs w:val="16"/>
          <w:shd w:val="clear" w:color="auto" w:fill="FFFFFF"/>
          <w:lang w:val="es-CR"/>
        </w:rPr>
        <w:t>.</w:t>
      </w:r>
    </w:p>
  </w:footnote>
  <w:footnote w:id="142">
    <w:p w14:paraId="5773CE3A" w14:textId="69086832" w:rsidR="00001FD9" w:rsidRPr="00892427" w:rsidRDefault="00001FD9" w:rsidP="00D12B21">
      <w:pPr>
        <w:snapToGrid w:val="0"/>
        <w:spacing w:before="0"/>
        <w:rPr>
          <w:sz w:val="16"/>
          <w:szCs w:val="16"/>
          <w:lang w:val="es-CR"/>
        </w:rPr>
      </w:pPr>
      <w:r w:rsidRPr="00892427">
        <w:rPr>
          <w:sz w:val="16"/>
          <w:szCs w:val="16"/>
          <w:vertAlign w:val="superscript"/>
          <w:lang w:val="es-CR"/>
        </w:rPr>
        <w:footnoteRef/>
      </w:r>
      <w:r w:rsidRPr="00892427">
        <w:rPr>
          <w:sz w:val="16"/>
          <w:szCs w:val="16"/>
          <w:lang w:val="es-CR"/>
        </w:rPr>
        <w:t xml:space="preserve"> </w:t>
      </w:r>
      <w:r w:rsidRPr="00892427">
        <w:rPr>
          <w:sz w:val="16"/>
          <w:szCs w:val="16"/>
          <w:lang w:val="es-CR"/>
        </w:rPr>
        <w:tab/>
      </w:r>
      <w:r w:rsidRPr="00892427">
        <w:rPr>
          <w:i/>
          <w:sz w:val="16"/>
          <w:szCs w:val="16"/>
          <w:lang w:val="es-CR"/>
        </w:rPr>
        <w:t>Cfr</w:t>
      </w:r>
      <w:r w:rsidRPr="00892427">
        <w:rPr>
          <w:sz w:val="16"/>
          <w:szCs w:val="16"/>
          <w:lang w:val="es-CR"/>
        </w:rPr>
        <w:t xml:space="preserve">. </w:t>
      </w:r>
      <w:r w:rsidRPr="00892427">
        <w:rPr>
          <w:i/>
          <w:iCs/>
          <w:sz w:val="16"/>
          <w:szCs w:val="16"/>
          <w:lang w:val="es-CR"/>
        </w:rPr>
        <w:t xml:space="preserve">Caso Bulacio Vs. Argentina. Fondo, Reparaciones y Costas. </w:t>
      </w:r>
      <w:r w:rsidRPr="00892427">
        <w:rPr>
          <w:iCs/>
          <w:sz w:val="16"/>
          <w:szCs w:val="16"/>
          <w:lang w:val="es-CR"/>
        </w:rPr>
        <w:t>Sentencia de 18 de septiembre de 2003. Serie C No. 100,</w:t>
      </w:r>
      <w:r w:rsidRPr="00892427">
        <w:rPr>
          <w:i/>
          <w:iCs/>
          <w:sz w:val="16"/>
          <w:szCs w:val="16"/>
          <w:lang w:val="es-CR"/>
        </w:rPr>
        <w:t xml:space="preserve"> </w:t>
      </w:r>
      <w:r w:rsidRPr="00892427">
        <w:rPr>
          <w:sz w:val="16"/>
          <w:szCs w:val="16"/>
          <w:lang w:val="es-CR"/>
        </w:rPr>
        <w:t xml:space="preserve">párr. 114, y </w:t>
      </w:r>
      <w:r w:rsidR="001D4CEB" w:rsidRPr="00892427">
        <w:rPr>
          <w:i/>
          <w:iCs/>
          <w:sz w:val="16"/>
          <w:szCs w:val="16"/>
          <w:lang w:val="es-CR"/>
        </w:rPr>
        <w:t>Caso Empleados de la Fábrica de Fuegos en Santo Antônio de Jesus y sus familiares Vs. Brasil. Excepciones Preliminares, Fondo, Reparaciones y Costas.</w:t>
      </w:r>
      <w:r w:rsidR="001D4CEB" w:rsidRPr="00892427">
        <w:rPr>
          <w:iCs/>
          <w:sz w:val="16"/>
          <w:szCs w:val="16"/>
          <w:lang w:val="es-CR"/>
        </w:rPr>
        <w:t xml:space="preserve"> Sentencia de 15 de julio de 2020. Serie C No. 407, </w:t>
      </w:r>
      <w:r w:rsidR="001D4CEB" w:rsidRPr="00892427">
        <w:rPr>
          <w:sz w:val="16"/>
          <w:szCs w:val="16"/>
          <w:lang w:val="es-CR"/>
        </w:rPr>
        <w:t>párr. 217</w:t>
      </w:r>
      <w:r w:rsidR="00CB00E5" w:rsidRPr="00892427">
        <w:rPr>
          <w:sz w:val="16"/>
          <w:szCs w:val="16"/>
          <w:lang w:val="es-CR"/>
        </w:rPr>
        <w:t>.</w:t>
      </w:r>
    </w:p>
  </w:footnote>
  <w:footnote w:id="143">
    <w:p w14:paraId="10BB7CA3" w14:textId="07C26A7F" w:rsidR="00001FD9" w:rsidRPr="00892427" w:rsidRDefault="00001FD9" w:rsidP="00D12B21">
      <w:pPr>
        <w:pStyle w:val="Textonotapie"/>
        <w:snapToGrid w:val="0"/>
        <w:spacing w:before="0" w:after="60"/>
        <w:rPr>
          <w:rFonts w:cs="Tahoma"/>
          <w:szCs w:val="16"/>
          <w:shd w:val="clear" w:color="auto" w:fill="FFFFFF"/>
          <w:lang w:val="es-CR"/>
        </w:rPr>
      </w:pPr>
      <w:r w:rsidRPr="00892427">
        <w:rPr>
          <w:rStyle w:val="Refdenotaalpie"/>
          <w:szCs w:val="16"/>
          <w:lang w:val="es-CR"/>
        </w:rPr>
        <w:footnoteRef/>
      </w:r>
      <w:r w:rsidRPr="00892427">
        <w:rPr>
          <w:szCs w:val="16"/>
          <w:lang w:val="es-CR"/>
        </w:rPr>
        <w:t xml:space="preserve"> </w:t>
      </w:r>
      <w:r w:rsidRPr="00892427">
        <w:rPr>
          <w:szCs w:val="16"/>
          <w:lang w:val="es-CR"/>
        </w:rPr>
        <w:tab/>
      </w:r>
      <w:r w:rsidRPr="00892427">
        <w:rPr>
          <w:rFonts w:cs="Tahoma"/>
          <w:i/>
          <w:szCs w:val="16"/>
          <w:shd w:val="clear" w:color="auto" w:fill="FFFFFF"/>
          <w:lang w:val="es-CR"/>
        </w:rPr>
        <w:t xml:space="preserve">Cfr. Caso Cantos Vs. Argentina. Fondo, Reparaciones y Costas. </w:t>
      </w:r>
      <w:r w:rsidRPr="00892427">
        <w:rPr>
          <w:rFonts w:cs="Tahoma"/>
          <w:szCs w:val="16"/>
          <w:shd w:val="clear" w:color="auto" w:fill="FFFFFF"/>
          <w:lang w:val="es-CR"/>
        </w:rPr>
        <w:t xml:space="preserve">Sentencia de 28 de noviembre de 2002. Serie C No. 97, párr. 57, y </w:t>
      </w:r>
      <w:r w:rsidR="00CB00E5" w:rsidRPr="00892427">
        <w:rPr>
          <w:i/>
          <w:iCs/>
          <w:szCs w:val="16"/>
          <w:lang w:val="es-CR"/>
        </w:rPr>
        <w:t>Caso Empleados de la Fábrica de Fuegos en Santo Antônio de Jesus y sus familiares Vs. Brasil, supra</w:t>
      </w:r>
      <w:r w:rsidR="00CB00E5" w:rsidRPr="00892427">
        <w:rPr>
          <w:iCs/>
          <w:szCs w:val="16"/>
          <w:lang w:val="es-CR"/>
        </w:rPr>
        <w:t xml:space="preserve">, </w:t>
      </w:r>
      <w:r w:rsidR="00CB00E5" w:rsidRPr="00892427">
        <w:rPr>
          <w:szCs w:val="16"/>
          <w:lang w:val="es-CR"/>
        </w:rPr>
        <w:t>párr. 218.</w:t>
      </w:r>
    </w:p>
  </w:footnote>
  <w:footnote w:id="144">
    <w:p w14:paraId="03A92C78" w14:textId="3E4D79C6" w:rsidR="00001FD9" w:rsidRPr="00892427" w:rsidRDefault="00001FD9" w:rsidP="00D12B21">
      <w:pPr>
        <w:pStyle w:val="Textonotapie"/>
        <w:spacing w:before="0" w:after="60"/>
        <w:rPr>
          <w:bCs/>
          <w:szCs w:val="16"/>
          <w:lang w:val="es-CR"/>
        </w:rPr>
      </w:pPr>
      <w:r w:rsidRPr="00892427">
        <w:rPr>
          <w:rStyle w:val="Refdenotaalpie"/>
          <w:szCs w:val="16"/>
          <w:lang w:val="es-CR"/>
        </w:rPr>
        <w:footnoteRef/>
      </w:r>
      <w:r w:rsidRPr="00892427">
        <w:rPr>
          <w:szCs w:val="16"/>
          <w:lang w:val="es-CR"/>
        </w:rPr>
        <w:t xml:space="preserve"> </w:t>
      </w:r>
      <w:r w:rsidRPr="00892427">
        <w:rPr>
          <w:szCs w:val="16"/>
          <w:lang w:val="es-CR"/>
        </w:rPr>
        <w:tab/>
      </w:r>
      <w:r w:rsidRPr="00892427">
        <w:rPr>
          <w:rFonts w:cs="Courier New"/>
          <w:i/>
          <w:szCs w:val="16"/>
          <w:lang w:val="es-CR"/>
        </w:rPr>
        <w:t xml:space="preserve">Cfr. Caso Velásquez Rodríguez. Fondo, supra, párr. 177, y </w:t>
      </w:r>
      <w:bookmarkStart w:id="133" w:name="_Hlk110136278"/>
      <w:r w:rsidR="000F6953" w:rsidRPr="00892427">
        <w:rPr>
          <w:i/>
          <w:szCs w:val="16"/>
          <w:lang w:val="es-CR"/>
        </w:rPr>
        <w:t>Caso Digna Ochoa y familiares Vs. México</w:t>
      </w:r>
      <w:r w:rsidR="000F6953" w:rsidRPr="00892427">
        <w:rPr>
          <w:iCs/>
          <w:szCs w:val="16"/>
          <w:lang w:val="es-CR"/>
        </w:rPr>
        <w:t xml:space="preserve">, </w:t>
      </w:r>
      <w:r w:rsidR="000F6953" w:rsidRPr="00892427">
        <w:rPr>
          <w:i/>
          <w:szCs w:val="16"/>
          <w:lang w:val="es-CR"/>
        </w:rPr>
        <w:t xml:space="preserve">supra, </w:t>
      </w:r>
      <w:r w:rsidR="000F6953" w:rsidRPr="00892427">
        <w:rPr>
          <w:iCs/>
          <w:szCs w:val="16"/>
          <w:lang w:val="es-CR"/>
        </w:rPr>
        <w:t>párr. 99.</w:t>
      </w:r>
      <w:bookmarkEnd w:id="133"/>
    </w:p>
  </w:footnote>
  <w:footnote w:id="145">
    <w:p w14:paraId="1DE3132D" w14:textId="77CD9F0C" w:rsidR="00001FD9" w:rsidRPr="00892427" w:rsidRDefault="00001FD9" w:rsidP="00D12B21">
      <w:pPr>
        <w:pStyle w:val="Textonotapie"/>
        <w:tabs>
          <w:tab w:val="left" w:pos="567"/>
        </w:tabs>
        <w:spacing w:before="0" w:after="60"/>
        <w:rPr>
          <w:rFonts w:eastAsia="MS Mincho"/>
          <w:szCs w:val="16"/>
          <w:lang w:val="es-CR"/>
        </w:rPr>
      </w:pPr>
      <w:r w:rsidRPr="00892427">
        <w:rPr>
          <w:rStyle w:val="Refdenotaalpie"/>
          <w:szCs w:val="16"/>
          <w:lang w:val="es-CR"/>
        </w:rPr>
        <w:footnoteRef/>
      </w:r>
      <w:r w:rsidRPr="00892427">
        <w:rPr>
          <w:szCs w:val="16"/>
          <w:lang w:val="es-CR"/>
        </w:rPr>
        <w:t xml:space="preserve"> </w:t>
      </w:r>
      <w:r w:rsidRPr="00892427">
        <w:rPr>
          <w:szCs w:val="16"/>
          <w:lang w:val="es-CR"/>
        </w:rPr>
        <w:tab/>
      </w:r>
      <w:r w:rsidRPr="00892427">
        <w:rPr>
          <w:i/>
          <w:szCs w:val="16"/>
          <w:lang w:val="es-CR"/>
        </w:rPr>
        <w:t>Cfr. Caso Velásquez Rodríguez Vs. Honduras.</w:t>
      </w:r>
      <w:r w:rsidRPr="00892427">
        <w:rPr>
          <w:szCs w:val="16"/>
          <w:lang w:val="es-CR"/>
        </w:rPr>
        <w:t xml:space="preserve"> Fondo, </w:t>
      </w:r>
      <w:r w:rsidRPr="00892427">
        <w:rPr>
          <w:i/>
          <w:szCs w:val="16"/>
          <w:lang w:val="es-CR"/>
        </w:rPr>
        <w:t>supra</w:t>
      </w:r>
      <w:r w:rsidRPr="00892427">
        <w:rPr>
          <w:szCs w:val="16"/>
          <w:lang w:val="es-CR"/>
        </w:rPr>
        <w:t xml:space="preserve">, párr. 177, y </w:t>
      </w:r>
      <w:r w:rsidR="009E4609" w:rsidRPr="00892427">
        <w:rPr>
          <w:i/>
          <w:iCs/>
          <w:szCs w:val="16"/>
          <w:lang w:val="es-CR"/>
        </w:rPr>
        <w:t>Caso Maidanik y otros Vs. Uruguay. Fondo y Reparaciones</w:t>
      </w:r>
      <w:r w:rsidR="009E4609" w:rsidRPr="00892427">
        <w:rPr>
          <w:szCs w:val="16"/>
          <w:lang w:val="es-CR"/>
        </w:rPr>
        <w:t>. Sentencia de 15 de noviembre de 2021. Serie C No. 444</w:t>
      </w:r>
      <w:r w:rsidR="00832177" w:rsidRPr="00892427">
        <w:rPr>
          <w:szCs w:val="16"/>
          <w:lang w:val="es-CR"/>
        </w:rPr>
        <w:t>,</w:t>
      </w:r>
      <w:r w:rsidR="009E4609" w:rsidRPr="00892427">
        <w:rPr>
          <w:szCs w:val="16"/>
          <w:lang w:val="es-CR"/>
        </w:rPr>
        <w:t xml:space="preserve"> párr. 139.</w:t>
      </w:r>
    </w:p>
  </w:footnote>
  <w:footnote w:id="146">
    <w:p w14:paraId="2B637273" w14:textId="2085A664" w:rsidR="00001FD9" w:rsidRPr="003C2C9B" w:rsidRDefault="00001FD9" w:rsidP="00D12B21">
      <w:pPr>
        <w:pStyle w:val="Textonotapie"/>
        <w:tabs>
          <w:tab w:val="left" w:pos="567"/>
        </w:tabs>
        <w:spacing w:before="0" w:after="60"/>
        <w:rPr>
          <w:szCs w:val="16"/>
          <w:lang w:val="pt-BR"/>
        </w:rPr>
      </w:pPr>
      <w:r w:rsidRPr="00892427">
        <w:rPr>
          <w:rStyle w:val="Refdenotaalpie"/>
          <w:szCs w:val="16"/>
          <w:lang w:val="es-CR"/>
        </w:rPr>
        <w:footnoteRef/>
      </w:r>
      <w:r w:rsidRPr="00892427">
        <w:rPr>
          <w:szCs w:val="16"/>
          <w:lang w:val="es-CR"/>
        </w:rPr>
        <w:t xml:space="preserve"> </w:t>
      </w:r>
      <w:r w:rsidRPr="00892427">
        <w:rPr>
          <w:szCs w:val="16"/>
          <w:lang w:val="es-CR"/>
        </w:rPr>
        <w:tab/>
      </w:r>
      <w:r w:rsidRPr="00892427">
        <w:rPr>
          <w:i/>
          <w:szCs w:val="16"/>
          <w:lang w:val="es-CR"/>
        </w:rPr>
        <w:t>Cfr. Caso Juan Humberto Sánchez Vs. Honduras</w:t>
      </w:r>
      <w:r w:rsidRPr="00892427">
        <w:rPr>
          <w:iCs/>
          <w:szCs w:val="16"/>
          <w:lang w:val="es-CR"/>
        </w:rPr>
        <w:t xml:space="preserve">. </w:t>
      </w:r>
      <w:r w:rsidRPr="00892427">
        <w:rPr>
          <w:i/>
          <w:szCs w:val="16"/>
          <w:lang w:val="es-CR"/>
        </w:rPr>
        <w:t>Excepción Preliminar, Fondo, Reparaciones y Costas</w:t>
      </w:r>
      <w:r w:rsidRPr="00892427">
        <w:rPr>
          <w:szCs w:val="16"/>
          <w:lang w:val="es-CR"/>
        </w:rPr>
        <w:t>. Sentencia de 7 de junio de 2003. Serie C No. 99, párr. 127, y</w:t>
      </w:r>
      <w:r w:rsidR="00832177" w:rsidRPr="00892427">
        <w:rPr>
          <w:szCs w:val="16"/>
          <w:lang w:val="es-CR"/>
        </w:rPr>
        <w:t xml:space="preserve"> </w:t>
      </w:r>
      <w:r w:rsidR="00832177" w:rsidRPr="00892427">
        <w:rPr>
          <w:i/>
          <w:iCs/>
          <w:szCs w:val="16"/>
          <w:lang w:val="es-CR"/>
        </w:rPr>
        <w:t xml:space="preserve">Caso Barbosa de Souza y otros Vs. </w:t>
      </w:r>
      <w:r w:rsidR="00832177" w:rsidRPr="003C2C9B">
        <w:rPr>
          <w:i/>
          <w:iCs/>
          <w:szCs w:val="16"/>
          <w:lang w:val="pt-BR"/>
        </w:rPr>
        <w:t xml:space="preserve">Brasil, supra, </w:t>
      </w:r>
      <w:r w:rsidR="00832177" w:rsidRPr="003C2C9B">
        <w:rPr>
          <w:szCs w:val="16"/>
          <w:lang w:val="pt-BR"/>
        </w:rPr>
        <w:t>párr. 128</w:t>
      </w:r>
      <w:r w:rsidRPr="003C2C9B">
        <w:rPr>
          <w:szCs w:val="16"/>
          <w:lang w:val="pt-BR"/>
        </w:rPr>
        <w:t>.</w:t>
      </w:r>
    </w:p>
  </w:footnote>
  <w:footnote w:id="147">
    <w:p w14:paraId="75E78825" w14:textId="2B6CEBDA" w:rsidR="00001FD9" w:rsidRPr="00892427" w:rsidRDefault="00001FD9" w:rsidP="00D12B21">
      <w:pPr>
        <w:pStyle w:val="Textonotapie"/>
        <w:spacing w:before="0" w:after="60"/>
        <w:rPr>
          <w:szCs w:val="16"/>
          <w:lang w:val="es-CR"/>
        </w:rPr>
      </w:pPr>
      <w:r w:rsidRPr="00892427">
        <w:rPr>
          <w:rStyle w:val="Refdenotaalpie"/>
          <w:szCs w:val="16"/>
          <w:lang w:val="es-CR"/>
        </w:rPr>
        <w:footnoteRef/>
      </w:r>
      <w:r w:rsidRPr="003C2C9B">
        <w:rPr>
          <w:szCs w:val="16"/>
          <w:lang w:val="pt-BR"/>
        </w:rPr>
        <w:t xml:space="preserve"> </w:t>
      </w:r>
      <w:r w:rsidRPr="003C2C9B">
        <w:rPr>
          <w:szCs w:val="16"/>
          <w:lang w:val="pt-BR"/>
        </w:rPr>
        <w:tab/>
      </w:r>
      <w:r w:rsidRPr="003C2C9B">
        <w:rPr>
          <w:i/>
          <w:szCs w:val="16"/>
          <w:lang w:val="pt-BR"/>
        </w:rPr>
        <w:t xml:space="preserve">Cfr. Caso Nogueira de Carvalho y otro Vs. </w:t>
      </w:r>
      <w:r w:rsidRPr="00892427">
        <w:rPr>
          <w:i/>
          <w:szCs w:val="16"/>
          <w:lang w:val="es-CR"/>
        </w:rPr>
        <w:t>Brasil. Excepciones Preliminares y Fondo</w:t>
      </w:r>
      <w:r w:rsidRPr="00892427">
        <w:rPr>
          <w:szCs w:val="16"/>
          <w:lang w:val="es-CR"/>
        </w:rPr>
        <w:t xml:space="preserve">. Sentencia de 28 de noviembre de 2006. Serie C No. 161, párr. 77, y </w:t>
      </w:r>
      <w:r w:rsidRPr="00892427">
        <w:rPr>
          <w:i/>
          <w:iCs/>
          <w:szCs w:val="16"/>
          <w:lang w:val="es-CR"/>
        </w:rPr>
        <w:t>Caso Digna Ochoa y familiares Vs. México</w:t>
      </w:r>
      <w:r w:rsidR="009434B2" w:rsidRPr="00892427">
        <w:rPr>
          <w:i/>
          <w:iCs/>
          <w:szCs w:val="16"/>
          <w:lang w:val="es-CR"/>
        </w:rPr>
        <w:t>, supra</w:t>
      </w:r>
      <w:r w:rsidRPr="00892427">
        <w:rPr>
          <w:szCs w:val="16"/>
          <w:lang w:val="es-CR"/>
        </w:rPr>
        <w:t xml:space="preserve">, párr. </w:t>
      </w:r>
      <w:r w:rsidR="009434B2" w:rsidRPr="00892427">
        <w:rPr>
          <w:szCs w:val="16"/>
          <w:lang w:val="es-CR"/>
        </w:rPr>
        <w:t>100</w:t>
      </w:r>
      <w:r w:rsidRPr="00892427">
        <w:rPr>
          <w:szCs w:val="16"/>
          <w:lang w:val="es-CR"/>
        </w:rPr>
        <w:t>.</w:t>
      </w:r>
    </w:p>
  </w:footnote>
  <w:footnote w:id="148">
    <w:p w14:paraId="4E5EF511" w14:textId="21A20AFA" w:rsidR="00001FD9" w:rsidRPr="00892427" w:rsidRDefault="00001FD9" w:rsidP="00D12B21">
      <w:pPr>
        <w:pStyle w:val="Textonotapie"/>
        <w:spacing w:before="0" w:after="60"/>
        <w:rPr>
          <w:szCs w:val="16"/>
          <w:lang w:val="es-CR"/>
        </w:rPr>
      </w:pPr>
      <w:r w:rsidRPr="00892427">
        <w:rPr>
          <w:rStyle w:val="Refdenotaalpie"/>
          <w:szCs w:val="16"/>
          <w:lang w:val="es-CR"/>
        </w:rPr>
        <w:footnoteRef/>
      </w:r>
      <w:r w:rsidRPr="00892427">
        <w:rPr>
          <w:szCs w:val="16"/>
          <w:lang w:val="es-CR"/>
        </w:rPr>
        <w:t xml:space="preserve"> </w:t>
      </w:r>
      <w:r w:rsidRPr="00892427">
        <w:rPr>
          <w:szCs w:val="16"/>
          <w:lang w:val="es-CR"/>
        </w:rPr>
        <w:tab/>
      </w:r>
      <w:r w:rsidRPr="00892427">
        <w:rPr>
          <w:i/>
          <w:szCs w:val="16"/>
          <w:lang w:val="es-CR"/>
        </w:rPr>
        <w:t xml:space="preserve">Cfr. </w:t>
      </w:r>
      <w:r w:rsidRPr="00892427">
        <w:rPr>
          <w:bCs/>
          <w:i/>
          <w:szCs w:val="16"/>
          <w:lang w:val="es-CR"/>
        </w:rPr>
        <w:t xml:space="preserve">Caso </w:t>
      </w:r>
      <w:r w:rsidRPr="00892427">
        <w:rPr>
          <w:i/>
          <w:szCs w:val="16"/>
          <w:lang w:val="es-CR"/>
        </w:rPr>
        <w:t>Escaleras Mejía y otros Vs. Honduras</w:t>
      </w:r>
      <w:r w:rsidRPr="00892427">
        <w:rPr>
          <w:szCs w:val="16"/>
          <w:lang w:val="es-CR"/>
        </w:rPr>
        <w:t xml:space="preserve">. Sentencia de 26 de septiembre de 2018. Serie C No. 361, párr. 47, y </w:t>
      </w:r>
      <w:r w:rsidRPr="00892427">
        <w:rPr>
          <w:i/>
          <w:iCs/>
          <w:szCs w:val="16"/>
          <w:lang w:val="es-CR"/>
        </w:rPr>
        <w:t>Caso Digna Ochoa y familiares Vs. México</w:t>
      </w:r>
      <w:r w:rsidR="00121E21" w:rsidRPr="00892427">
        <w:rPr>
          <w:i/>
          <w:iCs/>
          <w:szCs w:val="16"/>
          <w:lang w:val="es-CR"/>
        </w:rPr>
        <w:t>, supra</w:t>
      </w:r>
      <w:r w:rsidRPr="00892427">
        <w:rPr>
          <w:szCs w:val="16"/>
          <w:lang w:val="es-CR"/>
        </w:rPr>
        <w:t xml:space="preserve">, párr. </w:t>
      </w:r>
      <w:r w:rsidR="00121E21" w:rsidRPr="00892427">
        <w:rPr>
          <w:szCs w:val="16"/>
          <w:lang w:val="es-CR"/>
        </w:rPr>
        <w:t>100</w:t>
      </w:r>
      <w:r w:rsidRPr="00892427">
        <w:rPr>
          <w:szCs w:val="16"/>
          <w:lang w:val="es-CR"/>
        </w:rPr>
        <w:t>.</w:t>
      </w:r>
    </w:p>
  </w:footnote>
  <w:footnote w:id="149">
    <w:p w14:paraId="2BEC704F" w14:textId="5878D499" w:rsidR="00001FD9" w:rsidRPr="00892427" w:rsidRDefault="00001FD9" w:rsidP="00D12B21">
      <w:pPr>
        <w:pStyle w:val="Textonotapie"/>
        <w:spacing w:before="0" w:after="60"/>
        <w:rPr>
          <w:spacing w:val="-12"/>
          <w:szCs w:val="16"/>
          <w:lang w:val="es-CR"/>
        </w:rPr>
      </w:pPr>
      <w:r w:rsidRPr="00892427">
        <w:rPr>
          <w:rStyle w:val="Refdenotaalpie"/>
          <w:rFonts w:eastAsiaTheme="majorEastAsia"/>
          <w:spacing w:val="-12"/>
          <w:szCs w:val="16"/>
          <w:lang w:val="es-CR"/>
        </w:rPr>
        <w:footnoteRef/>
      </w:r>
      <w:r w:rsidRPr="00892427">
        <w:rPr>
          <w:spacing w:val="-12"/>
          <w:szCs w:val="16"/>
          <w:lang w:val="es-CR"/>
        </w:rPr>
        <w:t xml:space="preserve"> </w:t>
      </w:r>
      <w:r w:rsidRPr="00892427">
        <w:rPr>
          <w:spacing w:val="-12"/>
          <w:szCs w:val="16"/>
          <w:lang w:val="es-CR"/>
        </w:rPr>
        <w:tab/>
      </w:r>
      <w:r w:rsidRPr="00892427">
        <w:rPr>
          <w:i/>
          <w:spacing w:val="-12"/>
          <w:szCs w:val="16"/>
          <w:lang w:val="es-CR"/>
        </w:rPr>
        <w:t xml:space="preserve">Cfr. </w:t>
      </w:r>
      <w:r w:rsidRPr="00892427">
        <w:rPr>
          <w:i/>
          <w:szCs w:val="16"/>
          <w:lang w:val="es-CR"/>
        </w:rPr>
        <w:t xml:space="preserve">Caso Defensor de </w:t>
      </w:r>
      <w:r w:rsidR="00E265F7" w:rsidRPr="00892427">
        <w:rPr>
          <w:i/>
          <w:szCs w:val="16"/>
          <w:lang w:val="es-CR"/>
        </w:rPr>
        <w:t>D</w:t>
      </w:r>
      <w:r w:rsidRPr="00892427">
        <w:rPr>
          <w:i/>
          <w:szCs w:val="16"/>
          <w:lang w:val="es-CR"/>
        </w:rPr>
        <w:t xml:space="preserve">erechos </w:t>
      </w:r>
      <w:r w:rsidR="00E265F7" w:rsidRPr="00892427">
        <w:rPr>
          <w:i/>
          <w:szCs w:val="16"/>
          <w:lang w:val="es-CR"/>
        </w:rPr>
        <w:t>H</w:t>
      </w:r>
      <w:r w:rsidRPr="00892427">
        <w:rPr>
          <w:i/>
          <w:szCs w:val="16"/>
          <w:lang w:val="es-CR"/>
        </w:rPr>
        <w:t>umanos y otros Vs. Guatemala</w:t>
      </w:r>
      <w:r w:rsidR="00E265F7" w:rsidRPr="00892427">
        <w:rPr>
          <w:szCs w:val="16"/>
          <w:lang w:val="es-CR"/>
        </w:rPr>
        <w:t xml:space="preserve">, </w:t>
      </w:r>
      <w:r w:rsidR="00E265F7" w:rsidRPr="00892427">
        <w:rPr>
          <w:i/>
          <w:iCs/>
          <w:szCs w:val="16"/>
          <w:lang w:val="es-CR"/>
        </w:rPr>
        <w:t>supra</w:t>
      </w:r>
      <w:r w:rsidRPr="00892427">
        <w:rPr>
          <w:szCs w:val="16"/>
          <w:lang w:val="es-CR"/>
        </w:rPr>
        <w:t xml:space="preserve">, </w:t>
      </w:r>
      <w:r w:rsidRPr="00892427">
        <w:rPr>
          <w:spacing w:val="-12"/>
          <w:szCs w:val="16"/>
          <w:lang w:val="es-CR"/>
        </w:rPr>
        <w:t>párrs. 131, 216, 219,</w:t>
      </w:r>
      <w:r w:rsidRPr="00892427">
        <w:rPr>
          <w:szCs w:val="16"/>
          <w:lang w:val="es-CR"/>
        </w:rPr>
        <w:t xml:space="preserve"> y </w:t>
      </w:r>
      <w:r w:rsidRPr="00892427">
        <w:rPr>
          <w:i/>
          <w:iCs/>
          <w:szCs w:val="16"/>
          <w:lang w:val="es-CR"/>
        </w:rPr>
        <w:t>Caso Digna Ochoa y familiares Vs. México</w:t>
      </w:r>
      <w:r w:rsidR="00576751" w:rsidRPr="00892427">
        <w:rPr>
          <w:i/>
          <w:iCs/>
          <w:szCs w:val="16"/>
          <w:lang w:val="es-CR"/>
        </w:rPr>
        <w:t>, supra</w:t>
      </w:r>
      <w:r w:rsidRPr="00892427">
        <w:rPr>
          <w:szCs w:val="16"/>
          <w:lang w:val="es-CR"/>
        </w:rPr>
        <w:t xml:space="preserve">, párr. </w:t>
      </w:r>
      <w:r w:rsidR="00576751" w:rsidRPr="00892427">
        <w:rPr>
          <w:szCs w:val="16"/>
          <w:lang w:val="es-CR"/>
        </w:rPr>
        <w:t>100</w:t>
      </w:r>
      <w:r w:rsidRPr="00892427">
        <w:rPr>
          <w:szCs w:val="16"/>
          <w:lang w:val="es-CR"/>
        </w:rPr>
        <w:t>.</w:t>
      </w:r>
    </w:p>
  </w:footnote>
  <w:footnote w:id="150">
    <w:p w14:paraId="289D4617" w14:textId="77B893E2"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pacing w:val="-12"/>
          <w:szCs w:val="16"/>
          <w:lang w:val="es-CR"/>
        </w:rPr>
        <w:t xml:space="preserve">Cfr. </w:t>
      </w:r>
      <w:bookmarkStart w:id="134" w:name="_Hlk110148390"/>
      <w:r w:rsidRPr="00CD68BA">
        <w:rPr>
          <w:i/>
          <w:iCs/>
          <w:szCs w:val="16"/>
          <w:lang w:val="es-CR"/>
        </w:rPr>
        <w:t>Caso Digna Ochoa y familiares Vs. México</w:t>
      </w:r>
      <w:r w:rsidR="00B3312B" w:rsidRPr="00CD68BA">
        <w:rPr>
          <w:i/>
          <w:iCs/>
          <w:szCs w:val="16"/>
          <w:lang w:val="es-CR"/>
        </w:rPr>
        <w:t>, supra</w:t>
      </w:r>
      <w:r w:rsidRPr="00CD68BA">
        <w:rPr>
          <w:szCs w:val="16"/>
          <w:lang w:val="es-CR"/>
        </w:rPr>
        <w:t xml:space="preserve">, párr. </w:t>
      </w:r>
      <w:r w:rsidR="00E265F7" w:rsidRPr="00CD68BA">
        <w:rPr>
          <w:szCs w:val="16"/>
          <w:lang w:val="es-CR"/>
        </w:rPr>
        <w:t>104</w:t>
      </w:r>
      <w:bookmarkEnd w:id="134"/>
      <w:r w:rsidR="00B43BE7" w:rsidRPr="00CD68BA">
        <w:rPr>
          <w:szCs w:val="16"/>
          <w:lang w:val="es-CR"/>
        </w:rPr>
        <w:t>.</w:t>
      </w:r>
    </w:p>
  </w:footnote>
  <w:footnote w:id="151">
    <w:p w14:paraId="3496AD75" w14:textId="7F0E35B7" w:rsidR="00001FD9" w:rsidRPr="003C2C9B" w:rsidRDefault="00001FD9" w:rsidP="00D12B21">
      <w:pPr>
        <w:pStyle w:val="Textonotapie"/>
        <w:spacing w:before="0" w:after="60"/>
        <w:rPr>
          <w:szCs w:val="16"/>
          <w:lang w:val="pt-B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pacing w:val="-12"/>
          <w:szCs w:val="16"/>
          <w:lang w:val="es-CR"/>
        </w:rPr>
        <w:t xml:space="preserve">Cfr. </w:t>
      </w:r>
      <w:r w:rsidRPr="00CD68BA">
        <w:rPr>
          <w:i/>
          <w:iCs/>
          <w:szCs w:val="16"/>
          <w:lang w:val="es-CR"/>
        </w:rPr>
        <w:t xml:space="preserve">Caso Digna Ochoa y familiares Vs. </w:t>
      </w:r>
      <w:r w:rsidRPr="003C2C9B">
        <w:rPr>
          <w:i/>
          <w:iCs/>
          <w:szCs w:val="16"/>
          <w:lang w:val="pt-BR"/>
        </w:rPr>
        <w:t>México</w:t>
      </w:r>
      <w:r w:rsidR="00B3312B" w:rsidRPr="003C2C9B">
        <w:rPr>
          <w:i/>
          <w:iCs/>
          <w:szCs w:val="16"/>
          <w:lang w:val="pt-BR"/>
        </w:rPr>
        <w:t>, supra</w:t>
      </w:r>
      <w:r w:rsidRPr="003C2C9B">
        <w:rPr>
          <w:szCs w:val="16"/>
          <w:lang w:val="pt-BR"/>
        </w:rPr>
        <w:t xml:space="preserve">, párr. </w:t>
      </w:r>
      <w:r w:rsidR="00DE4B43" w:rsidRPr="003C2C9B">
        <w:rPr>
          <w:szCs w:val="16"/>
          <w:lang w:val="pt-BR"/>
        </w:rPr>
        <w:t>104</w:t>
      </w:r>
      <w:r w:rsidR="00B43BE7" w:rsidRPr="003C2C9B">
        <w:rPr>
          <w:szCs w:val="16"/>
          <w:lang w:val="pt-BR"/>
        </w:rPr>
        <w:t>.</w:t>
      </w:r>
    </w:p>
  </w:footnote>
  <w:footnote w:id="152">
    <w:p w14:paraId="704A79AC" w14:textId="39B16070" w:rsidR="00FD43DE" w:rsidRPr="00CD68BA" w:rsidRDefault="00FD43DE" w:rsidP="00D12B21">
      <w:pPr>
        <w:spacing w:before="0"/>
        <w:rPr>
          <w:sz w:val="16"/>
          <w:szCs w:val="16"/>
          <w:lang w:val="es-CR"/>
        </w:rPr>
      </w:pPr>
      <w:r w:rsidRPr="00CD68BA">
        <w:rPr>
          <w:rStyle w:val="Refdenotaalpie"/>
          <w:sz w:val="16"/>
          <w:szCs w:val="16"/>
          <w:lang w:val="es-CR"/>
        </w:rPr>
        <w:footnoteRef/>
      </w:r>
      <w:r w:rsidRPr="003C2C9B">
        <w:rPr>
          <w:sz w:val="16"/>
          <w:szCs w:val="16"/>
          <w:lang w:val="pt-BR"/>
        </w:rPr>
        <w:tab/>
      </w:r>
      <w:r w:rsidRPr="003C2C9B">
        <w:rPr>
          <w:rFonts w:cs="Verdana-Italic"/>
          <w:i/>
          <w:iCs/>
          <w:sz w:val="16"/>
          <w:szCs w:val="16"/>
          <w:lang w:val="pt-BR"/>
        </w:rPr>
        <w:t xml:space="preserve">Cfr. </w:t>
      </w:r>
      <w:r w:rsidRPr="003C2C9B">
        <w:rPr>
          <w:i/>
          <w:sz w:val="16"/>
          <w:szCs w:val="16"/>
          <w:lang w:val="pt-BR"/>
        </w:rPr>
        <w:t xml:space="preserve">Caso Nogueira de Carvalho y otros Vs. </w:t>
      </w:r>
      <w:r w:rsidRPr="009D33A1">
        <w:rPr>
          <w:i/>
          <w:sz w:val="16"/>
          <w:szCs w:val="16"/>
          <w:lang w:val="es-CR"/>
        </w:rPr>
        <w:t>Brasil</w:t>
      </w:r>
      <w:r w:rsidR="00B3312B" w:rsidRPr="009D33A1">
        <w:rPr>
          <w:i/>
          <w:sz w:val="16"/>
          <w:szCs w:val="16"/>
          <w:lang w:val="es-CR"/>
        </w:rPr>
        <w:t>, supra</w:t>
      </w:r>
      <w:r w:rsidRPr="009D33A1">
        <w:rPr>
          <w:sz w:val="16"/>
          <w:szCs w:val="16"/>
          <w:lang w:val="es-CR"/>
        </w:rPr>
        <w:t xml:space="preserve">, párr. </w:t>
      </w:r>
      <w:r w:rsidRPr="00CD68BA">
        <w:rPr>
          <w:sz w:val="16"/>
          <w:szCs w:val="16"/>
          <w:lang w:val="es-CR"/>
        </w:rPr>
        <w:t xml:space="preserve">74, y </w:t>
      </w:r>
      <w:r w:rsidR="00B3312B" w:rsidRPr="00CD68BA">
        <w:rPr>
          <w:i/>
          <w:iCs/>
          <w:sz w:val="16"/>
          <w:szCs w:val="16"/>
          <w:lang w:val="es-CR"/>
        </w:rPr>
        <w:t>Caso Digna Ochoa y familiares Vs. México, supra</w:t>
      </w:r>
      <w:r w:rsidR="00B3312B" w:rsidRPr="00CD68BA">
        <w:rPr>
          <w:sz w:val="16"/>
          <w:szCs w:val="16"/>
          <w:lang w:val="es-CR"/>
        </w:rPr>
        <w:t>, párr. 100.</w:t>
      </w:r>
    </w:p>
  </w:footnote>
  <w:footnote w:id="153">
    <w:p w14:paraId="742AA222" w14:textId="5DF81A4D" w:rsidR="00FD43DE" w:rsidRPr="00CD68BA" w:rsidRDefault="00FD43D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pacing w:val="-12"/>
          <w:szCs w:val="16"/>
          <w:lang w:val="es-CR"/>
        </w:rPr>
        <w:t xml:space="preserve">Cfr. </w:t>
      </w:r>
      <w:r w:rsidRPr="00CD68BA">
        <w:rPr>
          <w:i/>
          <w:szCs w:val="16"/>
          <w:lang w:val="es-CR"/>
        </w:rPr>
        <w:t>Caso Valle Jaramillo y otros Vs. Colombia. Fondo, Reparaciones y Costas.</w:t>
      </w:r>
      <w:r w:rsidRPr="00CD68BA">
        <w:rPr>
          <w:szCs w:val="16"/>
          <w:lang w:val="es-CR"/>
        </w:rPr>
        <w:t xml:space="preserve"> Sentencia de 27 de noviembre de 2008. Serie C No. 192, párr. 88 y.</w:t>
      </w:r>
      <w:r w:rsidR="0037150B" w:rsidRPr="00CD68BA">
        <w:rPr>
          <w:i/>
          <w:iCs/>
          <w:szCs w:val="16"/>
          <w:lang w:val="es-CR"/>
        </w:rPr>
        <w:t xml:space="preserve"> Caso Digna Ochoa y familiares Vs. México, supra</w:t>
      </w:r>
      <w:r w:rsidR="0037150B" w:rsidRPr="00CD68BA">
        <w:rPr>
          <w:szCs w:val="16"/>
          <w:lang w:val="es-CR"/>
        </w:rPr>
        <w:t>, párr. 100.</w:t>
      </w:r>
    </w:p>
  </w:footnote>
  <w:footnote w:id="154">
    <w:p w14:paraId="229AECDD" w14:textId="1215E57A" w:rsidR="00FD43DE" w:rsidRPr="00CD68BA" w:rsidRDefault="00FD43D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rFonts w:cs="Open Sans"/>
          <w:i/>
          <w:iCs/>
          <w:szCs w:val="16"/>
          <w:shd w:val="clear" w:color="auto" w:fill="FFFFFF"/>
          <w:lang w:val="es-CR"/>
        </w:rPr>
        <w:t>Caso Digna Ochoa y familiares Vs. México</w:t>
      </w:r>
      <w:r w:rsidR="0037150B" w:rsidRPr="00CD68BA">
        <w:rPr>
          <w:rFonts w:cs="Open Sans"/>
          <w:i/>
          <w:iCs/>
          <w:szCs w:val="16"/>
          <w:shd w:val="clear" w:color="auto" w:fill="FFFFFF"/>
          <w:lang w:val="es-CR"/>
        </w:rPr>
        <w:t>, supra</w:t>
      </w:r>
      <w:r w:rsidRPr="00CD68BA">
        <w:rPr>
          <w:rFonts w:cs="Open Sans"/>
          <w:szCs w:val="16"/>
          <w:shd w:val="clear" w:color="auto" w:fill="FFFFFF"/>
          <w:lang w:val="es-CR"/>
        </w:rPr>
        <w:t>, párr. 135</w:t>
      </w:r>
      <w:r w:rsidR="0037150B" w:rsidRPr="00CD68BA">
        <w:rPr>
          <w:rFonts w:cs="Open Sans"/>
          <w:szCs w:val="16"/>
          <w:shd w:val="clear" w:color="auto" w:fill="FFFFFF"/>
          <w:lang w:val="es-CR"/>
        </w:rPr>
        <w:t>.</w:t>
      </w:r>
    </w:p>
  </w:footnote>
  <w:footnote w:id="155">
    <w:p w14:paraId="5E8E0245" w14:textId="6B626330" w:rsidR="00D27BE9" w:rsidRPr="003C2C9B" w:rsidRDefault="00D27BE9" w:rsidP="00D12B21">
      <w:pPr>
        <w:pStyle w:val="Textonotapie"/>
        <w:spacing w:before="0" w:after="60"/>
        <w:rPr>
          <w:szCs w:val="16"/>
          <w:lang w:val="pt-B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Caso Valle Jaramillo y otros Vs. Colombia</w:t>
      </w:r>
      <w:r w:rsidR="00733DE0" w:rsidRPr="00CD68BA">
        <w:rPr>
          <w:i/>
          <w:iCs/>
          <w:szCs w:val="16"/>
          <w:lang w:val="es-CR"/>
        </w:rPr>
        <w:t>, supra</w:t>
      </w:r>
      <w:r w:rsidRPr="00CD68BA">
        <w:rPr>
          <w:szCs w:val="16"/>
          <w:lang w:val="es-CR"/>
        </w:rPr>
        <w:t>, párr. 96</w:t>
      </w:r>
      <w:r w:rsidR="00733DE0" w:rsidRPr="00CD68BA">
        <w:rPr>
          <w:szCs w:val="16"/>
          <w:lang w:val="es-CR"/>
        </w:rPr>
        <w:t xml:space="preserve">, y </w:t>
      </w:r>
      <w:r w:rsidR="00733DE0" w:rsidRPr="00CD68BA">
        <w:rPr>
          <w:i/>
          <w:iCs/>
          <w:szCs w:val="16"/>
          <w:lang w:val="es-CR"/>
        </w:rPr>
        <w:t xml:space="preserve">Caso Escaleras Mejía y otros Vs. </w:t>
      </w:r>
      <w:r w:rsidR="00733DE0" w:rsidRPr="003C2C9B">
        <w:rPr>
          <w:i/>
          <w:iCs/>
          <w:szCs w:val="16"/>
          <w:lang w:val="pt-BR"/>
        </w:rPr>
        <w:t>Honduras</w:t>
      </w:r>
      <w:r w:rsidR="00DD4335" w:rsidRPr="003C2C9B">
        <w:rPr>
          <w:szCs w:val="16"/>
          <w:lang w:val="pt-BR"/>
        </w:rPr>
        <w:t xml:space="preserve">, </w:t>
      </w:r>
      <w:r w:rsidR="00DD4335" w:rsidRPr="003C2C9B">
        <w:rPr>
          <w:i/>
          <w:iCs/>
          <w:szCs w:val="16"/>
          <w:lang w:val="pt-BR"/>
        </w:rPr>
        <w:t>supra</w:t>
      </w:r>
      <w:r w:rsidR="00DD4335" w:rsidRPr="003C2C9B">
        <w:rPr>
          <w:szCs w:val="16"/>
          <w:lang w:val="pt-BR"/>
        </w:rPr>
        <w:t>, párr. 69.</w:t>
      </w:r>
    </w:p>
  </w:footnote>
  <w:footnote w:id="156">
    <w:p w14:paraId="08F9F45A" w14:textId="4CE3F717" w:rsidR="00D27BE9" w:rsidRPr="00CD68BA" w:rsidRDefault="00D27BE9" w:rsidP="00D12B21">
      <w:pPr>
        <w:pStyle w:val="Textonotapie"/>
        <w:spacing w:before="0" w:after="60"/>
        <w:rPr>
          <w:szCs w:val="16"/>
          <w:lang w:val="es-CR"/>
        </w:rPr>
      </w:pPr>
      <w:r w:rsidRPr="00CD68BA">
        <w:rPr>
          <w:rStyle w:val="Refdenotaalpie"/>
          <w:szCs w:val="16"/>
          <w:lang w:val="es-CR"/>
        </w:rPr>
        <w:footnoteRef/>
      </w:r>
      <w:r w:rsidRPr="003C2C9B">
        <w:rPr>
          <w:szCs w:val="16"/>
          <w:lang w:val="pt-BR"/>
        </w:rPr>
        <w:t xml:space="preserve"> </w:t>
      </w:r>
      <w:r w:rsidRPr="003C2C9B">
        <w:rPr>
          <w:szCs w:val="16"/>
          <w:lang w:val="pt-BR"/>
        </w:rPr>
        <w:tab/>
      </w:r>
      <w:r w:rsidRPr="003C2C9B">
        <w:rPr>
          <w:i/>
          <w:iCs/>
          <w:szCs w:val="16"/>
          <w:lang w:val="pt-BR"/>
        </w:rPr>
        <w:t xml:space="preserve">Cfr. Caso Nogueira de Carvalho y otro Vs. </w:t>
      </w:r>
      <w:r w:rsidRPr="009D33A1">
        <w:rPr>
          <w:i/>
          <w:iCs/>
          <w:szCs w:val="16"/>
          <w:lang w:val="es-CR"/>
        </w:rPr>
        <w:t>Brasil</w:t>
      </w:r>
      <w:r w:rsidR="00DD4335" w:rsidRPr="009D33A1">
        <w:rPr>
          <w:i/>
          <w:iCs/>
          <w:szCs w:val="16"/>
          <w:lang w:val="es-CR"/>
        </w:rPr>
        <w:t>, supra</w:t>
      </w:r>
      <w:r w:rsidRPr="009D33A1">
        <w:rPr>
          <w:szCs w:val="16"/>
          <w:lang w:val="es-CR"/>
        </w:rPr>
        <w:t xml:space="preserve">, párr. </w:t>
      </w:r>
      <w:r w:rsidRPr="00CD68BA">
        <w:rPr>
          <w:szCs w:val="16"/>
          <w:lang w:val="es-CR"/>
        </w:rPr>
        <w:t xml:space="preserve">76, y </w:t>
      </w:r>
      <w:r w:rsidRPr="00CD68BA">
        <w:rPr>
          <w:i/>
          <w:iCs/>
          <w:szCs w:val="16"/>
          <w:lang w:val="es-CR"/>
        </w:rPr>
        <w:t>Caso Valle Jaramillo y otros Vs. Colombia</w:t>
      </w:r>
      <w:r w:rsidR="00DD4335" w:rsidRPr="00CD68BA">
        <w:rPr>
          <w:i/>
          <w:iCs/>
          <w:szCs w:val="16"/>
          <w:lang w:val="es-CR"/>
        </w:rPr>
        <w:t>, supra</w:t>
      </w:r>
      <w:r w:rsidRPr="00CD68BA">
        <w:rPr>
          <w:szCs w:val="16"/>
          <w:lang w:val="es-CR"/>
        </w:rPr>
        <w:t>, párr. 96.</w:t>
      </w:r>
    </w:p>
  </w:footnote>
  <w:footnote w:id="157">
    <w:p w14:paraId="2B31E44B" w14:textId="77777777" w:rsidR="00322C10"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El perito Kalil enfatizó que</w:t>
      </w:r>
      <w:r w:rsidR="00322C10" w:rsidRPr="00CD68BA">
        <w:rPr>
          <w:szCs w:val="16"/>
          <w:lang w:val="es-CR"/>
        </w:rPr>
        <w:t>,</w:t>
      </w:r>
    </w:p>
    <w:p w14:paraId="3D1EAC1B" w14:textId="6C07559F" w:rsidR="00001FD9" w:rsidRPr="00CD68BA" w:rsidRDefault="00001FD9" w:rsidP="00EE6124">
      <w:pPr>
        <w:pStyle w:val="Textonotapie"/>
        <w:spacing w:before="0" w:after="60"/>
        <w:ind w:left="851" w:right="851"/>
        <w:rPr>
          <w:szCs w:val="16"/>
          <w:lang w:val="es-CR"/>
        </w:rPr>
      </w:pPr>
      <w:r w:rsidRPr="00CD68BA">
        <w:rPr>
          <w:szCs w:val="16"/>
          <w:lang w:val="es-CR"/>
        </w:rPr>
        <w:t xml:space="preserve">todas las alegaciones de actos de violencia contra personas que defienden los derechos </w:t>
      </w:r>
      <w:r w:rsidR="00AB16F6" w:rsidRPr="00CD68BA">
        <w:rPr>
          <w:szCs w:val="16"/>
          <w:lang w:val="es-CR"/>
        </w:rPr>
        <w:t xml:space="preserve">e intereses </w:t>
      </w:r>
      <w:r w:rsidRPr="00CD68BA">
        <w:rPr>
          <w:szCs w:val="16"/>
          <w:lang w:val="es-CR"/>
        </w:rPr>
        <w:t>de los trabajadores deben de ser investigada</w:t>
      </w:r>
      <w:r w:rsidR="00C90404" w:rsidRPr="00CD68BA">
        <w:rPr>
          <w:szCs w:val="16"/>
          <w:lang w:val="es-CR"/>
        </w:rPr>
        <w:t>s</w:t>
      </w:r>
      <w:r w:rsidRPr="00CD68BA">
        <w:rPr>
          <w:szCs w:val="16"/>
          <w:lang w:val="es-CR"/>
        </w:rPr>
        <w:t xml:space="preserve"> de forma minuciosa</w:t>
      </w:r>
      <w:r w:rsidR="002855DF" w:rsidRPr="00CD68BA">
        <w:rPr>
          <w:szCs w:val="16"/>
          <w:lang w:val="es-CR"/>
        </w:rPr>
        <w:t>,</w:t>
      </w:r>
      <w:r w:rsidRPr="00CD68BA">
        <w:rPr>
          <w:szCs w:val="16"/>
          <w:lang w:val="es-CR"/>
        </w:rPr>
        <w:t xml:space="preserve"> y se debe </w:t>
      </w:r>
      <w:r w:rsidR="00AB16F6" w:rsidRPr="00CD68BA">
        <w:rPr>
          <w:szCs w:val="16"/>
          <w:lang w:val="es-CR"/>
        </w:rPr>
        <w:t>tener en consideración</w:t>
      </w:r>
      <w:r w:rsidRPr="00CD68BA">
        <w:rPr>
          <w:szCs w:val="16"/>
          <w:lang w:val="es-CR"/>
        </w:rPr>
        <w:t xml:space="preserve"> una posible relación</w:t>
      </w:r>
      <w:r w:rsidR="00AB16F6" w:rsidRPr="00CD68BA">
        <w:rPr>
          <w:szCs w:val="16"/>
          <w:lang w:val="es-CR"/>
        </w:rPr>
        <w:t>, sea</w:t>
      </w:r>
      <w:r w:rsidRPr="00CD68BA">
        <w:rPr>
          <w:szCs w:val="16"/>
          <w:lang w:val="es-CR"/>
        </w:rPr>
        <w:t xml:space="preserve"> directa o indirecta</w:t>
      </w:r>
      <w:r w:rsidR="00AB16F6" w:rsidRPr="00CD68BA">
        <w:rPr>
          <w:szCs w:val="16"/>
          <w:lang w:val="es-CR"/>
        </w:rPr>
        <w:t>,</w:t>
      </w:r>
      <w:r w:rsidRPr="00CD68BA">
        <w:rPr>
          <w:szCs w:val="16"/>
          <w:lang w:val="es-CR"/>
        </w:rPr>
        <w:t xml:space="preserve"> entre la práctica de un acto violento cometido con la actividad de defen</w:t>
      </w:r>
      <w:r w:rsidR="006726B1" w:rsidRPr="00CD68BA">
        <w:rPr>
          <w:szCs w:val="16"/>
          <w:lang w:val="es-CR"/>
        </w:rPr>
        <w:t>sa de</w:t>
      </w:r>
      <w:r w:rsidRPr="00CD68BA">
        <w:rPr>
          <w:szCs w:val="16"/>
          <w:lang w:val="es-CR"/>
        </w:rPr>
        <w:t xml:space="preserve"> los derechos de los trabajadores. […] </w:t>
      </w:r>
      <w:r w:rsidR="002855DF" w:rsidRPr="00CD68BA">
        <w:rPr>
          <w:szCs w:val="16"/>
          <w:lang w:val="es-CR"/>
        </w:rPr>
        <w:t>[E]</w:t>
      </w:r>
      <w:r w:rsidRPr="00CD68BA">
        <w:rPr>
          <w:szCs w:val="16"/>
          <w:lang w:val="es-CR"/>
        </w:rPr>
        <w:t xml:space="preserve">l órgano que investiga una violación de derechos humanos debe de examinar la complejidad de los hechos, el contexto </w:t>
      </w:r>
      <w:r w:rsidR="002855DF" w:rsidRPr="00CD68BA">
        <w:rPr>
          <w:szCs w:val="16"/>
          <w:lang w:val="es-CR"/>
        </w:rPr>
        <w:t>en que ocurrieron</w:t>
      </w:r>
      <w:r w:rsidRPr="00CD68BA">
        <w:rPr>
          <w:szCs w:val="16"/>
          <w:lang w:val="es-CR"/>
        </w:rPr>
        <w:t xml:space="preserve"> los hechos</w:t>
      </w:r>
      <w:r w:rsidR="002855DF" w:rsidRPr="00CD68BA">
        <w:rPr>
          <w:szCs w:val="16"/>
          <w:lang w:val="es-CR"/>
        </w:rPr>
        <w:t>,</w:t>
      </w:r>
      <w:r w:rsidRPr="00CD68BA">
        <w:rPr>
          <w:szCs w:val="16"/>
          <w:lang w:val="es-CR"/>
        </w:rPr>
        <w:t xml:space="preserve"> y los patrones que explican los motivos por los cuales es</w:t>
      </w:r>
      <w:r w:rsidR="002855DF" w:rsidRPr="00CD68BA">
        <w:rPr>
          <w:szCs w:val="16"/>
          <w:lang w:val="es-CR"/>
        </w:rPr>
        <w:t>t</w:t>
      </w:r>
      <w:r w:rsidRPr="00CD68BA">
        <w:rPr>
          <w:szCs w:val="16"/>
          <w:lang w:val="es-CR"/>
        </w:rPr>
        <w:t>os eventos</w:t>
      </w:r>
      <w:r w:rsidR="002855DF" w:rsidRPr="00CD68BA">
        <w:rPr>
          <w:szCs w:val="16"/>
          <w:lang w:val="es-CR"/>
        </w:rPr>
        <w:t xml:space="preserve"> ocurrieron […,]</w:t>
      </w:r>
      <w:r w:rsidRPr="00CD68BA">
        <w:rPr>
          <w:szCs w:val="16"/>
          <w:lang w:val="es-CR"/>
        </w:rPr>
        <w:t xml:space="preserve"> para asegurar que no haya </w:t>
      </w:r>
      <w:r w:rsidR="00412AB9" w:rsidRPr="00CD68BA">
        <w:rPr>
          <w:szCs w:val="16"/>
          <w:lang w:val="es-CR"/>
        </w:rPr>
        <w:t xml:space="preserve">una </w:t>
      </w:r>
      <w:r w:rsidRPr="00CD68BA">
        <w:rPr>
          <w:szCs w:val="16"/>
          <w:lang w:val="es-CR"/>
        </w:rPr>
        <w:t xml:space="preserve">omisión </w:t>
      </w:r>
      <w:r w:rsidR="00412AB9" w:rsidRPr="00CD68BA">
        <w:rPr>
          <w:szCs w:val="16"/>
          <w:lang w:val="es-CR"/>
        </w:rPr>
        <w:t xml:space="preserve">al </w:t>
      </w:r>
      <w:r w:rsidRPr="00CD68BA">
        <w:rPr>
          <w:szCs w:val="16"/>
          <w:lang w:val="es-CR"/>
        </w:rPr>
        <w:t>re</w:t>
      </w:r>
      <w:r w:rsidR="00412AB9" w:rsidRPr="00CD68BA">
        <w:rPr>
          <w:szCs w:val="16"/>
          <w:lang w:val="es-CR"/>
        </w:rPr>
        <w:t>ca</w:t>
      </w:r>
      <w:r w:rsidR="004817F0" w:rsidRPr="00CD68BA">
        <w:rPr>
          <w:szCs w:val="16"/>
          <w:lang w:val="es-CR"/>
        </w:rPr>
        <w:t>b</w:t>
      </w:r>
      <w:r w:rsidR="00412AB9" w:rsidRPr="00CD68BA">
        <w:rPr>
          <w:szCs w:val="16"/>
          <w:lang w:val="es-CR"/>
        </w:rPr>
        <w:t>ar</w:t>
      </w:r>
      <w:r w:rsidRPr="00CD68BA">
        <w:rPr>
          <w:szCs w:val="16"/>
          <w:lang w:val="es-CR"/>
        </w:rPr>
        <w:t xml:space="preserve"> pruebas </w:t>
      </w:r>
      <w:r w:rsidR="00412AB9" w:rsidRPr="00CD68BA">
        <w:rPr>
          <w:szCs w:val="16"/>
          <w:lang w:val="es-CR"/>
        </w:rPr>
        <w:t>o</w:t>
      </w:r>
      <w:r w:rsidRPr="00CD68BA">
        <w:rPr>
          <w:szCs w:val="16"/>
          <w:lang w:val="es-CR"/>
        </w:rPr>
        <w:t xml:space="preserve"> en el desarrollo de la</w:t>
      </w:r>
      <w:r w:rsidR="00412AB9" w:rsidRPr="00CD68BA">
        <w:rPr>
          <w:szCs w:val="16"/>
          <w:lang w:val="es-CR"/>
        </w:rPr>
        <w:t>s líneas lógicas de</w:t>
      </w:r>
      <w:r w:rsidRPr="00CD68BA">
        <w:rPr>
          <w:szCs w:val="16"/>
          <w:lang w:val="es-CR"/>
        </w:rPr>
        <w:t xml:space="preserve"> investigación. En ese sentido</w:t>
      </w:r>
      <w:r w:rsidR="00412AB9" w:rsidRPr="00CD68BA">
        <w:rPr>
          <w:szCs w:val="16"/>
          <w:lang w:val="es-CR"/>
        </w:rPr>
        <w:t>,</w:t>
      </w:r>
      <w:r w:rsidRPr="00CD68BA">
        <w:rPr>
          <w:szCs w:val="16"/>
          <w:lang w:val="es-CR"/>
        </w:rPr>
        <w:t xml:space="preserve"> es fundamental adoptar las medidas necesarias para evaluar patrones sistemáticos que permitier</w:t>
      </w:r>
      <w:r w:rsidR="00412AB9" w:rsidRPr="00CD68BA">
        <w:rPr>
          <w:szCs w:val="16"/>
          <w:lang w:val="es-CR"/>
        </w:rPr>
        <w:t>o</w:t>
      </w:r>
      <w:r w:rsidRPr="00CD68BA">
        <w:rPr>
          <w:szCs w:val="16"/>
          <w:lang w:val="es-CR"/>
        </w:rPr>
        <w:t xml:space="preserve">n la ocurrencia de violaciones de derechos humanos, así como </w:t>
      </w:r>
      <w:r w:rsidR="00964EFE" w:rsidRPr="00CD68BA">
        <w:rPr>
          <w:szCs w:val="16"/>
          <w:lang w:val="es-CR"/>
        </w:rPr>
        <w:t xml:space="preserve">los </w:t>
      </w:r>
      <w:r w:rsidRPr="00CD68BA">
        <w:rPr>
          <w:szCs w:val="16"/>
          <w:lang w:val="es-CR"/>
        </w:rPr>
        <w:t>mecanismos y estructuras por medio de las cuales la impunidad pued</w:t>
      </w:r>
      <w:r w:rsidR="00964EFE" w:rsidRPr="00CD68BA">
        <w:rPr>
          <w:szCs w:val="16"/>
          <w:lang w:val="es-CR"/>
        </w:rPr>
        <w:t>a</w:t>
      </w:r>
      <w:r w:rsidRPr="00CD68BA">
        <w:rPr>
          <w:szCs w:val="16"/>
          <w:lang w:val="es-CR"/>
        </w:rPr>
        <w:t xml:space="preserve"> prevalecer. </w:t>
      </w:r>
      <w:bookmarkStart w:id="137" w:name="_Hlk110156805"/>
      <w:r w:rsidRPr="00CD68BA">
        <w:rPr>
          <w:szCs w:val="16"/>
          <w:lang w:val="es-CR"/>
        </w:rPr>
        <w:t>Peritaje de Ren</w:t>
      </w:r>
      <w:r w:rsidR="00CF4168" w:rsidRPr="00CD68BA">
        <w:rPr>
          <w:szCs w:val="16"/>
          <w:lang w:val="es-CR"/>
        </w:rPr>
        <w:t>a</w:t>
      </w:r>
      <w:r w:rsidRPr="00CD68BA">
        <w:rPr>
          <w:szCs w:val="16"/>
          <w:lang w:val="es-CR"/>
        </w:rPr>
        <w:t xml:space="preserve">n Kalil </w:t>
      </w:r>
      <w:r w:rsidR="009015F3" w:rsidRPr="00CD68BA">
        <w:rPr>
          <w:szCs w:val="16"/>
          <w:lang w:val="es-CR"/>
        </w:rPr>
        <w:t>durante la audiencia pública del presente caso</w:t>
      </w:r>
      <w:bookmarkEnd w:id="137"/>
      <w:r w:rsidRPr="00CD68BA">
        <w:rPr>
          <w:szCs w:val="16"/>
          <w:lang w:val="es-CR"/>
        </w:rPr>
        <w:t>.</w:t>
      </w:r>
    </w:p>
  </w:footnote>
  <w:footnote w:id="158">
    <w:p w14:paraId="5CBD6ACA" w14:textId="77777777"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Al respecto, la Corte coincide con el Relator Especial sobre la situación de los defensores de los derechos humanos en que “la protección de las víctimas, los testigos y todas las partes procesales debe ser un eje transversal en todo el proceso”. </w:t>
      </w:r>
      <w:r w:rsidRPr="00CD68BA">
        <w:rPr>
          <w:i/>
          <w:iCs/>
          <w:szCs w:val="16"/>
          <w:lang w:val="es-CR"/>
        </w:rPr>
        <w:t>Cfr</w:t>
      </w:r>
      <w:r w:rsidRPr="00CD68BA">
        <w:rPr>
          <w:szCs w:val="16"/>
          <w:lang w:val="es-CR"/>
        </w:rPr>
        <w:t xml:space="preserve">. ONU, </w:t>
      </w:r>
      <w:r w:rsidRPr="00CD68BA">
        <w:rPr>
          <w:i/>
          <w:iCs/>
          <w:szCs w:val="16"/>
          <w:lang w:val="es-CR"/>
        </w:rPr>
        <w:t>I</w:t>
      </w:r>
      <w:r w:rsidRPr="00CD68BA">
        <w:rPr>
          <w:rFonts w:cs="Times New Roman"/>
          <w:i/>
          <w:iCs/>
          <w:szCs w:val="16"/>
          <w:lang w:val="es-CR"/>
        </w:rPr>
        <w:t xml:space="preserve">nforme del Relator Especial sobre la situación de los defensores de los derechos humanos, Michel Forst. </w:t>
      </w:r>
      <w:r w:rsidRPr="00CD68BA">
        <w:rPr>
          <w:rFonts w:cs="Times New Roman"/>
          <w:szCs w:val="16"/>
          <w:lang w:val="es-CR"/>
        </w:rPr>
        <w:t>Doc. A/74/159, 15 de julio de 2019</w:t>
      </w:r>
      <w:r w:rsidRPr="00CD68BA">
        <w:rPr>
          <w:szCs w:val="16"/>
          <w:lang w:val="es-CR"/>
        </w:rPr>
        <w:t>, párr. 90.</w:t>
      </w:r>
    </w:p>
  </w:footnote>
  <w:footnote w:id="159">
    <w:p w14:paraId="69B69F32" w14:textId="22BF4357"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Peritaje</w:t>
      </w:r>
      <w:r w:rsidR="00E0357B" w:rsidRPr="00CD68BA">
        <w:rPr>
          <w:szCs w:val="16"/>
          <w:lang w:val="es-CR"/>
        </w:rPr>
        <w:t xml:space="preserve"> de</w:t>
      </w:r>
      <w:r w:rsidRPr="00CD68BA">
        <w:rPr>
          <w:szCs w:val="16"/>
          <w:lang w:val="es-CR"/>
        </w:rPr>
        <w:t xml:space="preserve"> </w:t>
      </w:r>
      <w:r w:rsidR="00E0357B" w:rsidRPr="00CD68BA">
        <w:rPr>
          <w:szCs w:val="16"/>
          <w:lang w:val="es-CR"/>
        </w:rPr>
        <w:t>Ren</w:t>
      </w:r>
      <w:r w:rsidR="00CF4168" w:rsidRPr="00CD68BA">
        <w:rPr>
          <w:szCs w:val="16"/>
          <w:lang w:val="es-CR"/>
        </w:rPr>
        <w:t>a</w:t>
      </w:r>
      <w:r w:rsidR="00E0357B" w:rsidRPr="00CD68BA">
        <w:rPr>
          <w:szCs w:val="16"/>
          <w:lang w:val="es-CR"/>
        </w:rPr>
        <w:t>n Kalil</w:t>
      </w:r>
      <w:r w:rsidR="00B57508" w:rsidRPr="00CD68BA">
        <w:rPr>
          <w:szCs w:val="16"/>
          <w:lang w:val="es-CR"/>
        </w:rPr>
        <w:t xml:space="preserve"> durante la audiencia pública del presente caso.</w:t>
      </w:r>
    </w:p>
  </w:footnote>
  <w:footnote w:id="160">
    <w:p w14:paraId="1E063CE0" w14:textId="59C75DB8" w:rsidR="00001FD9" w:rsidRPr="00CD68BA" w:rsidRDefault="00001FD9" w:rsidP="00D12B21">
      <w:pPr>
        <w:pStyle w:val="Textonotapie"/>
        <w:spacing w:before="0" w:after="60"/>
        <w:rPr>
          <w:b/>
          <w:bCs/>
          <w:szCs w:val="16"/>
          <w:u w:val="single"/>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Versión escrita del peritaje</w:t>
      </w:r>
      <w:r w:rsidR="00E0357B" w:rsidRPr="00CD68BA">
        <w:rPr>
          <w:szCs w:val="16"/>
          <w:lang w:val="es-CR"/>
        </w:rPr>
        <w:t xml:space="preserve"> de</w:t>
      </w:r>
      <w:r w:rsidRPr="00CD68BA">
        <w:rPr>
          <w:szCs w:val="16"/>
          <w:lang w:val="es-CR"/>
        </w:rPr>
        <w:t xml:space="preserve"> </w:t>
      </w:r>
      <w:r w:rsidR="00E0357B" w:rsidRPr="00CD68BA">
        <w:rPr>
          <w:szCs w:val="16"/>
          <w:lang w:val="es-CR"/>
        </w:rPr>
        <w:t xml:space="preserve">Renan Kalil </w:t>
      </w:r>
      <w:r w:rsidR="00B57508" w:rsidRPr="00CD68BA">
        <w:rPr>
          <w:szCs w:val="16"/>
          <w:lang w:val="es-CR"/>
        </w:rPr>
        <w:t>de 20 de abril de 2022 (expediente de prueba, folio</w:t>
      </w:r>
      <w:r w:rsidR="00444B08" w:rsidRPr="00CD68BA">
        <w:rPr>
          <w:szCs w:val="16"/>
          <w:lang w:val="es-CR"/>
        </w:rPr>
        <w:t xml:space="preserve"> 8</w:t>
      </w:r>
      <w:r w:rsidR="0017470A" w:rsidRPr="00CD68BA">
        <w:rPr>
          <w:szCs w:val="16"/>
          <w:lang w:val="es-CR"/>
        </w:rPr>
        <w:t>694</w:t>
      </w:r>
      <w:r w:rsidR="00444B08" w:rsidRPr="00CD68BA">
        <w:rPr>
          <w:szCs w:val="16"/>
          <w:lang w:val="es-CR"/>
        </w:rPr>
        <w:t xml:space="preserve"> a</w:t>
      </w:r>
      <w:r w:rsidR="0017470A" w:rsidRPr="00CD68BA">
        <w:rPr>
          <w:szCs w:val="16"/>
          <w:lang w:val="es-CR"/>
        </w:rPr>
        <w:t xml:space="preserve"> 8712)</w:t>
      </w:r>
      <w:r w:rsidR="00E0357B" w:rsidRPr="00CD68BA">
        <w:rPr>
          <w:szCs w:val="16"/>
          <w:lang w:val="es-CR"/>
        </w:rPr>
        <w:t>.</w:t>
      </w:r>
      <w:r w:rsidR="0017470A" w:rsidRPr="00CD68BA">
        <w:rPr>
          <w:szCs w:val="16"/>
          <w:lang w:val="es-CR"/>
        </w:rPr>
        <w:t xml:space="preserve"> </w:t>
      </w:r>
    </w:p>
  </w:footnote>
  <w:footnote w:id="161">
    <w:p w14:paraId="59B6591B" w14:textId="7ADA9A81" w:rsidR="00D331B1" w:rsidRPr="00CD68BA" w:rsidRDefault="00D331B1" w:rsidP="00D331B1">
      <w:pPr>
        <w:pStyle w:val="Textonotapie"/>
        <w:spacing w:before="0" w:after="60"/>
        <w:rPr>
          <w:b/>
          <w:bCs/>
          <w:szCs w:val="16"/>
          <w:u w:val="single"/>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Peritaje de Fernando Michelotti, </w:t>
      </w:r>
      <w:r w:rsidRPr="00CD68BA">
        <w:rPr>
          <w:i/>
          <w:iCs/>
          <w:szCs w:val="16"/>
          <w:lang w:val="es-CR"/>
        </w:rPr>
        <w:t xml:space="preserve">supra </w:t>
      </w:r>
      <w:r w:rsidRPr="00CD68BA">
        <w:rPr>
          <w:szCs w:val="16"/>
          <w:lang w:val="es-CR"/>
        </w:rPr>
        <w:t>(expediente de prueba, folios 7253 a 7263).</w:t>
      </w:r>
    </w:p>
  </w:footnote>
  <w:footnote w:id="162">
    <w:p w14:paraId="705A0C94" w14:textId="51B4D988"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Peritaje </w:t>
      </w:r>
      <w:r w:rsidR="00E0357B" w:rsidRPr="00CD68BA">
        <w:rPr>
          <w:szCs w:val="16"/>
          <w:lang w:val="es-CR"/>
        </w:rPr>
        <w:t>de Carlos Eduardo Gaio</w:t>
      </w:r>
      <w:r w:rsidR="00956A09" w:rsidRPr="00CD68BA">
        <w:rPr>
          <w:szCs w:val="16"/>
          <w:lang w:val="es-CR"/>
        </w:rPr>
        <w:t xml:space="preserve">, </w:t>
      </w:r>
      <w:r w:rsidR="00956A09" w:rsidRPr="00CD68BA">
        <w:rPr>
          <w:i/>
          <w:iCs/>
          <w:szCs w:val="16"/>
          <w:lang w:val="es-CR"/>
        </w:rPr>
        <w:t xml:space="preserve">supra </w:t>
      </w:r>
      <w:r w:rsidR="00C96A37" w:rsidRPr="00CD68BA">
        <w:rPr>
          <w:szCs w:val="16"/>
          <w:lang w:val="es-CR"/>
        </w:rPr>
        <w:t>(expediente de prueba, folios 7286 a 7300).</w:t>
      </w:r>
    </w:p>
  </w:footnote>
  <w:footnote w:id="163">
    <w:p w14:paraId="49A1743D" w14:textId="63277A5C"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Declaración</w:t>
      </w:r>
      <w:r w:rsidR="00293E21" w:rsidRPr="00CD68BA">
        <w:rPr>
          <w:szCs w:val="16"/>
          <w:lang w:val="es-CR"/>
        </w:rPr>
        <w:t xml:space="preserve"> </w:t>
      </w:r>
      <w:r w:rsidR="005501CC" w:rsidRPr="00CD68BA">
        <w:rPr>
          <w:szCs w:val="16"/>
          <w:lang w:val="es-CR"/>
        </w:rPr>
        <w:t>de</w:t>
      </w:r>
      <w:r w:rsidRPr="00CD68BA">
        <w:rPr>
          <w:szCs w:val="16"/>
          <w:lang w:val="es-CR"/>
        </w:rPr>
        <w:t xml:space="preserve"> Darci Frigo</w:t>
      </w:r>
      <w:r w:rsidR="00AA6403" w:rsidRPr="00CD68BA">
        <w:rPr>
          <w:szCs w:val="16"/>
          <w:lang w:val="es-CR"/>
        </w:rPr>
        <w:t xml:space="preserve">, </w:t>
      </w:r>
      <w:r w:rsidR="00AA6403" w:rsidRPr="00CD68BA">
        <w:rPr>
          <w:rFonts w:cs="Arial"/>
          <w:i/>
          <w:iCs/>
          <w:szCs w:val="16"/>
          <w:lang w:val="es-CR"/>
        </w:rPr>
        <w:t xml:space="preserve">supra </w:t>
      </w:r>
      <w:r w:rsidR="00E66F4B" w:rsidRPr="00CD68BA">
        <w:rPr>
          <w:szCs w:val="16"/>
          <w:lang w:val="es-CR"/>
        </w:rPr>
        <w:t>(expediente de prueba, folios 6722 a 6727).</w:t>
      </w:r>
    </w:p>
  </w:footnote>
  <w:footnote w:id="164">
    <w:p w14:paraId="51F52658" w14:textId="20440AF7"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Declaración </w:t>
      </w:r>
      <w:r w:rsidR="005501CC" w:rsidRPr="00CD68BA">
        <w:rPr>
          <w:szCs w:val="16"/>
          <w:lang w:val="es-CR"/>
        </w:rPr>
        <w:t>de</w:t>
      </w:r>
      <w:r w:rsidRPr="00CD68BA">
        <w:rPr>
          <w:szCs w:val="16"/>
          <w:lang w:val="es-CR"/>
        </w:rPr>
        <w:t xml:space="preserve"> José Batista Golçalves Afonso</w:t>
      </w:r>
      <w:r w:rsidR="00E66F4B" w:rsidRPr="00CD68BA">
        <w:rPr>
          <w:szCs w:val="16"/>
          <w:lang w:val="es-CR"/>
        </w:rPr>
        <w:t xml:space="preserve"> </w:t>
      </w:r>
      <w:r w:rsidR="005501CC" w:rsidRPr="00CD68BA">
        <w:rPr>
          <w:szCs w:val="16"/>
          <w:lang w:val="es-CR"/>
        </w:rPr>
        <w:t>de</w:t>
      </w:r>
      <w:r w:rsidR="001D2573" w:rsidRPr="00CD68BA">
        <w:rPr>
          <w:szCs w:val="16"/>
          <w:lang w:val="es-CR"/>
        </w:rPr>
        <w:t xml:space="preserve"> 1</w:t>
      </w:r>
      <w:r w:rsidR="005501CC" w:rsidRPr="00CD68BA">
        <w:rPr>
          <w:szCs w:val="16"/>
          <w:lang w:val="es-CR"/>
        </w:rPr>
        <w:t>0</w:t>
      </w:r>
      <w:r w:rsidR="001D2573" w:rsidRPr="00CD68BA">
        <w:rPr>
          <w:szCs w:val="16"/>
          <w:lang w:val="es-CR"/>
        </w:rPr>
        <w:t xml:space="preserve"> de marzo de 2022 (</w:t>
      </w:r>
      <w:r w:rsidR="00E66F4B" w:rsidRPr="00CD68BA">
        <w:rPr>
          <w:szCs w:val="16"/>
          <w:lang w:val="es-CR"/>
        </w:rPr>
        <w:t xml:space="preserve">expediente de prueba, folios </w:t>
      </w:r>
      <w:r w:rsidR="001D2573" w:rsidRPr="00CD68BA">
        <w:rPr>
          <w:szCs w:val="16"/>
          <w:lang w:val="es-CR"/>
        </w:rPr>
        <w:t>7175 a 7177).</w:t>
      </w:r>
    </w:p>
  </w:footnote>
  <w:footnote w:id="165">
    <w:p w14:paraId="5CF78D76" w14:textId="28D7F4D6" w:rsidR="00D25B20" w:rsidRPr="00CD68BA" w:rsidRDefault="00D25B2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Adición a la Representación de Custodia Preventiva</w:t>
      </w:r>
      <w:r w:rsidR="00053425" w:rsidRPr="00CD68BA">
        <w:rPr>
          <w:szCs w:val="16"/>
          <w:lang w:val="es-CR"/>
        </w:rPr>
        <w:t xml:space="preserve"> suscrito por el Comisario de Policía</w:t>
      </w:r>
      <w:r w:rsidRPr="00CD68BA">
        <w:rPr>
          <w:szCs w:val="16"/>
          <w:lang w:val="es-CR"/>
        </w:rPr>
        <w:t xml:space="preserve">, de 6 de agosto de 1982 (expediente de prueba, folios 2244 a 2247). </w:t>
      </w:r>
      <w:r w:rsidR="00990287" w:rsidRPr="00CD68BA">
        <w:rPr>
          <w:szCs w:val="16"/>
          <w:lang w:val="es-CR"/>
        </w:rPr>
        <w:t>V</w:t>
      </w:r>
      <w:r w:rsidR="00937FC0" w:rsidRPr="00CD68BA">
        <w:rPr>
          <w:szCs w:val="16"/>
          <w:lang w:val="es-CR"/>
        </w:rPr>
        <w:t>éase</w:t>
      </w:r>
      <w:r w:rsidR="005501CC" w:rsidRPr="00CD68BA">
        <w:rPr>
          <w:szCs w:val="16"/>
          <w:lang w:val="es-CR"/>
        </w:rPr>
        <w:t>,</w:t>
      </w:r>
      <w:r w:rsidR="00990287" w:rsidRPr="00CD68BA">
        <w:rPr>
          <w:szCs w:val="16"/>
          <w:lang w:val="es-CR"/>
        </w:rPr>
        <w:t xml:space="preserve"> también</w:t>
      </w:r>
      <w:r w:rsidR="005501CC" w:rsidRPr="00CD68BA">
        <w:rPr>
          <w:szCs w:val="16"/>
          <w:lang w:val="es-CR"/>
        </w:rPr>
        <w:t>,</w:t>
      </w:r>
      <w:r w:rsidR="00990287" w:rsidRPr="00CD68BA">
        <w:rPr>
          <w:szCs w:val="16"/>
          <w:lang w:val="es-CR"/>
        </w:rPr>
        <w:t xml:space="preserve"> </w:t>
      </w:r>
      <w:r w:rsidR="00823D0A" w:rsidRPr="00CD68BA">
        <w:rPr>
          <w:i/>
          <w:iCs/>
          <w:szCs w:val="16"/>
          <w:lang w:val="es-CR"/>
        </w:rPr>
        <w:t>supra</w:t>
      </w:r>
      <w:r w:rsidR="00990287" w:rsidRPr="00CD68BA">
        <w:rPr>
          <w:szCs w:val="16"/>
          <w:lang w:val="es-CR"/>
        </w:rPr>
        <w:t xml:space="preserve"> nota al pie 7</w:t>
      </w:r>
      <w:r w:rsidR="00823D0A" w:rsidRPr="00CD68BA">
        <w:rPr>
          <w:szCs w:val="16"/>
          <w:lang w:val="es-CR"/>
        </w:rPr>
        <w:t>8</w:t>
      </w:r>
      <w:r w:rsidR="00990287" w:rsidRPr="00CD68BA">
        <w:rPr>
          <w:szCs w:val="16"/>
          <w:lang w:val="es-CR"/>
        </w:rPr>
        <w:t>.</w:t>
      </w:r>
    </w:p>
  </w:footnote>
  <w:footnote w:id="166">
    <w:p w14:paraId="151DDBF0" w14:textId="45BC05D9" w:rsidR="00D92DCE" w:rsidRPr="00CD68BA" w:rsidRDefault="00D92DC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00FD2D64" w:rsidRPr="00CD68BA">
        <w:rPr>
          <w:szCs w:val="16"/>
          <w:lang w:val="es-CR"/>
        </w:rPr>
        <w:tab/>
      </w:r>
      <w:r w:rsidR="00FD2D64" w:rsidRPr="00CD68BA">
        <w:rPr>
          <w:i/>
          <w:iCs/>
          <w:szCs w:val="16"/>
          <w:lang w:val="es-CR"/>
        </w:rPr>
        <w:t xml:space="preserve">Cfr. </w:t>
      </w:r>
      <w:r w:rsidR="00FD2D64" w:rsidRPr="00CD68BA">
        <w:rPr>
          <w:rFonts w:cs="Times New Roman"/>
          <w:szCs w:val="16"/>
          <w:lang w:val="es-CR"/>
        </w:rPr>
        <w:t>Declaración realizada por Antonio Francisco da Silva</w:t>
      </w:r>
      <w:r w:rsidR="001636E2" w:rsidRPr="00CD68BA">
        <w:rPr>
          <w:rFonts w:cs="Times New Roman"/>
          <w:szCs w:val="16"/>
          <w:lang w:val="es-CR"/>
        </w:rPr>
        <w:t xml:space="preserve">, </w:t>
      </w:r>
      <w:r w:rsidR="001636E2" w:rsidRPr="00CD68BA">
        <w:rPr>
          <w:rFonts w:cs="Times New Roman"/>
          <w:i/>
          <w:iCs/>
          <w:szCs w:val="16"/>
          <w:lang w:val="es-CR"/>
        </w:rPr>
        <w:t xml:space="preserve">supra </w:t>
      </w:r>
      <w:r w:rsidR="00FD2D64" w:rsidRPr="00CD68BA">
        <w:rPr>
          <w:rFonts w:cs="Times New Roman"/>
          <w:szCs w:val="16"/>
          <w:lang w:val="es-CR"/>
        </w:rPr>
        <w:t>(expediente de prueba, folio 196), y Declaración realizada por Antonio Francisco da Silva el 19 de julio de 1982 (expediente de prueba, folio 2234).</w:t>
      </w:r>
    </w:p>
  </w:footnote>
  <w:footnote w:id="167">
    <w:p w14:paraId="77CAB0DA" w14:textId="04B8FA28" w:rsidR="007131B3" w:rsidRPr="00CD68BA" w:rsidRDefault="007131B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Certificado </w:t>
      </w:r>
      <w:r w:rsidR="00AF3857" w:rsidRPr="00CD68BA">
        <w:rPr>
          <w:szCs w:val="16"/>
          <w:lang w:val="es-CR"/>
        </w:rPr>
        <w:t xml:space="preserve">suscrito por el Oficial de Justicia, </w:t>
      </w:r>
      <w:r w:rsidRPr="00CD68BA">
        <w:rPr>
          <w:szCs w:val="16"/>
          <w:lang w:val="es-CR"/>
        </w:rPr>
        <w:t>de 21 de mayo de 2002 (expediente de prueba, folio 2534).</w:t>
      </w:r>
    </w:p>
  </w:footnote>
  <w:footnote w:id="168">
    <w:p w14:paraId="44CCE42C" w14:textId="6B92A898"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Luzia Batista identificó a </w:t>
      </w:r>
      <w:r w:rsidR="00D62D06" w:rsidRPr="00CD68BA">
        <w:rPr>
          <w:szCs w:val="16"/>
          <w:lang w:val="es-CR"/>
        </w:rPr>
        <w:t>J.P.N.</w:t>
      </w:r>
      <w:r w:rsidRPr="00CD68BA">
        <w:rPr>
          <w:szCs w:val="16"/>
          <w:lang w:val="es-CR"/>
        </w:rPr>
        <w:t xml:space="preserve"> como motorista del carro utilizado en el homicidio de Gabriel Sales Pimenta. </w:t>
      </w:r>
      <w:r w:rsidRPr="00CD68BA">
        <w:rPr>
          <w:i/>
          <w:iCs/>
          <w:szCs w:val="16"/>
          <w:lang w:val="es-CR"/>
        </w:rPr>
        <w:t>Cfr</w:t>
      </w:r>
      <w:r w:rsidRPr="00CD68BA">
        <w:rPr>
          <w:szCs w:val="16"/>
          <w:lang w:val="es-CR"/>
        </w:rPr>
        <w:t xml:space="preserve">. </w:t>
      </w:r>
      <w:r w:rsidR="008202C1" w:rsidRPr="00CD68BA">
        <w:rPr>
          <w:szCs w:val="16"/>
          <w:lang w:val="es-CR"/>
        </w:rPr>
        <w:t xml:space="preserve">Declaración realizada por Luzia Batista da Silva, </w:t>
      </w:r>
      <w:r w:rsidR="008202C1" w:rsidRPr="00CD68BA">
        <w:rPr>
          <w:i/>
          <w:iCs/>
          <w:szCs w:val="16"/>
          <w:lang w:val="es-CR"/>
        </w:rPr>
        <w:t xml:space="preserve">supra </w:t>
      </w:r>
      <w:r w:rsidR="00BB22DD" w:rsidRPr="00CD68BA">
        <w:rPr>
          <w:szCs w:val="16"/>
          <w:lang w:val="es-CR"/>
        </w:rPr>
        <w:t>(expediente de prueba, folio</w:t>
      </w:r>
      <w:r w:rsidR="00AF3857" w:rsidRPr="00CD68BA">
        <w:rPr>
          <w:szCs w:val="16"/>
          <w:lang w:val="es-CR"/>
        </w:rPr>
        <w:t>s 2226 a 2228)</w:t>
      </w:r>
      <w:r w:rsidRPr="00CD68BA">
        <w:rPr>
          <w:szCs w:val="16"/>
          <w:lang w:val="es-CR"/>
        </w:rPr>
        <w:t xml:space="preserve">; Certificado de reconocimiento de </w:t>
      </w:r>
      <w:r w:rsidR="00D62D06" w:rsidRPr="00CD68BA">
        <w:rPr>
          <w:szCs w:val="16"/>
          <w:lang w:val="es-CR"/>
        </w:rPr>
        <w:t>J.P.N.</w:t>
      </w:r>
      <w:r w:rsidRPr="00CD68BA">
        <w:rPr>
          <w:szCs w:val="16"/>
          <w:lang w:val="es-CR"/>
        </w:rPr>
        <w:t xml:space="preserve"> por Luzia Batista da Silva</w:t>
      </w:r>
      <w:r w:rsidR="00AF3857" w:rsidRPr="00CD68BA">
        <w:rPr>
          <w:szCs w:val="16"/>
          <w:lang w:val="es-CR"/>
        </w:rPr>
        <w:t>,</w:t>
      </w:r>
      <w:r w:rsidR="009A763A" w:rsidRPr="00CD68BA">
        <w:rPr>
          <w:szCs w:val="16"/>
          <w:lang w:val="es-CR"/>
        </w:rPr>
        <w:t xml:space="preserve"> de</w:t>
      </w:r>
      <w:r w:rsidRPr="00CD68BA">
        <w:rPr>
          <w:szCs w:val="16"/>
          <w:lang w:val="es-CR"/>
        </w:rPr>
        <w:t xml:space="preserve"> 2 de agosto de 1982</w:t>
      </w:r>
      <w:r w:rsidR="009A763A" w:rsidRPr="00CD68BA">
        <w:rPr>
          <w:szCs w:val="16"/>
          <w:lang w:val="es-CR"/>
        </w:rPr>
        <w:t xml:space="preserve"> (expediente de prueba, folios 2273 a 2274)</w:t>
      </w:r>
      <w:r w:rsidR="00AF3857" w:rsidRPr="00CD68BA">
        <w:rPr>
          <w:szCs w:val="16"/>
          <w:lang w:val="es-CR"/>
        </w:rPr>
        <w:t>, y</w:t>
      </w:r>
      <w:r w:rsidRPr="00CD68BA">
        <w:rPr>
          <w:szCs w:val="16"/>
          <w:lang w:val="es-CR"/>
        </w:rPr>
        <w:t xml:space="preserve"> Certificado de nuevo interrogatorio de la informante Luzia Batista da Silva,</w:t>
      </w:r>
      <w:r w:rsidR="00AF3857" w:rsidRPr="00CD68BA">
        <w:rPr>
          <w:szCs w:val="16"/>
          <w:lang w:val="es-CR"/>
        </w:rPr>
        <w:t xml:space="preserve"> de</w:t>
      </w:r>
      <w:r w:rsidRPr="00CD68BA">
        <w:rPr>
          <w:szCs w:val="16"/>
          <w:lang w:val="es-CR"/>
        </w:rPr>
        <w:t xml:space="preserve"> 13 de julio de 1983</w:t>
      </w:r>
      <w:r w:rsidR="009A763A" w:rsidRPr="00CD68BA">
        <w:rPr>
          <w:szCs w:val="16"/>
          <w:lang w:val="es-CR"/>
        </w:rPr>
        <w:t xml:space="preserve"> (expediente de prueba, folios 2276 a</w:t>
      </w:r>
      <w:r w:rsidR="00AF3857" w:rsidRPr="00CD68BA">
        <w:rPr>
          <w:szCs w:val="16"/>
          <w:lang w:val="es-CR"/>
        </w:rPr>
        <w:t xml:space="preserve"> </w:t>
      </w:r>
      <w:r w:rsidR="009A763A" w:rsidRPr="00CD68BA">
        <w:rPr>
          <w:szCs w:val="16"/>
          <w:lang w:val="es-CR"/>
        </w:rPr>
        <w:t>2279)</w:t>
      </w:r>
      <w:r w:rsidRPr="00CD68BA">
        <w:rPr>
          <w:szCs w:val="16"/>
          <w:lang w:val="es-CR"/>
        </w:rPr>
        <w:t>.</w:t>
      </w:r>
    </w:p>
  </w:footnote>
  <w:footnote w:id="169">
    <w:p w14:paraId="035A3C89" w14:textId="31A69E3D"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Informe </w:t>
      </w:r>
      <w:r w:rsidR="00541647" w:rsidRPr="00CD68BA">
        <w:rPr>
          <w:szCs w:val="16"/>
          <w:lang w:val="es-CR"/>
        </w:rPr>
        <w:t>emitido por</w:t>
      </w:r>
      <w:r w:rsidRPr="00CD68BA">
        <w:rPr>
          <w:szCs w:val="16"/>
          <w:lang w:val="es-CR"/>
        </w:rPr>
        <w:t xml:space="preserve"> </w:t>
      </w:r>
      <w:r w:rsidR="00053425" w:rsidRPr="00CD68BA">
        <w:rPr>
          <w:szCs w:val="16"/>
          <w:lang w:val="es-CR"/>
        </w:rPr>
        <w:t xml:space="preserve">el </w:t>
      </w:r>
      <w:r w:rsidRPr="00CD68BA">
        <w:rPr>
          <w:szCs w:val="16"/>
          <w:lang w:val="es-CR"/>
        </w:rPr>
        <w:t xml:space="preserve">Comisario de Policía, </w:t>
      </w:r>
      <w:r w:rsidR="00026FEE" w:rsidRPr="00CD68BA">
        <w:rPr>
          <w:i/>
          <w:iCs/>
          <w:szCs w:val="16"/>
          <w:lang w:val="es-CR"/>
        </w:rPr>
        <w:t xml:space="preserve">supra </w:t>
      </w:r>
      <w:r w:rsidR="00541647" w:rsidRPr="00CD68BA">
        <w:rPr>
          <w:szCs w:val="16"/>
          <w:lang w:val="es-CR"/>
        </w:rPr>
        <w:t>(expediente de prueba, folios 2264 a 2267)</w:t>
      </w:r>
      <w:r w:rsidRPr="00CD68BA">
        <w:rPr>
          <w:szCs w:val="16"/>
          <w:lang w:val="es-CR"/>
        </w:rPr>
        <w:t>.</w:t>
      </w:r>
    </w:p>
  </w:footnote>
  <w:footnote w:id="170">
    <w:p w14:paraId="6516E334" w14:textId="53EF73CB"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A título de ejemplo, </w:t>
      </w:r>
      <w:r w:rsidR="00542D2D" w:rsidRPr="00CD68BA">
        <w:rPr>
          <w:szCs w:val="16"/>
          <w:lang w:val="es-CR"/>
        </w:rPr>
        <w:t xml:space="preserve">durante la audiencia pública celebrada </w:t>
      </w:r>
      <w:r w:rsidR="00E8325F" w:rsidRPr="00CD68BA">
        <w:rPr>
          <w:szCs w:val="16"/>
          <w:lang w:val="es-CR"/>
        </w:rPr>
        <w:t xml:space="preserve">el 22 de marzo de 2022, </w:t>
      </w:r>
      <w:r w:rsidRPr="00CD68BA">
        <w:rPr>
          <w:szCs w:val="16"/>
          <w:lang w:val="es-CR"/>
        </w:rPr>
        <w:t xml:space="preserve">tanto el señor Rafael </w:t>
      </w:r>
      <w:r w:rsidR="00542D2D" w:rsidRPr="00CD68BA">
        <w:rPr>
          <w:szCs w:val="16"/>
          <w:lang w:val="es-CR"/>
        </w:rPr>
        <w:t xml:space="preserve">Sales </w:t>
      </w:r>
      <w:r w:rsidRPr="00CD68BA">
        <w:rPr>
          <w:szCs w:val="16"/>
          <w:lang w:val="es-CR"/>
        </w:rPr>
        <w:t>Pimenta como el perito Dissenha hicieron referencia a un reportaje ampliamente difundido en la revista Isto É, de 12</w:t>
      </w:r>
      <w:r w:rsidR="00D44904" w:rsidRPr="00CD68BA">
        <w:rPr>
          <w:szCs w:val="16"/>
          <w:lang w:val="es-CR"/>
        </w:rPr>
        <w:t xml:space="preserve"> de noviembre de 1986</w:t>
      </w:r>
      <w:r w:rsidRPr="00CD68BA">
        <w:rPr>
          <w:szCs w:val="16"/>
          <w:lang w:val="es-CR"/>
        </w:rPr>
        <w:t>, en que constaba una fotografía del acusado al lado de su hermano, el entonces Gobernador de Minas Gerais, y del entonces Presidente de la República.</w:t>
      </w:r>
      <w:r w:rsidR="00EC76F8" w:rsidRPr="00CD68BA">
        <w:rPr>
          <w:szCs w:val="16"/>
          <w:lang w:val="es-CR"/>
        </w:rPr>
        <w:t xml:space="preserve"> </w:t>
      </w:r>
    </w:p>
  </w:footnote>
  <w:footnote w:id="171">
    <w:p w14:paraId="3A1724F2" w14:textId="069DAF1F"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Desde la primera audiencia programada para el 27 de diciembre de 1983 </w:t>
      </w:r>
      <w:r w:rsidR="00853FC1" w:rsidRPr="00CD68BA">
        <w:rPr>
          <w:szCs w:val="16"/>
          <w:lang w:val="es-CR"/>
        </w:rPr>
        <w:t>M.C.N</w:t>
      </w:r>
      <w:r w:rsidRPr="00CD68BA">
        <w:rPr>
          <w:szCs w:val="16"/>
          <w:lang w:val="es-CR"/>
        </w:rPr>
        <w:t xml:space="preserve"> no se presentó. De igual manera ocurrió con seis audiencias más.</w:t>
      </w:r>
      <w:r w:rsidR="00E35B70" w:rsidRPr="00CD68BA">
        <w:rPr>
          <w:szCs w:val="16"/>
          <w:lang w:val="es-CR"/>
        </w:rPr>
        <w:t xml:space="preserve"> </w:t>
      </w:r>
      <w:r w:rsidR="00E35B70" w:rsidRPr="00CD68BA">
        <w:rPr>
          <w:i/>
          <w:iCs/>
          <w:szCs w:val="16"/>
          <w:lang w:val="es-CR"/>
        </w:rPr>
        <w:t xml:space="preserve">Cfr. </w:t>
      </w:r>
      <w:r w:rsidR="00E35B70" w:rsidRPr="00CD68BA">
        <w:rPr>
          <w:szCs w:val="16"/>
          <w:lang w:val="es-CR"/>
        </w:rPr>
        <w:t>Citación por edicto de M</w:t>
      </w:r>
      <w:r w:rsidR="009F08BB" w:rsidRPr="00CD68BA">
        <w:rPr>
          <w:szCs w:val="16"/>
          <w:lang w:val="es-CR"/>
        </w:rPr>
        <w:t>.</w:t>
      </w:r>
      <w:r w:rsidR="00E35B70" w:rsidRPr="00CD68BA">
        <w:rPr>
          <w:szCs w:val="16"/>
          <w:lang w:val="es-CR"/>
        </w:rPr>
        <w:t>C</w:t>
      </w:r>
      <w:r w:rsidR="009F08BB" w:rsidRPr="00CD68BA">
        <w:rPr>
          <w:szCs w:val="16"/>
          <w:lang w:val="es-CR"/>
        </w:rPr>
        <w:t>.</w:t>
      </w:r>
      <w:r w:rsidR="00E35B70" w:rsidRPr="00CD68BA">
        <w:rPr>
          <w:szCs w:val="16"/>
          <w:lang w:val="es-CR"/>
        </w:rPr>
        <w:t>N</w:t>
      </w:r>
      <w:r w:rsidR="009F08BB" w:rsidRPr="00CD68BA">
        <w:rPr>
          <w:szCs w:val="16"/>
          <w:lang w:val="es-CR"/>
        </w:rPr>
        <w:t>.</w:t>
      </w:r>
      <w:r w:rsidR="00E35B70" w:rsidRPr="00CD68BA">
        <w:rPr>
          <w:szCs w:val="16"/>
          <w:lang w:val="es-CR"/>
        </w:rPr>
        <w:t xml:space="preserve"> y C</w:t>
      </w:r>
      <w:r w:rsidR="009F08BB" w:rsidRPr="00CD68BA">
        <w:rPr>
          <w:szCs w:val="16"/>
          <w:lang w:val="es-CR"/>
        </w:rPr>
        <w:t>.</w:t>
      </w:r>
      <w:r w:rsidR="00E35B70" w:rsidRPr="00CD68BA">
        <w:rPr>
          <w:szCs w:val="16"/>
          <w:lang w:val="es-CR"/>
        </w:rPr>
        <w:t>O</w:t>
      </w:r>
      <w:r w:rsidR="009F08BB" w:rsidRPr="00CD68BA">
        <w:rPr>
          <w:szCs w:val="16"/>
          <w:lang w:val="es-CR"/>
        </w:rPr>
        <w:t>.</w:t>
      </w:r>
      <w:r w:rsidR="00E35B70" w:rsidRPr="00CD68BA">
        <w:rPr>
          <w:szCs w:val="16"/>
          <w:lang w:val="es-CR"/>
        </w:rPr>
        <w:t>S para la audiencia del 27 de abril de 1984 (expediente de prueba, folio 2340), Certificado del oficial de justicia del 22 de diciembre de 1983 (expediente de prueba, folio 2331)</w:t>
      </w:r>
      <w:r w:rsidR="00B27479" w:rsidRPr="00CD68BA">
        <w:rPr>
          <w:szCs w:val="16"/>
          <w:lang w:val="es-CR"/>
        </w:rPr>
        <w:t>,</w:t>
      </w:r>
      <w:r w:rsidR="00E35B70" w:rsidRPr="00CD68BA">
        <w:rPr>
          <w:szCs w:val="16"/>
          <w:lang w:val="es-CR"/>
        </w:rPr>
        <w:t xml:space="preserve"> Resoluciones emitidas el 24 de agosto y 22 de noviembre de 1984 (expediente de prueba, folios 2348 a 2351), y Edictos de 5 de agosto de 1985 y 19 de marzo de 1986 (expediente de prueba, folios 2352 a 2353).</w:t>
      </w:r>
    </w:p>
  </w:footnote>
  <w:footnote w:id="172">
    <w:p w14:paraId="633A2BD4" w14:textId="01A3CDAF" w:rsidR="00186ACB" w:rsidRPr="00CD68BA" w:rsidRDefault="00186AC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Orden de prisión preventiva No. 0272/2002 de 23 de mayo de 2002 (expediente de prueba, folio 2541); Decisión emitida por el juez de Derecho designado el 23 de mayo de 2002 (expediente de prueba, folio 2536 a 2538).</w:t>
      </w:r>
    </w:p>
  </w:footnote>
  <w:footnote w:id="173">
    <w:p w14:paraId="65AC1D8D" w14:textId="00A0BC9D" w:rsidR="00EC3D07" w:rsidRPr="00CD68BA" w:rsidRDefault="00EC3D07"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Carta No. 45/2006-GAB/DPF.B/MBA/PA suscrito por el jefe de la Delegación de Policía Federal en Marabá el 24 de febrero de 2006 (expediente de prueba, folio 2613).</w:t>
      </w:r>
    </w:p>
  </w:footnote>
  <w:footnote w:id="174">
    <w:p w14:paraId="2D2681E1" w14:textId="0020054D" w:rsidR="004936F2" w:rsidRPr="00CD68BA" w:rsidRDefault="004936F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5571E6" w:rsidRPr="00CD68BA">
        <w:rPr>
          <w:szCs w:val="16"/>
          <w:lang w:val="es-CR"/>
        </w:rPr>
        <w:t>El propio abogado</w:t>
      </w:r>
      <w:r w:rsidRPr="00CD68BA">
        <w:rPr>
          <w:szCs w:val="16"/>
          <w:lang w:val="es-CR"/>
        </w:rPr>
        <w:t xml:space="preserve"> del acusado M.C.N. destac</w:t>
      </w:r>
      <w:r w:rsidR="005571E6" w:rsidRPr="00CD68BA">
        <w:rPr>
          <w:szCs w:val="16"/>
          <w:lang w:val="es-CR"/>
        </w:rPr>
        <w:t>ó</w:t>
      </w:r>
      <w:r w:rsidRPr="00CD68BA">
        <w:rPr>
          <w:szCs w:val="16"/>
          <w:lang w:val="es-CR"/>
        </w:rPr>
        <w:t xml:space="preserve"> la negligencia de las autoridades estatales para </w:t>
      </w:r>
      <w:r w:rsidR="005571E6" w:rsidRPr="00CD68BA">
        <w:rPr>
          <w:szCs w:val="16"/>
          <w:lang w:val="es-CR"/>
        </w:rPr>
        <w:t xml:space="preserve">localizarlo rápidamente. </w:t>
      </w:r>
      <w:r w:rsidR="005571E6" w:rsidRPr="00CD68BA">
        <w:rPr>
          <w:i/>
          <w:iCs/>
          <w:szCs w:val="16"/>
          <w:lang w:val="es-CR"/>
        </w:rPr>
        <w:t>Cfr.</w:t>
      </w:r>
      <w:r w:rsidR="005571E6" w:rsidRPr="00CD68BA">
        <w:rPr>
          <w:szCs w:val="16"/>
          <w:lang w:val="es-CR"/>
        </w:rPr>
        <w:t xml:space="preserve"> Hábeas Corpus </w:t>
      </w:r>
      <w:r w:rsidR="00053425" w:rsidRPr="00CD68BA">
        <w:rPr>
          <w:szCs w:val="16"/>
          <w:lang w:val="es-CR"/>
        </w:rPr>
        <w:t xml:space="preserve">interpuesto </w:t>
      </w:r>
      <w:r w:rsidR="005571E6" w:rsidRPr="00CD68BA">
        <w:rPr>
          <w:szCs w:val="16"/>
          <w:lang w:val="es-CR"/>
        </w:rPr>
        <w:t>a favor de M.C.N</w:t>
      </w:r>
      <w:r w:rsidR="00053425" w:rsidRPr="00CD68BA">
        <w:rPr>
          <w:szCs w:val="16"/>
          <w:lang w:val="es-CR"/>
        </w:rPr>
        <w:t>.</w:t>
      </w:r>
      <w:r w:rsidR="005571E6" w:rsidRPr="00CD68BA">
        <w:rPr>
          <w:szCs w:val="16"/>
          <w:lang w:val="es-CR"/>
        </w:rPr>
        <w:t xml:space="preserve"> ante la Sala Penal Conjunta del Tribunal de Justicia de Pará, el 18 de abril de 2006 (expediente de prueba, folio 2630).</w:t>
      </w:r>
    </w:p>
  </w:footnote>
  <w:footnote w:id="175">
    <w:p w14:paraId="112C6FC0" w14:textId="0482A731" w:rsidR="00BD2825" w:rsidRPr="00CD68BA" w:rsidRDefault="00BD282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El perito Dissenha </w:t>
      </w:r>
      <w:r w:rsidR="003747AB" w:rsidRPr="00CD68BA">
        <w:rPr>
          <w:szCs w:val="16"/>
          <w:lang w:val="es-CR"/>
        </w:rPr>
        <w:t xml:space="preserve">aclaró que, según las reglas relativas a la prescripción, el delito en cuestión prescribiría en 10 años, teniendo en cuenta la edad del acusado M.C.N. a la época de la sentencia de </w:t>
      </w:r>
      <w:r w:rsidR="003747AB" w:rsidRPr="00CD68BA">
        <w:rPr>
          <w:i/>
          <w:iCs/>
          <w:szCs w:val="16"/>
          <w:lang w:val="es-CR"/>
        </w:rPr>
        <w:t>“pron</w:t>
      </w:r>
      <w:r w:rsidR="00853FC1" w:rsidRPr="00CD68BA">
        <w:rPr>
          <w:i/>
          <w:iCs/>
          <w:szCs w:val="16"/>
          <w:lang w:val="es-CR"/>
        </w:rPr>
        <w:t>ú</w:t>
      </w:r>
      <w:r w:rsidR="003747AB" w:rsidRPr="00CD68BA">
        <w:rPr>
          <w:i/>
          <w:iCs/>
          <w:szCs w:val="16"/>
          <w:lang w:val="es-CR"/>
        </w:rPr>
        <w:t>ncia”</w:t>
      </w:r>
      <w:r w:rsidR="003747AB" w:rsidRPr="00CD68BA">
        <w:rPr>
          <w:szCs w:val="16"/>
          <w:lang w:val="es-CR"/>
        </w:rPr>
        <w:t xml:space="preserve"> y que la admisión de la denuncia inicial del Ministerio Público y la decisión de “</w:t>
      </w:r>
      <w:r w:rsidR="003747AB" w:rsidRPr="00CD68BA">
        <w:rPr>
          <w:i/>
          <w:iCs/>
          <w:szCs w:val="16"/>
          <w:lang w:val="es-CR"/>
        </w:rPr>
        <w:t>pron</w:t>
      </w:r>
      <w:r w:rsidR="00853FC1" w:rsidRPr="00CD68BA">
        <w:rPr>
          <w:i/>
          <w:iCs/>
          <w:szCs w:val="16"/>
          <w:lang w:val="es-CR"/>
        </w:rPr>
        <w:t>ú</w:t>
      </w:r>
      <w:r w:rsidR="003747AB" w:rsidRPr="00CD68BA">
        <w:rPr>
          <w:i/>
          <w:iCs/>
          <w:szCs w:val="16"/>
          <w:lang w:val="es-CR"/>
        </w:rPr>
        <w:t>ncia</w:t>
      </w:r>
      <w:r w:rsidR="003747AB" w:rsidRPr="00CD68BA">
        <w:rPr>
          <w:szCs w:val="16"/>
          <w:lang w:val="es-CR"/>
        </w:rPr>
        <w:t xml:space="preserve">” son dos causas interruptoras de la prescripción, según el artículo </w:t>
      </w:r>
      <w:r w:rsidR="00E86C36" w:rsidRPr="00CD68BA">
        <w:rPr>
          <w:szCs w:val="16"/>
          <w:lang w:val="es-CR"/>
        </w:rPr>
        <w:t xml:space="preserve">117 del Código Penal brasileño. </w:t>
      </w:r>
      <w:r w:rsidR="00E86C36" w:rsidRPr="00CD68BA">
        <w:rPr>
          <w:i/>
          <w:iCs/>
          <w:szCs w:val="16"/>
          <w:lang w:val="es-CR"/>
        </w:rPr>
        <w:t>Cfr</w:t>
      </w:r>
      <w:r w:rsidR="00E86C36" w:rsidRPr="00CD68BA">
        <w:rPr>
          <w:szCs w:val="16"/>
          <w:lang w:val="es-CR"/>
        </w:rPr>
        <w:t>. Peritaje</w:t>
      </w:r>
      <w:r w:rsidR="009301CA" w:rsidRPr="00CD68BA">
        <w:rPr>
          <w:szCs w:val="16"/>
          <w:lang w:val="es-CR"/>
        </w:rPr>
        <w:t xml:space="preserve"> de</w:t>
      </w:r>
      <w:r w:rsidR="00E86C36" w:rsidRPr="00CD68BA">
        <w:rPr>
          <w:szCs w:val="16"/>
          <w:lang w:val="es-CR"/>
        </w:rPr>
        <w:t xml:space="preserve"> Rui Carlo Dissenha</w:t>
      </w:r>
      <w:r w:rsidR="009301CA" w:rsidRPr="00CD68BA">
        <w:rPr>
          <w:szCs w:val="16"/>
          <w:lang w:val="es-CR"/>
        </w:rPr>
        <w:t xml:space="preserve"> </w:t>
      </w:r>
      <w:r w:rsidR="00D519BC" w:rsidRPr="00CD68BA">
        <w:rPr>
          <w:szCs w:val="16"/>
          <w:lang w:val="es-CR"/>
        </w:rPr>
        <w:t xml:space="preserve">durante </w:t>
      </w:r>
      <w:r w:rsidR="009301CA" w:rsidRPr="00CD68BA">
        <w:rPr>
          <w:szCs w:val="16"/>
          <w:lang w:val="es-CR"/>
        </w:rPr>
        <w:t>la audiencia pública</w:t>
      </w:r>
      <w:r w:rsidR="00D519BC" w:rsidRPr="00CD68BA">
        <w:rPr>
          <w:szCs w:val="16"/>
          <w:lang w:val="es-CR"/>
        </w:rPr>
        <w:t xml:space="preserve"> del presente caso</w:t>
      </w:r>
      <w:r w:rsidR="00E86C36" w:rsidRPr="00CD68BA">
        <w:rPr>
          <w:szCs w:val="16"/>
          <w:lang w:val="es-CR"/>
        </w:rPr>
        <w:t>.</w:t>
      </w:r>
    </w:p>
  </w:footnote>
  <w:footnote w:id="176">
    <w:p w14:paraId="6581A9C0" w14:textId="685945AB"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792BCF" w:rsidRPr="00CD68BA">
        <w:rPr>
          <w:szCs w:val="16"/>
          <w:lang w:val="es-CR"/>
        </w:rPr>
        <w:t>Tal como</w:t>
      </w:r>
      <w:r w:rsidR="0047546D" w:rsidRPr="00CD68BA">
        <w:rPr>
          <w:szCs w:val="16"/>
          <w:lang w:val="es-CR"/>
        </w:rPr>
        <w:t xml:space="preserve"> señaló</w:t>
      </w:r>
      <w:r w:rsidR="00792BCF" w:rsidRPr="00CD68BA">
        <w:rPr>
          <w:szCs w:val="16"/>
          <w:lang w:val="es-CR"/>
        </w:rPr>
        <w:t xml:space="preserve"> el perito Dissenha, este retraso en particular </w:t>
      </w:r>
      <w:r w:rsidR="00792BCF" w:rsidRPr="00CD68BA">
        <w:rPr>
          <w:bCs/>
          <w:szCs w:val="16"/>
          <w:lang w:val="es-CR"/>
        </w:rPr>
        <w:t xml:space="preserve">fue determinante para la prescripción y “si la sentencia de acusación se hubiera dictado unos años antes, la prescripción se habría impedido”. </w:t>
      </w:r>
      <w:r w:rsidRPr="00CD68BA">
        <w:rPr>
          <w:szCs w:val="16"/>
          <w:lang w:val="es-CR"/>
        </w:rPr>
        <w:t xml:space="preserve">Versión escrita del peritaje de Rui Carlo Dissenha </w:t>
      </w:r>
      <w:r w:rsidR="00BE5FD0" w:rsidRPr="00CD68BA">
        <w:rPr>
          <w:szCs w:val="16"/>
          <w:lang w:val="es-CR"/>
        </w:rPr>
        <w:t>de</w:t>
      </w:r>
      <w:r w:rsidR="00DC1F36" w:rsidRPr="00CD68BA">
        <w:rPr>
          <w:szCs w:val="16"/>
          <w:lang w:val="es-CR"/>
        </w:rPr>
        <w:t xml:space="preserve"> 11</w:t>
      </w:r>
      <w:r w:rsidR="009F1EA7" w:rsidRPr="00CD68BA">
        <w:rPr>
          <w:szCs w:val="16"/>
          <w:lang w:val="es-CR"/>
        </w:rPr>
        <w:t xml:space="preserve"> de marzo de 2022 </w:t>
      </w:r>
      <w:r w:rsidRPr="00CD68BA">
        <w:rPr>
          <w:szCs w:val="16"/>
          <w:lang w:val="es-CR"/>
        </w:rPr>
        <w:t>(expediente de prueba, folio</w:t>
      </w:r>
      <w:r w:rsidR="00C0122A" w:rsidRPr="00CD68BA">
        <w:rPr>
          <w:szCs w:val="16"/>
          <w:lang w:val="es-CR"/>
        </w:rPr>
        <w:t xml:space="preserve"> 6633</w:t>
      </w:r>
      <w:r w:rsidRPr="00CD68BA">
        <w:rPr>
          <w:szCs w:val="16"/>
          <w:lang w:val="es-CR"/>
        </w:rPr>
        <w:t>).</w:t>
      </w:r>
    </w:p>
  </w:footnote>
  <w:footnote w:id="177">
    <w:p w14:paraId="79C1189A" w14:textId="1CA58B4B" w:rsidR="003B19BF" w:rsidRPr="00CD68BA" w:rsidRDefault="003B19BF" w:rsidP="00D12B21">
      <w:pPr>
        <w:pStyle w:val="Textonotapie"/>
        <w:spacing w:before="0" w:after="60"/>
        <w:rPr>
          <w:b/>
          <w:b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Además, como subrayó el perito Dissenha</w:t>
      </w:r>
      <w:r w:rsidR="008651A6" w:rsidRPr="00CD68BA">
        <w:rPr>
          <w:szCs w:val="16"/>
          <w:lang w:val="es-CR"/>
        </w:rPr>
        <w:t xml:space="preserve"> durante la audiencia</w:t>
      </w:r>
      <w:r w:rsidRPr="00CD68BA">
        <w:rPr>
          <w:szCs w:val="16"/>
          <w:lang w:val="es-CR"/>
        </w:rPr>
        <w:t xml:space="preserve">, hasta el año de 1996, el Código de Procedimiento Penal </w:t>
      </w:r>
      <w:r w:rsidR="00201FA0" w:rsidRPr="00CD68BA">
        <w:rPr>
          <w:szCs w:val="16"/>
          <w:lang w:val="es-CR"/>
        </w:rPr>
        <w:t>b</w:t>
      </w:r>
      <w:r w:rsidRPr="00CD68BA">
        <w:rPr>
          <w:szCs w:val="16"/>
          <w:lang w:val="es-CR"/>
        </w:rPr>
        <w:t>rasileño determinaba que el proceso deb</w:t>
      </w:r>
      <w:r w:rsidR="00BA4121" w:rsidRPr="00CD68BA">
        <w:rPr>
          <w:szCs w:val="16"/>
          <w:lang w:val="es-CR"/>
        </w:rPr>
        <w:t>í</w:t>
      </w:r>
      <w:r w:rsidRPr="00CD68BA">
        <w:rPr>
          <w:szCs w:val="16"/>
          <w:lang w:val="es-CR"/>
        </w:rPr>
        <w:t xml:space="preserve">a seguir </w:t>
      </w:r>
      <w:r w:rsidR="00BA4121" w:rsidRPr="00CD68BA">
        <w:rPr>
          <w:szCs w:val="16"/>
          <w:lang w:val="es-CR"/>
        </w:rPr>
        <w:t>en ausencia d</w:t>
      </w:r>
      <w:r w:rsidRPr="00CD68BA">
        <w:rPr>
          <w:szCs w:val="16"/>
          <w:lang w:val="es-CR"/>
        </w:rPr>
        <w:t>el imputado que, habiendo sido inicialmente citado o convocado a cualquier acto del proceso, no compare</w:t>
      </w:r>
      <w:r w:rsidR="00655BB1" w:rsidRPr="00CD68BA">
        <w:rPr>
          <w:szCs w:val="16"/>
          <w:lang w:val="es-CR"/>
        </w:rPr>
        <w:t>ciera</w:t>
      </w:r>
      <w:r w:rsidRPr="00CD68BA">
        <w:rPr>
          <w:szCs w:val="16"/>
          <w:lang w:val="es-CR"/>
        </w:rPr>
        <w:t xml:space="preserve"> sin justifica</w:t>
      </w:r>
      <w:r w:rsidR="00655BB1" w:rsidRPr="00CD68BA">
        <w:rPr>
          <w:szCs w:val="16"/>
          <w:lang w:val="es-CR"/>
        </w:rPr>
        <w:t>rlo</w:t>
      </w:r>
      <w:r w:rsidRPr="00CD68BA">
        <w:rPr>
          <w:szCs w:val="16"/>
          <w:lang w:val="es-CR"/>
        </w:rPr>
        <w:t>.</w:t>
      </w:r>
      <w:r w:rsidR="005E51A0" w:rsidRPr="00CD68BA">
        <w:rPr>
          <w:szCs w:val="16"/>
          <w:lang w:val="es-CR"/>
        </w:rPr>
        <w:t xml:space="preserve"> </w:t>
      </w:r>
      <w:r w:rsidR="005E51A0" w:rsidRPr="00CD68BA">
        <w:rPr>
          <w:i/>
          <w:iCs/>
          <w:szCs w:val="16"/>
          <w:lang w:val="es-CR"/>
        </w:rPr>
        <w:t>Cfr.</w:t>
      </w:r>
      <w:r w:rsidR="005E51A0" w:rsidRPr="00CD68BA">
        <w:rPr>
          <w:szCs w:val="16"/>
          <w:lang w:val="es-CR"/>
        </w:rPr>
        <w:t xml:space="preserve"> Artículo 366 del Código de Procedimiento Penal hasta su modificación por la</w:t>
      </w:r>
      <w:r w:rsidR="00655BB1" w:rsidRPr="00CD68BA">
        <w:rPr>
          <w:szCs w:val="16"/>
          <w:lang w:val="es-CR"/>
        </w:rPr>
        <w:t xml:space="preserve"> </w:t>
      </w:r>
      <w:r w:rsidR="005E51A0" w:rsidRPr="00CD68BA">
        <w:rPr>
          <w:szCs w:val="16"/>
          <w:lang w:val="es-CR"/>
        </w:rPr>
        <w:t xml:space="preserve">ley </w:t>
      </w:r>
      <w:r w:rsidR="00201FA0" w:rsidRPr="00CD68BA">
        <w:rPr>
          <w:szCs w:val="16"/>
          <w:lang w:val="es-CR"/>
        </w:rPr>
        <w:t>No.</w:t>
      </w:r>
      <w:r w:rsidR="005E51A0" w:rsidRPr="00CD68BA">
        <w:rPr>
          <w:szCs w:val="16"/>
          <w:lang w:val="es-CR"/>
        </w:rPr>
        <w:t xml:space="preserve"> 9.271, de 17</w:t>
      </w:r>
      <w:r w:rsidR="00201FA0" w:rsidRPr="00CD68BA">
        <w:rPr>
          <w:szCs w:val="16"/>
          <w:lang w:val="es-CR"/>
        </w:rPr>
        <w:t xml:space="preserve"> de abril de </w:t>
      </w:r>
      <w:r w:rsidR="005E51A0" w:rsidRPr="00CD68BA">
        <w:rPr>
          <w:szCs w:val="16"/>
          <w:lang w:val="es-CR"/>
        </w:rPr>
        <w:t>1996. Ello quiere decir</w:t>
      </w:r>
      <w:r w:rsidR="004369A0" w:rsidRPr="00CD68BA">
        <w:rPr>
          <w:szCs w:val="16"/>
          <w:lang w:val="es-CR"/>
        </w:rPr>
        <w:t xml:space="preserve"> que </w:t>
      </w:r>
      <w:r w:rsidR="00BA4121" w:rsidRPr="00CD68BA">
        <w:rPr>
          <w:szCs w:val="16"/>
          <w:lang w:val="es-CR"/>
        </w:rPr>
        <w:t xml:space="preserve">luego </w:t>
      </w:r>
      <w:r w:rsidR="008651A6" w:rsidRPr="00CD68BA">
        <w:rPr>
          <w:szCs w:val="16"/>
          <w:lang w:val="es-CR"/>
        </w:rPr>
        <w:t>de</w:t>
      </w:r>
      <w:r w:rsidR="004369A0" w:rsidRPr="00CD68BA">
        <w:rPr>
          <w:szCs w:val="16"/>
          <w:lang w:val="es-CR"/>
        </w:rPr>
        <w:t xml:space="preserve"> los actos procesales a los cuales no compareció el señor M.C.N y tampoco justificó su ausencia</w:t>
      </w:r>
      <w:r w:rsidR="00E627FA" w:rsidRPr="00CD68BA">
        <w:rPr>
          <w:szCs w:val="16"/>
          <w:lang w:val="es-CR"/>
        </w:rPr>
        <w:t xml:space="preserve">, </w:t>
      </w:r>
      <w:r w:rsidR="004369A0" w:rsidRPr="00CD68BA">
        <w:rPr>
          <w:szCs w:val="16"/>
          <w:lang w:val="es-CR"/>
        </w:rPr>
        <w:t>e</w:t>
      </w:r>
      <w:r w:rsidR="00E627FA" w:rsidRPr="00CD68BA">
        <w:rPr>
          <w:szCs w:val="16"/>
          <w:lang w:val="es-CR"/>
        </w:rPr>
        <w:t>l</w:t>
      </w:r>
      <w:r w:rsidR="004369A0" w:rsidRPr="00CD68BA">
        <w:rPr>
          <w:szCs w:val="16"/>
          <w:lang w:val="es-CR"/>
        </w:rPr>
        <w:t xml:space="preserve"> proceso </w:t>
      </w:r>
      <w:r w:rsidR="00E627FA" w:rsidRPr="00CD68BA">
        <w:rPr>
          <w:szCs w:val="16"/>
          <w:lang w:val="es-CR"/>
        </w:rPr>
        <w:t xml:space="preserve">debería </w:t>
      </w:r>
      <w:r w:rsidR="004369A0" w:rsidRPr="00CD68BA">
        <w:rPr>
          <w:szCs w:val="16"/>
          <w:lang w:val="es-CR"/>
        </w:rPr>
        <w:t>haber seguido</w:t>
      </w:r>
      <w:r w:rsidR="00E627FA" w:rsidRPr="00CD68BA">
        <w:rPr>
          <w:szCs w:val="16"/>
          <w:lang w:val="es-CR"/>
        </w:rPr>
        <w:t xml:space="preserve"> </w:t>
      </w:r>
      <w:r w:rsidR="00BA4121" w:rsidRPr="00CD68BA">
        <w:rPr>
          <w:szCs w:val="16"/>
          <w:lang w:val="es-CR"/>
        </w:rPr>
        <w:t xml:space="preserve">a pesar de su </w:t>
      </w:r>
      <w:r w:rsidR="00201FA0" w:rsidRPr="00CD68BA">
        <w:rPr>
          <w:szCs w:val="16"/>
          <w:lang w:val="es-CR"/>
        </w:rPr>
        <w:t>in</w:t>
      </w:r>
      <w:r w:rsidR="00BA4121" w:rsidRPr="00CD68BA">
        <w:rPr>
          <w:szCs w:val="16"/>
          <w:lang w:val="es-CR"/>
        </w:rPr>
        <w:t>comparecencia</w:t>
      </w:r>
      <w:r w:rsidR="008651A6" w:rsidRPr="00CD68BA">
        <w:rPr>
          <w:szCs w:val="16"/>
          <w:lang w:val="es-CR"/>
        </w:rPr>
        <w:t xml:space="preserve">. Asimismo, </w:t>
      </w:r>
      <w:r w:rsidR="00F63FFE" w:rsidRPr="00CD68BA">
        <w:rPr>
          <w:szCs w:val="16"/>
          <w:lang w:val="es-CR"/>
        </w:rPr>
        <w:t>se advierte que hasta 1996, no se suspendía la prescripción mientras un acusado se encontrara prófugo.</w:t>
      </w:r>
    </w:p>
  </w:footnote>
  <w:footnote w:id="178">
    <w:p w14:paraId="6BC03C04" w14:textId="3BAEA512" w:rsidR="00E26364" w:rsidRPr="00CD68BA" w:rsidRDefault="00E26364"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El perito Dissenha declaró que la prescripción en el proceso penal bajo análisis fue “construida”, no pudiendo ser vislumbrada como un acto aislado y único, sino consecuencia de una serie de graves y flagrantes conductas y omisiones por parte de agentes estatales a lo largo de los años. </w:t>
      </w:r>
      <w:r w:rsidR="0078186D" w:rsidRPr="00CD68BA">
        <w:rPr>
          <w:i/>
          <w:iCs/>
          <w:szCs w:val="16"/>
          <w:lang w:val="es-CR"/>
        </w:rPr>
        <w:t>Cfr</w:t>
      </w:r>
      <w:r w:rsidR="0078186D" w:rsidRPr="00CD68BA">
        <w:rPr>
          <w:szCs w:val="16"/>
          <w:lang w:val="es-CR"/>
        </w:rPr>
        <w:t>. Peritaje rendido en audiencia por Rui Carlo Dissenha, el 22 de marzo de 2022.</w:t>
      </w:r>
      <w:r w:rsidR="000C59C0" w:rsidRPr="00CD68BA">
        <w:rPr>
          <w:szCs w:val="16"/>
          <w:lang w:val="es-CR"/>
        </w:rPr>
        <w:t xml:space="preserve"> En la misma línea, el perito Kalil manifestó que “la prescripción en temas de carácter penal determina la extinción de la pretensión punitiva debido al paso del tiempo y limita en términos generales el poder punitivo del Estado para perseguir una conducta ilícita y sancionar quienes lo cometieron, es una garantía que deben observar los ju</w:t>
      </w:r>
      <w:r w:rsidR="00ED77D0" w:rsidRPr="00CD68BA">
        <w:rPr>
          <w:szCs w:val="16"/>
          <w:lang w:val="es-CR"/>
        </w:rPr>
        <w:t>z</w:t>
      </w:r>
      <w:r w:rsidR="000C59C0" w:rsidRPr="00CD68BA">
        <w:rPr>
          <w:szCs w:val="16"/>
          <w:lang w:val="es-CR"/>
        </w:rPr>
        <w:t xml:space="preserve">gadores para todo acusado de delito. Sin embargo, cuando dicha prescripción se da debido a la falta de medidas que debería haber tomado el Estado a través del Poder Judicial […] cuando tenía el poder de evitar la prescripción no hace nada y eso se inscribe en un contexto de violencia general donde también se amedrenta a los defensores de los derechos de las personas y también a la persona que está revindicando sus propios derechos. </w:t>
      </w:r>
      <w:r w:rsidR="000A0DC7" w:rsidRPr="00CD68BA">
        <w:rPr>
          <w:szCs w:val="16"/>
          <w:lang w:val="es-CR"/>
        </w:rPr>
        <w:t>C</w:t>
      </w:r>
      <w:r w:rsidR="000C59C0" w:rsidRPr="00CD68BA">
        <w:rPr>
          <w:szCs w:val="16"/>
          <w:lang w:val="es-CR"/>
        </w:rPr>
        <w:t xml:space="preserve">onsidero que la prescripción </w:t>
      </w:r>
      <w:r w:rsidR="000A0DC7" w:rsidRPr="00CD68BA">
        <w:rPr>
          <w:szCs w:val="16"/>
          <w:lang w:val="es-CR"/>
        </w:rPr>
        <w:t>[…]</w:t>
      </w:r>
      <w:r w:rsidR="00206F08" w:rsidRPr="00CD68BA">
        <w:rPr>
          <w:szCs w:val="16"/>
          <w:lang w:val="es-CR"/>
        </w:rPr>
        <w:t xml:space="preserve"> </w:t>
      </w:r>
      <w:r w:rsidR="000C59C0" w:rsidRPr="00CD68BA">
        <w:rPr>
          <w:szCs w:val="16"/>
          <w:lang w:val="es-CR"/>
        </w:rPr>
        <w:t>no se pensó para eso</w:t>
      </w:r>
      <w:r w:rsidR="000A0DC7" w:rsidRPr="00CD68BA">
        <w:rPr>
          <w:szCs w:val="16"/>
          <w:lang w:val="es-CR"/>
        </w:rPr>
        <w:t>,</w:t>
      </w:r>
      <w:r w:rsidR="000C59C0" w:rsidRPr="00CD68BA">
        <w:rPr>
          <w:szCs w:val="16"/>
          <w:lang w:val="es-CR"/>
        </w:rPr>
        <w:t xml:space="preserve"> que no debería permitir como un mecanismo para perpetuar la impunidad”. Peritaje rendido en audiencia por Ren</w:t>
      </w:r>
      <w:r w:rsidR="00CF4168" w:rsidRPr="00CD68BA">
        <w:rPr>
          <w:szCs w:val="16"/>
          <w:lang w:val="es-CR"/>
        </w:rPr>
        <w:t>a</w:t>
      </w:r>
      <w:r w:rsidR="000C59C0" w:rsidRPr="00CD68BA">
        <w:rPr>
          <w:szCs w:val="16"/>
          <w:lang w:val="es-CR"/>
        </w:rPr>
        <w:t>n Kalil, el 23 de marzo de 2022.</w:t>
      </w:r>
    </w:p>
  </w:footnote>
  <w:footnote w:id="179">
    <w:p w14:paraId="2DBC0082" w14:textId="3AE52DD5" w:rsidR="00001FD9" w:rsidRPr="00CD68BA" w:rsidRDefault="00001FD9" w:rsidP="00D12B21">
      <w:pPr>
        <w:tabs>
          <w:tab w:val="left" w:pos="567"/>
        </w:tabs>
        <w:spacing w:before="0"/>
        <w:rPr>
          <w:sz w:val="16"/>
          <w:szCs w:val="16"/>
          <w:lang w:val="es-CR"/>
        </w:rPr>
      </w:pPr>
      <w:r w:rsidRPr="00CD68BA">
        <w:rPr>
          <w:rStyle w:val="Refdenotaalpie"/>
          <w:rFonts w:eastAsia="MS Mincho"/>
          <w:sz w:val="16"/>
          <w:szCs w:val="16"/>
          <w:lang w:val="es-CR"/>
        </w:rPr>
        <w:footnoteRef/>
      </w:r>
      <w:r w:rsidRPr="00CD68BA">
        <w:rPr>
          <w:sz w:val="16"/>
          <w:szCs w:val="16"/>
          <w:lang w:val="es-CR"/>
        </w:rPr>
        <w:t xml:space="preserve"> </w:t>
      </w:r>
      <w:r w:rsidRPr="00CD68BA">
        <w:rPr>
          <w:sz w:val="16"/>
          <w:szCs w:val="16"/>
          <w:lang w:val="es-CR"/>
        </w:rPr>
        <w:tab/>
      </w:r>
      <w:r w:rsidRPr="00CD68BA">
        <w:rPr>
          <w:sz w:val="16"/>
          <w:szCs w:val="16"/>
          <w:lang w:val="es-CR"/>
        </w:rPr>
        <w:tab/>
      </w:r>
      <w:r w:rsidRPr="00CD68BA">
        <w:rPr>
          <w:i/>
          <w:sz w:val="16"/>
          <w:szCs w:val="16"/>
          <w:lang w:val="es-CR"/>
        </w:rPr>
        <w:t>Cfr.</w:t>
      </w:r>
      <w:r w:rsidRPr="00CD68BA">
        <w:rPr>
          <w:sz w:val="16"/>
          <w:szCs w:val="16"/>
          <w:lang w:val="es-CR"/>
        </w:rPr>
        <w:t xml:space="preserve"> </w:t>
      </w:r>
      <w:r w:rsidRPr="00CD68BA">
        <w:rPr>
          <w:i/>
          <w:iCs/>
          <w:sz w:val="16"/>
          <w:szCs w:val="16"/>
          <w:lang w:val="es-CR"/>
        </w:rPr>
        <w:t>Caso Bulacio Vs. Argentina</w:t>
      </w:r>
      <w:r w:rsidR="00225393" w:rsidRPr="00CD68BA">
        <w:rPr>
          <w:i/>
          <w:iCs/>
          <w:sz w:val="16"/>
          <w:szCs w:val="16"/>
          <w:lang w:val="es-CR"/>
        </w:rPr>
        <w:t>, supra</w:t>
      </w:r>
      <w:r w:rsidRPr="00CD68BA">
        <w:rPr>
          <w:iCs/>
          <w:sz w:val="16"/>
          <w:szCs w:val="16"/>
          <w:lang w:val="es-CR"/>
        </w:rPr>
        <w:t>,</w:t>
      </w:r>
      <w:r w:rsidRPr="00CD68BA">
        <w:rPr>
          <w:i/>
          <w:iCs/>
          <w:sz w:val="16"/>
          <w:szCs w:val="16"/>
          <w:lang w:val="es-CR"/>
        </w:rPr>
        <w:t xml:space="preserve"> </w:t>
      </w:r>
      <w:r w:rsidRPr="00CD68BA">
        <w:rPr>
          <w:sz w:val="16"/>
          <w:szCs w:val="16"/>
          <w:lang w:val="es-CR"/>
        </w:rPr>
        <w:t>párr. 114, y</w:t>
      </w:r>
      <w:r w:rsidR="00023BC1" w:rsidRPr="00CD68BA">
        <w:rPr>
          <w:rFonts w:cs="Verdana"/>
          <w:sz w:val="16"/>
          <w:szCs w:val="16"/>
          <w:lang w:val="es-CR"/>
        </w:rPr>
        <w:t xml:space="preserve"> </w:t>
      </w:r>
      <w:r w:rsidR="00023BC1" w:rsidRPr="00CD68BA">
        <w:rPr>
          <w:rFonts w:cs="Verdana"/>
          <w:i/>
          <w:iCs/>
          <w:sz w:val="16"/>
          <w:szCs w:val="16"/>
          <w:lang w:val="es-CR"/>
        </w:rPr>
        <w:t>Caso Digna Ochoa y familiares Vs. México, supra</w:t>
      </w:r>
      <w:r w:rsidR="00023BC1" w:rsidRPr="00CD68BA">
        <w:rPr>
          <w:rFonts w:cs="Verdana"/>
          <w:sz w:val="16"/>
          <w:szCs w:val="16"/>
          <w:lang w:val="es-CR"/>
        </w:rPr>
        <w:t>, párr. 130</w:t>
      </w:r>
      <w:r w:rsidRPr="00CD68BA">
        <w:rPr>
          <w:sz w:val="16"/>
          <w:szCs w:val="16"/>
          <w:lang w:val="es-CR"/>
        </w:rPr>
        <w:t>.</w:t>
      </w:r>
    </w:p>
  </w:footnote>
  <w:footnote w:id="180">
    <w:p w14:paraId="206C3E4A" w14:textId="4B60CEF3"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Pr="00CD68BA">
        <w:rPr>
          <w:i/>
          <w:szCs w:val="16"/>
          <w:lang w:val="es-CR"/>
        </w:rPr>
        <w:t>Caso Hilaire, Constantine y Benjamin y otros Vs. Trinidad y Tobago</w:t>
      </w:r>
      <w:r w:rsidRPr="00CD68BA">
        <w:rPr>
          <w:szCs w:val="16"/>
          <w:lang w:val="es-CR"/>
        </w:rPr>
        <w:t>. Fondo, Reparaciones y Costas. Sentencia de 21 de junio de 2002. Serie C No. 94, párr. 145, y</w:t>
      </w:r>
      <w:r w:rsidR="008974C6" w:rsidRPr="00CD68BA">
        <w:rPr>
          <w:szCs w:val="16"/>
          <w:lang w:val="es-CR"/>
        </w:rPr>
        <w:t xml:space="preserve"> </w:t>
      </w:r>
      <w:r w:rsidR="008974C6" w:rsidRPr="00CD68BA">
        <w:rPr>
          <w:rFonts w:cs="Verdana"/>
          <w:i/>
          <w:iCs/>
          <w:szCs w:val="16"/>
          <w:lang w:val="es-CR"/>
        </w:rPr>
        <w:t>Caso Digna Ochoa y familiares Vs. México, supra</w:t>
      </w:r>
      <w:r w:rsidR="008974C6" w:rsidRPr="00CD68BA">
        <w:rPr>
          <w:rFonts w:cs="Verdana"/>
          <w:szCs w:val="16"/>
          <w:lang w:val="es-CR"/>
        </w:rPr>
        <w:t>, párr. 130</w:t>
      </w:r>
      <w:r w:rsidRPr="00CD68BA">
        <w:rPr>
          <w:szCs w:val="16"/>
          <w:lang w:val="es-CR"/>
        </w:rPr>
        <w:t>.</w:t>
      </w:r>
    </w:p>
  </w:footnote>
  <w:footnote w:id="181">
    <w:p w14:paraId="739E6629" w14:textId="489B0AC0" w:rsidR="00001FD9" w:rsidRPr="00CD68BA" w:rsidRDefault="00001FD9" w:rsidP="00D12B21">
      <w:pPr>
        <w:pStyle w:val="Textonotapie"/>
        <w:snapToGrid w:val="0"/>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321CAB" w:rsidRPr="00CD68BA">
        <w:rPr>
          <w:szCs w:val="16"/>
          <w:lang w:val="es-CR"/>
        </w:rPr>
        <w:t>En cuanto al análisis de la complejidad del asunto, la Corte ha tenido en cuenta, entre otros criterios, la complejidad de la prueba, la pluralidad de sujetos procesales o la cantidad de víctimas, el tiempo transcurrido desde que se tuvo noticia del hecho que debe ser investigado, las características del recurso contenido en la legislación interna y el contexto en el que ocurrió la violación.</w:t>
      </w:r>
      <w:r w:rsidR="00321CAB" w:rsidRPr="00CD68BA">
        <w:rPr>
          <w:i/>
          <w:szCs w:val="16"/>
          <w:lang w:val="es-CR"/>
        </w:rPr>
        <w:t xml:space="preserve"> </w:t>
      </w:r>
      <w:r w:rsidRPr="00CD68BA">
        <w:rPr>
          <w:i/>
          <w:szCs w:val="16"/>
          <w:lang w:val="es-CR"/>
        </w:rPr>
        <w:t>Cfr.</w:t>
      </w:r>
      <w:r w:rsidRPr="00CD68BA">
        <w:rPr>
          <w:szCs w:val="16"/>
          <w:lang w:val="es-CR"/>
        </w:rPr>
        <w:t xml:space="preserve"> </w:t>
      </w:r>
      <w:r w:rsidRPr="00CD68BA">
        <w:rPr>
          <w:i/>
          <w:szCs w:val="16"/>
          <w:lang w:val="es-CR"/>
        </w:rPr>
        <w:t>Caso Genie Lacayo Vs. Nicaragua. Excepciones Preliminares</w:t>
      </w:r>
      <w:r w:rsidRPr="00CD68BA">
        <w:rPr>
          <w:szCs w:val="16"/>
          <w:lang w:val="es-CR"/>
        </w:rPr>
        <w:t xml:space="preserve">. Sentencia de 27 de enero de 1995. Serie C No. 21, párr. 78, y </w:t>
      </w:r>
      <w:r w:rsidRPr="00CD68BA">
        <w:rPr>
          <w:i/>
          <w:szCs w:val="16"/>
          <w:lang w:val="es-CR"/>
        </w:rPr>
        <w:t xml:space="preserve">Caso </w:t>
      </w:r>
      <w:r w:rsidR="00321CAB" w:rsidRPr="00CD68BA">
        <w:rPr>
          <w:rFonts w:cs="Verdana"/>
          <w:i/>
          <w:iCs/>
          <w:szCs w:val="16"/>
          <w:lang w:val="es-CR"/>
        </w:rPr>
        <w:t>Digna Ochoa y familiares Vs. México, supra</w:t>
      </w:r>
      <w:r w:rsidR="00321CAB" w:rsidRPr="00CD68BA">
        <w:rPr>
          <w:i/>
          <w:szCs w:val="16"/>
          <w:lang w:val="es-CR"/>
        </w:rPr>
        <w:t xml:space="preserve">, </w:t>
      </w:r>
      <w:r w:rsidRPr="00CD68BA">
        <w:rPr>
          <w:szCs w:val="16"/>
          <w:lang w:val="es-CR"/>
        </w:rPr>
        <w:t xml:space="preserve">párr. </w:t>
      </w:r>
      <w:r w:rsidR="00321CAB" w:rsidRPr="00CD68BA">
        <w:rPr>
          <w:szCs w:val="16"/>
          <w:lang w:val="es-CR"/>
        </w:rPr>
        <w:t>131</w:t>
      </w:r>
      <w:r w:rsidRPr="00CD68BA">
        <w:rPr>
          <w:szCs w:val="16"/>
          <w:lang w:val="es-CR"/>
        </w:rPr>
        <w:t xml:space="preserve"> y nota a</w:t>
      </w:r>
      <w:r w:rsidR="00B34DAD" w:rsidRPr="00CD68BA">
        <w:rPr>
          <w:szCs w:val="16"/>
          <w:lang w:val="es-CR"/>
        </w:rPr>
        <w:t>l</w:t>
      </w:r>
      <w:r w:rsidRPr="00CD68BA">
        <w:rPr>
          <w:szCs w:val="16"/>
          <w:lang w:val="es-CR"/>
        </w:rPr>
        <w:t xml:space="preserve"> pie </w:t>
      </w:r>
      <w:r w:rsidR="00321CAB" w:rsidRPr="00CD68BA">
        <w:rPr>
          <w:szCs w:val="16"/>
          <w:lang w:val="es-CR"/>
        </w:rPr>
        <w:t>206</w:t>
      </w:r>
      <w:r w:rsidRPr="00CD68BA">
        <w:rPr>
          <w:szCs w:val="16"/>
          <w:lang w:val="es-CR"/>
        </w:rPr>
        <w:t>.</w:t>
      </w:r>
    </w:p>
  </w:footnote>
  <w:footnote w:id="182">
    <w:p w14:paraId="1EC22576" w14:textId="18806125" w:rsidR="00001FD9" w:rsidRPr="00CD68BA" w:rsidRDefault="00001FD9" w:rsidP="00D12B21">
      <w:pPr>
        <w:pStyle w:val="Textonotapie"/>
        <w:snapToGrid w:val="0"/>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0A391A" w:rsidRPr="00CD68BA">
        <w:rPr>
          <w:szCs w:val="16"/>
          <w:lang w:val="es-CR"/>
        </w:rPr>
        <w:t>Respecto de la actividad del interesado en obtener justicia, la Corte ha tomado en consideración si la conducta procesal de este ha contribuido en algún grado a prolongar indebidamente la duración del proceso</w:t>
      </w:r>
      <w:r w:rsidR="000C4785" w:rsidRPr="00CD68BA">
        <w:rPr>
          <w:szCs w:val="16"/>
          <w:lang w:val="es-CR"/>
        </w:rPr>
        <w:t>.</w:t>
      </w:r>
      <w:r w:rsidR="000A391A" w:rsidRPr="00CD68BA">
        <w:rPr>
          <w:i/>
          <w:szCs w:val="16"/>
          <w:lang w:val="es-CR"/>
        </w:rPr>
        <w:t xml:space="preserve"> </w:t>
      </w:r>
      <w:r w:rsidRPr="00CD68BA">
        <w:rPr>
          <w:i/>
          <w:szCs w:val="16"/>
          <w:lang w:val="es-CR"/>
        </w:rPr>
        <w:t>Cfr</w:t>
      </w:r>
      <w:r w:rsidRPr="00CD68BA">
        <w:rPr>
          <w:szCs w:val="16"/>
          <w:lang w:val="es-CR"/>
        </w:rPr>
        <w:t xml:space="preserve">. </w:t>
      </w:r>
      <w:r w:rsidRPr="00CD68BA">
        <w:rPr>
          <w:i/>
          <w:szCs w:val="16"/>
          <w:lang w:val="es-CR"/>
        </w:rPr>
        <w:t>Caso Cantos Vs. Argentina, supra</w:t>
      </w:r>
      <w:r w:rsidRPr="00CD68BA">
        <w:rPr>
          <w:szCs w:val="16"/>
          <w:lang w:val="es-CR"/>
        </w:rPr>
        <w:t xml:space="preserve">, párr. 57, y </w:t>
      </w:r>
      <w:r w:rsidRPr="00CD68BA">
        <w:rPr>
          <w:i/>
          <w:szCs w:val="16"/>
          <w:lang w:val="es-CR"/>
        </w:rPr>
        <w:t>Caso</w:t>
      </w:r>
      <w:r w:rsidR="000C4785" w:rsidRPr="00CD68BA">
        <w:rPr>
          <w:i/>
          <w:szCs w:val="16"/>
          <w:lang w:val="es-CR"/>
        </w:rPr>
        <w:t xml:space="preserve"> </w:t>
      </w:r>
      <w:r w:rsidR="000C4785" w:rsidRPr="00CD68BA">
        <w:rPr>
          <w:rFonts w:cs="Verdana"/>
          <w:i/>
          <w:iCs/>
          <w:szCs w:val="16"/>
          <w:lang w:val="es-CR"/>
        </w:rPr>
        <w:t>Digna Ochoa y familiares Vs. México, supra</w:t>
      </w:r>
      <w:r w:rsidR="000C4785" w:rsidRPr="00CD68BA">
        <w:rPr>
          <w:i/>
          <w:szCs w:val="16"/>
          <w:lang w:val="es-CR"/>
        </w:rPr>
        <w:t xml:space="preserve">, </w:t>
      </w:r>
      <w:r w:rsidR="000C4785" w:rsidRPr="00CD68BA">
        <w:rPr>
          <w:szCs w:val="16"/>
          <w:lang w:val="es-CR"/>
        </w:rPr>
        <w:t>párr. 131 y nota al pie 207</w:t>
      </w:r>
      <w:r w:rsidRPr="00CD68BA">
        <w:rPr>
          <w:szCs w:val="16"/>
          <w:lang w:val="es-CR"/>
        </w:rPr>
        <w:t>.</w:t>
      </w:r>
    </w:p>
  </w:footnote>
  <w:footnote w:id="183">
    <w:p w14:paraId="1923EF5E" w14:textId="74D8A145" w:rsidR="00001FD9" w:rsidRPr="00CD68BA" w:rsidRDefault="00001FD9" w:rsidP="00D12B21">
      <w:pPr>
        <w:pStyle w:val="Textonotapie"/>
        <w:snapToGrid w:val="0"/>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snapToGrid w:val="0"/>
          <w:spacing w:val="-2"/>
          <w:szCs w:val="16"/>
          <w:lang w:val="es-CR" w:eastAsia="es-ES"/>
        </w:rPr>
        <w:t xml:space="preserve">La Corte ha entendido que, para lograr plenamente la efectividad de la sentencia, las autoridades judiciales deben </w:t>
      </w:r>
      <w:r w:rsidRPr="00CD68BA">
        <w:rPr>
          <w:szCs w:val="16"/>
          <w:lang w:val="es-CR"/>
        </w:rPr>
        <w:t>actuar</w:t>
      </w:r>
      <w:r w:rsidRPr="00CD68BA">
        <w:rPr>
          <w:snapToGrid w:val="0"/>
          <w:spacing w:val="-2"/>
          <w:szCs w:val="16"/>
          <w:lang w:val="es-CR" w:eastAsia="es-ES"/>
        </w:rPr>
        <w:t xml:space="preserve"> con celeridad y sin demora, debido a que el principio de tutela judicial efectiva requiere que los procedimientos de ejecución sean llevados a cabo sin obstáculos o demoras indebidas, a fin de que alcancen su objetivo de manera rápida, sencilla e integral.</w:t>
      </w:r>
      <w:r w:rsidRPr="00CD68BA">
        <w:rPr>
          <w:i/>
          <w:szCs w:val="16"/>
          <w:lang w:val="es-CR"/>
        </w:rPr>
        <w:t xml:space="preserve"> Cfr.</w:t>
      </w:r>
      <w:r w:rsidRPr="00CD68BA">
        <w:rPr>
          <w:szCs w:val="16"/>
          <w:lang w:val="es-CR"/>
        </w:rPr>
        <w:t xml:space="preserve"> </w:t>
      </w:r>
      <w:r w:rsidRPr="00CD68BA">
        <w:rPr>
          <w:i/>
          <w:szCs w:val="16"/>
          <w:lang w:val="es-CR"/>
        </w:rPr>
        <w:t>Caso Mejía Idrovo Vs. Ecuador</w:t>
      </w:r>
      <w:r w:rsidR="000C4785" w:rsidRPr="00CD68BA">
        <w:rPr>
          <w:i/>
          <w:szCs w:val="16"/>
          <w:lang w:val="es-CR"/>
        </w:rPr>
        <w:t>.</w:t>
      </w:r>
      <w:r w:rsidR="000C4785" w:rsidRPr="00CD68BA">
        <w:rPr>
          <w:szCs w:val="16"/>
          <w:lang w:val="es-CR"/>
        </w:rPr>
        <w:t xml:space="preserve"> </w:t>
      </w:r>
      <w:r w:rsidR="000C4785" w:rsidRPr="00CD68BA">
        <w:rPr>
          <w:i/>
          <w:szCs w:val="16"/>
          <w:lang w:val="es-CR"/>
        </w:rPr>
        <w:t xml:space="preserve">Excepciones Preliminares, Fondo, Reparaciones y Costas. </w:t>
      </w:r>
      <w:r w:rsidR="000C4785" w:rsidRPr="00CD68BA">
        <w:rPr>
          <w:iCs/>
          <w:szCs w:val="16"/>
          <w:lang w:val="es-CR"/>
        </w:rPr>
        <w:t>Sentencia de 5 de julio de 2011. Serie C No. 228</w:t>
      </w:r>
      <w:r w:rsidRPr="00CD68BA">
        <w:rPr>
          <w:i/>
          <w:szCs w:val="16"/>
          <w:lang w:val="es-CR"/>
        </w:rPr>
        <w:t>,</w:t>
      </w:r>
      <w:r w:rsidRPr="00CD68BA">
        <w:rPr>
          <w:szCs w:val="16"/>
          <w:lang w:val="es-CR"/>
        </w:rPr>
        <w:t xml:space="preserve"> párr. 106, y </w:t>
      </w:r>
      <w:r w:rsidR="000C4785" w:rsidRPr="00CD68BA">
        <w:rPr>
          <w:i/>
          <w:szCs w:val="16"/>
          <w:lang w:val="es-CR"/>
        </w:rPr>
        <w:t xml:space="preserve">Caso </w:t>
      </w:r>
      <w:r w:rsidR="000C4785" w:rsidRPr="00CD68BA">
        <w:rPr>
          <w:rFonts w:cs="Verdana"/>
          <w:i/>
          <w:iCs/>
          <w:szCs w:val="16"/>
          <w:lang w:val="es-CR"/>
        </w:rPr>
        <w:t>Digna Ochoa y familiares Vs. México, supra</w:t>
      </w:r>
      <w:r w:rsidR="000C4785" w:rsidRPr="00CD68BA">
        <w:rPr>
          <w:i/>
          <w:szCs w:val="16"/>
          <w:lang w:val="es-CR"/>
        </w:rPr>
        <w:t xml:space="preserve">, </w:t>
      </w:r>
      <w:r w:rsidR="000C4785" w:rsidRPr="00CD68BA">
        <w:rPr>
          <w:szCs w:val="16"/>
          <w:lang w:val="es-CR"/>
        </w:rPr>
        <w:t>párr. 131 y nota al pie 20</w:t>
      </w:r>
      <w:r w:rsidR="0043705A" w:rsidRPr="00CD68BA">
        <w:rPr>
          <w:szCs w:val="16"/>
          <w:lang w:val="es-CR"/>
        </w:rPr>
        <w:t>8</w:t>
      </w:r>
      <w:r w:rsidRPr="00CD68BA">
        <w:rPr>
          <w:szCs w:val="16"/>
          <w:lang w:val="es-CR"/>
        </w:rPr>
        <w:t xml:space="preserve">. </w:t>
      </w:r>
    </w:p>
  </w:footnote>
  <w:footnote w:id="184">
    <w:p w14:paraId="12A2B847" w14:textId="79533815" w:rsidR="00001FD9" w:rsidRPr="00CD68BA" w:rsidRDefault="00001FD9" w:rsidP="00D12B21">
      <w:pPr>
        <w:pStyle w:val="Textonotapie"/>
        <w:snapToGrid w:val="0"/>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snapToGrid w:val="0"/>
          <w:spacing w:val="-2"/>
          <w:szCs w:val="16"/>
          <w:lang w:val="es-CR" w:eastAsia="es-ES"/>
        </w:rPr>
        <w:t xml:space="preserve">La Corte ha afirmado que para determinar la razonabilidad del plazo se debe tomar en cuenta la afectación generada por la duración del procedimiento en la situación jurídica de la persona involucrada, </w:t>
      </w:r>
      <w:r w:rsidRPr="00CD68BA">
        <w:rPr>
          <w:szCs w:val="16"/>
          <w:lang w:val="es-CR"/>
        </w:rPr>
        <w:t>considerando</w:t>
      </w:r>
      <w:r w:rsidRPr="00CD68BA">
        <w:rPr>
          <w:snapToGrid w:val="0"/>
          <w:spacing w:val="-2"/>
          <w:szCs w:val="16"/>
          <w:lang w:val="es-CR" w:eastAsia="es-ES"/>
        </w:rPr>
        <w:t>, entre otros elementos, la materia de la controversia.</w:t>
      </w:r>
      <w:r w:rsidRPr="00CD68BA">
        <w:rPr>
          <w:i/>
          <w:szCs w:val="16"/>
          <w:lang w:val="es-CR"/>
        </w:rPr>
        <w:t xml:space="preserve"> Cfr.</w:t>
      </w:r>
      <w:r w:rsidRPr="00CD68BA">
        <w:rPr>
          <w:szCs w:val="16"/>
          <w:lang w:val="es-CR"/>
        </w:rPr>
        <w:t xml:space="preserve"> </w:t>
      </w:r>
      <w:r w:rsidRPr="00CD68BA">
        <w:rPr>
          <w:i/>
          <w:szCs w:val="16"/>
          <w:lang w:val="es-CR"/>
        </w:rPr>
        <w:t>Caso Asociación Nacional de Cesantes y Jubilados de la Superintendencia Nacional de Administración Tributaria (ANCEJUB-SUNAT) Vs. Perú</w:t>
      </w:r>
      <w:r w:rsidRPr="00CD68BA">
        <w:rPr>
          <w:szCs w:val="16"/>
          <w:lang w:val="es-CR"/>
        </w:rPr>
        <w:t xml:space="preserve">, </w:t>
      </w:r>
      <w:r w:rsidRPr="00CD68BA">
        <w:rPr>
          <w:i/>
          <w:szCs w:val="16"/>
          <w:lang w:val="es-CR"/>
        </w:rPr>
        <w:t>supra</w:t>
      </w:r>
      <w:r w:rsidRPr="00CD68BA">
        <w:rPr>
          <w:szCs w:val="16"/>
          <w:lang w:val="es-CR"/>
        </w:rPr>
        <w:t>, párr. 148, y</w:t>
      </w:r>
      <w:r w:rsidR="0043705A" w:rsidRPr="00CD68BA">
        <w:rPr>
          <w:i/>
          <w:szCs w:val="16"/>
          <w:lang w:val="es-CR"/>
        </w:rPr>
        <w:t xml:space="preserve"> Caso </w:t>
      </w:r>
      <w:r w:rsidR="0043705A" w:rsidRPr="00CD68BA">
        <w:rPr>
          <w:rFonts w:cs="Verdana"/>
          <w:i/>
          <w:iCs/>
          <w:szCs w:val="16"/>
          <w:lang w:val="es-CR"/>
        </w:rPr>
        <w:t>Digna Ochoa y familiares Vs. México, supra</w:t>
      </w:r>
      <w:r w:rsidR="0043705A" w:rsidRPr="00CD68BA">
        <w:rPr>
          <w:i/>
          <w:szCs w:val="16"/>
          <w:lang w:val="es-CR"/>
        </w:rPr>
        <w:t xml:space="preserve">, </w:t>
      </w:r>
      <w:r w:rsidR="0043705A" w:rsidRPr="00CD68BA">
        <w:rPr>
          <w:szCs w:val="16"/>
          <w:lang w:val="es-CR"/>
        </w:rPr>
        <w:t>párr. 131 y nota al pie 209</w:t>
      </w:r>
      <w:r w:rsidRPr="00CD68BA">
        <w:rPr>
          <w:szCs w:val="16"/>
          <w:lang w:val="es-CR"/>
        </w:rPr>
        <w:t>.</w:t>
      </w:r>
    </w:p>
  </w:footnote>
  <w:footnote w:id="185">
    <w:p w14:paraId="07842814" w14:textId="19CD3676"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Pr="00CD68BA">
        <w:rPr>
          <w:i/>
          <w:szCs w:val="16"/>
          <w:lang w:val="es-CR"/>
        </w:rPr>
        <w:t xml:space="preserve">Caso Anzualdo Castro Vs. Perú. </w:t>
      </w:r>
      <w:r w:rsidRPr="00CD68BA">
        <w:rPr>
          <w:bCs/>
          <w:i/>
          <w:szCs w:val="16"/>
          <w:lang w:val="es-CR"/>
        </w:rPr>
        <w:t>Excepción Preliminar, Fondo, Reparaciones y Costas</w:t>
      </w:r>
      <w:r w:rsidRPr="00CD68BA">
        <w:rPr>
          <w:bCs/>
          <w:szCs w:val="16"/>
          <w:lang w:val="es-CR"/>
        </w:rPr>
        <w:t xml:space="preserve">. Sentencia de 22 de septiembre de 2009. Serie C No. 202, párr. 156, </w:t>
      </w:r>
      <w:r w:rsidRPr="00CD68BA">
        <w:rPr>
          <w:szCs w:val="16"/>
          <w:lang w:val="es-CR"/>
        </w:rPr>
        <w:t>y</w:t>
      </w:r>
      <w:r w:rsidR="0043705A" w:rsidRPr="00CD68BA">
        <w:rPr>
          <w:i/>
          <w:szCs w:val="16"/>
          <w:lang w:val="es-CR"/>
        </w:rPr>
        <w:t xml:space="preserve"> Caso </w:t>
      </w:r>
      <w:r w:rsidR="0043705A" w:rsidRPr="00CD68BA">
        <w:rPr>
          <w:rFonts w:cs="Verdana"/>
          <w:i/>
          <w:iCs/>
          <w:szCs w:val="16"/>
          <w:lang w:val="es-CR"/>
        </w:rPr>
        <w:t>Digna Ochoa y familiares Vs. México, supra</w:t>
      </w:r>
      <w:r w:rsidR="0043705A" w:rsidRPr="00CD68BA">
        <w:rPr>
          <w:i/>
          <w:szCs w:val="16"/>
          <w:lang w:val="es-CR"/>
        </w:rPr>
        <w:t xml:space="preserve">, </w:t>
      </w:r>
      <w:r w:rsidR="0043705A" w:rsidRPr="00CD68BA">
        <w:rPr>
          <w:szCs w:val="16"/>
          <w:lang w:val="es-CR"/>
        </w:rPr>
        <w:t>párr. 131</w:t>
      </w:r>
      <w:r w:rsidRPr="00CD68BA">
        <w:rPr>
          <w:szCs w:val="16"/>
          <w:lang w:val="es-CR"/>
        </w:rPr>
        <w:t>.</w:t>
      </w:r>
    </w:p>
  </w:footnote>
  <w:footnote w:id="186">
    <w:p w14:paraId="74024827" w14:textId="2ADA2413"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Pr="00CD68BA">
        <w:rPr>
          <w:i/>
          <w:szCs w:val="16"/>
          <w:lang w:val="es-CR"/>
        </w:rPr>
        <w:t>Caso Suárez Rosero Vs. Ecuador. Reparaciones y Costas</w:t>
      </w:r>
      <w:r w:rsidRPr="00CD68BA">
        <w:rPr>
          <w:szCs w:val="16"/>
          <w:lang w:val="es-CR"/>
        </w:rPr>
        <w:t xml:space="preserve">. Sentencia de 20 de enero de 1999. Serie C No. 44, párr. 71, y </w:t>
      </w:r>
      <w:r w:rsidRPr="00CD68BA">
        <w:rPr>
          <w:rFonts w:cs="Arial"/>
          <w:i/>
          <w:szCs w:val="16"/>
          <w:shd w:val="clear" w:color="auto" w:fill="FFFFFF"/>
          <w:lang w:val="es-CR"/>
        </w:rPr>
        <w:t>Caso Digna Ochoa</w:t>
      </w:r>
      <w:r w:rsidR="0043705A" w:rsidRPr="00CD68BA">
        <w:rPr>
          <w:rFonts w:cs="Arial"/>
          <w:i/>
          <w:szCs w:val="16"/>
          <w:shd w:val="clear" w:color="auto" w:fill="FFFFFF"/>
          <w:lang w:val="es-CR"/>
        </w:rPr>
        <w:t xml:space="preserve"> </w:t>
      </w:r>
      <w:r w:rsidR="0043705A" w:rsidRPr="00CD68BA">
        <w:rPr>
          <w:rFonts w:cs="Verdana"/>
          <w:i/>
          <w:iCs/>
          <w:szCs w:val="16"/>
          <w:lang w:val="es-CR"/>
        </w:rPr>
        <w:t>y familiares Vs. México, supra</w:t>
      </w:r>
      <w:r w:rsidRPr="00CD68BA">
        <w:rPr>
          <w:rFonts w:cs="Arial"/>
          <w:szCs w:val="16"/>
          <w:shd w:val="clear" w:color="auto" w:fill="FFFFFF"/>
          <w:lang w:val="es-CR"/>
        </w:rPr>
        <w:t>, párr. 131</w:t>
      </w:r>
      <w:r w:rsidRPr="00CD68BA">
        <w:rPr>
          <w:szCs w:val="16"/>
          <w:lang w:val="es-CR"/>
        </w:rPr>
        <w:t>.</w:t>
      </w:r>
    </w:p>
  </w:footnote>
  <w:footnote w:id="187">
    <w:p w14:paraId="1696E58C" w14:textId="17E59EFE"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Versión escrita del peritaje </w:t>
      </w:r>
      <w:r w:rsidR="00EB5475" w:rsidRPr="00CD68BA">
        <w:rPr>
          <w:szCs w:val="16"/>
          <w:lang w:val="es-CR"/>
        </w:rPr>
        <w:t>de</w:t>
      </w:r>
      <w:r w:rsidRPr="00CD68BA">
        <w:rPr>
          <w:szCs w:val="16"/>
          <w:lang w:val="es-CR"/>
        </w:rPr>
        <w:t xml:space="preserve"> Rui Carlo Dissenha</w:t>
      </w:r>
      <w:r w:rsidR="00C1411E" w:rsidRPr="00CD68BA">
        <w:rPr>
          <w:szCs w:val="16"/>
          <w:lang w:val="es-CR"/>
        </w:rPr>
        <w:t xml:space="preserve">, </w:t>
      </w:r>
      <w:r w:rsidR="00C1411E" w:rsidRPr="00CD68BA">
        <w:rPr>
          <w:i/>
          <w:iCs/>
          <w:szCs w:val="16"/>
          <w:lang w:val="es-CR"/>
        </w:rPr>
        <w:t>supra</w:t>
      </w:r>
      <w:r w:rsidRPr="00CD68BA">
        <w:rPr>
          <w:szCs w:val="16"/>
          <w:lang w:val="es-CR"/>
        </w:rPr>
        <w:t xml:space="preserve"> (expediente de prueba, folio</w:t>
      </w:r>
      <w:r w:rsidR="0065655F" w:rsidRPr="00CD68BA">
        <w:rPr>
          <w:szCs w:val="16"/>
          <w:lang w:val="es-CR"/>
        </w:rPr>
        <w:t xml:space="preserve"> 6641</w:t>
      </w:r>
      <w:r w:rsidRPr="00CD68BA">
        <w:rPr>
          <w:szCs w:val="16"/>
          <w:lang w:val="es-CR"/>
        </w:rPr>
        <w:t>)</w:t>
      </w:r>
      <w:r w:rsidR="001C33C1" w:rsidRPr="00CD68BA">
        <w:rPr>
          <w:szCs w:val="16"/>
          <w:lang w:val="es-CR"/>
        </w:rPr>
        <w:t>.</w:t>
      </w:r>
      <w:r w:rsidRPr="00CD68BA">
        <w:rPr>
          <w:szCs w:val="16"/>
          <w:lang w:val="es-CR"/>
        </w:rPr>
        <w:t xml:space="preserve"> </w:t>
      </w:r>
    </w:p>
  </w:footnote>
  <w:footnote w:id="188">
    <w:p w14:paraId="35F0FC8F" w14:textId="5B90A92B"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La conclusión del perito Dissenha, al analizar minuciosamente cada acto procesal realizado en este caso, va en el mismo sentido: “la excesiva duración del proceso se debió a la responsabilidad única y absoluta</w:t>
      </w:r>
      <w:r w:rsidR="00E518C8" w:rsidRPr="00CD68BA">
        <w:rPr>
          <w:szCs w:val="16"/>
          <w:lang w:val="es-CR"/>
        </w:rPr>
        <w:t>”</w:t>
      </w:r>
      <w:r w:rsidRPr="00CD68BA">
        <w:rPr>
          <w:szCs w:val="16"/>
          <w:lang w:val="es-CR"/>
        </w:rPr>
        <w:t xml:space="preserve"> de las autoridades judiciales. Versión escrita del peritaje </w:t>
      </w:r>
      <w:r w:rsidR="0065655F" w:rsidRPr="00CD68BA">
        <w:rPr>
          <w:szCs w:val="16"/>
          <w:lang w:val="es-CR"/>
        </w:rPr>
        <w:t>de</w:t>
      </w:r>
      <w:r w:rsidRPr="00CD68BA">
        <w:rPr>
          <w:szCs w:val="16"/>
          <w:lang w:val="es-CR"/>
        </w:rPr>
        <w:t xml:space="preserve"> Rui Carlo Dissenha</w:t>
      </w:r>
      <w:r w:rsidR="00C1411E" w:rsidRPr="00CD68BA">
        <w:rPr>
          <w:szCs w:val="16"/>
          <w:lang w:val="es-CR"/>
        </w:rPr>
        <w:t xml:space="preserve">, </w:t>
      </w:r>
      <w:r w:rsidR="00C1411E" w:rsidRPr="00CD68BA">
        <w:rPr>
          <w:i/>
          <w:iCs/>
          <w:szCs w:val="16"/>
          <w:lang w:val="es-CR"/>
        </w:rPr>
        <w:t>supra</w:t>
      </w:r>
      <w:r w:rsidRPr="00CD68BA">
        <w:rPr>
          <w:szCs w:val="16"/>
          <w:lang w:val="es-CR"/>
        </w:rPr>
        <w:t xml:space="preserve"> (expediente de prueba, folio 6643).</w:t>
      </w:r>
    </w:p>
  </w:footnote>
  <w:footnote w:id="189">
    <w:p w14:paraId="5345B6C1" w14:textId="5AE7DD18"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Cfr. Versión escrita del peritaje </w:t>
      </w:r>
      <w:r w:rsidR="00996BF2" w:rsidRPr="00CD68BA">
        <w:rPr>
          <w:szCs w:val="16"/>
          <w:lang w:val="es-CR"/>
        </w:rPr>
        <w:t>de</w:t>
      </w:r>
      <w:r w:rsidRPr="00CD68BA">
        <w:rPr>
          <w:szCs w:val="16"/>
          <w:lang w:val="es-CR"/>
        </w:rPr>
        <w:t xml:space="preserve"> Rui Carlo Dissenha</w:t>
      </w:r>
      <w:r w:rsidR="00996BF2" w:rsidRPr="00CD68BA">
        <w:rPr>
          <w:szCs w:val="16"/>
          <w:lang w:val="es-CR"/>
        </w:rPr>
        <w:t xml:space="preserve">, </w:t>
      </w:r>
      <w:r w:rsidR="00996BF2" w:rsidRPr="00CD68BA">
        <w:rPr>
          <w:i/>
          <w:iCs/>
          <w:szCs w:val="16"/>
          <w:lang w:val="es-CR"/>
        </w:rPr>
        <w:t xml:space="preserve">supra </w:t>
      </w:r>
      <w:r w:rsidR="00996BF2" w:rsidRPr="00CD68BA">
        <w:rPr>
          <w:szCs w:val="16"/>
          <w:lang w:val="es-CR"/>
        </w:rPr>
        <w:t>(expediente de prueba, folio</w:t>
      </w:r>
      <w:r w:rsidR="00C1411E" w:rsidRPr="00CD68BA">
        <w:rPr>
          <w:szCs w:val="16"/>
          <w:lang w:val="es-CR"/>
        </w:rPr>
        <w:t xml:space="preserve"> 6642)</w:t>
      </w:r>
      <w:r w:rsidR="001C33C1" w:rsidRPr="00CD68BA">
        <w:rPr>
          <w:szCs w:val="16"/>
          <w:lang w:val="es-CR"/>
        </w:rPr>
        <w:t>.</w:t>
      </w:r>
      <w:r w:rsidR="00996BF2" w:rsidRPr="00CD68BA">
        <w:rPr>
          <w:szCs w:val="16"/>
          <w:lang w:val="es-CR"/>
        </w:rPr>
        <w:t xml:space="preserve"> </w:t>
      </w:r>
    </w:p>
  </w:footnote>
  <w:footnote w:id="190">
    <w:p w14:paraId="3480F76F" w14:textId="376A6D80" w:rsidR="00001FD9" w:rsidRPr="00CD68BA" w:rsidRDefault="00001FD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Pr="00CD68BA">
        <w:rPr>
          <w:rFonts w:cs="Arial"/>
          <w:i/>
          <w:szCs w:val="16"/>
          <w:shd w:val="clear" w:color="auto" w:fill="FFFFFF"/>
          <w:lang w:val="es-CR"/>
        </w:rPr>
        <w:t>Caso Valle Jaramillo y otros Vs. Colombia</w:t>
      </w:r>
      <w:r w:rsidR="00554355" w:rsidRPr="00CD68BA">
        <w:rPr>
          <w:rFonts w:cs="Arial"/>
          <w:i/>
          <w:szCs w:val="16"/>
          <w:shd w:val="clear" w:color="auto" w:fill="FFFFFF"/>
          <w:lang w:val="es-CR"/>
        </w:rPr>
        <w:t>, supra</w:t>
      </w:r>
      <w:r w:rsidRPr="00CD68BA">
        <w:rPr>
          <w:szCs w:val="16"/>
          <w:lang w:val="es-CR"/>
        </w:rPr>
        <w:t>, párr. 155, y</w:t>
      </w:r>
      <w:r w:rsidR="00554355" w:rsidRPr="00CD68BA">
        <w:rPr>
          <w:i/>
          <w:szCs w:val="16"/>
          <w:lang w:val="es-CR"/>
        </w:rPr>
        <w:t xml:space="preserve"> Caso </w:t>
      </w:r>
      <w:r w:rsidR="00554355" w:rsidRPr="00CD68BA">
        <w:rPr>
          <w:rFonts w:cs="Verdana"/>
          <w:i/>
          <w:iCs/>
          <w:szCs w:val="16"/>
          <w:lang w:val="es-CR"/>
        </w:rPr>
        <w:t>Digna Ochoa y familiares Vs. México, supra</w:t>
      </w:r>
      <w:r w:rsidR="00554355" w:rsidRPr="00CD68BA">
        <w:rPr>
          <w:i/>
          <w:szCs w:val="16"/>
          <w:lang w:val="es-CR"/>
        </w:rPr>
        <w:t xml:space="preserve">, </w:t>
      </w:r>
      <w:r w:rsidR="00554355" w:rsidRPr="00CD68BA">
        <w:rPr>
          <w:szCs w:val="16"/>
          <w:lang w:val="es-CR"/>
        </w:rPr>
        <w:t>párr. 135.</w:t>
      </w:r>
    </w:p>
  </w:footnote>
  <w:footnote w:id="191">
    <w:p w14:paraId="4A1A06A2" w14:textId="48A56734" w:rsidR="00EE3CEC" w:rsidRPr="003C2C9B" w:rsidRDefault="00EE3CEC" w:rsidP="00D12B21">
      <w:pPr>
        <w:pStyle w:val="Textonotapie"/>
        <w:tabs>
          <w:tab w:val="left" w:pos="709"/>
        </w:tabs>
        <w:spacing w:before="0" w:after="60"/>
        <w:rPr>
          <w:i/>
          <w:szCs w:val="16"/>
          <w:lang w:val="pt-B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Pr="00CD68BA">
        <w:rPr>
          <w:i/>
          <w:szCs w:val="16"/>
          <w:lang w:val="es-CR"/>
        </w:rPr>
        <w:t xml:space="preserve">Caso Trujillo Oroza Vs. Bolivia. Reparaciones y Costas. </w:t>
      </w:r>
      <w:r w:rsidRPr="00CD68BA">
        <w:rPr>
          <w:szCs w:val="16"/>
          <w:lang w:val="es-CR"/>
        </w:rPr>
        <w:t>Sentencia de 27 de febrero de 2002</w:t>
      </w:r>
      <w:r w:rsidRPr="00CD68BA">
        <w:rPr>
          <w:i/>
          <w:szCs w:val="16"/>
          <w:lang w:val="es-CR"/>
        </w:rPr>
        <w:t xml:space="preserve">. </w:t>
      </w:r>
      <w:r w:rsidRPr="00CD68BA">
        <w:rPr>
          <w:szCs w:val="16"/>
          <w:lang w:val="es-CR"/>
        </w:rPr>
        <w:t>Serie C No. 92, párr. 100</w:t>
      </w:r>
      <w:r w:rsidR="00EE5FEF" w:rsidRPr="00CD68BA">
        <w:rPr>
          <w:szCs w:val="16"/>
          <w:lang w:val="es-CR"/>
        </w:rPr>
        <w:t>,</w:t>
      </w:r>
      <w:r w:rsidRPr="00CD68BA">
        <w:rPr>
          <w:szCs w:val="16"/>
          <w:lang w:val="es-CR"/>
        </w:rPr>
        <w:t xml:space="preserve"> y</w:t>
      </w:r>
      <w:r w:rsidR="00EE5FEF" w:rsidRPr="00CD68BA">
        <w:rPr>
          <w:szCs w:val="16"/>
          <w:lang w:val="es-CR"/>
        </w:rPr>
        <w:t xml:space="preserve"> </w:t>
      </w:r>
      <w:r w:rsidR="00EE5FEF" w:rsidRPr="00CD68BA">
        <w:rPr>
          <w:i/>
          <w:iCs/>
          <w:szCs w:val="16"/>
          <w:lang w:val="es-CR"/>
        </w:rPr>
        <w:t>Caso Maidanik y otros Vs. Uruguay, supra</w:t>
      </w:r>
      <w:r w:rsidR="00EE5FEF" w:rsidRPr="00CD68BA">
        <w:rPr>
          <w:szCs w:val="16"/>
          <w:lang w:val="es-CR"/>
        </w:rPr>
        <w:t>, párr. 176</w:t>
      </w:r>
      <w:r w:rsidRPr="00CD68BA">
        <w:rPr>
          <w:szCs w:val="16"/>
          <w:lang w:val="es-CR"/>
        </w:rPr>
        <w:t xml:space="preserve">. En similar sentido, </w:t>
      </w:r>
      <w:r w:rsidRPr="00CD68BA">
        <w:rPr>
          <w:i/>
          <w:szCs w:val="16"/>
          <w:lang w:val="es-CR"/>
        </w:rPr>
        <w:t xml:space="preserve">Caso Barbosa de Souza y otros Vs. </w:t>
      </w:r>
      <w:r w:rsidRPr="003C2C9B">
        <w:rPr>
          <w:i/>
          <w:szCs w:val="16"/>
          <w:lang w:val="pt-BR"/>
        </w:rPr>
        <w:t>Brasil</w:t>
      </w:r>
      <w:r w:rsidRPr="003C2C9B">
        <w:rPr>
          <w:szCs w:val="16"/>
          <w:lang w:val="pt-BR"/>
        </w:rPr>
        <w:t xml:space="preserve">, </w:t>
      </w:r>
      <w:r w:rsidR="00EE5FEF" w:rsidRPr="003C2C9B">
        <w:rPr>
          <w:i/>
          <w:iCs/>
          <w:szCs w:val="16"/>
          <w:lang w:val="pt-BR"/>
        </w:rPr>
        <w:t xml:space="preserve">supra, </w:t>
      </w:r>
      <w:r w:rsidRPr="003C2C9B">
        <w:rPr>
          <w:szCs w:val="16"/>
          <w:lang w:val="pt-BR"/>
        </w:rPr>
        <w:t xml:space="preserve">párr. 134. </w:t>
      </w:r>
    </w:p>
  </w:footnote>
  <w:footnote w:id="192">
    <w:p w14:paraId="67531431" w14:textId="381C09EC" w:rsidR="006B1609" w:rsidRPr="00CD68BA" w:rsidRDefault="006B1609" w:rsidP="00D12B21">
      <w:pPr>
        <w:pStyle w:val="Textonotapie"/>
        <w:spacing w:before="0" w:after="60"/>
        <w:rPr>
          <w:szCs w:val="16"/>
          <w:lang w:val="es-CR"/>
        </w:rPr>
      </w:pPr>
      <w:r w:rsidRPr="00CD68BA">
        <w:rPr>
          <w:rStyle w:val="Refdenotaalpie"/>
          <w:szCs w:val="16"/>
          <w:lang w:val="es-CR"/>
        </w:rPr>
        <w:footnoteRef/>
      </w:r>
      <w:r w:rsidRPr="003C2C9B">
        <w:rPr>
          <w:szCs w:val="16"/>
          <w:lang w:val="pt-BR"/>
        </w:rPr>
        <w:t xml:space="preserve"> </w:t>
      </w:r>
      <w:r w:rsidRPr="003C2C9B">
        <w:rPr>
          <w:szCs w:val="16"/>
          <w:lang w:val="pt-BR"/>
        </w:rPr>
        <w:tab/>
      </w:r>
      <w:r w:rsidRPr="003C2C9B">
        <w:rPr>
          <w:i/>
          <w:iCs/>
          <w:szCs w:val="16"/>
          <w:lang w:val="pt-BR"/>
        </w:rPr>
        <w:t>Cfr. Caso Gómez Palomino Vs. Perú, supra</w:t>
      </w:r>
      <w:r w:rsidRPr="003C2C9B">
        <w:rPr>
          <w:szCs w:val="16"/>
          <w:lang w:val="pt-BR"/>
        </w:rPr>
        <w:t xml:space="preserve">, párr. </w:t>
      </w:r>
      <w:r w:rsidRPr="00CD68BA">
        <w:rPr>
          <w:szCs w:val="16"/>
          <w:lang w:val="es-CR"/>
        </w:rPr>
        <w:t>80</w:t>
      </w:r>
      <w:r w:rsidR="00382AB2" w:rsidRPr="00CD68BA">
        <w:rPr>
          <w:szCs w:val="16"/>
          <w:lang w:val="es-CR"/>
        </w:rPr>
        <w:t>;</w:t>
      </w:r>
      <w:r w:rsidRPr="00CD68BA">
        <w:rPr>
          <w:szCs w:val="16"/>
          <w:lang w:val="es-CR"/>
        </w:rPr>
        <w:t xml:space="preserve"> </w:t>
      </w:r>
      <w:r w:rsidRPr="00CD68BA">
        <w:rPr>
          <w:i/>
          <w:iCs/>
          <w:szCs w:val="16"/>
          <w:lang w:val="es-CR"/>
        </w:rPr>
        <w:t>Caso Chitay Nech y otros Vs. Guatemala. Excepciones Preliminares, Fondo, Reparaciones y Costas</w:t>
      </w:r>
      <w:r w:rsidRPr="00CD68BA">
        <w:rPr>
          <w:szCs w:val="16"/>
          <w:lang w:val="es-CR"/>
        </w:rPr>
        <w:t>. Sentencia de 25 de mayo de 2010. Serie C No. 212, párr. 2</w:t>
      </w:r>
      <w:r w:rsidR="00382AB2" w:rsidRPr="00CD68BA">
        <w:rPr>
          <w:szCs w:val="16"/>
          <w:lang w:val="es-CR"/>
        </w:rPr>
        <w:t>06</w:t>
      </w:r>
      <w:r w:rsidRPr="00CD68BA">
        <w:rPr>
          <w:szCs w:val="16"/>
          <w:lang w:val="es-CR"/>
        </w:rPr>
        <w:t xml:space="preserve">, </w:t>
      </w:r>
      <w:r w:rsidR="00382AB2" w:rsidRPr="00CD68BA">
        <w:rPr>
          <w:szCs w:val="16"/>
          <w:lang w:val="es-CR"/>
        </w:rPr>
        <w:t xml:space="preserve">y </w:t>
      </w:r>
      <w:r w:rsidR="00AA26FE" w:rsidRPr="00CD68BA">
        <w:rPr>
          <w:i/>
          <w:iCs/>
          <w:szCs w:val="16"/>
          <w:lang w:val="es-CR"/>
        </w:rPr>
        <w:t>Caso Villaseñor Velarde y otros Vs. Guatemala. Fondo, Reparaciones y Costas</w:t>
      </w:r>
      <w:r w:rsidR="00AA26FE" w:rsidRPr="00CD68BA">
        <w:rPr>
          <w:szCs w:val="16"/>
          <w:lang w:val="es-CR"/>
        </w:rPr>
        <w:t>. Sentencia de 5 de febrero de 2019. Serie C No. 374, párr.</w:t>
      </w:r>
      <w:r w:rsidR="004575BB" w:rsidRPr="00CD68BA">
        <w:rPr>
          <w:szCs w:val="16"/>
          <w:lang w:val="es-CR"/>
        </w:rPr>
        <w:t xml:space="preserve"> </w:t>
      </w:r>
      <w:r w:rsidR="00AA26FE" w:rsidRPr="00CD68BA">
        <w:rPr>
          <w:szCs w:val="16"/>
          <w:lang w:val="es-CR"/>
        </w:rPr>
        <w:t>110.</w:t>
      </w:r>
    </w:p>
  </w:footnote>
  <w:footnote w:id="193">
    <w:p w14:paraId="64278632" w14:textId="77790AE8" w:rsidR="008E0EF8" w:rsidRPr="00CD68BA" w:rsidRDefault="008E0EF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Mutatis mutandis</w:t>
      </w:r>
      <w:r w:rsidRPr="00CD68BA">
        <w:rPr>
          <w:i/>
          <w:iCs/>
          <w:szCs w:val="16"/>
          <w:lang w:val="es-CR"/>
        </w:rPr>
        <w:t xml:space="preserve"> Caso Gómez Palomino Vs. Perú</w:t>
      </w:r>
      <w:r w:rsidR="00AA26FE" w:rsidRPr="00CD68BA">
        <w:rPr>
          <w:i/>
          <w:iCs/>
          <w:szCs w:val="16"/>
          <w:lang w:val="es-CR"/>
        </w:rPr>
        <w:t>, supra</w:t>
      </w:r>
      <w:r w:rsidR="00AA26FE" w:rsidRPr="00CD68BA">
        <w:rPr>
          <w:szCs w:val="16"/>
          <w:lang w:val="es-CR"/>
        </w:rPr>
        <w:t>, párr</w:t>
      </w:r>
      <w:r w:rsidR="005955AB" w:rsidRPr="00CD68BA">
        <w:rPr>
          <w:szCs w:val="16"/>
          <w:lang w:val="es-CR"/>
        </w:rPr>
        <w:t>.</w:t>
      </w:r>
      <w:r w:rsidR="00AA26FE" w:rsidRPr="00CD68BA">
        <w:rPr>
          <w:szCs w:val="16"/>
          <w:lang w:val="es-CR"/>
        </w:rPr>
        <w:t xml:space="preserve"> 78.</w:t>
      </w:r>
    </w:p>
  </w:footnote>
  <w:footnote w:id="194">
    <w:p w14:paraId="637D433A" w14:textId="721D858A" w:rsidR="00EE3CEC" w:rsidRPr="00CD68BA" w:rsidRDefault="00EE3CE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 Caso Trujillo Oroza Vs. Bolivia</w:t>
      </w:r>
      <w:r w:rsidR="00EE5FEF" w:rsidRPr="00CD68BA">
        <w:rPr>
          <w:i/>
          <w:iCs/>
          <w:szCs w:val="16"/>
          <w:lang w:val="es-CR"/>
        </w:rPr>
        <w:t>,</w:t>
      </w:r>
      <w:r w:rsidRPr="00CD68BA">
        <w:rPr>
          <w:szCs w:val="16"/>
          <w:lang w:val="es-CR"/>
        </w:rPr>
        <w:t xml:space="preserve"> </w:t>
      </w:r>
      <w:r w:rsidR="00EE5FEF" w:rsidRPr="00CD68BA">
        <w:rPr>
          <w:i/>
          <w:iCs/>
          <w:szCs w:val="16"/>
          <w:lang w:val="es-CR"/>
        </w:rPr>
        <w:t xml:space="preserve">supra, </w:t>
      </w:r>
      <w:r w:rsidRPr="00CD68BA">
        <w:rPr>
          <w:szCs w:val="16"/>
          <w:lang w:val="es-CR"/>
        </w:rPr>
        <w:t>párr. 100, y</w:t>
      </w:r>
      <w:r w:rsidR="00B250A4" w:rsidRPr="00CD68BA">
        <w:rPr>
          <w:i/>
          <w:iCs/>
          <w:szCs w:val="16"/>
          <w:lang w:val="es-CR"/>
        </w:rPr>
        <w:t xml:space="preserve"> Caso Maidanik y otros Vs. Uruguay, supra</w:t>
      </w:r>
      <w:r w:rsidR="00B250A4" w:rsidRPr="00CD68BA">
        <w:rPr>
          <w:szCs w:val="16"/>
          <w:lang w:val="es-CR"/>
        </w:rPr>
        <w:t xml:space="preserve">, párr. 176. </w:t>
      </w:r>
    </w:p>
  </w:footnote>
  <w:footnote w:id="195">
    <w:p w14:paraId="5788E1C2" w14:textId="6C308909" w:rsidR="00EE3CEC" w:rsidRPr="00CD68BA" w:rsidRDefault="00EE3CE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 Caso</w:t>
      </w:r>
      <w:r w:rsidRPr="00CD68BA">
        <w:rPr>
          <w:i/>
          <w:spacing w:val="-7"/>
          <w:szCs w:val="16"/>
          <w:lang w:val="es-CR"/>
        </w:rPr>
        <w:t xml:space="preserve"> </w:t>
      </w:r>
      <w:r w:rsidRPr="00CD68BA">
        <w:rPr>
          <w:i/>
          <w:szCs w:val="16"/>
          <w:lang w:val="es-CR"/>
        </w:rPr>
        <w:t>Velásquez</w:t>
      </w:r>
      <w:r w:rsidRPr="00CD68BA">
        <w:rPr>
          <w:i/>
          <w:spacing w:val="-3"/>
          <w:szCs w:val="16"/>
          <w:lang w:val="es-CR"/>
        </w:rPr>
        <w:t xml:space="preserve"> </w:t>
      </w:r>
      <w:r w:rsidRPr="00CD68BA">
        <w:rPr>
          <w:i/>
          <w:szCs w:val="16"/>
          <w:lang w:val="es-CR"/>
        </w:rPr>
        <w:t>Rodríguez</w:t>
      </w:r>
      <w:r w:rsidRPr="00CD68BA">
        <w:rPr>
          <w:i/>
          <w:spacing w:val="-4"/>
          <w:szCs w:val="16"/>
          <w:lang w:val="es-CR"/>
        </w:rPr>
        <w:t xml:space="preserve"> </w:t>
      </w:r>
      <w:r w:rsidRPr="00CD68BA">
        <w:rPr>
          <w:i/>
          <w:szCs w:val="16"/>
          <w:lang w:val="es-CR"/>
        </w:rPr>
        <w:t>Vs.</w:t>
      </w:r>
      <w:r w:rsidRPr="00CD68BA">
        <w:rPr>
          <w:i/>
          <w:spacing w:val="-3"/>
          <w:szCs w:val="16"/>
          <w:lang w:val="es-CR"/>
        </w:rPr>
        <w:t xml:space="preserve"> </w:t>
      </w:r>
      <w:r w:rsidRPr="00CD68BA">
        <w:rPr>
          <w:i/>
          <w:szCs w:val="16"/>
          <w:lang w:val="es-CR"/>
        </w:rPr>
        <w:t>Honduras.</w:t>
      </w:r>
      <w:r w:rsidRPr="00CD68BA">
        <w:rPr>
          <w:i/>
          <w:spacing w:val="-6"/>
          <w:szCs w:val="16"/>
          <w:lang w:val="es-CR"/>
        </w:rPr>
        <w:t xml:space="preserve"> </w:t>
      </w:r>
      <w:r w:rsidRPr="00CD68BA">
        <w:rPr>
          <w:i/>
          <w:szCs w:val="16"/>
          <w:lang w:val="es-CR"/>
        </w:rPr>
        <w:t>Fondo,</w:t>
      </w:r>
      <w:r w:rsidRPr="00CD68BA">
        <w:rPr>
          <w:i/>
          <w:spacing w:val="-3"/>
          <w:szCs w:val="16"/>
          <w:lang w:val="es-CR"/>
        </w:rPr>
        <w:t xml:space="preserve"> </w:t>
      </w:r>
      <w:r w:rsidRPr="00CD68BA">
        <w:rPr>
          <w:szCs w:val="16"/>
          <w:lang w:val="es-CR"/>
        </w:rPr>
        <w:t>párr.</w:t>
      </w:r>
      <w:r w:rsidRPr="00CD68BA">
        <w:rPr>
          <w:spacing w:val="-5"/>
          <w:szCs w:val="16"/>
          <w:lang w:val="es-CR"/>
        </w:rPr>
        <w:t xml:space="preserve"> </w:t>
      </w:r>
      <w:r w:rsidRPr="00CD68BA">
        <w:rPr>
          <w:szCs w:val="16"/>
          <w:lang w:val="es-CR"/>
        </w:rPr>
        <w:t xml:space="preserve">181, </w:t>
      </w:r>
      <w:r w:rsidR="00B250A4" w:rsidRPr="00CD68BA">
        <w:rPr>
          <w:szCs w:val="16"/>
          <w:lang w:val="es-CR"/>
        </w:rPr>
        <w:t>y</w:t>
      </w:r>
      <w:r w:rsidR="00B250A4" w:rsidRPr="00CD68BA">
        <w:rPr>
          <w:i/>
          <w:iCs/>
          <w:szCs w:val="16"/>
          <w:lang w:val="es-CR"/>
        </w:rPr>
        <w:t xml:space="preserve"> Caso Maidanik y otros Vs. Uruguay, supra</w:t>
      </w:r>
      <w:r w:rsidR="00B250A4" w:rsidRPr="00CD68BA">
        <w:rPr>
          <w:szCs w:val="16"/>
          <w:lang w:val="es-CR"/>
        </w:rPr>
        <w:t xml:space="preserve">, párr. 176. </w:t>
      </w:r>
    </w:p>
  </w:footnote>
  <w:footnote w:id="196">
    <w:p w14:paraId="4F15BEC7" w14:textId="5FD10681" w:rsidR="00DC0DFF" w:rsidRPr="00CD68BA" w:rsidRDefault="00DC0DFF"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En el presente caso, esta Corte no encuentra sustento para examinar el artículo 13 de la Convención Americana, en </w:t>
      </w:r>
      <w:r w:rsidR="00A15194" w:rsidRPr="00CD68BA">
        <w:rPr>
          <w:szCs w:val="16"/>
          <w:lang w:val="es-CR"/>
        </w:rPr>
        <w:t>tanto</w:t>
      </w:r>
      <w:r w:rsidRPr="00CD68BA">
        <w:rPr>
          <w:szCs w:val="16"/>
          <w:lang w:val="es-CR"/>
        </w:rPr>
        <w:t xml:space="preserve"> que</w:t>
      </w:r>
      <w:r w:rsidR="001F4CA8" w:rsidRPr="00CD68BA">
        <w:rPr>
          <w:szCs w:val="16"/>
          <w:lang w:val="es-CR"/>
        </w:rPr>
        <w:t xml:space="preserve"> no hay elementos dentro del marco fáctico establecido por la Comisión que se relacionan con el acceso a la información.</w:t>
      </w:r>
      <w:r w:rsidRPr="00CD68BA">
        <w:rPr>
          <w:szCs w:val="16"/>
          <w:lang w:val="es-CR"/>
        </w:rPr>
        <w:t xml:space="preserve"> </w:t>
      </w:r>
    </w:p>
  </w:footnote>
  <w:footnote w:id="197">
    <w:p w14:paraId="5EFD5F67" w14:textId="77777777" w:rsidR="00AB1D8C" w:rsidRPr="00CD68BA" w:rsidRDefault="00AB1D8C" w:rsidP="00D12B21">
      <w:pPr>
        <w:pStyle w:val="Textonotapie"/>
        <w:spacing w:before="0" w:after="60"/>
        <w:rPr>
          <w:szCs w:val="16"/>
          <w:lang w:val="es-CR"/>
        </w:rPr>
      </w:pPr>
      <w:r w:rsidRPr="00CD68BA">
        <w:rPr>
          <w:rStyle w:val="Refdenotaalpie"/>
          <w:szCs w:val="16"/>
          <w:lang w:val="es-CR"/>
        </w:rPr>
        <w:footnoteRef/>
      </w:r>
      <w:r w:rsidRPr="00CD68BA">
        <w:rPr>
          <w:szCs w:val="16"/>
          <w:lang w:val="es-CR"/>
        </w:rPr>
        <w:tab/>
        <w:t>Artículos 1.1 y 5 de la Convención Americana.</w:t>
      </w:r>
    </w:p>
  </w:footnote>
  <w:footnote w:id="198">
    <w:p w14:paraId="6941C13C" w14:textId="1E7B2D75" w:rsidR="00922ED8" w:rsidRPr="00CD68BA" w:rsidRDefault="00922ED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Pr="00CD68BA">
        <w:rPr>
          <w:i/>
          <w:szCs w:val="16"/>
          <w:lang w:val="es-CR"/>
        </w:rPr>
        <w:t xml:space="preserve">Caso Castillo Páez Vs. Perú. Fondo. Sentencia de 3 de noviembre de 1997. </w:t>
      </w:r>
      <w:r w:rsidRPr="00CD68BA">
        <w:rPr>
          <w:szCs w:val="16"/>
          <w:lang w:val="es-CR"/>
        </w:rPr>
        <w:t xml:space="preserve">Serie C No. 34, punto resolutivo cuarto, </w:t>
      </w:r>
      <w:r w:rsidRPr="00CD68BA">
        <w:rPr>
          <w:i/>
          <w:szCs w:val="16"/>
          <w:lang w:val="es-CR"/>
        </w:rPr>
        <w:t>y</w:t>
      </w:r>
      <w:r w:rsidR="003828C1" w:rsidRPr="00CD68BA">
        <w:rPr>
          <w:i/>
          <w:szCs w:val="16"/>
          <w:lang w:val="es-CR"/>
        </w:rPr>
        <w:t xml:space="preserve"> </w:t>
      </w:r>
      <w:r w:rsidR="003828C1" w:rsidRPr="00CD68BA">
        <w:rPr>
          <w:i/>
          <w:iCs/>
          <w:szCs w:val="16"/>
          <w:lang w:val="es-CR"/>
        </w:rPr>
        <w:t>Caso Maidanik y otros vs. Uruguay, supra</w:t>
      </w:r>
      <w:r w:rsidR="003828C1" w:rsidRPr="00CD68BA">
        <w:rPr>
          <w:szCs w:val="16"/>
          <w:lang w:val="es-CR"/>
        </w:rPr>
        <w:t>, párr. 185</w:t>
      </w:r>
      <w:r w:rsidRPr="00CD68BA">
        <w:rPr>
          <w:szCs w:val="16"/>
          <w:lang w:val="es-CR"/>
        </w:rPr>
        <w:t>.</w:t>
      </w:r>
    </w:p>
  </w:footnote>
  <w:footnote w:id="199">
    <w:p w14:paraId="6E0D9C30" w14:textId="664B55F0" w:rsidR="00922ED8" w:rsidRPr="00CD68BA" w:rsidRDefault="00922ED8" w:rsidP="00D12B21">
      <w:pPr>
        <w:pStyle w:val="Textonotapie"/>
        <w:spacing w:before="0" w:after="60"/>
        <w:rPr>
          <w:szCs w:val="16"/>
          <w:lang w:val="es-CR"/>
        </w:rPr>
      </w:pPr>
      <w:r w:rsidRPr="00CD68BA">
        <w:rPr>
          <w:rStyle w:val="Refdenotaalpie"/>
          <w:szCs w:val="16"/>
          <w:lang w:val="es-CR"/>
        </w:rPr>
        <w:footnoteRef/>
      </w:r>
      <w:r w:rsidRPr="00CD68BA">
        <w:rPr>
          <w:i/>
          <w:szCs w:val="16"/>
          <w:lang w:val="es-CR"/>
        </w:rPr>
        <w:t xml:space="preserve"> </w:t>
      </w:r>
      <w:r w:rsidRPr="00CD68BA">
        <w:rPr>
          <w:i/>
          <w:szCs w:val="16"/>
          <w:lang w:val="es-CR"/>
        </w:rPr>
        <w:tab/>
        <w:t xml:space="preserve">Cfr. Caso Blake Vs. Guatemala. Fondo. </w:t>
      </w:r>
      <w:r w:rsidRPr="00CD68BA">
        <w:rPr>
          <w:szCs w:val="16"/>
          <w:lang w:val="es-CR"/>
        </w:rPr>
        <w:t>Sentencia de 24 de enero de 1998. Serie C No. 36, párr. 114,</w:t>
      </w:r>
      <w:r w:rsidR="004C3D1E" w:rsidRPr="00CD68BA">
        <w:rPr>
          <w:szCs w:val="16"/>
          <w:lang w:val="es-CR"/>
        </w:rPr>
        <w:t xml:space="preserve"> y</w:t>
      </w:r>
      <w:r w:rsidR="004C3D1E" w:rsidRPr="00CD68BA">
        <w:rPr>
          <w:rFonts w:cs="Open Sans"/>
          <w:color w:val="494848"/>
          <w:szCs w:val="16"/>
          <w:shd w:val="clear" w:color="auto" w:fill="FFFFFF"/>
          <w:lang w:val="es-CR"/>
        </w:rPr>
        <w:t xml:space="preserve"> </w:t>
      </w:r>
      <w:r w:rsidR="004C3D1E" w:rsidRPr="00CD68BA">
        <w:rPr>
          <w:i/>
          <w:iCs/>
          <w:szCs w:val="16"/>
          <w:lang w:val="es-CR"/>
        </w:rPr>
        <w:t>Caso Manuela y otros Vs. El Salvador. Excepciones preliminares, Fondo, Reparaciones y Costas</w:t>
      </w:r>
      <w:r w:rsidR="004C3D1E" w:rsidRPr="00CD68BA">
        <w:rPr>
          <w:szCs w:val="16"/>
          <w:lang w:val="es-CR"/>
        </w:rPr>
        <w:t>. Sentencia de 2 de noviembre de 2021. Serie C No. 441,</w:t>
      </w:r>
      <w:r w:rsidRPr="00CD68BA">
        <w:rPr>
          <w:szCs w:val="16"/>
          <w:lang w:val="es-CR"/>
        </w:rPr>
        <w:t xml:space="preserve"> </w:t>
      </w:r>
      <w:r w:rsidRPr="00CD68BA">
        <w:rPr>
          <w:iCs/>
          <w:szCs w:val="16"/>
          <w:lang w:val="es-CR"/>
        </w:rPr>
        <w:t>párr. 2</w:t>
      </w:r>
      <w:r w:rsidR="004C3D1E" w:rsidRPr="00CD68BA">
        <w:rPr>
          <w:iCs/>
          <w:szCs w:val="16"/>
          <w:lang w:val="es-CR"/>
        </w:rPr>
        <w:t>62</w:t>
      </w:r>
      <w:r w:rsidRPr="00CD68BA">
        <w:rPr>
          <w:rStyle w:val="Textoennegrita"/>
          <w:b w:val="0"/>
          <w:szCs w:val="16"/>
          <w:shd w:val="clear" w:color="auto" w:fill="FFFFFF"/>
          <w:lang w:val="es-CR"/>
        </w:rPr>
        <w:t>.</w:t>
      </w:r>
    </w:p>
  </w:footnote>
  <w:footnote w:id="200">
    <w:p w14:paraId="5AED6148" w14:textId="6FD52B03" w:rsidR="00922ED8" w:rsidRPr="00CD68BA" w:rsidRDefault="00922ED8" w:rsidP="00D12B21">
      <w:pPr>
        <w:pStyle w:val="Textonotapie"/>
        <w:spacing w:before="0" w:after="60"/>
        <w:rPr>
          <w:szCs w:val="16"/>
          <w:lang w:val="es-CR"/>
        </w:rPr>
      </w:pPr>
      <w:r w:rsidRPr="00CD68BA">
        <w:rPr>
          <w:rStyle w:val="Refdenotaalpie"/>
          <w:szCs w:val="16"/>
          <w:lang w:val="es-CR"/>
        </w:rPr>
        <w:footnoteRef/>
      </w:r>
      <w:r w:rsidRPr="00CD68BA">
        <w:rPr>
          <w:i/>
          <w:szCs w:val="16"/>
          <w:lang w:val="es-CR"/>
        </w:rPr>
        <w:t xml:space="preserve"> </w:t>
      </w:r>
      <w:r w:rsidRPr="00CD68BA">
        <w:rPr>
          <w:i/>
          <w:szCs w:val="16"/>
          <w:lang w:val="es-CR"/>
        </w:rPr>
        <w:tab/>
        <w:t xml:space="preserve">Cfr. Caso Bámaca Velásquez Vs. Guatemala. Fondo. </w:t>
      </w:r>
      <w:r w:rsidRPr="00CD68BA">
        <w:rPr>
          <w:szCs w:val="16"/>
          <w:lang w:val="es-CR"/>
        </w:rPr>
        <w:t xml:space="preserve">Sentencia de 25 de noviembre de 2000. Serie C No. 70, párr. 163, </w:t>
      </w:r>
      <w:r w:rsidRPr="00CD68BA">
        <w:rPr>
          <w:i/>
          <w:szCs w:val="16"/>
          <w:lang w:val="es-CR"/>
        </w:rPr>
        <w:t xml:space="preserve">y </w:t>
      </w:r>
      <w:r w:rsidR="00977427" w:rsidRPr="00CD68BA">
        <w:rPr>
          <w:i/>
          <w:szCs w:val="16"/>
          <w:lang w:val="es-CR"/>
        </w:rPr>
        <w:t>C</w:t>
      </w:r>
      <w:r w:rsidR="00977427" w:rsidRPr="00CD68BA">
        <w:rPr>
          <w:i/>
          <w:iCs/>
          <w:szCs w:val="16"/>
          <w:lang w:val="es-CR"/>
        </w:rPr>
        <w:t>aso Manuela y otros Vs. El Salvador, supra</w:t>
      </w:r>
      <w:r w:rsidR="00977427" w:rsidRPr="00CD68BA">
        <w:rPr>
          <w:szCs w:val="16"/>
          <w:lang w:val="es-CR"/>
        </w:rPr>
        <w:t xml:space="preserve">, </w:t>
      </w:r>
      <w:r w:rsidR="00977427" w:rsidRPr="00CD68BA">
        <w:rPr>
          <w:iCs/>
          <w:szCs w:val="16"/>
          <w:lang w:val="es-CR"/>
        </w:rPr>
        <w:t>párr. 262</w:t>
      </w:r>
      <w:r w:rsidR="008B0827" w:rsidRPr="00CD68BA">
        <w:rPr>
          <w:iCs/>
          <w:szCs w:val="16"/>
          <w:lang w:val="es-CR"/>
        </w:rPr>
        <w:t>.</w:t>
      </w:r>
    </w:p>
  </w:footnote>
  <w:footnote w:id="201">
    <w:p w14:paraId="5580449C" w14:textId="69164EE1" w:rsidR="008B4DA9" w:rsidRPr="00CD68BA" w:rsidRDefault="008B4DA9" w:rsidP="008B4DA9">
      <w:pPr>
        <w:pStyle w:val="Textonotapie"/>
        <w:spacing w:before="0" w:after="60"/>
        <w:rPr>
          <w:iCs/>
          <w:szCs w:val="16"/>
          <w:lang w:val="es-CR"/>
        </w:rPr>
      </w:pPr>
      <w:r w:rsidRPr="00CD68BA">
        <w:rPr>
          <w:rStyle w:val="Refdenotaalpie"/>
          <w:szCs w:val="16"/>
          <w:lang w:val="es-CR"/>
        </w:rPr>
        <w:footnoteRef/>
      </w:r>
      <w:r w:rsidRPr="00CD68BA">
        <w:rPr>
          <w:i/>
          <w:szCs w:val="16"/>
          <w:lang w:val="es-CR"/>
        </w:rPr>
        <w:t xml:space="preserve"> </w:t>
      </w:r>
      <w:r w:rsidRPr="00CD68BA">
        <w:rPr>
          <w:i/>
          <w:szCs w:val="16"/>
          <w:lang w:val="es-CR"/>
        </w:rPr>
        <w:tab/>
      </w:r>
      <w:r w:rsidR="0081619F" w:rsidRPr="00CD68BA">
        <w:rPr>
          <w:iCs/>
          <w:szCs w:val="16"/>
          <w:lang w:val="es-CR"/>
        </w:rPr>
        <w:t>El artículo 268 del Código de Proceso Penal brasileño dispone que</w:t>
      </w:r>
      <w:r w:rsidR="00DE79D2" w:rsidRPr="00CD68BA">
        <w:rPr>
          <w:iCs/>
          <w:szCs w:val="16"/>
          <w:lang w:val="es-CR"/>
        </w:rPr>
        <w:t xml:space="preserve"> la víctima o su representante legal</w:t>
      </w:r>
      <w:r w:rsidR="00177248" w:rsidRPr="00CD68BA">
        <w:rPr>
          <w:iCs/>
          <w:szCs w:val="16"/>
          <w:lang w:val="es-CR"/>
        </w:rPr>
        <w:t>, entre otros,</w:t>
      </w:r>
      <w:r w:rsidR="00DE79D2" w:rsidRPr="00CD68BA">
        <w:rPr>
          <w:iCs/>
          <w:szCs w:val="16"/>
          <w:lang w:val="es-CR"/>
        </w:rPr>
        <w:t xml:space="preserve"> puede intervenir en el proceso penal para apoyar al Ministerio Público</w:t>
      </w:r>
      <w:r w:rsidRPr="00CD68BA">
        <w:rPr>
          <w:rStyle w:val="Textoennegrita"/>
          <w:b w:val="0"/>
          <w:iCs/>
          <w:szCs w:val="16"/>
          <w:shd w:val="clear" w:color="auto" w:fill="FFFFFF"/>
          <w:lang w:val="es-CR"/>
        </w:rPr>
        <w:t>.</w:t>
      </w:r>
      <w:r w:rsidR="00DE79D2" w:rsidRPr="00CD68BA">
        <w:rPr>
          <w:rStyle w:val="Textoennegrita"/>
          <w:b w:val="0"/>
          <w:iCs/>
          <w:szCs w:val="16"/>
          <w:shd w:val="clear" w:color="auto" w:fill="FFFFFF"/>
          <w:lang w:val="es-CR"/>
        </w:rPr>
        <w:t xml:space="preserve"> Disponible en: </w:t>
      </w:r>
      <w:bookmarkStart w:id="150" w:name="_Hlk114589659"/>
      <w:r w:rsidR="00DE79D2" w:rsidRPr="00CD68BA">
        <w:rPr>
          <w:rStyle w:val="Textoennegrita"/>
          <w:b w:val="0"/>
          <w:iCs/>
          <w:szCs w:val="16"/>
          <w:shd w:val="clear" w:color="auto" w:fill="FFFFFF"/>
          <w:lang w:val="es-CR"/>
        </w:rPr>
        <w:t>http://www.planalto.gov.br/ccivil_03/decreto-lei/del3689.htm</w:t>
      </w:r>
      <w:bookmarkEnd w:id="150"/>
      <w:r w:rsidR="00DE79D2" w:rsidRPr="00CD68BA">
        <w:rPr>
          <w:rStyle w:val="Textoennegrita"/>
          <w:b w:val="0"/>
          <w:iCs/>
          <w:szCs w:val="16"/>
          <w:shd w:val="clear" w:color="auto" w:fill="FFFFFF"/>
          <w:lang w:val="es-CR"/>
        </w:rPr>
        <w:t xml:space="preserve">. </w:t>
      </w:r>
    </w:p>
  </w:footnote>
  <w:footnote w:id="202">
    <w:p w14:paraId="7BBC9BC2" w14:textId="442B7583" w:rsidR="00DF7342" w:rsidRPr="00CD68BA" w:rsidRDefault="00DF734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977427" w:rsidRPr="00CD68BA">
        <w:rPr>
          <w:rFonts w:cs="Arial"/>
          <w:szCs w:val="16"/>
          <w:lang w:val="es-CR"/>
        </w:rPr>
        <w:t>Declaración de Rafael Sales Pimenta durante la audiencia pública del presente caso.</w:t>
      </w:r>
    </w:p>
  </w:footnote>
  <w:footnote w:id="203">
    <w:p w14:paraId="3319EB7E" w14:textId="2E052123" w:rsidR="00DF7342" w:rsidRPr="00CD68BA" w:rsidRDefault="00DF7342"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977427" w:rsidRPr="00CD68BA">
        <w:rPr>
          <w:rFonts w:cs="Arial"/>
          <w:szCs w:val="16"/>
          <w:lang w:val="es-CR"/>
        </w:rPr>
        <w:t>Declaración de Rafael Sales Pimenta durante la audiencia pública del presente caso</w:t>
      </w:r>
      <w:r w:rsidRPr="00CD68BA">
        <w:rPr>
          <w:rFonts w:cs="Arial"/>
          <w:szCs w:val="16"/>
          <w:lang w:val="es-CR"/>
        </w:rPr>
        <w:t>.</w:t>
      </w:r>
    </w:p>
  </w:footnote>
  <w:footnote w:id="204">
    <w:p w14:paraId="55469245" w14:textId="57F8DB1A" w:rsidR="00675C0E" w:rsidRPr="00CD68BA" w:rsidRDefault="00675C0E"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4A24B8" w:rsidRPr="00CD68BA">
        <w:rPr>
          <w:rFonts w:cs="Arial"/>
          <w:szCs w:val="16"/>
          <w:lang w:val="es-CR"/>
        </w:rPr>
        <w:t>Declaración de Rafael Sales Pimenta durante la audiencia pública del presente caso.</w:t>
      </w:r>
    </w:p>
  </w:footnote>
  <w:footnote w:id="205">
    <w:p w14:paraId="5280B0D4" w14:textId="2430A6E4" w:rsidR="00AE50AA" w:rsidRPr="00CD68BA" w:rsidRDefault="00AE50AA"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4A24B8" w:rsidRPr="00CD68BA">
        <w:rPr>
          <w:rFonts w:cs="Arial"/>
          <w:szCs w:val="16"/>
          <w:lang w:val="es-CR"/>
        </w:rPr>
        <w:t>Declaración de Rafael Sales Pimenta durante la audiencia pública del presente caso.</w:t>
      </w:r>
    </w:p>
  </w:footnote>
  <w:footnote w:id="206">
    <w:p w14:paraId="7CA49B5D" w14:textId="53E24D52" w:rsidR="008A354C" w:rsidRPr="00CD68BA" w:rsidRDefault="008A354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A13007" w:rsidRPr="00CD68BA">
        <w:rPr>
          <w:rFonts w:cs="Arial"/>
          <w:szCs w:val="16"/>
          <w:lang w:val="es-CR"/>
        </w:rPr>
        <w:t>D</w:t>
      </w:r>
      <w:r w:rsidRPr="00CD68BA">
        <w:rPr>
          <w:rFonts w:cs="Arial"/>
          <w:szCs w:val="16"/>
          <w:lang w:val="es-CR"/>
        </w:rPr>
        <w:t xml:space="preserve">eclaración </w:t>
      </w:r>
      <w:r w:rsidR="0089100F" w:rsidRPr="00CD68BA">
        <w:rPr>
          <w:rFonts w:cs="Arial"/>
          <w:szCs w:val="16"/>
          <w:lang w:val="es-CR"/>
        </w:rPr>
        <w:t>de</w:t>
      </w:r>
      <w:r w:rsidRPr="00CD68BA">
        <w:rPr>
          <w:rFonts w:cs="Arial"/>
          <w:szCs w:val="16"/>
          <w:lang w:val="es-CR"/>
        </w:rPr>
        <w:t xml:space="preserve"> </w:t>
      </w:r>
      <w:r w:rsidR="00B72032" w:rsidRPr="00CD68BA">
        <w:rPr>
          <w:rFonts w:cs="Arial"/>
          <w:szCs w:val="16"/>
          <w:lang w:val="es-CR"/>
        </w:rPr>
        <w:t>Sérgio</w:t>
      </w:r>
      <w:r w:rsidRPr="00CD68BA">
        <w:rPr>
          <w:rFonts w:cs="Arial"/>
          <w:szCs w:val="16"/>
          <w:lang w:val="es-CR"/>
        </w:rPr>
        <w:t xml:space="preserve"> Sales Pimenta </w:t>
      </w:r>
      <w:r w:rsidR="0089100F" w:rsidRPr="00CD68BA">
        <w:rPr>
          <w:rFonts w:cs="Arial"/>
          <w:szCs w:val="16"/>
          <w:lang w:val="es-CR"/>
        </w:rPr>
        <w:t xml:space="preserve">el </w:t>
      </w:r>
      <w:r w:rsidR="00B72032" w:rsidRPr="00CD68BA">
        <w:rPr>
          <w:rFonts w:cs="Arial"/>
          <w:szCs w:val="16"/>
          <w:lang w:val="es-CR"/>
        </w:rPr>
        <w:t>(expediente de pruebas, folio</w:t>
      </w:r>
      <w:r w:rsidR="0089100F" w:rsidRPr="00CD68BA">
        <w:rPr>
          <w:rFonts w:cs="Arial"/>
          <w:szCs w:val="16"/>
          <w:lang w:val="es-CR"/>
        </w:rPr>
        <w:t>s 6671 a 6672</w:t>
      </w:r>
      <w:r w:rsidR="00B72032" w:rsidRPr="00CD68BA">
        <w:rPr>
          <w:rFonts w:cs="Arial"/>
          <w:szCs w:val="16"/>
          <w:lang w:val="es-CR"/>
        </w:rPr>
        <w:t>)</w:t>
      </w:r>
      <w:r w:rsidRPr="00CD68BA">
        <w:rPr>
          <w:rFonts w:cs="Arial"/>
          <w:szCs w:val="16"/>
          <w:lang w:val="es-CR"/>
        </w:rPr>
        <w:t>.</w:t>
      </w:r>
    </w:p>
  </w:footnote>
  <w:footnote w:id="207">
    <w:p w14:paraId="2747F595" w14:textId="0813317A" w:rsidR="008A354C" w:rsidRPr="00CD68BA" w:rsidRDefault="008A354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823A4E" w:rsidRPr="00CD68BA">
        <w:rPr>
          <w:rFonts w:cs="Arial"/>
          <w:szCs w:val="16"/>
          <w:lang w:val="es-CR"/>
        </w:rPr>
        <w:t>D</w:t>
      </w:r>
      <w:r w:rsidRPr="00CD68BA">
        <w:rPr>
          <w:rFonts w:cs="Arial"/>
          <w:szCs w:val="16"/>
          <w:lang w:val="es-CR"/>
        </w:rPr>
        <w:t xml:space="preserve">eclaración de </w:t>
      </w:r>
      <w:r w:rsidR="00B72032" w:rsidRPr="00CD68BA">
        <w:rPr>
          <w:rFonts w:cs="Arial"/>
          <w:szCs w:val="16"/>
          <w:lang w:val="es-CR"/>
        </w:rPr>
        <w:t>Marcos</w:t>
      </w:r>
      <w:r w:rsidRPr="00CD68BA">
        <w:rPr>
          <w:rFonts w:cs="Arial"/>
          <w:szCs w:val="16"/>
          <w:lang w:val="es-CR"/>
        </w:rPr>
        <w:t xml:space="preserve"> Sales Pimenta</w:t>
      </w:r>
      <w:r w:rsidR="00C17536" w:rsidRPr="00CD68BA">
        <w:rPr>
          <w:rFonts w:cs="Arial"/>
          <w:szCs w:val="16"/>
          <w:lang w:val="es-CR"/>
        </w:rPr>
        <w:t xml:space="preserve"> </w:t>
      </w:r>
      <w:r w:rsidR="00B72032" w:rsidRPr="00CD68BA">
        <w:rPr>
          <w:rFonts w:cs="Arial"/>
          <w:szCs w:val="16"/>
          <w:lang w:val="es-CR"/>
        </w:rPr>
        <w:t xml:space="preserve">(expediente de pruebas, folio </w:t>
      </w:r>
      <w:r w:rsidR="0089100F" w:rsidRPr="00CD68BA">
        <w:rPr>
          <w:rFonts w:cs="Arial"/>
          <w:szCs w:val="16"/>
          <w:lang w:val="es-CR"/>
        </w:rPr>
        <w:t>6682</w:t>
      </w:r>
      <w:r w:rsidR="00B72032" w:rsidRPr="00CD68BA">
        <w:rPr>
          <w:rFonts w:cs="Arial"/>
          <w:szCs w:val="16"/>
          <w:lang w:val="es-CR"/>
        </w:rPr>
        <w:t>)</w:t>
      </w:r>
      <w:r w:rsidRPr="00CD68BA">
        <w:rPr>
          <w:rFonts w:cs="Arial"/>
          <w:szCs w:val="16"/>
          <w:lang w:val="es-CR"/>
        </w:rPr>
        <w:t>.</w:t>
      </w:r>
    </w:p>
  </w:footnote>
  <w:footnote w:id="208">
    <w:p w14:paraId="5D195799" w14:textId="635DC44C" w:rsidR="008A354C" w:rsidRPr="00CD68BA" w:rsidRDefault="008A354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89100F" w:rsidRPr="00CD68BA">
        <w:rPr>
          <w:rFonts w:cs="Arial"/>
          <w:szCs w:val="16"/>
          <w:lang w:val="es-CR"/>
        </w:rPr>
        <w:t>D</w:t>
      </w:r>
      <w:r w:rsidRPr="00CD68BA">
        <w:rPr>
          <w:rFonts w:cs="Arial"/>
          <w:szCs w:val="16"/>
          <w:lang w:val="es-CR"/>
        </w:rPr>
        <w:t xml:space="preserve">eclaración de </w:t>
      </w:r>
      <w:r w:rsidR="00B72032" w:rsidRPr="00CD68BA">
        <w:rPr>
          <w:rFonts w:cs="Arial"/>
          <w:szCs w:val="16"/>
          <w:lang w:val="es-CR"/>
        </w:rPr>
        <w:t>André</w:t>
      </w:r>
      <w:r w:rsidRPr="00CD68BA">
        <w:rPr>
          <w:rFonts w:cs="Arial"/>
          <w:szCs w:val="16"/>
          <w:lang w:val="es-CR"/>
        </w:rPr>
        <w:t xml:space="preserve"> Sales Pimenta </w:t>
      </w:r>
      <w:r w:rsidR="00B72032" w:rsidRPr="00CD68BA">
        <w:rPr>
          <w:rFonts w:cs="Arial"/>
          <w:szCs w:val="16"/>
          <w:lang w:val="es-CR"/>
        </w:rPr>
        <w:t xml:space="preserve">(expediente de pruebas, folio </w:t>
      </w:r>
      <w:r w:rsidR="00807879" w:rsidRPr="00CD68BA">
        <w:rPr>
          <w:rFonts w:cs="Arial"/>
          <w:szCs w:val="16"/>
          <w:lang w:val="es-CR"/>
        </w:rPr>
        <w:t>6697</w:t>
      </w:r>
      <w:r w:rsidR="00B72032" w:rsidRPr="00CD68BA">
        <w:rPr>
          <w:rFonts w:cs="Arial"/>
          <w:szCs w:val="16"/>
          <w:lang w:val="es-CR"/>
        </w:rPr>
        <w:t>)</w:t>
      </w:r>
      <w:r w:rsidRPr="00CD68BA">
        <w:rPr>
          <w:rFonts w:cs="Arial"/>
          <w:szCs w:val="16"/>
          <w:lang w:val="es-CR"/>
        </w:rPr>
        <w:t>.</w:t>
      </w:r>
    </w:p>
  </w:footnote>
  <w:footnote w:id="209">
    <w:p w14:paraId="38D257FF" w14:textId="1F40938B" w:rsidR="008A354C" w:rsidRPr="00CD68BA" w:rsidRDefault="008A354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89100F" w:rsidRPr="00CD68BA">
        <w:rPr>
          <w:rFonts w:cs="Arial"/>
          <w:szCs w:val="16"/>
          <w:lang w:val="es-CR"/>
        </w:rPr>
        <w:t>D</w:t>
      </w:r>
      <w:r w:rsidRPr="00CD68BA">
        <w:rPr>
          <w:rFonts w:cs="Arial"/>
          <w:szCs w:val="16"/>
          <w:lang w:val="es-CR"/>
        </w:rPr>
        <w:t xml:space="preserve">eclaración de </w:t>
      </w:r>
      <w:r w:rsidR="00B72032" w:rsidRPr="00CD68BA">
        <w:rPr>
          <w:rFonts w:cs="Arial"/>
          <w:szCs w:val="16"/>
          <w:lang w:val="es-CR"/>
        </w:rPr>
        <w:t>Daniel</w:t>
      </w:r>
      <w:r w:rsidRPr="00CD68BA">
        <w:rPr>
          <w:rFonts w:cs="Arial"/>
          <w:szCs w:val="16"/>
          <w:lang w:val="es-CR"/>
        </w:rPr>
        <w:t xml:space="preserve"> Sales Pimenta</w:t>
      </w:r>
      <w:r w:rsidR="0089100F" w:rsidRPr="00CD68BA">
        <w:rPr>
          <w:rFonts w:cs="Arial"/>
          <w:szCs w:val="16"/>
          <w:lang w:val="es-CR"/>
        </w:rPr>
        <w:t xml:space="preserve"> </w:t>
      </w:r>
      <w:r w:rsidR="00B72032" w:rsidRPr="00CD68BA">
        <w:rPr>
          <w:rFonts w:cs="Arial"/>
          <w:szCs w:val="16"/>
          <w:lang w:val="es-CR"/>
        </w:rPr>
        <w:t>(expediente de pruebas, folio</w:t>
      </w:r>
      <w:r w:rsidR="00807879" w:rsidRPr="00CD68BA">
        <w:rPr>
          <w:rFonts w:cs="Arial"/>
          <w:szCs w:val="16"/>
          <w:lang w:val="es-CR"/>
        </w:rPr>
        <w:t>s</w:t>
      </w:r>
      <w:r w:rsidR="00B72032" w:rsidRPr="00CD68BA">
        <w:rPr>
          <w:rFonts w:cs="Arial"/>
          <w:szCs w:val="16"/>
          <w:lang w:val="es-CR"/>
        </w:rPr>
        <w:t xml:space="preserve"> </w:t>
      </w:r>
      <w:r w:rsidR="00807879" w:rsidRPr="00CD68BA">
        <w:rPr>
          <w:rFonts w:cs="Arial"/>
          <w:szCs w:val="16"/>
          <w:lang w:val="es-CR"/>
        </w:rPr>
        <w:t>6710 a 6711</w:t>
      </w:r>
      <w:r w:rsidR="00B72032" w:rsidRPr="00CD68BA">
        <w:rPr>
          <w:rFonts w:cs="Arial"/>
          <w:szCs w:val="16"/>
          <w:lang w:val="es-CR"/>
        </w:rPr>
        <w:t>)</w:t>
      </w:r>
      <w:r w:rsidRPr="00CD68BA">
        <w:rPr>
          <w:rFonts w:cs="Arial"/>
          <w:szCs w:val="16"/>
          <w:lang w:val="es-CR"/>
        </w:rPr>
        <w:t>.</w:t>
      </w:r>
    </w:p>
  </w:footnote>
  <w:footnote w:id="210">
    <w:p w14:paraId="54109630" w14:textId="0B68FF9C" w:rsidR="000109E7" w:rsidRPr="00CD68BA" w:rsidRDefault="000109E7"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Cfr. Declaración de Daniel Sales Pimenta</w:t>
      </w:r>
      <w:r w:rsidR="003E018D" w:rsidRPr="00CD68BA">
        <w:rPr>
          <w:rFonts w:cs="Arial"/>
          <w:szCs w:val="16"/>
          <w:lang w:val="es-CR"/>
        </w:rPr>
        <w:t xml:space="preserve">, </w:t>
      </w:r>
      <w:r w:rsidR="003E018D" w:rsidRPr="00CD68BA">
        <w:rPr>
          <w:rFonts w:cs="Arial"/>
          <w:i/>
          <w:iCs/>
          <w:szCs w:val="16"/>
          <w:lang w:val="es-CR"/>
        </w:rPr>
        <w:t>supra</w:t>
      </w:r>
      <w:r w:rsidR="00B02208" w:rsidRPr="00CD68BA">
        <w:rPr>
          <w:rFonts w:cs="Arial"/>
          <w:szCs w:val="16"/>
          <w:lang w:val="es-CR"/>
        </w:rPr>
        <w:t xml:space="preserve"> (expediente de pruebas, folio </w:t>
      </w:r>
      <w:r w:rsidR="00FF78A3" w:rsidRPr="00CD68BA">
        <w:rPr>
          <w:rFonts w:cs="Arial"/>
          <w:szCs w:val="16"/>
          <w:lang w:val="es-CR"/>
        </w:rPr>
        <w:t>6776</w:t>
      </w:r>
      <w:r w:rsidR="00B02208" w:rsidRPr="00CD68BA">
        <w:rPr>
          <w:rFonts w:cs="Arial"/>
          <w:szCs w:val="16"/>
          <w:lang w:val="es-CR"/>
        </w:rPr>
        <w:t>).</w:t>
      </w:r>
    </w:p>
  </w:footnote>
  <w:footnote w:id="211">
    <w:p w14:paraId="2847BC73" w14:textId="5622BB6B" w:rsidR="00EA37DA" w:rsidRPr="00CD68BA" w:rsidRDefault="00EA37DA"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Cfr. Declaración de André Sales Pimenta</w:t>
      </w:r>
      <w:r w:rsidR="003E018D" w:rsidRPr="00CD68BA">
        <w:rPr>
          <w:szCs w:val="16"/>
          <w:lang w:val="es-CR"/>
        </w:rPr>
        <w:t xml:space="preserve">, </w:t>
      </w:r>
      <w:r w:rsidR="003E018D" w:rsidRPr="00CD68BA">
        <w:rPr>
          <w:i/>
          <w:iCs/>
          <w:szCs w:val="16"/>
          <w:lang w:val="es-CR"/>
        </w:rPr>
        <w:t xml:space="preserve">supra </w:t>
      </w:r>
      <w:r w:rsidRPr="00CD68BA">
        <w:rPr>
          <w:rFonts w:cs="Arial"/>
          <w:szCs w:val="16"/>
          <w:lang w:val="es-CR"/>
        </w:rPr>
        <w:t xml:space="preserve">(expediente de pruebas, folio </w:t>
      </w:r>
      <w:r w:rsidR="00473F11" w:rsidRPr="00CD68BA">
        <w:rPr>
          <w:rFonts w:cs="Arial"/>
          <w:szCs w:val="16"/>
          <w:lang w:val="es-CR"/>
        </w:rPr>
        <w:t>6702</w:t>
      </w:r>
      <w:r w:rsidRPr="00CD68BA">
        <w:rPr>
          <w:rFonts w:cs="Arial"/>
          <w:szCs w:val="16"/>
          <w:lang w:val="es-CR"/>
        </w:rPr>
        <w:t>).</w:t>
      </w:r>
    </w:p>
  </w:footnote>
  <w:footnote w:id="212">
    <w:p w14:paraId="6A019578" w14:textId="5AC4439D" w:rsidR="002F31CB" w:rsidRPr="00CD68BA" w:rsidRDefault="002F31C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Peritaje </w:t>
      </w:r>
      <w:r w:rsidR="003E018D" w:rsidRPr="00CD68BA">
        <w:rPr>
          <w:szCs w:val="16"/>
          <w:lang w:val="es-CR"/>
        </w:rPr>
        <w:t xml:space="preserve">de </w:t>
      </w:r>
      <w:r w:rsidRPr="00CD68BA">
        <w:rPr>
          <w:szCs w:val="16"/>
          <w:lang w:val="es-CR"/>
        </w:rPr>
        <w:t xml:space="preserve">Cristina Mair Barros </w:t>
      </w:r>
      <w:r w:rsidR="00F84A34" w:rsidRPr="00CD68BA">
        <w:rPr>
          <w:szCs w:val="16"/>
          <w:lang w:val="es-CR"/>
        </w:rPr>
        <w:t xml:space="preserve">Mauer </w:t>
      </w:r>
      <w:r w:rsidR="003E018D" w:rsidRPr="00CD68BA">
        <w:rPr>
          <w:szCs w:val="16"/>
          <w:lang w:val="es-CR"/>
        </w:rPr>
        <w:t xml:space="preserve">de </w:t>
      </w:r>
      <w:r w:rsidRPr="00CD68BA">
        <w:rPr>
          <w:szCs w:val="16"/>
          <w:lang w:val="es-CR"/>
        </w:rPr>
        <w:t xml:space="preserve">8 de marzo de 2022 (expediente de prueba, folio </w:t>
      </w:r>
      <w:r w:rsidR="004356B5" w:rsidRPr="00CD68BA">
        <w:rPr>
          <w:szCs w:val="16"/>
          <w:lang w:val="es-CR"/>
        </w:rPr>
        <w:t>7277</w:t>
      </w:r>
      <w:r w:rsidRPr="00CD68BA">
        <w:rPr>
          <w:szCs w:val="16"/>
          <w:lang w:val="es-CR"/>
        </w:rPr>
        <w:t>).</w:t>
      </w:r>
    </w:p>
  </w:footnote>
  <w:footnote w:id="213">
    <w:p w14:paraId="176E8E8A" w14:textId="0728DC0A" w:rsidR="009214F7" w:rsidRPr="00CD68BA" w:rsidRDefault="009214F7"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005E71DC" w:rsidRPr="00CD68BA">
        <w:rPr>
          <w:rFonts w:cs="Arial"/>
          <w:szCs w:val="16"/>
          <w:lang w:val="es-CR"/>
        </w:rPr>
        <w:t>D</w:t>
      </w:r>
      <w:r w:rsidRPr="00CD68BA">
        <w:rPr>
          <w:rFonts w:cs="Arial"/>
          <w:szCs w:val="16"/>
          <w:lang w:val="es-CR"/>
        </w:rPr>
        <w:t xml:space="preserve">eclaración de Marcos Sales Pimenta en la audiencia pública del 22 de marzo de 2022 (expediente de pruebas, folio </w:t>
      </w:r>
      <w:r w:rsidR="007D7CA3" w:rsidRPr="00CD68BA">
        <w:rPr>
          <w:rFonts w:cs="Arial"/>
          <w:szCs w:val="16"/>
          <w:lang w:val="es-CR"/>
        </w:rPr>
        <w:t>6692</w:t>
      </w:r>
      <w:r w:rsidRPr="00CD68BA">
        <w:rPr>
          <w:rFonts w:cs="Arial"/>
          <w:szCs w:val="16"/>
          <w:lang w:val="es-CR"/>
        </w:rPr>
        <w:t>).</w:t>
      </w:r>
    </w:p>
  </w:footnote>
  <w:footnote w:id="214">
    <w:p w14:paraId="347A0F92" w14:textId="7677674B" w:rsidR="00D90B60" w:rsidRPr="00CD68BA" w:rsidRDefault="00D90B60"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Peritaje </w:t>
      </w:r>
      <w:r w:rsidR="001C6D7B" w:rsidRPr="00CD68BA">
        <w:rPr>
          <w:szCs w:val="16"/>
          <w:lang w:val="es-CR"/>
        </w:rPr>
        <w:t xml:space="preserve">de </w:t>
      </w:r>
      <w:r w:rsidRPr="00CD68BA">
        <w:rPr>
          <w:szCs w:val="16"/>
          <w:lang w:val="es-CR"/>
        </w:rPr>
        <w:t>Cristina Mair Barros</w:t>
      </w:r>
      <w:r w:rsidR="00F84A34" w:rsidRPr="00CD68BA">
        <w:rPr>
          <w:szCs w:val="16"/>
          <w:lang w:val="es-CR"/>
        </w:rPr>
        <w:t xml:space="preserve"> Mauer</w:t>
      </w:r>
      <w:r w:rsidR="003828C1" w:rsidRPr="00CD68BA">
        <w:rPr>
          <w:szCs w:val="16"/>
          <w:lang w:val="es-CR"/>
        </w:rPr>
        <w:t xml:space="preserve">, </w:t>
      </w:r>
      <w:r w:rsidR="003828C1" w:rsidRPr="00CD68BA">
        <w:rPr>
          <w:i/>
          <w:iCs/>
          <w:szCs w:val="16"/>
          <w:lang w:val="es-CR"/>
        </w:rPr>
        <w:t>supra</w:t>
      </w:r>
      <w:r w:rsidRPr="00CD68BA">
        <w:rPr>
          <w:szCs w:val="16"/>
          <w:lang w:val="es-CR"/>
        </w:rPr>
        <w:t xml:space="preserve"> (expediente de prueba, folio </w:t>
      </w:r>
      <w:r w:rsidR="003828C1" w:rsidRPr="00CD68BA">
        <w:rPr>
          <w:szCs w:val="16"/>
          <w:lang w:val="es-CR"/>
        </w:rPr>
        <w:t>7280</w:t>
      </w:r>
      <w:r w:rsidRPr="00CD68BA">
        <w:rPr>
          <w:szCs w:val="16"/>
          <w:lang w:val="es-CR"/>
        </w:rPr>
        <w:t>).</w:t>
      </w:r>
    </w:p>
  </w:footnote>
  <w:footnote w:id="215">
    <w:p w14:paraId="5CCFE77C" w14:textId="63E2784A" w:rsidR="0035430C" w:rsidRPr="00CD68BA" w:rsidRDefault="0035430C" w:rsidP="00D12B21">
      <w:pPr>
        <w:pStyle w:val="Textonotapie"/>
        <w:spacing w:before="0" w:after="60"/>
        <w:rPr>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937447" w:rsidRPr="00CD68BA">
        <w:rPr>
          <w:i/>
          <w:iCs/>
          <w:szCs w:val="16"/>
          <w:lang w:val="es-CR"/>
        </w:rPr>
        <w:t>Cfr. Caso Velásquez Rodríguez Vs. Honduras. Reparaciones y Costas</w:t>
      </w:r>
      <w:r w:rsidR="00937447" w:rsidRPr="00CD68BA">
        <w:rPr>
          <w:szCs w:val="16"/>
          <w:lang w:val="es-CR"/>
        </w:rPr>
        <w:t>. Sentencia de 21 de julio de 1989. Serie C No. 7, párrs. 24 y 25,</w:t>
      </w:r>
      <w:r w:rsidRPr="00CD68BA">
        <w:rPr>
          <w:rFonts w:cs="Verdana"/>
          <w:szCs w:val="16"/>
          <w:lang w:val="es-CR"/>
        </w:rPr>
        <w:t xml:space="preserve"> y </w:t>
      </w:r>
      <w:r w:rsidR="00B57E24" w:rsidRPr="00CD68BA">
        <w:rPr>
          <w:rFonts w:cs="Verdana"/>
          <w:i/>
          <w:szCs w:val="16"/>
          <w:lang w:val="es-CR"/>
        </w:rPr>
        <w:t>Caso Pavez Pavez Vs. Chile</w:t>
      </w:r>
      <w:r w:rsidR="00934C37" w:rsidRPr="00CD68BA">
        <w:rPr>
          <w:rFonts w:cs="Verdana"/>
          <w:i/>
          <w:szCs w:val="16"/>
          <w:lang w:val="es-CR"/>
        </w:rPr>
        <w:t>, supra</w:t>
      </w:r>
      <w:r w:rsidRPr="00CD68BA">
        <w:rPr>
          <w:rFonts w:cs="Verdana"/>
          <w:iCs/>
          <w:szCs w:val="16"/>
          <w:lang w:val="es-CR"/>
        </w:rPr>
        <w:t xml:space="preserve">, párr. </w:t>
      </w:r>
      <w:r w:rsidR="00B57E24" w:rsidRPr="00CD68BA">
        <w:rPr>
          <w:rFonts w:cs="Verdana"/>
          <w:iCs/>
          <w:szCs w:val="16"/>
          <w:lang w:val="es-CR"/>
        </w:rPr>
        <w:t>161</w:t>
      </w:r>
      <w:r w:rsidRPr="00CD68BA">
        <w:rPr>
          <w:rFonts w:cs="Verdana"/>
          <w:iCs/>
          <w:szCs w:val="16"/>
          <w:lang w:val="es-CR"/>
        </w:rPr>
        <w:t>.</w:t>
      </w:r>
      <w:r w:rsidR="006E7743" w:rsidRPr="00CD68BA">
        <w:rPr>
          <w:iCs/>
          <w:szCs w:val="16"/>
          <w:lang w:val="es-CR"/>
        </w:rPr>
        <w:t xml:space="preserve"> </w:t>
      </w:r>
    </w:p>
  </w:footnote>
  <w:footnote w:id="216">
    <w:p w14:paraId="2EF05F5B" w14:textId="75FF6D7E" w:rsidR="0035430C" w:rsidRPr="00CD68BA" w:rsidRDefault="0035430C" w:rsidP="00D12B21">
      <w:pPr>
        <w:pStyle w:val="Textonotapie"/>
        <w:spacing w:before="0" w:after="60"/>
        <w:rPr>
          <w:rFonts w:cs="Verdana"/>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rFonts w:cs="Verdana"/>
          <w:i/>
          <w:szCs w:val="16"/>
          <w:lang w:val="es-CR"/>
        </w:rPr>
        <w:t>Cfr.</w:t>
      </w:r>
      <w:r w:rsidRPr="00CD68BA">
        <w:rPr>
          <w:rFonts w:cs="Verdana"/>
          <w:szCs w:val="16"/>
          <w:lang w:val="es-CR"/>
        </w:rPr>
        <w:t xml:space="preserve"> </w:t>
      </w:r>
      <w:r w:rsidRPr="00CD68BA">
        <w:rPr>
          <w:rFonts w:cs="Verdana"/>
          <w:i/>
          <w:szCs w:val="16"/>
          <w:lang w:val="es-CR"/>
        </w:rPr>
        <w:t>Caso Velásquez Rodríguez Vs. Honduras</w:t>
      </w:r>
      <w:r w:rsidRPr="00CD68BA">
        <w:rPr>
          <w:rFonts w:cs="Verdana"/>
          <w:szCs w:val="16"/>
          <w:lang w:val="es-CR"/>
        </w:rPr>
        <w:t xml:space="preserve">, supra, párr. 26, y </w:t>
      </w:r>
      <w:r w:rsidR="001B62BD" w:rsidRPr="00CD68BA">
        <w:rPr>
          <w:rFonts w:cs="Verdana"/>
          <w:i/>
          <w:szCs w:val="16"/>
          <w:lang w:val="es-CR"/>
        </w:rPr>
        <w:t>Caso Pavez Pavez Vs. Chile, supra</w:t>
      </w:r>
      <w:r w:rsidR="001B62BD" w:rsidRPr="00CD68BA">
        <w:rPr>
          <w:rFonts w:cs="Verdana"/>
          <w:iCs/>
          <w:szCs w:val="16"/>
          <w:lang w:val="es-CR"/>
        </w:rPr>
        <w:t>, párr. 162</w:t>
      </w:r>
      <w:r w:rsidR="00121ED5" w:rsidRPr="00CD68BA">
        <w:rPr>
          <w:rFonts w:cs="Verdana"/>
          <w:iCs/>
          <w:szCs w:val="16"/>
          <w:lang w:val="es-CR"/>
        </w:rPr>
        <w:t>.</w:t>
      </w:r>
    </w:p>
  </w:footnote>
  <w:footnote w:id="217">
    <w:p w14:paraId="568701B2" w14:textId="61013630" w:rsidR="0035430C" w:rsidRPr="00CD68BA" w:rsidRDefault="0035430C"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rFonts w:cs="Verdana"/>
          <w:i/>
          <w:szCs w:val="16"/>
          <w:lang w:val="es-CR"/>
        </w:rPr>
        <w:t>Cfr. Caso Cantoral Benavides Vs. Perú. Reparaciones y Costas</w:t>
      </w:r>
      <w:r w:rsidRPr="00CD68BA">
        <w:rPr>
          <w:rFonts w:cs="Verdana"/>
          <w:szCs w:val="16"/>
          <w:lang w:val="es-CR"/>
        </w:rPr>
        <w:t xml:space="preserve">. Sentencia de 3 de diciembre de 2001. Serie C No. 88, párrs. 79 a 81, y </w:t>
      </w:r>
      <w:r w:rsidR="001B62BD" w:rsidRPr="00CD68BA">
        <w:rPr>
          <w:rFonts w:cs="Verdana"/>
          <w:i/>
          <w:szCs w:val="16"/>
          <w:lang w:val="es-CR"/>
        </w:rPr>
        <w:t>Caso Pavez Pavez Vs. Chile, supra</w:t>
      </w:r>
      <w:r w:rsidR="001B62BD" w:rsidRPr="00CD68BA">
        <w:rPr>
          <w:rFonts w:cs="Verdana"/>
          <w:iCs/>
          <w:szCs w:val="16"/>
          <w:lang w:val="es-CR"/>
        </w:rPr>
        <w:t>, párr. 16</w:t>
      </w:r>
      <w:r w:rsidR="00333A7A" w:rsidRPr="00CD68BA">
        <w:rPr>
          <w:rFonts w:cs="Verdana"/>
          <w:iCs/>
          <w:szCs w:val="16"/>
          <w:lang w:val="es-CR"/>
        </w:rPr>
        <w:t>2.</w:t>
      </w:r>
    </w:p>
  </w:footnote>
  <w:footnote w:id="218">
    <w:p w14:paraId="1458E920" w14:textId="4D71C24A" w:rsidR="0035430C" w:rsidRPr="00CD68BA" w:rsidRDefault="0035430C" w:rsidP="00D12B21">
      <w:pPr>
        <w:pStyle w:val="Textonotapie"/>
        <w:spacing w:before="0" w:after="60"/>
        <w:rPr>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rFonts w:cs="Verdana"/>
          <w:i/>
          <w:szCs w:val="16"/>
          <w:lang w:val="es-CR"/>
        </w:rPr>
        <w:t>Cfr.</w:t>
      </w:r>
      <w:r w:rsidRPr="00CD68BA">
        <w:rPr>
          <w:rFonts w:cs="Verdana"/>
          <w:szCs w:val="16"/>
          <w:lang w:val="es-CR"/>
        </w:rPr>
        <w:t xml:space="preserve"> </w:t>
      </w:r>
      <w:r w:rsidRPr="00CD68BA">
        <w:rPr>
          <w:rFonts w:cs="Verdana"/>
          <w:i/>
          <w:szCs w:val="16"/>
          <w:lang w:val="es-CR"/>
        </w:rPr>
        <w:t xml:space="preserve">Caso </w:t>
      </w:r>
      <w:r w:rsidR="00800B19" w:rsidRPr="00CD68BA">
        <w:rPr>
          <w:rFonts w:cs="Verdana"/>
          <w:i/>
          <w:szCs w:val="16"/>
          <w:lang w:val="es-CR"/>
        </w:rPr>
        <w:t xml:space="preserve">Ticona Estrada Vs. Bolivia. Fondo, Reparaciones y Costas. </w:t>
      </w:r>
      <w:r w:rsidR="00800B19" w:rsidRPr="00CD68BA">
        <w:rPr>
          <w:rFonts w:cs="Verdana"/>
          <w:iCs/>
          <w:szCs w:val="16"/>
          <w:lang w:val="es-CR"/>
        </w:rPr>
        <w:t>Sentencia de 27 de noviembre de 2008. Serie C No. 191, párr. 110, y</w:t>
      </w:r>
      <w:r w:rsidR="00800B19" w:rsidRPr="00CD68BA">
        <w:rPr>
          <w:rFonts w:cs="Verdana"/>
          <w:i/>
          <w:szCs w:val="16"/>
          <w:lang w:val="es-CR"/>
        </w:rPr>
        <w:t xml:space="preserve"> </w:t>
      </w:r>
      <w:r w:rsidR="00333A7A" w:rsidRPr="00CD68BA">
        <w:rPr>
          <w:rFonts w:cs="Verdana"/>
          <w:i/>
          <w:szCs w:val="16"/>
          <w:lang w:val="es-CR"/>
        </w:rPr>
        <w:t>Caso Pavez Pavez Vs. Chile, supra</w:t>
      </w:r>
      <w:r w:rsidR="00333A7A" w:rsidRPr="00CD68BA">
        <w:rPr>
          <w:rFonts w:cs="Verdana"/>
          <w:iCs/>
          <w:szCs w:val="16"/>
          <w:lang w:val="es-CR"/>
        </w:rPr>
        <w:t>, párr. 163.</w:t>
      </w:r>
    </w:p>
  </w:footnote>
  <w:footnote w:id="219">
    <w:p w14:paraId="18D0CA9E" w14:textId="07AA3C88" w:rsidR="00D51E9D" w:rsidRPr="00CD68BA" w:rsidRDefault="00D51E9D" w:rsidP="00D12B21">
      <w:pPr>
        <w:autoSpaceDE w:val="0"/>
        <w:autoSpaceDN w:val="0"/>
        <w:spacing w:before="0"/>
        <w:rPr>
          <w:iCs/>
          <w:sz w:val="16"/>
          <w:szCs w:val="16"/>
          <w:lang w:val="es-CR" w:eastAsia="es-PE"/>
        </w:rPr>
      </w:pPr>
      <w:r w:rsidRPr="00CD68BA">
        <w:rPr>
          <w:rStyle w:val="Refdenotaalpie"/>
          <w:rFonts w:eastAsia="Calibri"/>
          <w:sz w:val="16"/>
          <w:szCs w:val="16"/>
          <w:lang w:val="es-CR"/>
        </w:rPr>
        <w:footnoteRef/>
      </w:r>
      <w:r w:rsidRPr="00CD68BA">
        <w:rPr>
          <w:rFonts w:cs="Verdana"/>
          <w:bCs/>
          <w:sz w:val="16"/>
          <w:szCs w:val="16"/>
          <w:lang w:val="es-CR"/>
        </w:rPr>
        <w:tab/>
      </w:r>
      <w:r w:rsidRPr="00CD68BA">
        <w:rPr>
          <w:i/>
          <w:sz w:val="16"/>
          <w:szCs w:val="16"/>
          <w:lang w:val="es-CR"/>
        </w:rPr>
        <w:t>Cfr.</w:t>
      </w:r>
      <w:r w:rsidRPr="00CD68BA">
        <w:rPr>
          <w:bCs/>
          <w:i/>
          <w:sz w:val="16"/>
          <w:szCs w:val="16"/>
          <w:lang w:val="es-CR"/>
        </w:rPr>
        <w:t xml:space="preserve"> Caso Velásquez Rodríguez Vs. Honduras. </w:t>
      </w:r>
      <w:r w:rsidRPr="00CD68BA">
        <w:rPr>
          <w:i/>
          <w:sz w:val="16"/>
          <w:szCs w:val="16"/>
          <w:lang w:val="es-CR"/>
        </w:rPr>
        <w:t>Reparaciones y Costas, supra</w:t>
      </w:r>
      <w:r w:rsidRPr="00CD68BA">
        <w:rPr>
          <w:sz w:val="16"/>
          <w:szCs w:val="16"/>
          <w:lang w:val="es-CR"/>
        </w:rPr>
        <w:t xml:space="preserve">, </w:t>
      </w:r>
      <w:r w:rsidR="00707DE5" w:rsidRPr="00CD68BA">
        <w:rPr>
          <w:iCs/>
          <w:sz w:val="16"/>
          <w:szCs w:val="16"/>
          <w:lang w:val="es-CR" w:eastAsia="es-PE"/>
        </w:rPr>
        <w:t>párrs. 25 y 26, y</w:t>
      </w:r>
      <w:r w:rsidR="00707DE5" w:rsidRPr="00CD68BA">
        <w:rPr>
          <w:i/>
          <w:sz w:val="16"/>
          <w:szCs w:val="16"/>
          <w:lang w:val="es-CR" w:eastAsia="es-PE"/>
        </w:rPr>
        <w:t xml:space="preserve"> </w:t>
      </w:r>
      <w:r w:rsidR="00333A7A" w:rsidRPr="00CD68BA">
        <w:rPr>
          <w:i/>
          <w:sz w:val="16"/>
          <w:szCs w:val="16"/>
          <w:lang w:val="es-CR" w:eastAsia="es-PE"/>
        </w:rPr>
        <w:t>Caso Pavez Pavez Vs. Chile, supra</w:t>
      </w:r>
      <w:r w:rsidR="00333A7A" w:rsidRPr="00CD68BA">
        <w:rPr>
          <w:i/>
          <w:iCs/>
          <w:sz w:val="16"/>
          <w:szCs w:val="16"/>
          <w:lang w:val="es-CR" w:eastAsia="es-PE"/>
        </w:rPr>
        <w:t xml:space="preserve">, </w:t>
      </w:r>
      <w:r w:rsidR="00333A7A" w:rsidRPr="00CD68BA">
        <w:rPr>
          <w:sz w:val="16"/>
          <w:szCs w:val="16"/>
          <w:lang w:val="es-CR" w:eastAsia="es-PE"/>
        </w:rPr>
        <w:t>párr. 164</w:t>
      </w:r>
      <w:r w:rsidR="00333A7A" w:rsidRPr="00CD68BA">
        <w:rPr>
          <w:i/>
          <w:sz w:val="16"/>
          <w:szCs w:val="16"/>
          <w:lang w:val="es-CR" w:eastAsia="es-PE"/>
        </w:rPr>
        <w:t>.</w:t>
      </w:r>
    </w:p>
  </w:footnote>
  <w:footnote w:id="220">
    <w:p w14:paraId="14967B52" w14:textId="642FBCD8" w:rsidR="006650B1" w:rsidRPr="00CD68BA" w:rsidRDefault="006650B1" w:rsidP="00D12B21">
      <w:pPr>
        <w:autoSpaceDE w:val="0"/>
        <w:autoSpaceDN w:val="0"/>
        <w:spacing w:before="0"/>
        <w:rPr>
          <w:iCs/>
          <w:sz w:val="16"/>
          <w:szCs w:val="16"/>
          <w:lang w:val="es-CR" w:eastAsia="es-PE"/>
        </w:rPr>
      </w:pPr>
      <w:r w:rsidRPr="00CD68BA">
        <w:rPr>
          <w:rStyle w:val="Refdenotaalpie"/>
          <w:rFonts w:eastAsia="Calibri"/>
          <w:sz w:val="16"/>
          <w:szCs w:val="16"/>
          <w:lang w:val="es-CR"/>
        </w:rPr>
        <w:footnoteRef/>
      </w:r>
      <w:r w:rsidRPr="00CD68BA">
        <w:rPr>
          <w:rFonts w:cs="Verdana"/>
          <w:bCs/>
          <w:sz w:val="16"/>
          <w:szCs w:val="16"/>
          <w:lang w:val="es-CR"/>
        </w:rPr>
        <w:tab/>
      </w:r>
      <w:r w:rsidR="009A2E74" w:rsidRPr="00CD68BA">
        <w:rPr>
          <w:iCs/>
          <w:sz w:val="16"/>
          <w:szCs w:val="16"/>
          <w:lang w:val="es-CR" w:eastAsia="es-PE"/>
        </w:rPr>
        <w:t>Ha fallecido en fecha anterior al sometimiento del caso a la Corte</w:t>
      </w:r>
      <w:r w:rsidR="008A5A4B" w:rsidRPr="00CD68BA">
        <w:rPr>
          <w:iCs/>
          <w:sz w:val="16"/>
          <w:szCs w:val="16"/>
          <w:lang w:val="es-CR" w:eastAsia="es-PE"/>
        </w:rPr>
        <w:t>.</w:t>
      </w:r>
    </w:p>
  </w:footnote>
  <w:footnote w:id="221">
    <w:p w14:paraId="6C26A610" w14:textId="35EE3DEB" w:rsidR="006650B1" w:rsidRPr="00CD68BA" w:rsidRDefault="006650B1" w:rsidP="00D12B21">
      <w:pPr>
        <w:autoSpaceDE w:val="0"/>
        <w:autoSpaceDN w:val="0"/>
        <w:spacing w:before="0"/>
        <w:rPr>
          <w:iCs/>
          <w:sz w:val="16"/>
          <w:szCs w:val="16"/>
          <w:lang w:val="es-CR" w:eastAsia="es-PE"/>
        </w:rPr>
      </w:pPr>
      <w:r w:rsidRPr="00CD68BA">
        <w:rPr>
          <w:rStyle w:val="Refdenotaalpie"/>
          <w:rFonts w:eastAsia="Calibri"/>
          <w:iCs/>
          <w:sz w:val="16"/>
          <w:szCs w:val="16"/>
          <w:lang w:val="es-CR"/>
        </w:rPr>
        <w:footnoteRef/>
      </w:r>
      <w:r w:rsidRPr="00CD68BA">
        <w:rPr>
          <w:rFonts w:cs="Verdana"/>
          <w:bCs/>
          <w:iCs/>
          <w:sz w:val="16"/>
          <w:szCs w:val="16"/>
          <w:lang w:val="es-CR"/>
        </w:rPr>
        <w:tab/>
      </w:r>
      <w:r w:rsidR="009A2E74" w:rsidRPr="00CD68BA">
        <w:rPr>
          <w:iCs/>
          <w:sz w:val="16"/>
          <w:szCs w:val="16"/>
          <w:lang w:val="es-CR" w:eastAsia="es-PE"/>
        </w:rPr>
        <w:t>Ha fallecido en fecha anterior al sometimiento del caso a la Corte</w:t>
      </w:r>
      <w:r w:rsidRPr="00CD68BA">
        <w:rPr>
          <w:iCs/>
          <w:sz w:val="16"/>
          <w:szCs w:val="16"/>
          <w:lang w:val="es-CR" w:eastAsia="es-PE"/>
        </w:rPr>
        <w:t>.</w:t>
      </w:r>
    </w:p>
  </w:footnote>
  <w:footnote w:id="222">
    <w:p w14:paraId="67FCD0E9" w14:textId="5C365AA4" w:rsidR="009A2E74" w:rsidRPr="00CD68BA" w:rsidRDefault="009A2E74" w:rsidP="00D12B21">
      <w:pPr>
        <w:autoSpaceDE w:val="0"/>
        <w:autoSpaceDN w:val="0"/>
        <w:spacing w:before="0"/>
        <w:rPr>
          <w:iCs/>
          <w:sz w:val="16"/>
          <w:szCs w:val="16"/>
          <w:lang w:val="es-CR" w:eastAsia="es-PE"/>
        </w:rPr>
      </w:pPr>
      <w:r w:rsidRPr="00CD68BA">
        <w:rPr>
          <w:rStyle w:val="Refdenotaalpie"/>
          <w:rFonts w:eastAsia="Calibri"/>
          <w:sz w:val="16"/>
          <w:szCs w:val="16"/>
          <w:lang w:val="es-CR"/>
        </w:rPr>
        <w:footnoteRef/>
      </w:r>
      <w:r w:rsidRPr="00CD68BA">
        <w:rPr>
          <w:rFonts w:cs="Verdana"/>
          <w:bCs/>
          <w:sz w:val="16"/>
          <w:szCs w:val="16"/>
          <w:lang w:val="es-CR"/>
        </w:rPr>
        <w:tab/>
      </w:r>
      <w:r w:rsidRPr="00CD68BA">
        <w:rPr>
          <w:iCs/>
          <w:sz w:val="16"/>
          <w:szCs w:val="16"/>
          <w:lang w:val="es-CR" w:eastAsia="es-PE"/>
        </w:rPr>
        <w:t>Ha fallecido en fecha anterior al sometimiento del caso a la Corte.</w:t>
      </w:r>
    </w:p>
  </w:footnote>
  <w:footnote w:id="223">
    <w:p w14:paraId="46E82A3D" w14:textId="231D1316" w:rsidR="002A45C4" w:rsidRPr="00CD68BA" w:rsidRDefault="002A45C4" w:rsidP="00D12B21">
      <w:pPr>
        <w:spacing w:before="0"/>
        <w:rPr>
          <w:rFonts w:eastAsia="Times New Roman" w:cs="Times New Roman"/>
          <w:sz w:val="16"/>
          <w:szCs w:val="16"/>
          <w:lang w:val="es-CR" w:eastAsia="es-CR"/>
        </w:rPr>
      </w:pPr>
      <w:r w:rsidRPr="00CD68BA">
        <w:rPr>
          <w:rStyle w:val="Refdenotaalpie"/>
          <w:sz w:val="16"/>
          <w:szCs w:val="16"/>
          <w:lang w:val="es-CR"/>
        </w:rPr>
        <w:footnoteRef/>
      </w:r>
      <w:r w:rsidRPr="003C2C9B">
        <w:rPr>
          <w:sz w:val="16"/>
          <w:szCs w:val="16"/>
          <w:lang w:val="pt-BR"/>
        </w:rPr>
        <w:t xml:space="preserve"> </w:t>
      </w:r>
      <w:r w:rsidRPr="003C2C9B">
        <w:rPr>
          <w:sz w:val="16"/>
          <w:szCs w:val="16"/>
          <w:lang w:val="pt-BR"/>
        </w:rPr>
        <w:tab/>
      </w:r>
      <w:r w:rsidRPr="003C2C9B">
        <w:rPr>
          <w:i/>
          <w:iCs/>
          <w:sz w:val="16"/>
          <w:szCs w:val="16"/>
          <w:lang w:val="pt-BR"/>
        </w:rPr>
        <w:t xml:space="preserve">Cfr. Caso Kawas Fernández Vs. </w:t>
      </w:r>
      <w:r w:rsidRPr="00CD68BA">
        <w:rPr>
          <w:i/>
          <w:iCs/>
          <w:sz w:val="16"/>
          <w:szCs w:val="16"/>
          <w:lang w:val="es-CR"/>
        </w:rPr>
        <w:t>Honduras. Fondo, Reparaciones y Costas</w:t>
      </w:r>
      <w:r w:rsidRPr="00CD68BA">
        <w:rPr>
          <w:sz w:val="16"/>
          <w:szCs w:val="16"/>
          <w:lang w:val="es-CR"/>
        </w:rPr>
        <w:t>. Sentencia de 3 de abril de 2009. Serie C No. 196, párr. 209</w:t>
      </w:r>
      <w:r w:rsidRPr="00CD68BA">
        <w:rPr>
          <w:rFonts w:cs="Arial"/>
          <w:sz w:val="16"/>
          <w:szCs w:val="16"/>
          <w:shd w:val="clear" w:color="auto" w:fill="FFFFFF"/>
          <w:lang w:val="es-CR"/>
        </w:rPr>
        <w:t xml:space="preserve">, y </w:t>
      </w:r>
      <w:r w:rsidR="00DA4C79" w:rsidRPr="00CD68BA">
        <w:rPr>
          <w:rFonts w:cs="Arial"/>
          <w:i/>
          <w:iCs/>
          <w:sz w:val="16"/>
          <w:szCs w:val="16"/>
          <w:shd w:val="clear" w:color="auto" w:fill="FFFFFF"/>
          <w:lang w:val="es-CR"/>
        </w:rPr>
        <w:t>Caso Maidanik y otros Vs. Uruguay, supra</w:t>
      </w:r>
      <w:r w:rsidR="00DA4C79" w:rsidRPr="00CD68BA">
        <w:rPr>
          <w:rFonts w:cs="Arial"/>
          <w:sz w:val="16"/>
          <w:szCs w:val="16"/>
          <w:shd w:val="clear" w:color="auto" w:fill="FFFFFF"/>
          <w:lang w:val="es-CR"/>
        </w:rPr>
        <w:t>, párr. 227.</w:t>
      </w:r>
    </w:p>
  </w:footnote>
  <w:footnote w:id="224">
    <w:p w14:paraId="53A943E5" w14:textId="60BB009E" w:rsidR="002A45C4" w:rsidRPr="00CD68BA" w:rsidRDefault="002A45C4" w:rsidP="00D12B21">
      <w:pPr>
        <w:pStyle w:val="Textonotapie"/>
        <w:spacing w:before="0" w:after="60"/>
        <w:rPr>
          <w:rFonts w:cs="Arial"/>
          <w:szCs w:val="16"/>
          <w:shd w:val="clear" w:color="auto" w:fill="FFFFFF"/>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Pr="00CD68BA">
        <w:rPr>
          <w:rFonts w:cs="Open Sans"/>
          <w:i/>
          <w:szCs w:val="16"/>
          <w:shd w:val="clear" w:color="auto" w:fill="FFFFFF"/>
          <w:lang w:val="es-CR"/>
        </w:rPr>
        <w:t>Caso Rosendo Cantú y otra Vs. México. Excepción Preliminar, Fondo, Reparaciones y Costas.</w:t>
      </w:r>
      <w:r w:rsidRPr="00CD68BA">
        <w:rPr>
          <w:rFonts w:cs="Open Sans"/>
          <w:szCs w:val="16"/>
          <w:shd w:val="clear" w:color="auto" w:fill="FFFFFF"/>
          <w:lang w:val="es-CR"/>
        </w:rPr>
        <w:t xml:space="preserve"> Sentencia de 31 de agosto de 2010. Serie C No. 216, párr. 253,</w:t>
      </w:r>
      <w:r w:rsidRPr="00CD68BA">
        <w:rPr>
          <w:rFonts w:cs="Arial"/>
          <w:szCs w:val="16"/>
          <w:shd w:val="clear" w:color="auto" w:fill="FFFFFF"/>
          <w:lang w:val="es-CR"/>
        </w:rPr>
        <w:t xml:space="preserve"> y </w:t>
      </w:r>
      <w:r w:rsidR="00DA4C79" w:rsidRPr="00CD68BA">
        <w:rPr>
          <w:i/>
          <w:iCs/>
          <w:szCs w:val="16"/>
          <w:lang w:val="es-CR"/>
        </w:rPr>
        <w:t>Caso Maidanik y otros Vs. Uruguay, supra</w:t>
      </w:r>
      <w:r w:rsidR="00DA4C79" w:rsidRPr="00CD68BA">
        <w:rPr>
          <w:szCs w:val="16"/>
          <w:lang w:val="es-CR"/>
        </w:rPr>
        <w:t>, párr. 229</w:t>
      </w:r>
      <w:r w:rsidR="00121ED5" w:rsidRPr="00CD68BA">
        <w:rPr>
          <w:szCs w:val="16"/>
          <w:lang w:val="es-CR"/>
        </w:rPr>
        <w:t>.</w:t>
      </w:r>
    </w:p>
  </w:footnote>
  <w:footnote w:id="225">
    <w:p w14:paraId="4BD9C53D" w14:textId="433E9A0C" w:rsidR="00450AFB" w:rsidRPr="00CD68BA" w:rsidRDefault="00450AFB" w:rsidP="00D12B21">
      <w:pPr>
        <w:pStyle w:val="Textonotapie"/>
        <w:tabs>
          <w:tab w:val="left" w:pos="540"/>
        </w:tabs>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w:t>
      </w:r>
      <w:r w:rsidR="003E03B7" w:rsidRPr="00CD68BA">
        <w:rPr>
          <w:rFonts w:cs="Open Sans"/>
          <w:i/>
          <w:iCs/>
          <w:szCs w:val="16"/>
          <w:shd w:val="clear" w:color="auto" w:fill="FFFFFF"/>
          <w:lang w:val="es-CR"/>
        </w:rPr>
        <w:t xml:space="preserve">Caso Canales Huapaya y otros Vs. Perú. Excepciones Preliminares, Fondo, Reparaciones y Costas. </w:t>
      </w:r>
      <w:r w:rsidR="003E03B7" w:rsidRPr="00CD68BA">
        <w:rPr>
          <w:rFonts w:cs="Open Sans"/>
          <w:szCs w:val="16"/>
          <w:shd w:val="clear" w:color="auto" w:fill="FFFFFF"/>
          <w:lang w:val="es-CR"/>
        </w:rPr>
        <w:t>Sentencia de 24 de junio de 2015. Serie C No. 296</w:t>
      </w:r>
      <w:r w:rsidR="001339D7" w:rsidRPr="00CD68BA">
        <w:rPr>
          <w:rFonts w:cs="Open Sans"/>
          <w:szCs w:val="16"/>
          <w:shd w:val="clear" w:color="auto" w:fill="FFFFFF"/>
          <w:lang w:val="es-CR"/>
        </w:rPr>
        <w:t xml:space="preserve">, párr. </w:t>
      </w:r>
      <w:r w:rsidR="003E03B7" w:rsidRPr="00CD68BA">
        <w:rPr>
          <w:rFonts w:cs="Open Sans"/>
          <w:szCs w:val="16"/>
          <w:shd w:val="clear" w:color="auto" w:fill="FFFFFF"/>
          <w:lang w:val="es-CR"/>
        </w:rPr>
        <w:t>152</w:t>
      </w:r>
      <w:r w:rsidR="006B542E" w:rsidRPr="00CD68BA">
        <w:rPr>
          <w:rFonts w:cs="Open Sans"/>
          <w:szCs w:val="16"/>
          <w:shd w:val="clear" w:color="auto" w:fill="FFFFFF"/>
          <w:lang w:val="es-CR"/>
        </w:rPr>
        <w:t>, y</w:t>
      </w:r>
      <w:r w:rsidR="006B542E" w:rsidRPr="00CD68BA">
        <w:rPr>
          <w:rFonts w:cs="Open Sans"/>
          <w:i/>
          <w:iCs/>
          <w:szCs w:val="16"/>
          <w:shd w:val="clear" w:color="auto" w:fill="FFFFFF"/>
          <w:lang w:val="es-CR"/>
        </w:rPr>
        <w:t xml:space="preserve"> </w:t>
      </w:r>
      <w:r w:rsidR="00DF22E5" w:rsidRPr="00CD68BA">
        <w:rPr>
          <w:rFonts w:cs="Open Sans"/>
          <w:i/>
          <w:iCs/>
          <w:szCs w:val="16"/>
          <w:shd w:val="clear" w:color="auto" w:fill="FFFFFF"/>
          <w:lang w:val="es-CR"/>
        </w:rPr>
        <w:t xml:space="preserve">Caso Pavez Pavez Vs. Chile, supra, </w:t>
      </w:r>
      <w:r w:rsidR="00DF22E5" w:rsidRPr="00CD68BA">
        <w:rPr>
          <w:rFonts w:cs="Open Sans"/>
          <w:szCs w:val="16"/>
          <w:shd w:val="clear" w:color="auto" w:fill="FFFFFF"/>
          <w:lang w:val="es-CR"/>
        </w:rPr>
        <w:t>párr. 168.</w:t>
      </w:r>
    </w:p>
  </w:footnote>
  <w:footnote w:id="226">
    <w:p w14:paraId="7C709CA2" w14:textId="06650862" w:rsidR="00450AFB" w:rsidRPr="00CD68BA" w:rsidRDefault="00450AF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w:t>
      </w:r>
      <w:r w:rsidRPr="00CD68BA">
        <w:rPr>
          <w:rFonts w:cs="Open Sans"/>
          <w:i/>
          <w:iCs/>
          <w:szCs w:val="16"/>
          <w:shd w:val="clear" w:color="auto" w:fill="FFFFFF"/>
          <w:lang w:val="es-CR"/>
        </w:rPr>
        <w:t>aso Digna Ochoa y familiares Vs. México</w:t>
      </w:r>
      <w:r w:rsidR="00C943D9" w:rsidRPr="00CD68BA">
        <w:rPr>
          <w:rFonts w:cs="Open Sans"/>
          <w:i/>
          <w:iCs/>
          <w:szCs w:val="16"/>
          <w:shd w:val="clear" w:color="auto" w:fill="FFFFFF"/>
          <w:lang w:val="es-CR"/>
        </w:rPr>
        <w:t>, supra</w:t>
      </w:r>
      <w:r w:rsidRPr="00CD68BA">
        <w:rPr>
          <w:rFonts w:cs="Open Sans"/>
          <w:szCs w:val="16"/>
          <w:shd w:val="clear" w:color="auto" w:fill="FFFFFF"/>
          <w:lang w:val="es-CR"/>
        </w:rPr>
        <w:t>, párr. 170.</w:t>
      </w:r>
    </w:p>
  </w:footnote>
  <w:footnote w:id="227">
    <w:p w14:paraId="0735ED23" w14:textId="545AF103" w:rsidR="00450AFB" w:rsidRPr="00CD68BA" w:rsidRDefault="00450AF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Caso Cantoral Benavides Vs. Perú. Reparaciones y Costas</w:t>
      </w:r>
      <w:r w:rsidR="00C943D9" w:rsidRPr="00CD68BA">
        <w:rPr>
          <w:i/>
          <w:iCs/>
          <w:szCs w:val="16"/>
          <w:lang w:val="es-CR"/>
        </w:rPr>
        <w:t>, supra</w:t>
      </w:r>
      <w:r w:rsidRPr="00CD68BA">
        <w:rPr>
          <w:szCs w:val="16"/>
          <w:lang w:val="es-CR"/>
        </w:rPr>
        <w:t xml:space="preserve">, párr. 81, y </w:t>
      </w:r>
      <w:r w:rsidRPr="00CD68BA">
        <w:rPr>
          <w:rFonts w:cs="Open Sans"/>
          <w:i/>
          <w:iCs/>
          <w:szCs w:val="16"/>
          <w:shd w:val="clear" w:color="auto" w:fill="FFFFFF"/>
          <w:lang w:val="es-CR"/>
        </w:rPr>
        <w:t>Caso Pavez Pavez Vs. Chile.</w:t>
      </w:r>
      <w:r w:rsidR="00C943D9" w:rsidRPr="00CD68BA">
        <w:rPr>
          <w:rFonts w:cs="Open Sans"/>
          <w:i/>
          <w:iCs/>
          <w:szCs w:val="16"/>
          <w:shd w:val="clear" w:color="auto" w:fill="FFFFFF"/>
          <w:lang w:val="es-CR"/>
        </w:rPr>
        <w:t>, supra</w:t>
      </w:r>
      <w:r w:rsidRPr="00CD68BA">
        <w:rPr>
          <w:rFonts w:cs="Open Sans"/>
          <w:szCs w:val="16"/>
          <w:shd w:val="clear" w:color="auto" w:fill="FFFFFF"/>
          <w:lang w:val="es-CR"/>
        </w:rPr>
        <w:t>, párr. 172.</w:t>
      </w:r>
    </w:p>
  </w:footnote>
  <w:footnote w:id="228">
    <w:p w14:paraId="3AD71BFA" w14:textId="374A1C55" w:rsidR="00450AFB" w:rsidRPr="00CD68BA" w:rsidRDefault="00450AF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Caso Radilla Pacheco Vs. México. Excepciones Preliminares, Fondo, Reparaciones y Costas</w:t>
      </w:r>
      <w:r w:rsidRPr="00CD68BA">
        <w:rPr>
          <w:szCs w:val="16"/>
          <w:lang w:val="es-CR"/>
        </w:rPr>
        <w:t xml:space="preserve">. Sentencia de 23 de noviembre de 2009. Serie C No. 209, párr. 353, y </w:t>
      </w:r>
      <w:r w:rsidRPr="00CD68BA">
        <w:rPr>
          <w:rFonts w:cs="Open Sans"/>
          <w:i/>
          <w:iCs/>
          <w:szCs w:val="16"/>
          <w:shd w:val="clear" w:color="auto" w:fill="FFFFFF"/>
          <w:lang w:val="es-CR"/>
        </w:rPr>
        <w:t>Caso Pavez Pavez Vs. Chile</w:t>
      </w:r>
      <w:r w:rsidR="00C943D9" w:rsidRPr="00CD68BA">
        <w:rPr>
          <w:rFonts w:cs="Open Sans"/>
          <w:i/>
          <w:iCs/>
          <w:szCs w:val="16"/>
          <w:shd w:val="clear" w:color="auto" w:fill="FFFFFF"/>
          <w:lang w:val="es-CR"/>
        </w:rPr>
        <w:t>, supra</w:t>
      </w:r>
      <w:r w:rsidRPr="00CD68BA">
        <w:rPr>
          <w:rFonts w:cs="Open Sans"/>
          <w:szCs w:val="16"/>
          <w:shd w:val="clear" w:color="auto" w:fill="FFFFFF"/>
          <w:lang w:val="es-CR"/>
        </w:rPr>
        <w:t>, párr. 173.</w:t>
      </w:r>
    </w:p>
  </w:footnote>
  <w:footnote w:id="229">
    <w:p w14:paraId="69590B80" w14:textId="77777777" w:rsidR="00450AFB" w:rsidRPr="00CD68BA" w:rsidRDefault="00450AF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Véase, por ejemplo, </w:t>
      </w:r>
      <w:r w:rsidRPr="00CD68BA">
        <w:rPr>
          <w:i/>
          <w:iCs/>
          <w:szCs w:val="16"/>
          <w:lang w:val="es-CR"/>
        </w:rPr>
        <w:t>Caso del Penal Miguel Castro Castro Vs. Perú. Fondo, Reparaciones y Costas</w:t>
      </w:r>
      <w:r w:rsidRPr="00CD68BA">
        <w:rPr>
          <w:szCs w:val="16"/>
          <w:lang w:val="es-CR"/>
        </w:rPr>
        <w:t xml:space="preserve">. Sentencia de 25 de noviembre de 2006. Serie C No. 160, párr. 445, y </w:t>
      </w:r>
      <w:r w:rsidRPr="00CD68BA">
        <w:rPr>
          <w:rFonts w:cs="Open Sans"/>
          <w:i/>
          <w:iCs/>
          <w:szCs w:val="16"/>
          <w:shd w:val="clear" w:color="auto" w:fill="FFFFFF"/>
          <w:lang w:val="es-CR"/>
        </w:rPr>
        <w:t xml:space="preserve">Caso Pavez Pavez Vs. Chile. Fondo, Reparaciones y Costas. </w:t>
      </w:r>
      <w:r w:rsidRPr="00CD68BA">
        <w:rPr>
          <w:rFonts w:cs="Open Sans"/>
          <w:szCs w:val="16"/>
          <w:shd w:val="clear" w:color="auto" w:fill="FFFFFF"/>
          <w:lang w:val="es-CR"/>
        </w:rPr>
        <w:t>Sentencia de 4 de febrero de 2022. Serie C No. 449, párr. 173.</w:t>
      </w:r>
    </w:p>
  </w:footnote>
  <w:footnote w:id="230">
    <w:p w14:paraId="181B2ADC" w14:textId="65148574" w:rsidR="00450AFB" w:rsidRPr="00CD68BA" w:rsidRDefault="00450AF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w:t>
      </w:r>
      <w:r w:rsidRPr="00CD68BA">
        <w:rPr>
          <w:i/>
          <w:iCs/>
          <w:szCs w:val="16"/>
          <w:lang w:val="es-CR"/>
        </w:rPr>
        <w:t>Caso 19 Comerciantes Vs. Colombia. Fondo, Reparaciones y Costas</w:t>
      </w:r>
      <w:r w:rsidRPr="00CD68BA">
        <w:rPr>
          <w:szCs w:val="16"/>
          <w:lang w:val="es-CR"/>
        </w:rPr>
        <w:t>. Sentencia de 5 de julio de 2004. Serie C No. 109, párr. 273</w:t>
      </w:r>
      <w:r w:rsidR="00121ED5" w:rsidRPr="00CD68BA">
        <w:rPr>
          <w:szCs w:val="16"/>
          <w:lang w:val="es-CR"/>
        </w:rPr>
        <w:t>.</w:t>
      </w:r>
    </w:p>
  </w:footnote>
  <w:footnote w:id="231">
    <w:p w14:paraId="6547E8FA" w14:textId="434921E1" w:rsidR="00450AFB" w:rsidRPr="00CD68BA" w:rsidRDefault="00450AF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Peritaje </w:t>
      </w:r>
      <w:r w:rsidR="00C943D9" w:rsidRPr="00CD68BA">
        <w:rPr>
          <w:szCs w:val="16"/>
          <w:lang w:val="es-CR"/>
        </w:rPr>
        <w:t>de</w:t>
      </w:r>
      <w:r w:rsidRPr="00CD68BA">
        <w:rPr>
          <w:szCs w:val="16"/>
          <w:lang w:val="es-CR"/>
        </w:rPr>
        <w:t xml:space="preserve"> Laurel E. Fletcher </w:t>
      </w:r>
      <w:r w:rsidR="00C943D9" w:rsidRPr="00CD68BA">
        <w:rPr>
          <w:szCs w:val="16"/>
          <w:lang w:val="es-CR"/>
        </w:rPr>
        <w:t>de</w:t>
      </w:r>
      <w:r w:rsidRPr="00CD68BA">
        <w:rPr>
          <w:szCs w:val="16"/>
          <w:lang w:val="es-CR"/>
        </w:rPr>
        <w:t xml:space="preserve"> 4 de marzo de 2022 (expediente de prueba, folio 7342).</w:t>
      </w:r>
    </w:p>
  </w:footnote>
  <w:footnote w:id="232">
    <w:p w14:paraId="0352260D" w14:textId="5419A3EC" w:rsidR="007B14A9" w:rsidRPr="00CD68BA" w:rsidRDefault="007B14A9" w:rsidP="00D12B21">
      <w:pPr>
        <w:spacing w:before="0"/>
        <w:rPr>
          <w:rFonts w:eastAsia="Times New Roman" w:cs="Times New Roman"/>
          <w:sz w:val="16"/>
          <w:szCs w:val="16"/>
          <w:lang w:val="es-CR" w:eastAsia="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t>Las demás medidas solicitadas (</w:t>
      </w:r>
      <w:r w:rsidRPr="00CD68BA">
        <w:rPr>
          <w:i/>
          <w:iCs/>
          <w:sz w:val="16"/>
          <w:szCs w:val="16"/>
          <w:lang w:val="es-CR"/>
        </w:rPr>
        <w:t>supra</w:t>
      </w:r>
      <w:r w:rsidRPr="00CD68BA">
        <w:rPr>
          <w:sz w:val="16"/>
          <w:szCs w:val="16"/>
          <w:lang w:val="es-CR"/>
        </w:rPr>
        <w:t xml:space="preserve"> párr</w:t>
      </w:r>
      <w:r w:rsidR="00B03318" w:rsidRPr="00CD68BA">
        <w:rPr>
          <w:sz w:val="16"/>
          <w:szCs w:val="16"/>
          <w:lang w:val="es-CR"/>
        </w:rPr>
        <w:t>s</w:t>
      </w:r>
      <w:r w:rsidRPr="00CD68BA">
        <w:rPr>
          <w:sz w:val="16"/>
          <w:szCs w:val="16"/>
          <w:lang w:val="es-CR"/>
        </w:rPr>
        <w:t xml:space="preserve">. </w:t>
      </w:r>
      <w:r w:rsidR="00077D8A" w:rsidRPr="00CD68BA">
        <w:rPr>
          <w:sz w:val="16"/>
          <w:szCs w:val="16"/>
          <w:lang w:val="es-CR"/>
        </w:rPr>
        <w:t>154</w:t>
      </w:r>
      <w:r w:rsidRPr="00CD68BA">
        <w:rPr>
          <w:sz w:val="16"/>
          <w:szCs w:val="16"/>
          <w:lang w:val="es-CR"/>
        </w:rPr>
        <w:t>) fueron: i)</w:t>
      </w:r>
      <w:r w:rsidR="00B03318" w:rsidRPr="00CD68BA">
        <w:rPr>
          <w:sz w:val="16"/>
          <w:szCs w:val="16"/>
          <w:lang w:val="es-CR"/>
        </w:rPr>
        <w:t xml:space="preserve"> </w:t>
      </w:r>
      <w:r w:rsidR="00286D03" w:rsidRPr="00CD68BA">
        <w:rPr>
          <w:sz w:val="16"/>
          <w:szCs w:val="16"/>
          <w:lang w:val="es-CR"/>
        </w:rPr>
        <w:t>nombrar en el municipio de Juiz de Fora, en el estado de Minas Gerais, una plaza con el nombre de Gabriel Sales Pimenta</w:t>
      </w:r>
      <w:r w:rsidR="00382A30" w:rsidRPr="00CD68BA">
        <w:rPr>
          <w:sz w:val="16"/>
          <w:szCs w:val="16"/>
          <w:lang w:val="es-CR"/>
        </w:rPr>
        <w:t>;</w:t>
      </w:r>
      <w:r w:rsidR="00286D03" w:rsidRPr="00CD68BA">
        <w:rPr>
          <w:sz w:val="16"/>
          <w:szCs w:val="16"/>
          <w:lang w:val="es-CR"/>
        </w:rPr>
        <w:t xml:space="preserve"> </w:t>
      </w:r>
      <w:r w:rsidR="00382A30" w:rsidRPr="00CD68BA">
        <w:rPr>
          <w:sz w:val="16"/>
          <w:szCs w:val="16"/>
          <w:lang w:val="es-CR"/>
        </w:rPr>
        <w:t xml:space="preserve">ii) </w:t>
      </w:r>
      <w:r w:rsidR="00B1257E" w:rsidRPr="00CD68BA">
        <w:rPr>
          <w:sz w:val="16"/>
          <w:szCs w:val="16"/>
          <w:lang w:val="es-CR"/>
        </w:rPr>
        <w:t>instala</w:t>
      </w:r>
      <w:r w:rsidR="00C93F23" w:rsidRPr="00CD68BA">
        <w:rPr>
          <w:sz w:val="16"/>
          <w:szCs w:val="16"/>
          <w:lang w:val="es-CR"/>
        </w:rPr>
        <w:t>r</w:t>
      </w:r>
      <w:r w:rsidR="00B1257E" w:rsidRPr="00CD68BA">
        <w:rPr>
          <w:sz w:val="16"/>
          <w:szCs w:val="16"/>
          <w:lang w:val="es-CR"/>
        </w:rPr>
        <w:t xml:space="preserve"> un busto de Gabriel Sales Pimenta </w:t>
      </w:r>
      <w:r w:rsidR="00570463" w:rsidRPr="00CD68BA">
        <w:rPr>
          <w:sz w:val="16"/>
          <w:szCs w:val="16"/>
          <w:lang w:val="es-CR"/>
        </w:rPr>
        <w:t xml:space="preserve">en las dos plazas a ser nombradas </w:t>
      </w:r>
      <w:r w:rsidR="00B1257E" w:rsidRPr="00CD68BA">
        <w:rPr>
          <w:sz w:val="16"/>
          <w:szCs w:val="16"/>
          <w:lang w:val="es-CR"/>
        </w:rPr>
        <w:t>con el nombre de Gabriel Sales Pimenta</w:t>
      </w:r>
      <w:r w:rsidR="00382A30" w:rsidRPr="00CD68BA">
        <w:rPr>
          <w:sz w:val="16"/>
          <w:szCs w:val="16"/>
          <w:lang w:val="es-CR"/>
        </w:rPr>
        <w:t>,</w:t>
      </w:r>
      <w:r w:rsidR="00570463" w:rsidRPr="00CD68BA">
        <w:rPr>
          <w:sz w:val="16"/>
          <w:szCs w:val="16"/>
          <w:lang w:val="es-CR"/>
        </w:rPr>
        <w:t xml:space="preserve"> en Juiz de Fora y Marabá</w:t>
      </w:r>
      <w:r w:rsidR="00382A30" w:rsidRPr="00CD68BA">
        <w:rPr>
          <w:sz w:val="16"/>
          <w:szCs w:val="16"/>
          <w:lang w:val="es-CR"/>
        </w:rPr>
        <w:t>;</w:t>
      </w:r>
      <w:r w:rsidR="00570463" w:rsidRPr="00CD68BA">
        <w:rPr>
          <w:sz w:val="16"/>
          <w:szCs w:val="16"/>
          <w:lang w:val="es-CR"/>
        </w:rPr>
        <w:t xml:space="preserve"> ii</w:t>
      </w:r>
      <w:r w:rsidR="00382A30" w:rsidRPr="00CD68BA">
        <w:rPr>
          <w:sz w:val="16"/>
          <w:szCs w:val="16"/>
          <w:lang w:val="es-CR"/>
        </w:rPr>
        <w:t>i</w:t>
      </w:r>
      <w:r w:rsidR="005E4CCB" w:rsidRPr="00CD68BA">
        <w:rPr>
          <w:sz w:val="16"/>
          <w:szCs w:val="16"/>
          <w:lang w:val="es-CR"/>
        </w:rPr>
        <w:t>) Modificar</w:t>
      </w:r>
      <w:r w:rsidR="00C93F23" w:rsidRPr="00CD68BA">
        <w:rPr>
          <w:sz w:val="16"/>
          <w:szCs w:val="16"/>
          <w:lang w:val="es-CR"/>
        </w:rPr>
        <w:t xml:space="preserve"> </w:t>
      </w:r>
      <w:r w:rsidR="00286D03" w:rsidRPr="00CD68BA">
        <w:rPr>
          <w:sz w:val="16"/>
          <w:szCs w:val="16"/>
          <w:lang w:val="es-CR"/>
        </w:rPr>
        <w:t>el nombre de la escuela municipal M.C.N. por Gabriel Sales Pimenta,</w:t>
      </w:r>
      <w:r w:rsidR="00382A30" w:rsidRPr="00CD68BA">
        <w:rPr>
          <w:sz w:val="16"/>
          <w:szCs w:val="16"/>
          <w:lang w:val="es-CR"/>
        </w:rPr>
        <w:t xml:space="preserve"> y</w:t>
      </w:r>
      <w:r w:rsidR="00286D03" w:rsidRPr="00CD68BA">
        <w:rPr>
          <w:sz w:val="16"/>
          <w:szCs w:val="16"/>
          <w:lang w:val="es-CR"/>
        </w:rPr>
        <w:t xml:space="preserve"> </w:t>
      </w:r>
      <w:r w:rsidR="00C93F23" w:rsidRPr="00CD68BA">
        <w:rPr>
          <w:sz w:val="16"/>
          <w:szCs w:val="16"/>
          <w:lang w:val="es-CR"/>
        </w:rPr>
        <w:t>abstenerse</w:t>
      </w:r>
      <w:r w:rsidR="0064283E" w:rsidRPr="00CD68BA">
        <w:rPr>
          <w:sz w:val="16"/>
          <w:szCs w:val="16"/>
          <w:lang w:val="es-CR"/>
        </w:rPr>
        <w:t xml:space="preserve"> </w:t>
      </w:r>
      <w:r w:rsidR="00286D03" w:rsidRPr="00CD68BA">
        <w:rPr>
          <w:sz w:val="16"/>
          <w:szCs w:val="16"/>
          <w:lang w:val="es-CR"/>
        </w:rPr>
        <w:t>de nombrar nuevos lugares públicos con el nombre de M.C.N.</w:t>
      </w:r>
    </w:p>
  </w:footnote>
  <w:footnote w:id="233">
    <w:p w14:paraId="519B8AFE" w14:textId="07B74202" w:rsidR="00070353" w:rsidRPr="00CD68BA" w:rsidRDefault="00070353" w:rsidP="00D12B21">
      <w:pPr>
        <w:spacing w:before="0"/>
        <w:rPr>
          <w:rFonts w:eastAsia="Times New Roman" w:cs="Times New Roman"/>
          <w:sz w:val="16"/>
          <w:szCs w:val="16"/>
          <w:lang w:val="es-CR" w:eastAsia="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t>Tales medidas fueron: i) erigir en la ciudad de Marabá un monumento para Gabriel Sales Pimenta “y otros defensores de derechos humanos”, y ii) realizar una película o documental sobre “la vida y lucha” de Gabriel Sales Pimenta.</w:t>
      </w:r>
    </w:p>
  </w:footnote>
  <w:footnote w:id="234">
    <w:p w14:paraId="21561439" w14:textId="5B4CBF93" w:rsidR="004B275F" w:rsidRPr="00CD68BA" w:rsidRDefault="004B275F"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w:t>
      </w:r>
      <w:r w:rsidRPr="00CD68BA">
        <w:rPr>
          <w:i/>
          <w:iCs/>
          <w:szCs w:val="16"/>
          <w:lang w:val="es-CR"/>
        </w:rPr>
        <w:t>Ouvidoria Agrária</w:t>
      </w:r>
      <w:r w:rsidRPr="00CD68BA">
        <w:rPr>
          <w:szCs w:val="16"/>
          <w:lang w:val="es-CR"/>
        </w:rPr>
        <w:t>” en portugués.</w:t>
      </w:r>
    </w:p>
  </w:footnote>
  <w:footnote w:id="235">
    <w:p w14:paraId="4D440741" w14:textId="27ECD812"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Según el Instituto de Investigación de Economía Aplicada, “las bases institucionales que dinamizaron la violencia en el campo en Brasil -asentada en la profunda desigualdad social y económica existente entre áreas rurales y urbanas, así como la alta tasa de concentración de tierras , sobre la ausencia de instancias de mediación y resolución de conflictos rurales, o aun resultado de los altos índices de impunidad relacionados con los delitos contra pueblos tradicionales, trabajadores rurales y pequeños agricultores- perduraron a lo largo de toda la trayectoria del país y se mantiene firme en la actualidad”. Instituto de Investigación de Economía Aplicada. Atlas de la Violencia en el Campo en Brasil: Condicionantes Socioeconómicos y Territoriales. Brasilia, 2020, p.10. Disponible en: </w:t>
      </w:r>
      <w:hyperlink r:id="rId22" w:history="1">
        <w:r w:rsidRPr="00CD68BA">
          <w:rPr>
            <w:rStyle w:val="Hipervnculo"/>
            <w:color w:val="auto"/>
            <w:szCs w:val="16"/>
            <w:lang w:val="es-CR"/>
          </w:rPr>
          <w:t>https://ipea.gov.br/portal/images/stories/PDFs/relatorio_institucional/200717_relatorio_institucional_atlas_da_violencia.pdf</w:t>
        </w:r>
      </w:hyperlink>
      <w:r w:rsidRPr="00CD68BA">
        <w:rPr>
          <w:szCs w:val="16"/>
          <w:lang w:val="es-CR"/>
        </w:rPr>
        <w:t xml:space="preserve"> Véase</w:t>
      </w:r>
      <w:r w:rsidR="008A0AB1" w:rsidRPr="00CD68BA">
        <w:rPr>
          <w:szCs w:val="16"/>
          <w:lang w:val="es-CR"/>
        </w:rPr>
        <w:t xml:space="preserve">, </w:t>
      </w:r>
      <w:r w:rsidRPr="00CD68BA">
        <w:rPr>
          <w:szCs w:val="16"/>
          <w:lang w:val="es-CR"/>
        </w:rPr>
        <w:t>también</w:t>
      </w:r>
      <w:r w:rsidR="008A0AB1" w:rsidRPr="00CD68BA">
        <w:rPr>
          <w:szCs w:val="16"/>
          <w:lang w:val="es-CR"/>
        </w:rPr>
        <w:t>,</w:t>
      </w:r>
      <w:r w:rsidRPr="00CD68BA">
        <w:rPr>
          <w:i/>
          <w:iCs/>
          <w:szCs w:val="16"/>
          <w:lang w:val="es-CR"/>
        </w:rPr>
        <w:t xml:space="preserve"> </w:t>
      </w:r>
      <w:r w:rsidRPr="00CD68BA">
        <w:rPr>
          <w:szCs w:val="16"/>
          <w:lang w:val="es-CR"/>
        </w:rPr>
        <w:t xml:space="preserve">Peritaje </w:t>
      </w:r>
      <w:r w:rsidR="008A0AB1" w:rsidRPr="00CD68BA">
        <w:rPr>
          <w:szCs w:val="16"/>
          <w:lang w:val="es-CR"/>
        </w:rPr>
        <w:t xml:space="preserve">de </w:t>
      </w:r>
      <w:r w:rsidRPr="00CD68BA">
        <w:rPr>
          <w:szCs w:val="16"/>
          <w:lang w:val="es-CR"/>
        </w:rPr>
        <w:t>Carlos Eduardo Gaio</w:t>
      </w:r>
      <w:r w:rsidR="008A0AB1" w:rsidRPr="00CD68BA">
        <w:rPr>
          <w:szCs w:val="16"/>
          <w:lang w:val="es-CR"/>
        </w:rPr>
        <w:t xml:space="preserve">, </w:t>
      </w:r>
      <w:r w:rsidR="008A0AB1" w:rsidRPr="00CD68BA">
        <w:rPr>
          <w:i/>
          <w:iCs/>
          <w:szCs w:val="16"/>
          <w:lang w:val="es-CR"/>
        </w:rPr>
        <w:t>supra</w:t>
      </w:r>
      <w:r w:rsidRPr="00CD68BA">
        <w:rPr>
          <w:szCs w:val="16"/>
          <w:lang w:val="es-CR"/>
        </w:rPr>
        <w:t xml:space="preserve"> (expediente de prueba, folios 7287</w:t>
      </w:r>
      <w:r w:rsidR="008A0AB1" w:rsidRPr="00CD68BA">
        <w:rPr>
          <w:szCs w:val="16"/>
          <w:lang w:val="es-CR"/>
        </w:rPr>
        <w:t xml:space="preserve"> y</w:t>
      </w:r>
      <w:r w:rsidRPr="00CD68BA">
        <w:rPr>
          <w:szCs w:val="16"/>
          <w:lang w:val="es-CR"/>
        </w:rPr>
        <w:t xml:space="preserve"> 7295</w:t>
      </w:r>
      <w:r w:rsidR="008A0AB1" w:rsidRPr="00CD68BA">
        <w:rPr>
          <w:szCs w:val="16"/>
          <w:lang w:val="es-CR"/>
        </w:rPr>
        <w:t xml:space="preserve"> a </w:t>
      </w:r>
      <w:r w:rsidRPr="00CD68BA">
        <w:rPr>
          <w:szCs w:val="16"/>
          <w:lang w:val="es-CR"/>
        </w:rPr>
        <w:t xml:space="preserve">7296). </w:t>
      </w:r>
    </w:p>
  </w:footnote>
  <w:footnote w:id="236">
    <w:p w14:paraId="45D734F6" w14:textId="0F0C8AE5"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406968" w:rsidRPr="00CD68BA">
        <w:rPr>
          <w:i/>
          <w:iCs/>
          <w:szCs w:val="16"/>
          <w:lang w:val="es-CR"/>
        </w:rPr>
        <w:t>Cfr</w:t>
      </w:r>
      <w:r w:rsidR="00406968" w:rsidRPr="00CD68BA">
        <w:rPr>
          <w:szCs w:val="16"/>
          <w:lang w:val="es-CR"/>
        </w:rPr>
        <w:t xml:space="preserve">. </w:t>
      </w:r>
      <w:r w:rsidRPr="00CD68BA">
        <w:rPr>
          <w:szCs w:val="16"/>
          <w:lang w:val="es-CR"/>
        </w:rPr>
        <w:t xml:space="preserve">Peritaje </w:t>
      </w:r>
      <w:r w:rsidR="0034661D" w:rsidRPr="00CD68BA">
        <w:rPr>
          <w:szCs w:val="16"/>
          <w:lang w:val="es-CR"/>
        </w:rPr>
        <w:t>de</w:t>
      </w:r>
      <w:r w:rsidRPr="00CD68BA">
        <w:rPr>
          <w:szCs w:val="16"/>
          <w:lang w:val="es-CR"/>
        </w:rPr>
        <w:t xml:space="preserve"> Carlos Eduardo Gaio</w:t>
      </w:r>
      <w:r w:rsidR="0034661D" w:rsidRPr="00CD68BA">
        <w:rPr>
          <w:szCs w:val="16"/>
          <w:lang w:val="es-CR"/>
        </w:rPr>
        <w:t xml:space="preserve">, </w:t>
      </w:r>
      <w:r w:rsidR="0034661D" w:rsidRPr="00CD68BA">
        <w:rPr>
          <w:i/>
          <w:iCs/>
          <w:szCs w:val="16"/>
          <w:lang w:val="es-CR"/>
        </w:rPr>
        <w:t>supra</w:t>
      </w:r>
      <w:r w:rsidRPr="00CD68BA">
        <w:rPr>
          <w:szCs w:val="16"/>
          <w:lang w:val="es-CR"/>
        </w:rPr>
        <w:t xml:space="preserve"> (expediente de prueba, folios 7293)</w:t>
      </w:r>
      <w:r w:rsidR="00C7683D" w:rsidRPr="00CD68BA">
        <w:rPr>
          <w:szCs w:val="16"/>
          <w:lang w:val="es-CR"/>
        </w:rPr>
        <w:t>.</w:t>
      </w:r>
    </w:p>
  </w:footnote>
  <w:footnote w:id="237">
    <w:p w14:paraId="6C178DDE" w14:textId="3476BFAB" w:rsidR="00D00698" w:rsidRPr="00CD68BA" w:rsidRDefault="00D00698" w:rsidP="00D12B21">
      <w:pPr>
        <w:spacing w:before="0"/>
        <w:rPr>
          <w:rFonts w:eastAsia="Times New Roman" w:cs="Times New Roman"/>
          <w:sz w:val="16"/>
          <w:szCs w:val="16"/>
          <w:lang w:val="es-CR" w:eastAsia="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t xml:space="preserve">Véase, por ejemplo: </w:t>
      </w:r>
      <w:r w:rsidRPr="00CD68BA">
        <w:rPr>
          <w:i/>
          <w:iCs/>
          <w:sz w:val="16"/>
          <w:szCs w:val="16"/>
          <w:lang w:val="es-CR"/>
        </w:rPr>
        <w:t>Caso Acosta y otros Vs. Nicaragua. Excepciones Preliminares, Fondo, Reparaciones y Costas</w:t>
      </w:r>
      <w:r w:rsidRPr="00CD68BA">
        <w:rPr>
          <w:sz w:val="16"/>
          <w:szCs w:val="16"/>
          <w:lang w:val="es-CR"/>
        </w:rPr>
        <w:t>. Sentencia de 25 de marzo de 2017. Serie C No. 334, párr</w:t>
      </w:r>
      <w:r w:rsidR="00D01473" w:rsidRPr="00CD68BA">
        <w:rPr>
          <w:sz w:val="16"/>
          <w:szCs w:val="16"/>
          <w:lang w:val="es-CR"/>
        </w:rPr>
        <w:t>s</w:t>
      </w:r>
      <w:r w:rsidRPr="00CD68BA">
        <w:rPr>
          <w:sz w:val="16"/>
          <w:szCs w:val="16"/>
          <w:lang w:val="es-CR"/>
        </w:rPr>
        <w:t xml:space="preserve">. 223 y 224; </w:t>
      </w:r>
      <w:r w:rsidRPr="00CD68BA">
        <w:rPr>
          <w:i/>
          <w:iCs/>
          <w:sz w:val="16"/>
          <w:szCs w:val="16"/>
          <w:lang w:val="es-CR"/>
        </w:rPr>
        <w:t>Caso Escaleras Mejía y otros Vs. Honduras</w:t>
      </w:r>
      <w:r w:rsidR="00D01473" w:rsidRPr="00CD68BA">
        <w:rPr>
          <w:sz w:val="16"/>
          <w:szCs w:val="16"/>
          <w:lang w:val="es-CR"/>
        </w:rPr>
        <w:t xml:space="preserve">, </w:t>
      </w:r>
      <w:r w:rsidR="00D01473" w:rsidRPr="00CD68BA">
        <w:rPr>
          <w:i/>
          <w:iCs/>
          <w:sz w:val="16"/>
          <w:szCs w:val="16"/>
          <w:lang w:val="es-CR"/>
        </w:rPr>
        <w:t xml:space="preserve">supra, </w:t>
      </w:r>
      <w:r w:rsidRPr="00CD68BA">
        <w:rPr>
          <w:sz w:val="16"/>
          <w:szCs w:val="16"/>
          <w:lang w:val="es-CR"/>
        </w:rPr>
        <w:t xml:space="preserve">párr. 102, y </w:t>
      </w:r>
      <w:r w:rsidRPr="00CD68BA">
        <w:rPr>
          <w:rFonts w:eastAsia="Times New Roman" w:cs="Open Sans"/>
          <w:i/>
          <w:iCs/>
          <w:sz w:val="16"/>
          <w:szCs w:val="16"/>
          <w:shd w:val="clear" w:color="auto" w:fill="FFFFFF"/>
          <w:lang w:val="es-CR" w:eastAsia="es-CR"/>
        </w:rPr>
        <w:t>Caso Digna Ochoa y familiares Vs. México</w:t>
      </w:r>
      <w:r w:rsidR="00D01473" w:rsidRPr="00CD68BA">
        <w:rPr>
          <w:rFonts w:eastAsia="Times New Roman" w:cs="Open Sans"/>
          <w:i/>
          <w:iCs/>
          <w:sz w:val="16"/>
          <w:szCs w:val="16"/>
          <w:shd w:val="clear" w:color="auto" w:fill="FFFFFF"/>
          <w:lang w:val="es-CR" w:eastAsia="es-CR"/>
        </w:rPr>
        <w:t>, supra</w:t>
      </w:r>
      <w:r w:rsidRPr="00CD68BA">
        <w:rPr>
          <w:rFonts w:eastAsia="Times New Roman" w:cs="Open Sans"/>
          <w:sz w:val="16"/>
          <w:szCs w:val="16"/>
          <w:shd w:val="clear" w:color="auto" w:fill="FFFFFF"/>
          <w:lang w:val="es-CR" w:eastAsia="es-CR"/>
        </w:rPr>
        <w:t>, párr. 178 y 179.</w:t>
      </w:r>
    </w:p>
  </w:footnote>
  <w:footnote w:id="238">
    <w:p w14:paraId="5EAA68F2" w14:textId="7C438797"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Peritaje </w:t>
      </w:r>
      <w:r w:rsidR="00D01473" w:rsidRPr="00CD68BA">
        <w:rPr>
          <w:szCs w:val="16"/>
          <w:lang w:val="es-CR"/>
        </w:rPr>
        <w:t>de</w:t>
      </w:r>
      <w:bookmarkStart w:id="162" w:name="_Hlk104383078"/>
      <w:r w:rsidRPr="00CD68BA">
        <w:rPr>
          <w:szCs w:val="16"/>
          <w:lang w:val="es-CR"/>
        </w:rPr>
        <w:t xml:space="preserve"> </w:t>
      </w:r>
      <w:bookmarkEnd w:id="162"/>
      <w:r w:rsidRPr="00CD68BA">
        <w:rPr>
          <w:szCs w:val="16"/>
          <w:lang w:val="es-CR"/>
        </w:rPr>
        <w:t>Laurel E. Fletcher</w:t>
      </w:r>
      <w:r w:rsidR="00D01473" w:rsidRPr="00CD68BA">
        <w:rPr>
          <w:szCs w:val="16"/>
          <w:lang w:val="es-CR"/>
        </w:rPr>
        <w:t xml:space="preserve">, </w:t>
      </w:r>
      <w:r w:rsidR="00D01473" w:rsidRPr="00CD68BA">
        <w:rPr>
          <w:i/>
          <w:iCs/>
          <w:szCs w:val="16"/>
          <w:lang w:val="es-CR"/>
        </w:rPr>
        <w:t>supra</w:t>
      </w:r>
      <w:r w:rsidRPr="00CD68BA">
        <w:rPr>
          <w:szCs w:val="16"/>
          <w:lang w:val="es-CR"/>
        </w:rPr>
        <w:t xml:space="preserve"> (expediente de prueba, folio 7343).</w:t>
      </w:r>
    </w:p>
  </w:footnote>
  <w:footnote w:id="239">
    <w:p w14:paraId="3491B910" w14:textId="4405AFB9" w:rsidR="00F860C3" w:rsidRPr="00CD68BA" w:rsidRDefault="00F860C3"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ONU,</w:t>
      </w:r>
      <w:r w:rsidRPr="00CD68BA">
        <w:rPr>
          <w:i/>
          <w:iCs/>
          <w:szCs w:val="16"/>
          <w:lang w:val="es-CR"/>
        </w:rPr>
        <w:t xml:space="preserve"> Informe del Relator Especial sobre la situación de los defensores de los derechos humanos, Michel Forst</w:t>
      </w:r>
      <w:r w:rsidRPr="00CD68BA">
        <w:rPr>
          <w:szCs w:val="16"/>
          <w:lang w:val="es-CR"/>
        </w:rPr>
        <w:t>. Doc. A/74/159, 15 de julio de 2019.</w:t>
      </w:r>
    </w:p>
  </w:footnote>
  <w:footnote w:id="240">
    <w:p w14:paraId="4A88E9F3" w14:textId="770EBF0E"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rFonts w:cs="Open Sans"/>
          <w:i/>
          <w:iCs/>
          <w:szCs w:val="16"/>
          <w:shd w:val="clear" w:color="auto" w:fill="FFFFFF"/>
          <w:lang w:val="es-CR"/>
        </w:rPr>
        <w:t>Caso Barbosa de Souza y otros Vs. Brasil</w:t>
      </w:r>
      <w:r w:rsidRPr="00CD68BA">
        <w:rPr>
          <w:rFonts w:cs="Open Sans"/>
          <w:szCs w:val="16"/>
          <w:shd w:val="clear" w:color="auto" w:fill="FFFFFF"/>
          <w:lang w:val="es-CR"/>
        </w:rPr>
        <w:t>,</w:t>
      </w:r>
      <w:r w:rsidR="00AA7FEE" w:rsidRPr="00CD68BA">
        <w:rPr>
          <w:rFonts w:cs="Open Sans"/>
          <w:szCs w:val="16"/>
          <w:shd w:val="clear" w:color="auto" w:fill="FFFFFF"/>
          <w:lang w:val="es-CR"/>
        </w:rPr>
        <w:t xml:space="preserve"> </w:t>
      </w:r>
      <w:r w:rsidR="00AA7FEE" w:rsidRPr="00CD68BA">
        <w:rPr>
          <w:rFonts w:cs="Open Sans"/>
          <w:i/>
          <w:iCs/>
          <w:szCs w:val="16"/>
          <w:shd w:val="clear" w:color="auto" w:fill="FFFFFF"/>
          <w:lang w:val="es-CR"/>
        </w:rPr>
        <w:t>supra,</w:t>
      </w:r>
      <w:r w:rsidRPr="00CD68BA">
        <w:rPr>
          <w:rFonts w:cs="Open Sans"/>
          <w:szCs w:val="16"/>
          <w:shd w:val="clear" w:color="auto" w:fill="FFFFFF"/>
          <w:lang w:val="es-CR"/>
        </w:rPr>
        <w:t xml:space="preserve"> párr. 201.</w:t>
      </w:r>
    </w:p>
  </w:footnote>
  <w:footnote w:id="241">
    <w:p w14:paraId="0183E78C" w14:textId="5646C577"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rFonts w:eastAsia="Times New Roman" w:cs="Open Sans"/>
          <w:i/>
          <w:iCs/>
          <w:szCs w:val="16"/>
          <w:shd w:val="clear" w:color="auto" w:fill="FFFFFF"/>
          <w:lang w:val="es-CR" w:eastAsia="es-CR"/>
        </w:rPr>
        <w:t>Caso Digna Ochoa y familiares Vs. México</w:t>
      </w:r>
      <w:r w:rsidR="00126210" w:rsidRPr="00CD68BA">
        <w:rPr>
          <w:rFonts w:eastAsia="Times New Roman" w:cs="Open Sans"/>
          <w:i/>
          <w:iCs/>
          <w:szCs w:val="16"/>
          <w:shd w:val="clear" w:color="auto" w:fill="FFFFFF"/>
          <w:lang w:val="es-CR" w:eastAsia="es-CR"/>
        </w:rPr>
        <w:t>, supra</w:t>
      </w:r>
      <w:r w:rsidRPr="00CD68BA">
        <w:rPr>
          <w:rFonts w:eastAsia="Times New Roman" w:cs="Open Sans"/>
          <w:szCs w:val="16"/>
          <w:shd w:val="clear" w:color="auto" w:fill="FFFFFF"/>
          <w:lang w:val="es-CR" w:eastAsia="es-CR"/>
        </w:rPr>
        <w:t>, párr. 179.</w:t>
      </w:r>
    </w:p>
  </w:footnote>
  <w:footnote w:id="242">
    <w:p w14:paraId="3C569849" w14:textId="7BCBFD39"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rFonts w:eastAsia="Times New Roman" w:cs="Open Sans"/>
          <w:i/>
          <w:iCs/>
          <w:szCs w:val="16"/>
          <w:shd w:val="clear" w:color="auto" w:fill="FFFFFF"/>
          <w:lang w:val="es-CR" w:eastAsia="es-CR"/>
        </w:rPr>
        <w:t>Caso Digna Ochoa y familiares Vs. México</w:t>
      </w:r>
      <w:r w:rsidR="00126210" w:rsidRPr="00CD68BA">
        <w:rPr>
          <w:rFonts w:eastAsia="Times New Roman" w:cs="Open Sans"/>
          <w:i/>
          <w:iCs/>
          <w:szCs w:val="16"/>
          <w:shd w:val="clear" w:color="auto" w:fill="FFFFFF"/>
          <w:lang w:val="es-CR" w:eastAsia="es-CR"/>
        </w:rPr>
        <w:t>, supra</w:t>
      </w:r>
      <w:r w:rsidRPr="00CD68BA">
        <w:rPr>
          <w:rFonts w:eastAsia="Times New Roman" w:cs="Open Sans"/>
          <w:szCs w:val="16"/>
          <w:shd w:val="clear" w:color="auto" w:fill="FFFFFF"/>
          <w:lang w:val="es-CR" w:eastAsia="es-CR"/>
        </w:rPr>
        <w:t>, párr. 179.</w:t>
      </w:r>
    </w:p>
  </w:footnote>
  <w:footnote w:id="243">
    <w:p w14:paraId="611D0BB9" w14:textId="77777777"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Escrito de </w:t>
      </w:r>
      <w:r w:rsidRPr="00CD68BA">
        <w:rPr>
          <w:i/>
          <w:iCs/>
          <w:szCs w:val="16"/>
          <w:lang w:val="es-CR"/>
        </w:rPr>
        <w:t>amicus curiae</w:t>
      </w:r>
      <w:r w:rsidRPr="00CD68BA">
        <w:rPr>
          <w:szCs w:val="16"/>
          <w:lang w:val="es-CR"/>
        </w:rPr>
        <w:t xml:space="preserve"> presentado por la Clínica de Derechos Humanos de la Universidad Federal de Bahía (expediente de prueba, folio 8237); Escrito de </w:t>
      </w:r>
      <w:r w:rsidRPr="00CD68BA">
        <w:rPr>
          <w:i/>
          <w:iCs/>
          <w:szCs w:val="16"/>
          <w:lang w:val="es-CR"/>
        </w:rPr>
        <w:t>amicus curiae</w:t>
      </w:r>
      <w:r w:rsidRPr="00CD68BA">
        <w:rPr>
          <w:szCs w:val="16"/>
          <w:lang w:val="es-CR"/>
        </w:rPr>
        <w:t xml:space="preserve"> presentado por la Orden de Abogados de Brasil, sección de Minas Gerais (expediente de prueba, folios 7721 y 7725); Escrito de </w:t>
      </w:r>
      <w:r w:rsidRPr="00CD68BA">
        <w:rPr>
          <w:i/>
          <w:iCs/>
          <w:szCs w:val="16"/>
          <w:lang w:val="es-CR"/>
        </w:rPr>
        <w:t>amicus curiae</w:t>
      </w:r>
      <w:r w:rsidRPr="00CD68BA">
        <w:rPr>
          <w:szCs w:val="16"/>
          <w:lang w:val="es-CR"/>
        </w:rPr>
        <w:t xml:space="preserve"> presentado por el Sindicato de Abogados de Brasil del estado de Minas Gerais (expediente de prueba, folio 7746).</w:t>
      </w:r>
    </w:p>
  </w:footnote>
  <w:footnote w:id="244">
    <w:p w14:paraId="3257B065" w14:textId="358576FA"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Peritaje </w:t>
      </w:r>
      <w:r w:rsidR="00126210" w:rsidRPr="00CD68BA">
        <w:rPr>
          <w:szCs w:val="16"/>
          <w:lang w:val="es-CR"/>
        </w:rPr>
        <w:t xml:space="preserve">de </w:t>
      </w:r>
      <w:r w:rsidRPr="00CD68BA">
        <w:rPr>
          <w:szCs w:val="16"/>
          <w:lang w:val="es-CR"/>
        </w:rPr>
        <w:t>Carlos Eduardo Gaio</w:t>
      </w:r>
      <w:r w:rsidR="00126210" w:rsidRPr="00CD68BA">
        <w:rPr>
          <w:szCs w:val="16"/>
          <w:lang w:val="es-CR"/>
        </w:rPr>
        <w:t xml:space="preserve">, </w:t>
      </w:r>
      <w:r w:rsidR="00126210" w:rsidRPr="00CD68BA">
        <w:rPr>
          <w:i/>
          <w:iCs/>
          <w:szCs w:val="16"/>
          <w:lang w:val="es-CR"/>
        </w:rPr>
        <w:t>supra</w:t>
      </w:r>
      <w:r w:rsidRPr="00CD68BA">
        <w:rPr>
          <w:szCs w:val="16"/>
          <w:lang w:val="es-CR"/>
        </w:rPr>
        <w:t xml:space="preserve"> (expediente de prueba, folio 7295). </w:t>
      </w:r>
    </w:p>
  </w:footnote>
  <w:footnote w:id="245">
    <w:p w14:paraId="4A641438" w14:textId="22EDAE92" w:rsidR="003F7D4B" w:rsidRPr="00CD68BA" w:rsidRDefault="003F7D4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Declaración de Rafael Sales Pimenta rendida en la audiencia pública de 22 de marzo de 2022.</w:t>
      </w:r>
    </w:p>
  </w:footnote>
  <w:footnote w:id="246">
    <w:p w14:paraId="6916D3A7" w14:textId="0B630483"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Peritaje </w:t>
      </w:r>
      <w:r w:rsidR="00126210" w:rsidRPr="00CD68BA">
        <w:rPr>
          <w:szCs w:val="16"/>
          <w:lang w:val="es-CR"/>
        </w:rPr>
        <w:t xml:space="preserve">de </w:t>
      </w:r>
      <w:r w:rsidRPr="00CD68BA">
        <w:rPr>
          <w:szCs w:val="16"/>
          <w:lang w:val="es-CR"/>
        </w:rPr>
        <w:t>Carlos Eduardo Gaio</w:t>
      </w:r>
      <w:r w:rsidR="00126210" w:rsidRPr="00CD68BA">
        <w:rPr>
          <w:szCs w:val="16"/>
          <w:lang w:val="es-CR"/>
        </w:rPr>
        <w:t xml:space="preserve">, </w:t>
      </w:r>
      <w:r w:rsidR="00126210" w:rsidRPr="00CD68BA">
        <w:rPr>
          <w:i/>
          <w:iCs/>
          <w:szCs w:val="16"/>
          <w:lang w:val="es-CR"/>
        </w:rPr>
        <w:t xml:space="preserve">supra </w:t>
      </w:r>
      <w:r w:rsidRPr="00CD68BA">
        <w:rPr>
          <w:szCs w:val="16"/>
          <w:lang w:val="es-CR"/>
        </w:rPr>
        <w:t xml:space="preserve">(expediente de prueba, folio 7295). </w:t>
      </w:r>
    </w:p>
  </w:footnote>
  <w:footnote w:id="247">
    <w:p w14:paraId="2BC29A04" w14:textId="48244E19"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Peritaje </w:t>
      </w:r>
      <w:r w:rsidR="0082446F" w:rsidRPr="00CD68BA">
        <w:rPr>
          <w:szCs w:val="16"/>
          <w:lang w:val="es-CR"/>
        </w:rPr>
        <w:t xml:space="preserve">de </w:t>
      </w:r>
      <w:r w:rsidRPr="00CD68BA">
        <w:rPr>
          <w:szCs w:val="16"/>
          <w:lang w:val="es-CR"/>
        </w:rPr>
        <w:t>Carlos Eduardo Gaio</w:t>
      </w:r>
      <w:r w:rsidR="0082446F" w:rsidRPr="00CD68BA">
        <w:rPr>
          <w:szCs w:val="16"/>
          <w:lang w:val="es-CR"/>
        </w:rPr>
        <w:t xml:space="preserve">, </w:t>
      </w:r>
      <w:r w:rsidR="0082446F" w:rsidRPr="00CD68BA">
        <w:rPr>
          <w:i/>
          <w:iCs/>
          <w:szCs w:val="16"/>
          <w:lang w:val="es-CR"/>
        </w:rPr>
        <w:t xml:space="preserve">supra </w:t>
      </w:r>
      <w:r w:rsidRPr="00CD68BA">
        <w:rPr>
          <w:szCs w:val="16"/>
          <w:lang w:val="es-CR"/>
        </w:rPr>
        <w:t xml:space="preserve">(expediente de prueba, folio 7295). </w:t>
      </w:r>
    </w:p>
  </w:footnote>
  <w:footnote w:id="248">
    <w:p w14:paraId="639B57F4" w14:textId="31CB855E"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Peritaje </w:t>
      </w:r>
      <w:r w:rsidR="0082446F" w:rsidRPr="00CD68BA">
        <w:rPr>
          <w:szCs w:val="16"/>
          <w:lang w:val="es-CR"/>
        </w:rPr>
        <w:t>de</w:t>
      </w:r>
      <w:r w:rsidRPr="00CD68BA">
        <w:rPr>
          <w:szCs w:val="16"/>
          <w:lang w:val="es-CR"/>
        </w:rPr>
        <w:t xml:space="preserve"> Douglas Sampaio Franco durante la audiencia pública </w:t>
      </w:r>
      <w:r w:rsidR="0082446F" w:rsidRPr="00CD68BA">
        <w:rPr>
          <w:szCs w:val="16"/>
          <w:lang w:val="es-CR"/>
        </w:rPr>
        <w:t>del presente caso</w:t>
      </w:r>
      <w:r w:rsidRPr="00CD68BA">
        <w:rPr>
          <w:szCs w:val="16"/>
          <w:lang w:val="es-CR"/>
        </w:rPr>
        <w:t xml:space="preserve">, y Decreto </w:t>
      </w:r>
      <w:r w:rsidR="0082446F" w:rsidRPr="00CD68BA">
        <w:rPr>
          <w:szCs w:val="16"/>
          <w:lang w:val="es-CR"/>
        </w:rPr>
        <w:t>N</w:t>
      </w:r>
      <w:r w:rsidRPr="00CD68BA">
        <w:rPr>
          <w:szCs w:val="16"/>
          <w:lang w:val="es-CR"/>
        </w:rPr>
        <w:t xml:space="preserve">o. 6.044: “Política Nacional de Protección a los Defensores de los Derechos Humanos”, de 12 de febrero de 2007. Disponible en: </w:t>
      </w:r>
      <w:hyperlink r:id="rId23" w:history="1">
        <w:r w:rsidRPr="00CD68BA">
          <w:rPr>
            <w:rStyle w:val="Hipervnculo"/>
            <w:color w:val="auto"/>
            <w:szCs w:val="16"/>
            <w:lang w:val="es-CR"/>
          </w:rPr>
          <w:t>http://www.planalto.gov.br/ccivil_03/_ato2007-2010/2007/decreto/d6044.htm</w:t>
        </w:r>
      </w:hyperlink>
      <w:r w:rsidRPr="00CD68BA">
        <w:rPr>
          <w:szCs w:val="16"/>
          <w:lang w:val="es-CR"/>
        </w:rPr>
        <w:t>.</w:t>
      </w:r>
    </w:p>
  </w:footnote>
  <w:footnote w:id="249">
    <w:p w14:paraId="598A16F0" w14:textId="67C82915"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Decreto </w:t>
      </w:r>
      <w:r w:rsidR="0031363C" w:rsidRPr="00CD68BA">
        <w:rPr>
          <w:szCs w:val="16"/>
          <w:lang w:val="es-CR"/>
        </w:rPr>
        <w:t>N</w:t>
      </w:r>
      <w:r w:rsidRPr="00CD68BA">
        <w:rPr>
          <w:szCs w:val="16"/>
          <w:lang w:val="es-CR"/>
        </w:rPr>
        <w:t xml:space="preserve">o. 8.725: Política Nacional de Protección a los Defensores de los Derechos Humanos”, de 27 de abril de 2016. Disponible en: </w:t>
      </w:r>
      <w:hyperlink r:id="rId24" w:history="1">
        <w:r w:rsidRPr="00CD68BA">
          <w:rPr>
            <w:rStyle w:val="Hipervnculo"/>
            <w:color w:val="auto"/>
            <w:szCs w:val="16"/>
            <w:lang w:val="es-CR"/>
          </w:rPr>
          <w:t>http://www.planalto.gov.br/ccivil_03/_Ato2015-2018/2016/Decreto/D8724.htm</w:t>
        </w:r>
      </w:hyperlink>
      <w:r w:rsidRPr="00CD68BA">
        <w:rPr>
          <w:szCs w:val="16"/>
          <w:lang w:val="es-CR"/>
        </w:rPr>
        <w:t xml:space="preserve">. </w:t>
      </w:r>
    </w:p>
  </w:footnote>
  <w:footnote w:id="250">
    <w:p w14:paraId="219ED33A" w14:textId="04DD04D7"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Decreto </w:t>
      </w:r>
      <w:r w:rsidR="0031363C" w:rsidRPr="00CD68BA">
        <w:rPr>
          <w:szCs w:val="16"/>
          <w:lang w:val="es-CR"/>
        </w:rPr>
        <w:t>N</w:t>
      </w:r>
      <w:r w:rsidRPr="00CD68BA">
        <w:rPr>
          <w:szCs w:val="16"/>
          <w:lang w:val="es-CR"/>
        </w:rPr>
        <w:t xml:space="preserve">o. 9.937: “Programa de Protección a los Defensores de Derechos Humanos, Comunicadores e Ambientalistas y el Consejo Deliberativo del programa de Protección a los Defensores de los Derechos Humanos, Comunicadores e Ambientalistas en el ámbito del Ministerio de Mujer, de la Familia, y de los Derechos Humanos”, de 24 de julio de 2019. Disponible en: </w:t>
      </w:r>
      <w:hyperlink r:id="rId25" w:anchor="art11" w:history="1">
        <w:r w:rsidRPr="00CD68BA">
          <w:rPr>
            <w:rStyle w:val="Hipervnculo"/>
            <w:color w:val="auto"/>
            <w:szCs w:val="16"/>
            <w:lang w:val="es-CR"/>
          </w:rPr>
          <w:t>http://www.planalto.gov.br/ccivil_03/_Ato2019-2022/2019/Decreto/D9937.htm#art11</w:t>
        </w:r>
      </w:hyperlink>
      <w:r w:rsidR="003171CC" w:rsidRPr="00CD68BA">
        <w:rPr>
          <w:szCs w:val="16"/>
          <w:lang w:val="es-CR"/>
        </w:rPr>
        <w:t>.</w:t>
      </w:r>
    </w:p>
  </w:footnote>
  <w:footnote w:id="251">
    <w:p w14:paraId="651A09F8" w14:textId="204B37DC" w:rsidR="00D00698" w:rsidRPr="00CD68BA" w:rsidRDefault="00D00698" w:rsidP="00D12B21">
      <w:pPr>
        <w:pStyle w:val="Textonotapie"/>
        <w:spacing w:before="0" w:after="60"/>
        <w:rPr>
          <w:i/>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Peritaje </w:t>
      </w:r>
      <w:r w:rsidR="0031363C" w:rsidRPr="00CD68BA">
        <w:rPr>
          <w:szCs w:val="16"/>
          <w:lang w:val="es-CR"/>
        </w:rPr>
        <w:t>de</w:t>
      </w:r>
      <w:r w:rsidRPr="00CD68BA">
        <w:rPr>
          <w:szCs w:val="16"/>
          <w:lang w:val="es-CR"/>
        </w:rPr>
        <w:t xml:space="preserve"> Douglas Sampaio Franco durante la audiencia pública </w:t>
      </w:r>
      <w:r w:rsidR="0031363C" w:rsidRPr="00CD68BA">
        <w:rPr>
          <w:szCs w:val="16"/>
          <w:lang w:val="es-CR"/>
        </w:rPr>
        <w:t>del presente caso</w:t>
      </w:r>
      <w:r w:rsidRPr="00CD68BA">
        <w:rPr>
          <w:szCs w:val="16"/>
          <w:lang w:val="es-CR"/>
        </w:rPr>
        <w:t>.</w:t>
      </w:r>
    </w:p>
  </w:footnote>
  <w:footnote w:id="252">
    <w:p w14:paraId="32FD6E40" w14:textId="03C47FB0"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Desde ese entonces, se ha emitido, al menos, una decisión (</w:t>
      </w:r>
      <w:r w:rsidR="0031363C" w:rsidRPr="00CD68BA">
        <w:rPr>
          <w:szCs w:val="16"/>
          <w:lang w:val="es-CR"/>
        </w:rPr>
        <w:t>N</w:t>
      </w:r>
      <w:r w:rsidRPr="00CD68BA">
        <w:rPr>
          <w:szCs w:val="16"/>
          <w:lang w:val="es-CR"/>
        </w:rPr>
        <w:t xml:space="preserve">o. 507 de febrero 2022) que modificó su contenido. </w:t>
      </w:r>
      <w:r w:rsidRPr="00CD68BA">
        <w:rPr>
          <w:i/>
          <w:iCs/>
          <w:szCs w:val="16"/>
          <w:lang w:val="es-CR"/>
        </w:rPr>
        <w:t>Cfr</w:t>
      </w:r>
      <w:r w:rsidRPr="00CD68BA">
        <w:rPr>
          <w:szCs w:val="16"/>
          <w:lang w:val="es-CR"/>
        </w:rPr>
        <w:t>. Peritaje rendido por Douglas Sampaio Franco durante la audiencia pública</w:t>
      </w:r>
      <w:r w:rsidR="0031363C" w:rsidRPr="00CD68BA">
        <w:rPr>
          <w:szCs w:val="16"/>
          <w:lang w:val="es-CR"/>
        </w:rPr>
        <w:t xml:space="preserve"> del presente caso</w:t>
      </w:r>
      <w:r w:rsidRPr="00CD68BA">
        <w:rPr>
          <w:szCs w:val="16"/>
          <w:lang w:val="es-CR"/>
        </w:rPr>
        <w:t>.</w:t>
      </w:r>
    </w:p>
  </w:footnote>
  <w:footnote w:id="253">
    <w:p w14:paraId="3F7B4A18" w14:textId="77777777"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Comité Brasileño de Defensoras y Defensores de Derechos Humanos.</w:t>
      </w:r>
      <w:r w:rsidRPr="00CD68BA">
        <w:rPr>
          <w:i/>
          <w:iCs/>
          <w:szCs w:val="16"/>
          <w:lang w:val="es-CR"/>
        </w:rPr>
        <w:t xml:space="preserve"> </w:t>
      </w:r>
      <w:r w:rsidRPr="00CD68BA">
        <w:rPr>
          <w:szCs w:val="16"/>
          <w:lang w:val="es-CR"/>
        </w:rPr>
        <w:t>Vidas en lucha: criminalización y violencia contra defensoras y defensores de derechos humanos en Brasil en 2017. Río de Janeiro: Justicia Global, 2018 (expediente de prueba, folio 7147).</w:t>
      </w:r>
    </w:p>
  </w:footnote>
  <w:footnote w:id="254">
    <w:p w14:paraId="77D64113" w14:textId="0F6FFAC6"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xml:space="preserve">. Peritaje </w:t>
      </w:r>
      <w:r w:rsidR="00817AB5" w:rsidRPr="00CD68BA">
        <w:rPr>
          <w:szCs w:val="16"/>
          <w:lang w:val="es-CR"/>
        </w:rPr>
        <w:t>de</w:t>
      </w:r>
      <w:r w:rsidRPr="00CD68BA">
        <w:rPr>
          <w:szCs w:val="16"/>
          <w:lang w:val="es-CR"/>
        </w:rPr>
        <w:t xml:space="preserve"> Douglas Sampaio Franco durante la audiencia pública</w:t>
      </w:r>
      <w:r w:rsidR="00817AB5" w:rsidRPr="00CD68BA">
        <w:rPr>
          <w:szCs w:val="16"/>
          <w:lang w:val="es-CR"/>
        </w:rPr>
        <w:t xml:space="preserve"> del presente caso</w:t>
      </w:r>
      <w:r w:rsidRPr="00CD68BA">
        <w:rPr>
          <w:szCs w:val="16"/>
          <w:lang w:val="es-CR"/>
        </w:rPr>
        <w:t>.</w:t>
      </w:r>
    </w:p>
  </w:footnote>
  <w:footnote w:id="255">
    <w:p w14:paraId="718B653E" w14:textId="55F447C5"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szCs w:val="16"/>
          <w:lang w:val="es-CR"/>
        </w:rPr>
        <w:t xml:space="preserve">Escrito de </w:t>
      </w:r>
      <w:r w:rsidRPr="00CD68BA">
        <w:rPr>
          <w:i/>
          <w:iCs/>
          <w:szCs w:val="16"/>
          <w:lang w:val="es-CR"/>
        </w:rPr>
        <w:t>amicus curiae</w:t>
      </w:r>
      <w:r w:rsidRPr="00CD68BA">
        <w:rPr>
          <w:szCs w:val="16"/>
          <w:lang w:val="es-CR"/>
        </w:rPr>
        <w:t xml:space="preserve"> presentado por la Clínica de Derechos Humanos de la Universidad Federal de Bahía (expediente de prueba, folios 8234</w:t>
      </w:r>
      <w:r w:rsidR="001341D2" w:rsidRPr="00CD68BA">
        <w:rPr>
          <w:szCs w:val="16"/>
          <w:lang w:val="es-CR"/>
        </w:rPr>
        <w:t xml:space="preserve"> a </w:t>
      </w:r>
      <w:r w:rsidRPr="00CD68BA">
        <w:rPr>
          <w:szCs w:val="16"/>
          <w:lang w:val="es-CR"/>
        </w:rPr>
        <w:t>8235).</w:t>
      </w:r>
    </w:p>
  </w:footnote>
  <w:footnote w:id="256">
    <w:p w14:paraId="0BB7F8BB" w14:textId="17723DDA"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Comité Brasileño de Defensoras y Defensores de Derechos Humanos.</w:t>
      </w:r>
      <w:r w:rsidRPr="00CD68BA">
        <w:rPr>
          <w:i/>
          <w:iCs/>
          <w:szCs w:val="16"/>
          <w:lang w:val="es-CR"/>
        </w:rPr>
        <w:t xml:space="preserve"> </w:t>
      </w:r>
      <w:r w:rsidRPr="00CD68BA">
        <w:rPr>
          <w:szCs w:val="16"/>
          <w:lang w:val="es-CR"/>
        </w:rPr>
        <w:t>Vidas en lucha: criminalización y violencia contra defensoras y defensores de derechos humanos en Brasil en 2017. Río de Janeiro: Justicia Global, 2018 (expediente de prueba, folio 7117); Comité Brasileño de Defensoras y Defensores de Derechos Humanos. Vidas en lucha: criminalización y violencia contra defensoras y defensores de derechos humanos en Brasil. Período 2018-2020/1. Curitiba: Tierra de Derechos, 2020, p. 156</w:t>
      </w:r>
      <w:r w:rsidR="00817AB5" w:rsidRPr="00CD68BA">
        <w:rPr>
          <w:szCs w:val="16"/>
          <w:lang w:val="es-CR"/>
        </w:rPr>
        <w:t>. Disponible en</w:t>
      </w:r>
      <w:r w:rsidR="00817AB5" w:rsidRPr="00CD68BA">
        <w:rPr>
          <w:color w:val="000000" w:themeColor="text1"/>
          <w:szCs w:val="16"/>
          <w:lang w:val="es-CR"/>
        </w:rPr>
        <w:t xml:space="preserve">: </w:t>
      </w:r>
      <w:hyperlink r:id="rId26" w:history="1">
        <w:r w:rsidR="00817AB5" w:rsidRPr="00CD68BA">
          <w:rPr>
            <w:rStyle w:val="Hipervnculo"/>
            <w:color w:val="000000" w:themeColor="text1"/>
            <w:szCs w:val="16"/>
            <w:lang w:val="es-CR"/>
          </w:rPr>
          <w:t>https://terradedireitos.org.br/uploads/arquivos/Dossie-Vidas-em-Luta.pdf</w:t>
        </w:r>
      </w:hyperlink>
      <w:r w:rsidRPr="00CD68BA">
        <w:rPr>
          <w:szCs w:val="16"/>
          <w:lang w:val="es-CR"/>
        </w:rPr>
        <w:t>;</w:t>
      </w:r>
      <w:r w:rsidR="00817AB5" w:rsidRPr="00CD68BA">
        <w:rPr>
          <w:szCs w:val="16"/>
          <w:lang w:val="es-CR"/>
        </w:rPr>
        <w:t xml:space="preserve"> </w:t>
      </w:r>
      <w:r w:rsidRPr="00CD68BA">
        <w:rPr>
          <w:szCs w:val="16"/>
          <w:lang w:val="es-CR"/>
        </w:rPr>
        <w:t xml:space="preserve">Escrito de </w:t>
      </w:r>
      <w:r w:rsidRPr="00CD68BA">
        <w:rPr>
          <w:i/>
          <w:iCs/>
          <w:szCs w:val="16"/>
          <w:lang w:val="es-CR"/>
        </w:rPr>
        <w:t>amicus curiae</w:t>
      </w:r>
      <w:r w:rsidRPr="00CD68BA">
        <w:rPr>
          <w:szCs w:val="16"/>
          <w:lang w:val="es-CR"/>
        </w:rPr>
        <w:t xml:space="preserve"> presentado por la Clínica de Derechos Humanos y Derecho Ambiental de la Universidad del estado de Amazonas (expediente de prueba, folios 7812 a 7814), Escrito de </w:t>
      </w:r>
      <w:r w:rsidRPr="00CD68BA">
        <w:rPr>
          <w:i/>
          <w:iCs/>
          <w:szCs w:val="16"/>
          <w:lang w:val="es-CR"/>
        </w:rPr>
        <w:t>amicus curiae</w:t>
      </w:r>
      <w:r w:rsidRPr="00CD68BA">
        <w:rPr>
          <w:szCs w:val="16"/>
          <w:lang w:val="es-CR"/>
        </w:rPr>
        <w:t xml:space="preserve"> presentado por la Clínica de Derechos Humanos y Derecho Ambiental de la Universidad del estado de Amazonas (expediente de prueba, folio 6730).</w:t>
      </w:r>
    </w:p>
  </w:footnote>
  <w:footnote w:id="257">
    <w:p w14:paraId="2BCDE57E" w14:textId="6E493E1B" w:rsidR="00D00698" w:rsidRPr="00CD68BA" w:rsidRDefault="00D00698" w:rsidP="00D12B21">
      <w:pPr>
        <w:pStyle w:val="Textonotapie"/>
        <w:spacing w:before="0" w:after="60"/>
        <w:rPr>
          <w:i/>
          <w:iCs/>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w:t>
      </w:r>
      <w:r w:rsidRPr="00CD68BA">
        <w:rPr>
          <w:szCs w:val="16"/>
          <w:lang w:val="es-CR"/>
        </w:rPr>
        <w:t>. Comité Brasileño de Defensoras y Defensores de Derechos Humanos. Vidas en lucha: criminalización y violencia contra defensoras y defensores de derechos humanos en Brasil. Período 2018-2020/1</w:t>
      </w:r>
      <w:r w:rsidR="0031363C" w:rsidRPr="00CD68BA">
        <w:rPr>
          <w:szCs w:val="16"/>
          <w:lang w:val="es-CR"/>
        </w:rPr>
        <w:t xml:space="preserve">, </w:t>
      </w:r>
      <w:r w:rsidR="0031363C" w:rsidRPr="00CD68BA">
        <w:rPr>
          <w:i/>
          <w:iCs/>
          <w:szCs w:val="16"/>
          <w:lang w:val="es-CR"/>
        </w:rPr>
        <w:t>supra</w:t>
      </w:r>
      <w:r w:rsidRPr="00CD68BA">
        <w:rPr>
          <w:szCs w:val="16"/>
          <w:lang w:val="es-CR"/>
        </w:rPr>
        <w:t>, pp.153</w:t>
      </w:r>
      <w:r w:rsidR="00817AB5" w:rsidRPr="00CD68BA">
        <w:rPr>
          <w:szCs w:val="16"/>
          <w:lang w:val="es-CR"/>
        </w:rPr>
        <w:t xml:space="preserve"> y </w:t>
      </w:r>
      <w:r w:rsidRPr="00CD68BA">
        <w:rPr>
          <w:szCs w:val="16"/>
          <w:lang w:val="es-CR"/>
        </w:rPr>
        <w:t xml:space="preserve">154; </w:t>
      </w:r>
      <w:r w:rsidR="0031363C" w:rsidRPr="00CD68BA">
        <w:rPr>
          <w:szCs w:val="16"/>
          <w:lang w:val="es-CR"/>
        </w:rPr>
        <w:t>E</w:t>
      </w:r>
      <w:r w:rsidRPr="00CD68BA">
        <w:rPr>
          <w:szCs w:val="16"/>
          <w:lang w:val="es-CR"/>
        </w:rPr>
        <w:t xml:space="preserve">scrito de </w:t>
      </w:r>
      <w:r w:rsidRPr="00CD68BA">
        <w:rPr>
          <w:i/>
          <w:iCs/>
          <w:szCs w:val="16"/>
          <w:lang w:val="es-CR"/>
        </w:rPr>
        <w:t>amicus curiae</w:t>
      </w:r>
      <w:r w:rsidRPr="00CD68BA">
        <w:rPr>
          <w:szCs w:val="16"/>
          <w:lang w:val="es-CR"/>
        </w:rPr>
        <w:t xml:space="preserve"> presentado por la Clínica de Derechos Humanos de la Universidad Federal de Bahía (expediente de prueba, folio 8235).</w:t>
      </w:r>
    </w:p>
  </w:footnote>
  <w:footnote w:id="258">
    <w:p w14:paraId="2017AA35" w14:textId="64BE69DE" w:rsidR="00491D39" w:rsidRPr="00CD68BA" w:rsidRDefault="00491D39"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Comité Brasileño de Defensoras y Defensores de Derechos Humanos.</w:t>
      </w:r>
      <w:r w:rsidRPr="00CD68BA">
        <w:rPr>
          <w:i/>
          <w:iCs/>
          <w:szCs w:val="16"/>
          <w:lang w:val="es-CR"/>
        </w:rPr>
        <w:t xml:space="preserve"> </w:t>
      </w:r>
      <w:r w:rsidRPr="00CD68BA">
        <w:rPr>
          <w:szCs w:val="16"/>
          <w:lang w:val="es-CR"/>
        </w:rPr>
        <w:t>Vidas en lucha: criminalización y violencia contra defensoras y defensores de derechos humanos en Brasil e</w:t>
      </w:r>
      <w:r w:rsidR="0031363C" w:rsidRPr="00CD68BA">
        <w:rPr>
          <w:szCs w:val="16"/>
          <w:lang w:val="es-CR"/>
        </w:rPr>
        <w:t>n</w:t>
      </w:r>
      <w:r w:rsidRPr="00CD68BA">
        <w:rPr>
          <w:szCs w:val="16"/>
          <w:lang w:val="es-CR"/>
        </w:rPr>
        <w:t xml:space="preserve"> 2017</w:t>
      </w:r>
      <w:r w:rsidR="0031363C" w:rsidRPr="00CD68BA">
        <w:rPr>
          <w:szCs w:val="16"/>
          <w:lang w:val="es-CR"/>
        </w:rPr>
        <w:t xml:space="preserve">, </w:t>
      </w:r>
      <w:r w:rsidR="0031363C" w:rsidRPr="00CD68BA">
        <w:rPr>
          <w:i/>
          <w:iCs/>
          <w:szCs w:val="16"/>
          <w:lang w:val="es-CR"/>
        </w:rPr>
        <w:t xml:space="preserve">supra </w:t>
      </w:r>
      <w:r w:rsidRPr="00CD68BA">
        <w:rPr>
          <w:szCs w:val="16"/>
          <w:lang w:val="es-CR"/>
        </w:rPr>
        <w:t>(expediente de prueba, folio 7122).</w:t>
      </w:r>
    </w:p>
  </w:footnote>
  <w:footnote w:id="259">
    <w:p w14:paraId="6A165803" w14:textId="25BB073A" w:rsidR="00D00698" w:rsidRPr="00CD68BA" w:rsidRDefault="00D00698" w:rsidP="00D12B21">
      <w:pPr>
        <w:spacing w:before="0"/>
        <w:rPr>
          <w:i/>
          <w:iCs/>
          <w:sz w:val="16"/>
          <w:szCs w:val="16"/>
          <w:lang w:val="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Cfr. Caso Defensor de Derechos Humanos y otros Vs. Guatemala</w:t>
      </w:r>
      <w:r w:rsidR="000A665D" w:rsidRPr="00CD68BA">
        <w:rPr>
          <w:i/>
          <w:iCs/>
          <w:sz w:val="16"/>
          <w:szCs w:val="16"/>
          <w:lang w:val="es-CR"/>
        </w:rPr>
        <w:t>, supra,</w:t>
      </w:r>
      <w:r w:rsidRPr="00CD68BA">
        <w:rPr>
          <w:sz w:val="16"/>
          <w:szCs w:val="16"/>
          <w:lang w:val="es-CR"/>
        </w:rPr>
        <w:t xml:space="preserve"> párr. 263, y </w:t>
      </w:r>
      <w:r w:rsidRPr="00CD68BA">
        <w:rPr>
          <w:i/>
          <w:iCs/>
          <w:sz w:val="16"/>
          <w:szCs w:val="16"/>
          <w:lang w:val="es-CR"/>
        </w:rPr>
        <w:t>Caso Acosta y otros Vs. Nicaragua</w:t>
      </w:r>
      <w:r w:rsidR="000A665D" w:rsidRPr="00CD68BA">
        <w:rPr>
          <w:i/>
          <w:iCs/>
          <w:sz w:val="16"/>
          <w:szCs w:val="16"/>
          <w:lang w:val="es-CR"/>
        </w:rPr>
        <w:t>, supra</w:t>
      </w:r>
      <w:r w:rsidRPr="00CD68BA">
        <w:rPr>
          <w:sz w:val="16"/>
          <w:szCs w:val="16"/>
          <w:lang w:val="es-CR"/>
        </w:rPr>
        <w:t>, párr. 222.</w:t>
      </w:r>
    </w:p>
  </w:footnote>
  <w:footnote w:id="260">
    <w:p w14:paraId="763B50FD" w14:textId="270A2FF9" w:rsidR="00D00698" w:rsidRPr="00CD68BA" w:rsidRDefault="00D00698" w:rsidP="00D12B21">
      <w:pPr>
        <w:spacing w:before="0"/>
        <w:rPr>
          <w:rFonts w:eastAsia="Times New Roman" w:cs="Times New Roman"/>
          <w:sz w:val="16"/>
          <w:szCs w:val="16"/>
          <w:lang w:val="es-CR" w:eastAsia="es-CR"/>
        </w:rPr>
      </w:pPr>
      <w:r w:rsidRPr="00CD68BA">
        <w:rPr>
          <w:rStyle w:val="Refdenotaalpie"/>
          <w:sz w:val="16"/>
          <w:szCs w:val="16"/>
          <w:lang w:val="es-CR"/>
        </w:rPr>
        <w:footnoteRef/>
      </w:r>
      <w:r w:rsidRPr="00CD68BA">
        <w:rPr>
          <w:sz w:val="16"/>
          <w:szCs w:val="16"/>
          <w:lang w:val="es-CR"/>
        </w:rPr>
        <w:t xml:space="preserve"> </w:t>
      </w:r>
      <w:r w:rsidRPr="00CD68BA">
        <w:rPr>
          <w:sz w:val="16"/>
          <w:szCs w:val="16"/>
          <w:lang w:val="es-CR"/>
        </w:rPr>
        <w:tab/>
      </w:r>
      <w:r w:rsidRPr="00CD68BA">
        <w:rPr>
          <w:i/>
          <w:iCs/>
          <w:sz w:val="16"/>
          <w:szCs w:val="16"/>
          <w:lang w:val="es-CR"/>
        </w:rPr>
        <w:t xml:space="preserve">Cfr. Caso Azul Rojas Marín y otra Vs. Perú. </w:t>
      </w:r>
      <w:r w:rsidRPr="00CD68BA">
        <w:rPr>
          <w:rFonts w:eastAsia="Times New Roman" w:cs="Open Sans"/>
          <w:i/>
          <w:iCs/>
          <w:sz w:val="16"/>
          <w:szCs w:val="16"/>
          <w:shd w:val="clear" w:color="auto" w:fill="FFFFFF"/>
          <w:lang w:val="es-CR" w:eastAsia="es-CR"/>
        </w:rPr>
        <w:t>Excepciones Preliminares, Fondo, Reparaciones y Costas.</w:t>
      </w:r>
      <w:r w:rsidRPr="00CD68BA">
        <w:rPr>
          <w:rFonts w:eastAsia="Times New Roman" w:cs="Open Sans"/>
          <w:sz w:val="16"/>
          <w:szCs w:val="16"/>
          <w:shd w:val="clear" w:color="auto" w:fill="FFFFFF"/>
          <w:lang w:val="es-CR" w:eastAsia="es-CR"/>
        </w:rPr>
        <w:t xml:space="preserve"> Sentencia de 12 de marzo de 2020. Serie C No. 402</w:t>
      </w:r>
      <w:r w:rsidRPr="00CD68BA">
        <w:rPr>
          <w:sz w:val="16"/>
          <w:szCs w:val="16"/>
          <w:lang w:val="es-CR"/>
        </w:rPr>
        <w:t xml:space="preserve">, párr. 252, y </w:t>
      </w:r>
      <w:r w:rsidRPr="00CD68BA">
        <w:rPr>
          <w:rFonts w:cs="Open Sans"/>
          <w:i/>
          <w:iCs/>
          <w:sz w:val="16"/>
          <w:szCs w:val="16"/>
          <w:shd w:val="clear" w:color="auto" w:fill="FFFFFF"/>
          <w:lang w:val="es-CR"/>
        </w:rPr>
        <w:t xml:space="preserve">Caso Vicky Hernández y otras Vs. Honduras. Fondo, Reparaciones y Costas. </w:t>
      </w:r>
      <w:r w:rsidRPr="00CD68BA">
        <w:rPr>
          <w:rFonts w:cs="Open Sans"/>
          <w:sz w:val="16"/>
          <w:szCs w:val="16"/>
          <w:shd w:val="clear" w:color="auto" w:fill="FFFFFF"/>
          <w:lang w:val="es-CR"/>
        </w:rPr>
        <w:t xml:space="preserve">Sentencia de 26 de marzo de 2021. Serie C No. 422, </w:t>
      </w:r>
      <w:r w:rsidRPr="00CD68BA">
        <w:rPr>
          <w:sz w:val="16"/>
          <w:szCs w:val="16"/>
          <w:lang w:val="es-CR"/>
        </w:rPr>
        <w:t>párr. 179</w:t>
      </w:r>
      <w:r w:rsidR="00BF4271" w:rsidRPr="00CD68BA">
        <w:rPr>
          <w:sz w:val="16"/>
          <w:szCs w:val="16"/>
          <w:lang w:val="es-CR"/>
        </w:rPr>
        <w:t>.</w:t>
      </w:r>
    </w:p>
  </w:footnote>
  <w:footnote w:id="261">
    <w:p w14:paraId="57B628B5" w14:textId="1310FF5C" w:rsidR="005E3BD5" w:rsidRPr="00CD68BA" w:rsidRDefault="005E3BD5"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004E731B" w:rsidRPr="00CD68BA">
        <w:rPr>
          <w:szCs w:val="16"/>
          <w:lang w:val="es-CR"/>
        </w:rPr>
        <w:t>Véase, por ejemplo,</w:t>
      </w:r>
      <w:r w:rsidR="00C157C2" w:rsidRPr="00CD68BA">
        <w:rPr>
          <w:rFonts w:cs="Open Sans"/>
          <w:color w:val="494848"/>
          <w:szCs w:val="16"/>
          <w:shd w:val="clear" w:color="auto" w:fill="FFFFFF"/>
          <w:lang w:val="es-CR"/>
        </w:rPr>
        <w:t xml:space="preserve"> </w:t>
      </w:r>
      <w:r w:rsidR="00C157C2" w:rsidRPr="00CD68BA">
        <w:rPr>
          <w:i/>
          <w:iCs/>
          <w:szCs w:val="16"/>
          <w:lang w:val="es-CR"/>
        </w:rPr>
        <w:t xml:space="preserve">Caso Herzog y otros Vs. Brasil. Excepciones Preliminares, Fondo, Reparaciones y Costas. </w:t>
      </w:r>
      <w:r w:rsidR="00C157C2" w:rsidRPr="00CD68BA">
        <w:rPr>
          <w:szCs w:val="16"/>
          <w:lang w:val="es-CR"/>
        </w:rPr>
        <w:t>Sentencia de 15 de marzo de 2018. Serie C No. 353, párrs. 311 a 312;</w:t>
      </w:r>
      <w:r w:rsidR="004E731B" w:rsidRPr="00CD68BA">
        <w:rPr>
          <w:szCs w:val="16"/>
          <w:lang w:val="es-CR"/>
        </w:rPr>
        <w:t xml:space="preserve"> </w:t>
      </w:r>
      <w:r w:rsidR="004E731B" w:rsidRPr="00CD68BA">
        <w:rPr>
          <w:i/>
          <w:iCs/>
          <w:szCs w:val="16"/>
          <w:lang w:val="es-CR"/>
        </w:rPr>
        <w:t>Caso Empleados de la Fábrica de Fuegos en Santo Antônio de Jesus y sus familiares Vs. Brasil, supra</w:t>
      </w:r>
      <w:r w:rsidR="004E731B" w:rsidRPr="00CD68BA">
        <w:rPr>
          <w:iCs/>
          <w:szCs w:val="16"/>
          <w:lang w:val="es-CR"/>
        </w:rPr>
        <w:t xml:space="preserve">, </w:t>
      </w:r>
      <w:r w:rsidR="004E731B" w:rsidRPr="00CD68BA">
        <w:rPr>
          <w:szCs w:val="16"/>
          <w:lang w:val="es-CR"/>
        </w:rPr>
        <w:t>párr</w:t>
      </w:r>
      <w:r w:rsidR="00C157C2" w:rsidRPr="00CD68BA">
        <w:rPr>
          <w:szCs w:val="16"/>
          <w:lang w:val="es-CR"/>
        </w:rPr>
        <w:t>s. 230 a 231</w:t>
      </w:r>
      <w:r w:rsidR="004E731B" w:rsidRPr="00CD68BA">
        <w:rPr>
          <w:i/>
          <w:iCs/>
          <w:szCs w:val="16"/>
          <w:lang w:val="es-CR"/>
        </w:rPr>
        <w:t xml:space="preserve">, y </w:t>
      </w:r>
      <w:r w:rsidR="00A61C46" w:rsidRPr="00CD68BA">
        <w:rPr>
          <w:i/>
          <w:iCs/>
          <w:szCs w:val="16"/>
          <w:lang w:val="es-CR"/>
        </w:rPr>
        <w:t xml:space="preserve">Caso Barbosa de Souza y otros Vs. Brasil, supra, </w:t>
      </w:r>
      <w:r w:rsidR="00A61C46" w:rsidRPr="00CD68BA">
        <w:rPr>
          <w:szCs w:val="16"/>
          <w:lang w:val="es-CR"/>
        </w:rPr>
        <w:t>párr. 12</w:t>
      </w:r>
      <w:r w:rsidR="004E731B" w:rsidRPr="00CD68BA">
        <w:rPr>
          <w:szCs w:val="16"/>
          <w:lang w:val="es-CR"/>
        </w:rPr>
        <w:t>1 a 123</w:t>
      </w:r>
      <w:r w:rsidR="00380571" w:rsidRPr="00CD68BA">
        <w:rPr>
          <w:szCs w:val="16"/>
          <w:lang w:val="es-CR"/>
        </w:rPr>
        <w:t>.</w:t>
      </w:r>
    </w:p>
  </w:footnote>
  <w:footnote w:id="262">
    <w:p w14:paraId="78017760" w14:textId="5D94DD4F" w:rsidR="00287391" w:rsidRPr="00CD68BA" w:rsidRDefault="00287391"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00037EEB" w:rsidRPr="00CD68BA">
        <w:rPr>
          <w:szCs w:val="16"/>
          <w:lang w:val="es-CR"/>
        </w:rPr>
        <w:tab/>
      </w:r>
      <w:r w:rsidR="00717BC3" w:rsidRPr="00CD68BA">
        <w:rPr>
          <w:szCs w:val="16"/>
          <w:lang w:val="es-CR"/>
        </w:rPr>
        <w:t xml:space="preserve">Artículo </w:t>
      </w:r>
      <w:r w:rsidR="0014779E" w:rsidRPr="00CD68BA">
        <w:rPr>
          <w:szCs w:val="16"/>
          <w:lang w:val="es-CR"/>
        </w:rPr>
        <w:t xml:space="preserve">68 de </w:t>
      </w:r>
      <w:r w:rsidR="00717BC3" w:rsidRPr="00CD68BA">
        <w:rPr>
          <w:szCs w:val="16"/>
          <w:lang w:val="es-CR"/>
        </w:rPr>
        <w:t>la Convención Americana</w:t>
      </w:r>
      <w:r w:rsidR="0014779E" w:rsidRPr="00CD68BA">
        <w:rPr>
          <w:szCs w:val="16"/>
          <w:lang w:val="es-CR"/>
        </w:rPr>
        <w:t>.</w:t>
      </w:r>
    </w:p>
  </w:footnote>
  <w:footnote w:id="263">
    <w:p w14:paraId="7A8EE9CE" w14:textId="2E30C68E" w:rsidR="00287391" w:rsidRPr="00CD68BA" w:rsidRDefault="00287391"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 xml:space="preserve">Algunos países de la región cuentan con ciertos tipos de mecanismos que permiten reabrir procesos judiciales con sentencia firme, con base en decisiones de organismos internacionales. A modo de ejemplo, en Colombia, el Código de Procedimiento Penal (Ley 906 de 2004) señala en su artículo 192 que la acción de revisión procede “(…) Cuando después del fallo en procesos por violaciones de derechos humanos o infracciones graves al derecho internacional humanitario, se establezca mediante decisión de una instancia internacional de supervisión y control de derechos humanos, respecto de la cual el Estado colombiano ha aceptado formalmente la competencia, un incumplimiento protuberante de las obligaciones del Estado de investigar seria e imparcialmente tales violaciones. En este caso no será necesario acreditar la existencia de hecho nuevo o prueba no conocida al tiempo de los debates”. (disponible en </w:t>
      </w:r>
      <w:hyperlink r:id="rId27" w:history="1">
        <w:r w:rsidRPr="00CD68BA">
          <w:rPr>
            <w:rStyle w:val="Hipervnculo"/>
            <w:color w:val="auto"/>
            <w:szCs w:val="16"/>
            <w:lang w:val="es-CR"/>
          </w:rPr>
          <w:t>https://leyes.co/codigo_de_procedimiento_penal/192.htm</w:t>
        </w:r>
      </w:hyperlink>
      <w:r w:rsidRPr="00CD68BA">
        <w:rPr>
          <w:szCs w:val="16"/>
          <w:lang w:val="es-CR"/>
        </w:rPr>
        <w:t xml:space="preserve">) A su vez, en Perú, el artículo 123 del Código Procesal Constitucional prevé que las “resoluciones de los organismos jurisdiccionales a cuya competencia se haya sometido expresamente el Estado peruano no requieren, para su validez y eficacia, de reconocimiento, revisión, ni examen previo alguno. Dichas resoluciones son comunicadas por el Ministerio de Relaciones Exteriores, al presidente del Poder Judicial, quien, a su vez, las remite al Tribunal donde se agotó la jurisdicción interna y dispone su ejecución por el juez competente, de conformidad con lo previsto en las leyes que regulan el procedimiento de ejecución de sentencias emitidas por tribunales supranacionales”. (disponible en </w:t>
      </w:r>
      <w:hyperlink r:id="rId28" w:history="1">
        <w:r w:rsidRPr="00CD68BA">
          <w:rPr>
            <w:rStyle w:val="Hipervnculo"/>
            <w:color w:val="auto"/>
            <w:szCs w:val="16"/>
            <w:lang w:val="es-CR"/>
          </w:rPr>
          <w:t>https://busquedas.elperuano.pe/normaslegales/nuevo-codigo-procesal-constitucional-ley-no-31307-1975873-2/</w:t>
        </w:r>
      </w:hyperlink>
      <w:r w:rsidRPr="00CD68BA">
        <w:rPr>
          <w:szCs w:val="16"/>
          <w:lang w:val="es-CR"/>
        </w:rPr>
        <w:t xml:space="preserve">). En el continente europeo también se observa que el ordenamiento jurídico de algunos países, como los de España y Francia, por ejemplo, contienen disposiciones que permiten el reexamen de una sentencia penal firme a raíz de una sentencia del Tribunal Europeo de Derechos Humanos. En este sentido, el artículo 5 bis de la Ley Orgánica del Poder Judicial </w:t>
      </w:r>
      <w:r w:rsidR="00C77CE4" w:rsidRPr="00CD68BA">
        <w:rPr>
          <w:szCs w:val="16"/>
          <w:lang w:val="es-CR"/>
        </w:rPr>
        <w:t xml:space="preserve">Español </w:t>
      </w:r>
      <w:r w:rsidRPr="00CD68BA">
        <w:rPr>
          <w:szCs w:val="16"/>
          <w:lang w:val="es-CR"/>
        </w:rPr>
        <w:t xml:space="preserve">dispone que “[s]e podrá interponer recurso de revisión ante el Tribunal Supremo contra una resolución judicial firme, con arreglo a las normas procesales de cada orden jurisdiccional, cuando el Tribunal Europeo de Derechos Humanos haya declarado que dicha resolución ha sido dictada en violación de alguno de los derechos reconocidos en el Convenio Europeo para la Protección de los Derechos Humanos y Libertades Fundamentales y sus Protocolos, siempre que la violación, por su naturaleza y gravedad, entrañe efectos que persistan y no puedan cesar de ningún otro modo que no sea mediante esta revisión” (disponible en </w:t>
      </w:r>
      <w:hyperlink r:id="rId29" w:history="1">
        <w:r w:rsidR="00C95BBA" w:rsidRPr="00CD68BA">
          <w:rPr>
            <w:rStyle w:val="Hipervnculo"/>
            <w:color w:val="auto"/>
            <w:szCs w:val="16"/>
            <w:lang w:val="es-CR"/>
          </w:rPr>
          <w:t>https://www.boe.es/buscar/act.php?id=BOE-A-1985-12666</w:t>
        </w:r>
      </w:hyperlink>
      <w:r w:rsidRPr="00CD68BA">
        <w:rPr>
          <w:szCs w:val="16"/>
          <w:lang w:val="es-CR"/>
        </w:rPr>
        <w:t>)</w:t>
      </w:r>
      <w:r w:rsidR="00C95BBA" w:rsidRPr="00CD68BA">
        <w:rPr>
          <w:szCs w:val="16"/>
          <w:lang w:val="es-CR"/>
        </w:rPr>
        <w:t xml:space="preserve">. </w:t>
      </w:r>
      <w:r w:rsidRPr="00CD68BA">
        <w:rPr>
          <w:szCs w:val="16"/>
          <w:lang w:val="es-CR"/>
        </w:rPr>
        <w:t>En esta línea, el artículo 622-1 del Código de Procedimiento Penal de Francia establece que puede solicitarse “el reexamen de una decisión penal firme en beneficio de cualquier persona declarada culpable de un delito cuando se desprenda de una sentencia dictada por el Tribunal Europeo de Derechos Humanos […]”</w:t>
      </w:r>
      <w:r w:rsidR="00C95BBA" w:rsidRPr="00CD68BA">
        <w:rPr>
          <w:szCs w:val="16"/>
          <w:lang w:val="es-CR"/>
        </w:rPr>
        <w:t xml:space="preserve"> </w:t>
      </w:r>
      <w:r w:rsidRPr="00CD68BA">
        <w:rPr>
          <w:szCs w:val="16"/>
          <w:lang w:val="es-CR"/>
        </w:rPr>
        <w:t xml:space="preserve">(disponible en </w:t>
      </w:r>
      <w:hyperlink r:id="rId30" w:anchor="LEGISCTA000029122011" w:history="1">
        <w:r w:rsidR="00C95BBA" w:rsidRPr="00CD68BA">
          <w:rPr>
            <w:rStyle w:val="Hipervnculo"/>
            <w:color w:val="auto"/>
            <w:szCs w:val="16"/>
            <w:lang w:val="es-CR"/>
          </w:rPr>
          <w:t>https://www.legifrance.gouv.fr/codes/section_lc/LEGITEXT000006071154/LEGISCTA000006138099/#LEGISCTA000029122011</w:t>
        </w:r>
      </w:hyperlink>
      <w:r w:rsidRPr="00CD68BA">
        <w:rPr>
          <w:szCs w:val="16"/>
          <w:lang w:val="es-CR"/>
        </w:rPr>
        <w:t>)</w:t>
      </w:r>
      <w:r w:rsidR="00C95BBA" w:rsidRPr="00CD68BA">
        <w:rPr>
          <w:szCs w:val="16"/>
          <w:lang w:val="es-CR"/>
        </w:rPr>
        <w:t>.</w:t>
      </w:r>
      <w:r w:rsidR="00BB59F3" w:rsidRPr="00CD68BA">
        <w:rPr>
          <w:szCs w:val="16"/>
          <w:lang w:val="es-CR"/>
        </w:rPr>
        <w:t xml:space="preserve"> Asimismo, el Código de Procedimiento Alemán establece en su artículo 359 que la “reapertura del proceso concluido por sentencia firme será admisible en favor del condenado”, cuando, entre otros: “si el Tribunal Europeo de Derechos Humanos ha declarado que ha habido una violación del Convenio Europeo para la Protección de los Derechos Humanos y las Libertades Fundamentales o de sus Protocolos y la sentencia se basó en esa violación”. Disponible en: </w:t>
      </w:r>
      <w:hyperlink r:id="rId31" w:history="1">
        <w:r w:rsidR="00BB59F3" w:rsidRPr="00CD68BA">
          <w:rPr>
            <w:rStyle w:val="Hipervnculo"/>
            <w:color w:val="000000" w:themeColor="text1"/>
            <w:szCs w:val="16"/>
            <w:lang w:val="es-CR"/>
          </w:rPr>
          <w:t>https://www.gesetze-im-internet.de/englisch_stpo/englisch_stpo.html</w:t>
        </w:r>
      </w:hyperlink>
      <w:r w:rsidR="00BB59F3" w:rsidRPr="00CD68BA">
        <w:rPr>
          <w:color w:val="000000" w:themeColor="text1"/>
          <w:szCs w:val="16"/>
          <w:lang w:val="es-CR"/>
        </w:rPr>
        <w:t xml:space="preserve">. </w:t>
      </w:r>
    </w:p>
  </w:footnote>
  <w:footnote w:id="264">
    <w:p w14:paraId="5C9EFB4F" w14:textId="0E21243F" w:rsidR="00D00698" w:rsidRPr="00CD68BA" w:rsidRDefault="00D00698"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Las demás medidas solicitadas (</w:t>
      </w:r>
      <w:r w:rsidRPr="00CD68BA">
        <w:rPr>
          <w:i/>
          <w:iCs/>
          <w:szCs w:val="16"/>
          <w:lang w:val="es-CR"/>
        </w:rPr>
        <w:t>supra</w:t>
      </w:r>
      <w:r w:rsidRPr="00CD68BA">
        <w:rPr>
          <w:szCs w:val="16"/>
          <w:lang w:val="es-CR"/>
        </w:rPr>
        <w:t xml:space="preserve"> párr. </w:t>
      </w:r>
      <w:r w:rsidR="00000CE5" w:rsidRPr="00CD68BA">
        <w:rPr>
          <w:szCs w:val="16"/>
          <w:lang w:val="es-CR"/>
        </w:rPr>
        <w:t>167</w:t>
      </w:r>
      <w:r w:rsidRPr="00CD68BA">
        <w:rPr>
          <w:szCs w:val="16"/>
          <w:lang w:val="es-CR"/>
        </w:rPr>
        <w:t>) fueron: i) crear unidades especializadas dentro de los Ministerios Públicos, a nivel estatal y federal, ii) crear la “Comisión para enfrentar la Violencia contra los Defensores y Defensoras de Derechos Humanos” que tenga una composición plural y, cuyos casos y actividades sean divulgados, y iii) un diagnóstico independiente, serio y efectivo de la situación de los defensores de derechos humanos en el contexto de los conflictos sobre tierras.</w:t>
      </w:r>
    </w:p>
  </w:footnote>
  <w:footnote w:id="265">
    <w:p w14:paraId="05EDEFAB" w14:textId="28F1641F" w:rsidR="00911A8F" w:rsidRPr="00CD68BA" w:rsidRDefault="00911A8F"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 Caso Bámaca</w:t>
      </w:r>
      <w:r w:rsidRPr="00CD68BA">
        <w:rPr>
          <w:i/>
          <w:spacing w:val="-1"/>
          <w:szCs w:val="16"/>
          <w:lang w:val="es-CR"/>
        </w:rPr>
        <w:t xml:space="preserve"> </w:t>
      </w:r>
      <w:r w:rsidRPr="00CD68BA">
        <w:rPr>
          <w:i/>
          <w:szCs w:val="16"/>
          <w:lang w:val="es-CR"/>
        </w:rPr>
        <w:t>Velásquez</w:t>
      </w:r>
      <w:r w:rsidRPr="00CD68BA">
        <w:rPr>
          <w:i/>
          <w:spacing w:val="-1"/>
          <w:szCs w:val="16"/>
          <w:lang w:val="es-CR"/>
        </w:rPr>
        <w:t xml:space="preserve"> </w:t>
      </w:r>
      <w:r w:rsidRPr="00CD68BA">
        <w:rPr>
          <w:i/>
          <w:szCs w:val="16"/>
          <w:lang w:val="es-CR"/>
        </w:rPr>
        <w:t>Vs. Guatemala. Reparaciones y Costas</w:t>
      </w:r>
      <w:r w:rsidRPr="00CD68BA">
        <w:rPr>
          <w:szCs w:val="16"/>
          <w:lang w:val="es-CR"/>
        </w:rPr>
        <w:t>.</w:t>
      </w:r>
      <w:r w:rsidRPr="00CD68BA">
        <w:rPr>
          <w:spacing w:val="-1"/>
          <w:szCs w:val="16"/>
          <w:lang w:val="es-CR"/>
        </w:rPr>
        <w:t xml:space="preserve"> </w:t>
      </w:r>
      <w:r w:rsidRPr="00CD68BA">
        <w:rPr>
          <w:szCs w:val="16"/>
          <w:lang w:val="es-CR"/>
        </w:rPr>
        <w:t>Sentencia de 22 de febrero de 2002.Serie</w:t>
      </w:r>
      <w:r w:rsidRPr="00CD68BA">
        <w:rPr>
          <w:spacing w:val="-7"/>
          <w:szCs w:val="16"/>
          <w:lang w:val="es-CR"/>
        </w:rPr>
        <w:t xml:space="preserve"> </w:t>
      </w:r>
      <w:r w:rsidRPr="00CD68BA">
        <w:rPr>
          <w:szCs w:val="16"/>
          <w:lang w:val="es-CR"/>
        </w:rPr>
        <w:t>C</w:t>
      </w:r>
      <w:r w:rsidRPr="00CD68BA">
        <w:rPr>
          <w:spacing w:val="-7"/>
          <w:szCs w:val="16"/>
          <w:lang w:val="es-CR"/>
        </w:rPr>
        <w:t xml:space="preserve"> </w:t>
      </w:r>
      <w:r w:rsidRPr="00CD68BA">
        <w:rPr>
          <w:szCs w:val="16"/>
          <w:lang w:val="es-CR"/>
        </w:rPr>
        <w:t xml:space="preserve">No. 91, párr. 43, y </w:t>
      </w:r>
      <w:r w:rsidRPr="00CD68BA">
        <w:rPr>
          <w:rFonts w:cs="Open Sans"/>
          <w:i/>
          <w:iCs/>
          <w:szCs w:val="16"/>
          <w:shd w:val="clear" w:color="auto" w:fill="FFFFFF"/>
          <w:lang w:val="es-CR"/>
        </w:rPr>
        <w:t>Caso Pavez Pavez Vs. Chile</w:t>
      </w:r>
      <w:r w:rsidR="00380571" w:rsidRPr="00CD68BA">
        <w:rPr>
          <w:rFonts w:cs="Open Sans"/>
          <w:i/>
          <w:iCs/>
          <w:szCs w:val="16"/>
          <w:shd w:val="clear" w:color="auto" w:fill="FFFFFF"/>
          <w:lang w:val="es-CR"/>
        </w:rPr>
        <w:t>, supra</w:t>
      </w:r>
      <w:r w:rsidRPr="00CD68BA">
        <w:rPr>
          <w:rFonts w:cs="Open Sans"/>
          <w:szCs w:val="16"/>
          <w:shd w:val="clear" w:color="auto" w:fill="FFFFFF"/>
          <w:lang w:val="es-CR"/>
        </w:rPr>
        <w:t>, párr. 192.</w:t>
      </w:r>
    </w:p>
  </w:footnote>
  <w:footnote w:id="266">
    <w:p w14:paraId="141023D4" w14:textId="7D65AEDF" w:rsidR="00911A8F" w:rsidRPr="00CD68BA" w:rsidRDefault="00911A8F"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 xml:space="preserve">Cfr. </w:t>
      </w:r>
      <w:r w:rsidRPr="00CD68BA">
        <w:rPr>
          <w:i/>
          <w:szCs w:val="16"/>
          <w:lang w:val="es-CR"/>
        </w:rPr>
        <w:t>Caso</w:t>
      </w:r>
      <w:r w:rsidRPr="00CD68BA">
        <w:rPr>
          <w:i/>
          <w:spacing w:val="-2"/>
          <w:szCs w:val="16"/>
          <w:lang w:val="es-CR"/>
        </w:rPr>
        <w:t xml:space="preserve"> </w:t>
      </w:r>
      <w:r w:rsidRPr="00CD68BA">
        <w:rPr>
          <w:i/>
          <w:szCs w:val="16"/>
          <w:lang w:val="es-CR"/>
        </w:rPr>
        <w:t>de</w:t>
      </w:r>
      <w:r w:rsidRPr="00CD68BA">
        <w:rPr>
          <w:i/>
          <w:spacing w:val="-2"/>
          <w:szCs w:val="16"/>
          <w:lang w:val="es-CR"/>
        </w:rPr>
        <w:t xml:space="preserve"> </w:t>
      </w:r>
      <w:r w:rsidRPr="00CD68BA">
        <w:rPr>
          <w:i/>
          <w:szCs w:val="16"/>
          <w:lang w:val="es-CR"/>
        </w:rPr>
        <w:t>los</w:t>
      </w:r>
      <w:r w:rsidRPr="00CD68BA">
        <w:rPr>
          <w:i/>
          <w:spacing w:val="-2"/>
          <w:szCs w:val="16"/>
          <w:lang w:val="es-CR"/>
        </w:rPr>
        <w:t xml:space="preserve"> </w:t>
      </w:r>
      <w:r w:rsidRPr="00CD68BA">
        <w:rPr>
          <w:i/>
          <w:szCs w:val="16"/>
          <w:lang w:val="es-CR"/>
        </w:rPr>
        <w:t>“Niños</w:t>
      </w:r>
      <w:r w:rsidRPr="00CD68BA">
        <w:rPr>
          <w:i/>
          <w:spacing w:val="-2"/>
          <w:szCs w:val="16"/>
          <w:lang w:val="es-CR"/>
        </w:rPr>
        <w:t xml:space="preserve"> </w:t>
      </w:r>
      <w:r w:rsidRPr="00CD68BA">
        <w:rPr>
          <w:i/>
          <w:szCs w:val="16"/>
          <w:lang w:val="es-CR"/>
        </w:rPr>
        <w:t>de</w:t>
      </w:r>
      <w:r w:rsidRPr="00CD68BA">
        <w:rPr>
          <w:i/>
          <w:spacing w:val="-2"/>
          <w:szCs w:val="16"/>
          <w:lang w:val="es-CR"/>
        </w:rPr>
        <w:t xml:space="preserve"> </w:t>
      </w:r>
      <w:r w:rsidRPr="00CD68BA">
        <w:rPr>
          <w:i/>
          <w:szCs w:val="16"/>
          <w:lang w:val="es-CR"/>
        </w:rPr>
        <w:t>la</w:t>
      </w:r>
      <w:r w:rsidRPr="00CD68BA">
        <w:rPr>
          <w:i/>
          <w:spacing w:val="-3"/>
          <w:szCs w:val="16"/>
          <w:lang w:val="es-CR"/>
        </w:rPr>
        <w:t xml:space="preserve"> </w:t>
      </w:r>
      <w:r w:rsidRPr="00CD68BA">
        <w:rPr>
          <w:i/>
          <w:szCs w:val="16"/>
          <w:lang w:val="es-CR"/>
        </w:rPr>
        <w:t>Calle” (Villagrán</w:t>
      </w:r>
      <w:r w:rsidRPr="00CD68BA">
        <w:rPr>
          <w:i/>
          <w:spacing w:val="-6"/>
          <w:szCs w:val="16"/>
          <w:lang w:val="es-CR"/>
        </w:rPr>
        <w:t xml:space="preserve"> </w:t>
      </w:r>
      <w:r w:rsidRPr="00CD68BA">
        <w:rPr>
          <w:i/>
          <w:szCs w:val="16"/>
          <w:lang w:val="es-CR"/>
        </w:rPr>
        <w:t>Morales</w:t>
      </w:r>
      <w:r w:rsidRPr="00CD68BA">
        <w:rPr>
          <w:i/>
          <w:spacing w:val="-2"/>
          <w:szCs w:val="16"/>
          <w:lang w:val="es-CR"/>
        </w:rPr>
        <w:t xml:space="preserve"> </w:t>
      </w:r>
      <w:r w:rsidRPr="00CD68BA">
        <w:rPr>
          <w:i/>
          <w:szCs w:val="16"/>
          <w:lang w:val="es-CR"/>
        </w:rPr>
        <w:t>y</w:t>
      </w:r>
      <w:r w:rsidRPr="00CD68BA">
        <w:rPr>
          <w:i/>
          <w:spacing w:val="-2"/>
          <w:szCs w:val="16"/>
          <w:lang w:val="es-CR"/>
        </w:rPr>
        <w:t xml:space="preserve"> </w:t>
      </w:r>
      <w:r w:rsidRPr="00CD68BA">
        <w:rPr>
          <w:i/>
          <w:szCs w:val="16"/>
          <w:lang w:val="es-CR"/>
        </w:rPr>
        <w:t>otros)</w:t>
      </w:r>
      <w:r w:rsidRPr="00CD68BA">
        <w:rPr>
          <w:i/>
          <w:spacing w:val="-4"/>
          <w:szCs w:val="16"/>
          <w:lang w:val="es-CR"/>
        </w:rPr>
        <w:t xml:space="preserve"> </w:t>
      </w:r>
      <w:r w:rsidRPr="00CD68BA">
        <w:rPr>
          <w:i/>
          <w:szCs w:val="16"/>
          <w:lang w:val="es-CR"/>
        </w:rPr>
        <w:t>Vs.</w:t>
      </w:r>
      <w:r w:rsidRPr="00CD68BA">
        <w:rPr>
          <w:i/>
          <w:spacing w:val="-1"/>
          <w:szCs w:val="16"/>
          <w:lang w:val="es-CR"/>
        </w:rPr>
        <w:t xml:space="preserve"> </w:t>
      </w:r>
      <w:r w:rsidRPr="00CD68BA">
        <w:rPr>
          <w:i/>
          <w:szCs w:val="16"/>
          <w:lang w:val="es-CR"/>
        </w:rPr>
        <w:t>Guatemala.</w:t>
      </w:r>
      <w:r w:rsidRPr="00CD68BA">
        <w:rPr>
          <w:i/>
          <w:spacing w:val="-3"/>
          <w:szCs w:val="16"/>
          <w:lang w:val="es-CR"/>
        </w:rPr>
        <w:t xml:space="preserve"> </w:t>
      </w:r>
      <w:r w:rsidRPr="00CD68BA">
        <w:rPr>
          <w:i/>
          <w:szCs w:val="16"/>
          <w:lang w:val="es-CR"/>
        </w:rPr>
        <w:t>Reparaciones</w:t>
      </w:r>
      <w:r w:rsidRPr="00CD68BA">
        <w:rPr>
          <w:i/>
          <w:spacing w:val="-2"/>
          <w:szCs w:val="16"/>
          <w:lang w:val="es-CR"/>
        </w:rPr>
        <w:t xml:space="preserve"> </w:t>
      </w:r>
      <w:r w:rsidRPr="00CD68BA">
        <w:rPr>
          <w:i/>
          <w:szCs w:val="16"/>
          <w:lang w:val="es-CR"/>
        </w:rPr>
        <w:t>y</w:t>
      </w:r>
      <w:r w:rsidRPr="00CD68BA">
        <w:rPr>
          <w:i/>
          <w:spacing w:val="-2"/>
          <w:szCs w:val="16"/>
          <w:lang w:val="es-CR"/>
        </w:rPr>
        <w:t xml:space="preserve"> </w:t>
      </w:r>
      <w:r w:rsidRPr="00CD68BA">
        <w:rPr>
          <w:i/>
          <w:szCs w:val="16"/>
          <w:lang w:val="es-CR"/>
        </w:rPr>
        <w:t xml:space="preserve">Costas. </w:t>
      </w:r>
      <w:r w:rsidRPr="00CD68BA">
        <w:rPr>
          <w:rFonts w:cs="Open Sans"/>
          <w:szCs w:val="16"/>
          <w:shd w:val="clear" w:color="auto" w:fill="FFFFFF"/>
          <w:lang w:val="es-CR"/>
        </w:rPr>
        <w:t>Sentencia de 26 de mayo de 2001. Serie C No. 77</w:t>
      </w:r>
      <w:r w:rsidRPr="00CD68BA">
        <w:rPr>
          <w:szCs w:val="16"/>
          <w:lang w:val="es-CR"/>
        </w:rPr>
        <w:t>,</w:t>
      </w:r>
      <w:r w:rsidRPr="00CD68BA">
        <w:rPr>
          <w:spacing w:val="-1"/>
          <w:szCs w:val="16"/>
          <w:lang w:val="es-CR"/>
        </w:rPr>
        <w:t xml:space="preserve"> </w:t>
      </w:r>
      <w:r w:rsidRPr="00CD68BA">
        <w:rPr>
          <w:szCs w:val="16"/>
          <w:lang w:val="es-CR"/>
        </w:rPr>
        <w:t xml:space="preserve">párr. 84, y </w:t>
      </w:r>
      <w:r w:rsidRPr="00CD68BA">
        <w:rPr>
          <w:rFonts w:cs="Open Sans"/>
          <w:i/>
          <w:iCs/>
          <w:szCs w:val="16"/>
          <w:shd w:val="clear" w:color="auto" w:fill="FFFFFF"/>
          <w:lang w:val="es-CR"/>
        </w:rPr>
        <w:t>Caso Pavez Pavez Vs. Chile</w:t>
      </w:r>
      <w:r w:rsidR="00027C19" w:rsidRPr="00CD68BA">
        <w:rPr>
          <w:rFonts w:cs="Open Sans"/>
          <w:i/>
          <w:iCs/>
          <w:szCs w:val="16"/>
          <w:shd w:val="clear" w:color="auto" w:fill="FFFFFF"/>
          <w:lang w:val="es-CR"/>
        </w:rPr>
        <w:t>, supra</w:t>
      </w:r>
      <w:r w:rsidRPr="00CD68BA">
        <w:rPr>
          <w:rFonts w:cs="Open Sans"/>
          <w:szCs w:val="16"/>
          <w:shd w:val="clear" w:color="auto" w:fill="FFFFFF"/>
          <w:lang w:val="es-CR"/>
        </w:rPr>
        <w:t>, párr. 197.</w:t>
      </w:r>
    </w:p>
  </w:footnote>
  <w:footnote w:id="267">
    <w:p w14:paraId="4A3B320A" w14:textId="342B8EAB" w:rsidR="00911A8F" w:rsidRPr="00CD68BA" w:rsidRDefault="00911A8F"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szCs w:val="16"/>
          <w:lang w:val="es-CR"/>
        </w:rPr>
        <w:t>Cfr</w:t>
      </w:r>
      <w:r w:rsidRPr="00CD68BA">
        <w:rPr>
          <w:szCs w:val="16"/>
          <w:lang w:val="es-CR"/>
        </w:rPr>
        <w:t xml:space="preserve">. Caso Cantoral Benavides Vs. Perú. Reparaciones y Costas, supra, párr. 53, y </w:t>
      </w:r>
      <w:r w:rsidRPr="00CD68BA">
        <w:rPr>
          <w:rFonts w:cs="Open Sans"/>
          <w:i/>
          <w:iCs/>
          <w:szCs w:val="16"/>
          <w:shd w:val="clear" w:color="auto" w:fill="FFFFFF"/>
          <w:lang w:val="es-CR"/>
        </w:rPr>
        <w:t>Caso Pavez Pavez Vs. Chile</w:t>
      </w:r>
      <w:r w:rsidR="00027C19" w:rsidRPr="00CD68BA">
        <w:rPr>
          <w:rFonts w:cs="Open Sans"/>
          <w:i/>
          <w:iCs/>
          <w:szCs w:val="16"/>
          <w:shd w:val="clear" w:color="auto" w:fill="FFFFFF"/>
          <w:lang w:val="es-CR"/>
        </w:rPr>
        <w:t>, supra</w:t>
      </w:r>
      <w:r w:rsidRPr="00CD68BA">
        <w:rPr>
          <w:rFonts w:cs="Open Sans"/>
          <w:szCs w:val="16"/>
          <w:shd w:val="clear" w:color="auto" w:fill="FFFFFF"/>
          <w:lang w:val="es-CR"/>
        </w:rPr>
        <w:t>, párr. 197.</w:t>
      </w:r>
    </w:p>
  </w:footnote>
  <w:footnote w:id="268">
    <w:p w14:paraId="1E248676" w14:textId="26285715" w:rsidR="000C5C5B" w:rsidRPr="00CD68BA" w:rsidRDefault="000C5C5B"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La suma debida a José Sales Pimenta deberá ser entregada a sus derechohabientes en los términos previstos por el régimen legal de sucesiones vigente en Brasil.</w:t>
      </w:r>
    </w:p>
  </w:footnote>
  <w:footnote w:id="269">
    <w:p w14:paraId="67D644D6" w14:textId="69A90C3E" w:rsidR="00D02191" w:rsidRPr="00CD68BA" w:rsidRDefault="00D02191"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t>La suma debida a José Sales Pimenta deberá ser entregada a sus derechohabientes en los términos previstos por el régimen legal de sucesiones vigente en Brasil.</w:t>
      </w:r>
    </w:p>
  </w:footnote>
  <w:footnote w:id="270">
    <w:p w14:paraId="72188205" w14:textId="6069CB8D" w:rsidR="009D660A" w:rsidRPr="00CD68BA" w:rsidRDefault="009D660A"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Caso Garrido y Baigorria Vs. Argentina. Reparaciones y Costas.</w:t>
      </w:r>
      <w:r w:rsidRPr="00CD68BA">
        <w:rPr>
          <w:szCs w:val="16"/>
          <w:lang w:val="es-CR"/>
        </w:rPr>
        <w:t xml:space="preserve"> Sentencia de 27 de agosto de 1998. Serie C No. 39, párrs. 82, y 244, </w:t>
      </w:r>
      <w:r w:rsidRPr="00CD68BA">
        <w:rPr>
          <w:i/>
          <w:iCs/>
          <w:szCs w:val="16"/>
          <w:lang w:val="es-CR"/>
        </w:rPr>
        <w:t>y Caso Pavez Pavez Vs. Chile,</w:t>
      </w:r>
      <w:r w:rsidR="001D43A9" w:rsidRPr="00CD68BA">
        <w:rPr>
          <w:szCs w:val="16"/>
          <w:lang w:val="es-CR"/>
        </w:rPr>
        <w:t xml:space="preserve"> </w:t>
      </w:r>
      <w:r w:rsidR="001D43A9" w:rsidRPr="00CD68BA">
        <w:rPr>
          <w:i/>
          <w:iCs/>
          <w:szCs w:val="16"/>
          <w:lang w:val="es-CR"/>
        </w:rPr>
        <w:t>supra,</w:t>
      </w:r>
      <w:r w:rsidRPr="00CD68BA">
        <w:rPr>
          <w:szCs w:val="16"/>
          <w:lang w:val="es-CR"/>
        </w:rPr>
        <w:t xml:space="preserve"> párr. 200.</w:t>
      </w:r>
    </w:p>
  </w:footnote>
  <w:footnote w:id="271">
    <w:p w14:paraId="3140E80A" w14:textId="2C577B30" w:rsidR="009D660A" w:rsidRPr="00CD68BA" w:rsidRDefault="009D660A"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Caso Garrido y Baigorria Vs. Argentina</w:t>
      </w:r>
      <w:r w:rsidR="001D43A9" w:rsidRPr="00CD68BA">
        <w:rPr>
          <w:i/>
          <w:iCs/>
          <w:szCs w:val="16"/>
          <w:lang w:val="es-CR"/>
        </w:rPr>
        <w:t xml:space="preserve">, supra, </w:t>
      </w:r>
      <w:r w:rsidRPr="00CD68BA">
        <w:rPr>
          <w:szCs w:val="16"/>
          <w:lang w:val="es-CR"/>
        </w:rPr>
        <w:t>párr. 79, y</w:t>
      </w:r>
      <w:r w:rsidRPr="00CD68BA">
        <w:rPr>
          <w:i/>
          <w:iCs/>
          <w:szCs w:val="16"/>
          <w:lang w:val="es-CR"/>
        </w:rPr>
        <w:t xml:space="preserve"> Caso Pavez Pavez Vs. Chil</w:t>
      </w:r>
      <w:r w:rsidR="001D43A9" w:rsidRPr="00CD68BA">
        <w:rPr>
          <w:i/>
          <w:iCs/>
          <w:szCs w:val="16"/>
          <w:lang w:val="es-CR"/>
        </w:rPr>
        <w:t>e</w:t>
      </w:r>
      <w:r w:rsidRPr="00CD68BA">
        <w:rPr>
          <w:szCs w:val="16"/>
          <w:lang w:val="es-CR"/>
        </w:rPr>
        <w:t>,</w:t>
      </w:r>
      <w:r w:rsidR="001D43A9" w:rsidRPr="00CD68BA">
        <w:rPr>
          <w:szCs w:val="16"/>
          <w:lang w:val="es-CR"/>
        </w:rPr>
        <w:t xml:space="preserve"> </w:t>
      </w:r>
      <w:r w:rsidR="001D43A9" w:rsidRPr="00CD68BA">
        <w:rPr>
          <w:i/>
          <w:iCs/>
          <w:szCs w:val="16"/>
          <w:lang w:val="es-CR"/>
        </w:rPr>
        <w:t>supra</w:t>
      </w:r>
      <w:r w:rsidR="00027C19" w:rsidRPr="00CD68BA">
        <w:rPr>
          <w:i/>
          <w:iCs/>
          <w:szCs w:val="16"/>
          <w:lang w:val="es-CR"/>
        </w:rPr>
        <w:t>,</w:t>
      </w:r>
      <w:r w:rsidRPr="00CD68BA">
        <w:rPr>
          <w:szCs w:val="16"/>
          <w:lang w:val="es-CR"/>
        </w:rPr>
        <w:t xml:space="preserve"> párr. 201.</w:t>
      </w:r>
    </w:p>
  </w:footnote>
  <w:footnote w:id="272">
    <w:p w14:paraId="2212829B" w14:textId="550D7ADB" w:rsidR="009D660A" w:rsidRPr="00CD68BA" w:rsidRDefault="009D660A"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Caso Chaparro Álvarez y Lapo Íñiguez Vs. Ecuador. Excepciones Preliminares, Fondo, Reparaciones y Costas.</w:t>
      </w:r>
      <w:r w:rsidRPr="00CD68BA">
        <w:rPr>
          <w:szCs w:val="16"/>
          <w:lang w:val="es-CR"/>
        </w:rPr>
        <w:t xml:space="preserve"> Sentencia de 21 de noviembre de 2007. Serie C No. 170, párr. 277, y </w:t>
      </w:r>
      <w:r w:rsidRPr="00CD68BA">
        <w:rPr>
          <w:i/>
          <w:iCs/>
          <w:szCs w:val="16"/>
          <w:lang w:val="es-CR"/>
        </w:rPr>
        <w:t>Caso Pavez Pavez Vs. Chile</w:t>
      </w:r>
      <w:r w:rsidR="001D43A9" w:rsidRPr="00CD68BA">
        <w:rPr>
          <w:i/>
          <w:iCs/>
          <w:szCs w:val="16"/>
          <w:lang w:val="es-CR"/>
        </w:rPr>
        <w:t>, supra</w:t>
      </w:r>
      <w:r w:rsidRPr="00CD68BA">
        <w:rPr>
          <w:szCs w:val="16"/>
          <w:lang w:val="es-CR"/>
        </w:rPr>
        <w:t>, párr. 201.</w:t>
      </w:r>
    </w:p>
  </w:footnote>
  <w:footnote w:id="273">
    <w:p w14:paraId="3B2925E9" w14:textId="06EC337E" w:rsidR="009D660A" w:rsidRPr="00CD68BA" w:rsidRDefault="009D660A" w:rsidP="00D12B21">
      <w:pPr>
        <w:pStyle w:val="Textonotapie"/>
        <w:spacing w:before="0" w:after="60"/>
        <w:rPr>
          <w:szCs w:val="16"/>
          <w:lang w:val="es-CR"/>
        </w:rPr>
      </w:pPr>
      <w:r w:rsidRPr="00CD68BA">
        <w:rPr>
          <w:rStyle w:val="Refdenotaalpie"/>
          <w:szCs w:val="16"/>
          <w:lang w:val="es-CR"/>
        </w:rPr>
        <w:footnoteRef/>
      </w:r>
      <w:r w:rsidRPr="00CD68BA">
        <w:rPr>
          <w:szCs w:val="16"/>
          <w:lang w:val="es-CR"/>
        </w:rPr>
        <w:t xml:space="preserve"> </w:t>
      </w:r>
      <w:r w:rsidRPr="00CD68BA">
        <w:rPr>
          <w:szCs w:val="16"/>
          <w:lang w:val="es-CR"/>
        </w:rPr>
        <w:tab/>
      </w:r>
      <w:r w:rsidRPr="00CD68BA">
        <w:rPr>
          <w:i/>
          <w:iCs/>
          <w:szCs w:val="16"/>
          <w:lang w:val="es-CR"/>
        </w:rPr>
        <w:t>Cfr. Caso Ibsen Cárdenas e Ibsen Peña Vs. Bolivia. Fondo, Reparaciones y Costas.</w:t>
      </w:r>
      <w:r w:rsidRPr="00CD68BA">
        <w:rPr>
          <w:szCs w:val="16"/>
          <w:lang w:val="es-CR"/>
        </w:rPr>
        <w:t xml:space="preserve"> Sentencia de 1 de septiembre de 2010. Serie C No. 217, párr. 29, y </w:t>
      </w:r>
      <w:r w:rsidRPr="00CD68BA">
        <w:rPr>
          <w:i/>
          <w:iCs/>
          <w:szCs w:val="16"/>
          <w:lang w:val="es-CR"/>
        </w:rPr>
        <w:t>Caso Pavez Pavez Vs. Chile</w:t>
      </w:r>
      <w:r w:rsidRPr="00CD68BA">
        <w:rPr>
          <w:szCs w:val="16"/>
          <w:lang w:val="es-CR"/>
        </w:rPr>
        <w:t>,</w:t>
      </w:r>
      <w:r w:rsidR="00027C19" w:rsidRPr="00CD68BA">
        <w:rPr>
          <w:szCs w:val="16"/>
          <w:lang w:val="es-CR"/>
        </w:rPr>
        <w:t xml:space="preserve"> </w:t>
      </w:r>
      <w:r w:rsidR="001D43A9" w:rsidRPr="00CD68BA">
        <w:rPr>
          <w:i/>
          <w:iCs/>
          <w:szCs w:val="16"/>
          <w:lang w:val="es-CR"/>
        </w:rPr>
        <w:t>supra,</w:t>
      </w:r>
      <w:r w:rsidRPr="00CD68BA">
        <w:rPr>
          <w:szCs w:val="16"/>
          <w:lang w:val="es-CR"/>
        </w:rPr>
        <w:t xml:space="preserve"> párr. 202.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1DFF"/>
    <w:multiLevelType w:val="hybridMultilevel"/>
    <w:tmpl w:val="DB608706"/>
    <w:lvl w:ilvl="0" w:tplc="B75E2BE6">
      <w:start w:val="4"/>
      <w:numFmt w:val="decimal"/>
      <w:lvlText w:val="E.%1"/>
      <w:lvlJc w:val="left"/>
      <w:pPr>
        <w:ind w:left="720" w:hanging="360"/>
      </w:pPr>
      <w:rPr>
        <w:rFonts w:hint="default"/>
        <w:b w:val="0"/>
        <w:i/>
        <w:iCs/>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E6BF7"/>
    <w:multiLevelType w:val="multilevel"/>
    <w:tmpl w:val="9052060A"/>
    <w:lvl w:ilvl="0">
      <w:start w:val="15"/>
      <w:numFmt w:val="decimal"/>
      <w:lvlText w:val="%1."/>
      <w:lvlJc w:val="left"/>
      <w:pPr>
        <w:ind w:left="120" w:hanging="567"/>
      </w:pPr>
      <w:rPr>
        <w:rFonts w:ascii="Verdana" w:eastAsia="Verdana" w:hAnsi="Verdana" w:cs="Verdana" w:hint="default"/>
        <w:b w:val="0"/>
        <w:w w:val="100"/>
        <w:sz w:val="20"/>
        <w:szCs w:val="20"/>
      </w:rPr>
    </w:lvl>
    <w:lvl w:ilvl="1">
      <w:start w:val="3"/>
      <w:numFmt w:val="upperLetter"/>
      <w:lvlText w:val="%2."/>
      <w:lvlJc w:val="left"/>
      <w:pPr>
        <w:ind w:left="839" w:hanging="361"/>
      </w:pPr>
      <w:rPr>
        <w:rFonts w:ascii="Verdana" w:eastAsia="Verdana" w:hAnsi="Verdana" w:cs="Verdana" w:hint="default"/>
        <w:b/>
        <w:bCs/>
        <w:i w:val="0"/>
        <w:iCs/>
        <w:spacing w:val="-2"/>
        <w:w w:val="100"/>
        <w:sz w:val="20"/>
        <w:szCs w:val="20"/>
      </w:rPr>
    </w:lvl>
    <w:lvl w:ilvl="2">
      <w:start w:val="1"/>
      <w:numFmt w:val="decimal"/>
      <w:lvlText w:val="%2.%3."/>
      <w:lvlJc w:val="left"/>
      <w:pPr>
        <w:ind w:left="839" w:hanging="662"/>
      </w:pPr>
      <w:rPr>
        <w:rFonts w:ascii="Verdana" w:eastAsia="Verdana" w:hAnsi="Verdana" w:cs="Verdana" w:hint="default"/>
        <w:b/>
        <w:bCs/>
        <w:i/>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2" w15:restartNumberingAfterBreak="0">
    <w:nsid w:val="0C107FF5"/>
    <w:multiLevelType w:val="hybridMultilevel"/>
    <w:tmpl w:val="622A3D84"/>
    <w:lvl w:ilvl="0" w:tplc="140A0017">
      <w:start w:val="1"/>
      <w:numFmt w:val="lowerLetter"/>
      <w:lvlText w:val="%1)"/>
      <w:lvlJc w:val="left"/>
      <w:pPr>
        <w:ind w:left="1069" w:hanging="360"/>
      </w:p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3" w15:restartNumberingAfterBreak="0">
    <w:nsid w:val="19F62731"/>
    <w:multiLevelType w:val="hybridMultilevel"/>
    <w:tmpl w:val="68D67392"/>
    <w:lvl w:ilvl="0" w:tplc="09FA2570">
      <w:start w:val="1"/>
      <w:numFmt w:val="decimal"/>
      <w:lvlText w:val="%1)"/>
      <w:lvlJc w:val="lef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BA2498A"/>
    <w:multiLevelType w:val="hybridMultilevel"/>
    <w:tmpl w:val="F87A2B1E"/>
    <w:lvl w:ilvl="0" w:tplc="7A3CB6D8">
      <w:start w:val="4"/>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A257A3"/>
    <w:multiLevelType w:val="hybridMultilevel"/>
    <w:tmpl w:val="94E8099A"/>
    <w:lvl w:ilvl="0" w:tplc="5412A99E">
      <w:start w:val="1"/>
      <w:numFmt w:val="decimal"/>
      <w:lvlText w:val="%1."/>
      <w:lvlJc w:val="left"/>
      <w:pPr>
        <w:ind w:left="1080" w:hanging="360"/>
      </w:pPr>
      <w:rPr>
        <w:rFonts w:ascii="Verdana" w:hAnsi="Verdana" w:cs="Time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BB16B2"/>
    <w:multiLevelType w:val="hybridMultilevel"/>
    <w:tmpl w:val="DABE2ED8"/>
    <w:styleLink w:val="ImportedStyle1"/>
    <w:lvl w:ilvl="0" w:tplc="6BF28BB6">
      <w:start w:val="1"/>
      <w:numFmt w:val="upperLetter"/>
      <w:lvlText w:val="%1."/>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FDA8B04">
      <w:start w:val="1"/>
      <w:numFmt w:val="lowerLetter"/>
      <w:lvlText w:val="%2."/>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C4D044">
      <w:start w:val="1"/>
      <w:numFmt w:val="lowerRoman"/>
      <w:lvlText w:val="%3."/>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7304C26">
      <w:start w:val="1"/>
      <w:numFmt w:val="decimal"/>
      <w:lvlText w:val="%4."/>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87E16AC">
      <w:start w:val="1"/>
      <w:numFmt w:val="lowerLetter"/>
      <w:lvlText w:val="%5."/>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286CD86">
      <w:start w:val="1"/>
      <w:numFmt w:val="lowerRoman"/>
      <w:lvlText w:val="%6."/>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6167362">
      <w:start w:val="1"/>
      <w:numFmt w:val="decimal"/>
      <w:lvlText w:val="%7."/>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F5A4F12">
      <w:start w:val="1"/>
      <w:numFmt w:val="lowerLetter"/>
      <w:lvlText w:val="%8."/>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EE1876">
      <w:start w:val="1"/>
      <w:numFmt w:val="lowerRoman"/>
      <w:lvlText w:val="%9."/>
      <w:lvlJc w:val="left"/>
      <w:rPr>
        <w:rFonts w:hAnsi="Arial Unicode MS"/>
        <w:b/>
        <w:bC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318F7B00"/>
    <w:multiLevelType w:val="hybridMultilevel"/>
    <w:tmpl w:val="B8344C70"/>
    <w:lvl w:ilvl="0" w:tplc="E4A06BCE">
      <w:start w:val="17"/>
      <w:numFmt w:val="decimal"/>
      <w:lvlText w:val="%1."/>
      <w:lvlJc w:val="left"/>
      <w:pPr>
        <w:ind w:left="360" w:hanging="360"/>
      </w:pPr>
      <w:rPr>
        <w:rFonts w:ascii="Verdana" w:eastAsia="Calibri"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A433D3"/>
    <w:multiLevelType w:val="multilevel"/>
    <w:tmpl w:val="BC465BB2"/>
    <w:lvl w:ilvl="0">
      <w:start w:val="1"/>
      <w:numFmt w:val="upperLetter"/>
      <w:lvlText w:val="%1."/>
      <w:lvlJc w:val="left"/>
      <w:pPr>
        <w:ind w:left="360" w:hanging="360"/>
      </w:pPr>
      <w:rPr>
        <w:rFonts w:hint="default"/>
        <w:b/>
      </w:rPr>
    </w:lvl>
    <w:lvl w:ilvl="1">
      <w:start w:val="1"/>
      <w:numFmt w:val="decimal"/>
      <w:pStyle w:val="Ttulo4"/>
      <w:lvlText w:val="D.%2"/>
      <w:lvlJc w:val="left"/>
      <w:pPr>
        <w:ind w:left="720" w:hanging="360"/>
      </w:pPr>
      <w:rPr>
        <w:rFonts w:hint="default"/>
        <w:b w:val="0"/>
        <w:color w:val="auto"/>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5EC5C34"/>
    <w:multiLevelType w:val="hybridMultilevel"/>
    <w:tmpl w:val="91F87C02"/>
    <w:lvl w:ilvl="0" w:tplc="BBDA3684">
      <w:start w:val="1"/>
      <w:numFmt w:val="decimal"/>
      <w:lvlText w:val="%1."/>
      <w:lvlJc w:val="left"/>
      <w:pPr>
        <w:ind w:left="785" w:hanging="360"/>
      </w:pPr>
      <w:rPr>
        <w:rFonts w:ascii="Verdana" w:hAnsi="Verdana" w:hint="default"/>
        <w:b w:val="0"/>
        <w:i w:val="0"/>
        <w:color w:val="auto"/>
        <w:sz w:val="20"/>
        <w:szCs w:val="20"/>
      </w:rPr>
    </w:lvl>
    <w:lvl w:ilvl="1" w:tplc="C23AC0AA">
      <w:start w:val="1"/>
      <w:numFmt w:val="lowerLetter"/>
      <w:lvlText w:val="%2)"/>
      <w:lvlJc w:val="left"/>
      <w:pPr>
        <w:ind w:left="-4448" w:hanging="360"/>
      </w:pPr>
      <w:rPr>
        <w:rFonts w:hint="default"/>
        <w:i/>
      </w:rPr>
    </w:lvl>
    <w:lvl w:ilvl="2" w:tplc="0409001B" w:tentative="1">
      <w:start w:val="1"/>
      <w:numFmt w:val="lowerRoman"/>
      <w:lvlText w:val="%3."/>
      <w:lvlJc w:val="right"/>
      <w:pPr>
        <w:ind w:left="-3728" w:hanging="180"/>
      </w:pPr>
    </w:lvl>
    <w:lvl w:ilvl="3" w:tplc="140A000F">
      <w:start w:val="1"/>
      <w:numFmt w:val="decimal"/>
      <w:lvlText w:val="%4."/>
      <w:lvlJc w:val="left"/>
      <w:pPr>
        <w:ind w:left="-3008" w:hanging="360"/>
      </w:pPr>
    </w:lvl>
    <w:lvl w:ilvl="4" w:tplc="04090019" w:tentative="1">
      <w:start w:val="1"/>
      <w:numFmt w:val="lowerLetter"/>
      <w:lvlText w:val="%5."/>
      <w:lvlJc w:val="left"/>
      <w:pPr>
        <w:ind w:left="-2288" w:hanging="360"/>
      </w:pPr>
    </w:lvl>
    <w:lvl w:ilvl="5" w:tplc="0409001B" w:tentative="1">
      <w:start w:val="1"/>
      <w:numFmt w:val="lowerRoman"/>
      <w:lvlText w:val="%6."/>
      <w:lvlJc w:val="right"/>
      <w:pPr>
        <w:ind w:left="-1568" w:hanging="180"/>
      </w:pPr>
    </w:lvl>
    <w:lvl w:ilvl="6" w:tplc="0409000F" w:tentative="1">
      <w:start w:val="1"/>
      <w:numFmt w:val="decimal"/>
      <w:lvlText w:val="%7."/>
      <w:lvlJc w:val="left"/>
      <w:pPr>
        <w:ind w:left="-848" w:hanging="360"/>
      </w:pPr>
    </w:lvl>
    <w:lvl w:ilvl="7" w:tplc="04090019" w:tentative="1">
      <w:start w:val="1"/>
      <w:numFmt w:val="lowerLetter"/>
      <w:lvlText w:val="%8."/>
      <w:lvlJc w:val="left"/>
      <w:pPr>
        <w:ind w:left="-128" w:hanging="360"/>
      </w:pPr>
    </w:lvl>
    <w:lvl w:ilvl="8" w:tplc="0409001B" w:tentative="1">
      <w:start w:val="1"/>
      <w:numFmt w:val="lowerRoman"/>
      <w:lvlText w:val="%9."/>
      <w:lvlJc w:val="right"/>
      <w:pPr>
        <w:ind w:left="592" w:hanging="180"/>
      </w:pPr>
    </w:lvl>
  </w:abstractNum>
  <w:abstractNum w:abstractNumId="10" w15:restartNumberingAfterBreak="0">
    <w:nsid w:val="36A7656C"/>
    <w:multiLevelType w:val="hybridMultilevel"/>
    <w:tmpl w:val="7ECA903A"/>
    <w:lvl w:ilvl="0" w:tplc="AC06FEA2">
      <w:start w:val="1"/>
      <w:numFmt w:val="decimal"/>
      <w:lvlText w:val="A.%1"/>
      <w:lvlJc w:val="left"/>
      <w:pPr>
        <w:ind w:left="1353" w:hanging="360"/>
      </w:pPr>
      <w:rPr>
        <w:rFonts w:hint="default"/>
        <w:b/>
        <w:i/>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71147292">
      <w:start w:val="1"/>
      <w:numFmt w:val="decimal"/>
      <w:lvlText w:val="%4."/>
      <w:lvlJc w:val="left"/>
      <w:pPr>
        <w:ind w:left="502" w:hanging="360"/>
      </w:pPr>
      <w:rPr>
        <w:rFonts w:ascii="Verdana" w:hAnsi="Verdana" w:hint="default"/>
        <w:i w:val="0"/>
        <w:strike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1" w15:restartNumberingAfterBreak="0">
    <w:nsid w:val="36C84FCD"/>
    <w:multiLevelType w:val="hybridMultilevel"/>
    <w:tmpl w:val="A0426DD2"/>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2992664"/>
    <w:multiLevelType w:val="hybridMultilevel"/>
    <w:tmpl w:val="F14EF87E"/>
    <w:lvl w:ilvl="0" w:tplc="6606791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B778B5"/>
    <w:multiLevelType w:val="hybridMultilevel"/>
    <w:tmpl w:val="F28203EA"/>
    <w:styleLink w:val="ImportedStyle2"/>
    <w:lvl w:ilvl="0" w:tplc="9A985720">
      <w:start w:val="1"/>
      <w:numFmt w:val="upperRoman"/>
      <w:lvlText w:val="%1."/>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2CADF9A">
      <w:start w:val="1"/>
      <w:numFmt w:val="lowerLetter"/>
      <w:lvlText w:val="%2."/>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7482234">
      <w:start w:val="1"/>
      <w:numFmt w:val="lowerRoman"/>
      <w:lvlText w:val="%3."/>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9AEBB4E">
      <w:start w:val="1"/>
      <w:numFmt w:val="decimal"/>
      <w:lvlText w:val="%4."/>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2D653AC">
      <w:start w:val="1"/>
      <w:numFmt w:val="lowerLetter"/>
      <w:lvlText w:val="%5."/>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E4069AA">
      <w:start w:val="1"/>
      <w:numFmt w:val="lowerRoman"/>
      <w:lvlText w:val="%6."/>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AE236BA">
      <w:start w:val="1"/>
      <w:numFmt w:val="decimal"/>
      <w:lvlText w:val="%7."/>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766309E">
      <w:start w:val="1"/>
      <w:numFmt w:val="lowerLetter"/>
      <w:lvlText w:val="%8."/>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6E0CDF6">
      <w:start w:val="1"/>
      <w:numFmt w:val="lowerRoman"/>
      <w:lvlText w:val="%9."/>
      <w:lvlJc w:val="left"/>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546448DD"/>
    <w:multiLevelType w:val="hybridMultilevel"/>
    <w:tmpl w:val="65CEF388"/>
    <w:lvl w:ilvl="0" w:tplc="32C29D3E">
      <w:start w:val="1"/>
      <w:numFmt w:val="decimal"/>
      <w:lvlText w:val="E.%1"/>
      <w:lvlJc w:val="left"/>
      <w:pPr>
        <w:ind w:left="1440" w:hanging="360"/>
      </w:pPr>
      <w:rPr>
        <w:rFonts w:hint="default"/>
        <w:b w:val="0"/>
        <w:i/>
        <w:iCs/>
        <w:color w:val="auto"/>
        <w:sz w:val="20"/>
        <w:szCs w:val="20"/>
      </w:r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5" w15:restartNumberingAfterBreak="0">
    <w:nsid w:val="5A245C34"/>
    <w:multiLevelType w:val="multilevel"/>
    <w:tmpl w:val="0368EC62"/>
    <w:lvl w:ilvl="0">
      <w:start w:val="15"/>
      <w:numFmt w:val="decimal"/>
      <w:lvlText w:val="%1."/>
      <w:lvlJc w:val="left"/>
      <w:pPr>
        <w:ind w:left="120" w:hanging="567"/>
      </w:pPr>
      <w:rPr>
        <w:rFonts w:ascii="Verdana" w:eastAsia="Verdana" w:hAnsi="Verdana" w:cs="Verdana" w:hint="default"/>
        <w:b w:val="0"/>
        <w:w w:val="100"/>
        <w:sz w:val="20"/>
        <w:szCs w:val="20"/>
      </w:rPr>
    </w:lvl>
    <w:lvl w:ilvl="1">
      <w:start w:val="1"/>
      <w:numFmt w:val="upperLetter"/>
      <w:lvlText w:val="%2."/>
      <w:lvlJc w:val="left"/>
      <w:pPr>
        <w:ind w:left="839" w:hanging="361"/>
      </w:pPr>
      <w:rPr>
        <w:rFonts w:ascii="Verdana" w:eastAsia="Verdana" w:hAnsi="Verdana" w:cs="Verdana" w:hint="default"/>
        <w:b/>
        <w:bCs/>
        <w:spacing w:val="-2"/>
        <w:w w:val="100"/>
        <w:sz w:val="20"/>
        <w:szCs w:val="20"/>
      </w:rPr>
    </w:lvl>
    <w:lvl w:ilvl="2">
      <w:start w:val="1"/>
      <w:numFmt w:val="decimal"/>
      <w:lvlText w:val="%2.%3."/>
      <w:lvlJc w:val="left"/>
      <w:pPr>
        <w:ind w:left="839" w:hanging="662"/>
      </w:pPr>
      <w:rPr>
        <w:rFonts w:ascii="Verdana" w:eastAsia="Verdana" w:hAnsi="Verdana" w:cs="Verdana" w:hint="default"/>
        <w:b w:val="0"/>
        <w:bCs w:val="0"/>
        <w:i/>
        <w:spacing w:val="-2"/>
        <w:w w:val="99"/>
        <w:sz w:val="20"/>
        <w:szCs w:val="20"/>
      </w:rPr>
    </w:lvl>
    <w:lvl w:ilvl="3">
      <w:numFmt w:val="bullet"/>
      <w:lvlText w:val="•"/>
      <w:lvlJc w:val="left"/>
      <w:pPr>
        <w:ind w:left="2786" w:hanging="662"/>
      </w:pPr>
      <w:rPr>
        <w:rFonts w:hint="default"/>
      </w:rPr>
    </w:lvl>
    <w:lvl w:ilvl="4">
      <w:numFmt w:val="bullet"/>
      <w:lvlText w:val="•"/>
      <w:lvlJc w:val="left"/>
      <w:pPr>
        <w:ind w:left="3760" w:hanging="662"/>
      </w:pPr>
      <w:rPr>
        <w:rFonts w:hint="default"/>
      </w:rPr>
    </w:lvl>
    <w:lvl w:ilvl="5">
      <w:numFmt w:val="bullet"/>
      <w:lvlText w:val="•"/>
      <w:lvlJc w:val="left"/>
      <w:pPr>
        <w:ind w:left="4733" w:hanging="662"/>
      </w:pPr>
      <w:rPr>
        <w:rFonts w:hint="default"/>
      </w:rPr>
    </w:lvl>
    <w:lvl w:ilvl="6">
      <w:numFmt w:val="bullet"/>
      <w:lvlText w:val="•"/>
      <w:lvlJc w:val="left"/>
      <w:pPr>
        <w:ind w:left="5706" w:hanging="662"/>
      </w:pPr>
      <w:rPr>
        <w:rFonts w:hint="default"/>
      </w:rPr>
    </w:lvl>
    <w:lvl w:ilvl="7">
      <w:numFmt w:val="bullet"/>
      <w:lvlText w:val="•"/>
      <w:lvlJc w:val="left"/>
      <w:pPr>
        <w:ind w:left="6680" w:hanging="662"/>
      </w:pPr>
      <w:rPr>
        <w:rFonts w:hint="default"/>
      </w:rPr>
    </w:lvl>
    <w:lvl w:ilvl="8">
      <w:numFmt w:val="bullet"/>
      <w:lvlText w:val="•"/>
      <w:lvlJc w:val="left"/>
      <w:pPr>
        <w:ind w:left="7653" w:hanging="662"/>
      </w:pPr>
      <w:rPr>
        <w:rFonts w:hint="default"/>
      </w:rPr>
    </w:lvl>
  </w:abstractNum>
  <w:abstractNum w:abstractNumId="16" w15:restartNumberingAfterBreak="0">
    <w:nsid w:val="7EF97A93"/>
    <w:multiLevelType w:val="hybridMultilevel"/>
    <w:tmpl w:val="0B0AD41A"/>
    <w:lvl w:ilvl="0" w:tplc="606C9E1C">
      <w:start w:val="1"/>
      <w:numFmt w:val="upperLetter"/>
      <w:pStyle w:val="Estilo3"/>
      <w:lvlText w:val="%1."/>
      <w:lvlJc w:val="right"/>
      <w:pPr>
        <w:ind w:left="36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FA7704C"/>
    <w:multiLevelType w:val="hybridMultilevel"/>
    <w:tmpl w:val="A0426DD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9445142">
    <w:abstractNumId w:val="5"/>
  </w:num>
  <w:num w:numId="2" w16cid:durableId="1827937311">
    <w:abstractNumId w:val="16"/>
  </w:num>
  <w:num w:numId="3" w16cid:durableId="669672926">
    <w:abstractNumId w:val="6"/>
  </w:num>
  <w:num w:numId="4" w16cid:durableId="2048750859">
    <w:abstractNumId w:val="13"/>
  </w:num>
  <w:num w:numId="5" w16cid:durableId="513882693">
    <w:abstractNumId w:val="10"/>
  </w:num>
  <w:num w:numId="6" w16cid:durableId="951936178">
    <w:abstractNumId w:val="11"/>
  </w:num>
  <w:num w:numId="7" w16cid:durableId="949554568">
    <w:abstractNumId w:val="17"/>
  </w:num>
  <w:num w:numId="8" w16cid:durableId="1926765827">
    <w:abstractNumId w:val="9"/>
  </w:num>
  <w:num w:numId="9" w16cid:durableId="850338247">
    <w:abstractNumId w:val="15"/>
  </w:num>
  <w:num w:numId="10" w16cid:durableId="644774192">
    <w:abstractNumId w:val="1"/>
  </w:num>
  <w:num w:numId="11" w16cid:durableId="1561285395">
    <w:abstractNumId w:val="12"/>
  </w:num>
  <w:num w:numId="12" w16cid:durableId="621618919">
    <w:abstractNumId w:val="8"/>
  </w:num>
  <w:num w:numId="13" w16cid:durableId="988168707">
    <w:abstractNumId w:val="14"/>
  </w:num>
  <w:num w:numId="14" w16cid:durableId="694962700">
    <w:abstractNumId w:val="2"/>
  </w:num>
  <w:num w:numId="15" w16cid:durableId="980117830">
    <w:abstractNumId w:val="3"/>
  </w:num>
  <w:num w:numId="16" w16cid:durableId="1741319813">
    <w:abstractNumId w:val="7"/>
  </w:num>
  <w:num w:numId="17" w16cid:durableId="347291315">
    <w:abstractNumId w:val="4"/>
  </w:num>
  <w:num w:numId="18" w16cid:durableId="745617484">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AE"/>
    <w:rsid w:val="00000932"/>
    <w:rsid w:val="00000CE5"/>
    <w:rsid w:val="0000158D"/>
    <w:rsid w:val="000018E7"/>
    <w:rsid w:val="00001FD9"/>
    <w:rsid w:val="00002020"/>
    <w:rsid w:val="000020DF"/>
    <w:rsid w:val="000022D7"/>
    <w:rsid w:val="00002386"/>
    <w:rsid w:val="00002435"/>
    <w:rsid w:val="00002F1A"/>
    <w:rsid w:val="00003AE4"/>
    <w:rsid w:val="00003B86"/>
    <w:rsid w:val="00003D4D"/>
    <w:rsid w:val="00003E66"/>
    <w:rsid w:val="00004770"/>
    <w:rsid w:val="0000481D"/>
    <w:rsid w:val="0000504B"/>
    <w:rsid w:val="0000564C"/>
    <w:rsid w:val="00006A87"/>
    <w:rsid w:val="0000704A"/>
    <w:rsid w:val="000073B9"/>
    <w:rsid w:val="00007911"/>
    <w:rsid w:val="00010077"/>
    <w:rsid w:val="00010884"/>
    <w:rsid w:val="00010888"/>
    <w:rsid w:val="000109E7"/>
    <w:rsid w:val="00010C87"/>
    <w:rsid w:val="00011272"/>
    <w:rsid w:val="00011489"/>
    <w:rsid w:val="00011DAD"/>
    <w:rsid w:val="00012116"/>
    <w:rsid w:val="00012292"/>
    <w:rsid w:val="00012D70"/>
    <w:rsid w:val="000133EC"/>
    <w:rsid w:val="00013732"/>
    <w:rsid w:val="00013829"/>
    <w:rsid w:val="00013A6A"/>
    <w:rsid w:val="00013BA7"/>
    <w:rsid w:val="00013D98"/>
    <w:rsid w:val="000142E7"/>
    <w:rsid w:val="00014644"/>
    <w:rsid w:val="00014DFB"/>
    <w:rsid w:val="000161FA"/>
    <w:rsid w:val="00016CA9"/>
    <w:rsid w:val="00016F34"/>
    <w:rsid w:val="00017943"/>
    <w:rsid w:val="00017B41"/>
    <w:rsid w:val="000205AC"/>
    <w:rsid w:val="00020918"/>
    <w:rsid w:val="000222A0"/>
    <w:rsid w:val="00022652"/>
    <w:rsid w:val="000229FD"/>
    <w:rsid w:val="00022DA2"/>
    <w:rsid w:val="0002360A"/>
    <w:rsid w:val="000236DD"/>
    <w:rsid w:val="00023BC1"/>
    <w:rsid w:val="00024201"/>
    <w:rsid w:val="00024C5E"/>
    <w:rsid w:val="00024D24"/>
    <w:rsid w:val="00024FD9"/>
    <w:rsid w:val="00025179"/>
    <w:rsid w:val="00025687"/>
    <w:rsid w:val="00025811"/>
    <w:rsid w:val="00025973"/>
    <w:rsid w:val="000259E0"/>
    <w:rsid w:val="0002616B"/>
    <w:rsid w:val="000265E2"/>
    <w:rsid w:val="0002660F"/>
    <w:rsid w:val="000269BF"/>
    <w:rsid w:val="00026A71"/>
    <w:rsid w:val="00026FEE"/>
    <w:rsid w:val="00027886"/>
    <w:rsid w:val="00027C19"/>
    <w:rsid w:val="0003018D"/>
    <w:rsid w:val="000302B8"/>
    <w:rsid w:val="0003034E"/>
    <w:rsid w:val="000313B1"/>
    <w:rsid w:val="00031453"/>
    <w:rsid w:val="000314E4"/>
    <w:rsid w:val="00031625"/>
    <w:rsid w:val="00031B3B"/>
    <w:rsid w:val="00031D27"/>
    <w:rsid w:val="000324A4"/>
    <w:rsid w:val="00032B50"/>
    <w:rsid w:val="0003358A"/>
    <w:rsid w:val="00033684"/>
    <w:rsid w:val="00033BAB"/>
    <w:rsid w:val="00034157"/>
    <w:rsid w:val="00034610"/>
    <w:rsid w:val="00034AB6"/>
    <w:rsid w:val="00034F98"/>
    <w:rsid w:val="00035139"/>
    <w:rsid w:val="00036725"/>
    <w:rsid w:val="0003679B"/>
    <w:rsid w:val="00036ABC"/>
    <w:rsid w:val="00036D0E"/>
    <w:rsid w:val="00037761"/>
    <w:rsid w:val="000377BA"/>
    <w:rsid w:val="00037AEA"/>
    <w:rsid w:val="00037C23"/>
    <w:rsid w:val="00037D33"/>
    <w:rsid w:val="00037EA2"/>
    <w:rsid w:val="00037EEB"/>
    <w:rsid w:val="000402BC"/>
    <w:rsid w:val="00040514"/>
    <w:rsid w:val="000406E2"/>
    <w:rsid w:val="0004072E"/>
    <w:rsid w:val="00040922"/>
    <w:rsid w:val="0004102A"/>
    <w:rsid w:val="0004153E"/>
    <w:rsid w:val="0004182C"/>
    <w:rsid w:val="00041B43"/>
    <w:rsid w:val="0004211D"/>
    <w:rsid w:val="0004255A"/>
    <w:rsid w:val="00042CE9"/>
    <w:rsid w:val="000430E8"/>
    <w:rsid w:val="00043F34"/>
    <w:rsid w:val="000443AA"/>
    <w:rsid w:val="00044CE3"/>
    <w:rsid w:val="000452BA"/>
    <w:rsid w:val="00046104"/>
    <w:rsid w:val="00047403"/>
    <w:rsid w:val="000474AA"/>
    <w:rsid w:val="00047570"/>
    <w:rsid w:val="000478F8"/>
    <w:rsid w:val="0004792A"/>
    <w:rsid w:val="00047AED"/>
    <w:rsid w:val="00047CF2"/>
    <w:rsid w:val="00050097"/>
    <w:rsid w:val="000501E0"/>
    <w:rsid w:val="000503C9"/>
    <w:rsid w:val="00050CEB"/>
    <w:rsid w:val="00050D78"/>
    <w:rsid w:val="00050EC6"/>
    <w:rsid w:val="0005135C"/>
    <w:rsid w:val="000514B9"/>
    <w:rsid w:val="00052198"/>
    <w:rsid w:val="000525CB"/>
    <w:rsid w:val="00052B66"/>
    <w:rsid w:val="00052E08"/>
    <w:rsid w:val="00053295"/>
    <w:rsid w:val="00053425"/>
    <w:rsid w:val="00053484"/>
    <w:rsid w:val="000534DF"/>
    <w:rsid w:val="00053BFE"/>
    <w:rsid w:val="00054833"/>
    <w:rsid w:val="00054DD3"/>
    <w:rsid w:val="00054F23"/>
    <w:rsid w:val="00055256"/>
    <w:rsid w:val="0005541A"/>
    <w:rsid w:val="00055425"/>
    <w:rsid w:val="000564A5"/>
    <w:rsid w:val="00056897"/>
    <w:rsid w:val="00056FB4"/>
    <w:rsid w:val="00057255"/>
    <w:rsid w:val="000573EA"/>
    <w:rsid w:val="000576D5"/>
    <w:rsid w:val="00057FC9"/>
    <w:rsid w:val="0006011A"/>
    <w:rsid w:val="000610AC"/>
    <w:rsid w:val="00061165"/>
    <w:rsid w:val="0006117D"/>
    <w:rsid w:val="0006117F"/>
    <w:rsid w:val="0006151B"/>
    <w:rsid w:val="000616D2"/>
    <w:rsid w:val="00061B66"/>
    <w:rsid w:val="00061D65"/>
    <w:rsid w:val="000620B7"/>
    <w:rsid w:val="00062998"/>
    <w:rsid w:val="00062C00"/>
    <w:rsid w:val="000631FA"/>
    <w:rsid w:val="00063589"/>
    <w:rsid w:val="00063859"/>
    <w:rsid w:val="000638BD"/>
    <w:rsid w:val="000642DD"/>
    <w:rsid w:val="000648C8"/>
    <w:rsid w:val="00064D60"/>
    <w:rsid w:val="00065697"/>
    <w:rsid w:val="000659F1"/>
    <w:rsid w:val="00065B2A"/>
    <w:rsid w:val="00065CF7"/>
    <w:rsid w:val="00065D11"/>
    <w:rsid w:val="00065DDB"/>
    <w:rsid w:val="000661DD"/>
    <w:rsid w:val="000662DC"/>
    <w:rsid w:val="00066622"/>
    <w:rsid w:val="00066971"/>
    <w:rsid w:val="0006716C"/>
    <w:rsid w:val="00067620"/>
    <w:rsid w:val="00067719"/>
    <w:rsid w:val="00067747"/>
    <w:rsid w:val="00067B5F"/>
    <w:rsid w:val="00067C1A"/>
    <w:rsid w:val="00067DAA"/>
    <w:rsid w:val="0007004E"/>
    <w:rsid w:val="00070353"/>
    <w:rsid w:val="0007083C"/>
    <w:rsid w:val="00070E8E"/>
    <w:rsid w:val="00071316"/>
    <w:rsid w:val="00071698"/>
    <w:rsid w:val="000718DD"/>
    <w:rsid w:val="00071B7A"/>
    <w:rsid w:val="00071DF1"/>
    <w:rsid w:val="0007226B"/>
    <w:rsid w:val="00072539"/>
    <w:rsid w:val="0007255F"/>
    <w:rsid w:val="00072724"/>
    <w:rsid w:val="00073221"/>
    <w:rsid w:val="000732DB"/>
    <w:rsid w:val="00073C09"/>
    <w:rsid w:val="00073C24"/>
    <w:rsid w:val="00074100"/>
    <w:rsid w:val="00074C83"/>
    <w:rsid w:val="00074E67"/>
    <w:rsid w:val="00075479"/>
    <w:rsid w:val="000757EF"/>
    <w:rsid w:val="000761C7"/>
    <w:rsid w:val="00076235"/>
    <w:rsid w:val="000768F5"/>
    <w:rsid w:val="00076C4E"/>
    <w:rsid w:val="000776A2"/>
    <w:rsid w:val="0007771F"/>
    <w:rsid w:val="00077D8A"/>
    <w:rsid w:val="000800E7"/>
    <w:rsid w:val="00080211"/>
    <w:rsid w:val="00081957"/>
    <w:rsid w:val="00081C5D"/>
    <w:rsid w:val="000820C4"/>
    <w:rsid w:val="0008216A"/>
    <w:rsid w:val="00082435"/>
    <w:rsid w:val="00082741"/>
    <w:rsid w:val="00082813"/>
    <w:rsid w:val="00082C13"/>
    <w:rsid w:val="00082D23"/>
    <w:rsid w:val="00083A33"/>
    <w:rsid w:val="00083D1E"/>
    <w:rsid w:val="00083E0F"/>
    <w:rsid w:val="0008425A"/>
    <w:rsid w:val="00084291"/>
    <w:rsid w:val="0008444E"/>
    <w:rsid w:val="00084A25"/>
    <w:rsid w:val="00085792"/>
    <w:rsid w:val="00085A52"/>
    <w:rsid w:val="00085B83"/>
    <w:rsid w:val="00085C7F"/>
    <w:rsid w:val="00085FAF"/>
    <w:rsid w:val="000863F5"/>
    <w:rsid w:val="000872B5"/>
    <w:rsid w:val="000872BD"/>
    <w:rsid w:val="00087566"/>
    <w:rsid w:val="00087D94"/>
    <w:rsid w:val="00090193"/>
    <w:rsid w:val="0009116D"/>
    <w:rsid w:val="00091980"/>
    <w:rsid w:val="0009204A"/>
    <w:rsid w:val="0009291D"/>
    <w:rsid w:val="00092BC7"/>
    <w:rsid w:val="000939F9"/>
    <w:rsid w:val="00093CEA"/>
    <w:rsid w:val="00093E06"/>
    <w:rsid w:val="00094116"/>
    <w:rsid w:val="00094183"/>
    <w:rsid w:val="00094B74"/>
    <w:rsid w:val="00094BB6"/>
    <w:rsid w:val="00094C02"/>
    <w:rsid w:val="0009506B"/>
    <w:rsid w:val="000956F0"/>
    <w:rsid w:val="00096F47"/>
    <w:rsid w:val="00097510"/>
    <w:rsid w:val="000A04AD"/>
    <w:rsid w:val="000A05B1"/>
    <w:rsid w:val="000A0789"/>
    <w:rsid w:val="000A0C6A"/>
    <w:rsid w:val="000A0DB6"/>
    <w:rsid w:val="000A0DC7"/>
    <w:rsid w:val="000A0FA9"/>
    <w:rsid w:val="000A0FE0"/>
    <w:rsid w:val="000A11A3"/>
    <w:rsid w:val="000A1742"/>
    <w:rsid w:val="000A1816"/>
    <w:rsid w:val="000A1A76"/>
    <w:rsid w:val="000A1A94"/>
    <w:rsid w:val="000A1E46"/>
    <w:rsid w:val="000A205D"/>
    <w:rsid w:val="000A20E8"/>
    <w:rsid w:val="000A2952"/>
    <w:rsid w:val="000A2E22"/>
    <w:rsid w:val="000A30D7"/>
    <w:rsid w:val="000A314A"/>
    <w:rsid w:val="000A375D"/>
    <w:rsid w:val="000A391A"/>
    <w:rsid w:val="000A4195"/>
    <w:rsid w:val="000A4E20"/>
    <w:rsid w:val="000A4EF9"/>
    <w:rsid w:val="000A5463"/>
    <w:rsid w:val="000A54B6"/>
    <w:rsid w:val="000A5907"/>
    <w:rsid w:val="000A5EE4"/>
    <w:rsid w:val="000A665D"/>
    <w:rsid w:val="000A6F08"/>
    <w:rsid w:val="000A7CD7"/>
    <w:rsid w:val="000A7F0C"/>
    <w:rsid w:val="000A7F84"/>
    <w:rsid w:val="000B0EA7"/>
    <w:rsid w:val="000B1007"/>
    <w:rsid w:val="000B106E"/>
    <w:rsid w:val="000B1135"/>
    <w:rsid w:val="000B1AE8"/>
    <w:rsid w:val="000B1BD2"/>
    <w:rsid w:val="000B20E4"/>
    <w:rsid w:val="000B27F4"/>
    <w:rsid w:val="000B2FE6"/>
    <w:rsid w:val="000B2FFB"/>
    <w:rsid w:val="000B3156"/>
    <w:rsid w:val="000B35A4"/>
    <w:rsid w:val="000B3782"/>
    <w:rsid w:val="000B3AFC"/>
    <w:rsid w:val="000B3EE3"/>
    <w:rsid w:val="000B462F"/>
    <w:rsid w:val="000B4704"/>
    <w:rsid w:val="000B51F7"/>
    <w:rsid w:val="000B529B"/>
    <w:rsid w:val="000B5D69"/>
    <w:rsid w:val="000B72B4"/>
    <w:rsid w:val="000B7B98"/>
    <w:rsid w:val="000B7DDC"/>
    <w:rsid w:val="000B7FF9"/>
    <w:rsid w:val="000C087E"/>
    <w:rsid w:val="000C0BDD"/>
    <w:rsid w:val="000C0C20"/>
    <w:rsid w:val="000C10E7"/>
    <w:rsid w:val="000C13BF"/>
    <w:rsid w:val="000C1A65"/>
    <w:rsid w:val="000C215A"/>
    <w:rsid w:val="000C32AA"/>
    <w:rsid w:val="000C3548"/>
    <w:rsid w:val="000C355A"/>
    <w:rsid w:val="000C372B"/>
    <w:rsid w:val="000C3D65"/>
    <w:rsid w:val="000C4785"/>
    <w:rsid w:val="000C48C0"/>
    <w:rsid w:val="000C4AA2"/>
    <w:rsid w:val="000C4D46"/>
    <w:rsid w:val="000C5127"/>
    <w:rsid w:val="000C573C"/>
    <w:rsid w:val="000C59C0"/>
    <w:rsid w:val="000C5A21"/>
    <w:rsid w:val="000C5C5B"/>
    <w:rsid w:val="000C5D81"/>
    <w:rsid w:val="000C5E44"/>
    <w:rsid w:val="000C5FC6"/>
    <w:rsid w:val="000C6598"/>
    <w:rsid w:val="000C6EBF"/>
    <w:rsid w:val="000C717B"/>
    <w:rsid w:val="000C73EC"/>
    <w:rsid w:val="000C7485"/>
    <w:rsid w:val="000C7697"/>
    <w:rsid w:val="000C7D5F"/>
    <w:rsid w:val="000C7EDA"/>
    <w:rsid w:val="000C7F00"/>
    <w:rsid w:val="000D1084"/>
    <w:rsid w:val="000D1465"/>
    <w:rsid w:val="000D186D"/>
    <w:rsid w:val="000D1F6B"/>
    <w:rsid w:val="000D2086"/>
    <w:rsid w:val="000D279A"/>
    <w:rsid w:val="000D2CE6"/>
    <w:rsid w:val="000D319B"/>
    <w:rsid w:val="000D3225"/>
    <w:rsid w:val="000D38E8"/>
    <w:rsid w:val="000D5109"/>
    <w:rsid w:val="000D5321"/>
    <w:rsid w:val="000D596A"/>
    <w:rsid w:val="000D5A8C"/>
    <w:rsid w:val="000D61DC"/>
    <w:rsid w:val="000D6456"/>
    <w:rsid w:val="000D6B8D"/>
    <w:rsid w:val="000D7B29"/>
    <w:rsid w:val="000E093A"/>
    <w:rsid w:val="000E13E0"/>
    <w:rsid w:val="000E148E"/>
    <w:rsid w:val="000E17A7"/>
    <w:rsid w:val="000E1D9C"/>
    <w:rsid w:val="000E2454"/>
    <w:rsid w:val="000E2636"/>
    <w:rsid w:val="000E28E2"/>
    <w:rsid w:val="000E2A3F"/>
    <w:rsid w:val="000E2F26"/>
    <w:rsid w:val="000E2FF7"/>
    <w:rsid w:val="000E3B23"/>
    <w:rsid w:val="000E3FA1"/>
    <w:rsid w:val="000E4B39"/>
    <w:rsid w:val="000E4D49"/>
    <w:rsid w:val="000E4E22"/>
    <w:rsid w:val="000E52AE"/>
    <w:rsid w:val="000E537D"/>
    <w:rsid w:val="000E6BB6"/>
    <w:rsid w:val="000E6C8A"/>
    <w:rsid w:val="000E6FA5"/>
    <w:rsid w:val="000F0451"/>
    <w:rsid w:val="000F1023"/>
    <w:rsid w:val="000F192C"/>
    <w:rsid w:val="000F1D84"/>
    <w:rsid w:val="000F26C7"/>
    <w:rsid w:val="000F2735"/>
    <w:rsid w:val="000F2E3B"/>
    <w:rsid w:val="000F3E00"/>
    <w:rsid w:val="000F3E9A"/>
    <w:rsid w:val="000F4C8E"/>
    <w:rsid w:val="000F4CE7"/>
    <w:rsid w:val="000F4D25"/>
    <w:rsid w:val="000F53E7"/>
    <w:rsid w:val="000F5465"/>
    <w:rsid w:val="000F556E"/>
    <w:rsid w:val="000F5CB7"/>
    <w:rsid w:val="000F5DA8"/>
    <w:rsid w:val="000F616A"/>
    <w:rsid w:val="000F633C"/>
    <w:rsid w:val="000F675E"/>
    <w:rsid w:val="000F687E"/>
    <w:rsid w:val="000F6953"/>
    <w:rsid w:val="000F72D8"/>
    <w:rsid w:val="000F75FF"/>
    <w:rsid w:val="000F7F47"/>
    <w:rsid w:val="00100127"/>
    <w:rsid w:val="00100584"/>
    <w:rsid w:val="00100606"/>
    <w:rsid w:val="00100C41"/>
    <w:rsid w:val="00101613"/>
    <w:rsid w:val="00101748"/>
    <w:rsid w:val="00101891"/>
    <w:rsid w:val="0010218E"/>
    <w:rsid w:val="00102547"/>
    <w:rsid w:val="00102785"/>
    <w:rsid w:val="00102A9F"/>
    <w:rsid w:val="00102EA7"/>
    <w:rsid w:val="00103822"/>
    <w:rsid w:val="00103E54"/>
    <w:rsid w:val="00104692"/>
    <w:rsid w:val="00104890"/>
    <w:rsid w:val="00105022"/>
    <w:rsid w:val="001051A3"/>
    <w:rsid w:val="001056E0"/>
    <w:rsid w:val="00105D99"/>
    <w:rsid w:val="00106CDA"/>
    <w:rsid w:val="00106D74"/>
    <w:rsid w:val="00106DBC"/>
    <w:rsid w:val="001072CF"/>
    <w:rsid w:val="0010757F"/>
    <w:rsid w:val="001077B0"/>
    <w:rsid w:val="001078B6"/>
    <w:rsid w:val="0010798C"/>
    <w:rsid w:val="00110368"/>
    <w:rsid w:val="001103DD"/>
    <w:rsid w:val="001104C1"/>
    <w:rsid w:val="0011064E"/>
    <w:rsid w:val="00111BF6"/>
    <w:rsid w:val="00111F08"/>
    <w:rsid w:val="0011206B"/>
    <w:rsid w:val="001122F2"/>
    <w:rsid w:val="001123E4"/>
    <w:rsid w:val="00113400"/>
    <w:rsid w:val="001134D4"/>
    <w:rsid w:val="001138D1"/>
    <w:rsid w:val="00113ED4"/>
    <w:rsid w:val="00114007"/>
    <w:rsid w:val="00114016"/>
    <w:rsid w:val="0011453E"/>
    <w:rsid w:val="00115500"/>
    <w:rsid w:val="00115520"/>
    <w:rsid w:val="001158B2"/>
    <w:rsid w:val="00115985"/>
    <w:rsid w:val="00115AB0"/>
    <w:rsid w:val="00115FBF"/>
    <w:rsid w:val="00116124"/>
    <w:rsid w:val="0011637D"/>
    <w:rsid w:val="0011677B"/>
    <w:rsid w:val="001178BA"/>
    <w:rsid w:val="0011790D"/>
    <w:rsid w:val="001200B6"/>
    <w:rsid w:val="0012054D"/>
    <w:rsid w:val="00120580"/>
    <w:rsid w:val="00120781"/>
    <w:rsid w:val="00120DD7"/>
    <w:rsid w:val="001211A5"/>
    <w:rsid w:val="001214F2"/>
    <w:rsid w:val="001216A1"/>
    <w:rsid w:val="0012171F"/>
    <w:rsid w:val="00121E21"/>
    <w:rsid w:val="00121ED5"/>
    <w:rsid w:val="001220B7"/>
    <w:rsid w:val="00122826"/>
    <w:rsid w:val="001228FD"/>
    <w:rsid w:val="00122967"/>
    <w:rsid w:val="001229C2"/>
    <w:rsid w:val="001230FB"/>
    <w:rsid w:val="0012364D"/>
    <w:rsid w:val="00123659"/>
    <w:rsid w:val="0012416D"/>
    <w:rsid w:val="0012434A"/>
    <w:rsid w:val="00124838"/>
    <w:rsid w:val="0012490F"/>
    <w:rsid w:val="001253DF"/>
    <w:rsid w:val="00125AAB"/>
    <w:rsid w:val="00125B05"/>
    <w:rsid w:val="00125C5C"/>
    <w:rsid w:val="00126174"/>
    <w:rsid w:val="00126210"/>
    <w:rsid w:val="00126323"/>
    <w:rsid w:val="00126BE8"/>
    <w:rsid w:val="00130026"/>
    <w:rsid w:val="0013008C"/>
    <w:rsid w:val="0013022B"/>
    <w:rsid w:val="00130573"/>
    <w:rsid w:val="00130756"/>
    <w:rsid w:val="00130B98"/>
    <w:rsid w:val="00131D3E"/>
    <w:rsid w:val="00132053"/>
    <w:rsid w:val="001320F1"/>
    <w:rsid w:val="00132ADA"/>
    <w:rsid w:val="00133121"/>
    <w:rsid w:val="00133403"/>
    <w:rsid w:val="0013355F"/>
    <w:rsid w:val="001339D7"/>
    <w:rsid w:val="001341D2"/>
    <w:rsid w:val="00134351"/>
    <w:rsid w:val="00134C8D"/>
    <w:rsid w:val="00134D31"/>
    <w:rsid w:val="001350D8"/>
    <w:rsid w:val="0013521A"/>
    <w:rsid w:val="0013527A"/>
    <w:rsid w:val="00135D83"/>
    <w:rsid w:val="001360B6"/>
    <w:rsid w:val="0013636D"/>
    <w:rsid w:val="00136527"/>
    <w:rsid w:val="00136CBD"/>
    <w:rsid w:val="001371A5"/>
    <w:rsid w:val="00137250"/>
    <w:rsid w:val="0013741A"/>
    <w:rsid w:val="001375C4"/>
    <w:rsid w:val="0013767E"/>
    <w:rsid w:val="00137B4F"/>
    <w:rsid w:val="00137B75"/>
    <w:rsid w:val="001406BF"/>
    <w:rsid w:val="00140921"/>
    <w:rsid w:val="00140967"/>
    <w:rsid w:val="001415E5"/>
    <w:rsid w:val="00141CFF"/>
    <w:rsid w:val="00142016"/>
    <w:rsid w:val="001421D6"/>
    <w:rsid w:val="00142378"/>
    <w:rsid w:val="001426D2"/>
    <w:rsid w:val="001428D5"/>
    <w:rsid w:val="00142D08"/>
    <w:rsid w:val="001432AB"/>
    <w:rsid w:val="00143674"/>
    <w:rsid w:val="001444AF"/>
    <w:rsid w:val="0014498A"/>
    <w:rsid w:val="00144DBC"/>
    <w:rsid w:val="001452C3"/>
    <w:rsid w:val="001458CD"/>
    <w:rsid w:val="001467D5"/>
    <w:rsid w:val="00146E97"/>
    <w:rsid w:val="00147193"/>
    <w:rsid w:val="001475A8"/>
    <w:rsid w:val="0014779E"/>
    <w:rsid w:val="00147807"/>
    <w:rsid w:val="00147C98"/>
    <w:rsid w:val="00150134"/>
    <w:rsid w:val="00150354"/>
    <w:rsid w:val="00151381"/>
    <w:rsid w:val="00151562"/>
    <w:rsid w:val="0015169C"/>
    <w:rsid w:val="0015179D"/>
    <w:rsid w:val="00151EA9"/>
    <w:rsid w:val="001520A5"/>
    <w:rsid w:val="001523CE"/>
    <w:rsid w:val="001524C0"/>
    <w:rsid w:val="00152F7D"/>
    <w:rsid w:val="0015340C"/>
    <w:rsid w:val="00153534"/>
    <w:rsid w:val="00153907"/>
    <w:rsid w:val="00153BBA"/>
    <w:rsid w:val="00153F45"/>
    <w:rsid w:val="0015412E"/>
    <w:rsid w:val="00154259"/>
    <w:rsid w:val="00154442"/>
    <w:rsid w:val="00154580"/>
    <w:rsid w:val="001545E3"/>
    <w:rsid w:val="00154660"/>
    <w:rsid w:val="0015467D"/>
    <w:rsid w:val="0015488D"/>
    <w:rsid w:val="00154D63"/>
    <w:rsid w:val="00155458"/>
    <w:rsid w:val="0015595B"/>
    <w:rsid w:val="0015655D"/>
    <w:rsid w:val="0015689E"/>
    <w:rsid w:val="00156E2C"/>
    <w:rsid w:val="0015720B"/>
    <w:rsid w:val="00157337"/>
    <w:rsid w:val="00157BC8"/>
    <w:rsid w:val="00157EF7"/>
    <w:rsid w:val="00160742"/>
    <w:rsid w:val="00160BF1"/>
    <w:rsid w:val="00160D0E"/>
    <w:rsid w:val="001610FA"/>
    <w:rsid w:val="0016110B"/>
    <w:rsid w:val="00161141"/>
    <w:rsid w:val="00161351"/>
    <w:rsid w:val="00161CBE"/>
    <w:rsid w:val="00161FBA"/>
    <w:rsid w:val="001621E0"/>
    <w:rsid w:val="0016248A"/>
    <w:rsid w:val="001624E0"/>
    <w:rsid w:val="00162967"/>
    <w:rsid w:val="0016299F"/>
    <w:rsid w:val="00162AC1"/>
    <w:rsid w:val="00162D1B"/>
    <w:rsid w:val="00163194"/>
    <w:rsid w:val="001636E2"/>
    <w:rsid w:val="001645B4"/>
    <w:rsid w:val="00164AC8"/>
    <w:rsid w:val="00164E15"/>
    <w:rsid w:val="00165490"/>
    <w:rsid w:val="00165508"/>
    <w:rsid w:val="00165B9B"/>
    <w:rsid w:val="00165DEE"/>
    <w:rsid w:val="00166E10"/>
    <w:rsid w:val="00166F5A"/>
    <w:rsid w:val="00166F96"/>
    <w:rsid w:val="001670A2"/>
    <w:rsid w:val="00167A01"/>
    <w:rsid w:val="00167AF7"/>
    <w:rsid w:val="00167C7C"/>
    <w:rsid w:val="0017062F"/>
    <w:rsid w:val="00170716"/>
    <w:rsid w:val="00170821"/>
    <w:rsid w:val="00170AA7"/>
    <w:rsid w:val="00170B73"/>
    <w:rsid w:val="00170DD7"/>
    <w:rsid w:val="00171673"/>
    <w:rsid w:val="001716EC"/>
    <w:rsid w:val="00171D77"/>
    <w:rsid w:val="00171FD1"/>
    <w:rsid w:val="001731B6"/>
    <w:rsid w:val="001737CD"/>
    <w:rsid w:val="0017381C"/>
    <w:rsid w:val="00173BB8"/>
    <w:rsid w:val="00173BC1"/>
    <w:rsid w:val="00174602"/>
    <w:rsid w:val="0017470A"/>
    <w:rsid w:val="0017523C"/>
    <w:rsid w:val="001752AE"/>
    <w:rsid w:val="00175827"/>
    <w:rsid w:val="001761B6"/>
    <w:rsid w:val="00177248"/>
    <w:rsid w:val="001773E8"/>
    <w:rsid w:val="00177594"/>
    <w:rsid w:val="0018069E"/>
    <w:rsid w:val="00180BE6"/>
    <w:rsid w:val="00180D74"/>
    <w:rsid w:val="00180DCB"/>
    <w:rsid w:val="00181A3C"/>
    <w:rsid w:val="00181E6F"/>
    <w:rsid w:val="00181E74"/>
    <w:rsid w:val="0018296F"/>
    <w:rsid w:val="00182AB6"/>
    <w:rsid w:val="00182BAC"/>
    <w:rsid w:val="00182D40"/>
    <w:rsid w:val="00183011"/>
    <w:rsid w:val="001833E7"/>
    <w:rsid w:val="001840E8"/>
    <w:rsid w:val="0018415C"/>
    <w:rsid w:val="00184B19"/>
    <w:rsid w:val="00186ACB"/>
    <w:rsid w:val="00186B60"/>
    <w:rsid w:val="001872A7"/>
    <w:rsid w:val="00187CF2"/>
    <w:rsid w:val="001902AB"/>
    <w:rsid w:val="001905FD"/>
    <w:rsid w:val="00190B68"/>
    <w:rsid w:val="00191273"/>
    <w:rsid w:val="001913B5"/>
    <w:rsid w:val="00191EE3"/>
    <w:rsid w:val="00192B38"/>
    <w:rsid w:val="00193B1A"/>
    <w:rsid w:val="00193BFC"/>
    <w:rsid w:val="001940D4"/>
    <w:rsid w:val="00194578"/>
    <w:rsid w:val="00195569"/>
    <w:rsid w:val="00195D65"/>
    <w:rsid w:val="00195F92"/>
    <w:rsid w:val="00196777"/>
    <w:rsid w:val="0019698E"/>
    <w:rsid w:val="00196A80"/>
    <w:rsid w:val="00196D8D"/>
    <w:rsid w:val="00196E4D"/>
    <w:rsid w:val="0019733A"/>
    <w:rsid w:val="00197887"/>
    <w:rsid w:val="00197E6E"/>
    <w:rsid w:val="00197FA5"/>
    <w:rsid w:val="001A1122"/>
    <w:rsid w:val="001A2040"/>
    <w:rsid w:val="001A2633"/>
    <w:rsid w:val="001A267A"/>
    <w:rsid w:val="001A2911"/>
    <w:rsid w:val="001A2C93"/>
    <w:rsid w:val="001A3B81"/>
    <w:rsid w:val="001A3F9B"/>
    <w:rsid w:val="001A46FB"/>
    <w:rsid w:val="001A48EE"/>
    <w:rsid w:val="001A49D8"/>
    <w:rsid w:val="001A5B46"/>
    <w:rsid w:val="001A5B6C"/>
    <w:rsid w:val="001A5D26"/>
    <w:rsid w:val="001A5D6B"/>
    <w:rsid w:val="001A62F9"/>
    <w:rsid w:val="001A659E"/>
    <w:rsid w:val="001A66AE"/>
    <w:rsid w:val="001A67F3"/>
    <w:rsid w:val="001A6F5F"/>
    <w:rsid w:val="001A7068"/>
    <w:rsid w:val="001A76B8"/>
    <w:rsid w:val="001A7818"/>
    <w:rsid w:val="001A7AE2"/>
    <w:rsid w:val="001B02D8"/>
    <w:rsid w:val="001B0D40"/>
    <w:rsid w:val="001B1296"/>
    <w:rsid w:val="001B1781"/>
    <w:rsid w:val="001B1BB4"/>
    <w:rsid w:val="001B235E"/>
    <w:rsid w:val="001B281A"/>
    <w:rsid w:val="001B2F4B"/>
    <w:rsid w:val="001B3A9D"/>
    <w:rsid w:val="001B464C"/>
    <w:rsid w:val="001B479F"/>
    <w:rsid w:val="001B4917"/>
    <w:rsid w:val="001B4B5B"/>
    <w:rsid w:val="001B4DCB"/>
    <w:rsid w:val="001B4F79"/>
    <w:rsid w:val="001B50C7"/>
    <w:rsid w:val="001B57FC"/>
    <w:rsid w:val="001B59E9"/>
    <w:rsid w:val="001B605B"/>
    <w:rsid w:val="001B62BD"/>
    <w:rsid w:val="001B6376"/>
    <w:rsid w:val="001B6892"/>
    <w:rsid w:val="001B6E9A"/>
    <w:rsid w:val="001B7443"/>
    <w:rsid w:val="001B7702"/>
    <w:rsid w:val="001B77E1"/>
    <w:rsid w:val="001B7953"/>
    <w:rsid w:val="001B7DC9"/>
    <w:rsid w:val="001B7EEA"/>
    <w:rsid w:val="001C024C"/>
    <w:rsid w:val="001C0272"/>
    <w:rsid w:val="001C04ED"/>
    <w:rsid w:val="001C0F0A"/>
    <w:rsid w:val="001C1A66"/>
    <w:rsid w:val="001C1C67"/>
    <w:rsid w:val="001C2086"/>
    <w:rsid w:val="001C23CD"/>
    <w:rsid w:val="001C25CB"/>
    <w:rsid w:val="001C28D5"/>
    <w:rsid w:val="001C2ABD"/>
    <w:rsid w:val="001C2BB6"/>
    <w:rsid w:val="001C33C1"/>
    <w:rsid w:val="001C382B"/>
    <w:rsid w:val="001C3B55"/>
    <w:rsid w:val="001C4938"/>
    <w:rsid w:val="001C4B5A"/>
    <w:rsid w:val="001C4B90"/>
    <w:rsid w:val="001C5752"/>
    <w:rsid w:val="001C57E9"/>
    <w:rsid w:val="001C5A82"/>
    <w:rsid w:val="001C5CEF"/>
    <w:rsid w:val="001C61EC"/>
    <w:rsid w:val="001C63F9"/>
    <w:rsid w:val="001C6D7B"/>
    <w:rsid w:val="001C70B4"/>
    <w:rsid w:val="001C797B"/>
    <w:rsid w:val="001C7ACC"/>
    <w:rsid w:val="001D03BA"/>
    <w:rsid w:val="001D0754"/>
    <w:rsid w:val="001D0933"/>
    <w:rsid w:val="001D1041"/>
    <w:rsid w:val="001D1715"/>
    <w:rsid w:val="001D1FF3"/>
    <w:rsid w:val="001D211E"/>
    <w:rsid w:val="001D2573"/>
    <w:rsid w:val="001D2D29"/>
    <w:rsid w:val="001D2D40"/>
    <w:rsid w:val="001D3567"/>
    <w:rsid w:val="001D378D"/>
    <w:rsid w:val="001D3B94"/>
    <w:rsid w:val="001D3C93"/>
    <w:rsid w:val="001D3DA3"/>
    <w:rsid w:val="001D3E8D"/>
    <w:rsid w:val="001D425A"/>
    <w:rsid w:val="001D43A9"/>
    <w:rsid w:val="001D441C"/>
    <w:rsid w:val="001D48B5"/>
    <w:rsid w:val="001D4AC7"/>
    <w:rsid w:val="001D4C12"/>
    <w:rsid w:val="001D4C2C"/>
    <w:rsid w:val="001D4CEB"/>
    <w:rsid w:val="001D529B"/>
    <w:rsid w:val="001D563E"/>
    <w:rsid w:val="001D58B8"/>
    <w:rsid w:val="001D5C13"/>
    <w:rsid w:val="001D67C3"/>
    <w:rsid w:val="001D72D9"/>
    <w:rsid w:val="001D7359"/>
    <w:rsid w:val="001D7988"/>
    <w:rsid w:val="001D7A97"/>
    <w:rsid w:val="001D7B38"/>
    <w:rsid w:val="001D7DD0"/>
    <w:rsid w:val="001D7F7D"/>
    <w:rsid w:val="001E0503"/>
    <w:rsid w:val="001E0729"/>
    <w:rsid w:val="001E0909"/>
    <w:rsid w:val="001E0F5B"/>
    <w:rsid w:val="001E11BC"/>
    <w:rsid w:val="001E1735"/>
    <w:rsid w:val="001E1C36"/>
    <w:rsid w:val="001E2208"/>
    <w:rsid w:val="001E23F3"/>
    <w:rsid w:val="001E2747"/>
    <w:rsid w:val="001E3698"/>
    <w:rsid w:val="001E3E30"/>
    <w:rsid w:val="001E4016"/>
    <w:rsid w:val="001E44EB"/>
    <w:rsid w:val="001E4751"/>
    <w:rsid w:val="001E4A82"/>
    <w:rsid w:val="001E4FF3"/>
    <w:rsid w:val="001E508D"/>
    <w:rsid w:val="001E5FBD"/>
    <w:rsid w:val="001E60B2"/>
    <w:rsid w:val="001E6393"/>
    <w:rsid w:val="001E6B0A"/>
    <w:rsid w:val="001E6B15"/>
    <w:rsid w:val="001E6DA0"/>
    <w:rsid w:val="001E6EFF"/>
    <w:rsid w:val="001E7D60"/>
    <w:rsid w:val="001E7DC2"/>
    <w:rsid w:val="001F0017"/>
    <w:rsid w:val="001F0DC4"/>
    <w:rsid w:val="001F14D8"/>
    <w:rsid w:val="001F2B11"/>
    <w:rsid w:val="001F30C2"/>
    <w:rsid w:val="001F413D"/>
    <w:rsid w:val="001F43E5"/>
    <w:rsid w:val="001F4CA8"/>
    <w:rsid w:val="001F54D5"/>
    <w:rsid w:val="001F5A4A"/>
    <w:rsid w:val="001F5D21"/>
    <w:rsid w:val="001F68F6"/>
    <w:rsid w:val="001F698F"/>
    <w:rsid w:val="001F6BC6"/>
    <w:rsid w:val="001F6E5C"/>
    <w:rsid w:val="001F71F2"/>
    <w:rsid w:val="001F7A13"/>
    <w:rsid w:val="001F7C24"/>
    <w:rsid w:val="00200473"/>
    <w:rsid w:val="00200B6E"/>
    <w:rsid w:val="00200CA9"/>
    <w:rsid w:val="0020154C"/>
    <w:rsid w:val="002016A9"/>
    <w:rsid w:val="00201FA0"/>
    <w:rsid w:val="00201FFC"/>
    <w:rsid w:val="00202795"/>
    <w:rsid w:val="002027EA"/>
    <w:rsid w:val="0020292F"/>
    <w:rsid w:val="00202E6B"/>
    <w:rsid w:val="002030A5"/>
    <w:rsid w:val="00203CE0"/>
    <w:rsid w:val="0020468E"/>
    <w:rsid w:val="002048EA"/>
    <w:rsid w:val="00204950"/>
    <w:rsid w:val="00204EE7"/>
    <w:rsid w:val="00205032"/>
    <w:rsid w:val="00205718"/>
    <w:rsid w:val="002060F6"/>
    <w:rsid w:val="002065DE"/>
    <w:rsid w:val="00206726"/>
    <w:rsid w:val="00206905"/>
    <w:rsid w:val="00206AE1"/>
    <w:rsid w:val="00206F08"/>
    <w:rsid w:val="002074E8"/>
    <w:rsid w:val="00207E88"/>
    <w:rsid w:val="00207ED6"/>
    <w:rsid w:val="00207F12"/>
    <w:rsid w:val="00210040"/>
    <w:rsid w:val="002103E8"/>
    <w:rsid w:val="002104F7"/>
    <w:rsid w:val="00210546"/>
    <w:rsid w:val="00210607"/>
    <w:rsid w:val="002107C1"/>
    <w:rsid w:val="00210CF3"/>
    <w:rsid w:val="00211539"/>
    <w:rsid w:val="00211B8B"/>
    <w:rsid w:val="00211CFC"/>
    <w:rsid w:val="002120D5"/>
    <w:rsid w:val="002121A1"/>
    <w:rsid w:val="0021270A"/>
    <w:rsid w:val="0021294F"/>
    <w:rsid w:val="00212DC1"/>
    <w:rsid w:val="0021426B"/>
    <w:rsid w:val="0021453E"/>
    <w:rsid w:val="00214D22"/>
    <w:rsid w:val="002150D1"/>
    <w:rsid w:val="00215947"/>
    <w:rsid w:val="00215F7E"/>
    <w:rsid w:val="00215F87"/>
    <w:rsid w:val="0021675E"/>
    <w:rsid w:val="002167F4"/>
    <w:rsid w:val="00216EAE"/>
    <w:rsid w:val="00216FB9"/>
    <w:rsid w:val="00217035"/>
    <w:rsid w:val="002178AD"/>
    <w:rsid w:val="002200EB"/>
    <w:rsid w:val="002205BF"/>
    <w:rsid w:val="00220721"/>
    <w:rsid w:val="00220AC9"/>
    <w:rsid w:val="00221ABC"/>
    <w:rsid w:val="00221D6A"/>
    <w:rsid w:val="00222414"/>
    <w:rsid w:val="00222A40"/>
    <w:rsid w:val="00222C04"/>
    <w:rsid w:val="002232C0"/>
    <w:rsid w:val="002237ED"/>
    <w:rsid w:val="00223AD3"/>
    <w:rsid w:val="00223B54"/>
    <w:rsid w:val="00224DA5"/>
    <w:rsid w:val="00225393"/>
    <w:rsid w:val="002254D6"/>
    <w:rsid w:val="0022577E"/>
    <w:rsid w:val="0022579D"/>
    <w:rsid w:val="002269C3"/>
    <w:rsid w:val="00227664"/>
    <w:rsid w:val="0022775F"/>
    <w:rsid w:val="002304F4"/>
    <w:rsid w:val="002306F6"/>
    <w:rsid w:val="002307F4"/>
    <w:rsid w:val="002308DA"/>
    <w:rsid w:val="002309D5"/>
    <w:rsid w:val="002312E0"/>
    <w:rsid w:val="0023135F"/>
    <w:rsid w:val="002318BF"/>
    <w:rsid w:val="00231A08"/>
    <w:rsid w:val="00231C66"/>
    <w:rsid w:val="002323CD"/>
    <w:rsid w:val="002328CA"/>
    <w:rsid w:val="00232DD5"/>
    <w:rsid w:val="00232DF9"/>
    <w:rsid w:val="00232E17"/>
    <w:rsid w:val="0023335D"/>
    <w:rsid w:val="0023361D"/>
    <w:rsid w:val="00233D79"/>
    <w:rsid w:val="00233F07"/>
    <w:rsid w:val="0023460C"/>
    <w:rsid w:val="00234BE0"/>
    <w:rsid w:val="00234EBC"/>
    <w:rsid w:val="00234F0A"/>
    <w:rsid w:val="002356AC"/>
    <w:rsid w:val="0023650C"/>
    <w:rsid w:val="002366FC"/>
    <w:rsid w:val="00236C29"/>
    <w:rsid w:val="002370E0"/>
    <w:rsid w:val="00237413"/>
    <w:rsid w:val="0023752A"/>
    <w:rsid w:val="00237721"/>
    <w:rsid w:val="00237CF4"/>
    <w:rsid w:val="00237F96"/>
    <w:rsid w:val="002402D7"/>
    <w:rsid w:val="00240726"/>
    <w:rsid w:val="0024139A"/>
    <w:rsid w:val="00241747"/>
    <w:rsid w:val="0024204C"/>
    <w:rsid w:val="002424D0"/>
    <w:rsid w:val="002433E3"/>
    <w:rsid w:val="00243659"/>
    <w:rsid w:val="002436EB"/>
    <w:rsid w:val="00243827"/>
    <w:rsid w:val="00244AAA"/>
    <w:rsid w:val="00245674"/>
    <w:rsid w:val="00245C13"/>
    <w:rsid w:val="00245C3A"/>
    <w:rsid w:val="00245C83"/>
    <w:rsid w:val="0024601C"/>
    <w:rsid w:val="002465BB"/>
    <w:rsid w:val="002467BE"/>
    <w:rsid w:val="00247081"/>
    <w:rsid w:val="0024749B"/>
    <w:rsid w:val="00247538"/>
    <w:rsid w:val="002477E3"/>
    <w:rsid w:val="00247AFC"/>
    <w:rsid w:val="00247CC8"/>
    <w:rsid w:val="0025008D"/>
    <w:rsid w:val="002506FE"/>
    <w:rsid w:val="00250E74"/>
    <w:rsid w:val="002515E5"/>
    <w:rsid w:val="00251DF0"/>
    <w:rsid w:val="002525D8"/>
    <w:rsid w:val="002527FE"/>
    <w:rsid w:val="00253210"/>
    <w:rsid w:val="00253ADD"/>
    <w:rsid w:val="00253F45"/>
    <w:rsid w:val="00254AF2"/>
    <w:rsid w:val="0025533D"/>
    <w:rsid w:val="002559DE"/>
    <w:rsid w:val="00256232"/>
    <w:rsid w:val="0025637D"/>
    <w:rsid w:val="002563A4"/>
    <w:rsid w:val="0025658F"/>
    <w:rsid w:val="00256E22"/>
    <w:rsid w:val="0025701A"/>
    <w:rsid w:val="00257021"/>
    <w:rsid w:val="002573AB"/>
    <w:rsid w:val="00257B8C"/>
    <w:rsid w:val="00257E04"/>
    <w:rsid w:val="002602C4"/>
    <w:rsid w:val="00260740"/>
    <w:rsid w:val="0026074B"/>
    <w:rsid w:val="00260CF6"/>
    <w:rsid w:val="00260FD2"/>
    <w:rsid w:val="00261492"/>
    <w:rsid w:val="00261694"/>
    <w:rsid w:val="002617FE"/>
    <w:rsid w:val="002619CD"/>
    <w:rsid w:val="0026253D"/>
    <w:rsid w:val="00262919"/>
    <w:rsid w:val="0026365A"/>
    <w:rsid w:val="002648AE"/>
    <w:rsid w:val="00264EDD"/>
    <w:rsid w:val="00265C2E"/>
    <w:rsid w:val="00266117"/>
    <w:rsid w:val="00266281"/>
    <w:rsid w:val="00266575"/>
    <w:rsid w:val="0026726E"/>
    <w:rsid w:val="00267F49"/>
    <w:rsid w:val="002703AE"/>
    <w:rsid w:val="002703FE"/>
    <w:rsid w:val="00270742"/>
    <w:rsid w:val="00270C5C"/>
    <w:rsid w:val="00270D51"/>
    <w:rsid w:val="0027130B"/>
    <w:rsid w:val="0027145C"/>
    <w:rsid w:val="002716EE"/>
    <w:rsid w:val="00271748"/>
    <w:rsid w:val="002722A0"/>
    <w:rsid w:val="0027255E"/>
    <w:rsid w:val="00272A85"/>
    <w:rsid w:val="00272E41"/>
    <w:rsid w:val="00272FB0"/>
    <w:rsid w:val="00273362"/>
    <w:rsid w:val="0027389F"/>
    <w:rsid w:val="00273FD3"/>
    <w:rsid w:val="00274336"/>
    <w:rsid w:val="00274380"/>
    <w:rsid w:val="002743A0"/>
    <w:rsid w:val="00274794"/>
    <w:rsid w:val="00274AC1"/>
    <w:rsid w:val="0027596B"/>
    <w:rsid w:val="00275A36"/>
    <w:rsid w:val="00276639"/>
    <w:rsid w:val="00276C4D"/>
    <w:rsid w:val="00276D0B"/>
    <w:rsid w:val="00277464"/>
    <w:rsid w:val="002776AF"/>
    <w:rsid w:val="002800AB"/>
    <w:rsid w:val="002808FB"/>
    <w:rsid w:val="00280DD7"/>
    <w:rsid w:val="0028155C"/>
    <w:rsid w:val="00281F15"/>
    <w:rsid w:val="002824B7"/>
    <w:rsid w:val="002825BD"/>
    <w:rsid w:val="00282954"/>
    <w:rsid w:val="00282ADD"/>
    <w:rsid w:val="00282E83"/>
    <w:rsid w:val="00282FC5"/>
    <w:rsid w:val="00283E74"/>
    <w:rsid w:val="00283F25"/>
    <w:rsid w:val="00284CF7"/>
    <w:rsid w:val="00285024"/>
    <w:rsid w:val="002855DF"/>
    <w:rsid w:val="002859AC"/>
    <w:rsid w:val="00285FC3"/>
    <w:rsid w:val="00286159"/>
    <w:rsid w:val="00286291"/>
    <w:rsid w:val="002863FA"/>
    <w:rsid w:val="0028664A"/>
    <w:rsid w:val="00286A19"/>
    <w:rsid w:val="00286D03"/>
    <w:rsid w:val="00286ECA"/>
    <w:rsid w:val="00287128"/>
    <w:rsid w:val="00287351"/>
    <w:rsid w:val="00287391"/>
    <w:rsid w:val="00287AD0"/>
    <w:rsid w:val="00287B47"/>
    <w:rsid w:val="002907C8"/>
    <w:rsid w:val="00290B26"/>
    <w:rsid w:val="00290BE1"/>
    <w:rsid w:val="00291017"/>
    <w:rsid w:val="002912F2"/>
    <w:rsid w:val="00291B30"/>
    <w:rsid w:val="0029203C"/>
    <w:rsid w:val="002929F9"/>
    <w:rsid w:val="00292ACF"/>
    <w:rsid w:val="00293213"/>
    <w:rsid w:val="00293825"/>
    <w:rsid w:val="00293B5F"/>
    <w:rsid w:val="00293E21"/>
    <w:rsid w:val="00294318"/>
    <w:rsid w:val="002943BC"/>
    <w:rsid w:val="00294E60"/>
    <w:rsid w:val="00294EA4"/>
    <w:rsid w:val="0029531D"/>
    <w:rsid w:val="00295488"/>
    <w:rsid w:val="002955C1"/>
    <w:rsid w:val="00295B31"/>
    <w:rsid w:val="00295C4E"/>
    <w:rsid w:val="0029643A"/>
    <w:rsid w:val="00296708"/>
    <w:rsid w:val="00296B56"/>
    <w:rsid w:val="00296B87"/>
    <w:rsid w:val="00296C50"/>
    <w:rsid w:val="00296EA8"/>
    <w:rsid w:val="00297119"/>
    <w:rsid w:val="002971BA"/>
    <w:rsid w:val="0029727F"/>
    <w:rsid w:val="00297789"/>
    <w:rsid w:val="00297917"/>
    <w:rsid w:val="002A02A7"/>
    <w:rsid w:val="002A0324"/>
    <w:rsid w:val="002A0349"/>
    <w:rsid w:val="002A0527"/>
    <w:rsid w:val="002A08DF"/>
    <w:rsid w:val="002A0E9E"/>
    <w:rsid w:val="002A116E"/>
    <w:rsid w:val="002A1ABE"/>
    <w:rsid w:val="002A2232"/>
    <w:rsid w:val="002A23C5"/>
    <w:rsid w:val="002A29A2"/>
    <w:rsid w:val="002A2B3D"/>
    <w:rsid w:val="002A33E3"/>
    <w:rsid w:val="002A3BAC"/>
    <w:rsid w:val="002A3C21"/>
    <w:rsid w:val="002A45C4"/>
    <w:rsid w:val="002A48F7"/>
    <w:rsid w:val="002A4C3D"/>
    <w:rsid w:val="002A4EA9"/>
    <w:rsid w:val="002A5086"/>
    <w:rsid w:val="002A5257"/>
    <w:rsid w:val="002A573C"/>
    <w:rsid w:val="002A5748"/>
    <w:rsid w:val="002A616F"/>
    <w:rsid w:val="002A6873"/>
    <w:rsid w:val="002A77BB"/>
    <w:rsid w:val="002A7CB5"/>
    <w:rsid w:val="002A7DCB"/>
    <w:rsid w:val="002B127E"/>
    <w:rsid w:val="002B1BAA"/>
    <w:rsid w:val="002B1BE6"/>
    <w:rsid w:val="002B1D44"/>
    <w:rsid w:val="002B25A0"/>
    <w:rsid w:val="002B25D6"/>
    <w:rsid w:val="002B2C6E"/>
    <w:rsid w:val="002B3A73"/>
    <w:rsid w:val="002B41F7"/>
    <w:rsid w:val="002B43E5"/>
    <w:rsid w:val="002B4681"/>
    <w:rsid w:val="002B47F5"/>
    <w:rsid w:val="002B495D"/>
    <w:rsid w:val="002B4A4D"/>
    <w:rsid w:val="002B4AEB"/>
    <w:rsid w:val="002B5309"/>
    <w:rsid w:val="002B544B"/>
    <w:rsid w:val="002B54B9"/>
    <w:rsid w:val="002B5FC6"/>
    <w:rsid w:val="002B661F"/>
    <w:rsid w:val="002B67DC"/>
    <w:rsid w:val="002B69E6"/>
    <w:rsid w:val="002B6D5E"/>
    <w:rsid w:val="002B7713"/>
    <w:rsid w:val="002B774D"/>
    <w:rsid w:val="002B7DAB"/>
    <w:rsid w:val="002C0C9F"/>
    <w:rsid w:val="002C0D0D"/>
    <w:rsid w:val="002C121E"/>
    <w:rsid w:val="002C1395"/>
    <w:rsid w:val="002C15CF"/>
    <w:rsid w:val="002C1E8A"/>
    <w:rsid w:val="002C221B"/>
    <w:rsid w:val="002C27A3"/>
    <w:rsid w:val="002C2879"/>
    <w:rsid w:val="002C3E3E"/>
    <w:rsid w:val="002C3F60"/>
    <w:rsid w:val="002C41A6"/>
    <w:rsid w:val="002C433F"/>
    <w:rsid w:val="002C4408"/>
    <w:rsid w:val="002C4637"/>
    <w:rsid w:val="002C4E44"/>
    <w:rsid w:val="002C4EEC"/>
    <w:rsid w:val="002C5037"/>
    <w:rsid w:val="002C5530"/>
    <w:rsid w:val="002C5ABC"/>
    <w:rsid w:val="002C5FD2"/>
    <w:rsid w:val="002C617F"/>
    <w:rsid w:val="002C6A2C"/>
    <w:rsid w:val="002C6EA6"/>
    <w:rsid w:val="002C73DB"/>
    <w:rsid w:val="002C75DF"/>
    <w:rsid w:val="002D172A"/>
    <w:rsid w:val="002D1832"/>
    <w:rsid w:val="002D197B"/>
    <w:rsid w:val="002D1A2F"/>
    <w:rsid w:val="002D25BC"/>
    <w:rsid w:val="002D2619"/>
    <w:rsid w:val="002D2A81"/>
    <w:rsid w:val="002D2AF7"/>
    <w:rsid w:val="002D2BBF"/>
    <w:rsid w:val="002D2E53"/>
    <w:rsid w:val="002D35B4"/>
    <w:rsid w:val="002D3990"/>
    <w:rsid w:val="002D3EA6"/>
    <w:rsid w:val="002D42F2"/>
    <w:rsid w:val="002D4C3A"/>
    <w:rsid w:val="002D4D3F"/>
    <w:rsid w:val="002D521C"/>
    <w:rsid w:val="002D630C"/>
    <w:rsid w:val="002D689D"/>
    <w:rsid w:val="002D6DA0"/>
    <w:rsid w:val="002D741B"/>
    <w:rsid w:val="002D78D6"/>
    <w:rsid w:val="002D79B4"/>
    <w:rsid w:val="002D7F1E"/>
    <w:rsid w:val="002E057A"/>
    <w:rsid w:val="002E05B0"/>
    <w:rsid w:val="002E08D7"/>
    <w:rsid w:val="002E0937"/>
    <w:rsid w:val="002E0BA2"/>
    <w:rsid w:val="002E0EEB"/>
    <w:rsid w:val="002E148D"/>
    <w:rsid w:val="002E1555"/>
    <w:rsid w:val="002E17D0"/>
    <w:rsid w:val="002E2961"/>
    <w:rsid w:val="002E2C63"/>
    <w:rsid w:val="002E2F56"/>
    <w:rsid w:val="002E33E0"/>
    <w:rsid w:val="002E3724"/>
    <w:rsid w:val="002E3913"/>
    <w:rsid w:val="002E3971"/>
    <w:rsid w:val="002E3C41"/>
    <w:rsid w:val="002E3D74"/>
    <w:rsid w:val="002E3F95"/>
    <w:rsid w:val="002E40D8"/>
    <w:rsid w:val="002E51E9"/>
    <w:rsid w:val="002E52AF"/>
    <w:rsid w:val="002E586B"/>
    <w:rsid w:val="002E5C56"/>
    <w:rsid w:val="002E5DE4"/>
    <w:rsid w:val="002E5FF8"/>
    <w:rsid w:val="002E666F"/>
    <w:rsid w:val="002E6953"/>
    <w:rsid w:val="002E6993"/>
    <w:rsid w:val="002E69C0"/>
    <w:rsid w:val="002E70A7"/>
    <w:rsid w:val="002E7929"/>
    <w:rsid w:val="002F03D8"/>
    <w:rsid w:val="002F0795"/>
    <w:rsid w:val="002F0DE3"/>
    <w:rsid w:val="002F10C7"/>
    <w:rsid w:val="002F13FC"/>
    <w:rsid w:val="002F16E9"/>
    <w:rsid w:val="002F16F6"/>
    <w:rsid w:val="002F1C2E"/>
    <w:rsid w:val="002F1D89"/>
    <w:rsid w:val="002F1F43"/>
    <w:rsid w:val="002F31CB"/>
    <w:rsid w:val="002F31F7"/>
    <w:rsid w:val="002F3966"/>
    <w:rsid w:val="002F3B41"/>
    <w:rsid w:val="002F3B91"/>
    <w:rsid w:val="002F3D5C"/>
    <w:rsid w:val="002F43E4"/>
    <w:rsid w:val="002F4E9C"/>
    <w:rsid w:val="002F641F"/>
    <w:rsid w:val="002F676C"/>
    <w:rsid w:val="002F72F5"/>
    <w:rsid w:val="002F736B"/>
    <w:rsid w:val="002F787F"/>
    <w:rsid w:val="002F79FB"/>
    <w:rsid w:val="002F7E62"/>
    <w:rsid w:val="002F7F03"/>
    <w:rsid w:val="0030130A"/>
    <w:rsid w:val="00301575"/>
    <w:rsid w:val="003015F4"/>
    <w:rsid w:val="00301AEA"/>
    <w:rsid w:val="003026AC"/>
    <w:rsid w:val="00303BB2"/>
    <w:rsid w:val="00303C80"/>
    <w:rsid w:val="00304371"/>
    <w:rsid w:val="0030443F"/>
    <w:rsid w:val="00304761"/>
    <w:rsid w:val="003049F9"/>
    <w:rsid w:val="00305301"/>
    <w:rsid w:val="00305B00"/>
    <w:rsid w:val="00305CEE"/>
    <w:rsid w:val="00306E40"/>
    <w:rsid w:val="00306F1E"/>
    <w:rsid w:val="003071F6"/>
    <w:rsid w:val="00307290"/>
    <w:rsid w:val="00307B8A"/>
    <w:rsid w:val="00307CA8"/>
    <w:rsid w:val="00307F1A"/>
    <w:rsid w:val="00310EEA"/>
    <w:rsid w:val="00311479"/>
    <w:rsid w:val="00311E9F"/>
    <w:rsid w:val="0031202B"/>
    <w:rsid w:val="0031260C"/>
    <w:rsid w:val="003127BF"/>
    <w:rsid w:val="00313076"/>
    <w:rsid w:val="00313428"/>
    <w:rsid w:val="00313485"/>
    <w:rsid w:val="0031363C"/>
    <w:rsid w:val="003136A7"/>
    <w:rsid w:val="0031390D"/>
    <w:rsid w:val="00314084"/>
    <w:rsid w:val="00314656"/>
    <w:rsid w:val="003159D5"/>
    <w:rsid w:val="0031633A"/>
    <w:rsid w:val="003171CC"/>
    <w:rsid w:val="00317823"/>
    <w:rsid w:val="0031785D"/>
    <w:rsid w:val="003202A8"/>
    <w:rsid w:val="003209E8"/>
    <w:rsid w:val="00321583"/>
    <w:rsid w:val="003216A2"/>
    <w:rsid w:val="00321738"/>
    <w:rsid w:val="003219B0"/>
    <w:rsid w:val="00321CAB"/>
    <w:rsid w:val="0032213E"/>
    <w:rsid w:val="003226F9"/>
    <w:rsid w:val="00322C10"/>
    <w:rsid w:val="00322E53"/>
    <w:rsid w:val="00322FD3"/>
    <w:rsid w:val="00323293"/>
    <w:rsid w:val="003234B5"/>
    <w:rsid w:val="00323711"/>
    <w:rsid w:val="0032494B"/>
    <w:rsid w:val="00324C96"/>
    <w:rsid w:val="003250F8"/>
    <w:rsid w:val="003255E5"/>
    <w:rsid w:val="00326007"/>
    <w:rsid w:val="0032653B"/>
    <w:rsid w:val="00326FF7"/>
    <w:rsid w:val="0032764F"/>
    <w:rsid w:val="003276A6"/>
    <w:rsid w:val="00327D81"/>
    <w:rsid w:val="00327FEB"/>
    <w:rsid w:val="00330541"/>
    <w:rsid w:val="003312F1"/>
    <w:rsid w:val="003314AC"/>
    <w:rsid w:val="0033240E"/>
    <w:rsid w:val="00333428"/>
    <w:rsid w:val="003338E6"/>
    <w:rsid w:val="00333A7A"/>
    <w:rsid w:val="00333FF5"/>
    <w:rsid w:val="003345D8"/>
    <w:rsid w:val="00334E8B"/>
    <w:rsid w:val="003352BA"/>
    <w:rsid w:val="00335580"/>
    <w:rsid w:val="00335635"/>
    <w:rsid w:val="00335648"/>
    <w:rsid w:val="00335984"/>
    <w:rsid w:val="00335A71"/>
    <w:rsid w:val="003361BD"/>
    <w:rsid w:val="00336636"/>
    <w:rsid w:val="00336679"/>
    <w:rsid w:val="0033670C"/>
    <w:rsid w:val="00336D67"/>
    <w:rsid w:val="003372A6"/>
    <w:rsid w:val="003374D6"/>
    <w:rsid w:val="003378AE"/>
    <w:rsid w:val="00337EDC"/>
    <w:rsid w:val="00337FE8"/>
    <w:rsid w:val="00340448"/>
    <w:rsid w:val="00340506"/>
    <w:rsid w:val="0034065A"/>
    <w:rsid w:val="00340CD2"/>
    <w:rsid w:val="00340EA0"/>
    <w:rsid w:val="00341083"/>
    <w:rsid w:val="00341D15"/>
    <w:rsid w:val="00342F5A"/>
    <w:rsid w:val="00342FEC"/>
    <w:rsid w:val="003433D4"/>
    <w:rsid w:val="0034377C"/>
    <w:rsid w:val="00343AB6"/>
    <w:rsid w:val="00344271"/>
    <w:rsid w:val="003448FE"/>
    <w:rsid w:val="00344BED"/>
    <w:rsid w:val="00344FFE"/>
    <w:rsid w:val="003454A7"/>
    <w:rsid w:val="00345707"/>
    <w:rsid w:val="00345AEC"/>
    <w:rsid w:val="00345B50"/>
    <w:rsid w:val="00345C31"/>
    <w:rsid w:val="00345DA3"/>
    <w:rsid w:val="00345EC1"/>
    <w:rsid w:val="00345ECA"/>
    <w:rsid w:val="0034661D"/>
    <w:rsid w:val="00346CC2"/>
    <w:rsid w:val="0034735E"/>
    <w:rsid w:val="0034752D"/>
    <w:rsid w:val="003477F9"/>
    <w:rsid w:val="00347804"/>
    <w:rsid w:val="00350078"/>
    <w:rsid w:val="00350C66"/>
    <w:rsid w:val="00350D07"/>
    <w:rsid w:val="00350E7D"/>
    <w:rsid w:val="00351126"/>
    <w:rsid w:val="0035174A"/>
    <w:rsid w:val="00351A71"/>
    <w:rsid w:val="00352794"/>
    <w:rsid w:val="00352BB9"/>
    <w:rsid w:val="00352BC5"/>
    <w:rsid w:val="0035369B"/>
    <w:rsid w:val="003536FF"/>
    <w:rsid w:val="00354013"/>
    <w:rsid w:val="0035430C"/>
    <w:rsid w:val="003544C2"/>
    <w:rsid w:val="00355DA2"/>
    <w:rsid w:val="0035609E"/>
    <w:rsid w:val="003567B4"/>
    <w:rsid w:val="00356C7C"/>
    <w:rsid w:val="00356DC0"/>
    <w:rsid w:val="00356DCC"/>
    <w:rsid w:val="00356F9A"/>
    <w:rsid w:val="00357009"/>
    <w:rsid w:val="0035714E"/>
    <w:rsid w:val="00357CA8"/>
    <w:rsid w:val="00357CC5"/>
    <w:rsid w:val="00357F51"/>
    <w:rsid w:val="00360405"/>
    <w:rsid w:val="00360772"/>
    <w:rsid w:val="003607C6"/>
    <w:rsid w:val="0036164B"/>
    <w:rsid w:val="00361F3B"/>
    <w:rsid w:val="00361F46"/>
    <w:rsid w:val="00361FAC"/>
    <w:rsid w:val="003630DF"/>
    <w:rsid w:val="00363458"/>
    <w:rsid w:val="0036373B"/>
    <w:rsid w:val="0036374B"/>
    <w:rsid w:val="00364384"/>
    <w:rsid w:val="003654CE"/>
    <w:rsid w:val="00365903"/>
    <w:rsid w:val="00365ED2"/>
    <w:rsid w:val="00366D96"/>
    <w:rsid w:val="0037028F"/>
    <w:rsid w:val="003702FB"/>
    <w:rsid w:val="00370C01"/>
    <w:rsid w:val="003712FD"/>
    <w:rsid w:val="0037150B"/>
    <w:rsid w:val="003716F2"/>
    <w:rsid w:val="00371B43"/>
    <w:rsid w:val="00371E12"/>
    <w:rsid w:val="00371FF2"/>
    <w:rsid w:val="00372078"/>
    <w:rsid w:val="00373020"/>
    <w:rsid w:val="003731AB"/>
    <w:rsid w:val="00373736"/>
    <w:rsid w:val="003747AB"/>
    <w:rsid w:val="00374844"/>
    <w:rsid w:val="00374C98"/>
    <w:rsid w:val="003751A2"/>
    <w:rsid w:val="0037526B"/>
    <w:rsid w:val="0037529F"/>
    <w:rsid w:val="003752EC"/>
    <w:rsid w:val="0037585C"/>
    <w:rsid w:val="00376AC4"/>
    <w:rsid w:val="003772F3"/>
    <w:rsid w:val="003777B7"/>
    <w:rsid w:val="00377991"/>
    <w:rsid w:val="0038025B"/>
    <w:rsid w:val="00380571"/>
    <w:rsid w:val="0038067E"/>
    <w:rsid w:val="003806FF"/>
    <w:rsid w:val="00381107"/>
    <w:rsid w:val="0038131D"/>
    <w:rsid w:val="00381490"/>
    <w:rsid w:val="003814A0"/>
    <w:rsid w:val="0038184F"/>
    <w:rsid w:val="00381DB5"/>
    <w:rsid w:val="00381DE3"/>
    <w:rsid w:val="00381E21"/>
    <w:rsid w:val="00381E59"/>
    <w:rsid w:val="00381E76"/>
    <w:rsid w:val="00381E9E"/>
    <w:rsid w:val="003821A9"/>
    <w:rsid w:val="003828AD"/>
    <w:rsid w:val="003828C1"/>
    <w:rsid w:val="00382A30"/>
    <w:rsid w:val="00382A60"/>
    <w:rsid w:val="00382AB2"/>
    <w:rsid w:val="00383090"/>
    <w:rsid w:val="003830F8"/>
    <w:rsid w:val="00383520"/>
    <w:rsid w:val="00383B0D"/>
    <w:rsid w:val="00383BAE"/>
    <w:rsid w:val="00383DAC"/>
    <w:rsid w:val="00384156"/>
    <w:rsid w:val="0038418D"/>
    <w:rsid w:val="00384861"/>
    <w:rsid w:val="00384B11"/>
    <w:rsid w:val="00384D16"/>
    <w:rsid w:val="00384DD2"/>
    <w:rsid w:val="0038509C"/>
    <w:rsid w:val="00385456"/>
    <w:rsid w:val="00385475"/>
    <w:rsid w:val="00385C06"/>
    <w:rsid w:val="0038601E"/>
    <w:rsid w:val="003870E1"/>
    <w:rsid w:val="00387980"/>
    <w:rsid w:val="00387FEA"/>
    <w:rsid w:val="00390163"/>
    <w:rsid w:val="00390198"/>
    <w:rsid w:val="0039033E"/>
    <w:rsid w:val="0039091E"/>
    <w:rsid w:val="0039095D"/>
    <w:rsid w:val="003912FA"/>
    <w:rsid w:val="003913FE"/>
    <w:rsid w:val="0039163D"/>
    <w:rsid w:val="003919C8"/>
    <w:rsid w:val="00391BA4"/>
    <w:rsid w:val="00391CD9"/>
    <w:rsid w:val="00391DF6"/>
    <w:rsid w:val="0039208F"/>
    <w:rsid w:val="003922C8"/>
    <w:rsid w:val="00393554"/>
    <w:rsid w:val="00393668"/>
    <w:rsid w:val="00393937"/>
    <w:rsid w:val="00393AC2"/>
    <w:rsid w:val="00393CA2"/>
    <w:rsid w:val="00393ED2"/>
    <w:rsid w:val="00394081"/>
    <w:rsid w:val="00394C2D"/>
    <w:rsid w:val="00395090"/>
    <w:rsid w:val="00395A9D"/>
    <w:rsid w:val="00395BE3"/>
    <w:rsid w:val="003962E7"/>
    <w:rsid w:val="00396445"/>
    <w:rsid w:val="00396807"/>
    <w:rsid w:val="00396884"/>
    <w:rsid w:val="00396F82"/>
    <w:rsid w:val="00397787"/>
    <w:rsid w:val="003979D4"/>
    <w:rsid w:val="00397F14"/>
    <w:rsid w:val="003A0068"/>
    <w:rsid w:val="003A07D6"/>
    <w:rsid w:val="003A0978"/>
    <w:rsid w:val="003A0E0B"/>
    <w:rsid w:val="003A0E53"/>
    <w:rsid w:val="003A0EEA"/>
    <w:rsid w:val="003A146C"/>
    <w:rsid w:val="003A196B"/>
    <w:rsid w:val="003A19A1"/>
    <w:rsid w:val="003A1B33"/>
    <w:rsid w:val="003A1F4B"/>
    <w:rsid w:val="003A208A"/>
    <w:rsid w:val="003A268D"/>
    <w:rsid w:val="003A2D1A"/>
    <w:rsid w:val="003A2D31"/>
    <w:rsid w:val="003A2E79"/>
    <w:rsid w:val="003A3212"/>
    <w:rsid w:val="003A38DF"/>
    <w:rsid w:val="003A3AFF"/>
    <w:rsid w:val="003A3C9C"/>
    <w:rsid w:val="003A4344"/>
    <w:rsid w:val="003A437B"/>
    <w:rsid w:val="003A4BCD"/>
    <w:rsid w:val="003A507D"/>
    <w:rsid w:val="003A55B1"/>
    <w:rsid w:val="003A5658"/>
    <w:rsid w:val="003A6AE6"/>
    <w:rsid w:val="003A720C"/>
    <w:rsid w:val="003A73DD"/>
    <w:rsid w:val="003A745F"/>
    <w:rsid w:val="003A769C"/>
    <w:rsid w:val="003A7DA0"/>
    <w:rsid w:val="003B021C"/>
    <w:rsid w:val="003B0366"/>
    <w:rsid w:val="003B0536"/>
    <w:rsid w:val="003B0AB2"/>
    <w:rsid w:val="003B15D1"/>
    <w:rsid w:val="003B19BF"/>
    <w:rsid w:val="003B1EE4"/>
    <w:rsid w:val="003B25FD"/>
    <w:rsid w:val="003B2963"/>
    <w:rsid w:val="003B313C"/>
    <w:rsid w:val="003B3B92"/>
    <w:rsid w:val="003B40F2"/>
    <w:rsid w:val="003B4A12"/>
    <w:rsid w:val="003B5035"/>
    <w:rsid w:val="003B5121"/>
    <w:rsid w:val="003B5366"/>
    <w:rsid w:val="003B5534"/>
    <w:rsid w:val="003B55C6"/>
    <w:rsid w:val="003B5630"/>
    <w:rsid w:val="003B58AF"/>
    <w:rsid w:val="003B6201"/>
    <w:rsid w:val="003B68A4"/>
    <w:rsid w:val="003B6E82"/>
    <w:rsid w:val="003B72A5"/>
    <w:rsid w:val="003B7B62"/>
    <w:rsid w:val="003B7CF7"/>
    <w:rsid w:val="003C0023"/>
    <w:rsid w:val="003C002E"/>
    <w:rsid w:val="003C0327"/>
    <w:rsid w:val="003C0C7C"/>
    <w:rsid w:val="003C0D56"/>
    <w:rsid w:val="003C10E2"/>
    <w:rsid w:val="003C138F"/>
    <w:rsid w:val="003C13ED"/>
    <w:rsid w:val="003C1C55"/>
    <w:rsid w:val="003C1EF6"/>
    <w:rsid w:val="003C2530"/>
    <w:rsid w:val="003C2764"/>
    <w:rsid w:val="003C2B8B"/>
    <w:rsid w:val="003C2C73"/>
    <w:rsid w:val="003C2C9B"/>
    <w:rsid w:val="003C2CBC"/>
    <w:rsid w:val="003C42CC"/>
    <w:rsid w:val="003C4A2E"/>
    <w:rsid w:val="003C556C"/>
    <w:rsid w:val="003C6461"/>
    <w:rsid w:val="003C6A23"/>
    <w:rsid w:val="003C7A32"/>
    <w:rsid w:val="003C7B8A"/>
    <w:rsid w:val="003C7E53"/>
    <w:rsid w:val="003D0126"/>
    <w:rsid w:val="003D0268"/>
    <w:rsid w:val="003D0381"/>
    <w:rsid w:val="003D0A11"/>
    <w:rsid w:val="003D1919"/>
    <w:rsid w:val="003D1958"/>
    <w:rsid w:val="003D1F1E"/>
    <w:rsid w:val="003D248E"/>
    <w:rsid w:val="003D25D4"/>
    <w:rsid w:val="003D2780"/>
    <w:rsid w:val="003D27F5"/>
    <w:rsid w:val="003D292B"/>
    <w:rsid w:val="003D298B"/>
    <w:rsid w:val="003D2A81"/>
    <w:rsid w:val="003D30DE"/>
    <w:rsid w:val="003D3397"/>
    <w:rsid w:val="003D3A4A"/>
    <w:rsid w:val="003D47A6"/>
    <w:rsid w:val="003D4A45"/>
    <w:rsid w:val="003D5180"/>
    <w:rsid w:val="003D5650"/>
    <w:rsid w:val="003D56DE"/>
    <w:rsid w:val="003D587C"/>
    <w:rsid w:val="003D58C6"/>
    <w:rsid w:val="003D5C3E"/>
    <w:rsid w:val="003D5C5F"/>
    <w:rsid w:val="003D67B6"/>
    <w:rsid w:val="003D6FDD"/>
    <w:rsid w:val="003D7607"/>
    <w:rsid w:val="003D7BCB"/>
    <w:rsid w:val="003E018D"/>
    <w:rsid w:val="003E01A6"/>
    <w:rsid w:val="003E03B7"/>
    <w:rsid w:val="003E06D1"/>
    <w:rsid w:val="003E0A1E"/>
    <w:rsid w:val="003E0B41"/>
    <w:rsid w:val="003E17E9"/>
    <w:rsid w:val="003E2A51"/>
    <w:rsid w:val="003E2B41"/>
    <w:rsid w:val="003E38E1"/>
    <w:rsid w:val="003E3D74"/>
    <w:rsid w:val="003E3FC4"/>
    <w:rsid w:val="003E420C"/>
    <w:rsid w:val="003E44C3"/>
    <w:rsid w:val="003E45E7"/>
    <w:rsid w:val="003E490B"/>
    <w:rsid w:val="003E4C64"/>
    <w:rsid w:val="003E559C"/>
    <w:rsid w:val="003E56D1"/>
    <w:rsid w:val="003E57AB"/>
    <w:rsid w:val="003E5954"/>
    <w:rsid w:val="003E597C"/>
    <w:rsid w:val="003E6953"/>
    <w:rsid w:val="003E6B5F"/>
    <w:rsid w:val="003E7980"/>
    <w:rsid w:val="003E7C41"/>
    <w:rsid w:val="003F044B"/>
    <w:rsid w:val="003F073B"/>
    <w:rsid w:val="003F08F4"/>
    <w:rsid w:val="003F0B2D"/>
    <w:rsid w:val="003F0D73"/>
    <w:rsid w:val="003F1135"/>
    <w:rsid w:val="003F1963"/>
    <w:rsid w:val="003F1A2F"/>
    <w:rsid w:val="003F1F01"/>
    <w:rsid w:val="003F1FFF"/>
    <w:rsid w:val="003F218C"/>
    <w:rsid w:val="003F22EB"/>
    <w:rsid w:val="003F22F2"/>
    <w:rsid w:val="003F22FA"/>
    <w:rsid w:val="003F2473"/>
    <w:rsid w:val="003F2CC7"/>
    <w:rsid w:val="003F3AAA"/>
    <w:rsid w:val="003F3C0C"/>
    <w:rsid w:val="003F3FC7"/>
    <w:rsid w:val="003F4AB2"/>
    <w:rsid w:val="003F4CDA"/>
    <w:rsid w:val="003F4E48"/>
    <w:rsid w:val="003F526F"/>
    <w:rsid w:val="003F629C"/>
    <w:rsid w:val="003F690B"/>
    <w:rsid w:val="003F6BEA"/>
    <w:rsid w:val="003F6FAD"/>
    <w:rsid w:val="003F7014"/>
    <w:rsid w:val="003F7903"/>
    <w:rsid w:val="003F7C5E"/>
    <w:rsid w:val="003F7CDE"/>
    <w:rsid w:val="003F7D4B"/>
    <w:rsid w:val="003F7FB1"/>
    <w:rsid w:val="004008E9"/>
    <w:rsid w:val="004014EB"/>
    <w:rsid w:val="00401CCC"/>
    <w:rsid w:val="00402B60"/>
    <w:rsid w:val="00402BC0"/>
    <w:rsid w:val="004031CF"/>
    <w:rsid w:val="00403AEC"/>
    <w:rsid w:val="00403FFC"/>
    <w:rsid w:val="004041D3"/>
    <w:rsid w:val="00404868"/>
    <w:rsid w:val="004048E8"/>
    <w:rsid w:val="00404966"/>
    <w:rsid w:val="00404AD8"/>
    <w:rsid w:val="00404B02"/>
    <w:rsid w:val="00404E65"/>
    <w:rsid w:val="0040562B"/>
    <w:rsid w:val="004059A0"/>
    <w:rsid w:val="00405B54"/>
    <w:rsid w:val="0040623E"/>
    <w:rsid w:val="0040695B"/>
    <w:rsid w:val="00406968"/>
    <w:rsid w:val="00406E8E"/>
    <w:rsid w:val="0040759A"/>
    <w:rsid w:val="00407CD8"/>
    <w:rsid w:val="00407E31"/>
    <w:rsid w:val="00410784"/>
    <w:rsid w:val="00410950"/>
    <w:rsid w:val="00410F00"/>
    <w:rsid w:val="00411DCB"/>
    <w:rsid w:val="004127F1"/>
    <w:rsid w:val="00412877"/>
    <w:rsid w:val="004128F5"/>
    <w:rsid w:val="00412AA9"/>
    <w:rsid w:val="00412AB9"/>
    <w:rsid w:val="00413261"/>
    <w:rsid w:val="0041356A"/>
    <w:rsid w:val="004135CC"/>
    <w:rsid w:val="00413646"/>
    <w:rsid w:val="00413901"/>
    <w:rsid w:val="00413A3B"/>
    <w:rsid w:val="0041426B"/>
    <w:rsid w:val="004143B6"/>
    <w:rsid w:val="00414492"/>
    <w:rsid w:val="00414658"/>
    <w:rsid w:val="00414743"/>
    <w:rsid w:val="004147D3"/>
    <w:rsid w:val="00414E5B"/>
    <w:rsid w:val="00415837"/>
    <w:rsid w:val="0041592B"/>
    <w:rsid w:val="00415CBC"/>
    <w:rsid w:val="00416781"/>
    <w:rsid w:val="00416932"/>
    <w:rsid w:val="004169B5"/>
    <w:rsid w:val="004170E3"/>
    <w:rsid w:val="00420117"/>
    <w:rsid w:val="00420158"/>
    <w:rsid w:val="00420904"/>
    <w:rsid w:val="00420AA4"/>
    <w:rsid w:val="00421079"/>
    <w:rsid w:val="0042132B"/>
    <w:rsid w:val="00421793"/>
    <w:rsid w:val="0042197B"/>
    <w:rsid w:val="004224FF"/>
    <w:rsid w:val="00422765"/>
    <w:rsid w:val="00422AB7"/>
    <w:rsid w:val="00423D9E"/>
    <w:rsid w:val="00424187"/>
    <w:rsid w:val="004248BB"/>
    <w:rsid w:val="00424A71"/>
    <w:rsid w:val="00424F0F"/>
    <w:rsid w:val="004260FA"/>
    <w:rsid w:val="004274DA"/>
    <w:rsid w:val="00427B18"/>
    <w:rsid w:val="00430124"/>
    <w:rsid w:val="00431966"/>
    <w:rsid w:val="00431BE0"/>
    <w:rsid w:val="00432088"/>
    <w:rsid w:val="00432D07"/>
    <w:rsid w:val="00433900"/>
    <w:rsid w:val="004339BD"/>
    <w:rsid w:val="00433B53"/>
    <w:rsid w:val="00433EE2"/>
    <w:rsid w:val="00434053"/>
    <w:rsid w:val="00434109"/>
    <w:rsid w:val="00434576"/>
    <w:rsid w:val="0043479B"/>
    <w:rsid w:val="00434A33"/>
    <w:rsid w:val="004356B5"/>
    <w:rsid w:val="004360DE"/>
    <w:rsid w:val="004369A0"/>
    <w:rsid w:val="00436A8C"/>
    <w:rsid w:val="00436E53"/>
    <w:rsid w:val="00436F50"/>
    <w:rsid w:val="0043702B"/>
    <w:rsid w:val="0043705A"/>
    <w:rsid w:val="00437FB8"/>
    <w:rsid w:val="0044009A"/>
    <w:rsid w:val="00440A02"/>
    <w:rsid w:val="00440FA1"/>
    <w:rsid w:val="00440FBC"/>
    <w:rsid w:val="00441171"/>
    <w:rsid w:val="00441429"/>
    <w:rsid w:val="004415A3"/>
    <w:rsid w:val="00441664"/>
    <w:rsid w:val="00441BCB"/>
    <w:rsid w:val="00442187"/>
    <w:rsid w:val="0044250D"/>
    <w:rsid w:val="004436E9"/>
    <w:rsid w:val="00443914"/>
    <w:rsid w:val="0044466C"/>
    <w:rsid w:val="004448DF"/>
    <w:rsid w:val="004449B1"/>
    <w:rsid w:val="00444B08"/>
    <w:rsid w:val="00444B83"/>
    <w:rsid w:val="00444BE0"/>
    <w:rsid w:val="00445EB9"/>
    <w:rsid w:val="00446637"/>
    <w:rsid w:val="004468DF"/>
    <w:rsid w:val="00446B07"/>
    <w:rsid w:val="00446C35"/>
    <w:rsid w:val="00446E0B"/>
    <w:rsid w:val="00447E37"/>
    <w:rsid w:val="004507BC"/>
    <w:rsid w:val="00450AFB"/>
    <w:rsid w:val="00450BAD"/>
    <w:rsid w:val="00450BE6"/>
    <w:rsid w:val="0045135F"/>
    <w:rsid w:val="004514B0"/>
    <w:rsid w:val="00451983"/>
    <w:rsid w:val="004521E5"/>
    <w:rsid w:val="00452584"/>
    <w:rsid w:val="004526BB"/>
    <w:rsid w:val="00452CC0"/>
    <w:rsid w:val="00453095"/>
    <w:rsid w:val="00453748"/>
    <w:rsid w:val="00453B0A"/>
    <w:rsid w:val="00453BD0"/>
    <w:rsid w:val="00454100"/>
    <w:rsid w:val="0045442C"/>
    <w:rsid w:val="00454434"/>
    <w:rsid w:val="004547E9"/>
    <w:rsid w:val="004548DB"/>
    <w:rsid w:val="00454A07"/>
    <w:rsid w:val="00454DB0"/>
    <w:rsid w:val="004550C9"/>
    <w:rsid w:val="004551D7"/>
    <w:rsid w:val="004553C8"/>
    <w:rsid w:val="0045550F"/>
    <w:rsid w:val="00455C98"/>
    <w:rsid w:val="00455F98"/>
    <w:rsid w:val="0045695F"/>
    <w:rsid w:val="00456BA5"/>
    <w:rsid w:val="00456BF7"/>
    <w:rsid w:val="00456C97"/>
    <w:rsid w:val="00457113"/>
    <w:rsid w:val="004572B8"/>
    <w:rsid w:val="00457427"/>
    <w:rsid w:val="004575BB"/>
    <w:rsid w:val="00460113"/>
    <w:rsid w:val="00460971"/>
    <w:rsid w:val="00460E87"/>
    <w:rsid w:val="00462CC9"/>
    <w:rsid w:val="00462F98"/>
    <w:rsid w:val="004631F0"/>
    <w:rsid w:val="0046350D"/>
    <w:rsid w:val="00463681"/>
    <w:rsid w:val="004636D1"/>
    <w:rsid w:val="00463E04"/>
    <w:rsid w:val="00464C91"/>
    <w:rsid w:val="00464DA2"/>
    <w:rsid w:val="004652BB"/>
    <w:rsid w:val="00465ADB"/>
    <w:rsid w:val="00465F6A"/>
    <w:rsid w:val="00465FD0"/>
    <w:rsid w:val="0046621F"/>
    <w:rsid w:val="00466224"/>
    <w:rsid w:val="004662A7"/>
    <w:rsid w:val="00466CA6"/>
    <w:rsid w:val="00466FA6"/>
    <w:rsid w:val="004675BD"/>
    <w:rsid w:val="004678D4"/>
    <w:rsid w:val="004679EC"/>
    <w:rsid w:val="00467A65"/>
    <w:rsid w:val="004703F0"/>
    <w:rsid w:val="00470891"/>
    <w:rsid w:val="00470E8D"/>
    <w:rsid w:val="00471553"/>
    <w:rsid w:val="00471A27"/>
    <w:rsid w:val="00471C86"/>
    <w:rsid w:val="004720E2"/>
    <w:rsid w:val="0047279E"/>
    <w:rsid w:val="00472FFC"/>
    <w:rsid w:val="00473497"/>
    <w:rsid w:val="004734E1"/>
    <w:rsid w:val="004734EC"/>
    <w:rsid w:val="004737B7"/>
    <w:rsid w:val="00473BBA"/>
    <w:rsid w:val="00473BD3"/>
    <w:rsid w:val="00473DDA"/>
    <w:rsid w:val="00473F11"/>
    <w:rsid w:val="00474387"/>
    <w:rsid w:val="0047460E"/>
    <w:rsid w:val="00474ADC"/>
    <w:rsid w:val="00474B7D"/>
    <w:rsid w:val="00474FBA"/>
    <w:rsid w:val="004752D0"/>
    <w:rsid w:val="0047546D"/>
    <w:rsid w:val="0047552C"/>
    <w:rsid w:val="00476524"/>
    <w:rsid w:val="00476724"/>
    <w:rsid w:val="00477434"/>
    <w:rsid w:val="004774A4"/>
    <w:rsid w:val="00477792"/>
    <w:rsid w:val="00477E99"/>
    <w:rsid w:val="00480411"/>
    <w:rsid w:val="004806A7"/>
    <w:rsid w:val="00480790"/>
    <w:rsid w:val="0048088C"/>
    <w:rsid w:val="00480AC3"/>
    <w:rsid w:val="004810E2"/>
    <w:rsid w:val="004813E9"/>
    <w:rsid w:val="004817E8"/>
    <w:rsid w:val="004817F0"/>
    <w:rsid w:val="004818A4"/>
    <w:rsid w:val="00481E4D"/>
    <w:rsid w:val="00481E59"/>
    <w:rsid w:val="00482091"/>
    <w:rsid w:val="0048218B"/>
    <w:rsid w:val="00482D2F"/>
    <w:rsid w:val="004831AC"/>
    <w:rsid w:val="00483DBE"/>
    <w:rsid w:val="0048431E"/>
    <w:rsid w:val="00484ED8"/>
    <w:rsid w:val="004856AC"/>
    <w:rsid w:val="00485DD4"/>
    <w:rsid w:val="004862D4"/>
    <w:rsid w:val="0048645A"/>
    <w:rsid w:val="0048649B"/>
    <w:rsid w:val="004864D5"/>
    <w:rsid w:val="004866D0"/>
    <w:rsid w:val="004866DF"/>
    <w:rsid w:val="00486B72"/>
    <w:rsid w:val="004871C7"/>
    <w:rsid w:val="00487743"/>
    <w:rsid w:val="00487837"/>
    <w:rsid w:val="004879AB"/>
    <w:rsid w:val="00487D6B"/>
    <w:rsid w:val="0049035E"/>
    <w:rsid w:val="0049039D"/>
    <w:rsid w:val="00490897"/>
    <w:rsid w:val="00490902"/>
    <w:rsid w:val="00491036"/>
    <w:rsid w:val="00491084"/>
    <w:rsid w:val="00491096"/>
    <w:rsid w:val="0049164D"/>
    <w:rsid w:val="004917B6"/>
    <w:rsid w:val="00491935"/>
    <w:rsid w:val="00491D39"/>
    <w:rsid w:val="0049259A"/>
    <w:rsid w:val="004936F2"/>
    <w:rsid w:val="004938E7"/>
    <w:rsid w:val="004948DA"/>
    <w:rsid w:val="00494CE5"/>
    <w:rsid w:val="00494E65"/>
    <w:rsid w:val="00494FE2"/>
    <w:rsid w:val="0049529C"/>
    <w:rsid w:val="00495554"/>
    <w:rsid w:val="00495C90"/>
    <w:rsid w:val="00495DF1"/>
    <w:rsid w:val="00495F50"/>
    <w:rsid w:val="00495F9D"/>
    <w:rsid w:val="00496257"/>
    <w:rsid w:val="00496A54"/>
    <w:rsid w:val="00496AC5"/>
    <w:rsid w:val="00496DCC"/>
    <w:rsid w:val="00497FF0"/>
    <w:rsid w:val="004A0099"/>
    <w:rsid w:val="004A05CC"/>
    <w:rsid w:val="004A0E03"/>
    <w:rsid w:val="004A0F7B"/>
    <w:rsid w:val="004A17DA"/>
    <w:rsid w:val="004A1EFC"/>
    <w:rsid w:val="004A1F88"/>
    <w:rsid w:val="004A23E1"/>
    <w:rsid w:val="004A24B8"/>
    <w:rsid w:val="004A2A51"/>
    <w:rsid w:val="004A2D90"/>
    <w:rsid w:val="004A3075"/>
    <w:rsid w:val="004A31EA"/>
    <w:rsid w:val="004A3B30"/>
    <w:rsid w:val="004A42BB"/>
    <w:rsid w:val="004A4558"/>
    <w:rsid w:val="004A4B38"/>
    <w:rsid w:val="004A5061"/>
    <w:rsid w:val="004A5143"/>
    <w:rsid w:val="004A555D"/>
    <w:rsid w:val="004A581F"/>
    <w:rsid w:val="004A5CC1"/>
    <w:rsid w:val="004A6427"/>
    <w:rsid w:val="004A6464"/>
    <w:rsid w:val="004A67E3"/>
    <w:rsid w:val="004A7402"/>
    <w:rsid w:val="004A744D"/>
    <w:rsid w:val="004A7984"/>
    <w:rsid w:val="004A7AF0"/>
    <w:rsid w:val="004B04F5"/>
    <w:rsid w:val="004B0612"/>
    <w:rsid w:val="004B0A20"/>
    <w:rsid w:val="004B1754"/>
    <w:rsid w:val="004B17FF"/>
    <w:rsid w:val="004B2278"/>
    <w:rsid w:val="004B23AF"/>
    <w:rsid w:val="004B23FF"/>
    <w:rsid w:val="004B241E"/>
    <w:rsid w:val="004B2569"/>
    <w:rsid w:val="004B274C"/>
    <w:rsid w:val="004B275F"/>
    <w:rsid w:val="004B2A73"/>
    <w:rsid w:val="004B2CC3"/>
    <w:rsid w:val="004B3652"/>
    <w:rsid w:val="004B3A57"/>
    <w:rsid w:val="004B3A67"/>
    <w:rsid w:val="004B3A6B"/>
    <w:rsid w:val="004B3F13"/>
    <w:rsid w:val="004B4927"/>
    <w:rsid w:val="004B5167"/>
    <w:rsid w:val="004B543A"/>
    <w:rsid w:val="004B58DF"/>
    <w:rsid w:val="004B5938"/>
    <w:rsid w:val="004B6413"/>
    <w:rsid w:val="004B6E47"/>
    <w:rsid w:val="004B6FA7"/>
    <w:rsid w:val="004B7E05"/>
    <w:rsid w:val="004B7F9E"/>
    <w:rsid w:val="004C03F1"/>
    <w:rsid w:val="004C06C7"/>
    <w:rsid w:val="004C0938"/>
    <w:rsid w:val="004C0B0D"/>
    <w:rsid w:val="004C0C11"/>
    <w:rsid w:val="004C1642"/>
    <w:rsid w:val="004C1957"/>
    <w:rsid w:val="004C1B91"/>
    <w:rsid w:val="004C2455"/>
    <w:rsid w:val="004C2814"/>
    <w:rsid w:val="004C2DA4"/>
    <w:rsid w:val="004C2F92"/>
    <w:rsid w:val="004C3082"/>
    <w:rsid w:val="004C31A8"/>
    <w:rsid w:val="004C3860"/>
    <w:rsid w:val="004C3BE7"/>
    <w:rsid w:val="004C3D1E"/>
    <w:rsid w:val="004C470D"/>
    <w:rsid w:val="004C4B94"/>
    <w:rsid w:val="004C53A6"/>
    <w:rsid w:val="004C571C"/>
    <w:rsid w:val="004C5BC0"/>
    <w:rsid w:val="004C6142"/>
    <w:rsid w:val="004C6158"/>
    <w:rsid w:val="004C641E"/>
    <w:rsid w:val="004C69E9"/>
    <w:rsid w:val="004C723A"/>
    <w:rsid w:val="004C7D47"/>
    <w:rsid w:val="004C7D74"/>
    <w:rsid w:val="004C7DF1"/>
    <w:rsid w:val="004C7E8A"/>
    <w:rsid w:val="004D0725"/>
    <w:rsid w:val="004D09EC"/>
    <w:rsid w:val="004D0C22"/>
    <w:rsid w:val="004D0ED2"/>
    <w:rsid w:val="004D11F0"/>
    <w:rsid w:val="004D1398"/>
    <w:rsid w:val="004D1BC0"/>
    <w:rsid w:val="004D2941"/>
    <w:rsid w:val="004D2BEC"/>
    <w:rsid w:val="004D3150"/>
    <w:rsid w:val="004D32E3"/>
    <w:rsid w:val="004D391B"/>
    <w:rsid w:val="004D435E"/>
    <w:rsid w:val="004D538F"/>
    <w:rsid w:val="004D56C2"/>
    <w:rsid w:val="004D57D0"/>
    <w:rsid w:val="004D5B4D"/>
    <w:rsid w:val="004D62F8"/>
    <w:rsid w:val="004D69A0"/>
    <w:rsid w:val="004D6B27"/>
    <w:rsid w:val="004D6D1B"/>
    <w:rsid w:val="004D73F3"/>
    <w:rsid w:val="004D7755"/>
    <w:rsid w:val="004D7781"/>
    <w:rsid w:val="004D78FC"/>
    <w:rsid w:val="004D7C27"/>
    <w:rsid w:val="004E03E3"/>
    <w:rsid w:val="004E0AA8"/>
    <w:rsid w:val="004E13CE"/>
    <w:rsid w:val="004E1C52"/>
    <w:rsid w:val="004E1E2E"/>
    <w:rsid w:val="004E266E"/>
    <w:rsid w:val="004E273C"/>
    <w:rsid w:val="004E28B8"/>
    <w:rsid w:val="004E2974"/>
    <w:rsid w:val="004E2D6D"/>
    <w:rsid w:val="004E3621"/>
    <w:rsid w:val="004E40C9"/>
    <w:rsid w:val="004E4448"/>
    <w:rsid w:val="004E4781"/>
    <w:rsid w:val="004E5265"/>
    <w:rsid w:val="004E57DF"/>
    <w:rsid w:val="004E59EF"/>
    <w:rsid w:val="004E5CBD"/>
    <w:rsid w:val="004E6BFE"/>
    <w:rsid w:val="004E6E95"/>
    <w:rsid w:val="004E7156"/>
    <w:rsid w:val="004E731B"/>
    <w:rsid w:val="004F026F"/>
    <w:rsid w:val="004F058B"/>
    <w:rsid w:val="004F060F"/>
    <w:rsid w:val="004F0ACE"/>
    <w:rsid w:val="004F0BA3"/>
    <w:rsid w:val="004F0C41"/>
    <w:rsid w:val="004F0E50"/>
    <w:rsid w:val="004F128B"/>
    <w:rsid w:val="004F1317"/>
    <w:rsid w:val="004F17A2"/>
    <w:rsid w:val="004F1846"/>
    <w:rsid w:val="004F1A2D"/>
    <w:rsid w:val="004F2ACF"/>
    <w:rsid w:val="004F33D9"/>
    <w:rsid w:val="004F3A01"/>
    <w:rsid w:val="004F3DE9"/>
    <w:rsid w:val="004F3F42"/>
    <w:rsid w:val="004F417E"/>
    <w:rsid w:val="004F483F"/>
    <w:rsid w:val="004F535F"/>
    <w:rsid w:val="004F59FD"/>
    <w:rsid w:val="004F5CA7"/>
    <w:rsid w:val="004F629D"/>
    <w:rsid w:val="004F643C"/>
    <w:rsid w:val="004F6997"/>
    <w:rsid w:val="004F7362"/>
    <w:rsid w:val="004F745F"/>
    <w:rsid w:val="004F7548"/>
    <w:rsid w:val="004F7571"/>
    <w:rsid w:val="004F7574"/>
    <w:rsid w:val="004F7ACE"/>
    <w:rsid w:val="004F7CFF"/>
    <w:rsid w:val="00500E58"/>
    <w:rsid w:val="00501578"/>
    <w:rsid w:val="005017CB"/>
    <w:rsid w:val="00501D13"/>
    <w:rsid w:val="00501E62"/>
    <w:rsid w:val="00502204"/>
    <w:rsid w:val="00502F1B"/>
    <w:rsid w:val="00502F82"/>
    <w:rsid w:val="00502FB3"/>
    <w:rsid w:val="00503464"/>
    <w:rsid w:val="0050357E"/>
    <w:rsid w:val="0050371D"/>
    <w:rsid w:val="00503744"/>
    <w:rsid w:val="00503933"/>
    <w:rsid w:val="00503ADD"/>
    <w:rsid w:val="00503E36"/>
    <w:rsid w:val="00504291"/>
    <w:rsid w:val="00504508"/>
    <w:rsid w:val="00504896"/>
    <w:rsid w:val="00504BE4"/>
    <w:rsid w:val="00504FC0"/>
    <w:rsid w:val="00505238"/>
    <w:rsid w:val="005053F4"/>
    <w:rsid w:val="00505986"/>
    <w:rsid w:val="00506774"/>
    <w:rsid w:val="00506AA5"/>
    <w:rsid w:val="00506BC0"/>
    <w:rsid w:val="00507067"/>
    <w:rsid w:val="0050724B"/>
    <w:rsid w:val="005102BD"/>
    <w:rsid w:val="005108F9"/>
    <w:rsid w:val="00510A63"/>
    <w:rsid w:val="00510C65"/>
    <w:rsid w:val="00511182"/>
    <w:rsid w:val="005113DC"/>
    <w:rsid w:val="005116C4"/>
    <w:rsid w:val="00511DCB"/>
    <w:rsid w:val="00512470"/>
    <w:rsid w:val="005124FF"/>
    <w:rsid w:val="005126F3"/>
    <w:rsid w:val="00513589"/>
    <w:rsid w:val="00513BD2"/>
    <w:rsid w:val="00514B37"/>
    <w:rsid w:val="00514F0F"/>
    <w:rsid w:val="0051514A"/>
    <w:rsid w:val="00515808"/>
    <w:rsid w:val="00515BE1"/>
    <w:rsid w:val="00515DE0"/>
    <w:rsid w:val="0051605E"/>
    <w:rsid w:val="00516B45"/>
    <w:rsid w:val="0051717F"/>
    <w:rsid w:val="005173CE"/>
    <w:rsid w:val="0051782D"/>
    <w:rsid w:val="00517B13"/>
    <w:rsid w:val="005200F9"/>
    <w:rsid w:val="00520623"/>
    <w:rsid w:val="00520750"/>
    <w:rsid w:val="0052130F"/>
    <w:rsid w:val="005217D1"/>
    <w:rsid w:val="00522E80"/>
    <w:rsid w:val="00523817"/>
    <w:rsid w:val="00523870"/>
    <w:rsid w:val="00523E74"/>
    <w:rsid w:val="0052423F"/>
    <w:rsid w:val="00524A26"/>
    <w:rsid w:val="00524C4D"/>
    <w:rsid w:val="00524CDB"/>
    <w:rsid w:val="00524EEE"/>
    <w:rsid w:val="005251B6"/>
    <w:rsid w:val="00525344"/>
    <w:rsid w:val="005255F2"/>
    <w:rsid w:val="005258E9"/>
    <w:rsid w:val="0052601B"/>
    <w:rsid w:val="00526BB3"/>
    <w:rsid w:val="00526BE5"/>
    <w:rsid w:val="00526D0B"/>
    <w:rsid w:val="0052725C"/>
    <w:rsid w:val="0052751E"/>
    <w:rsid w:val="00527721"/>
    <w:rsid w:val="00527826"/>
    <w:rsid w:val="00527A01"/>
    <w:rsid w:val="00527B7C"/>
    <w:rsid w:val="00530423"/>
    <w:rsid w:val="00530578"/>
    <w:rsid w:val="00530C87"/>
    <w:rsid w:val="00530E98"/>
    <w:rsid w:val="005319E2"/>
    <w:rsid w:val="00532076"/>
    <w:rsid w:val="00532CF2"/>
    <w:rsid w:val="0053383B"/>
    <w:rsid w:val="00533B03"/>
    <w:rsid w:val="00533B2A"/>
    <w:rsid w:val="00533D7F"/>
    <w:rsid w:val="00533ED7"/>
    <w:rsid w:val="005344F9"/>
    <w:rsid w:val="00535BDC"/>
    <w:rsid w:val="00535EE7"/>
    <w:rsid w:val="00535F4C"/>
    <w:rsid w:val="005361E1"/>
    <w:rsid w:val="0053648E"/>
    <w:rsid w:val="00536916"/>
    <w:rsid w:val="00536BB8"/>
    <w:rsid w:val="00536C8E"/>
    <w:rsid w:val="00537855"/>
    <w:rsid w:val="005379D3"/>
    <w:rsid w:val="00537E46"/>
    <w:rsid w:val="00540D2F"/>
    <w:rsid w:val="0054132D"/>
    <w:rsid w:val="0054133F"/>
    <w:rsid w:val="00541647"/>
    <w:rsid w:val="00541E14"/>
    <w:rsid w:val="00542D2D"/>
    <w:rsid w:val="00542EA1"/>
    <w:rsid w:val="00542EF9"/>
    <w:rsid w:val="00542F23"/>
    <w:rsid w:val="005434F7"/>
    <w:rsid w:val="005435D9"/>
    <w:rsid w:val="00543B55"/>
    <w:rsid w:val="00543E0D"/>
    <w:rsid w:val="00543FCA"/>
    <w:rsid w:val="0054412C"/>
    <w:rsid w:val="00544604"/>
    <w:rsid w:val="00545106"/>
    <w:rsid w:val="005454EC"/>
    <w:rsid w:val="005463A5"/>
    <w:rsid w:val="00546528"/>
    <w:rsid w:val="00546AB9"/>
    <w:rsid w:val="00546B8B"/>
    <w:rsid w:val="00546DB5"/>
    <w:rsid w:val="00547205"/>
    <w:rsid w:val="005473C5"/>
    <w:rsid w:val="00547411"/>
    <w:rsid w:val="005501CC"/>
    <w:rsid w:val="00551161"/>
    <w:rsid w:val="00551739"/>
    <w:rsid w:val="00551B6F"/>
    <w:rsid w:val="0055257C"/>
    <w:rsid w:val="005525E0"/>
    <w:rsid w:val="005526E5"/>
    <w:rsid w:val="00552FB3"/>
    <w:rsid w:val="005530E9"/>
    <w:rsid w:val="0055339B"/>
    <w:rsid w:val="005537E6"/>
    <w:rsid w:val="00553E32"/>
    <w:rsid w:val="00554355"/>
    <w:rsid w:val="00554977"/>
    <w:rsid w:val="0055498B"/>
    <w:rsid w:val="00554AFD"/>
    <w:rsid w:val="00554B9D"/>
    <w:rsid w:val="00554C02"/>
    <w:rsid w:val="005553D4"/>
    <w:rsid w:val="00555447"/>
    <w:rsid w:val="00555CEB"/>
    <w:rsid w:val="00555D4B"/>
    <w:rsid w:val="0055630A"/>
    <w:rsid w:val="0055663F"/>
    <w:rsid w:val="005571E6"/>
    <w:rsid w:val="00557FF6"/>
    <w:rsid w:val="00560572"/>
    <w:rsid w:val="0056067C"/>
    <w:rsid w:val="0056106F"/>
    <w:rsid w:val="0056190B"/>
    <w:rsid w:val="00561CE9"/>
    <w:rsid w:val="00561F27"/>
    <w:rsid w:val="00562117"/>
    <w:rsid w:val="00562F83"/>
    <w:rsid w:val="00563EAD"/>
    <w:rsid w:val="00563F76"/>
    <w:rsid w:val="00564167"/>
    <w:rsid w:val="00564838"/>
    <w:rsid w:val="0056583E"/>
    <w:rsid w:val="00567075"/>
    <w:rsid w:val="00567D40"/>
    <w:rsid w:val="0057021E"/>
    <w:rsid w:val="00570463"/>
    <w:rsid w:val="00570A39"/>
    <w:rsid w:val="00571003"/>
    <w:rsid w:val="005710CF"/>
    <w:rsid w:val="005715E9"/>
    <w:rsid w:val="005719CC"/>
    <w:rsid w:val="00572058"/>
    <w:rsid w:val="00572708"/>
    <w:rsid w:val="0057285D"/>
    <w:rsid w:val="005732CC"/>
    <w:rsid w:val="00573549"/>
    <w:rsid w:val="00573560"/>
    <w:rsid w:val="0057361D"/>
    <w:rsid w:val="00573AB3"/>
    <w:rsid w:val="0057438F"/>
    <w:rsid w:val="005747CF"/>
    <w:rsid w:val="00574BFD"/>
    <w:rsid w:val="00574EA9"/>
    <w:rsid w:val="005758A8"/>
    <w:rsid w:val="00575EC5"/>
    <w:rsid w:val="00576751"/>
    <w:rsid w:val="00576838"/>
    <w:rsid w:val="00576C1D"/>
    <w:rsid w:val="00576D7A"/>
    <w:rsid w:val="005773B7"/>
    <w:rsid w:val="005777DF"/>
    <w:rsid w:val="005801EA"/>
    <w:rsid w:val="00580817"/>
    <w:rsid w:val="0058086C"/>
    <w:rsid w:val="005809A3"/>
    <w:rsid w:val="00580B78"/>
    <w:rsid w:val="00581366"/>
    <w:rsid w:val="0058197D"/>
    <w:rsid w:val="00581ADE"/>
    <w:rsid w:val="00581FE1"/>
    <w:rsid w:val="005823C2"/>
    <w:rsid w:val="005824EE"/>
    <w:rsid w:val="00582F27"/>
    <w:rsid w:val="005831C1"/>
    <w:rsid w:val="00583532"/>
    <w:rsid w:val="00583672"/>
    <w:rsid w:val="005837BF"/>
    <w:rsid w:val="00583CA3"/>
    <w:rsid w:val="005841B7"/>
    <w:rsid w:val="005842BE"/>
    <w:rsid w:val="00584634"/>
    <w:rsid w:val="005846CC"/>
    <w:rsid w:val="00584840"/>
    <w:rsid w:val="0058496B"/>
    <w:rsid w:val="0058523B"/>
    <w:rsid w:val="00585276"/>
    <w:rsid w:val="00585404"/>
    <w:rsid w:val="00585ED7"/>
    <w:rsid w:val="00585FAC"/>
    <w:rsid w:val="00585FC0"/>
    <w:rsid w:val="00586173"/>
    <w:rsid w:val="0058657A"/>
    <w:rsid w:val="00586997"/>
    <w:rsid w:val="00586A77"/>
    <w:rsid w:val="0058714C"/>
    <w:rsid w:val="0058718C"/>
    <w:rsid w:val="00587588"/>
    <w:rsid w:val="005876D0"/>
    <w:rsid w:val="00590927"/>
    <w:rsid w:val="00591012"/>
    <w:rsid w:val="00591E0A"/>
    <w:rsid w:val="00592C66"/>
    <w:rsid w:val="00592F74"/>
    <w:rsid w:val="0059300A"/>
    <w:rsid w:val="00593165"/>
    <w:rsid w:val="005936D4"/>
    <w:rsid w:val="00593866"/>
    <w:rsid w:val="00593A0D"/>
    <w:rsid w:val="00593AF6"/>
    <w:rsid w:val="00593F31"/>
    <w:rsid w:val="00594917"/>
    <w:rsid w:val="005949AB"/>
    <w:rsid w:val="005952C6"/>
    <w:rsid w:val="005952FB"/>
    <w:rsid w:val="00595437"/>
    <w:rsid w:val="0059555D"/>
    <w:rsid w:val="005955AB"/>
    <w:rsid w:val="0059592E"/>
    <w:rsid w:val="00596469"/>
    <w:rsid w:val="005966C8"/>
    <w:rsid w:val="00596D69"/>
    <w:rsid w:val="00597472"/>
    <w:rsid w:val="00597475"/>
    <w:rsid w:val="00597589"/>
    <w:rsid w:val="00597638"/>
    <w:rsid w:val="00597CB8"/>
    <w:rsid w:val="00597EF4"/>
    <w:rsid w:val="005A0534"/>
    <w:rsid w:val="005A195D"/>
    <w:rsid w:val="005A217B"/>
    <w:rsid w:val="005A2351"/>
    <w:rsid w:val="005A2BA0"/>
    <w:rsid w:val="005A34F7"/>
    <w:rsid w:val="005A39CB"/>
    <w:rsid w:val="005A3BD8"/>
    <w:rsid w:val="005A4061"/>
    <w:rsid w:val="005A432C"/>
    <w:rsid w:val="005A47DF"/>
    <w:rsid w:val="005A4848"/>
    <w:rsid w:val="005A4ABA"/>
    <w:rsid w:val="005A5911"/>
    <w:rsid w:val="005A5F7E"/>
    <w:rsid w:val="005A6AA4"/>
    <w:rsid w:val="005A6DE4"/>
    <w:rsid w:val="005A71F8"/>
    <w:rsid w:val="005A75E7"/>
    <w:rsid w:val="005A7D29"/>
    <w:rsid w:val="005B021E"/>
    <w:rsid w:val="005B04E4"/>
    <w:rsid w:val="005B0B0B"/>
    <w:rsid w:val="005B0B21"/>
    <w:rsid w:val="005B0CCE"/>
    <w:rsid w:val="005B13FC"/>
    <w:rsid w:val="005B1C20"/>
    <w:rsid w:val="005B20D6"/>
    <w:rsid w:val="005B2258"/>
    <w:rsid w:val="005B22D1"/>
    <w:rsid w:val="005B22EA"/>
    <w:rsid w:val="005B24C5"/>
    <w:rsid w:val="005B282E"/>
    <w:rsid w:val="005B2BD8"/>
    <w:rsid w:val="005B3412"/>
    <w:rsid w:val="005B35B1"/>
    <w:rsid w:val="005B3C12"/>
    <w:rsid w:val="005B3E98"/>
    <w:rsid w:val="005B4081"/>
    <w:rsid w:val="005B4341"/>
    <w:rsid w:val="005B43C1"/>
    <w:rsid w:val="005B4F96"/>
    <w:rsid w:val="005B62A2"/>
    <w:rsid w:val="005B6630"/>
    <w:rsid w:val="005B77A7"/>
    <w:rsid w:val="005B7861"/>
    <w:rsid w:val="005B7A98"/>
    <w:rsid w:val="005B7CD3"/>
    <w:rsid w:val="005B7D6D"/>
    <w:rsid w:val="005C0BCA"/>
    <w:rsid w:val="005C14AE"/>
    <w:rsid w:val="005C154A"/>
    <w:rsid w:val="005C1A3A"/>
    <w:rsid w:val="005C21AB"/>
    <w:rsid w:val="005C23F0"/>
    <w:rsid w:val="005C261D"/>
    <w:rsid w:val="005C3BB4"/>
    <w:rsid w:val="005C3C5C"/>
    <w:rsid w:val="005C4063"/>
    <w:rsid w:val="005C4158"/>
    <w:rsid w:val="005C448E"/>
    <w:rsid w:val="005C4A5D"/>
    <w:rsid w:val="005C557C"/>
    <w:rsid w:val="005C59FD"/>
    <w:rsid w:val="005C5CBE"/>
    <w:rsid w:val="005C611B"/>
    <w:rsid w:val="005C66DB"/>
    <w:rsid w:val="005C6746"/>
    <w:rsid w:val="005C6F7C"/>
    <w:rsid w:val="005C6FCE"/>
    <w:rsid w:val="005C7204"/>
    <w:rsid w:val="005C74FC"/>
    <w:rsid w:val="005C7ACB"/>
    <w:rsid w:val="005C7CEF"/>
    <w:rsid w:val="005D052A"/>
    <w:rsid w:val="005D0660"/>
    <w:rsid w:val="005D092F"/>
    <w:rsid w:val="005D0C6B"/>
    <w:rsid w:val="005D19DE"/>
    <w:rsid w:val="005D1CE2"/>
    <w:rsid w:val="005D1D3C"/>
    <w:rsid w:val="005D2968"/>
    <w:rsid w:val="005D3197"/>
    <w:rsid w:val="005D3375"/>
    <w:rsid w:val="005D3DA0"/>
    <w:rsid w:val="005D4552"/>
    <w:rsid w:val="005D51D2"/>
    <w:rsid w:val="005D5422"/>
    <w:rsid w:val="005D567B"/>
    <w:rsid w:val="005D58A0"/>
    <w:rsid w:val="005D5A5A"/>
    <w:rsid w:val="005D5E86"/>
    <w:rsid w:val="005D5F25"/>
    <w:rsid w:val="005D5F29"/>
    <w:rsid w:val="005D61C2"/>
    <w:rsid w:val="005D639B"/>
    <w:rsid w:val="005D6B19"/>
    <w:rsid w:val="005D739C"/>
    <w:rsid w:val="005D7457"/>
    <w:rsid w:val="005D759B"/>
    <w:rsid w:val="005D7B01"/>
    <w:rsid w:val="005E0198"/>
    <w:rsid w:val="005E094E"/>
    <w:rsid w:val="005E0D48"/>
    <w:rsid w:val="005E0E4A"/>
    <w:rsid w:val="005E149C"/>
    <w:rsid w:val="005E1565"/>
    <w:rsid w:val="005E2341"/>
    <w:rsid w:val="005E26CC"/>
    <w:rsid w:val="005E2FCC"/>
    <w:rsid w:val="005E3839"/>
    <w:rsid w:val="005E3A22"/>
    <w:rsid w:val="005E3BD5"/>
    <w:rsid w:val="005E3FD4"/>
    <w:rsid w:val="005E4487"/>
    <w:rsid w:val="005E4CCB"/>
    <w:rsid w:val="005E4E7C"/>
    <w:rsid w:val="005E51A0"/>
    <w:rsid w:val="005E5B7C"/>
    <w:rsid w:val="005E631E"/>
    <w:rsid w:val="005E639F"/>
    <w:rsid w:val="005E6456"/>
    <w:rsid w:val="005E6C53"/>
    <w:rsid w:val="005E6E1B"/>
    <w:rsid w:val="005E708D"/>
    <w:rsid w:val="005E71C7"/>
    <w:rsid w:val="005E71DC"/>
    <w:rsid w:val="005E78E9"/>
    <w:rsid w:val="005E7D56"/>
    <w:rsid w:val="005F053C"/>
    <w:rsid w:val="005F0B35"/>
    <w:rsid w:val="005F135C"/>
    <w:rsid w:val="005F188E"/>
    <w:rsid w:val="005F19FD"/>
    <w:rsid w:val="005F1A5B"/>
    <w:rsid w:val="005F1D1F"/>
    <w:rsid w:val="005F1DEC"/>
    <w:rsid w:val="005F22F0"/>
    <w:rsid w:val="005F2342"/>
    <w:rsid w:val="005F2587"/>
    <w:rsid w:val="005F298C"/>
    <w:rsid w:val="005F2992"/>
    <w:rsid w:val="005F2C4B"/>
    <w:rsid w:val="005F318A"/>
    <w:rsid w:val="005F3A2E"/>
    <w:rsid w:val="005F3B02"/>
    <w:rsid w:val="005F4749"/>
    <w:rsid w:val="005F4956"/>
    <w:rsid w:val="005F4AEC"/>
    <w:rsid w:val="005F4E29"/>
    <w:rsid w:val="005F510E"/>
    <w:rsid w:val="005F5CCF"/>
    <w:rsid w:val="005F5E55"/>
    <w:rsid w:val="005F6147"/>
    <w:rsid w:val="005F639B"/>
    <w:rsid w:val="005F79F9"/>
    <w:rsid w:val="00600856"/>
    <w:rsid w:val="006008CC"/>
    <w:rsid w:val="00600C25"/>
    <w:rsid w:val="00600E01"/>
    <w:rsid w:val="0060119A"/>
    <w:rsid w:val="0060122B"/>
    <w:rsid w:val="006012A2"/>
    <w:rsid w:val="0060253D"/>
    <w:rsid w:val="0060274B"/>
    <w:rsid w:val="00602FCA"/>
    <w:rsid w:val="0060315D"/>
    <w:rsid w:val="00604067"/>
    <w:rsid w:val="006047EB"/>
    <w:rsid w:val="006053ED"/>
    <w:rsid w:val="006054E5"/>
    <w:rsid w:val="006055AA"/>
    <w:rsid w:val="006058B8"/>
    <w:rsid w:val="00605A5F"/>
    <w:rsid w:val="00606149"/>
    <w:rsid w:val="00606C0B"/>
    <w:rsid w:val="00606CBE"/>
    <w:rsid w:val="0060750B"/>
    <w:rsid w:val="00607A19"/>
    <w:rsid w:val="00607C9F"/>
    <w:rsid w:val="006106A5"/>
    <w:rsid w:val="00610C4F"/>
    <w:rsid w:val="00610F3F"/>
    <w:rsid w:val="00611C00"/>
    <w:rsid w:val="00612681"/>
    <w:rsid w:val="00612D2B"/>
    <w:rsid w:val="0061327E"/>
    <w:rsid w:val="00613379"/>
    <w:rsid w:val="00613564"/>
    <w:rsid w:val="00613D28"/>
    <w:rsid w:val="00613E63"/>
    <w:rsid w:val="00614536"/>
    <w:rsid w:val="006151CD"/>
    <w:rsid w:val="00615283"/>
    <w:rsid w:val="00615637"/>
    <w:rsid w:val="006157CE"/>
    <w:rsid w:val="00615A62"/>
    <w:rsid w:val="0061683B"/>
    <w:rsid w:val="006168C7"/>
    <w:rsid w:val="006168EB"/>
    <w:rsid w:val="00616928"/>
    <w:rsid w:val="00616DA4"/>
    <w:rsid w:val="00616F7D"/>
    <w:rsid w:val="00616FEA"/>
    <w:rsid w:val="006170C8"/>
    <w:rsid w:val="00620503"/>
    <w:rsid w:val="00620ACB"/>
    <w:rsid w:val="006213A5"/>
    <w:rsid w:val="0062145F"/>
    <w:rsid w:val="0062195A"/>
    <w:rsid w:val="00621FEA"/>
    <w:rsid w:val="006224E8"/>
    <w:rsid w:val="00622C21"/>
    <w:rsid w:val="006240E0"/>
    <w:rsid w:val="0062429D"/>
    <w:rsid w:val="006246A6"/>
    <w:rsid w:val="00624E7B"/>
    <w:rsid w:val="006256A5"/>
    <w:rsid w:val="0062636E"/>
    <w:rsid w:val="006267B9"/>
    <w:rsid w:val="00626B4F"/>
    <w:rsid w:val="00626ED7"/>
    <w:rsid w:val="00626FE6"/>
    <w:rsid w:val="006271D6"/>
    <w:rsid w:val="006271D8"/>
    <w:rsid w:val="00627826"/>
    <w:rsid w:val="00627D6E"/>
    <w:rsid w:val="00627EEF"/>
    <w:rsid w:val="00630394"/>
    <w:rsid w:val="006304B1"/>
    <w:rsid w:val="006306D4"/>
    <w:rsid w:val="00630734"/>
    <w:rsid w:val="00630792"/>
    <w:rsid w:val="00630CFC"/>
    <w:rsid w:val="00630EFE"/>
    <w:rsid w:val="00631383"/>
    <w:rsid w:val="00631CCD"/>
    <w:rsid w:val="006324D2"/>
    <w:rsid w:val="00632AE4"/>
    <w:rsid w:val="0063365B"/>
    <w:rsid w:val="0063404B"/>
    <w:rsid w:val="00634971"/>
    <w:rsid w:val="00634BEC"/>
    <w:rsid w:val="00634F79"/>
    <w:rsid w:val="00635751"/>
    <w:rsid w:val="00635C30"/>
    <w:rsid w:val="00635E8D"/>
    <w:rsid w:val="0063613A"/>
    <w:rsid w:val="0063693E"/>
    <w:rsid w:val="00636AA1"/>
    <w:rsid w:val="00636E12"/>
    <w:rsid w:val="0063762B"/>
    <w:rsid w:val="00637A0A"/>
    <w:rsid w:val="00637A49"/>
    <w:rsid w:val="00637E9E"/>
    <w:rsid w:val="00640210"/>
    <w:rsid w:val="00640719"/>
    <w:rsid w:val="00640788"/>
    <w:rsid w:val="00640892"/>
    <w:rsid w:val="00640B19"/>
    <w:rsid w:val="00640D9D"/>
    <w:rsid w:val="00641330"/>
    <w:rsid w:val="00641BF9"/>
    <w:rsid w:val="00641F4E"/>
    <w:rsid w:val="0064211F"/>
    <w:rsid w:val="006421DA"/>
    <w:rsid w:val="0064273C"/>
    <w:rsid w:val="0064283E"/>
    <w:rsid w:val="00642CAB"/>
    <w:rsid w:val="00642DFC"/>
    <w:rsid w:val="00642EBF"/>
    <w:rsid w:val="00642F8B"/>
    <w:rsid w:val="00643168"/>
    <w:rsid w:val="00643DDB"/>
    <w:rsid w:val="0064405E"/>
    <w:rsid w:val="00644107"/>
    <w:rsid w:val="006452D6"/>
    <w:rsid w:val="006453AA"/>
    <w:rsid w:val="0064551E"/>
    <w:rsid w:val="00645645"/>
    <w:rsid w:val="006458A5"/>
    <w:rsid w:val="00645972"/>
    <w:rsid w:val="00645DD3"/>
    <w:rsid w:val="006462CD"/>
    <w:rsid w:val="006463B1"/>
    <w:rsid w:val="006467C6"/>
    <w:rsid w:val="00646DFC"/>
    <w:rsid w:val="00646E09"/>
    <w:rsid w:val="00646E39"/>
    <w:rsid w:val="00646EA5"/>
    <w:rsid w:val="00647427"/>
    <w:rsid w:val="006479F4"/>
    <w:rsid w:val="00650577"/>
    <w:rsid w:val="006508B5"/>
    <w:rsid w:val="00650CEF"/>
    <w:rsid w:val="0065107E"/>
    <w:rsid w:val="006515F2"/>
    <w:rsid w:val="00651A47"/>
    <w:rsid w:val="00651BE6"/>
    <w:rsid w:val="00651F3E"/>
    <w:rsid w:val="00651FD5"/>
    <w:rsid w:val="0065205E"/>
    <w:rsid w:val="006520F9"/>
    <w:rsid w:val="00652524"/>
    <w:rsid w:val="00652E60"/>
    <w:rsid w:val="00653C75"/>
    <w:rsid w:val="0065405F"/>
    <w:rsid w:val="0065429B"/>
    <w:rsid w:val="006543E6"/>
    <w:rsid w:val="006546BC"/>
    <w:rsid w:val="00654A3A"/>
    <w:rsid w:val="006550D3"/>
    <w:rsid w:val="006556D2"/>
    <w:rsid w:val="00655B13"/>
    <w:rsid w:val="00655BB1"/>
    <w:rsid w:val="00655C1E"/>
    <w:rsid w:val="00655DAB"/>
    <w:rsid w:val="0065616F"/>
    <w:rsid w:val="006561BC"/>
    <w:rsid w:val="006564A8"/>
    <w:rsid w:val="0065655F"/>
    <w:rsid w:val="0065659D"/>
    <w:rsid w:val="0065671B"/>
    <w:rsid w:val="006567D0"/>
    <w:rsid w:val="006568AD"/>
    <w:rsid w:val="00656B9E"/>
    <w:rsid w:val="00656BBE"/>
    <w:rsid w:val="0066156B"/>
    <w:rsid w:val="0066182A"/>
    <w:rsid w:val="0066212E"/>
    <w:rsid w:val="00662CDC"/>
    <w:rsid w:val="00662E55"/>
    <w:rsid w:val="006632F9"/>
    <w:rsid w:val="00663CCB"/>
    <w:rsid w:val="00663F79"/>
    <w:rsid w:val="00664728"/>
    <w:rsid w:val="006647C2"/>
    <w:rsid w:val="00664ADB"/>
    <w:rsid w:val="00664BC3"/>
    <w:rsid w:val="00664CDC"/>
    <w:rsid w:val="00664E0A"/>
    <w:rsid w:val="006650B1"/>
    <w:rsid w:val="006650BC"/>
    <w:rsid w:val="0066539A"/>
    <w:rsid w:val="00666641"/>
    <w:rsid w:val="006668AF"/>
    <w:rsid w:val="00666AB9"/>
    <w:rsid w:val="00666D67"/>
    <w:rsid w:val="00666F09"/>
    <w:rsid w:val="00666F89"/>
    <w:rsid w:val="00667021"/>
    <w:rsid w:val="006672C5"/>
    <w:rsid w:val="006674A7"/>
    <w:rsid w:val="00667731"/>
    <w:rsid w:val="00667B7A"/>
    <w:rsid w:val="00667DD5"/>
    <w:rsid w:val="00667E62"/>
    <w:rsid w:val="006704D1"/>
    <w:rsid w:val="00670854"/>
    <w:rsid w:val="00670C20"/>
    <w:rsid w:val="00670E67"/>
    <w:rsid w:val="00671245"/>
    <w:rsid w:val="00671788"/>
    <w:rsid w:val="00672238"/>
    <w:rsid w:val="006724A9"/>
    <w:rsid w:val="00672595"/>
    <w:rsid w:val="006726B1"/>
    <w:rsid w:val="0067324C"/>
    <w:rsid w:val="00673626"/>
    <w:rsid w:val="006740DF"/>
    <w:rsid w:val="00674B31"/>
    <w:rsid w:val="00674B35"/>
    <w:rsid w:val="00674CFF"/>
    <w:rsid w:val="00674E6F"/>
    <w:rsid w:val="00675C0E"/>
    <w:rsid w:val="006760E8"/>
    <w:rsid w:val="00676763"/>
    <w:rsid w:val="006768F9"/>
    <w:rsid w:val="00676A65"/>
    <w:rsid w:val="00676B9C"/>
    <w:rsid w:val="00676C87"/>
    <w:rsid w:val="00676D50"/>
    <w:rsid w:val="00676F72"/>
    <w:rsid w:val="00677090"/>
    <w:rsid w:val="00677555"/>
    <w:rsid w:val="00677B0C"/>
    <w:rsid w:val="00680B17"/>
    <w:rsid w:val="00680F8F"/>
    <w:rsid w:val="00681AC0"/>
    <w:rsid w:val="00681FD0"/>
    <w:rsid w:val="00682B47"/>
    <w:rsid w:val="00682C13"/>
    <w:rsid w:val="00682E93"/>
    <w:rsid w:val="006830F9"/>
    <w:rsid w:val="0068320B"/>
    <w:rsid w:val="006833EA"/>
    <w:rsid w:val="00683608"/>
    <w:rsid w:val="00683641"/>
    <w:rsid w:val="00685421"/>
    <w:rsid w:val="00685BC5"/>
    <w:rsid w:val="00686197"/>
    <w:rsid w:val="00686AB1"/>
    <w:rsid w:val="00686C33"/>
    <w:rsid w:val="006879A8"/>
    <w:rsid w:val="00687C1B"/>
    <w:rsid w:val="00691899"/>
    <w:rsid w:val="00691C78"/>
    <w:rsid w:val="0069221C"/>
    <w:rsid w:val="00692290"/>
    <w:rsid w:val="00692BC0"/>
    <w:rsid w:val="00692C55"/>
    <w:rsid w:val="00692E48"/>
    <w:rsid w:val="00692F18"/>
    <w:rsid w:val="006931BC"/>
    <w:rsid w:val="0069339D"/>
    <w:rsid w:val="00693974"/>
    <w:rsid w:val="00694844"/>
    <w:rsid w:val="00694AAF"/>
    <w:rsid w:val="00694BCA"/>
    <w:rsid w:val="0069548C"/>
    <w:rsid w:val="00695D42"/>
    <w:rsid w:val="00695FAA"/>
    <w:rsid w:val="006963AC"/>
    <w:rsid w:val="00696B8D"/>
    <w:rsid w:val="00696F69"/>
    <w:rsid w:val="0069732D"/>
    <w:rsid w:val="00697379"/>
    <w:rsid w:val="00697389"/>
    <w:rsid w:val="00697B63"/>
    <w:rsid w:val="00697E96"/>
    <w:rsid w:val="00697FB9"/>
    <w:rsid w:val="006A074F"/>
    <w:rsid w:val="006A0D57"/>
    <w:rsid w:val="006A0E4A"/>
    <w:rsid w:val="006A16E0"/>
    <w:rsid w:val="006A1815"/>
    <w:rsid w:val="006A1B25"/>
    <w:rsid w:val="006A21DA"/>
    <w:rsid w:val="006A24D9"/>
    <w:rsid w:val="006A25E2"/>
    <w:rsid w:val="006A28C9"/>
    <w:rsid w:val="006A2E1D"/>
    <w:rsid w:val="006A3102"/>
    <w:rsid w:val="006A3408"/>
    <w:rsid w:val="006A3515"/>
    <w:rsid w:val="006A3890"/>
    <w:rsid w:val="006A3CA8"/>
    <w:rsid w:val="006A3FC1"/>
    <w:rsid w:val="006A41E2"/>
    <w:rsid w:val="006A4280"/>
    <w:rsid w:val="006A4628"/>
    <w:rsid w:val="006A50D7"/>
    <w:rsid w:val="006A5305"/>
    <w:rsid w:val="006A566F"/>
    <w:rsid w:val="006A5B67"/>
    <w:rsid w:val="006A63DF"/>
    <w:rsid w:val="006A64D5"/>
    <w:rsid w:val="006A65DB"/>
    <w:rsid w:val="006B0274"/>
    <w:rsid w:val="006B058B"/>
    <w:rsid w:val="006B06F6"/>
    <w:rsid w:val="006B0958"/>
    <w:rsid w:val="006B1609"/>
    <w:rsid w:val="006B16BB"/>
    <w:rsid w:val="006B29CA"/>
    <w:rsid w:val="006B2D12"/>
    <w:rsid w:val="006B2F36"/>
    <w:rsid w:val="006B2FF3"/>
    <w:rsid w:val="006B3010"/>
    <w:rsid w:val="006B328E"/>
    <w:rsid w:val="006B37B3"/>
    <w:rsid w:val="006B4060"/>
    <w:rsid w:val="006B4249"/>
    <w:rsid w:val="006B4373"/>
    <w:rsid w:val="006B4B80"/>
    <w:rsid w:val="006B542E"/>
    <w:rsid w:val="006B5614"/>
    <w:rsid w:val="006B61F1"/>
    <w:rsid w:val="006B62FB"/>
    <w:rsid w:val="006B695A"/>
    <w:rsid w:val="006B6AF8"/>
    <w:rsid w:val="006B6E8A"/>
    <w:rsid w:val="006B6F01"/>
    <w:rsid w:val="006B712D"/>
    <w:rsid w:val="006B757E"/>
    <w:rsid w:val="006B794F"/>
    <w:rsid w:val="006C01CB"/>
    <w:rsid w:val="006C0439"/>
    <w:rsid w:val="006C07EE"/>
    <w:rsid w:val="006C27F8"/>
    <w:rsid w:val="006C2C60"/>
    <w:rsid w:val="006C2D00"/>
    <w:rsid w:val="006C3039"/>
    <w:rsid w:val="006C30B2"/>
    <w:rsid w:val="006C38F1"/>
    <w:rsid w:val="006C454D"/>
    <w:rsid w:val="006C4AFB"/>
    <w:rsid w:val="006C4E44"/>
    <w:rsid w:val="006C52B2"/>
    <w:rsid w:val="006C61B3"/>
    <w:rsid w:val="006C62D5"/>
    <w:rsid w:val="006C730C"/>
    <w:rsid w:val="006C75B6"/>
    <w:rsid w:val="006C79CF"/>
    <w:rsid w:val="006C7FAA"/>
    <w:rsid w:val="006D0089"/>
    <w:rsid w:val="006D00D5"/>
    <w:rsid w:val="006D0591"/>
    <w:rsid w:val="006D07BA"/>
    <w:rsid w:val="006D082E"/>
    <w:rsid w:val="006D0FAB"/>
    <w:rsid w:val="006D29F1"/>
    <w:rsid w:val="006D302D"/>
    <w:rsid w:val="006D3570"/>
    <w:rsid w:val="006D35E8"/>
    <w:rsid w:val="006D3683"/>
    <w:rsid w:val="006D3E2E"/>
    <w:rsid w:val="006D4399"/>
    <w:rsid w:val="006D46A7"/>
    <w:rsid w:val="006D4870"/>
    <w:rsid w:val="006D4EF1"/>
    <w:rsid w:val="006D574E"/>
    <w:rsid w:val="006D5C52"/>
    <w:rsid w:val="006D5EA1"/>
    <w:rsid w:val="006D682A"/>
    <w:rsid w:val="006D6C8F"/>
    <w:rsid w:val="006D72D3"/>
    <w:rsid w:val="006D7506"/>
    <w:rsid w:val="006D7510"/>
    <w:rsid w:val="006D7BB4"/>
    <w:rsid w:val="006D7D8A"/>
    <w:rsid w:val="006E0591"/>
    <w:rsid w:val="006E0991"/>
    <w:rsid w:val="006E0D01"/>
    <w:rsid w:val="006E2270"/>
    <w:rsid w:val="006E271F"/>
    <w:rsid w:val="006E2788"/>
    <w:rsid w:val="006E2B6D"/>
    <w:rsid w:val="006E2D7B"/>
    <w:rsid w:val="006E2FD0"/>
    <w:rsid w:val="006E32DD"/>
    <w:rsid w:val="006E3660"/>
    <w:rsid w:val="006E3CDA"/>
    <w:rsid w:val="006E3E32"/>
    <w:rsid w:val="006E3F10"/>
    <w:rsid w:val="006E41BD"/>
    <w:rsid w:val="006E42E3"/>
    <w:rsid w:val="006E4A3C"/>
    <w:rsid w:val="006E4B1C"/>
    <w:rsid w:val="006E5213"/>
    <w:rsid w:val="006E5277"/>
    <w:rsid w:val="006E5698"/>
    <w:rsid w:val="006E584D"/>
    <w:rsid w:val="006E5891"/>
    <w:rsid w:val="006E5C20"/>
    <w:rsid w:val="006E625B"/>
    <w:rsid w:val="006E6431"/>
    <w:rsid w:val="006E66FB"/>
    <w:rsid w:val="006E6FA5"/>
    <w:rsid w:val="006E70CB"/>
    <w:rsid w:val="006E71F6"/>
    <w:rsid w:val="006E720B"/>
    <w:rsid w:val="006E74DB"/>
    <w:rsid w:val="006E74E6"/>
    <w:rsid w:val="006E7743"/>
    <w:rsid w:val="006E787B"/>
    <w:rsid w:val="006F046B"/>
    <w:rsid w:val="006F0C71"/>
    <w:rsid w:val="006F0F0F"/>
    <w:rsid w:val="006F149E"/>
    <w:rsid w:val="006F17B8"/>
    <w:rsid w:val="006F1824"/>
    <w:rsid w:val="006F24E2"/>
    <w:rsid w:val="006F266D"/>
    <w:rsid w:val="006F26FE"/>
    <w:rsid w:val="006F27AA"/>
    <w:rsid w:val="006F2CA5"/>
    <w:rsid w:val="006F3088"/>
    <w:rsid w:val="006F3148"/>
    <w:rsid w:val="006F33AE"/>
    <w:rsid w:val="006F39EC"/>
    <w:rsid w:val="006F3ACC"/>
    <w:rsid w:val="006F3B76"/>
    <w:rsid w:val="006F3C5D"/>
    <w:rsid w:val="006F3DF1"/>
    <w:rsid w:val="006F50EC"/>
    <w:rsid w:val="006F5248"/>
    <w:rsid w:val="006F53C1"/>
    <w:rsid w:val="006F59D5"/>
    <w:rsid w:val="006F608C"/>
    <w:rsid w:val="006F629F"/>
    <w:rsid w:val="006F6EE9"/>
    <w:rsid w:val="006F709F"/>
    <w:rsid w:val="00700392"/>
    <w:rsid w:val="0070044D"/>
    <w:rsid w:val="0070048C"/>
    <w:rsid w:val="00700C10"/>
    <w:rsid w:val="00700D07"/>
    <w:rsid w:val="00700F14"/>
    <w:rsid w:val="0070121C"/>
    <w:rsid w:val="007012DF"/>
    <w:rsid w:val="00701A5B"/>
    <w:rsid w:val="00701DD8"/>
    <w:rsid w:val="00701E0E"/>
    <w:rsid w:val="00702724"/>
    <w:rsid w:val="00702761"/>
    <w:rsid w:val="007029D3"/>
    <w:rsid w:val="00703519"/>
    <w:rsid w:val="007036DA"/>
    <w:rsid w:val="00703970"/>
    <w:rsid w:val="00703D05"/>
    <w:rsid w:val="0070422B"/>
    <w:rsid w:val="00704278"/>
    <w:rsid w:val="007042D9"/>
    <w:rsid w:val="0070467E"/>
    <w:rsid w:val="00704694"/>
    <w:rsid w:val="0070495B"/>
    <w:rsid w:val="007049B9"/>
    <w:rsid w:val="00704A04"/>
    <w:rsid w:val="007050B0"/>
    <w:rsid w:val="0070511E"/>
    <w:rsid w:val="007058CA"/>
    <w:rsid w:val="007058D6"/>
    <w:rsid w:val="00705BE3"/>
    <w:rsid w:val="00705E6A"/>
    <w:rsid w:val="00706149"/>
    <w:rsid w:val="007065DC"/>
    <w:rsid w:val="00706B73"/>
    <w:rsid w:val="0070747D"/>
    <w:rsid w:val="00707DE5"/>
    <w:rsid w:val="0071026E"/>
    <w:rsid w:val="00710320"/>
    <w:rsid w:val="00710726"/>
    <w:rsid w:val="00710E3B"/>
    <w:rsid w:val="00710F79"/>
    <w:rsid w:val="0071112D"/>
    <w:rsid w:val="00711F8C"/>
    <w:rsid w:val="007120E0"/>
    <w:rsid w:val="00712C06"/>
    <w:rsid w:val="00712C0B"/>
    <w:rsid w:val="007131B3"/>
    <w:rsid w:val="0071394A"/>
    <w:rsid w:val="00713D88"/>
    <w:rsid w:val="00713E35"/>
    <w:rsid w:val="007145CF"/>
    <w:rsid w:val="007146E3"/>
    <w:rsid w:val="007149DC"/>
    <w:rsid w:val="00715158"/>
    <w:rsid w:val="007158DE"/>
    <w:rsid w:val="007160E1"/>
    <w:rsid w:val="00716166"/>
    <w:rsid w:val="00716370"/>
    <w:rsid w:val="00716C87"/>
    <w:rsid w:val="00716FBD"/>
    <w:rsid w:val="0071758A"/>
    <w:rsid w:val="00717867"/>
    <w:rsid w:val="00717BC3"/>
    <w:rsid w:val="00720396"/>
    <w:rsid w:val="0072053D"/>
    <w:rsid w:val="00720A3B"/>
    <w:rsid w:val="00720A9D"/>
    <w:rsid w:val="00720FA5"/>
    <w:rsid w:val="0072149B"/>
    <w:rsid w:val="00721B1F"/>
    <w:rsid w:val="00721DA1"/>
    <w:rsid w:val="00722449"/>
    <w:rsid w:val="007232DE"/>
    <w:rsid w:val="00723A63"/>
    <w:rsid w:val="00723C95"/>
    <w:rsid w:val="007246AF"/>
    <w:rsid w:val="0072480F"/>
    <w:rsid w:val="00724C1A"/>
    <w:rsid w:val="00724C25"/>
    <w:rsid w:val="00724C67"/>
    <w:rsid w:val="00724C68"/>
    <w:rsid w:val="007252B7"/>
    <w:rsid w:val="00726E0A"/>
    <w:rsid w:val="00727059"/>
    <w:rsid w:val="0072708F"/>
    <w:rsid w:val="0072709C"/>
    <w:rsid w:val="00727A1E"/>
    <w:rsid w:val="00730242"/>
    <w:rsid w:val="007307BF"/>
    <w:rsid w:val="00730ABB"/>
    <w:rsid w:val="00730EE0"/>
    <w:rsid w:val="00730F0E"/>
    <w:rsid w:val="0073102B"/>
    <w:rsid w:val="00731FFA"/>
    <w:rsid w:val="00732252"/>
    <w:rsid w:val="00732BBE"/>
    <w:rsid w:val="00732C15"/>
    <w:rsid w:val="00733138"/>
    <w:rsid w:val="0073321C"/>
    <w:rsid w:val="00733671"/>
    <w:rsid w:val="00733705"/>
    <w:rsid w:val="007339D3"/>
    <w:rsid w:val="00733D2E"/>
    <w:rsid w:val="00733DE0"/>
    <w:rsid w:val="007341D5"/>
    <w:rsid w:val="0073430B"/>
    <w:rsid w:val="00734958"/>
    <w:rsid w:val="00734A03"/>
    <w:rsid w:val="00734B1D"/>
    <w:rsid w:val="00734F80"/>
    <w:rsid w:val="007354B3"/>
    <w:rsid w:val="007359C3"/>
    <w:rsid w:val="00735C44"/>
    <w:rsid w:val="00735DF1"/>
    <w:rsid w:val="00736230"/>
    <w:rsid w:val="007366DB"/>
    <w:rsid w:val="00736D30"/>
    <w:rsid w:val="00736DD6"/>
    <w:rsid w:val="00737180"/>
    <w:rsid w:val="007373A8"/>
    <w:rsid w:val="00737A57"/>
    <w:rsid w:val="00737FFA"/>
    <w:rsid w:val="007402C4"/>
    <w:rsid w:val="00740332"/>
    <w:rsid w:val="007413DC"/>
    <w:rsid w:val="0074178B"/>
    <w:rsid w:val="00741A68"/>
    <w:rsid w:val="00741DB9"/>
    <w:rsid w:val="007420DB"/>
    <w:rsid w:val="007420E4"/>
    <w:rsid w:val="007426A9"/>
    <w:rsid w:val="007429CB"/>
    <w:rsid w:val="00743782"/>
    <w:rsid w:val="00743D77"/>
    <w:rsid w:val="00743E6F"/>
    <w:rsid w:val="0074407C"/>
    <w:rsid w:val="007441B9"/>
    <w:rsid w:val="007445E2"/>
    <w:rsid w:val="00744AA6"/>
    <w:rsid w:val="00744F54"/>
    <w:rsid w:val="00744FD1"/>
    <w:rsid w:val="0074531E"/>
    <w:rsid w:val="007462E4"/>
    <w:rsid w:val="0074678B"/>
    <w:rsid w:val="007467E7"/>
    <w:rsid w:val="00746C30"/>
    <w:rsid w:val="00747672"/>
    <w:rsid w:val="00747D39"/>
    <w:rsid w:val="00747F51"/>
    <w:rsid w:val="00750196"/>
    <w:rsid w:val="00750662"/>
    <w:rsid w:val="00750B5E"/>
    <w:rsid w:val="0075160E"/>
    <w:rsid w:val="0075213B"/>
    <w:rsid w:val="0075277D"/>
    <w:rsid w:val="00752871"/>
    <w:rsid w:val="00752D45"/>
    <w:rsid w:val="00752DD3"/>
    <w:rsid w:val="007535AA"/>
    <w:rsid w:val="00753607"/>
    <w:rsid w:val="00753DAC"/>
    <w:rsid w:val="00753DBC"/>
    <w:rsid w:val="00753E40"/>
    <w:rsid w:val="00753E58"/>
    <w:rsid w:val="00753FCE"/>
    <w:rsid w:val="00754116"/>
    <w:rsid w:val="0075482D"/>
    <w:rsid w:val="00754D74"/>
    <w:rsid w:val="00754DC9"/>
    <w:rsid w:val="00756094"/>
    <w:rsid w:val="007560FB"/>
    <w:rsid w:val="0075691E"/>
    <w:rsid w:val="00756EE9"/>
    <w:rsid w:val="007570BE"/>
    <w:rsid w:val="007571ED"/>
    <w:rsid w:val="00757FD2"/>
    <w:rsid w:val="00760FD6"/>
    <w:rsid w:val="00761400"/>
    <w:rsid w:val="007614F6"/>
    <w:rsid w:val="007618A1"/>
    <w:rsid w:val="00761C5F"/>
    <w:rsid w:val="00761C9E"/>
    <w:rsid w:val="00761CE5"/>
    <w:rsid w:val="00762E38"/>
    <w:rsid w:val="00762EEE"/>
    <w:rsid w:val="0076300F"/>
    <w:rsid w:val="00763330"/>
    <w:rsid w:val="00763421"/>
    <w:rsid w:val="00763F45"/>
    <w:rsid w:val="00764428"/>
    <w:rsid w:val="00764536"/>
    <w:rsid w:val="0076493C"/>
    <w:rsid w:val="00764C3D"/>
    <w:rsid w:val="00765034"/>
    <w:rsid w:val="00765280"/>
    <w:rsid w:val="00765571"/>
    <w:rsid w:val="00765ED7"/>
    <w:rsid w:val="00766062"/>
    <w:rsid w:val="007666AE"/>
    <w:rsid w:val="00766CAA"/>
    <w:rsid w:val="0076706C"/>
    <w:rsid w:val="00767A34"/>
    <w:rsid w:val="00767B76"/>
    <w:rsid w:val="0077016C"/>
    <w:rsid w:val="0077018A"/>
    <w:rsid w:val="007702CC"/>
    <w:rsid w:val="0077041E"/>
    <w:rsid w:val="00770595"/>
    <w:rsid w:val="00770621"/>
    <w:rsid w:val="00771CF9"/>
    <w:rsid w:val="007721F4"/>
    <w:rsid w:val="0077231B"/>
    <w:rsid w:val="00772B16"/>
    <w:rsid w:val="00772B78"/>
    <w:rsid w:val="0077434C"/>
    <w:rsid w:val="00774400"/>
    <w:rsid w:val="00774C15"/>
    <w:rsid w:val="00774E5D"/>
    <w:rsid w:val="007751F0"/>
    <w:rsid w:val="00775AF1"/>
    <w:rsid w:val="00775F9E"/>
    <w:rsid w:val="0077658D"/>
    <w:rsid w:val="00776AEA"/>
    <w:rsid w:val="0077798D"/>
    <w:rsid w:val="007779FF"/>
    <w:rsid w:val="00777FC7"/>
    <w:rsid w:val="0078030D"/>
    <w:rsid w:val="007805BC"/>
    <w:rsid w:val="00780B80"/>
    <w:rsid w:val="00780CA5"/>
    <w:rsid w:val="007811A7"/>
    <w:rsid w:val="00781702"/>
    <w:rsid w:val="00781706"/>
    <w:rsid w:val="0078186D"/>
    <w:rsid w:val="00782034"/>
    <w:rsid w:val="00782044"/>
    <w:rsid w:val="007821BD"/>
    <w:rsid w:val="00782368"/>
    <w:rsid w:val="00782680"/>
    <w:rsid w:val="0078276B"/>
    <w:rsid w:val="0078304F"/>
    <w:rsid w:val="0078328D"/>
    <w:rsid w:val="00783886"/>
    <w:rsid w:val="00783981"/>
    <w:rsid w:val="00783D77"/>
    <w:rsid w:val="0078576E"/>
    <w:rsid w:val="00785BFD"/>
    <w:rsid w:val="007860C2"/>
    <w:rsid w:val="00786243"/>
    <w:rsid w:val="007864E3"/>
    <w:rsid w:val="00786505"/>
    <w:rsid w:val="00786E5E"/>
    <w:rsid w:val="00787030"/>
    <w:rsid w:val="00787778"/>
    <w:rsid w:val="007878EE"/>
    <w:rsid w:val="00787F76"/>
    <w:rsid w:val="00790BEB"/>
    <w:rsid w:val="00790CAE"/>
    <w:rsid w:val="007912B3"/>
    <w:rsid w:val="0079209C"/>
    <w:rsid w:val="007920E7"/>
    <w:rsid w:val="00792178"/>
    <w:rsid w:val="007923B5"/>
    <w:rsid w:val="00792525"/>
    <w:rsid w:val="00792BAF"/>
    <w:rsid w:val="00792BCF"/>
    <w:rsid w:val="0079313D"/>
    <w:rsid w:val="007932DA"/>
    <w:rsid w:val="0079369D"/>
    <w:rsid w:val="00794291"/>
    <w:rsid w:val="00794388"/>
    <w:rsid w:val="007946F5"/>
    <w:rsid w:val="00794864"/>
    <w:rsid w:val="00794FE2"/>
    <w:rsid w:val="0079517C"/>
    <w:rsid w:val="007952BA"/>
    <w:rsid w:val="007954BA"/>
    <w:rsid w:val="00795DD5"/>
    <w:rsid w:val="00796338"/>
    <w:rsid w:val="0079640B"/>
    <w:rsid w:val="007965AE"/>
    <w:rsid w:val="00796636"/>
    <w:rsid w:val="0079675A"/>
    <w:rsid w:val="007967B2"/>
    <w:rsid w:val="00797184"/>
    <w:rsid w:val="00797A9D"/>
    <w:rsid w:val="00797CB7"/>
    <w:rsid w:val="00797D01"/>
    <w:rsid w:val="007A050F"/>
    <w:rsid w:val="007A0D6C"/>
    <w:rsid w:val="007A16AD"/>
    <w:rsid w:val="007A189E"/>
    <w:rsid w:val="007A1B19"/>
    <w:rsid w:val="007A2A0C"/>
    <w:rsid w:val="007A2A4A"/>
    <w:rsid w:val="007A2B95"/>
    <w:rsid w:val="007A2D57"/>
    <w:rsid w:val="007A3043"/>
    <w:rsid w:val="007A375C"/>
    <w:rsid w:val="007A43D4"/>
    <w:rsid w:val="007A43E1"/>
    <w:rsid w:val="007A4C72"/>
    <w:rsid w:val="007A50E2"/>
    <w:rsid w:val="007A524A"/>
    <w:rsid w:val="007A5E3C"/>
    <w:rsid w:val="007A5EC9"/>
    <w:rsid w:val="007A5F26"/>
    <w:rsid w:val="007A6036"/>
    <w:rsid w:val="007A64C2"/>
    <w:rsid w:val="007A71F8"/>
    <w:rsid w:val="007A75C2"/>
    <w:rsid w:val="007A7C36"/>
    <w:rsid w:val="007B0110"/>
    <w:rsid w:val="007B0149"/>
    <w:rsid w:val="007B01BB"/>
    <w:rsid w:val="007B07DF"/>
    <w:rsid w:val="007B0AEC"/>
    <w:rsid w:val="007B10A0"/>
    <w:rsid w:val="007B14A9"/>
    <w:rsid w:val="007B15D9"/>
    <w:rsid w:val="007B1A5C"/>
    <w:rsid w:val="007B1DE1"/>
    <w:rsid w:val="007B25DC"/>
    <w:rsid w:val="007B3461"/>
    <w:rsid w:val="007B4864"/>
    <w:rsid w:val="007B4E0D"/>
    <w:rsid w:val="007B5400"/>
    <w:rsid w:val="007B55BA"/>
    <w:rsid w:val="007B5BAE"/>
    <w:rsid w:val="007B651A"/>
    <w:rsid w:val="007B6B04"/>
    <w:rsid w:val="007B6F54"/>
    <w:rsid w:val="007B6FEE"/>
    <w:rsid w:val="007B7112"/>
    <w:rsid w:val="007B7309"/>
    <w:rsid w:val="007B771D"/>
    <w:rsid w:val="007B7DE9"/>
    <w:rsid w:val="007B7E33"/>
    <w:rsid w:val="007C0621"/>
    <w:rsid w:val="007C0A61"/>
    <w:rsid w:val="007C11D7"/>
    <w:rsid w:val="007C1529"/>
    <w:rsid w:val="007C1659"/>
    <w:rsid w:val="007C1671"/>
    <w:rsid w:val="007C31E0"/>
    <w:rsid w:val="007C3DBB"/>
    <w:rsid w:val="007C40B1"/>
    <w:rsid w:val="007C40E7"/>
    <w:rsid w:val="007C49A6"/>
    <w:rsid w:val="007C4DFA"/>
    <w:rsid w:val="007C4F87"/>
    <w:rsid w:val="007C50C7"/>
    <w:rsid w:val="007C59CE"/>
    <w:rsid w:val="007C5A7A"/>
    <w:rsid w:val="007C5DB7"/>
    <w:rsid w:val="007C5F35"/>
    <w:rsid w:val="007C5F9D"/>
    <w:rsid w:val="007C6477"/>
    <w:rsid w:val="007C6B33"/>
    <w:rsid w:val="007C6C44"/>
    <w:rsid w:val="007C6C91"/>
    <w:rsid w:val="007C7A5F"/>
    <w:rsid w:val="007C7E26"/>
    <w:rsid w:val="007C7EBC"/>
    <w:rsid w:val="007D0952"/>
    <w:rsid w:val="007D0C27"/>
    <w:rsid w:val="007D0DBD"/>
    <w:rsid w:val="007D0E28"/>
    <w:rsid w:val="007D1220"/>
    <w:rsid w:val="007D2136"/>
    <w:rsid w:val="007D232A"/>
    <w:rsid w:val="007D2516"/>
    <w:rsid w:val="007D2A13"/>
    <w:rsid w:val="007D2CBF"/>
    <w:rsid w:val="007D2DA4"/>
    <w:rsid w:val="007D2E5A"/>
    <w:rsid w:val="007D3171"/>
    <w:rsid w:val="007D3DD4"/>
    <w:rsid w:val="007D3F45"/>
    <w:rsid w:val="007D4386"/>
    <w:rsid w:val="007D4A8C"/>
    <w:rsid w:val="007D4AEC"/>
    <w:rsid w:val="007D4F62"/>
    <w:rsid w:val="007D6172"/>
    <w:rsid w:val="007D63D2"/>
    <w:rsid w:val="007D6A15"/>
    <w:rsid w:val="007D71D3"/>
    <w:rsid w:val="007D739C"/>
    <w:rsid w:val="007D74B6"/>
    <w:rsid w:val="007D7831"/>
    <w:rsid w:val="007D78BF"/>
    <w:rsid w:val="007D7C85"/>
    <w:rsid w:val="007D7CA3"/>
    <w:rsid w:val="007D7EA9"/>
    <w:rsid w:val="007E0142"/>
    <w:rsid w:val="007E0153"/>
    <w:rsid w:val="007E0AB7"/>
    <w:rsid w:val="007E0FDB"/>
    <w:rsid w:val="007E1275"/>
    <w:rsid w:val="007E139B"/>
    <w:rsid w:val="007E1480"/>
    <w:rsid w:val="007E16E5"/>
    <w:rsid w:val="007E17E1"/>
    <w:rsid w:val="007E1859"/>
    <w:rsid w:val="007E1997"/>
    <w:rsid w:val="007E1BA0"/>
    <w:rsid w:val="007E1DD0"/>
    <w:rsid w:val="007E2143"/>
    <w:rsid w:val="007E237A"/>
    <w:rsid w:val="007E287A"/>
    <w:rsid w:val="007E288D"/>
    <w:rsid w:val="007E2EC8"/>
    <w:rsid w:val="007E3BE2"/>
    <w:rsid w:val="007E41DC"/>
    <w:rsid w:val="007E47E3"/>
    <w:rsid w:val="007E4E3C"/>
    <w:rsid w:val="007E5603"/>
    <w:rsid w:val="007E5728"/>
    <w:rsid w:val="007E5C2D"/>
    <w:rsid w:val="007E5EE1"/>
    <w:rsid w:val="007E69D2"/>
    <w:rsid w:val="007E7574"/>
    <w:rsid w:val="007E772B"/>
    <w:rsid w:val="007E7C7E"/>
    <w:rsid w:val="007F0BE7"/>
    <w:rsid w:val="007F0E1D"/>
    <w:rsid w:val="007F1262"/>
    <w:rsid w:val="007F1483"/>
    <w:rsid w:val="007F1954"/>
    <w:rsid w:val="007F1966"/>
    <w:rsid w:val="007F1F39"/>
    <w:rsid w:val="007F2351"/>
    <w:rsid w:val="007F24A0"/>
    <w:rsid w:val="007F28E7"/>
    <w:rsid w:val="007F2A10"/>
    <w:rsid w:val="007F2B6F"/>
    <w:rsid w:val="007F2B87"/>
    <w:rsid w:val="007F2E03"/>
    <w:rsid w:val="007F31A7"/>
    <w:rsid w:val="007F3279"/>
    <w:rsid w:val="007F3810"/>
    <w:rsid w:val="007F3CBC"/>
    <w:rsid w:val="007F446D"/>
    <w:rsid w:val="007F461E"/>
    <w:rsid w:val="007F4EE2"/>
    <w:rsid w:val="007F5510"/>
    <w:rsid w:val="007F60E4"/>
    <w:rsid w:val="007F61CD"/>
    <w:rsid w:val="007F6371"/>
    <w:rsid w:val="007F698E"/>
    <w:rsid w:val="007F718A"/>
    <w:rsid w:val="007F7778"/>
    <w:rsid w:val="007F77D6"/>
    <w:rsid w:val="007F7D4D"/>
    <w:rsid w:val="00800B19"/>
    <w:rsid w:val="00801D71"/>
    <w:rsid w:val="00802029"/>
    <w:rsid w:val="0080250C"/>
    <w:rsid w:val="0080255C"/>
    <w:rsid w:val="008038A2"/>
    <w:rsid w:val="00803B3B"/>
    <w:rsid w:val="00803D95"/>
    <w:rsid w:val="0080438D"/>
    <w:rsid w:val="00804586"/>
    <w:rsid w:val="008046D4"/>
    <w:rsid w:val="008049D6"/>
    <w:rsid w:val="00804DEE"/>
    <w:rsid w:val="00805362"/>
    <w:rsid w:val="00805806"/>
    <w:rsid w:val="00805A4A"/>
    <w:rsid w:val="00805B27"/>
    <w:rsid w:val="00805BC1"/>
    <w:rsid w:val="00805EEF"/>
    <w:rsid w:val="0080682C"/>
    <w:rsid w:val="00806EE3"/>
    <w:rsid w:val="008075F5"/>
    <w:rsid w:val="00807879"/>
    <w:rsid w:val="00807FB7"/>
    <w:rsid w:val="00810398"/>
    <w:rsid w:val="008103E0"/>
    <w:rsid w:val="00810514"/>
    <w:rsid w:val="00811116"/>
    <w:rsid w:val="00811C85"/>
    <w:rsid w:val="0081224F"/>
    <w:rsid w:val="00812A94"/>
    <w:rsid w:val="00812BE0"/>
    <w:rsid w:val="008135C2"/>
    <w:rsid w:val="00814E9D"/>
    <w:rsid w:val="008150F4"/>
    <w:rsid w:val="0081600F"/>
    <w:rsid w:val="0081619F"/>
    <w:rsid w:val="008161CC"/>
    <w:rsid w:val="00816538"/>
    <w:rsid w:val="00816AA2"/>
    <w:rsid w:val="00817945"/>
    <w:rsid w:val="00817AB5"/>
    <w:rsid w:val="00817B97"/>
    <w:rsid w:val="00817C96"/>
    <w:rsid w:val="00817CCA"/>
    <w:rsid w:val="00817D68"/>
    <w:rsid w:val="00817DA8"/>
    <w:rsid w:val="00817E95"/>
    <w:rsid w:val="008202C1"/>
    <w:rsid w:val="00820CC3"/>
    <w:rsid w:val="00821330"/>
    <w:rsid w:val="00821614"/>
    <w:rsid w:val="0082246C"/>
    <w:rsid w:val="0082273F"/>
    <w:rsid w:val="00822CD2"/>
    <w:rsid w:val="00822D52"/>
    <w:rsid w:val="00822DA8"/>
    <w:rsid w:val="00823125"/>
    <w:rsid w:val="00823195"/>
    <w:rsid w:val="008234D1"/>
    <w:rsid w:val="0082377E"/>
    <w:rsid w:val="0082396C"/>
    <w:rsid w:val="00823A4E"/>
    <w:rsid w:val="00823D0A"/>
    <w:rsid w:val="008242A9"/>
    <w:rsid w:val="00824319"/>
    <w:rsid w:val="0082437C"/>
    <w:rsid w:val="00824424"/>
    <w:rsid w:val="0082446F"/>
    <w:rsid w:val="008249FD"/>
    <w:rsid w:val="00824C28"/>
    <w:rsid w:val="008256A2"/>
    <w:rsid w:val="008258A7"/>
    <w:rsid w:val="00825C08"/>
    <w:rsid w:val="00825FC9"/>
    <w:rsid w:val="0082607E"/>
    <w:rsid w:val="008263E4"/>
    <w:rsid w:val="008265B6"/>
    <w:rsid w:val="00826B97"/>
    <w:rsid w:val="00826E0F"/>
    <w:rsid w:val="0082741C"/>
    <w:rsid w:val="00827495"/>
    <w:rsid w:val="00827FFD"/>
    <w:rsid w:val="0083015B"/>
    <w:rsid w:val="0083041A"/>
    <w:rsid w:val="00830E1C"/>
    <w:rsid w:val="00831819"/>
    <w:rsid w:val="00832116"/>
    <w:rsid w:val="00832177"/>
    <w:rsid w:val="0083227E"/>
    <w:rsid w:val="008325F1"/>
    <w:rsid w:val="00832791"/>
    <w:rsid w:val="008329F1"/>
    <w:rsid w:val="00832B1A"/>
    <w:rsid w:val="00833536"/>
    <w:rsid w:val="00833600"/>
    <w:rsid w:val="008339F1"/>
    <w:rsid w:val="00833D45"/>
    <w:rsid w:val="00834266"/>
    <w:rsid w:val="008344AC"/>
    <w:rsid w:val="00835596"/>
    <w:rsid w:val="008355F6"/>
    <w:rsid w:val="008361CA"/>
    <w:rsid w:val="008362AD"/>
    <w:rsid w:val="008365BF"/>
    <w:rsid w:val="00836768"/>
    <w:rsid w:val="008369E8"/>
    <w:rsid w:val="008370B4"/>
    <w:rsid w:val="00837239"/>
    <w:rsid w:val="008377EB"/>
    <w:rsid w:val="00837998"/>
    <w:rsid w:val="00837BB3"/>
    <w:rsid w:val="00837D1C"/>
    <w:rsid w:val="0084123B"/>
    <w:rsid w:val="008412C0"/>
    <w:rsid w:val="00841902"/>
    <w:rsid w:val="008420D4"/>
    <w:rsid w:val="008421B1"/>
    <w:rsid w:val="00842970"/>
    <w:rsid w:val="00842986"/>
    <w:rsid w:val="00842C1A"/>
    <w:rsid w:val="00843325"/>
    <w:rsid w:val="008438E6"/>
    <w:rsid w:val="00843D62"/>
    <w:rsid w:val="0084403B"/>
    <w:rsid w:val="008440EF"/>
    <w:rsid w:val="00844363"/>
    <w:rsid w:val="008443A3"/>
    <w:rsid w:val="0084453B"/>
    <w:rsid w:val="008449BC"/>
    <w:rsid w:val="00844B9B"/>
    <w:rsid w:val="00845008"/>
    <w:rsid w:val="00845B3F"/>
    <w:rsid w:val="00846176"/>
    <w:rsid w:val="0084632F"/>
    <w:rsid w:val="008465FA"/>
    <w:rsid w:val="00846921"/>
    <w:rsid w:val="00847087"/>
    <w:rsid w:val="00847965"/>
    <w:rsid w:val="00847B30"/>
    <w:rsid w:val="00847C41"/>
    <w:rsid w:val="00847D35"/>
    <w:rsid w:val="008501B8"/>
    <w:rsid w:val="008504DC"/>
    <w:rsid w:val="008508C0"/>
    <w:rsid w:val="00850D8B"/>
    <w:rsid w:val="00850FCB"/>
    <w:rsid w:val="0085108B"/>
    <w:rsid w:val="00851478"/>
    <w:rsid w:val="008525F1"/>
    <w:rsid w:val="008534AB"/>
    <w:rsid w:val="008534D2"/>
    <w:rsid w:val="008536AF"/>
    <w:rsid w:val="00853763"/>
    <w:rsid w:val="00853887"/>
    <w:rsid w:val="0085395F"/>
    <w:rsid w:val="00853C03"/>
    <w:rsid w:val="00853FC1"/>
    <w:rsid w:val="0085409F"/>
    <w:rsid w:val="008543D2"/>
    <w:rsid w:val="00854564"/>
    <w:rsid w:val="00854B4A"/>
    <w:rsid w:val="00855193"/>
    <w:rsid w:val="0085523E"/>
    <w:rsid w:val="00855E6C"/>
    <w:rsid w:val="008563A2"/>
    <w:rsid w:val="00856768"/>
    <w:rsid w:val="008568DC"/>
    <w:rsid w:val="00856D08"/>
    <w:rsid w:val="00856D1E"/>
    <w:rsid w:val="00857354"/>
    <w:rsid w:val="00857FEA"/>
    <w:rsid w:val="008602E7"/>
    <w:rsid w:val="008602EB"/>
    <w:rsid w:val="00860425"/>
    <w:rsid w:val="008609AE"/>
    <w:rsid w:val="00860A9F"/>
    <w:rsid w:val="00860CDE"/>
    <w:rsid w:val="00861077"/>
    <w:rsid w:val="008610AC"/>
    <w:rsid w:val="008615BD"/>
    <w:rsid w:val="008615EE"/>
    <w:rsid w:val="00861C43"/>
    <w:rsid w:val="008621E5"/>
    <w:rsid w:val="0086244B"/>
    <w:rsid w:val="008626C8"/>
    <w:rsid w:val="008626F8"/>
    <w:rsid w:val="00862713"/>
    <w:rsid w:val="008627F3"/>
    <w:rsid w:val="0086293B"/>
    <w:rsid w:val="00862BAA"/>
    <w:rsid w:val="00862CB8"/>
    <w:rsid w:val="00862FB5"/>
    <w:rsid w:val="0086320E"/>
    <w:rsid w:val="008638E7"/>
    <w:rsid w:val="008639B4"/>
    <w:rsid w:val="008639F7"/>
    <w:rsid w:val="00863F67"/>
    <w:rsid w:val="008641D2"/>
    <w:rsid w:val="00864992"/>
    <w:rsid w:val="008651A6"/>
    <w:rsid w:val="00865CCA"/>
    <w:rsid w:val="00866337"/>
    <w:rsid w:val="008663C6"/>
    <w:rsid w:val="00866447"/>
    <w:rsid w:val="00866D3A"/>
    <w:rsid w:val="0086721C"/>
    <w:rsid w:val="008701AD"/>
    <w:rsid w:val="00870950"/>
    <w:rsid w:val="00870A8E"/>
    <w:rsid w:val="00871125"/>
    <w:rsid w:val="008713C0"/>
    <w:rsid w:val="00871656"/>
    <w:rsid w:val="00871788"/>
    <w:rsid w:val="00871EA6"/>
    <w:rsid w:val="008720C8"/>
    <w:rsid w:val="00872232"/>
    <w:rsid w:val="0087281C"/>
    <w:rsid w:val="00872899"/>
    <w:rsid w:val="00872922"/>
    <w:rsid w:val="00872D31"/>
    <w:rsid w:val="00873687"/>
    <w:rsid w:val="00873763"/>
    <w:rsid w:val="0087427D"/>
    <w:rsid w:val="00874399"/>
    <w:rsid w:val="0087471E"/>
    <w:rsid w:val="0087500E"/>
    <w:rsid w:val="00875512"/>
    <w:rsid w:val="0087674C"/>
    <w:rsid w:val="00876902"/>
    <w:rsid w:val="00876B69"/>
    <w:rsid w:val="0087707E"/>
    <w:rsid w:val="0087722B"/>
    <w:rsid w:val="00877939"/>
    <w:rsid w:val="00877AC2"/>
    <w:rsid w:val="00877D5F"/>
    <w:rsid w:val="00880540"/>
    <w:rsid w:val="00880BFF"/>
    <w:rsid w:val="00880EAA"/>
    <w:rsid w:val="008815BD"/>
    <w:rsid w:val="00881D11"/>
    <w:rsid w:val="00881E52"/>
    <w:rsid w:val="00882671"/>
    <w:rsid w:val="00883C10"/>
    <w:rsid w:val="00884294"/>
    <w:rsid w:val="0088542E"/>
    <w:rsid w:val="00886373"/>
    <w:rsid w:val="00886800"/>
    <w:rsid w:val="00886F95"/>
    <w:rsid w:val="00887543"/>
    <w:rsid w:val="0089011A"/>
    <w:rsid w:val="008908BD"/>
    <w:rsid w:val="008908FA"/>
    <w:rsid w:val="00890EB7"/>
    <w:rsid w:val="00890F7A"/>
    <w:rsid w:val="0089100F"/>
    <w:rsid w:val="00891351"/>
    <w:rsid w:val="008918D5"/>
    <w:rsid w:val="00891BFE"/>
    <w:rsid w:val="00891F67"/>
    <w:rsid w:val="00892427"/>
    <w:rsid w:val="008924D7"/>
    <w:rsid w:val="008925E3"/>
    <w:rsid w:val="00892B4B"/>
    <w:rsid w:val="00892DD5"/>
    <w:rsid w:val="00893295"/>
    <w:rsid w:val="00893A10"/>
    <w:rsid w:val="00893C49"/>
    <w:rsid w:val="00893D27"/>
    <w:rsid w:val="008940D2"/>
    <w:rsid w:val="0089410E"/>
    <w:rsid w:val="00894433"/>
    <w:rsid w:val="008946D7"/>
    <w:rsid w:val="008951F8"/>
    <w:rsid w:val="00895214"/>
    <w:rsid w:val="00895299"/>
    <w:rsid w:val="008952D4"/>
    <w:rsid w:val="00895F1D"/>
    <w:rsid w:val="00896619"/>
    <w:rsid w:val="00896B9E"/>
    <w:rsid w:val="00896FDF"/>
    <w:rsid w:val="008974C6"/>
    <w:rsid w:val="008978F8"/>
    <w:rsid w:val="00897BE2"/>
    <w:rsid w:val="008A0128"/>
    <w:rsid w:val="008A0348"/>
    <w:rsid w:val="008A0AB1"/>
    <w:rsid w:val="008A1776"/>
    <w:rsid w:val="008A1802"/>
    <w:rsid w:val="008A1ADD"/>
    <w:rsid w:val="008A1B6A"/>
    <w:rsid w:val="008A1D31"/>
    <w:rsid w:val="008A272D"/>
    <w:rsid w:val="008A2BFF"/>
    <w:rsid w:val="008A3137"/>
    <w:rsid w:val="008A3214"/>
    <w:rsid w:val="008A354C"/>
    <w:rsid w:val="008A3745"/>
    <w:rsid w:val="008A3969"/>
    <w:rsid w:val="008A3CBF"/>
    <w:rsid w:val="008A3D23"/>
    <w:rsid w:val="008A3F2F"/>
    <w:rsid w:val="008A488D"/>
    <w:rsid w:val="008A5321"/>
    <w:rsid w:val="008A5A4B"/>
    <w:rsid w:val="008A6028"/>
    <w:rsid w:val="008A6404"/>
    <w:rsid w:val="008A6546"/>
    <w:rsid w:val="008A706F"/>
    <w:rsid w:val="008A7303"/>
    <w:rsid w:val="008A7766"/>
    <w:rsid w:val="008A7B70"/>
    <w:rsid w:val="008B004C"/>
    <w:rsid w:val="008B0827"/>
    <w:rsid w:val="008B0EF5"/>
    <w:rsid w:val="008B0F43"/>
    <w:rsid w:val="008B140B"/>
    <w:rsid w:val="008B17F8"/>
    <w:rsid w:val="008B2137"/>
    <w:rsid w:val="008B2565"/>
    <w:rsid w:val="008B3093"/>
    <w:rsid w:val="008B3785"/>
    <w:rsid w:val="008B3977"/>
    <w:rsid w:val="008B3997"/>
    <w:rsid w:val="008B3A40"/>
    <w:rsid w:val="008B3CC3"/>
    <w:rsid w:val="008B4A5E"/>
    <w:rsid w:val="008B4DA9"/>
    <w:rsid w:val="008B5B93"/>
    <w:rsid w:val="008B5D15"/>
    <w:rsid w:val="008B5D84"/>
    <w:rsid w:val="008B62F4"/>
    <w:rsid w:val="008B6AC5"/>
    <w:rsid w:val="008B6F37"/>
    <w:rsid w:val="008C05BA"/>
    <w:rsid w:val="008C066F"/>
    <w:rsid w:val="008C0C55"/>
    <w:rsid w:val="008C0DD3"/>
    <w:rsid w:val="008C1067"/>
    <w:rsid w:val="008C107C"/>
    <w:rsid w:val="008C1A5A"/>
    <w:rsid w:val="008C1B23"/>
    <w:rsid w:val="008C1BC1"/>
    <w:rsid w:val="008C2C74"/>
    <w:rsid w:val="008C2FEA"/>
    <w:rsid w:val="008C3876"/>
    <w:rsid w:val="008C3DAA"/>
    <w:rsid w:val="008C41AC"/>
    <w:rsid w:val="008C48D4"/>
    <w:rsid w:val="008C4B0C"/>
    <w:rsid w:val="008C4C10"/>
    <w:rsid w:val="008C4FD6"/>
    <w:rsid w:val="008C5078"/>
    <w:rsid w:val="008C51A0"/>
    <w:rsid w:val="008C55E3"/>
    <w:rsid w:val="008C577F"/>
    <w:rsid w:val="008C5936"/>
    <w:rsid w:val="008C59B6"/>
    <w:rsid w:val="008C5AF2"/>
    <w:rsid w:val="008C619E"/>
    <w:rsid w:val="008C61D7"/>
    <w:rsid w:val="008C694D"/>
    <w:rsid w:val="008C6BA7"/>
    <w:rsid w:val="008C741E"/>
    <w:rsid w:val="008C76BF"/>
    <w:rsid w:val="008C7C85"/>
    <w:rsid w:val="008C7DE1"/>
    <w:rsid w:val="008D09FF"/>
    <w:rsid w:val="008D0DD5"/>
    <w:rsid w:val="008D1373"/>
    <w:rsid w:val="008D1489"/>
    <w:rsid w:val="008D174C"/>
    <w:rsid w:val="008D1B3A"/>
    <w:rsid w:val="008D2343"/>
    <w:rsid w:val="008D292B"/>
    <w:rsid w:val="008D2A29"/>
    <w:rsid w:val="008D2A48"/>
    <w:rsid w:val="008D2C8E"/>
    <w:rsid w:val="008D30DC"/>
    <w:rsid w:val="008D380D"/>
    <w:rsid w:val="008D39E2"/>
    <w:rsid w:val="008D3AF8"/>
    <w:rsid w:val="008D3C5D"/>
    <w:rsid w:val="008D3DE9"/>
    <w:rsid w:val="008D44A1"/>
    <w:rsid w:val="008D47D2"/>
    <w:rsid w:val="008D4B9B"/>
    <w:rsid w:val="008D4EFE"/>
    <w:rsid w:val="008D544F"/>
    <w:rsid w:val="008D598A"/>
    <w:rsid w:val="008D63D3"/>
    <w:rsid w:val="008D6F67"/>
    <w:rsid w:val="008D793C"/>
    <w:rsid w:val="008D7F9E"/>
    <w:rsid w:val="008E0449"/>
    <w:rsid w:val="008E0A28"/>
    <w:rsid w:val="008E0D46"/>
    <w:rsid w:val="008E0E3C"/>
    <w:rsid w:val="008E0EF8"/>
    <w:rsid w:val="008E161B"/>
    <w:rsid w:val="008E27F9"/>
    <w:rsid w:val="008E28C3"/>
    <w:rsid w:val="008E2971"/>
    <w:rsid w:val="008E393A"/>
    <w:rsid w:val="008E3986"/>
    <w:rsid w:val="008E3A43"/>
    <w:rsid w:val="008E3B01"/>
    <w:rsid w:val="008E5272"/>
    <w:rsid w:val="008E58AA"/>
    <w:rsid w:val="008E656A"/>
    <w:rsid w:val="008E67CC"/>
    <w:rsid w:val="008E6AFA"/>
    <w:rsid w:val="008E6F5B"/>
    <w:rsid w:val="008E7344"/>
    <w:rsid w:val="008E73A4"/>
    <w:rsid w:val="008E7E81"/>
    <w:rsid w:val="008E7FBB"/>
    <w:rsid w:val="008F0000"/>
    <w:rsid w:val="008F0409"/>
    <w:rsid w:val="008F169E"/>
    <w:rsid w:val="008F262B"/>
    <w:rsid w:val="008F2927"/>
    <w:rsid w:val="008F2B8C"/>
    <w:rsid w:val="008F2C5F"/>
    <w:rsid w:val="008F3367"/>
    <w:rsid w:val="008F3A2C"/>
    <w:rsid w:val="008F3F44"/>
    <w:rsid w:val="008F45A9"/>
    <w:rsid w:val="008F5020"/>
    <w:rsid w:val="008F50A4"/>
    <w:rsid w:val="008F549A"/>
    <w:rsid w:val="008F5A6F"/>
    <w:rsid w:val="008F5ED9"/>
    <w:rsid w:val="008F6070"/>
    <w:rsid w:val="008F6114"/>
    <w:rsid w:val="008F62C2"/>
    <w:rsid w:val="008F638C"/>
    <w:rsid w:val="008F694E"/>
    <w:rsid w:val="008F73C5"/>
    <w:rsid w:val="008F75FA"/>
    <w:rsid w:val="008F777C"/>
    <w:rsid w:val="008F7D29"/>
    <w:rsid w:val="00900264"/>
    <w:rsid w:val="0090026E"/>
    <w:rsid w:val="00900716"/>
    <w:rsid w:val="009008AB"/>
    <w:rsid w:val="00900BD4"/>
    <w:rsid w:val="009015F3"/>
    <w:rsid w:val="00901649"/>
    <w:rsid w:val="0090180E"/>
    <w:rsid w:val="00901CFD"/>
    <w:rsid w:val="00902E44"/>
    <w:rsid w:val="00903385"/>
    <w:rsid w:val="00903942"/>
    <w:rsid w:val="00903995"/>
    <w:rsid w:val="00903C43"/>
    <w:rsid w:val="0090425B"/>
    <w:rsid w:val="00904E01"/>
    <w:rsid w:val="009050E9"/>
    <w:rsid w:val="0090511C"/>
    <w:rsid w:val="0090538E"/>
    <w:rsid w:val="009055EB"/>
    <w:rsid w:val="00905AB3"/>
    <w:rsid w:val="00905B15"/>
    <w:rsid w:val="009063E7"/>
    <w:rsid w:val="00907572"/>
    <w:rsid w:val="0090786D"/>
    <w:rsid w:val="00907886"/>
    <w:rsid w:val="00907A7B"/>
    <w:rsid w:val="009100A8"/>
    <w:rsid w:val="009100E4"/>
    <w:rsid w:val="00910294"/>
    <w:rsid w:val="0091062E"/>
    <w:rsid w:val="009110E5"/>
    <w:rsid w:val="0091123D"/>
    <w:rsid w:val="00911284"/>
    <w:rsid w:val="00911802"/>
    <w:rsid w:val="00911A8F"/>
    <w:rsid w:val="00911F00"/>
    <w:rsid w:val="0091232B"/>
    <w:rsid w:val="009123E9"/>
    <w:rsid w:val="00912A1A"/>
    <w:rsid w:val="00912E30"/>
    <w:rsid w:val="00912F58"/>
    <w:rsid w:val="0091319A"/>
    <w:rsid w:val="0091333F"/>
    <w:rsid w:val="00913736"/>
    <w:rsid w:val="00913BEA"/>
    <w:rsid w:val="00913D77"/>
    <w:rsid w:val="009143E6"/>
    <w:rsid w:val="00914559"/>
    <w:rsid w:val="00914E28"/>
    <w:rsid w:val="00914FE8"/>
    <w:rsid w:val="00915490"/>
    <w:rsid w:val="009154FD"/>
    <w:rsid w:val="00915796"/>
    <w:rsid w:val="00915A1D"/>
    <w:rsid w:val="00915B66"/>
    <w:rsid w:val="00915DCF"/>
    <w:rsid w:val="0091606A"/>
    <w:rsid w:val="00916103"/>
    <w:rsid w:val="009171DA"/>
    <w:rsid w:val="009206C1"/>
    <w:rsid w:val="009214F7"/>
    <w:rsid w:val="009216AF"/>
    <w:rsid w:val="00921C96"/>
    <w:rsid w:val="00921EB5"/>
    <w:rsid w:val="00921F85"/>
    <w:rsid w:val="00922616"/>
    <w:rsid w:val="009227F3"/>
    <w:rsid w:val="00922D3A"/>
    <w:rsid w:val="00922DB3"/>
    <w:rsid w:val="00922ED8"/>
    <w:rsid w:val="00923195"/>
    <w:rsid w:val="00923372"/>
    <w:rsid w:val="00923677"/>
    <w:rsid w:val="00923E9A"/>
    <w:rsid w:val="009242D3"/>
    <w:rsid w:val="009244EA"/>
    <w:rsid w:val="0092493F"/>
    <w:rsid w:val="00924A61"/>
    <w:rsid w:val="00924B84"/>
    <w:rsid w:val="00924FD7"/>
    <w:rsid w:val="0092514E"/>
    <w:rsid w:val="00925B2C"/>
    <w:rsid w:val="00925DB8"/>
    <w:rsid w:val="00926160"/>
    <w:rsid w:val="00926B89"/>
    <w:rsid w:val="00926CA0"/>
    <w:rsid w:val="00926F7C"/>
    <w:rsid w:val="00927906"/>
    <w:rsid w:val="00927FEA"/>
    <w:rsid w:val="009301CA"/>
    <w:rsid w:val="00930DF1"/>
    <w:rsid w:val="00931599"/>
    <w:rsid w:val="00931625"/>
    <w:rsid w:val="00931D2D"/>
    <w:rsid w:val="0093280B"/>
    <w:rsid w:val="0093318C"/>
    <w:rsid w:val="009334B9"/>
    <w:rsid w:val="009334C4"/>
    <w:rsid w:val="00934032"/>
    <w:rsid w:val="00934C37"/>
    <w:rsid w:val="00935413"/>
    <w:rsid w:val="0093560A"/>
    <w:rsid w:val="00935C34"/>
    <w:rsid w:val="0093651E"/>
    <w:rsid w:val="0093679D"/>
    <w:rsid w:val="00936A14"/>
    <w:rsid w:val="00936E27"/>
    <w:rsid w:val="00936FF0"/>
    <w:rsid w:val="00937447"/>
    <w:rsid w:val="00937FC0"/>
    <w:rsid w:val="009404D2"/>
    <w:rsid w:val="0094051D"/>
    <w:rsid w:val="009405E6"/>
    <w:rsid w:val="00940B57"/>
    <w:rsid w:val="0094163F"/>
    <w:rsid w:val="009416DC"/>
    <w:rsid w:val="009422A7"/>
    <w:rsid w:val="009422C9"/>
    <w:rsid w:val="009424DF"/>
    <w:rsid w:val="009428B7"/>
    <w:rsid w:val="00942CE5"/>
    <w:rsid w:val="00943168"/>
    <w:rsid w:val="009434B2"/>
    <w:rsid w:val="0094375A"/>
    <w:rsid w:val="0094390D"/>
    <w:rsid w:val="0094420F"/>
    <w:rsid w:val="009445F2"/>
    <w:rsid w:val="00944B86"/>
    <w:rsid w:val="00944C78"/>
    <w:rsid w:val="0094503D"/>
    <w:rsid w:val="009456AA"/>
    <w:rsid w:val="00945C07"/>
    <w:rsid w:val="009468B7"/>
    <w:rsid w:val="00946D60"/>
    <w:rsid w:val="00946F48"/>
    <w:rsid w:val="009472E5"/>
    <w:rsid w:val="009479AF"/>
    <w:rsid w:val="00947D67"/>
    <w:rsid w:val="00947E4A"/>
    <w:rsid w:val="00947EF0"/>
    <w:rsid w:val="00947F4E"/>
    <w:rsid w:val="0095043D"/>
    <w:rsid w:val="00950450"/>
    <w:rsid w:val="00950575"/>
    <w:rsid w:val="00950667"/>
    <w:rsid w:val="00950669"/>
    <w:rsid w:val="00950D86"/>
    <w:rsid w:val="00950E21"/>
    <w:rsid w:val="009514A2"/>
    <w:rsid w:val="00951551"/>
    <w:rsid w:val="009519B8"/>
    <w:rsid w:val="009525D0"/>
    <w:rsid w:val="0095285E"/>
    <w:rsid w:val="0095318C"/>
    <w:rsid w:val="00953598"/>
    <w:rsid w:val="00953A26"/>
    <w:rsid w:val="00953A34"/>
    <w:rsid w:val="0095416C"/>
    <w:rsid w:val="0095446F"/>
    <w:rsid w:val="00954779"/>
    <w:rsid w:val="00954951"/>
    <w:rsid w:val="00954EE0"/>
    <w:rsid w:val="00955628"/>
    <w:rsid w:val="009559A9"/>
    <w:rsid w:val="00955A99"/>
    <w:rsid w:val="0095625C"/>
    <w:rsid w:val="009562BC"/>
    <w:rsid w:val="009562F1"/>
    <w:rsid w:val="00956605"/>
    <w:rsid w:val="00956938"/>
    <w:rsid w:val="00956A09"/>
    <w:rsid w:val="00956AAB"/>
    <w:rsid w:val="00956B73"/>
    <w:rsid w:val="00956C04"/>
    <w:rsid w:val="00956ED2"/>
    <w:rsid w:val="0095705E"/>
    <w:rsid w:val="0095710C"/>
    <w:rsid w:val="0096095F"/>
    <w:rsid w:val="00961DBA"/>
    <w:rsid w:val="00962561"/>
    <w:rsid w:val="00963768"/>
    <w:rsid w:val="00963AB1"/>
    <w:rsid w:val="00963EC8"/>
    <w:rsid w:val="009647D6"/>
    <w:rsid w:val="00964EFE"/>
    <w:rsid w:val="00965043"/>
    <w:rsid w:val="00965180"/>
    <w:rsid w:val="009655A3"/>
    <w:rsid w:val="0096578D"/>
    <w:rsid w:val="00966741"/>
    <w:rsid w:val="00966F82"/>
    <w:rsid w:val="00967223"/>
    <w:rsid w:val="0096730E"/>
    <w:rsid w:val="00967878"/>
    <w:rsid w:val="00970319"/>
    <w:rsid w:val="00970B2C"/>
    <w:rsid w:val="009711E0"/>
    <w:rsid w:val="00971215"/>
    <w:rsid w:val="00971677"/>
    <w:rsid w:val="009717E0"/>
    <w:rsid w:val="00971FE9"/>
    <w:rsid w:val="0097250B"/>
    <w:rsid w:val="0097273E"/>
    <w:rsid w:val="00973334"/>
    <w:rsid w:val="00973BD4"/>
    <w:rsid w:val="009740E0"/>
    <w:rsid w:val="009743DE"/>
    <w:rsid w:val="009746E4"/>
    <w:rsid w:val="00974B47"/>
    <w:rsid w:val="00974D25"/>
    <w:rsid w:val="00974DDB"/>
    <w:rsid w:val="00974F23"/>
    <w:rsid w:val="00974FEC"/>
    <w:rsid w:val="00975905"/>
    <w:rsid w:val="009769CC"/>
    <w:rsid w:val="00976BAB"/>
    <w:rsid w:val="00976CE4"/>
    <w:rsid w:val="009773C8"/>
    <w:rsid w:val="00977427"/>
    <w:rsid w:val="00977505"/>
    <w:rsid w:val="00977710"/>
    <w:rsid w:val="00980488"/>
    <w:rsid w:val="00980568"/>
    <w:rsid w:val="00980585"/>
    <w:rsid w:val="009808CA"/>
    <w:rsid w:val="00980F1F"/>
    <w:rsid w:val="00981240"/>
    <w:rsid w:val="00981497"/>
    <w:rsid w:val="0098174E"/>
    <w:rsid w:val="00981BA0"/>
    <w:rsid w:val="00982016"/>
    <w:rsid w:val="00982229"/>
    <w:rsid w:val="00982284"/>
    <w:rsid w:val="00982514"/>
    <w:rsid w:val="009832C1"/>
    <w:rsid w:val="0098333C"/>
    <w:rsid w:val="0098368F"/>
    <w:rsid w:val="00983D6A"/>
    <w:rsid w:val="00983DF7"/>
    <w:rsid w:val="00983E21"/>
    <w:rsid w:val="0098417D"/>
    <w:rsid w:val="00984C34"/>
    <w:rsid w:val="0098500C"/>
    <w:rsid w:val="009856F9"/>
    <w:rsid w:val="00985CC1"/>
    <w:rsid w:val="00985DD0"/>
    <w:rsid w:val="009865C9"/>
    <w:rsid w:val="00986912"/>
    <w:rsid w:val="00987054"/>
    <w:rsid w:val="009873CA"/>
    <w:rsid w:val="0098747F"/>
    <w:rsid w:val="00987A0A"/>
    <w:rsid w:val="00990287"/>
    <w:rsid w:val="00990817"/>
    <w:rsid w:val="00991316"/>
    <w:rsid w:val="009913A9"/>
    <w:rsid w:val="00992647"/>
    <w:rsid w:val="009927D2"/>
    <w:rsid w:val="00992935"/>
    <w:rsid w:val="00992FE5"/>
    <w:rsid w:val="00993DD0"/>
    <w:rsid w:val="009945B6"/>
    <w:rsid w:val="00994684"/>
    <w:rsid w:val="009946DB"/>
    <w:rsid w:val="00994987"/>
    <w:rsid w:val="00994AA0"/>
    <w:rsid w:val="00995082"/>
    <w:rsid w:val="0099518C"/>
    <w:rsid w:val="009952BE"/>
    <w:rsid w:val="00995A9F"/>
    <w:rsid w:val="00996317"/>
    <w:rsid w:val="009967AA"/>
    <w:rsid w:val="00996BF2"/>
    <w:rsid w:val="00996CD7"/>
    <w:rsid w:val="00997586"/>
    <w:rsid w:val="009975BB"/>
    <w:rsid w:val="009976B3"/>
    <w:rsid w:val="009978E7"/>
    <w:rsid w:val="009A0E30"/>
    <w:rsid w:val="009A0E83"/>
    <w:rsid w:val="009A17CA"/>
    <w:rsid w:val="009A1BDE"/>
    <w:rsid w:val="009A2E74"/>
    <w:rsid w:val="009A37E1"/>
    <w:rsid w:val="009A3DB4"/>
    <w:rsid w:val="009A450C"/>
    <w:rsid w:val="009A4AB7"/>
    <w:rsid w:val="009A4F35"/>
    <w:rsid w:val="009A52EB"/>
    <w:rsid w:val="009A5E91"/>
    <w:rsid w:val="009A64E1"/>
    <w:rsid w:val="009A659D"/>
    <w:rsid w:val="009A68D3"/>
    <w:rsid w:val="009A69CD"/>
    <w:rsid w:val="009A6C25"/>
    <w:rsid w:val="009A6C9D"/>
    <w:rsid w:val="009A7556"/>
    <w:rsid w:val="009A75E7"/>
    <w:rsid w:val="009A763A"/>
    <w:rsid w:val="009A7874"/>
    <w:rsid w:val="009A7978"/>
    <w:rsid w:val="009A7A41"/>
    <w:rsid w:val="009B048F"/>
    <w:rsid w:val="009B0795"/>
    <w:rsid w:val="009B0B37"/>
    <w:rsid w:val="009B0B63"/>
    <w:rsid w:val="009B153B"/>
    <w:rsid w:val="009B1AE6"/>
    <w:rsid w:val="009B1BB7"/>
    <w:rsid w:val="009B25D3"/>
    <w:rsid w:val="009B284F"/>
    <w:rsid w:val="009B28F7"/>
    <w:rsid w:val="009B2C3B"/>
    <w:rsid w:val="009B3137"/>
    <w:rsid w:val="009B38CE"/>
    <w:rsid w:val="009B3D21"/>
    <w:rsid w:val="009B4560"/>
    <w:rsid w:val="009B488D"/>
    <w:rsid w:val="009B488E"/>
    <w:rsid w:val="009B505B"/>
    <w:rsid w:val="009B50EB"/>
    <w:rsid w:val="009B5686"/>
    <w:rsid w:val="009B5D10"/>
    <w:rsid w:val="009B5F9E"/>
    <w:rsid w:val="009B65DA"/>
    <w:rsid w:val="009B6C49"/>
    <w:rsid w:val="009B6F7E"/>
    <w:rsid w:val="009B711F"/>
    <w:rsid w:val="009B75A7"/>
    <w:rsid w:val="009B7FDB"/>
    <w:rsid w:val="009C020C"/>
    <w:rsid w:val="009C07DB"/>
    <w:rsid w:val="009C0907"/>
    <w:rsid w:val="009C0AF3"/>
    <w:rsid w:val="009C0B12"/>
    <w:rsid w:val="009C10F5"/>
    <w:rsid w:val="009C17CB"/>
    <w:rsid w:val="009C18D0"/>
    <w:rsid w:val="009C1DAB"/>
    <w:rsid w:val="009C1FF6"/>
    <w:rsid w:val="009C2694"/>
    <w:rsid w:val="009C2800"/>
    <w:rsid w:val="009C2817"/>
    <w:rsid w:val="009C2A6F"/>
    <w:rsid w:val="009C2AAE"/>
    <w:rsid w:val="009C2AFD"/>
    <w:rsid w:val="009C31E0"/>
    <w:rsid w:val="009C33EE"/>
    <w:rsid w:val="009C3A29"/>
    <w:rsid w:val="009C3FC4"/>
    <w:rsid w:val="009C404B"/>
    <w:rsid w:val="009C4901"/>
    <w:rsid w:val="009C4AB0"/>
    <w:rsid w:val="009C4B58"/>
    <w:rsid w:val="009C585F"/>
    <w:rsid w:val="009C5AB5"/>
    <w:rsid w:val="009C5B74"/>
    <w:rsid w:val="009C6076"/>
    <w:rsid w:val="009C6AAE"/>
    <w:rsid w:val="009C753D"/>
    <w:rsid w:val="009C7A2A"/>
    <w:rsid w:val="009D0CD3"/>
    <w:rsid w:val="009D0DAD"/>
    <w:rsid w:val="009D0E91"/>
    <w:rsid w:val="009D0EE9"/>
    <w:rsid w:val="009D1154"/>
    <w:rsid w:val="009D1630"/>
    <w:rsid w:val="009D1A60"/>
    <w:rsid w:val="009D2054"/>
    <w:rsid w:val="009D33A1"/>
    <w:rsid w:val="009D3DCB"/>
    <w:rsid w:val="009D4119"/>
    <w:rsid w:val="009D4762"/>
    <w:rsid w:val="009D5174"/>
    <w:rsid w:val="009D51D6"/>
    <w:rsid w:val="009D53CE"/>
    <w:rsid w:val="009D5ACC"/>
    <w:rsid w:val="009D5DF1"/>
    <w:rsid w:val="009D660A"/>
    <w:rsid w:val="009D679F"/>
    <w:rsid w:val="009D6B96"/>
    <w:rsid w:val="009D6F75"/>
    <w:rsid w:val="009D75FD"/>
    <w:rsid w:val="009D7B7A"/>
    <w:rsid w:val="009E01B9"/>
    <w:rsid w:val="009E10EF"/>
    <w:rsid w:val="009E1336"/>
    <w:rsid w:val="009E1559"/>
    <w:rsid w:val="009E16E7"/>
    <w:rsid w:val="009E1908"/>
    <w:rsid w:val="009E213B"/>
    <w:rsid w:val="009E21A5"/>
    <w:rsid w:val="009E2745"/>
    <w:rsid w:val="009E2A00"/>
    <w:rsid w:val="009E3D43"/>
    <w:rsid w:val="009E3FD9"/>
    <w:rsid w:val="009E42E5"/>
    <w:rsid w:val="009E4609"/>
    <w:rsid w:val="009E5331"/>
    <w:rsid w:val="009E5460"/>
    <w:rsid w:val="009E5551"/>
    <w:rsid w:val="009E5682"/>
    <w:rsid w:val="009E5970"/>
    <w:rsid w:val="009E5DA9"/>
    <w:rsid w:val="009E6088"/>
    <w:rsid w:val="009E64AC"/>
    <w:rsid w:val="009E660C"/>
    <w:rsid w:val="009E66D5"/>
    <w:rsid w:val="009E6760"/>
    <w:rsid w:val="009E71A6"/>
    <w:rsid w:val="009E75A9"/>
    <w:rsid w:val="009F0038"/>
    <w:rsid w:val="009F014C"/>
    <w:rsid w:val="009F034E"/>
    <w:rsid w:val="009F08BB"/>
    <w:rsid w:val="009F0FBD"/>
    <w:rsid w:val="009F1EA7"/>
    <w:rsid w:val="009F224F"/>
    <w:rsid w:val="009F22DB"/>
    <w:rsid w:val="009F2D06"/>
    <w:rsid w:val="009F390D"/>
    <w:rsid w:val="009F3B96"/>
    <w:rsid w:val="009F46EE"/>
    <w:rsid w:val="009F498E"/>
    <w:rsid w:val="009F4A2C"/>
    <w:rsid w:val="009F5078"/>
    <w:rsid w:val="009F530B"/>
    <w:rsid w:val="009F5551"/>
    <w:rsid w:val="009F591D"/>
    <w:rsid w:val="009F59E9"/>
    <w:rsid w:val="009F62CA"/>
    <w:rsid w:val="009F7612"/>
    <w:rsid w:val="009F78D8"/>
    <w:rsid w:val="00A00884"/>
    <w:rsid w:val="00A00972"/>
    <w:rsid w:val="00A01451"/>
    <w:rsid w:val="00A01D65"/>
    <w:rsid w:val="00A021CD"/>
    <w:rsid w:val="00A0223F"/>
    <w:rsid w:val="00A024D8"/>
    <w:rsid w:val="00A02727"/>
    <w:rsid w:val="00A03129"/>
    <w:rsid w:val="00A03605"/>
    <w:rsid w:val="00A03932"/>
    <w:rsid w:val="00A03BC7"/>
    <w:rsid w:val="00A03E1F"/>
    <w:rsid w:val="00A03FEB"/>
    <w:rsid w:val="00A045F2"/>
    <w:rsid w:val="00A04E62"/>
    <w:rsid w:val="00A05007"/>
    <w:rsid w:val="00A05204"/>
    <w:rsid w:val="00A053DF"/>
    <w:rsid w:val="00A0550C"/>
    <w:rsid w:val="00A05F89"/>
    <w:rsid w:val="00A060D5"/>
    <w:rsid w:val="00A06429"/>
    <w:rsid w:val="00A0652B"/>
    <w:rsid w:val="00A06718"/>
    <w:rsid w:val="00A06753"/>
    <w:rsid w:val="00A06B4F"/>
    <w:rsid w:val="00A074A1"/>
    <w:rsid w:val="00A077A4"/>
    <w:rsid w:val="00A10759"/>
    <w:rsid w:val="00A10A71"/>
    <w:rsid w:val="00A10FF2"/>
    <w:rsid w:val="00A11854"/>
    <w:rsid w:val="00A11A40"/>
    <w:rsid w:val="00A12360"/>
    <w:rsid w:val="00A12861"/>
    <w:rsid w:val="00A12AB7"/>
    <w:rsid w:val="00A13007"/>
    <w:rsid w:val="00A135A7"/>
    <w:rsid w:val="00A13636"/>
    <w:rsid w:val="00A137AF"/>
    <w:rsid w:val="00A138AE"/>
    <w:rsid w:val="00A14490"/>
    <w:rsid w:val="00A1495D"/>
    <w:rsid w:val="00A14CCC"/>
    <w:rsid w:val="00A14D58"/>
    <w:rsid w:val="00A14E32"/>
    <w:rsid w:val="00A14E33"/>
    <w:rsid w:val="00A15194"/>
    <w:rsid w:val="00A15519"/>
    <w:rsid w:val="00A159E9"/>
    <w:rsid w:val="00A16037"/>
    <w:rsid w:val="00A160B1"/>
    <w:rsid w:val="00A163BB"/>
    <w:rsid w:val="00A16734"/>
    <w:rsid w:val="00A177B0"/>
    <w:rsid w:val="00A178F6"/>
    <w:rsid w:val="00A20F4E"/>
    <w:rsid w:val="00A22192"/>
    <w:rsid w:val="00A22210"/>
    <w:rsid w:val="00A22536"/>
    <w:rsid w:val="00A2273F"/>
    <w:rsid w:val="00A2313B"/>
    <w:rsid w:val="00A233A6"/>
    <w:rsid w:val="00A234DF"/>
    <w:rsid w:val="00A23748"/>
    <w:rsid w:val="00A23990"/>
    <w:rsid w:val="00A24A46"/>
    <w:rsid w:val="00A24C7D"/>
    <w:rsid w:val="00A24D0E"/>
    <w:rsid w:val="00A25013"/>
    <w:rsid w:val="00A25719"/>
    <w:rsid w:val="00A25CC6"/>
    <w:rsid w:val="00A26008"/>
    <w:rsid w:val="00A267C9"/>
    <w:rsid w:val="00A26D46"/>
    <w:rsid w:val="00A26E48"/>
    <w:rsid w:val="00A26E71"/>
    <w:rsid w:val="00A26FE1"/>
    <w:rsid w:val="00A27006"/>
    <w:rsid w:val="00A27C5F"/>
    <w:rsid w:val="00A27D22"/>
    <w:rsid w:val="00A3009F"/>
    <w:rsid w:val="00A303FB"/>
    <w:rsid w:val="00A3098F"/>
    <w:rsid w:val="00A30AD0"/>
    <w:rsid w:val="00A30F1A"/>
    <w:rsid w:val="00A3123A"/>
    <w:rsid w:val="00A31428"/>
    <w:rsid w:val="00A31429"/>
    <w:rsid w:val="00A32628"/>
    <w:rsid w:val="00A32989"/>
    <w:rsid w:val="00A329E3"/>
    <w:rsid w:val="00A33BB3"/>
    <w:rsid w:val="00A33C09"/>
    <w:rsid w:val="00A33DBC"/>
    <w:rsid w:val="00A346FC"/>
    <w:rsid w:val="00A3484F"/>
    <w:rsid w:val="00A349C4"/>
    <w:rsid w:val="00A34A04"/>
    <w:rsid w:val="00A351FD"/>
    <w:rsid w:val="00A3538C"/>
    <w:rsid w:val="00A35436"/>
    <w:rsid w:val="00A3593B"/>
    <w:rsid w:val="00A35BCB"/>
    <w:rsid w:val="00A35CD2"/>
    <w:rsid w:val="00A36104"/>
    <w:rsid w:val="00A3669D"/>
    <w:rsid w:val="00A36D37"/>
    <w:rsid w:val="00A36FBA"/>
    <w:rsid w:val="00A36FE5"/>
    <w:rsid w:val="00A37003"/>
    <w:rsid w:val="00A37219"/>
    <w:rsid w:val="00A3772E"/>
    <w:rsid w:val="00A402A1"/>
    <w:rsid w:val="00A402AA"/>
    <w:rsid w:val="00A41660"/>
    <w:rsid w:val="00A417FE"/>
    <w:rsid w:val="00A41B31"/>
    <w:rsid w:val="00A424F9"/>
    <w:rsid w:val="00A42993"/>
    <w:rsid w:val="00A4315E"/>
    <w:rsid w:val="00A43253"/>
    <w:rsid w:val="00A43815"/>
    <w:rsid w:val="00A43BA7"/>
    <w:rsid w:val="00A43D48"/>
    <w:rsid w:val="00A4468D"/>
    <w:rsid w:val="00A44898"/>
    <w:rsid w:val="00A44B5B"/>
    <w:rsid w:val="00A45A14"/>
    <w:rsid w:val="00A460FC"/>
    <w:rsid w:val="00A46839"/>
    <w:rsid w:val="00A468DE"/>
    <w:rsid w:val="00A47127"/>
    <w:rsid w:val="00A47C87"/>
    <w:rsid w:val="00A47E56"/>
    <w:rsid w:val="00A5112A"/>
    <w:rsid w:val="00A5184B"/>
    <w:rsid w:val="00A51E92"/>
    <w:rsid w:val="00A51EF8"/>
    <w:rsid w:val="00A523C0"/>
    <w:rsid w:val="00A52AB0"/>
    <w:rsid w:val="00A52E92"/>
    <w:rsid w:val="00A52ED6"/>
    <w:rsid w:val="00A52FF7"/>
    <w:rsid w:val="00A53D4A"/>
    <w:rsid w:val="00A54680"/>
    <w:rsid w:val="00A5515C"/>
    <w:rsid w:val="00A55802"/>
    <w:rsid w:val="00A5580C"/>
    <w:rsid w:val="00A55BEC"/>
    <w:rsid w:val="00A5677C"/>
    <w:rsid w:val="00A56FE3"/>
    <w:rsid w:val="00A57627"/>
    <w:rsid w:val="00A57A9D"/>
    <w:rsid w:val="00A57B36"/>
    <w:rsid w:val="00A57C49"/>
    <w:rsid w:val="00A606E1"/>
    <w:rsid w:val="00A60BA6"/>
    <w:rsid w:val="00A60D65"/>
    <w:rsid w:val="00A610B9"/>
    <w:rsid w:val="00A61340"/>
    <w:rsid w:val="00A61459"/>
    <w:rsid w:val="00A615E9"/>
    <w:rsid w:val="00A6189E"/>
    <w:rsid w:val="00A61C0C"/>
    <w:rsid w:val="00A61C46"/>
    <w:rsid w:val="00A62151"/>
    <w:rsid w:val="00A62C5D"/>
    <w:rsid w:val="00A62F82"/>
    <w:rsid w:val="00A6312F"/>
    <w:rsid w:val="00A6319D"/>
    <w:rsid w:val="00A63203"/>
    <w:rsid w:val="00A6339F"/>
    <w:rsid w:val="00A63A23"/>
    <w:rsid w:val="00A63B45"/>
    <w:rsid w:val="00A643D3"/>
    <w:rsid w:val="00A64709"/>
    <w:rsid w:val="00A655FB"/>
    <w:rsid w:val="00A65DC8"/>
    <w:rsid w:val="00A65F06"/>
    <w:rsid w:val="00A6664F"/>
    <w:rsid w:val="00A66A6F"/>
    <w:rsid w:val="00A66C4B"/>
    <w:rsid w:val="00A66D89"/>
    <w:rsid w:val="00A67F99"/>
    <w:rsid w:val="00A703C6"/>
    <w:rsid w:val="00A7061E"/>
    <w:rsid w:val="00A70679"/>
    <w:rsid w:val="00A70E4B"/>
    <w:rsid w:val="00A70FF9"/>
    <w:rsid w:val="00A71151"/>
    <w:rsid w:val="00A721AE"/>
    <w:rsid w:val="00A72524"/>
    <w:rsid w:val="00A7318E"/>
    <w:rsid w:val="00A73401"/>
    <w:rsid w:val="00A734C1"/>
    <w:rsid w:val="00A734EB"/>
    <w:rsid w:val="00A735B5"/>
    <w:rsid w:val="00A73984"/>
    <w:rsid w:val="00A73D05"/>
    <w:rsid w:val="00A73E30"/>
    <w:rsid w:val="00A73EA4"/>
    <w:rsid w:val="00A74248"/>
    <w:rsid w:val="00A74266"/>
    <w:rsid w:val="00A74349"/>
    <w:rsid w:val="00A74697"/>
    <w:rsid w:val="00A74D68"/>
    <w:rsid w:val="00A752CA"/>
    <w:rsid w:val="00A753CD"/>
    <w:rsid w:val="00A758EE"/>
    <w:rsid w:val="00A75ADB"/>
    <w:rsid w:val="00A75E69"/>
    <w:rsid w:val="00A769C8"/>
    <w:rsid w:val="00A76E4D"/>
    <w:rsid w:val="00A7748A"/>
    <w:rsid w:val="00A7748E"/>
    <w:rsid w:val="00A778F5"/>
    <w:rsid w:val="00A779E7"/>
    <w:rsid w:val="00A779FA"/>
    <w:rsid w:val="00A80571"/>
    <w:rsid w:val="00A809CF"/>
    <w:rsid w:val="00A80A08"/>
    <w:rsid w:val="00A80F5A"/>
    <w:rsid w:val="00A811CE"/>
    <w:rsid w:val="00A81B27"/>
    <w:rsid w:val="00A81C95"/>
    <w:rsid w:val="00A81D02"/>
    <w:rsid w:val="00A8223C"/>
    <w:rsid w:val="00A82D47"/>
    <w:rsid w:val="00A83556"/>
    <w:rsid w:val="00A836A4"/>
    <w:rsid w:val="00A838E6"/>
    <w:rsid w:val="00A83DDA"/>
    <w:rsid w:val="00A83E04"/>
    <w:rsid w:val="00A8545B"/>
    <w:rsid w:val="00A85C3A"/>
    <w:rsid w:val="00A8651B"/>
    <w:rsid w:val="00A865B6"/>
    <w:rsid w:val="00A865FC"/>
    <w:rsid w:val="00A86E44"/>
    <w:rsid w:val="00A86F5E"/>
    <w:rsid w:val="00A8756F"/>
    <w:rsid w:val="00A87928"/>
    <w:rsid w:val="00A902E3"/>
    <w:rsid w:val="00A90304"/>
    <w:rsid w:val="00A907B3"/>
    <w:rsid w:val="00A90A99"/>
    <w:rsid w:val="00A90C23"/>
    <w:rsid w:val="00A91871"/>
    <w:rsid w:val="00A91958"/>
    <w:rsid w:val="00A928C4"/>
    <w:rsid w:val="00A9291D"/>
    <w:rsid w:val="00A929D1"/>
    <w:rsid w:val="00A93EDC"/>
    <w:rsid w:val="00A94012"/>
    <w:rsid w:val="00A94733"/>
    <w:rsid w:val="00A94B56"/>
    <w:rsid w:val="00A95669"/>
    <w:rsid w:val="00A95D61"/>
    <w:rsid w:val="00A95E2B"/>
    <w:rsid w:val="00A968B4"/>
    <w:rsid w:val="00A96A31"/>
    <w:rsid w:val="00A97A1D"/>
    <w:rsid w:val="00A97AAD"/>
    <w:rsid w:val="00A97B00"/>
    <w:rsid w:val="00A97E72"/>
    <w:rsid w:val="00AA0314"/>
    <w:rsid w:val="00AA059F"/>
    <w:rsid w:val="00AA0875"/>
    <w:rsid w:val="00AA1444"/>
    <w:rsid w:val="00AA18D3"/>
    <w:rsid w:val="00AA19A6"/>
    <w:rsid w:val="00AA1BB2"/>
    <w:rsid w:val="00AA1E4B"/>
    <w:rsid w:val="00AA26FE"/>
    <w:rsid w:val="00AA3017"/>
    <w:rsid w:val="00AA33FC"/>
    <w:rsid w:val="00AA3C7B"/>
    <w:rsid w:val="00AA3DB4"/>
    <w:rsid w:val="00AA47E8"/>
    <w:rsid w:val="00AA4935"/>
    <w:rsid w:val="00AA4A09"/>
    <w:rsid w:val="00AA4FC5"/>
    <w:rsid w:val="00AA6403"/>
    <w:rsid w:val="00AA6CAE"/>
    <w:rsid w:val="00AA731F"/>
    <w:rsid w:val="00AA73D7"/>
    <w:rsid w:val="00AA743B"/>
    <w:rsid w:val="00AA7A6F"/>
    <w:rsid w:val="00AA7C2F"/>
    <w:rsid w:val="00AA7FEE"/>
    <w:rsid w:val="00AB02B6"/>
    <w:rsid w:val="00AB092D"/>
    <w:rsid w:val="00AB16F6"/>
    <w:rsid w:val="00AB1A82"/>
    <w:rsid w:val="00AB1B2E"/>
    <w:rsid w:val="00AB1D2D"/>
    <w:rsid w:val="00AB1D8C"/>
    <w:rsid w:val="00AB2079"/>
    <w:rsid w:val="00AB26AA"/>
    <w:rsid w:val="00AB26C7"/>
    <w:rsid w:val="00AB2A47"/>
    <w:rsid w:val="00AB2BAD"/>
    <w:rsid w:val="00AB2F2F"/>
    <w:rsid w:val="00AB3024"/>
    <w:rsid w:val="00AB32F2"/>
    <w:rsid w:val="00AB33F7"/>
    <w:rsid w:val="00AB3D82"/>
    <w:rsid w:val="00AB3E63"/>
    <w:rsid w:val="00AB3FE0"/>
    <w:rsid w:val="00AB4548"/>
    <w:rsid w:val="00AB547B"/>
    <w:rsid w:val="00AB5DA9"/>
    <w:rsid w:val="00AB5F62"/>
    <w:rsid w:val="00AB66BC"/>
    <w:rsid w:val="00AB67FE"/>
    <w:rsid w:val="00AB7A8E"/>
    <w:rsid w:val="00AB7B27"/>
    <w:rsid w:val="00AC06CE"/>
    <w:rsid w:val="00AC0905"/>
    <w:rsid w:val="00AC0D4F"/>
    <w:rsid w:val="00AC0FBB"/>
    <w:rsid w:val="00AC2325"/>
    <w:rsid w:val="00AC2453"/>
    <w:rsid w:val="00AC2694"/>
    <w:rsid w:val="00AC26CE"/>
    <w:rsid w:val="00AC26D1"/>
    <w:rsid w:val="00AC2986"/>
    <w:rsid w:val="00AC301A"/>
    <w:rsid w:val="00AC3583"/>
    <w:rsid w:val="00AC36AF"/>
    <w:rsid w:val="00AC3D07"/>
    <w:rsid w:val="00AC488F"/>
    <w:rsid w:val="00AC4AFC"/>
    <w:rsid w:val="00AC4B42"/>
    <w:rsid w:val="00AC4D7C"/>
    <w:rsid w:val="00AC4D9D"/>
    <w:rsid w:val="00AC542E"/>
    <w:rsid w:val="00AC5430"/>
    <w:rsid w:val="00AC54B6"/>
    <w:rsid w:val="00AC6BD5"/>
    <w:rsid w:val="00AC6BFC"/>
    <w:rsid w:val="00AC7819"/>
    <w:rsid w:val="00AC7862"/>
    <w:rsid w:val="00AD05C1"/>
    <w:rsid w:val="00AD0741"/>
    <w:rsid w:val="00AD09F2"/>
    <w:rsid w:val="00AD0B30"/>
    <w:rsid w:val="00AD14E3"/>
    <w:rsid w:val="00AD24BB"/>
    <w:rsid w:val="00AD2CE4"/>
    <w:rsid w:val="00AD2ED5"/>
    <w:rsid w:val="00AD2FDF"/>
    <w:rsid w:val="00AD3407"/>
    <w:rsid w:val="00AD3CFF"/>
    <w:rsid w:val="00AD3FAC"/>
    <w:rsid w:val="00AD4066"/>
    <w:rsid w:val="00AD5A42"/>
    <w:rsid w:val="00AD5C30"/>
    <w:rsid w:val="00AD68C5"/>
    <w:rsid w:val="00AD6A27"/>
    <w:rsid w:val="00AD6F9B"/>
    <w:rsid w:val="00AD74B8"/>
    <w:rsid w:val="00AD7577"/>
    <w:rsid w:val="00AD7581"/>
    <w:rsid w:val="00AD78EA"/>
    <w:rsid w:val="00AD7968"/>
    <w:rsid w:val="00AD7A3D"/>
    <w:rsid w:val="00AE0004"/>
    <w:rsid w:val="00AE002C"/>
    <w:rsid w:val="00AE04F6"/>
    <w:rsid w:val="00AE0C33"/>
    <w:rsid w:val="00AE108B"/>
    <w:rsid w:val="00AE10C3"/>
    <w:rsid w:val="00AE1376"/>
    <w:rsid w:val="00AE1990"/>
    <w:rsid w:val="00AE1AA1"/>
    <w:rsid w:val="00AE2066"/>
    <w:rsid w:val="00AE20A3"/>
    <w:rsid w:val="00AE28E6"/>
    <w:rsid w:val="00AE29E2"/>
    <w:rsid w:val="00AE31F2"/>
    <w:rsid w:val="00AE3661"/>
    <w:rsid w:val="00AE3F67"/>
    <w:rsid w:val="00AE47DF"/>
    <w:rsid w:val="00AE4B2D"/>
    <w:rsid w:val="00AE50AA"/>
    <w:rsid w:val="00AE5320"/>
    <w:rsid w:val="00AE557F"/>
    <w:rsid w:val="00AE5F02"/>
    <w:rsid w:val="00AE6920"/>
    <w:rsid w:val="00AE6CC6"/>
    <w:rsid w:val="00AE6EBF"/>
    <w:rsid w:val="00AE7B80"/>
    <w:rsid w:val="00AF07BF"/>
    <w:rsid w:val="00AF0D6B"/>
    <w:rsid w:val="00AF1232"/>
    <w:rsid w:val="00AF14D8"/>
    <w:rsid w:val="00AF1850"/>
    <w:rsid w:val="00AF1A4C"/>
    <w:rsid w:val="00AF1AB6"/>
    <w:rsid w:val="00AF1BCC"/>
    <w:rsid w:val="00AF1EAA"/>
    <w:rsid w:val="00AF23F2"/>
    <w:rsid w:val="00AF2493"/>
    <w:rsid w:val="00AF291B"/>
    <w:rsid w:val="00AF2EB3"/>
    <w:rsid w:val="00AF36A2"/>
    <w:rsid w:val="00AF36C5"/>
    <w:rsid w:val="00AF3857"/>
    <w:rsid w:val="00AF38D9"/>
    <w:rsid w:val="00AF451F"/>
    <w:rsid w:val="00AF4550"/>
    <w:rsid w:val="00AF45B7"/>
    <w:rsid w:val="00AF477C"/>
    <w:rsid w:val="00AF4DFE"/>
    <w:rsid w:val="00AF4F25"/>
    <w:rsid w:val="00AF6223"/>
    <w:rsid w:val="00AF6DCF"/>
    <w:rsid w:val="00AF7042"/>
    <w:rsid w:val="00AF7535"/>
    <w:rsid w:val="00AF7D77"/>
    <w:rsid w:val="00AF7DA6"/>
    <w:rsid w:val="00AF7EFB"/>
    <w:rsid w:val="00AF7F0C"/>
    <w:rsid w:val="00AF7FB0"/>
    <w:rsid w:val="00B001CA"/>
    <w:rsid w:val="00B0069E"/>
    <w:rsid w:val="00B00CCB"/>
    <w:rsid w:val="00B00CD4"/>
    <w:rsid w:val="00B00E33"/>
    <w:rsid w:val="00B010C9"/>
    <w:rsid w:val="00B016F4"/>
    <w:rsid w:val="00B016FE"/>
    <w:rsid w:val="00B01E7C"/>
    <w:rsid w:val="00B01FB8"/>
    <w:rsid w:val="00B02208"/>
    <w:rsid w:val="00B02412"/>
    <w:rsid w:val="00B025AF"/>
    <w:rsid w:val="00B026AA"/>
    <w:rsid w:val="00B02871"/>
    <w:rsid w:val="00B02B10"/>
    <w:rsid w:val="00B03318"/>
    <w:rsid w:val="00B03544"/>
    <w:rsid w:val="00B0483A"/>
    <w:rsid w:val="00B0485B"/>
    <w:rsid w:val="00B04AE2"/>
    <w:rsid w:val="00B04AF9"/>
    <w:rsid w:val="00B04BB9"/>
    <w:rsid w:val="00B04D4A"/>
    <w:rsid w:val="00B04DD4"/>
    <w:rsid w:val="00B054F6"/>
    <w:rsid w:val="00B05603"/>
    <w:rsid w:val="00B058CE"/>
    <w:rsid w:val="00B05D7B"/>
    <w:rsid w:val="00B05E93"/>
    <w:rsid w:val="00B05FC2"/>
    <w:rsid w:val="00B06365"/>
    <w:rsid w:val="00B06C36"/>
    <w:rsid w:val="00B06D49"/>
    <w:rsid w:val="00B06EE2"/>
    <w:rsid w:val="00B06F66"/>
    <w:rsid w:val="00B07796"/>
    <w:rsid w:val="00B078F6"/>
    <w:rsid w:val="00B07E63"/>
    <w:rsid w:val="00B10772"/>
    <w:rsid w:val="00B11154"/>
    <w:rsid w:val="00B1194C"/>
    <w:rsid w:val="00B1257E"/>
    <w:rsid w:val="00B1287F"/>
    <w:rsid w:val="00B12C81"/>
    <w:rsid w:val="00B12FC4"/>
    <w:rsid w:val="00B12FF3"/>
    <w:rsid w:val="00B130D8"/>
    <w:rsid w:val="00B132B0"/>
    <w:rsid w:val="00B1338A"/>
    <w:rsid w:val="00B133CD"/>
    <w:rsid w:val="00B13638"/>
    <w:rsid w:val="00B14019"/>
    <w:rsid w:val="00B14361"/>
    <w:rsid w:val="00B143EE"/>
    <w:rsid w:val="00B1472F"/>
    <w:rsid w:val="00B14C14"/>
    <w:rsid w:val="00B14C2D"/>
    <w:rsid w:val="00B1547E"/>
    <w:rsid w:val="00B157D1"/>
    <w:rsid w:val="00B16630"/>
    <w:rsid w:val="00B1670E"/>
    <w:rsid w:val="00B16754"/>
    <w:rsid w:val="00B167F8"/>
    <w:rsid w:val="00B1686D"/>
    <w:rsid w:val="00B168CB"/>
    <w:rsid w:val="00B168E5"/>
    <w:rsid w:val="00B168FD"/>
    <w:rsid w:val="00B16B69"/>
    <w:rsid w:val="00B16BA4"/>
    <w:rsid w:val="00B16BEB"/>
    <w:rsid w:val="00B172A9"/>
    <w:rsid w:val="00B174A2"/>
    <w:rsid w:val="00B176D7"/>
    <w:rsid w:val="00B17CED"/>
    <w:rsid w:val="00B17D84"/>
    <w:rsid w:val="00B17DE3"/>
    <w:rsid w:val="00B207FB"/>
    <w:rsid w:val="00B21367"/>
    <w:rsid w:val="00B218CC"/>
    <w:rsid w:val="00B2237F"/>
    <w:rsid w:val="00B22784"/>
    <w:rsid w:val="00B229B3"/>
    <w:rsid w:val="00B229E5"/>
    <w:rsid w:val="00B22B51"/>
    <w:rsid w:val="00B23009"/>
    <w:rsid w:val="00B23C1E"/>
    <w:rsid w:val="00B24689"/>
    <w:rsid w:val="00B24B92"/>
    <w:rsid w:val="00B250A4"/>
    <w:rsid w:val="00B2574E"/>
    <w:rsid w:val="00B25852"/>
    <w:rsid w:val="00B25D03"/>
    <w:rsid w:val="00B25E0D"/>
    <w:rsid w:val="00B25F17"/>
    <w:rsid w:val="00B26176"/>
    <w:rsid w:val="00B263C9"/>
    <w:rsid w:val="00B26901"/>
    <w:rsid w:val="00B270B3"/>
    <w:rsid w:val="00B27479"/>
    <w:rsid w:val="00B275A7"/>
    <w:rsid w:val="00B27EF8"/>
    <w:rsid w:val="00B30198"/>
    <w:rsid w:val="00B305A1"/>
    <w:rsid w:val="00B30E9B"/>
    <w:rsid w:val="00B314F2"/>
    <w:rsid w:val="00B31A03"/>
    <w:rsid w:val="00B31B2D"/>
    <w:rsid w:val="00B32969"/>
    <w:rsid w:val="00B32D2C"/>
    <w:rsid w:val="00B3312B"/>
    <w:rsid w:val="00B3319A"/>
    <w:rsid w:val="00B33553"/>
    <w:rsid w:val="00B342E4"/>
    <w:rsid w:val="00B3430E"/>
    <w:rsid w:val="00B3454F"/>
    <w:rsid w:val="00B347CB"/>
    <w:rsid w:val="00B34BD6"/>
    <w:rsid w:val="00B34DA0"/>
    <w:rsid w:val="00B34DAD"/>
    <w:rsid w:val="00B36114"/>
    <w:rsid w:val="00B36124"/>
    <w:rsid w:val="00B36193"/>
    <w:rsid w:val="00B361DD"/>
    <w:rsid w:val="00B364C9"/>
    <w:rsid w:val="00B36D4B"/>
    <w:rsid w:val="00B3721C"/>
    <w:rsid w:val="00B3734E"/>
    <w:rsid w:val="00B37364"/>
    <w:rsid w:val="00B375BC"/>
    <w:rsid w:val="00B37880"/>
    <w:rsid w:val="00B40462"/>
    <w:rsid w:val="00B405CB"/>
    <w:rsid w:val="00B41207"/>
    <w:rsid w:val="00B41616"/>
    <w:rsid w:val="00B41AEE"/>
    <w:rsid w:val="00B41FA1"/>
    <w:rsid w:val="00B420A7"/>
    <w:rsid w:val="00B42DCA"/>
    <w:rsid w:val="00B42E1F"/>
    <w:rsid w:val="00B42E72"/>
    <w:rsid w:val="00B43387"/>
    <w:rsid w:val="00B438E6"/>
    <w:rsid w:val="00B43A71"/>
    <w:rsid w:val="00B43BE7"/>
    <w:rsid w:val="00B4432B"/>
    <w:rsid w:val="00B44467"/>
    <w:rsid w:val="00B451D0"/>
    <w:rsid w:val="00B4522D"/>
    <w:rsid w:val="00B452E4"/>
    <w:rsid w:val="00B453ED"/>
    <w:rsid w:val="00B454CB"/>
    <w:rsid w:val="00B4601C"/>
    <w:rsid w:val="00B467EB"/>
    <w:rsid w:val="00B46ECB"/>
    <w:rsid w:val="00B47551"/>
    <w:rsid w:val="00B477A3"/>
    <w:rsid w:val="00B47A75"/>
    <w:rsid w:val="00B47B1D"/>
    <w:rsid w:val="00B500DF"/>
    <w:rsid w:val="00B50678"/>
    <w:rsid w:val="00B50EF9"/>
    <w:rsid w:val="00B519EF"/>
    <w:rsid w:val="00B51C90"/>
    <w:rsid w:val="00B51D8E"/>
    <w:rsid w:val="00B51EB3"/>
    <w:rsid w:val="00B5284E"/>
    <w:rsid w:val="00B528FB"/>
    <w:rsid w:val="00B52C09"/>
    <w:rsid w:val="00B53468"/>
    <w:rsid w:val="00B537E1"/>
    <w:rsid w:val="00B5390C"/>
    <w:rsid w:val="00B53A38"/>
    <w:rsid w:val="00B53C31"/>
    <w:rsid w:val="00B53CA0"/>
    <w:rsid w:val="00B53EA0"/>
    <w:rsid w:val="00B54010"/>
    <w:rsid w:val="00B54339"/>
    <w:rsid w:val="00B547AD"/>
    <w:rsid w:val="00B548D8"/>
    <w:rsid w:val="00B54A40"/>
    <w:rsid w:val="00B54BF5"/>
    <w:rsid w:val="00B54D4A"/>
    <w:rsid w:val="00B55084"/>
    <w:rsid w:val="00B555A4"/>
    <w:rsid w:val="00B557CB"/>
    <w:rsid w:val="00B55801"/>
    <w:rsid w:val="00B55B2E"/>
    <w:rsid w:val="00B55CF9"/>
    <w:rsid w:val="00B55DDE"/>
    <w:rsid w:val="00B560C4"/>
    <w:rsid w:val="00B56A94"/>
    <w:rsid w:val="00B56AFD"/>
    <w:rsid w:val="00B56CAB"/>
    <w:rsid w:val="00B56CF3"/>
    <w:rsid w:val="00B57508"/>
    <w:rsid w:val="00B57B1B"/>
    <w:rsid w:val="00B57B56"/>
    <w:rsid w:val="00B57E24"/>
    <w:rsid w:val="00B601FF"/>
    <w:rsid w:val="00B6029F"/>
    <w:rsid w:val="00B6133D"/>
    <w:rsid w:val="00B616A4"/>
    <w:rsid w:val="00B61A9A"/>
    <w:rsid w:val="00B6248A"/>
    <w:rsid w:val="00B62BB1"/>
    <w:rsid w:val="00B62C13"/>
    <w:rsid w:val="00B63103"/>
    <w:rsid w:val="00B63D7C"/>
    <w:rsid w:val="00B6403E"/>
    <w:rsid w:val="00B6437A"/>
    <w:rsid w:val="00B64DF3"/>
    <w:rsid w:val="00B65032"/>
    <w:rsid w:val="00B659F2"/>
    <w:rsid w:val="00B6608F"/>
    <w:rsid w:val="00B6697A"/>
    <w:rsid w:val="00B66C97"/>
    <w:rsid w:val="00B66DA2"/>
    <w:rsid w:val="00B67039"/>
    <w:rsid w:val="00B67CF9"/>
    <w:rsid w:val="00B67D87"/>
    <w:rsid w:val="00B70201"/>
    <w:rsid w:val="00B706B1"/>
    <w:rsid w:val="00B7072E"/>
    <w:rsid w:val="00B70A72"/>
    <w:rsid w:val="00B70AC3"/>
    <w:rsid w:val="00B70B3B"/>
    <w:rsid w:val="00B71564"/>
    <w:rsid w:val="00B715FF"/>
    <w:rsid w:val="00B716BC"/>
    <w:rsid w:val="00B72032"/>
    <w:rsid w:val="00B722BE"/>
    <w:rsid w:val="00B725EF"/>
    <w:rsid w:val="00B728E7"/>
    <w:rsid w:val="00B72B40"/>
    <w:rsid w:val="00B72D28"/>
    <w:rsid w:val="00B72F01"/>
    <w:rsid w:val="00B72F5D"/>
    <w:rsid w:val="00B73056"/>
    <w:rsid w:val="00B732AA"/>
    <w:rsid w:val="00B7393A"/>
    <w:rsid w:val="00B73B7C"/>
    <w:rsid w:val="00B74026"/>
    <w:rsid w:val="00B74043"/>
    <w:rsid w:val="00B741EC"/>
    <w:rsid w:val="00B75622"/>
    <w:rsid w:val="00B759B0"/>
    <w:rsid w:val="00B764B9"/>
    <w:rsid w:val="00B765CC"/>
    <w:rsid w:val="00B76658"/>
    <w:rsid w:val="00B766A9"/>
    <w:rsid w:val="00B76983"/>
    <w:rsid w:val="00B7743A"/>
    <w:rsid w:val="00B77B83"/>
    <w:rsid w:val="00B77B98"/>
    <w:rsid w:val="00B77CA9"/>
    <w:rsid w:val="00B77CEF"/>
    <w:rsid w:val="00B805FB"/>
    <w:rsid w:val="00B80B1F"/>
    <w:rsid w:val="00B80FF2"/>
    <w:rsid w:val="00B813CA"/>
    <w:rsid w:val="00B81DAF"/>
    <w:rsid w:val="00B82DB8"/>
    <w:rsid w:val="00B82EB1"/>
    <w:rsid w:val="00B82FD7"/>
    <w:rsid w:val="00B833D2"/>
    <w:rsid w:val="00B83FE2"/>
    <w:rsid w:val="00B84AD3"/>
    <w:rsid w:val="00B84B59"/>
    <w:rsid w:val="00B84CA1"/>
    <w:rsid w:val="00B8505C"/>
    <w:rsid w:val="00B85A84"/>
    <w:rsid w:val="00B85B60"/>
    <w:rsid w:val="00B85BB0"/>
    <w:rsid w:val="00B85F5B"/>
    <w:rsid w:val="00B862C2"/>
    <w:rsid w:val="00B863D8"/>
    <w:rsid w:val="00B864D2"/>
    <w:rsid w:val="00B86B80"/>
    <w:rsid w:val="00B8702A"/>
    <w:rsid w:val="00B874FE"/>
    <w:rsid w:val="00B876C0"/>
    <w:rsid w:val="00B87DBA"/>
    <w:rsid w:val="00B90AA7"/>
    <w:rsid w:val="00B9109E"/>
    <w:rsid w:val="00B91566"/>
    <w:rsid w:val="00B915EC"/>
    <w:rsid w:val="00B91628"/>
    <w:rsid w:val="00B91831"/>
    <w:rsid w:val="00B919E2"/>
    <w:rsid w:val="00B91ABD"/>
    <w:rsid w:val="00B91AEC"/>
    <w:rsid w:val="00B91C89"/>
    <w:rsid w:val="00B91D45"/>
    <w:rsid w:val="00B92131"/>
    <w:rsid w:val="00B92346"/>
    <w:rsid w:val="00B923E2"/>
    <w:rsid w:val="00B925FA"/>
    <w:rsid w:val="00B92BFC"/>
    <w:rsid w:val="00B93736"/>
    <w:rsid w:val="00B93A10"/>
    <w:rsid w:val="00B93BD9"/>
    <w:rsid w:val="00B940D0"/>
    <w:rsid w:val="00B945DC"/>
    <w:rsid w:val="00B9490D"/>
    <w:rsid w:val="00B94D3F"/>
    <w:rsid w:val="00B95297"/>
    <w:rsid w:val="00B9533C"/>
    <w:rsid w:val="00B95D71"/>
    <w:rsid w:val="00B95ECF"/>
    <w:rsid w:val="00B96338"/>
    <w:rsid w:val="00B96545"/>
    <w:rsid w:val="00B9683A"/>
    <w:rsid w:val="00B96BD0"/>
    <w:rsid w:val="00B9717F"/>
    <w:rsid w:val="00B97265"/>
    <w:rsid w:val="00B97680"/>
    <w:rsid w:val="00B97833"/>
    <w:rsid w:val="00B97924"/>
    <w:rsid w:val="00B97DDF"/>
    <w:rsid w:val="00BA00ED"/>
    <w:rsid w:val="00BA0382"/>
    <w:rsid w:val="00BA054F"/>
    <w:rsid w:val="00BA0BC6"/>
    <w:rsid w:val="00BA0DC1"/>
    <w:rsid w:val="00BA2568"/>
    <w:rsid w:val="00BA2BED"/>
    <w:rsid w:val="00BA2EB1"/>
    <w:rsid w:val="00BA390E"/>
    <w:rsid w:val="00BA3B58"/>
    <w:rsid w:val="00BA40C2"/>
    <w:rsid w:val="00BA4121"/>
    <w:rsid w:val="00BA4483"/>
    <w:rsid w:val="00BA47F0"/>
    <w:rsid w:val="00BA4CCD"/>
    <w:rsid w:val="00BA5A30"/>
    <w:rsid w:val="00BA623F"/>
    <w:rsid w:val="00BA74E5"/>
    <w:rsid w:val="00BA74F0"/>
    <w:rsid w:val="00BB0056"/>
    <w:rsid w:val="00BB0A1C"/>
    <w:rsid w:val="00BB1166"/>
    <w:rsid w:val="00BB14CE"/>
    <w:rsid w:val="00BB1AC0"/>
    <w:rsid w:val="00BB1AFC"/>
    <w:rsid w:val="00BB1EEF"/>
    <w:rsid w:val="00BB22DD"/>
    <w:rsid w:val="00BB23E1"/>
    <w:rsid w:val="00BB2718"/>
    <w:rsid w:val="00BB2FFE"/>
    <w:rsid w:val="00BB33E8"/>
    <w:rsid w:val="00BB3840"/>
    <w:rsid w:val="00BB3CE3"/>
    <w:rsid w:val="00BB4689"/>
    <w:rsid w:val="00BB549C"/>
    <w:rsid w:val="00BB59F3"/>
    <w:rsid w:val="00BB5D4C"/>
    <w:rsid w:val="00BB5E6D"/>
    <w:rsid w:val="00BB5F63"/>
    <w:rsid w:val="00BB6CF4"/>
    <w:rsid w:val="00BB6DBE"/>
    <w:rsid w:val="00BB7067"/>
    <w:rsid w:val="00BB7609"/>
    <w:rsid w:val="00BB7893"/>
    <w:rsid w:val="00BB7DFD"/>
    <w:rsid w:val="00BC0233"/>
    <w:rsid w:val="00BC038F"/>
    <w:rsid w:val="00BC03FF"/>
    <w:rsid w:val="00BC045D"/>
    <w:rsid w:val="00BC11EB"/>
    <w:rsid w:val="00BC144A"/>
    <w:rsid w:val="00BC1A2E"/>
    <w:rsid w:val="00BC1ED7"/>
    <w:rsid w:val="00BC2897"/>
    <w:rsid w:val="00BC2B3D"/>
    <w:rsid w:val="00BC2DA5"/>
    <w:rsid w:val="00BC311D"/>
    <w:rsid w:val="00BC311E"/>
    <w:rsid w:val="00BC39C5"/>
    <w:rsid w:val="00BC462A"/>
    <w:rsid w:val="00BC49D6"/>
    <w:rsid w:val="00BC4FE6"/>
    <w:rsid w:val="00BC5001"/>
    <w:rsid w:val="00BC53EF"/>
    <w:rsid w:val="00BC57E8"/>
    <w:rsid w:val="00BC5AAF"/>
    <w:rsid w:val="00BC630A"/>
    <w:rsid w:val="00BC6B9F"/>
    <w:rsid w:val="00BC6D4A"/>
    <w:rsid w:val="00BC6FF5"/>
    <w:rsid w:val="00BC71A0"/>
    <w:rsid w:val="00BC71A1"/>
    <w:rsid w:val="00BC745F"/>
    <w:rsid w:val="00BC7EC3"/>
    <w:rsid w:val="00BD0996"/>
    <w:rsid w:val="00BD0F24"/>
    <w:rsid w:val="00BD100F"/>
    <w:rsid w:val="00BD1325"/>
    <w:rsid w:val="00BD1482"/>
    <w:rsid w:val="00BD1547"/>
    <w:rsid w:val="00BD1F85"/>
    <w:rsid w:val="00BD2825"/>
    <w:rsid w:val="00BD3051"/>
    <w:rsid w:val="00BD38B2"/>
    <w:rsid w:val="00BD3C11"/>
    <w:rsid w:val="00BD40B6"/>
    <w:rsid w:val="00BD5406"/>
    <w:rsid w:val="00BD545A"/>
    <w:rsid w:val="00BD5666"/>
    <w:rsid w:val="00BD5708"/>
    <w:rsid w:val="00BD57B4"/>
    <w:rsid w:val="00BD589E"/>
    <w:rsid w:val="00BD6AEF"/>
    <w:rsid w:val="00BD6B34"/>
    <w:rsid w:val="00BD71B3"/>
    <w:rsid w:val="00BD728B"/>
    <w:rsid w:val="00BE0780"/>
    <w:rsid w:val="00BE0B0B"/>
    <w:rsid w:val="00BE129A"/>
    <w:rsid w:val="00BE1B29"/>
    <w:rsid w:val="00BE212F"/>
    <w:rsid w:val="00BE2A2F"/>
    <w:rsid w:val="00BE2BA0"/>
    <w:rsid w:val="00BE2DB4"/>
    <w:rsid w:val="00BE3367"/>
    <w:rsid w:val="00BE458E"/>
    <w:rsid w:val="00BE5C32"/>
    <w:rsid w:val="00BE5E33"/>
    <w:rsid w:val="00BE5FD0"/>
    <w:rsid w:val="00BE68D0"/>
    <w:rsid w:val="00BE785E"/>
    <w:rsid w:val="00BE7DE8"/>
    <w:rsid w:val="00BF002E"/>
    <w:rsid w:val="00BF01B6"/>
    <w:rsid w:val="00BF01CF"/>
    <w:rsid w:val="00BF0595"/>
    <w:rsid w:val="00BF083E"/>
    <w:rsid w:val="00BF0AA3"/>
    <w:rsid w:val="00BF0C9D"/>
    <w:rsid w:val="00BF16B5"/>
    <w:rsid w:val="00BF189E"/>
    <w:rsid w:val="00BF24EB"/>
    <w:rsid w:val="00BF25B0"/>
    <w:rsid w:val="00BF29F6"/>
    <w:rsid w:val="00BF304C"/>
    <w:rsid w:val="00BF32F9"/>
    <w:rsid w:val="00BF366D"/>
    <w:rsid w:val="00BF3995"/>
    <w:rsid w:val="00BF3BE4"/>
    <w:rsid w:val="00BF4271"/>
    <w:rsid w:val="00BF4313"/>
    <w:rsid w:val="00BF4B1D"/>
    <w:rsid w:val="00BF4B9C"/>
    <w:rsid w:val="00BF4DD9"/>
    <w:rsid w:val="00BF523C"/>
    <w:rsid w:val="00BF53C6"/>
    <w:rsid w:val="00BF55BB"/>
    <w:rsid w:val="00BF586B"/>
    <w:rsid w:val="00BF6228"/>
    <w:rsid w:val="00BF7017"/>
    <w:rsid w:val="00BF7040"/>
    <w:rsid w:val="00BF7245"/>
    <w:rsid w:val="00C0046D"/>
    <w:rsid w:val="00C01107"/>
    <w:rsid w:val="00C0122A"/>
    <w:rsid w:val="00C0131C"/>
    <w:rsid w:val="00C013B9"/>
    <w:rsid w:val="00C017A1"/>
    <w:rsid w:val="00C01A8D"/>
    <w:rsid w:val="00C01CAC"/>
    <w:rsid w:val="00C029BD"/>
    <w:rsid w:val="00C02DEF"/>
    <w:rsid w:val="00C03693"/>
    <w:rsid w:val="00C03B10"/>
    <w:rsid w:val="00C03E12"/>
    <w:rsid w:val="00C040C9"/>
    <w:rsid w:val="00C041ED"/>
    <w:rsid w:val="00C04802"/>
    <w:rsid w:val="00C04EBC"/>
    <w:rsid w:val="00C04FA4"/>
    <w:rsid w:val="00C05A31"/>
    <w:rsid w:val="00C05EA7"/>
    <w:rsid w:val="00C06475"/>
    <w:rsid w:val="00C0676D"/>
    <w:rsid w:val="00C06A41"/>
    <w:rsid w:val="00C06C7A"/>
    <w:rsid w:val="00C06D0A"/>
    <w:rsid w:val="00C06ED3"/>
    <w:rsid w:val="00C07336"/>
    <w:rsid w:val="00C0765D"/>
    <w:rsid w:val="00C07742"/>
    <w:rsid w:val="00C078CF"/>
    <w:rsid w:val="00C07EBF"/>
    <w:rsid w:val="00C1063E"/>
    <w:rsid w:val="00C10DAE"/>
    <w:rsid w:val="00C10F18"/>
    <w:rsid w:val="00C1105C"/>
    <w:rsid w:val="00C114D3"/>
    <w:rsid w:val="00C1217F"/>
    <w:rsid w:val="00C121DE"/>
    <w:rsid w:val="00C1247B"/>
    <w:rsid w:val="00C1290E"/>
    <w:rsid w:val="00C13283"/>
    <w:rsid w:val="00C137EF"/>
    <w:rsid w:val="00C13CF8"/>
    <w:rsid w:val="00C14049"/>
    <w:rsid w:val="00C1411E"/>
    <w:rsid w:val="00C143AF"/>
    <w:rsid w:val="00C1570D"/>
    <w:rsid w:val="00C157C2"/>
    <w:rsid w:val="00C166A9"/>
    <w:rsid w:val="00C169B1"/>
    <w:rsid w:val="00C16B7B"/>
    <w:rsid w:val="00C16D5C"/>
    <w:rsid w:val="00C171F7"/>
    <w:rsid w:val="00C17536"/>
    <w:rsid w:val="00C17566"/>
    <w:rsid w:val="00C1756F"/>
    <w:rsid w:val="00C175EA"/>
    <w:rsid w:val="00C176C6"/>
    <w:rsid w:val="00C17CFF"/>
    <w:rsid w:val="00C20286"/>
    <w:rsid w:val="00C20742"/>
    <w:rsid w:val="00C2120B"/>
    <w:rsid w:val="00C215EA"/>
    <w:rsid w:val="00C21826"/>
    <w:rsid w:val="00C2235E"/>
    <w:rsid w:val="00C22B9E"/>
    <w:rsid w:val="00C231E9"/>
    <w:rsid w:val="00C23941"/>
    <w:rsid w:val="00C23F32"/>
    <w:rsid w:val="00C2441A"/>
    <w:rsid w:val="00C245B6"/>
    <w:rsid w:val="00C24FC7"/>
    <w:rsid w:val="00C25398"/>
    <w:rsid w:val="00C257FF"/>
    <w:rsid w:val="00C25AB4"/>
    <w:rsid w:val="00C25B0D"/>
    <w:rsid w:val="00C263B5"/>
    <w:rsid w:val="00C267EA"/>
    <w:rsid w:val="00C26D4C"/>
    <w:rsid w:val="00C27062"/>
    <w:rsid w:val="00C27315"/>
    <w:rsid w:val="00C27603"/>
    <w:rsid w:val="00C276EE"/>
    <w:rsid w:val="00C27DD8"/>
    <w:rsid w:val="00C27EC8"/>
    <w:rsid w:val="00C30017"/>
    <w:rsid w:val="00C30797"/>
    <w:rsid w:val="00C30893"/>
    <w:rsid w:val="00C308F1"/>
    <w:rsid w:val="00C31B9A"/>
    <w:rsid w:val="00C3280B"/>
    <w:rsid w:val="00C32962"/>
    <w:rsid w:val="00C32C9F"/>
    <w:rsid w:val="00C32D12"/>
    <w:rsid w:val="00C338B9"/>
    <w:rsid w:val="00C33903"/>
    <w:rsid w:val="00C33BAB"/>
    <w:rsid w:val="00C3411B"/>
    <w:rsid w:val="00C34D89"/>
    <w:rsid w:val="00C3563B"/>
    <w:rsid w:val="00C359CE"/>
    <w:rsid w:val="00C35B47"/>
    <w:rsid w:val="00C35BAC"/>
    <w:rsid w:val="00C35C03"/>
    <w:rsid w:val="00C35E6C"/>
    <w:rsid w:val="00C35F2F"/>
    <w:rsid w:val="00C36065"/>
    <w:rsid w:val="00C36495"/>
    <w:rsid w:val="00C365A2"/>
    <w:rsid w:val="00C36B82"/>
    <w:rsid w:val="00C36D80"/>
    <w:rsid w:val="00C36DAB"/>
    <w:rsid w:val="00C37790"/>
    <w:rsid w:val="00C37F32"/>
    <w:rsid w:val="00C37F49"/>
    <w:rsid w:val="00C40703"/>
    <w:rsid w:val="00C4115D"/>
    <w:rsid w:val="00C4160C"/>
    <w:rsid w:val="00C42642"/>
    <w:rsid w:val="00C43DD2"/>
    <w:rsid w:val="00C4490E"/>
    <w:rsid w:val="00C450CC"/>
    <w:rsid w:val="00C45744"/>
    <w:rsid w:val="00C460B5"/>
    <w:rsid w:val="00C462A6"/>
    <w:rsid w:val="00C4643F"/>
    <w:rsid w:val="00C46A11"/>
    <w:rsid w:val="00C478B8"/>
    <w:rsid w:val="00C47B92"/>
    <w:rsid w:val="00C47E35"/>
    <w:rsid w:val="00C47FF3"/>
    <w:rsid w:val="00C500A6"/>
    <w:rsid w:val="00C50B98"/>
    <w:rsid w:val="00C50DB4"/>
    <w:rsid w:val="00C51920"/>
    <w:rsid w:val="00C52024"/>
    <w:rsid w:val="00C52261"/>
    <w:rsid w:val="00C5253B"/>
    <w:rsid w:val="00C527FA"/>
    <w:rsid w:val="00C52BB3"/>
    <w:rsid w:val="00C533E4"/>
    <w:rsid w:val="00C535EB"/>
    <w:rsid w:val="00C53AF8"/>
    <w:rsid w:val="00C53C22"/>
    <w:rsid w:val="00C5436F"/>
    <w:rsid w:val="00C54839"/>
    <w:rsid w:val="00C54D6B"/>
    <w:rsid w:val="00C54DE3"/>
    <w:rsid w:val="00C54E45"/>
    <w:rsid w:val="00C54FBE"/>
    <w:rsid w:val="00C55323"/>
    <w:rsid w:val="00C55BF9"/>
    <w:rsid w:val="00C55BFF"/>
    <w:rsid w:val="00C56017"/>
    <w:rsid w:val="00C56858"/>
    <w:rsid w:val="00C56AEC"/>
    <w:rsid w:val="00C57012"/>
    <w:rsid w:val="00C574AF"/>
    <w:rsid w:val="00C57741"/>
    <w:rsid w:val="00C579CC"/>
    <w:rsid w:val="00C57D51"/>
    <w:rsid w:val="00C60571"/>
    <w:rsid w:val="00C609F0"/>
    <w:rsid w:val="00C60FB8"/>
    <w:rsid w:val="00C619D6"/>
    <w:rsid w:val="00C61B6D"/>
    <w:rsid w:val="00C61D6A"/>
    <w:rsid w:val="00C61F32"/>
    <w:rsid w:val="00C62050"/>
    <w:rsid w:val="00C627BE"/>
    <w:rsid w:val="00C62A1B"/>
    <w:rsid w:val="00C62C47"/>
    <w:rsid w:val="00C62CCB"/>
    <w:rsid w:val="00C62D30"/>
    <w:rsid w:val="00C62E9D"/>
    <w:rsid w:val="00C62FCE"/>
    <w:rsid w:val="00C634E5"/>
    <w:rsid w:val="00C63772"/>
    <w:rsid w:val="00C63873"/>
    <w:rsid w:val="00C63A47"/>
    <w:rsid w:val="00C63CF2"/>
    <w:rsid w:val="00C6472F"/>
    <w:rsid w:val="00C6509F"/>
    <w:rsid w:val="00C6585F"/>
    <w:rsid w:val="00C658E1"/>
    <w:rsid w:val="00C65CB8"/>
    <w:rsid w:val="00C65FBC"/>
    <w:rsid w:val="00C6602F"/>
    <w:rsid w:val="00C66DBB"/>
    <w:rsid w:val="00C6737D"/>
    <w:rsid w:val="00C677A1"/>
    <w:rsid w:val="00C67D6D"/>
    <w:rsid w:val="00C7053E"/>
    <w:rsid w:val="00C710A7"/>
    <w:rsid w:val="00C71290"/>
    <w:rsid w:val="00C716E8"/>
    <w:rsid w:val="00C71938"/>
    <w:rsid w:val="00C72220"/>
    <w:rsid w:val="00C72A4C"/>
    <w:rsid w:val="00C72C99"/>
    <w:rsid w:val="00C7319C"/>
    <w:rsid w:val="00C732E9"/>
    <w:rsid w:val="00C73674"/>
    <w:rsid w:val="00C737D9"/>
    <w:rsid w:val="00C73BA6"/>
    <w:rsid w:val="00C73CE6"/>
    <w:rsid w:val="00C73EB8"/>
    <w:rsid w:val="00C73FC9"/>
    <w:rsid w:val="00C741B2"/>
    <w:rsid w:val="00C74218"/>
    <w:rsid w:val="00C7476B"/>
    <w:rsid w:val="00C75524"/>
    <w:rsid w:val="00C75BD0"/>
    <w:rsid w:val="00C7683D"/>
    <w:rsid w:val="00C76915"/>
    <w:rsid w:val="00C76A6D"/>
    <w:rsid w:val="00C7715E"/>
    <w:rsid w:val="00C77238"/>
    <w:rsid w:val="00C77CE4"/>
    <w:rsid w:val="00C77F17"/>
    <w:rsid w:val="00C80565"/>
    <w:rsid w:val="00C80831"/>
    <w:rsid w:val="00C8088D"/>
    <w:rsid w:val="00C80EF4"/>
    <w:rsid w:val="00C81B21"/>
    <w:rsid w:val="00C81B35"/>
    <w:rsid w:val="00C825C2"/>
    <w:rsid w:val="00C82EB2"/>
    <w:rsid w:val="00C832CF"/>
    <w:rsid w:val="00C835FF"/>
    <w:rsid w:val="00C83B4C"/>
    <w:rsid w:val="00C83EDB"/>
    <w:rsid w:val="00C8436A"/>
    <w:rsid w:val="00C84478"/>
    <w:rsid w:val="00C845A3"/>
    <w:rsid w:val="00C847F0"/>
    <w:rsid w:val="00C8493F"/>
    <w:rsid w:val="00C85AF4"/>
    <w:rsid w:val="00C85F7D"/>
    <w:rsid w:val="00C90382"/>
    <w:rsid w:val="00C90404"/>
    <w:rsid w:val="00C906B9"/>
    <w:rsid w:val="00C90721"/>
    <w:rsid w:val="00C90C65"/>
    <w:rsid w:val="00C91269"/>
    <w:rsid w:val="00C91307"/>
    <w:rsid w:val="00C91BF1"/>
    <w:rsid w:val="00C92038"/>
    <w:rsid w:val="00C926A0"/>
    <w:rsid w:val="00C930A2"/>
    <w:rsid w:val="00C93301"/>
    <w:rsid w:val="00C9367E"/>
    <w:rsid w:val="00C93721"/>
    <w:rsid w:val="00C938C0"/>
    <w:rsid w:val="00C939DA"/>
    <w:rsid w:val="00C93B6C"/>
    <w:rsid w:val="00C93F23"/>
    <w:rsid w:val="00C9435A"/>
    <w:rsid w:val="00C943D9"/>
    <w:rsid w:val="00C94433"/>
    <w:rsid w:val="00C944D2"/>
    <w:rsid w:val="00C944F8"/>
    <w:rsid w:val="00C94D6A"/>
    <w:rsid w:val="00C952F8"/>
    <w:rsid w:val="00C957CC"/>
    <w:rsid w:val="00C9586A"/>
    <w:rsid w:val="00C95BBA"/>
    <w:rsid w:val="00C95D6B"/>
    <w:rsid w:val="00C95FE0"/>
    <w:rsid w:val="00C961E8"/>
    <w:rsid w:val="00C96225"/>
    <w:rsid w:val="00C96A37"/>
    <w:rsid w:val="00C96BB6"/>
    <w:rsid w:val="00C96C70"/>
    <w:rsid w:val="00C96D99"/>
    <w:rsid w:val="00C96E07"/>
    <w:rsid w:val="00C97230"/>
    <w:rsid w:val="00C97D27"/>
    <w:rsid w:val="00C97EA2"/>
    <w:rsid w:val="00CA013A"/>
    <w:rsid w:val="00CA029D"/>
    <w:rsid w:val="00CA03A1"/>
    <w:rsid w:val="00CA0B94"/>
    <w:rsid w:val="00CA0FB7"/>
    <w:rsid w:val="00CA15E5"/>
    <w:rsid w:val="00CA1E40"/>
    <w:rsid w:val="00CA26A8"/>
    <w:rsid w:val="00CA2AAC"/>
    <w:rsid w:val="00CA2AEE"/>
    <w:rsid w:val="00CA2DD4"/>
    <w:rsid w:val="00CA3297"/>
    <w:rsid w:val="00CA329C"/>
    <w:rsid w:val="00CA3318"/>
    <w:rsid w:val="00CA3B46"/>
    <w:rsid w:val="00CA3FEA"/>
    <w:rsid w:val="00CA4059"/>
    <w:rsid w:val="00CA41A3"/>
    <w:rsid w:val="00CA478A"/>
    <w:rsid w:val="00CA4ACC"/>
    <w:rsid w:val="00CA52D4"/>
    <w:rsid w:val="00CA539D"/>
    <w:rsid w:val="00CA53EC"/>
    <w:rsid w:val="00CA542C"/>
    <w:rsid w:val="00CA5BA2"/>
    <w:rsid w:val="00CA656E"/>
    <w:rsid w:val="00CA68A0"/>
    <w:rsid w:val="00CA6BC8"/>
    <w:rsid w:val="00CA7022"/>
    <w:rsid w:val="00CA7437"/>
    <w:rsid w:val="00CA7661"/>
    <w:rsid w:val="00CA7B16"/>
    <w:rsid w:val="00CA7B66"/>
    <w:rsid w:val="00CB00E5"/>
    <w:rsid w:val="00CB03D1"/>
    <w:rsid w:val="00CB0601"/>
    <w:rsid w:val="00CB0806"/>
    <w:rsid w:val="00CB0854"/>
    <w:rsid w:val="00CB12F4"/>
    <w:rsid w:val="00CB1C8C"/>
    <w:rsid w:val="00CB1D48"/>
    <w:rsid w:val="00CB2B1F"/>
    <w:rsid w:val="00CB2F6B"/>
    <w:rsid w:val="00CB3674"/>
    <w:rsid w:val="00CB3C6F"/>
    <w:rsid w:val="00CB4C16"/>
    <w:rsid w:val="00CB5094"/>
    <w:rsid w:val="00CB530A"/>
    <w:rsid w:val="00CB56AD"/>
    <w:rsid w:val="00CB5D9D"/>
    <w:rsid w:val="00CB6633"/>
    <w:rsid w:val="00CB6C93"/>
    <w:rsid w:val="00CB732A"/>
    <w:rsid w:val="00CB7777"/>
    <w:rsid w:val="00CB7C25"/>
    <w:rsid w:val="00CC04A6"/>
    <w:rsid w:val="00CC0856"/>
    <w:rsid w:val="00CC0DF9"/>
    <w:rsid w:val="00CC0FCF"/>
    <w:rsid w:val="00CC10C8"/>
    <w:rsid w:val="00CC1AAA"/>
    <w:rsid w:val="00CC1BE9"/>
    <w:rsid w:val="00CC1DAB"/>
    <w:rsid w:val="00CC23CF"/>
    <w:rsid w:val="00CC25E6"/>
    <w:rsid w:val="00CC293A"/>
    <w:rsid w:val="00CC2E16"/>
    <w:rsid w:val="00CC340A"/>
    <w:rsid w:val="00CC4321"/>
    <w:rsid w:val="00CC48E8"/>
    <w:rsid w:val="00CC4968"/>
    <w:rsid w:val="00CC4B9A"/>
    <w:rsid w:val="00CC5060"/>
    <w:rsid w:val="00CC5445"/>
    <w:rsid w:val="00CC56F2"/>
    <w:rsid w:val="00CC5A27"/>
    <w:rsid w:val="00CC5EDC"/>
    <w:rsid w:val="00CC6884"/>
    <w:rsid w:val="00CC6976"/>
    <w:rsid w:val="00CC782B"/>
    <w:rsid w:val="00CC79FC"/>
    <w:rsid w:val="00CD0212"/>
    <w:rsid w:val="00CD0608"/>
    <w:rsid w:val="00CD0661"/>
    <w:rsid w:val="00CD09A4"/>
    <w:rsid w:val="00CD1612"/>
    <w:rsid w:val="00CD18AC"/>
    <w:rsid w:val="00CD18B0"/>
    <w:rsid w:val="00CD21BA"/>
    <w:rsid w:val="00CD2D94"/>
    <w:rsid w:val="00CD2EEE"/>
    <w:rsid w:val="00CD314C"/>
    <w:rsid w:val="00CD315D"/>
    <w:rsid w:val="00CD31E6"/>
    <w:rsid w:val="00CD37FE"/>
    <w:rsid w:val="00CD4098"/>
    <w:rsid w:val="00CD416D"/>
    <w:rsid w:val="00CD419E"/>
    <w:rsid w:val="00CD4ECD"/>
    <w:rsid w:val="00CD4F4B"/>
    <w:rsid w:val="00CD54F5"/>
    <w:rsid w:val="00CD66D1"/>
    <w:rsid w:val="00CD68BA"/>
    <w:rsid w:val="00CD73FB"/>
    <w:rsid w:val="00CD7E46"/>
    <w:rsid w:val="00CE0482"/>
    <w:rsid w:val="00CE0795"/>
    <w:rsid w:val="00CE0E01"/>
    <w:rsid w:val="00CE14A7"/>
    <w:rsid w:val="00CE1603"/>
    <w:rsid w:val="00CE1D11"/>
    <w:rsid w:val="00CE1D83"/>
    <w:rsid w:val="00CE1F11"/>
    <w:rsid w:val="00CE200B"/>
    <w:rsid w:val="00CE2647"/>
    <w:rsid w:val="00CE265B"/>
    <w:rsid w:val="00CE2CC2"/>
    <w:rsid w:val="00CE37D5"/>
    <w:rsid w:val="00CE4AB7"/>
    <w:rsid w:val="00CE4C4E"/>
    <w:rsid w:val="00CE4EDE"/>
    <w:rsid w:val="00CE571F"/>
    <w:rsid w:val="00CE5E34"/>
    <w:rsid w:val="00CE6CCF"/>
    <w:rsid w:val="00CE759A"/>
    <w:rsid w:val="00CF008D"/>
    <w:rsid w:val="00CF01AA"/>
    <w:rsid w:val="00CF03F4"/>
    <w:rsid w:val="00CF040C"/>
    <w:rsid w:val="00CF08E3"/>
    <w:rsid w:val="00CF0C0C"/>
    <w:rsid w:val="00CF0D7A"/>
    <w:rsid w:val="00CF0EFA"/>
    <w:rsid w:val="00CF11AB"/>
    <w:rsid w:val="00CF1CA5"/>
    <w:rsid w:val="00CF1FE9"/>
    <w:rsid w:val="00CF22E8"/>
    <w:rsid w:val="00CF264E"/>
    <w:rsid w:val="00CF285D"/>
    <w:rsid w:val="00CF2C13"/>
    <w:rsid w:val="00CF4168"/>
    <w:rsid w:val="00CF4592"/>
    <w:rsid w:val="00CF4D7F"/>
    <w:rsid w:val="00CF552C"/>
    <w:rsid w:val="00CF61D6"/>
    <w:rsid w:val="00CF6299"/>
    <w:rsid w:val="00CF652A"/>
    <w:rsid w:val="00CF6538"/>
    <w:rsid w:val="00CF6842"/>
    <w:rsid w:val="00CF6AF9"/>
    <w:rsid w:val="00CF6F89"/>
    <w:rsid w:val="00CF72AF"/>
    <w:rsid w:val="00CF7EB8"/>
    <w:rsid w:val="00D00015"/>
    <w:rsid w:val="00D00176"/>
    <w:rsid w:val="00D00389"/>
    <w:rsid w:val="00D00698"/>
    <w:rsid w:val="00D01473"/>
    <w:rsid w:val="00D014A7"/>
    <w:rsid w:val="00D01F86"/>
    <w:rsid w:val="00D02191"/>
    <w:rsid w:val="00D022D4"/>
    <w:rsid w:val="00D022DE"/>
    <w:rsid w:val="00D028D3"/>
    <w:rsid w:val="00D02996"/>
    <w:rsid w:val="00D02CC6"/>
    <w:rsid w:val="00D02E20"/>
    <w:rsid w:val="00D02FCE"/>
    <w:rsid w:val="00D0302C"/>
    <w:rsid w:val="00D0338A"/>
    <w:rsid w:val="00D038BF"/>
    <w:rsid w:val="00D03C11"/>
    <w:rsid w:val="00D0402C"/>
    <w:rsid w:val="00D05245"/>
    <w:rsid w:val="00D052C5"/>
    <w:rsid w:val="00D052D2"/>
    <w:rsid w:val="00D057BC"/>
    <w:rsid w:val="00D05BDF"/>
    <w:rsid w:val="00D05CB1"/>
    <w:rsid w:val="00D05DDE"/>
    <w:rsid w:val="00D05E45"/>
    <w:rsid w:val="00D05FDD"/>
    <w:rsid w:val="00D063B9"/>
    <w:rsid w:val="00D06591"/>
    <w:rsid w:val="00D070D7"/>
    <w:rsid w:val="00D07629"/>
    <w:rsid w:val="00D0791D"/>
    <w:rsid w:val="00D07CEA"/>
    <w:rsid w:val="00D10597"/>
    <w:rsid w:val="00D10613"/>
    <w:rsid w:val="00D10A08"/>
    <w:rsid w:val="00D10D6C"/>
    <w:rsid w:val="00D10DF5"/>
    <w:rsid w:val="00D1114E"/>
    <w:rsid w:val="00D1179F"/>
    <w:rsid w:val="00D11CEE"/>
    <w:rsid w:val="00D11ED4"/>
    <w:rsid w:val="00D12377"/>
    <w:rsid w:val="00D12B21"/>
    <w:rsid w:val="00D133B6"/>
    <w:rsid w:val="00D14EAE"/>
    <w:rsid w:val="00D152CD"/>
    <w:rsid w:val="00D170CD"/>
    <w:rsid w:val="00D17A39"/>
    <w:rsid w:val="00D17FDE"/>
    <w:rsid w:val="00D2071A"/>
    <w:rsid w:val="00D20F5A"/>
    <w:rsid w:val="00D21118"/>
    <w:rsid w:val="00D21504"/>
    <w:rsid w:val="00D215F7"/>
    <w:rsid w:val="00D21729"/>
    <w:rsid w:val="00D21838"/>
    <w:rsid w:val="00D221DF"/>
    <w:rsid w:val="00D2253D"/>
    <w:rsid w:val="00D227F0"/>
    <w:rsid w:val="00D2296D"/>
    <w:rsid w:val="00D22AAA"/>
    <w:rsid w:val="00D234BF"/>
    <w:rsid w:val="00D23863"/>
    <w:rsid w:val="00D239FE"/>
    <w:rsid w:val="00D23C55"/>
    <w:rsid w:val="00D23F94"/>
    <w:rsid w:val="00D240F8"/>
    <w:rsid w:val="00D2464B"/>
    <w:rsid w:val="00D24823"/>
    <w:rsid w:val="00D24D1A"/>
    <w:rsid w:val="00D24E72"/>
    <w:rsid w:val="00D2511F"/>
    <w:rsid w:val="00D252AC"/>
    <w:rsid w:val="00D2551A"/>
    <w:rsid w:val="00D25B20"/>
    <w:rsid w:val="00D25D3B"/>
    <w:rsid w:val="00D262AA"/>
    <w:rsid w:val="00D262CC"/>
    <w:rsid w:val="00D26541"/>
    <w:rsid w:val="00D266F0"/>
    <w:rsid w:val="00D26A7B"/>
    <w:rsid w:val="00D279E8"/>
    <w:rsid w:val="00D27BBD"/>
    <w:rsid w:val="00D27BE9"/>
    <w:rsid w:val="00D27BF9"/>
    <w:rsid w:val="00D27DE5"/>
    <w:rsid w:val="00D30211"/>
    <w:rsid w:val="00D3030F"/>
    <w:rsid w:val="00D306BF"/>
    <w:rsid w:val="00D30D9E"/>
    <w:rsid w:val="00D31C0F"/>
    <w:rsid w:val="00D32053"/>
    <w:rsid w:val="00D32126"/>
    <w:rsid w:val="00D3250D"/>
    <w:rsid w:val="00D32803"/>
    <w:rsid w:val="00D3305E"/>
    <w:rsid w:val="00D331B1"/>
    <w:rsid w:val="00D33319"/>
    <w:rsid w:val="00D33478"/>
    <w:rsid w:val="00D3364A"/>
    <w:rsid w:val="00D33D50"/>
    <w:rsid w:val="00D347FC"/>
    <w:rsid w:val="00D34B0E"/>
    <w:rsid w:val="00D34D57"/>
    <w:rsid w:val="00D35062"/>
    <w:rsid w:val="00D354F2"/>
    <w:rsid w:val="00D35DBC"/>
    <w:rsid w:val="00D369F9"/>
    <w:rsid w:val="00D36EBD"/>
    <w:rsid w:val="00D372E1"/>
    <w:rsid w:val="00D37550"/>
    <w:rsid w:val="00D377AE"/>
    <w:rsid w:val="00D407BD"/>
    <w:rsid w:val="00D412C5"/>
    <w:rsid w:val="00D41A85"/>
    <w:rsid w:val="00D41E51"/>
    <w:rsid w:val="00D41F0D"/>
    <w:rsid w:val="00D41F36"/>
    <w:rsid w:val="00D4219A"/>
    <w:rsid w:val="00D42314"/>
    <w:rsid w:val="00D42603"/>
    <w:rsid w:val="00D42662"/>
    <w:rsid w:val="00D42DE4"/>
    <w:rsid w:val="00D42E50"/>
    <w:rsid w:val="00D42FCE"/>
    <w:rsid w:val="00D430BD"/>
    <w:rsid w:val="00D43132"/>
    <w:rsid w:val="00D4318E"/>
    <w:rsid w:val="00D431E2"/>
    <w:rsid w:val="00D43314"/>
    <w:rsid w:val="00D4346C"/>
    <w:rsid w:val="00D43821"/>
    <w:rsid w:val="00D43834"/>
    <w:rsid w:val="00D43A51"/>
    <w:rsid w:val="00D43B36"/>
    <w:rsid w:val="00D448F0"/>
    <w:rsid w:val="00D44904"/>
    <w:rsid w:val="00D44AEA"/>
    <w:rsid w:val="00D44B97"/>
    <w:rsid w:val="00D45FE4"/>
    <w:rsid w:val="00D46213"/>
    <w:rsid w:val="00D465F0"/>
    <w:rsid w:val="00D4736A"/>
    <w:rsid w:val="00D4769D"/>
    <w:rsid w:val="00D47E28"/>
    <w:rsid w:val="00D5041C"/>
    <w:rsid w:val="00D5048E"/>
    <w:rsid w:val="00D514C2"/>
    <w:rsid w:val="00D51500"/>
    <w:rsid w:val="00D517B2"/>
    <w:rsid w:val="00D51826"/>
    <w:rsid w:val="00D519BC"/>
    <w:rsid w:val="00D51B20"/>
    <w:rsid w:val="00D51E9D"/>
    <w:rsid w:val="00D5218A"/>
    <w:rsid w:val="00D528DB"/>
    <w:rsid w:val="00D52D32"/>
    <w:rsid w:val="00D53716"/>
    <w:rsid w:val="00D53C24"/>
    <w:rsid w:val="00D53D6D"/>
    <w:rsid w:val="00D53FC1"/>
    <w:rsid w:val="00D5418F"/>
    <w:rsid w:val="00D54435"/>
    <w:rsid w:val="00D544D5"/>
    <w:rsid w:val="00D5470B"/>
    <w:rsid w:val="00D54A4E"/>
    <w:rsid w:val="00D54D92"/>
    <w:rsid w:val="00D553C5"/>
    <w:rsid w:val="00D55BCD"/>
    <w:rsid w:val="00D55E8F"/>
    <w:rsid w:val="00D56F24"/>
    <w:rsid w:val="00D5784E"/>
    <w:rsid w:val="00D57AF6"/>
    <w:rsid w:val="00D60E30"/>
    <w:rsid w:val="00D60FC6"/>
    <w:rsid w:val="00D6282D"/>
    <w:rsid w:val="00D62940"/>
    <w:rsid w:val="00D6299E"/>
    <w:rsid w:val="00D62D06"/>
    <w:rsid w:val="00D63994"/>
    <w:rsid w:val="00D643A5"/>
    <w:rsid w:val="00D6443D"/>
    <w:rsid w:val="00D64653"/>
    <w:rsid w:val="00D6485A"/>
    <w:rsid w:val="00D661A0"/>
    <w:rsid w:val="00D665C6"/>
    <w:rsid w:val="00D67118"/>
    <w:rsid w:val="00D6793D"/>
    <w:rsid w:val="00D702CD"/>
    <w:rsid w:val="00D70924"/>
    <w:rsid w:val="00D70E6F"/>
    <w:rsid w:val="00D71425"/>
    <w:rsid w:val="00D714AC"/>
    <w:rsid w:val="00D71808"/>
    <w:rsid w:val="00D718CA"/>
    <w:rsid w:val="00D71FAB"/>
    <w:rsid w:val="00D72191"/>
    <w:rsid w:val="00D72607"/>
    <w:rsid w:val="00D727C6"/>
    <w:rsid w:val="00D73752"/>
    <w:rsid w:val="00D73FFE"/>
    <w:rsid w:val="00D74106"/>
    <w:rsid w:val="00D74285"/>
    <w:rsid w:val="00D74B37"/>
    <w:rsid w:val="00D756FB"/>
    <w:rsid w:val="00D76DAE"/>
    <w:rsid w:val="00D776FA"/>
    <w:rsid w:val="00D7783E"/>
    <w:rsid w:val="00D77AF8"/>
    <w:rsid w:val="00D807AB"/>
    <w:rsid w:val="00D807BD"/>
    <w:rsid w:val="00D80E07"/>
    <w:rsid w:val="00D81590"/>
    <w:rsid w:val="00D822AD"/>
    <w:rsid w:val="00D82D0F"/>
    <w:rsid w:val="00D82EEC"/>
    <w:rsid w:val="00D830B5"/>
    <w:rsid w:val="00D831C1"/>
    <w:rsid w:val="00D83300"/>
    <w:rsid w:val="00D84530"/>
    <w:rsid w:val="00D84669"/>
    <w:rsid w:val="00D847EF"/>
    <w:rsid w:val="00D84977"/>
    <w:rsid w:val="00D84E24"/>
    <w:rsid w:val="00D8516A"/>
    <w:rsid w:val="00D8542E"/>
    <w:rsid w:val="00D85A82"/>
    <w:rsid w:val="00D86000"/>
    <w:rsid w:val="00D90251"/>
    <w:rsid w:val="00D9046C"/>
    <w:rsid w:val="00D906CF"/>
    <w:rsid w:val="00D90B60"/>
    <w:rsid w:val="00D90DA6"/>
    <w:rsid w:val="00D91099"/>
    <w:rsid w:val="00D91106"/>
    <w:rsid w:val="00D91624"/>
    <w:rsid w:val="00D91677"/>
    <w:rsid w:val="00D9198D"/>
    <w:rsid w:val="00D91DCB"/>
    <w:rsid w:val="00D92195"/>
    <w:rsid w:val="00D9223A"/>
    <w:rsid w:val="00D92DCE"/>
    <w:rsid w:val="00D93FA1"/>
    <w:rsid w:val="00D9408C"/>
    <w:rsid w:val="00D94290"/>
    <w:rsid w:val="00D9483E"/>
    <w:rsid w:val="00D94C5C"/>
    <w:rsid w:val="00D95D65"/>
    <w:rsid w:val="00D96285"/>
    <w:rsid w:val="00D965CB"/>
    <w:rsid w:val="00D96672"/>
    <w:rsid w:val="00D96878"/>
    <w:rsid w:val="00D97130"/>
    <w:rsid w:val="00D97A23"/>
    <w:rsid w:val="00D97D28"/>
    <w:rsid w:val="00D97D37"/>
    <w:rsid w:val="00D97E26"/>
    <w:rsid w:val="00DA083E"/>
    <w:rsid w:val="00DA08AB"/>
    <w:rsid w:val="00DA0905"/>
    <w:rsid w:val="00DA09B2"/>
    <w:rsid w:val="00DA0D5A"/>
    <w:rsid w:val="00DA13AB"/>
    <w:rsid w:val="00DA1784"/>
    <w:rsid w:val="00DA1823"/>
    <w:rsid w:val="00DA25E0"/>
    <w:rsid w:val="00DA2AB6"/>
    <w:rsid w:val="00DA3321"/>
    <w:rsid w:val="00DA35F1"/>
    <w:rsid w:val="00DA3DFC"/>
    <w:rsid w:val="00DA44D4"/>
    <w:rsid w:val="00DA487B"/>
    <w:rsid w:val="00DA4951"/>
    <w:rsid w:val="00DA4C79"/>
    <w:rsid w:val="00DA521C"/>
    <w:rsid w:val="00DA57A6"/>
    <w:rsid w:val="00DA5A4F"/>
    <w:rsid w:val="00DA5CB1"/>
    <w:rsid w:val="00DA5F15"/>
    <w:rsid w:val="00DA5FC5"/>
    <w:rsid w:val="00DA608F"/>
    <w:rsid w:val="00DA6319"/>
    <w:rsid w:val="00DA7F9C"/>
    <w:rsid w:val="00DB003D"/>
    <w:rsid w:val="00DB01DE"/>
    <w:rsid w:val="00DB020F"/>
    <w:rsid w:val="00DB02DC"/>
    <w:rsid w:val="00DB03D9"/>
    <w:rsid w:val="00DB06C8"/>
    <w:rsid w:val="00DB0FFA"/>
    <w:rsid w:val="00DB158E"/>
    <w:rsid w:val="00DB1B11"/>
    <w:rsid w:val="00DB2407"/>
    <w:rsid w:val="00DB27DF"/>
    <w:rsid w:val="00DB33EF"/>
    <w:rsid w:val="00DB373C"/>
    <w:rsid w:val="00DB3C88"/>
    <w:rsid w:val="00DB3EBE"/>
    <w:rsid w:val="00DB421E"/>
    <w:rsid w:val="00DB45DF"/>
    <w:rsid w:val="00DB45E8"/>
    <w:rsid w:val="00DB4F15"/>
    <w:rsid w:val="00DB56EF"/>
    <w:rsid w:val="00DB57D5"/>
    <w:rsid w:val="00DB610D"/>
    <w:rsid w:val="00DB677F"/>
    <w:rsid w:val="00DB687A"/>
    <w:rsid w:val="00DB7081"/>
    <w:rsid w:val="00DB70C8"/>
    <w:rsid w:val="00DB7186"/>
    <w:rsid w:val="00DB78F7"/>
    <w:rsid w:val="00DB7AC5"/>
    <w:rsid w:val="00DC0338"/>
    <w:rsid w:val="00DC08E4"/>
    <w:rsid w:val="00DC0DFF"/>
    <w:rsid w:val="00DC124A"/>
    <w:rsid w:val="00DC1439"/>
    <w:rsid w:val="00DC1F36"/>
    <w:rsid w:val="00DC2E1F"/>
    <w:rsid w:val="00DC3753"/>
    <w:rsid w:val="00DC4F6B"/>
    <w:rsid w:val="00DC5315"/>
    <w:rsid w:val="00DC535F"/>
    <w:rsid w:val="00DC54DE"/>
    <w:rsid w:val="00DC5F30"/>
    <w:rsid w:val="00DC5F7B"/>
    <w:rsid w:val="00DC662F"/>
    <w:rsid w:val="00DC6C25"/>
    <w:rsid w:val="00DC6F2F"/>
    <w:rsid w:val="00DC7F1A"/>
    <w:rsid w:val="00DD019A"/>
    <w:rsid w:val="00DD111D"/>
    <w:rsid w:val="00DD18C9"/>
    <w:rsid w:val="00DD18F3"/>
    <w:rsid w:val="00DD24B0"/>
    <w:rsid w:val="00DD27F5"/>
    <w:rsid w:val="00DD2AD1"/>
    <w:rsid w:val="00DD2BFF"/>
    <w:rsid w:val="00DD2D8C"/>
    <w:rsid w:val="00DD338F"/>
    <w:rsid w:val="00DD39C4"/>
    <w:rsid w:val="00DD3C96"/>
    <w:rsid w:val="00DD41B6"/>
    <w:rsid w:val="00DD4335"/>
    <w:rsid w:val="00DD451F"/>
    <w:rsid w:val="00DD452A"/>
    <w:rsid w:val="00DD4845"/>
    <w:rsid w:val="00DD48F6"/>
    <w:rsid w:val="00DD4DAC"/>
    <w:rsid w:val="00DD4DFC"/>
    <w:rsid w:val="00DD5092"/>
    <w:rsid w:val="00DD5556"/>
    <w:rsid w:val="00DD5650"/>
    <w:rsid w:val="00DD5B73"/>
    <w:rsid w:val="00DD5CB8"/>
    <w:rsid w:val="00DD6305"/>
    <w:rsid w:val="00DD63E5"/>
    <w:rsid w:val="00DD652D"/>
    <w:rsid w:val="00DD68E7"/>
    <w:rsid w:val="00DD6A8D"/>
    <w:rsid w:val="00DD70E0"/>
    <w:rsid w:val="00DD735D"/>
    <w:rsid w:val="00DD7BEB"/>
    <w:rsid w:val="00DD7DAA"/>
    <w:rsid w:val="00DE015C"/>
    <w:rsid w:val="00DE04B4"/>
    <w:rsid w:val="00DE04DF"/>
    <w:rsid w:val="00DE0748"/>
    <w:rsid w:val="00DE0878"/>
    <w:rsid w:val="00DE0C62"/>
    <w:rsid w:val="00DE116A"/>
    <w:rsid w:val="00DE14D6"/>
    <w:rsid w:val="00DE152A"/>
    <w:rsid w:val="00DE1640"/>
    <w:rsid w:val="00DE1788"/>
    <w:rsid w:val="00DE17CD"/>
    <w:rsid w:val="00DE1C0E"/>
    <w:rsid w:val="00DE2297"/>
    <w:rsid w:val="00DE2823"/>
    <w:rsid w:val="00DE2928"/>
    <w:rsid w:val="00DE2F0F"/>
    <w:rsid w:val="00DE36C6"/>
    <w:rsid w:val="00DE37AC"/>
    <w:rsid w:val="00DE3898"/>
    <w:rsid w:val="00DE3AA0"/>
    <w:rsid w:val="00DE439E"/>
    <w:rsid w:val="00DE4943"/>
    <w:rsid w:val="00DE4B43"/>
    <w:rsid w:val="00DE54BD"/>
    <w:rsid w:val="00DE5D55"/>
    <w:rsid w:val="00DE60C4"/>
    <w:rsid w:val="00DE64B1"/>
    <w:rsid w:val="00DE672D"/>
    <w:rsid w:val="00DE6792"/>
    <w:rsid w:val="00DE680E"/>
    <w:rsid w:val="00DE6D46"/>
    <w:rsid w:val="00DE7461"/>
    <w:rsid w:val="00DE79D2"/>
    <w:rsid w:val="00DF0487"/>
    <w:rsid w:val="00DF053D"/>
    <w:rsid w:val="00DF0F89"/>
    <w:rsid w:val="00DF1265"/>
    <w:rsid w:val="00DF12D3"/>
    <w:rsid w:val="00DF13FC"/>
    <w:rsid w:val="00DF1459"/>
    <w:rsid w:val="00DF1FD7"/>
    <w:rsid w:val="00DF22E5"/>
    <w:rsid w:val="00DF2AD8"/>
    <w:rsid w:val="00DF3223"/>
    <w:rsid w:val="00DF3735"/>
    <w:rsid w:val="00DF373C"/>
    <w:rsid w:val="00DF391D"/>
    <w:rsid w:val="00DF3C7E"/>
    <w:rsid w:val="00DF44A9"/>
    <w:rsid w:val="00DF47C9"/>
    <w:rsid w:val="00DF4E97"/>
    <w:rsid w:val="00DF4F33"/>
    <w:rsid w:val="00DF5000"/>
    <w:rsid w:val="00DF51F7"/>
    <w:rsid w:val="00DF57B8"/>
    <w:rsid w:val="00DF6492"/>
    <w:rsid w:val="00DF693E"/>
    <w:rsid w:val="00DF7123"/>
    <w:rsid w:val="00DF7342"/>
    <w:rsid w:val="00DF7710"/>
    <w:rsid w:val="00E00186"/>
    <w:rsid w:val="00E001AA"/>
    <w:rsid w:val="00E001E2"/>
    <w:rsid w:val="00E00701"/>
    <w:rsid w:val="00E008B9"/>
    <w:rsid w:val="00E009D4"/>
    <w:rsid w:val="00E00B0E"/>
    <w:rsid w:val="00E00F80"/>
    <w:rsid w:val="00E0176D"/>
    <w:rsid w:val="00E01B8C"/>
    <w:rsid w:val="00E02264"/>
    <w:rsid w:val="00E0326C"/>
    <w:rsid w:val="00E034EA"/>
    <w:rsid w:val="00E0357B"/>
    <w:rsid w:val="00E0358D"/>
    <w:rsid w:val="00E037DA"/>
    <w:rsid w:val="00E03B3D"/>
    <w:rsid w:val="00E03EDC"/>
    <w:rsid w:val="00E0402C"/>
    <w:rsid w:val="00E044CE"/>
    <w:rsid w:val="00E04825"/>
    <w:rsid w:val="00E048D9"/>
    <w:rsid w:val="00E049C7"/>
    <w:rsid w:val="00E056DF"/>
    <w:rsid w:val="00E060D0"/>
    <w:rsid w:val="00E06EAC"/>
    <w:rsid w:val="00E1001D"/>
    <w:rsid w:val="00E1008B"/>
    <w:rsid w:val="00E10238"/>
    <w:rsid w:val="00E1070C"/>
    <w:rsid w:val="00E10D88"/>
    <w:rsid w:val="00E114CA"/>
    <w:rsid w:val="00E12163"/>
    <w:rsid w:val="00E12587"/>
    <w:rsid w:val="00E129B9"/>
    <w:rsid w:val="00E129FF"/>
    <w:rsid w:val="00E12BBD"/>
    <w:rsid w:val="00E1308D"/>
    <w:rsid w:val="00E13118"/>
    <w:rsid w:val="00E131CF"/>
    <w:rsid w:val="00E133EF"/>
    <w:rsid w:val="00E14328"/>
    <w:rsid w:val="00E14C8A"/>
    <w:rsid w:val="00E15230"/>
    <w:rsid w:val="00E1583D"/>
    <w:rsid w:val="00E15D2C"/>
    <w:rsid w:val="00E15EA3"/>
    <w:rsid w:val="00E16DA5"/>
    <w:rsid w:val="00E17470"/>
    <w:rsid w:val="00E174E9"/>
    <w:rsid w:val="00E177D3"/>
    <w:rsid w:val="00E17927"/>
    <w:rsid w:val="00E179A3"/>
    <w:rsid w:val="00E17D77"/>
    <w:rsid w:val="00E17DC0"/>
    <w:rsid w:val="00E200D0"/>
    <w:rsid w:val="00E20A88"/>
    <w:rsid w:val="00E20C17"/>
    <w:rsid w:val="00E21385"/>
    <w:rsid w:val="00E216DF"/>
    <w:rsid w:val="00E216EF"/>
    <w:rsid w:val="00E21B69"/>
    <w:rsid w:val="00E2201B"/>
    <w:rsid w:val="00E22423"/>
    <w:rsid w:val="00E224E5"/>
    <w:rsid w:val="00E22835"/>
    <w:rsid w:val="00E22BC0"/>
    <w:rsid w:val="00E23784"/>
    <w:rsid w:val="00E2381F"/>
    <w:rsid w:val="00E23976"/>
    <w:rsid w:val="00E24003"/>
    <w:rsid w:val="00E24CA7"/>
    <w:rsid w:val="00E251EA"/>
    <w:rsid w:val="00E25579"/>
    <w:rsid w:val="00E26158"/>
    <w:rsid w:val="00E26364"/>
    <w:rsid w:val="00E265F7"/>
    <w:rsid w:val="00E26810"/>
    <w:rsid w:val="00E26866"/>
    <w:rsid w:val="00E26CD9"/>
    <w:rsid w:val="00E26E9F"/>
    <w:rsid w:val="00E270AB"/>
    <w:rsid w:val="00E270CC"/>
    <w:rsid w:val="00E2773F"/>
    <w:rsid w:val="00E27A81"/>
    <w:rsid w:val="00E27D52"/>
    <w:rsid w:val="00E30437"/>
    <w:rsid w:val="00E307F9"/>
    <w:rsid w:val="00E31377"/>
    <w:rsid w:val="00E31981"/>
    <w:rsid w:val="00E31A02"/>
    <w:rsid w:val="00E31A69"/>
    <w:rsid w:val="00E31E3C"/>
    <w:rsid w:val="00E3241E"/>
    <w:rsid w:val="00E329B5"/>
    <w:rsid w:val="00E33089"/>
    <w:rsid w:val="00E33450"/>
    <w:rsid w:val="00E33776"/>
    <w:rsid w:val="00E34201"/>
    <w:rsid w:val="00E34543"/>
    <w:rsid w:val="00E34F59"/>
    <w:rsid w:val="00E357A0"/>
    <w:rsid w:val="00E35884"/>
    <w:rsid w:val="00E3589E"/>
    <w:rsid w:val="00E358C9"/>
    <w:rsid w:val="00E35B70"/>
    <w:rsid w:val="00E36E5F"/>
    <w:rsid w:val="00E3720A"/>
    <w:rsid w:val="00E37327"/>
    <w:rsid w:val="00E37707"/>
    <w:rsid w:val="00E37AD3"/>
    <w:rsid w:val="00E37BCC"/>
    <w:rsid w:val="00E37FB3"/>
    <w:rsid w:val="00E37FD9"/>
    <w:rsid w:val="00E40192"/>
    <w:rsid w:val="00E406A3"/>
    <w:rsid w:val="00E407A2"/>
    <w:rsid w:val="00E4083F"/>
    <w:rsid w:val="00E40C88"/>
    <w:rsid w:val="00E40FD1"/>
    <w:rsid w:val="00E4147E"/>
    <w:rsid w:val="00E4163B"/>
    <w:rsid w:val="00E4193C"/>
    <w:rsid w:val="00E419B4"/>
    <w:rsid w:val="00E423EE"/>
    <w:rsid w:val="00E42496"/>
    <w:rsid w:val="00E42D13"/>
    <w:rsid w:val="00E43164"/>
    <w:rsid w:val="00E43579"/>
    <w:rsid w:val="00E4369C"/>
    <w:rsid w:val="00E43C18"/>
    <w:rsid w:val="00E43C54"/>
    <w:rsid w:val="00E43C62"/>
    <w:rsid w:val="00E43E90"/>
    <w:rsid w:val="00E4489C"/>
    <w:rsid w:val="00E44DB1"/>
    <w:rsid w:val="00E44E8F"/>
    <w:rsid w:val="00E450F1"/>
    <w:rsid w:val="00E452B8"/>
    <w:rsid w:val="00E45555"/>
    <w:rsid w:val="00E4558B"/>
    <w:rsid w:val="00E45CD6"/>
    <w:rsid w:val="00E45F59"/>
    <w:rsid w:val="00E46192"/>
    <w:rsid w:val="00E46AEB"/>
    <w:rsid w:val="00E50319"/>
    <w:rsid w:val="00E50976"/>
    <w:rsid w:val="00E50A65"/>
    <w:rsid w:val="00E5114B"/>
    <w:rsid w:val="00E5165A"/>
    <w:rsid w:val="00E51785"/>
    <w:rsid w:val="00E518C8"/>
    <w:rsid w:val="00E51B9F"/>
    <w:rsid w:val="00E51DD8"/>
    <w:rsid w:val="00E51E23"/>
    <w:rsid w:val="00E51E91"/>
    <w:rsid w:val="00E521E5"/>
    <w:rsid w:val="00E52216"/>
    <w:rsid w:val="00E5321A"/>
    <w:rsid w:val="00E54564"/>
    <w:rsid w:val="00E54BA2"/>
    <w:rsid w:val="00E54D82"/>
    <w:rsid w:val="00E55009"/>
    <w:rsid w:val="00E553FF"/>
    <w:rsid w:val="00E55FEB"/>
    <w:rsid w:val="00E56764"/>
    <w:rsid w:val="00E56F72"/>
    <w:rsid w:val="00E579CC"/>
    <w:rsid w:val="00E579D0"/>
    <w:rsid w:val="00E600BB"/>
    <w:rsid w:val="00E60993"/>
    <w:rsid w:val="00E609BE"/>
    <w:rsid w:val="00E60DA1"/>
    <w:rsid w:val="00E61126"/>
    <w:rsid w:val="00E6165A"/>
    <w:rsid w:val="00E61A5D"/>
    <w:rsid w:val="00E6230A"/>
    <w:rsid w:val="00E625F8"/>
    <w:rsid w:val="00E627FA"/>
    <w:rsid w:val="00E62849"/>
    <w:rsid w:val="00E62AF6"/>
    <w:rsid w:val="00E62D71"/>
    <w:rsid w:val="00E63AAF"/>
    <w:rsid w:val="00E63AE2"/>
    <w:rsid w:val="00E63D0D"/>
    <w:rsid w:val="00E6484F"/>
    <w:rsid w:val="00E64922"/>
    <w:rsid w:val="00E64B3B"/>
    <w:rsid w:val="00E64BBC"/>
    <w:rsid w:val="00E64BD2"/>
    <w:rsid w:val="00E64CB5"/>
    <w:rsid w:val="00E64F5A"/>
    <w:rsid w:val="00E653F8"/>
    <w:rsid w:val="00E6557B"/>
    <w:rsid w:val="00E65BEF"/>
    <w:rsid w:val="00E6634B"/>
    <w:rsid w:val="00E66E02"/>
    <w:rsid w:val="00E66F4B"/>
    <w:rsid w:val="00E67A4B"/>
    <w:rsid w:val="00E67D5E"/>
    <w:rsid w:val="00E67E72"/>
    <w:rsid w:val="00E712C4"/>
    <w:rsid w:val="00E7153B"/>
    <w:rsid w:val="00E7166C"/>
    <w:rsid w:val="00E71F56"/>
    <w:rsid w:val="00E723B7"/>
    <w:rsid w:val="00E723EF"/>
    <w:rsid w:val="00E72596"/>
    <w:rsid w:val="00E72709"/>
    <w:rsid w:val="00E7285A"/>
    <w:rsid w:val="00E72F91"/>
    <w:rsid w:val="00E72FD8"/>
    <w:rsid w:val="00E73456"/>
    <w:rsid w:val="00E73C7E"/>
    <w:rsid w:val="00E7439B"/>
    <w:rsid w:val="00E744A6"/>
    <w:rsid w:val="00E74642"/>
    <w:rsid w:val="00E74D72"/>
    <w:rsid w:val="00E75828"/>
    <w:rsid w:val="00E75872"/>
    <w:rsid w:val="00E75EE0"/>
    <w:rsid w:val="00E76330"/>
    <w:rsid w:val="00E76543"/>
    <w:rsid w:val="00E76566"/>
    <w:rsid w:val="00E767F8"/>
    <w:rsid w:val="00E76A31"/>
    <w:rsid w:val="00E76D44"/>
    <w:rsid w:val="00E772C7"/>
    <w:rsid w:val="00E77306"/>
    <w:rsid w:val="00E80B86"/>
    <w:rsid w:val="00E80FFC"/>
    <w:rsid w:val="00E81300"/>
    <w:rsid w:val="00E81317"/>
    <w:rsid w:val="00E8138A"/>
    <w:rsid w:val="00E814C5"/>
    <w:rsid w:val="00E81922"/>
    <w:rsid w:val="00E81DD1"/>
    <w:rsid w:val="00E82228"/>
    <w:rsid w:val="00E822A5"/>
    <w:rsid w:val="00E822D2"/>
    <w:rsid w:val="00E82F19"/>
    <w:rsid w:val="00E83036"/>
    <w:rsid w:val="00E8325F"/>
    <w:rsid w:val="00E83874"/>
    <w:rsid w:val="00E8387C"/>
    <w:rsid w:val="00E83E89"/>
    <w:rsid w:val="00E8463A"/>
    <w:rsid w:val="00E846D7"/>
    <w:rsid w:val="00E849C7"/>
    <w:rsid w:val="00E84A75"/>
    <w:rsid w:val="00E84DCE"/>
    <w:rsid w:val="00E85201"/>
    <w:rsid w:val="00E852A1"/>
    <w:rsid w:val="00E852A7"/>
    <w:rsid w:val="00E854D3"/>
    <w:rsid w:val="00E857E3"/>
    <w:rsid w:val="00E8580E"/>
    <w:rsid w:val="00E85D6B"/>
    <w:rsid w:val="00E86498"/>
    <w:rsid w:val="00E869B0"/>
    <w:rsid w:val="00E86C36"/>
    <w:rsid w:val="00E8707D"/>
    <w:rsid w:val="00E87568"/>
    <w:rsid w:val="00E87C30"/>
    <w:rsid w:val="00E87D51"/>
    <w:rsid w:val="00E87DEE"/>
    <w:rsid w:val="00E87ED6"/>
    <w:rsid w:val="00E90019"/>
    <w:rsid w:val="00E90124"/>
    <w:rsid w:val="00E903E6"/>
    <w:rsid w:val="00E90EBE"/>
    <w:rsid w:val="00E912A8"/>
    <w:rsid w:val="00E91749"/>
    <w:rsid w:val="00E91E49"/>
    <w:rsid w:val="00E9205F"/>
    <w:rsid w:val="00E92308"/>
    <w:rsid w:val="00E9273B"/>
    <w:rsid w:val="00E9306E"/>
    <w:rsid w:val="00E9352E"/>
    <w:rsid w:val="00E938FA"/>
    <w:rsid w:val="00E94FD6"/>
    <w:rsid w:val="00E950D2"/>
    <w:rsid w:val="00E9513F"/>
    <w:rsid w:val="00E959F3"/>
    <w:rsid w:val="00E95BB0"/>
    <w:rsid w:val="00E95C93"/>
    <w:rsid w:val="00E96962"/>
    <w:rsid w:val="00E97082"/>
    <w:rsid w:val="00E971A2"/>
    <w:rsid w:val="00E9722C"/>
    <w:rsid w:val="00E97835"/>
    <w:rsid w:val="00EA06B7"/>
    <w:rsid w:val="00EA105D"/>
    <w:rsid w:val="00EA1FD0"/>
    <w:rsid w:val="00EA2537"/>
    <w:rsid w:val="00EA2EA1"/>
    <w:rsid w:val="00EA31B3"/>
    <w:rsid w:val="00EA37DA"/>
    <w:rsid w:val="00EA39E2"/>
    <w:rsid w:val="00EA3C32"/>
    <w:rsid w:val="00EA4626"/>
    <w:rsid w:val="00EA4C1E"/>
    <w:rsid w:val="00EA522E"/>
    <w:rsid w:val="00EA6ADC"/>
    <w:rsid w:val="00EA6B41"/>
    <w:rsid w:val="00EA731C"/>
    <w:rsid w:val="00EA7968"/>
    <w:rsid w:val="00EB054F"/>
    <w:rsid w:val="00EB07D8"/>
    <w:rsid w:val="00EB09EF"/>
    <w:rsid w:val="00EB0DEC"/>
    <w:rsid w:val="00EB1275"/>
    <w:rsid w:val="00EB12D1"/>
    <w:rsid w:val="00EB197B"/>
    <w:rsid w:val="00EB1C49"/>
    <w:rsid w:val="00EB1E4D"/>
    <w:rsid w:val="00EB238A"/>
    <w:rsid w:val="00EB297F"/>
    <w:rsid w:val="00EB352A"/>
    <w:rsid w:val="00EB3630"/>
    <w:rsid w:val="00EB378C"/>
    <w:rsid w:val="00EB45CB"/>
    <w:rsid w:val="00EB4A80"/>
    <w:rsid w:val="00EB4D3E"/>
    <w:rsid w:val="00EB4EDD"/>
    <w:rsid w:val="00EB5304"/>
    <w:rsid w:val="00EB5475"/>
    <w:rsid w:val="00EB5699"/>
    <w:rsid w:val="00EB57A7"/>
    <w:rsid w:val="00EB586E"/>
    <w:rsid w:val="00EB5ED3"/>
    <w:rsid w:val="00EB7022"/>
    <w:rsid w:val="00EB7D7A"/>
    <w:rsid w:val="00EC01D3"/>
    <w:rsid w:val="00EC0235"/>
    <w:rsid w:val="00EC0494"/>
    <w:rsid w:val="00EC0CB7"/>
    <w:rsid w:val="00EC0CDF"/>
    <w:rsid w:val="00EC0DF4"/>
    <w:rsid w:val="00EC12C1"/>
    <w:rsid w:val="00EC1328"/>
    <w:rsid w:val="00EC138C"/>
    <w:rsid w:val="00EC16D9"/>
    <w:rsid w:val="00EC1D04"/>
    <w:rsid w:val="00EC1F7F"/>
    <w:rsid w:val="00EC26B0"/>
    <w:rsid w:val="00EC2BAC"/>
    <w:rsid w:val="00EC352A"/>
    <w:rsid w:val="00EC3591"/>
    <w:rsid w:val="00EC3C12"/>
    <w:rsid w:val="00EC3D07"/>
    <w:rsid w:val="00EC4488"/>
    <w:rsid w:val="00EC4BE4"/>
    <w:rsid w:val="00EC4F70"/>
    <w:rsid w:val="00EC552D"/>
    <w:rsid w:val="00EC5623"/>
    <w:rsid w:val="00EC5900"/>
    <w:rsid w:val="00EC5B21"/>
    <w:rsid w:val="00EC5E2C"/>
    <w:rsid w:val="00EC5EA1"/>
    <w:rsid w:val="00EC6401"/>
    <w:rsid w:val="00EC6585"/>
    <w:rsid w:val="00EC6B6D"/>
    <w:rsid w:val="00EC76F8"/>
    <w:rsid w:val="00EC7758"/>
    <w:rsid w:val="00ED0520"/>
    <w:rsid w:val="00ED121B"/>
    <w:rsid w:val="00ED1830"/>
    <w:rsid w:val="00ED2B46"/>
    <w:rsid w:val="00ED2F80"/>
    <w:rsid w:val="00ED30EE"/>
    <w:rsid w:val="00ED376A"/>
    <w:rsid w:val="00ED3CEC"/>
    <w:rsid w:val="00ED42AE"/>
    <w:rsid w:val="00ED4417"/>
    <w:rsid w:val="00ED4476"/>
    <w:rsid w:val="00ED478D"/>
    <w:rsid w:val="00ED480A"/>
    <w:rsid w:val="00ED4A40"/>
    <w:rsid w:val="00ED4AF9"/>
    <w:rsid w:val="00ED5FDE"/>
    <w:rsid w:val="00ED5FFA"/>
    <w:rsid w:val="00ED72B2"/>
    <w:rsid w:val="00ED77D0"/>
    <w:rsid w:val="00ED7844"/>
    <w:rsid w:val="00ED7AB1"/>
    <w:rsid w:val="00EE0541"/>
    <w:rsid w:val="00EE0B1A"/>
    <w:rsid w:val="00EE0FA5"/>
    <w:rsid w:val="00EE11BB"/>
    <w:rsid w:val="00EE12E9"/>
    <w:rsid w:val="00EE1773"/>
    <w:rsid w:val="00EE1CC0"/>
    <w:rsid w:val="00EE2246"/>
    <w:rsid w:val="00EE22CD"/>
    <w:rsid w:val="00EE27D1"/>
    <w:rsid w:val="00EE2B3B"/>
    <w:rsid w:val="00EE2C39"/>
    <w:rsid w:val="00EE3173"/>
    <w:rsid w:val="00EE31AA"/>
    <w:rsid w:val="00EE3456"/>
    <w:rsid w:val="00EE3563"/>
    <w:rsid w:val="00EE377C"/>
    <w:rsid w:val="00EE37B9"/>
    <w:rsid w:val="00EE3CEC"/>
    <w:rsid w:val="00EE3EA7"/>
    <w:rsid w:val="00EE4168"/>
    <w:rsid w:val="00EE4267"/>
    <w:rsid w:val="00EE42D4"/>
    <w:rsid w:val="00EE4354"/>
    <w:rsid w:val="00EE4689"/>
    <w:rsid w:val="00EE46C3"/>
    <w:rsid w:val="00EE48F1"/>
    <w:rsid w:val="00EE51C3"/>
    <w:rsid w:val="00EE54C5"/>
    <w:rsid w:val="00EE5906"/>
    <w:rsid w:val="00EE5A0B"/>
    <w:rsid w:val="00EE5A14"/>
    <w:rsid w:val="00EE5C6E"/>
    <w:rsid w:val="00EE5DD7"/>
    <w:rsid w:val="00EE5EA8"/>
    <w:rsid w:val="00EE5FEF"/>
    <w:rsid w:val="00EE6124"/>
    <w:rsid w:val="00EE6363"/>
    <w:rsid w:val="00EE6735"/>
    <w:rsid w:val="00EE6ACB"/>
    <w:rsid w:val="00EE6CE0"/>
    <w:rsid w:val="00EE7AAD"/>
    <w:rsid w:val="00EF018A"/>
    <w:rsid w:val="00EF085E"/>
    <w:rsid w:val="00EF0E3A"/>
    <w:rsid w:val="00EF120B"/>
    <w:rsid w:val="00EF13D8"/>
    <w:rsid w:val="00EF16FD"/>
    <w:rsid w:val="00EF1A19"/>
    <w:rsid w:val="00EF1B31"/>
    <w:rsid w:val="00EF1D61"/>
    <w:rsid w:val="00EF231D"/>
    <w:rsid w:val="00EF250D"/>
    <w:rsid w:val="00EF2ABB"/>
    <w:rsid w:val="00EF3F39"/>
    <w:rsid w:val="00EF4038"/>
    <w:rsid w:val="00EF412F"/>
    <w:rsid w:val="00EF464C"/>
    <w:rsid w:val="00EF4F1D"/>
    <w:rsid w:val="00EF5352"/>
    <w:rsid w:val="00EF5412"/>
    <w:rsid w:val="00EF5822"/>
    <w:rsid w:val="00EF585A"/>
    <w:rsid w:val="00EF5CC4"/>
    <w:rsid w:val="00EF6CD6"/>
    <w:rsid w:val="00EF6F15"/>
    <w:rsid w:val="00EF7128"/>
    <w:rsid w:val="00EF7CDA"/>
    <w:rsid w:val="00F007D6"/>
    <w:rsid w:val="00F0085A"/>
    <w:rsid w:val="00F00A60"/>
    <w:rsid w:val="00F012DD"/>
    <w:rsid w:val="00F01B04"/>
    <w:rsid w:val="00F0282A"/>
    <w:rsid w:val="00F02DA9"/>
    <w:rsid w:val="00F0353B"/>
    <w:rsid w:val="00F03A19"/>
    <w:rsid w:val="00F0471C"/>
    <w:rsid w:val="00F0482A"/>
    <w:rsid w:val="00F04CDF"/>
    <w:rsid w:val="00F05247"/>
    <w:rsid w:val="00F054F3"/>
    <w:rsid w:val="00F0555D"/>
    <w:rsid w:val="00F05CA9"/>
    <w:rsid w:val="00F064D0"/>
    <w:rsid w:val="00F06C17"/>
    <w:rsid w:val="00F07A3E"/>
    <w:rsid w:val="00F100F2"/>
    <w:rsid w:val="00F101F8"/>
    <w:rsid w:val="00F108FE"/>
    <w:rsid w:val="00F10921"/>
    <w:rsid w:val="00F10CE2"/>
    <w:rsid w:val="00F10FB5"/>
    <w:rsid w:val="00F110B7"/>
    <w:rsid w:val="00F112CF"/>
    <w:rsid w:val="00F11467"/>
    <w:rsid w:val="00F116F3"/>
    <w:rsid w:val="00F11A55"/>
    <w:rsid w:val="00F11B3A"/>
    <w:rsid w:val="00F11FCF"/>
    <w:rsid w:val="00F1213D"/>
    <w:rsid w:val="00F12225"/>
    <w:rsid w:val="00F1239B"/>
    <w:rsid w:val="00F12415"/>
    <w:rsid w:val="00F12AFC"/>
    <w:rsid w:val="00F13105"/>
    <w:rsid w:val="00F1362B"/>
    <w:rsid w:val="00F142AE"/>
    <w:rsid w:val="00F147E5"/>
    <w:rsid w:val="00F1483A"/>
    <w:rsid w:val="00F14A4C"/>
    <w:rsid w:val="00F14FA5"/>
    <w:rsid w:val="00F15199"/>
    <w:rsid w:val="00F151B2"/>
    <w:rsid w:val="00F15469"/>
    <w:rsid w:val="00F156D3"/>
    <w:rsid w:val="00F15B04"/>
    <w:rsid w:val="00F1690A"/>
    <w:rsid w:val="00F16FE7"/>
    <w:rsid w:val="00F17266"/>
    <w:rsid w:val="00F174EE"/>
    <w:rsid w:val="00F1784B"/>
    <w:rsid w:val="00F203AA"/>
    <w:rsid w:val="00F20691"/>
    <w:rsid w:val="00F209CD"/>
    <w:rsid w:val="00F20CCB"/>
    <w:rsid w:val="00F21683"/>
    <w:rsid w:val="00F22203"/>
    <w:rsid w:val="00F22835"/>
    <w:rsid w:val="00F23BF7"/>
    <w:rsid w:val="00F24073"/>
    <w:rsid w:val="00F245AC"/>
    <w:rsid w:val="00F24842"/>
    <w:rsid w:val="00F24DE4"/>
    <w:rsid w:val="00F250F2"/>
    <w:rsid w:val="00F254F5"/>
    <w:rsid w:val="00F25C87"/>
    <w:rsid w:val="00F26089"/>
    <w:rsid w:val="00F2645A"/>
    <w:rsid w:val="00F267D0"/>
    <w:rsid w:val="00F26858"/>
    <w:rsid w:val="00F2686C"/>
    <w:rsid w:val="00F26A3C"/>
    <w:rsid w:val="00F26F0A"/>
    <w:rsid w:val="00F273C9"/>
    <w:rsid w:val="00F275A3"/>
    <w:rsid w:val="00F27849"/>
    <w:rsid w:val="00F27EA9"/>
    <w:rsid w:val="00F30420"/>
    <w:rsid w:val="00F308F1"/>
    <w:rsid w:val="00F30A3A"/>
    <w:rsid w:val="00F3113E"/>
    <w:rsid w:val="00F3115C"/>
    <w:rsid w:val="00F31640"/>
    <w:rsid w:val="00F320E2"/>
    <w:rsid w:val="00F322F0"/>
    <w:rsid w:val="00F32BBD"/>
    <w:rsid w:val="00F32C0B"/>
    <w:rsid w:val="00F32ED1"/>
    <w:rsid w:val="00F33168"/>
    <w:rsid w:val="00F33AD8"/>
    <w:rsid w:val="00F33EC3"/>
    <w:rsid w:val="00F342EC"/>
    <w:rsid w:val="00F3477D"/>
    <w:rsid w:val="00F347DD"/>
    <w:rsid w:val="00F34868"/>
    <w:rsid w:val="00F35A26"/>
    <w:rsid w:val="00F35C62"/>
    <w:rsid w:val="00F3602F"/>
    <w:rsid w:val="00F36149"/>
    <w:rsid w:val="00F37745"/>
    <w:rsid w:val="00F37D8E"/>
    <w:rsid w:val="00F37DC8"/>
    <w:rsid w:val="00F402E3"/>
    <w:rsid w:val="00F405E4"/>
    <w:rsid w:val="00F40765"/>
    <w:rsid w:val="00F40AC5"/>
    <w:rsid w:val="00F42797"/>
    <w:rsid w:val="00F42C61"/>
    <w:rsid w:val="00F42F24"/>
    <w:rsid w:val="00F43493"/>
    <w:rsid w:val="00F43DCB"/>
    <w:rsid w:val="00F44055"/>
    <w:rsid w:val="00F44280"/>
    <w:rsid w:val="00F446DD"/>
    <w:rsid w:val="00F452EF"/>
    <w:rsid w:val="00F457B8"/>
    <w:rsid w:val="00F459F2"/>
    <w:rsid w:val="00F4636D"/>
    <w:rsid w:val="00F46466"/>
    <w:rsid w:val="00F464F5"/>
    <w:rsid w:val="00F5058C"/>
    <w:rsid w:val="00F512D5"/>
    <w:rsid w:val="00F5131C"/>
    <w:rsid w:val="00F51FC6"/>
    <w:rsid w:val="00F51FCA"/>
    <w:rsid w:val="00F5269D"/>
    <w:rsid w:val="00F52814"/>
    <w:rsid w:val="00F53057"/>
    <w:rsid w:val="00F545BB"/>
    <w:rsid w:val="00F54B69"/>
    <w:rsid w:val="00F5520E"/>
    <w:rsid w:val="00F55332"/>
    <w:rsid w:val="00F55870"/>
    <w:rsid w:val="00F5600E"/>
    <w:rsid w:val="00F560A3"/>
    <w:rsid w:val="00F56A99"/>
    <w:rsid w:val="00F570F7"/>
    <w:rsid w:val="00F57B9B"/>
    <w:rsid w:val="00F60297"/>
    <w:rsid w:val="00F604D9"/>
    <w:rsid w:val="00F605B6"/>
    <w:rsid w:val="00F60B28"/>
    <w:rsid w:val="00F60E97"/>
    <w:rsid w:val="00F60F6E"/>
    <w:rsid w:val="00F60FB6"/>
    <w:rsid w:val="00F6132E"/>
    <w:rsid w:val="00F6148F"/>
    <w:rsid w:val="00F61714"/>
    <w:rsid w:val="00F617B4"/>
    <w:rsid w:val="00F61CE6"/>
    <w:rsid w:val="00F61F3F"/>
    <w:rsid w:val="00F62140"/>
    <w:rsid w:val="00F62466"/>
    <w:rsid w:val="00F62A04"/>
    <w:rsid w:val="00F62C9E"/>
    <w:rsid w:val="00F63ABA"/>
    <w:rsid w:val="00F63FFE"/>
    <w:rsid w:val="00F647A3"/>
    <w:rsid w:val="00F647DD"/>
    <w:rsid w:val="00F64B29"/>
    <w:rsid w:val="00F65416"/>
    <w:rsid w:val="00F6580A"/>
    <w:rsid w:val="00F65914"/>
    <w:rsid w:val="00F65A92"/>
    <w:rsid w:val="00F65B7F"/>
    <w:rsid w:val="00F65C11"/>
    <w:rsid w:val="00F65C42"/>
    <w:rsid w:val="00F66178"/>
    <w:rsid w:val="00F664F7"/>
    <w:rsid w:val="00F6661C"/>
    <w:rsid w:val="00F6670C"/>
    <w:rsid w:val="00F66793"/>
    <w:rsid w:val="00F668D2"/>
    <w:rsid w:val="00F66A3D"/>
    <w:rsid w:val="00F66A7B"/>
    <w:rsid w:val="00F66EB3"/>
    <w:rsid w:val="00F6700A"/>
    <w:rsid w:val="00F6784B"/>
    <w:rsid w:val="00F67BCA"/>
    <w:rsid w:val="00F67DFA"/>
    <w:rsid w:val="00F67F63"/>
    <w:rsid w:val="00F70675"/>
    <w:rsid w:val="00F70FAC"/>
    <w:rsid w:val="00F716C9"/>
    <w:rsid w:val="00F71D71"/>
    <w:rsid w:val="00F71F16"/>
    <w:rsid w:val="00F7229B"/>
    <w:rsid w:val="00F7288F"/>
    <w:rsid w:val="00F72DED"/>
    <w:rsid w:val="00F74751"/>
    <w:rsid w:val="00F74D02"/>
    <w:rsid w:val="00F75449"/>
    <w:rsid w:val="00F75B7D"/>
    <w:rsid w:val="00F7695A"/>
    <w:rsid w:val="00F769BE"/>
    <w:rsid w:val="00F76B52"/>
    <w:rsid w:val="00F76BEF"/>
    <w:rsid w:val="00F76F6A"/>
    <w:rsid w:val="00F76FEB"/>
    <w:rsid w:val="00F76FFA"/>
    <w:rsid w:val="00F77663"/>
    <w:rsid w:val="00F77695"/>
    <w:rsid w:val="00F77F54"/>
    <w:rsid w:val="00F8062C"/>
    <w:rsid w:val="00F80D8E"/>
    <w:rsid w:val="00F80EC0"/>
    <w:rsid w:val="00F8118F"/>
    <w:rsid w:val="00F818CB"/>
    <w:rsid w:val="00F827B7"/>
    <w:rsid w:val="00F82E45"/>
    <w:rsid w:val="00F83152"/>
    <w:rsid w:val="00F83204"/>
    <w:rsid w:val="00F83B96"/>
    <w:rsid w:val="00F83D3C"/>
    <w:rsid w:val="00F83F8C"/>
    <w:rsid w:val="00F8459A"/>
    <w:rsid w:val="00F84837"/>
    <w:rsid w:val="00F8492E"/>
    <w:rsid w:val="00F84A34"/>
    <w:rsid w:val="00F856D5"/>
    <w:rsid w:val="00F85897"/>
    <w:rsid w:val="00F85A91"/>
    <w:rsid w:val="00F85A93"/>
    <w:rsid w:val="00F85DA2"/>
    <w:rsid w:val="00F85F46"/>
    <w:rsid w:val="00F860C3"/>
    <w:rsid w:val="00F8618E"/>
    <w:rsid w:val="00F86755"/>
    <w:rsid w:val="00F869BA"/>
    <w:rsid w:val="00F86E6D"/>
    <w:rsid w:val="00F87124"/>
    <w:rsid w:val="00F87501"/>
    <w:rsid w:val="00F8769A"/>
    <w:rsid w:val="00F87CC1"/>
    <w:rsid w:val="00F87D4C"/>
    <w:rsid w:val="00F87ED3"/>
    <w:rsid w:val="00F9018C"/>
    <w:rsid w:val="00F90504"/>
    <w:rsid w:val="00F91788"/>
    <w:rsid w:val="00F92644"/>
    <w:rsid w:val="00F927C7"/>
    <w:rsid w:val="00F9338F"/>
    <w:rsid w:val="00F93B08"/>
    <w:rsid w:val="00F93FEC"/>
    <w:rsid w:val="00F94599"/>
    <w:rsid w:val="00F94DDD"/>
    <w:rsid w:val="00F94EF9"/>
    <w:rsid w:val="00F956A5"/>
    <w:rsid w:val="00F95767"/>
    <w:rsid w:val="00F95B93"/>
    <w:rsid w:val="00F95CC9"/>
    <w:rsid w:val="00F95EAE"/>
    <w:rsid w:val="00F9660F"/>
    <w:rsid w:val="00F97187"/>
    <w:rsid w:val="00F973C6"/>
    <w:rsid w:val="00F9790A"/>
    <w:rsid w:val="00F97EDC"/>
    <w:rsid w:val="00F97FBE"/>
    <w:rsid w:val="00FA058D"/>
    <w:rsid w:val="00FA06F2"/>
    <w:rsid w:val="00FA0A28"/>
    <w:rsid w:val="00FA10BD"/>
    <w:rsid w:val="00FA1172"/>
    <w:rsid w:val="00FA12B8"/>
    <w:rsid w:val="00FA12D4"/>
    <w:rsid w:val="00FA12F1"/>
    <w:rsid w:val="00FA241F"/>
    <w:rsid w:val="00FA2496"/>
    <w:rsid w:val="00FA28A0"/>
    <w:rsid w:val="00FA2A3C"/>
    <w:rsid w:val="00FA2D61"/>
    <w:rsid w:val="00FA33B2"/>
    <w:rsid w:val="00FA34FF"/>
    <w:rsid w:val="00FA42B6"/>
    <w:rsid w:val="00FA443F"/>
    <w:rsid w:val="00FA4731"/>
    <w:rsid w:val="00FA4782"/>
    <w:rsid w:val="00FA5079"/>
    <w:rsid w:val="00FA560F"/>
    <w:rsid w:val="00FA716F"/>
    <w:rsid w:val="00FA7310"/>
    <w:rsid w:val="00FA732F"/>
    <w:rsid w:val="00FA7A0B"/>
    <w:rsid w:val="00FA7C26"/>
    <w:rsid w:val="00FA7D5E"/>
    <w:rsid w:val="00FB08ED"/>
    <w:rsid w:val="00FB09D3"/>
    <w:rsid w:val="00FB0F27"/>
    <w:rsid w:val="00FB114D"/>
    <w:rsid w:val="00FB15D2"/>
    <w:rsid w:val="00FB1845"/>
    <w:rsid w:val="00FB1B57"/>
    <w:rsid w:val="00FB244A"/>
    <w:rsid w:val="00FB27BE"/>
    <w:rsid w:val="00FB2AEA"/>
    <w:rsid w:val="00FB39D8"/>
    <w:rsid w:val="00FB3AFF"/>
    <w:rsid w:val="00FB3B83"/>
    <w:rsid w:val="00FB3C9F"/>
    <w:rsid w:val="00FB4B17"/>
    <w:rsid w:val="00FB4E1D"/>
    <w:rsid w:val="00FB5AC7"/>
    <w:rsid w:val="00FB5BDD"/>
    <w:rsid w:val="00FB65CE"/>
    <w:rsid w:val="00FB68FA"/>
    <w:rsid w:val="00FB6C10"/>
    <w:rsid w:val="00FB736D"/>
    <w:rsid w:val="00FB752B"/>
    <w:rsid w:val="00FB79D7"/>
    <w:rsid w:val="00FC02D4"/>
    <w:rsid w:val="00FC0406"/>
    <w:rsid w:val="00FC08DC"/>
    <w:rsid w:val="00FC0DEB"/>
    <w:rsid w:val="00FC14FE"/>
    <w:rsid w:val="00FC15A5"/>
    <w:rsid w:val="00FC15DB"/>
    <w:rsid w:val="00FC1732"/>
    <w:rsid w:val="00FC1960"/>
    <w:rsid w:val="00FC1CB8"/>
    <w:rsid w:val="00FC2068"/>
    <w:rsid w:val="00FC290B"/>
    <w:rsid w:val="00FC321A"/>
    <w:rsid w:val="00FC3BA8"/>
    <w:rsid w:val="00FC48BE"/>
    <w:rsid w:val="00FC4B88"/>
    <w:rsid w:val="00FC4DCC"/>
    <w:rsid w:val="00FC4E60"/>
    <w:rsid w:val="00FC56D0"/>
    <w:rsid w:val="00FC5BDD"/>
    <w:rsid w:val="00FC5D01"/>
    <w:rsid w:val="00FC5D70"/>
    <w:rsid w:val="00FC5E1B"/>
    <w:rsid w:val="00FC613C"/>
    <w:rsid w:val="00FC6299"/>
    <w:rsid w:val="00FC73A2"/>
    <w:rsid w:val="00FC789B"/>
    <w:rsid w:val="00FD0835"/>
    <w:rsid w:val="00FD09B9"/>
    <w:rsid w:val="00FD11B4"/>
    <w:rsid w:val="00FD187E"/>
    <w:rsid w:val="00FD1F70"/>
    <w:rsid w:val="00FD2C7E"/>
    <w:rsid w:val="00FD2D64"/>
    <w:rsid w:val="00FD2E27"/>
    <w:rsid w:val="00FD31AC"/>
    <w:rsid w:val="00FD3C3E"/>
    <w:rsid w:val="00FD43DE"/>
    <w:rsid w:val="00FD499B"/>
    <w:rsid w:val="00FD55AF"/>
    <w:rsid w:val="00FD5878"/>
    <w:rsid w:val="00FD5879"/>
    <w:rsid w:val="00FD5E98"/>
    <w:rsid w:val="00FD5F7A"/>
    <w:rsid w:val="00FD65AB"/>
    <w:rsid w:val="00FD65F6"/>
    <w:rsid w:val="00FD7251"/>
    <w:rsid w:val="00FD78C8"/>
    <w:rsid w:val="00FE0269"/>
    <w:rsid w:val="00FE0D99"/>
    <w:rsid w:val="00FE0EFA"/>
    <w:rsid w:val="00FE14CF"/>
    <w:rsid w:val="00FE17A2"/>
    <w:rsid w:val="00FE1C12"/>
    <w:rsid w:val="00FE1D3A"/>
    <w:rsid w:val="00FE20A4"/>
    <w:rsid w:val="00FE2176"/>
    <w:rsid w:val="00FE2444"/>
    <w:rsid w:val="00FE2676"/>
    <w:rsid w:val="00FE2990"/>
    <w:rsid w:val="00FE2ECC"/>
    <w:rsid w:val="00FE3496"/>
    <w:rsid w:val="00FE3ED4"/>
    <w:rsid w:val="00FE41F9"/>
    <w:rsid w:val="00FE469B"/>
    <w:rsid w:val="00FE477A"/>
    <w:rsid w:val="00FE4D9E"/>
    <w:rsid w:val="00FE5547"/>
    <w:rsid w:val="00FE6065"/>
    <w:rsid w:val="00FE6208"/>
    <w:rsid w:val="00FE649B"/>
    <w:rsid w:val="00FE6699"/>
    <w:rsid w:val="00FE6873"/>
    <w:rsid w:val="00FE68C9"/>
    <w:rsid w:val="00FE6A46"/>
    <w:rsid w:val="00FE6E5A"/>
    <w:rsid w:val="00FE70D0"/>
    <w:rsid w:val="00FE7309"/>
    <w:rsid w:val="00FE73D2"/>
    <w:rsid w:val="00FE75FD"/>
    <w:rsid w:val="00FE79DC"/>
    <w:rsid w:val="00FE7C8A"/>
    <w:rsid w:val="00FF008C"/>
    <w:rsid w:val="00FF0390"/>
    <w:rsid w:val="00FF0851"/>
    <w:rsid w:val="00FF0C96"/>
    <w:rsid w:val="00FF0D30"/>
    <w:rsid w:val="00FF0DEE"/>
    <w:rsid w:val="00FF166D"/>
    <w:rsid w:val="00FF1C1F"/>
    <w:rsid w:val="00FF1D01"/>
    <w:rsid w:val="00FF1F16"/>
    <w:rsid w:val="00FF1FC6"/>
    <w:rsid w:val="00FF2190"/>
    <w:rsid w:val="00FF2931"/>
    <w:rsid w:val="00FF2D12"/>
    <w:rsid w:val="00FF30E2"/>
    <w:rsid w:val="00FF3AA3"/>
    <w:rsid w:val="00FF3F18"/>
    <w:rsid w:val="00FF4263"/>
    <w:rsid w:val="00FF45A4"/>
    <w:rsid w:val="00FF4611"/>
    <w:rsid w:val="00FF5C80"/>
    <w:rsid w:val="00FF5EB9"/>
    <w:rsid w:val="00FF6398"/>
    <w:rsid w:val="00FF72D4"/>
    <w:rsid w:val="00FF73EF"/>
    <w:rsid w:val="00FF7482"/>
    <w:rsid w:val="00FF78A3"/>
    <w:rsid w:val="00FF7AB7"/>
    <w:rsid w:val="00FF7B24"/>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513129"/>
  <w15:docId w15:val="{5745EE11-E271-4494-A403-3F52FD397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DAE"/>
    <w:rPr>
      <w:rFonts w:ascii="Verdana" w:eastAsia="Batang" w:hAnsi="Verdana" w:cs="Times"/>
      <w:sz w:val="20"/>
      <w:szCs w:val="24"/>
      <w:lang w:val="es-ES_tradnl"/>
    </w:rPr>
  </w:style>
  <w:style w:type="paragraph" w:styleId="Ttulo1">
    <w:name w:val="heading 1"/>
    <w:basedOn w:val="Normal"/>
    <w:next w:val="Normal"/>
    <w:link w:val="Ttulo1Car"/>
    <w:uiPriority w:val="9"/>
    <w:qFormat/>
    <w:rsid w:val="00361F46"/>
    <w:pPr>
      <w:keepNext/>
      <w:keepLines/>
      <w:spacing w:before="240" w:after="240"/>
      <w:jc w:val="center"/>
      <w:outlineLvl w:val="0"/>
    </w:pPr>
    <w:rPr>
      <w:rFonts w:eastAsiaTheme="majorEastAsia" w:cstheme="majorBidi"/>
      <w:b/>
      <w:bCs/>
      <w:szCs w:val="28"/>
    </w:rPr>
  </w:style>
  <w:style w:type="paragraph" w:styleId="Ttulo2">
    <w:name w:val="heading 2"/>
    <w:basedOn w:val="Normal"/>
    <w:next w:val="Normal"/>
    <w:link w:val="Ttulo2Car"/>
    <w:uiPriority w:val="1"/>
    <w:unhideWhenUsed/>
    <w:qFormat/>
    <w:rsid w:val="00361F46"/>
    <w:pPr>
      <w:keepNext/>
      <w:keepLines/>
      <w:spacing w:before="240" w:after="240"/>
      <w:outlineLvl w:val="1"/>
    </w:pPr>
    <w:rPr>
      <w:rFonts w:eastAsiaTheme="majorEastAsia" w:cstheme="majorBidi"/>
      <w:b/>
      <w:bCs/>
      <w:i/>
      <w:szCs w:val="26"/>
    </w:rPr>
  </w:style>
  <w:style w:type="paragraph" w:styleId="Ttulo3">
    <w:name w:val="heading 3"/>
    <w:basedOn w:val="Normal"/>
    <w:next w:val="Normal"/>
    <w:link w:val="Ttulo3Car"/>
    <w:uiPriority w:val="9"/>
    <w:unhideWhenUsed/>
    <w:qFormat/>
    <w:rsid w:val="00361F46"/>
    <w:pPr>
      <w:keepNext/>
      <w:keepLines/>
      <w:spacing w:before="240" w:after="240"/>
      <w:ind w:left="709"/>
      <w:jc w:val="left"/>
      <w:outlineLvl w:val="2"/>
    </w:pPr>
    <w:rPr>
      <w:rFonts w:eastAsiaTheme="majorEastAsia" w:cstheme="majorBidi"/>
      <w:b/>
      <w:bCs/>
    </w:rPr>
  </w:style>
  <w:style w:type="paragraph" w:styleId="Ttulo4">
    <w:name w:val="heading 4"/>
    <w:basedOn w:val="Normal"/>
    <w:next w:val="Normal"/>
    <w:link w:val="Ttulo4Car"/>
    <w:unhideWhenUsed/>
    <w:qFormat/>
    <w:rsid w:val="003F08F4"/>
    <w:pPr>
      <w:keepNext/>
      <w:keepLines/>
      <w:numPr>
        <w:ilvl w:val="1"/>
        <w:numId w:val="12"/>
      </w:numPr>
      <w:spacing w:before="240" w:after="240"/>
      <w:outlineLvl w:val="3"/>
    </w:pPr>
    <w:rPr>
      <w:rFonts w:eastAsiaTheme="majorEastAsia" w:cstheme="majorBidi"/>
      <w:bCs/>
      <w:i/>
      <w:iCs/>
    </w:rPr>
  </w:style>
  <w:style w:type="paragraph" w:styleId="Ttulo5">
    <w:name w:val="heading 5"/>
    <w:basedOn w:val="Normal"/>
    <w:next w:val="Normal"/>
    <w:link w:val="Ttulo5Car"/>
    <w:uiPriority w:val="9"/>
    <w:unhideWhenUsed/>
    <w:qFormat/>
    <w:rsid w:val="00FF3F18"/>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Ttulo5"/>
    <w:next w:val="Normal"/>
    <w:link w:val="Ttulo6Car"/>
    <w:uiPriority w:val="9"/>
    <w:unhideWhenUsed/>
    <w:qFormat/>
    <w:rsid w:val="00FF3F18"/>
    <w:pPr>
      <w:keepNext w:val="0"/>
      <w:keepLines w:val="0"/>
      <w:tabs>
        <w:tab w:val="num" w:pos="3600"/>
      </w:tabs>
      <w:spacing w:before="0"/>
      <w:ind w:left="3600" w:hanging="360"/>
      <w:outlineLvl w:val="5"/>
    </w:pPr>
    <w:rPr>
      <w:rFonts w:ascii="Verdana" w:eastAsia="Times New Roman" w:hAnsi="Verdana" w:cs="Times New Roman"/>
      <w:color w:val="auto"/>
      <w:spacing w:val="-2"/>
      <w:szCs w:val="20"/>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99"/>
    <w:qFormat/>
    <w:rsid w:val="00C10DAE"/>
    <w:pPr>
      <w:jc w:val="center"/>
    </w:pPr>
    <w:rPr>
      <w:rFonts w:eastAsia="Times New Roman" w:cs="Times New Roman"/>
      <w:b/>
      <w:szCs w:val="20"/>
    </w:rPr>
  </w:style>
  <w:style w:type="character" w:customStyle="1" w:styleId="TtuloCar">
    <w:name w:val="Título Car"/>
    <w:basedOn w:val="Fuentedeprrafopredeter"/>
    <w:link w:val="Ttulo"/>
    <w:uiPriority w:val="99"/>
    <w:rsid w:val="00C10DAE"/>
    <w:rPr>
      <w:rFonts w:ascii="Verdana" w:eastAsia="Times New Roman" w:hAnsi="Verdana" w:cs="Times New Roman"/>
      <w:b/>
      <w:noProof/>
      <w:sz w:val="20"/>
      <w:szCs w:val="20"/>
      <w:lang w:val="es-ES_tradnl"/>
    </w:rPr>
  </w:style>
  <w:style w:type="paragraph" w:styleId="Subttulo">
    <w:name w:val="Subtitle"/>
    <w:basedOn w:val="Normal"/>
    <w:next w:val="Normal"/>
    <w:link w:val="SubttuloCar"/>
    <w:qFormat/>
    <w:rsid w:val="00C10DAE"/>
    <w:pPr>
      <w:numPr>
        <w:ilvl w:val="1"/>
      </w:numPr>
      <w:jc w:val="center"/>
    </w:pPr>
    <w:rPr>
      <w:rFonts w:eastAsia="Times New Roman" w:cs="Times New Roman"/>
      <w:b/>
      <w:i/>
      <w:iCs/>
      <w:spacing w:val="15"/>
    </w:rPr>
  </w:style>
  <w:style w:type="character" w:customStyle="1" w:styleId="SubttuloCar">
    <w:name w:val="Subtítulo Car"/>
    <w:basedOn w:val="Fuentedeprrafopredeter"/>
    <w:link w:val="Subttulo"/>
    <w:rsid w:val="00C10DAE"/>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C10DAE"/>
    <w:pPr>
      <w:ind w:left="708"/>
    </w:pPr>
    <w:rPr>
      <w:rFonts w:eastAsia="Times New Roman" w:cs="Times New Roman"/>
      <w:szCs w:val="20"/>
    </w:rPr>
  </w:style>
  <w:style w:type="paragraph" w:styleId="Prrafodelista">
    <w:name w:val="List Paragraph"/>
    <w:aliases w:val="Footnote,List Paragraph1,Colorful List - Accent 11,Párrafo de lista1,List Paragraph2,Lista vistosa - Énfasis 11,Subtle Emphasis1,Footnote1,Parrafos,List Paragraph11"/>
    <w:basedOn w:val="Normal"/>
    <w:link w:val="PrrafodelistaCar"/>
    <w:uiPriority w:val="34"/>
    <w:qFormat/>
    <w:rsid w:val="00C10DAE"/>
    <w:pPr>
      <w:ind w:left="720"/>
      <w:contextualSpacing/>
    </w:p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qFormat/>
    <w:rsid w:val="00C10DAE"/>
    <w:rPr>
      <w:rFonts w:cs="Times New Roman"/>
      <w:szCs w:val="20"/>
      <w:vertAlign w:val="superscript"/>
    </w:rPr>
  </w:style>
  <w:style w:type="paragraph" w:styleId="Textonotapie">
    <w:name w:val="footnote text"/>
    <w:aliases w:val="2. Footnote Text,Footnote Tesina,FA Fu,Footnote Text Char Char Char Char Char,Footnote Text Char Char Char Char,Footnote reference,Footnote Text Char Char Char,Footnote Text Cha,FA Fußnotentext,FA Fuﬂnotentext,Ca,C,ft,5,footnote text,Car"/>
    <w:basedOn w:val="Normal"/>
    <w:link w:val="TextonotapieCar2"/>
    <w:unhideWhenUsed/>
    <w:qFormat/>
    <w:rsid w:val="00B53CA0"/>
    <w:pPr>
      <w:spacing w:before="120" w:after="120"/>
    </w:pPr>
    <w:rPr>
      <w:sz w:val="16"/>
      <w:szCs w:val="20"/>
    </w:rPr>
  </w:style>
  <w:style w:type="character" w:customStyle="1" w:styleId="TextonotapieCar">
    <w:name w:val="Texto nota pie Car"/>
    <w:aliases w:val="FA Fuﬂnotentext Car,FA Fu?notente Car,Ca Car,Texto nota pie Car1,Footnote Text Char Char Char Char Char Car1,Footnote Text Char Char Char Char Car1,Footnote reference Car1,FA Fu Car1,Footnote Text Char Char Char Car1,C Car,Car Car"/>
    <w:basedOn w:val="Fuentedeprrafopredeter"/>
    <w:qFormat/>
    <w:rsid w:val="00C10DAE"/>
    <w:rPr>
      <w:rFonts w:ascii="Verdana" w:eastAsia="Batang" w:hAnsi="Verdana" w:cs="Times"/>
      <w:noProof/>
      <w:sz w:val="20"/>
      <w:szCs w:val="20"/>
      <w:lang w:val="es-ES_tradnl"/>
    </w:rPr>
  </w:style>
  <w:style w:type="character" w:customStyle="1" w:styleId="TextonotapieCar2">
    <w:name w:val="Texto nota pie Car2"/>
    <w:aliases w:val="2. Footnote Text Car,Footnote Tesina Car,FA Fu Car,Footnote Text Char Char Char Char Char Car,Footnote Text Char Char Char Char Car,Footnote reference Car,Footnote Text Char Char Char Car,Footnote Text Cha Car,FA Fußnotentext Car"/>
    <w:basedOn w:val="Fuentedeprrafopredeter"/>
    <w:link w:val="Textonotapie"/>
    <w:uiPriority w:val="99"/>
    <w:qFormat/>
    <w:rsid w:val="00B53CA0"/>
    <w:rPr>
      <w:rFonts w:ascii="Verdana" w:eastAsia="Batang" w:hAnsi="Verdana" w:cs="Times"/>
      <w:noProof/>
      <w:sz w:val="16"/>
      <w:szCs w:val="20"/>
      <w:lang w:val="es-ES_tradnl"/>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Parrafos Car,List Paragraph11 Car"/>
    <w:basedOn w:val="Fuentedeprrafopredeter"/>
    <w:link w:val="Prrafodelista"/>
    <w:uiPriority w:val="34"/>
    <w:locked/>
    <w:rsid w:val="00C10DAE"/>
    <w:rPr>
      <w:rFonts w:ascii="Verdana" w:eastAsia="Batang" w:hAnsi="Verdana" w:cs="Times"/>
      <w:noProof/>
      <w:sz w:val="20"/>
      <w:szCs w:val="24"/>
      <w:lang w:val="es-ES_tradnl"/>
    </w:rPr>
  </w:style>
  <w:style w:type="paragraph" w:customStyle="1" w:styleId="Estilo1">
    <w:name w:val="Estilo1"/>
    <w:basedOn w:val="Normal"/>
    <w:link w:val="Estilo1Car"/>
    <w:qFormat/>
    <w:rsid w:val="00C10DAE"/>
    <w:pPr>
      <w:spacing w:after="120"/>
      <w:ind w:left="2018" w:right="6" w:hanging="180"/>
    </w:pPr>
    <w:rPr>
      <w:i/>
    </w:rPr>
  </w:style>
  <w:style w:type="character" w:customStyle="1" w:styleId="Estilo1Car">
    <w:name w:val="Estilo1 Car"/>
    <w:basedOn w:val="Fuentedeprrafopredeter"/>
    <w:link w:val="Estilo1"/>
    <w:rsid w:val="00C10DAE"/>
    <w:rPr>
      <w:rFonts w:ascii="Verdana" w:eastAsia="Batang" w:hAnsi="Verdana" w:cs="Times"/>
      <w:i/>
      <w:noProof/>
      <w:sz w:val="20"/>
      <w:szCs w:val="24"/>
      <w:lang w:val="es-ES_tradnl"/>
    </w:rPr>
  </w:style>
  <w:style w:type="character" w:customStyle="1" w:styleId="Ttulo1Car">
    <w:name w:val="Título 1 Car"/>
    <w:basedOn w:val="Fuentedeprrafopredeter"/>
    <w:link w:val="Ttulo1"/>
    <w:uiPriority w:val="9"/>
    <w:rsid w:val="00361F46"/>
    <w:rPr>
      <w:rFonts w:ascii="Verdana" w:eastAsiaTheme="majorEastAsia" w:hAnsi="Verdana" w:cstheme="majorBidi"/>
      <w:b/>
      <w:bCs/>
      <w:noProof/>
      <w:sz w:val="20"/>
      <w:szCs w:val="28"/>
      <w:lang w:val="es-ES_tradnl"/>
    </w:rPr>
  </w:style>
  <w:style w:type="paragraph" w:styleId="TtuloTDC">
    <w:name w:val="TOC Heading"/>
    <w:basedOn w:val="Ttulo1"/>
    <w:next w:val="Normal"/>
    <w:uiPriority w:val="39"/>
    <w:unhideWhenUsed/>
    <w:qFormat/>
    <w:rsid w:val="00C10DAE"/>
    <w:pPr>
      <w:spacing w:after="0" w:line="276" w:lineRule="auto"/>
      <w:jc w:val="left"/>
      <w:outlineLvl w:val="9"/>
    </w:pPr>
    <w:rPr>
      <w:rFonts w:asciiTheme="majorHAnsi" w:hAnsiTheme="majorHAnsi"/>
      <w:color w:val="365F91" w:themeColor="accent1" w:themeShade="BF"/>
      <w:sz w:val="28"/>
      <w:lang w:val="es-CR" w:eastAsia="es-CR"/>
    </w:rPr>
  </w:style>
  <w:style w:type="paragraph" w:styleId="TDC1">
    <w:name w:val="toc 1"/>
    <w:basedOn w:val="Normal"/>
    <w:next w:val="Normal"/>
    <w:autoRedefine/>
    <w:uiPriority w:val="39"/>
    <w:unhideWhenUsed/>
    <w:rsid w:val="00FA7C26"/>
    <w:pPr>
      <w:tabs>
        <w:tab w:val="right" w:leader="dot" w:pos="10070"/>
      </w:tabs>
      <w:ind w:left="180"/>
      <w:jc w:val="left"/>
    </w:pPr>
    <w:rPr>
      <w:b/>
      <w:sz w:val="18"/>
    </w:rPr>
  </w:style>
  <w:style w:type="character" w:styleId="Hipervnculo">
    <w:name w:val="Hyperlink"/>
    <w:basedOn w:val="Fuentedeprrafopredeter"/>
    <w:uiPriority w:val="99"/>
    <w:unhideWhenUsed/>
    <w:rsid w:val="00C10DAE"/>
    <w:rPr>
      <w:color w:val="0000FF" w:themeColor="hyperlink"/>
      <w:u w:val="single"/>
    </w:rPr>
  </w:style>
  <w:style w:type="paragraph" w:styleId="Textodeglobo">
    <w:name w:val="Balloon Text"/>
    <w:basedOn w:val="Normal"/>
    <w:link w:val="TextodegloboCar"/>
    <w:uiPriority w:val="99"/>
    <w:semiHidden/>
    <w:unhideWhenUsed/>
    <w:rsid w:val="00C10DAE"/>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0DAE"/>
    <w:rPr>
      <w:rFonts w:ascii="Tahoma" w:eastAsia="Batang" w:hAnsi="Tahoma" w:cs="Tahoma"/>
      <w:noProof/>
      <w:sz w:val="16"/>
      <w:szCs w:val="16"/>
      <w:lang w:val="es-ES_tradnl"/>
    </w:rPr>
  </w:style>
  <w:style w:type="paragraph" w:customStyle="1" w:styleId="Footnotes">
    <w:name w:val="**. Footnotes"/>
    <w:basedOn w:val="Textonotapie"/>
    <w:link w:val="FootnotesChar"/>
    <w:autoRedefine/>
    <w:qFormat/>
    <w:rsid w:val="00296C50"/>
    <w:pPr>
      <w:jc w:val="center"/>
    </w:pPr>
    <w:rPr>
      <w:rFonts w:eastAsia="Times New Roman" w:cs="Times New Roman"/>
      <w:b/>
      <w:bCs/>
      <w:iCs/>
      <w:sz w:val="20"/>
      <w:szCs w:val="16"/>
      <w:lang w:val="es-ES" w:eastAsia="x-none"/>
    </w:rPr>
  </w:style>
  <w:style w:type="character" w:customStyle="1" w:styleId="FootnotesChar">
    <w:name w:val="**. Footnotes Char"/>
    <w:link w:val="Footnotes"/>
    <w:rsid w:val="00296C50"/>
    <w:rPr>
      <w:rFonts w:ascii="Verdana" w:eastAsia="Times New Roman" w:hAnsi="Verdana" w:cs="Times New Roman"/>
      <w:b/>
      <w:bCs/>
      <w:iCs/>
      <w:sz w:val="20"/>
      <w:szCs w:val="16"/>
      <w:lang w:val="es-ES" w:eastAsia="x-none"/>
    </w:rPr>
  </w:style>
  <w:style w:type="character" w:customStyle="1" w:styleId="Ttulo2Car">
    <w:name w:val="Título 2 Car"/>
    <w:basedOn w:val="Fuentedeprrafopredeter"/>
    <w:link w:val="Ttulo2"/>
    <w:uiPriority w:val="9"/>
    <w:rsid w:val="00361F46"/>
    <w:rPr>
      <w:rFonts w:ascii="Verdana" w:eastAsiaTheme="majorEastAsia" w:hAnsi="Verdana" w:cstheme="majorBidi"/>
      <w:b/>
      <w:bCs/>
      <w:i/>
      <w:noProof/>
      <w:sz w:val="20"/>
      <w:szCs w:val="26"/>
      <w:lang w:val="es-ES_tradnl"/>
    </w:rPr>
  </w:style>
  <w:style w:type="paragraph" w:styleId="TDC2">
    <w:name w:val="toc 2"/>
    <w:basedOn w:val="Normal"/>
    <w:next w:val="Normal"/>
    <w:autoRedefine/>
    <w:uiPriority w:val="39"/>
    <w:unhideWhenUsed/>
    <w:rsid w:val="00E0176D"/>
    <w:pPr>
      <w:tabs>
        <w:tab w:val="right" w:leader="dot" w:pos="10070"/>
      </w:tabs>
      <w:ind w:left="142"/>
      <w:contextualSpacing/>
    </w:pPr>
    <w:rPr>
      <w:smallCaps/>
      <w:sz w:val="18"/>
    </w:rPr>
  </w:style>
  <w:style w:type="paragraph" w:styleId="Encabezado">
    <w:name w:val="header"/>
    <w:aliases w:val="encabezado"/>
    <w:basedOn w:val="Normal"/>
    <w:link w:val="EncabezadoCar"/>
    <w:uiPriority w:val="99"/>
    <w:unhideWhenUsed/>
    <w:rsid w:val="00341083"/>
    <w:pPr>
      <w:tabs>
        <w:tab w:val="center" w:pos="4419"/>
        <w:tab w:val="right" w:pos="8838"/>
      </w:tabs>
      <w:spacing w:before="0" w:after="0"/>
    </w:pPr>
  </w:style>
  <w:style w:type="character" w:customStyle="1" w:styleId="EncabezadoCar">
    <w:name w:val="Encabezado Car"/>
    <w:aliases w:val="encabezado Car"/>
    <w:basedOn w:val="Fuentedeprrafopredeter"/>
    <w:link w:val="Encabezado"/>
    <w:uiPriority w:val="99"/>
    <w:rsid w:val="00341083"/>
    <w:rPr>
      <w:rFonts w:ascii="Verdana" w:eastAsia="Batang" w:hAnsi="Verdana" w:cs="Times"/>
      <w:noProof/>
      <w:sz w:val="20"/>
      <w:szCs w:val="24"/>
      <w:lang w:val="es-ES_tradnl"/>
    </w:rPr>
  </w:style>
  <w:style w:type="paragraph" w:styleId="Piedepgina">
    <w:name w:val="footer"/>
    <w:basedOn w:val="Normal"/>
    <w:link w:val="PiedepginaCar"/>
    <w:uiPriority w:val="99"/>
    <w:unhideWhenUsed/>
    <w:rsid w:val="0034108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341083"/>
    <w:rPr>
      <w:rFonts w:ascii="Verdana" w:eastAsia="Batang" w:hAnsi="Verdana" w:cs="Times"/>
      <w:noProof/>
      <w:sz w:val="20"/>
      <w:szCs w:val="24"/>
      <w:lang w:val="es-ES_tradnl"/>
    </w:rPr>
  </w:style>
  <w:style w:type="character" w:styleId="Nmerodelnea">
    <w:name w:val="line number"/>
    <w:basedOn w:val="Fuentedeprrafopredeter"/>
    <w:uiPriority w:val="99"/>
    <w:semiHidden/>
    <w:unhideWhenUsed/>
    <w:rsid w:val="00341083"/>
  </w:style>
  <w:style w:type="paragraph" w:customStyle="1" w:styleId="PrrafodeSentencia">
    <w:name w:val="*. Párrafo de Sentencia"/>
    <w:basedOn w:val="Textonotapie"/>
    <w:link w:val="PrrafodeSentenciaChar"/>
    <w:autoRedefine/>
    <w:qFormat/>
    <w:rsid w:val="00983DF7"/>
    <w:pPr>
      <w:spacing w:before="0" w:after="0"/>
    </w:pPr>
    <w:rPr>
      <w:rFonts w:eastAsia="Times New Roman" w:cs="Times New Roman"/>
      <w:bCs/>
      <w:sz w:val="20"/>
      <w:lang w:val="es-CR" w:eastAsia="es-ES"/>
    </w:rPr>
  </w:style>
  <w:style w:type="paragraph" w:customStyle="1" w:styleId="Default">
    <w:name w:val="Default"/>
    <w:rsid w:val="00E9306E"/>
    <w:pPr>
      <w:autoSpaceDE w:val="0"/>
      <w:autoSpaceDN w:val="0"/>
      <w:adjustRightInd w:val="0"/>
      <w:spacing w:before="0" w:after="0"/>
      <w:jc w:val="left"/>
    </w:pPr>
    <w:rPr>
      <w:rFonts w:ascii="Arial Narrow" w:hAnsi="Arial Narrow" w:cs="Arial Narrow"/>
      <w:color w:val="000000"/>
      <w:sz w:val="24"/>
      <w:szCs w:val="24"/>
    </w:rPr>
  </w:style>
  <w:style w:type="character" w:customStyle="1" w:styleId="Ttulo3Car">
    <w:name w:val="Título 3 Car"/>
    <w:basedOn w:val="Fuentedeprrafopredeter"/>
    <w:link w:val="Ttulo3"/>
    <w:uiPriority w:val="9"/>
    <w:rsid w:val="00361F46"/>
    <w:rPr>
      <w:rFonts w:ascii="Verdana" w:eastAsiaTheme="majorEastAsia" w:hAnsi="Verdana" w:cstheme="majorBidi"/>
      <w:b/>
      <w:bCs/>
      <w:noProof/>
      <w:sz w:val="20"/>
      <w:szCs w:val="24"/>
      <w:lang w:val="es-ES_tradnl"/>
    </w:rPr>
  </w:style>
  <w:style w:type="character" w:styleId="Textoennegrita">
    <w:name w:val="Strong"/>
    <w:aliases w:val="Heading 2.1"/>
    <w:uiPriority w:val="22"/>
    <w:qFormat/>
    <w:rsid w:val="00F77695"/>
    <w:rPr>
      <w:b/>
      <w:bCs/>
    </w:rPr>
  </w:style>
  <w:style w:type="paragraph" w:customStyle="1" w:styleId="Estilo2">
    <w:name w:val="Estilo2"/>
    <w:basedOn w:val="Normal"/>
    <w:qFormat/>
    <w:rsid w:val="00676763"/>
    <w:pPr>
      <w:tabs>
        <w:tab w:val="left" w:pos="567"/>
        <w:tab w:val="left" w:pos="1134"/>
        <w:tab w:val="num" w:pos="4767"/>
      </w:tabs>
      <w:spacing w:before="0"/>
      <w:ind w:firstLine="357"/>
    </w:pPr>
    <w:rPr>
      <w:rFonts w:eastAsia="Calibri" w:cs="Times New Roman"/>
      <w:szCs w:val="20"/>
      <w:lang w:val="x-none" w:eastAsia="x-none"/>
    </w:rPr>
  </w:style>
  <w:style w:type="character" w:customStyle="1" w:styleId="Ttulo6Car">
    <w:name w:val="Título 6 Car"/>
    <w:basedOn w:val="Fuentedeprrafopredeter"/>
    <w:link w:val="Ttulo6"/>
    <w:uiPriority w:val="9"/>
    <w:rsid w:val="00FF3F18"/>
    <w:rPr>
      <w:rFonts w:ascii="Verdana" w:eastAsia="Times New Roman" w:hAnsi="Verdana" w:cs="Times New Roman"/>
      <w:spacing w:val="-2"/>
      <w:sz w:val="20"/>
      <w:szCs w:val="20"/>
      <w:lang w:val="es-ES_tradnl" w:eastAsia="es-CR"/>
    </w:rPr>
  </w:style>
  <w:style w:type="character" w:customStyle="1" w:styleId="Ttulo5Car">
    <w:name w:val="Título 5 Car"/>
    <w:basedOn w:val="Fuentedeprrafopredeter"/>
    <w:link w:val="Ttulo5"/>
    <w:uiPriority w:val="9"/>
    <w:rsid w:val="00FF3F18"/>
    <w:rPr>
      <w:rFonts w:asciiTheme="majorHAnsi" w:eastAsiaTheme="majorEastAsia" w:hAnsiTheme="majorHAnsi" w:cstheme="majorBidi"/>
      <w:noProof/>
      <w:color w:val="243F60" w:themeColor="accent1" w:themeShade="7F"/>
      <w:sz w:val="20"/>
      <w:szCs w:val="24"/>
      <w:lang w:val="es-ES_tradnl"/>
    </w:rPr>
  </w:style>
  <w:style w:type="character" w:customStyle="1" w:styleId="PrrafodeSentenciaChar">
    <w:name w:val="*. Párrafo de Sentencia Char"/>
    <w:basedOn w:val="Fuentedeprrafopredeter"/>
    <w:link w:val="PrrafodeSentencia"/>
    <w:rsid w:val="00983DF7"/>
    <w:rPr>
      <w:rFonts w:ascii="Verdana" w:eastAsia="Times New Roman" w:hAnsi="Verdana" w:cs="Times New Roman"/>
      <w:bCs/>
      <w:sz w:val="20"/>
      <w:szCs w:val="20"/>
      <w:lang w:eastAsia="es-ES"/>
    </w:rPr>
  </w:style>
  <w:style w:type="character" w:customStyle="1" w:styleId="apple-converted-space">
    <w:name w:val="apple-converted-space"/>
    <w:basedOn w:val="Fuentedeprrafopredeter"/>
    <w:rsid w:val="008E393A"/>
  </w:style>
  <w:style w:type="character" w:styleId="Refdecomentario">
    <w:name w:val="annotation reference"/>
    <w:basedOn w:val="Fuentedeprrafopredeter"/>
    <w:uiPriority w:val="99"/>
    <w:semiHidden/>
    <w:unhideWhenUsed/>
    <w:rsid w:val="00313428"/>
    <w:rPr>
      <w:sz w:val="16"/>
      <w:szCs w:val="16"/>
    </w:rPr>
  </w:style>
  <w:style w:type="paragraph" w:styleId="Textocomentario">
    <w:name w:val="annotation text"/>
    <w:basedOn w:val="Normal"/>
    <w:link w:val="TextocomentarioCar"/>
    <w:uiPriority w:val="99"/>
    <w:unhideWhenUsed/>
    <w:rsid w:val="00313428"/>
    <w:rPr>
      <w:szCs w:val="20"/>
    </w:rPr>
  </w:style>
  <w:style w:type="character" w:customStyle="1" w:styleId="TextocomentarioCar">
    <w:name w:val="Texto comentario Car"/>
    <w:basedOn w:val="Fuentedeprrafopredeter"/>
    <w:link w:val="Textocomentario"/>
    <w:uiPriority w:val="99"/>
    <w:rsid w:val="00313428"/>
    <w:rPr>
      <w:rFonts w:ascii="Verdana" w:eastAsia="Batang" w:hAnsi="Verdana" w:cs="Times"/>
      <w:noProof/>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313428"/>
    <w:rPr>
      <w:b/>
      <w:bCs/>
    </w:rPr>
  </w:style>
  <w:style w:type="character" w:customStyle="1" w:styleId="AsuntodelcomentarioCar">
    <w:name w:val="Asunto del comentario Car"/>
    <w:basedOn w:val="TextocomentarioCar"/>
    <w:link w:val="Asuntodelcomentario"/>
    <w:uiPriority w:val="99"/>
    <w:semiHidden/>
    <w:rsid w:val="00313428"/>
    <w:rPr>
      <w:rFonts w:ascii="Verdana" w:eastAsia="Batang" w:hAnsi="Verdana" w:cs="Times"/>
      <w:b/>
      <w:bCs/>
      <w:noProof/>
      <w:sz w:val="20"/>
      <w:szCs w:val="20"/>
      <w:lang w:val="es-ES_tradnl"/>
    </w:rPr>
  </w:style>
  <w:style w:type="paragraph" w:styleId="TDC3">
    <w:name w:val="toc 3"/>
    <w:basedOn w:val="Normal"/>
    <w:next w:val="Normal"/>
    <w:autoRedefine/>
    <w:uiPriority w:val="39"/>
    <w:unhideWhenUsed/>
    <w:rsid w:val="0044009A"/>
    <w:pPr>
      <w:spacing w:after="0"/>
      <w:ind w:left="425" w:right="57"/>
      <w:contextualSpacing/>
    </w:pPr>
    <w:rPr>
      <w:sz w:val="18"/>
    </w:rPr>
  </w:style>
  <w:style w:type="paragraph" w:customStyle="1" w:styleId="2Footnotes">
    <w:name w:val="2. Footnotes"/>
    <w:basedOn w:val="Textonotapie"/>
    <w:link w:val="2FootnotesChar"/>
    <w:autoRedefine/>
    <w:qFormat/>
    <w:rsid w:val="00EA522E"/>
    <w:rPr>
      <w:rFonts w:cs="Palatino-Italic"/>
      <w:iCs/>
      <w:szCs w:val="16"/>
      <w:lang w:val="es-ES"/>
    </w:rPr>
  </w:style>
  <w:style w:type="character" w:customStyle="1" w:styleId="2FootnotesChar">
    <w:name w:val="2. Footnotes Char"/>
    <w:link w:val="2Footnotes"/>
    <w:rsid w:val="00EA522E"/>
    <w:rPr>
      <w:rFonts w:ascii="Verdana" w:eastAsia="Batang" w:hAnsi="Verdana" w:cs="Palatino-Italic"/>
      <w:iCs/>
      <w:sz w:val="16"/>
      <w:szCs w:val="16"/>
      <w:lang w:val="es-ES"/>
    </w:rPr>
  </w:style>
  <w:style w:type="paragraph" w:styleId="NormalWeb">
    <w:name w:val="Normal (Web)"/>
    <w:basedOn w:val="Normal"/>
    <w:uiPriority w:val="99"/>
    <w:unhideWhenUsed/>
    <w:rsid w:val="00551739"/>
    <w:pPr>
      <w:spacing w:before="100" w:beforeAutospacing="1" w:after="100" w:afterAutospacing="1"/>
      <w:jc w:val="left"/>
    </w:pPr>
    <w:rPr>
      <w:rFonts w:ascii="Times New Roman" w:eastAsia="Times New Roman" w:hAnsi="Times New Roman" w:cs="Times New Roman"/>
      <w:sz w:val="24"/>
      <w:lang w:val="es-CR" w:eastAsia="es-CR"/>
    </w:rPr>
  </w:style>
  <w:style w:type="character" w:customStyle="1" w:styleId="Ttulo4Car">
    <w:name w:val="Título 4 Car"/>
    <w:basedOn w:val="Fuentedeprrafopredeter"/>
    <w:link w:val="Ttulo4"/>
    <w:rsid w:val="003F08F4"/>
    <w:rPr>
      <w:rFonts w:ascii="Verdana" w:eastAsiaTheme="majorEastAsia" w:hAnsi="Verdana" w:cstheme="majorBidi"/>
      <w:bCs/>
      <w:i/>
      <w:iCs/>
      <w:sz w:val="20"/>
      <w:szCs w:val="24"/>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F0482A"/>
    <w:pPr>
      <w:spacing w:before="0" w:after="0"/>
    </w:pPr>
    <w:rPr>
      <w:rFonts w:asciiTheme="minorHAnsi" w:eastAsiaTheme="minorHAnsi" w:hAnsiTheme="minorHAnsi" w:cs="Times New Roman"/>
      <w:sz w:val="22"/>
      <w:szCs w:val="20"/>
      <w:vertAlign w:val="superscript"/>
      <w:lang w:val="es-CR"/>
    </w:rPr>
  </w:style>
  <w:style w:type="paragraph" w:styleId="Revisin">
    <w:name w:val="Revision"/>
    <w:hidden/>
    <w:uiPriority w:val="99"/>
    <w:semiHidden/>
    <w:rsid w:val="00A33BB3"/>
    <w:pPr>
      <w:spacing w:before="0" w:after="0"/>
      <w:jc w:val="left"/>
    </w:pPr>
    <w:rPr>
      <w:rFonts w:ascii="Verdana" w:eastAsia="Batang" w:hAnsi="Verdana" w:cs="Times"/>
      <w:noProof/>
      <w:sz w:val="20"/>
      <w:szCs w:val="24"/>
      <w:lang w:val="es-ES_tradnl"/>
    </w:rPr>
  </w:style>
  <w:style w:type="character" w:customStyle="1" w:styleId="sb8d990e2">
    <w:name w:val="sb8d990e2"/>
    <w:basedOn w:val="Fuentedeprrafopredeter"/>
    <w:rsid w:val="00B41207"/>
  </w:style>
  <w:style w:type="paragraph" w:styleId="Sangradetextonormal">
    <w:name w:val="Body Text Indent"/>
    <w:basedOn w:val="Normal"/>
    <w:link w:val="SangradetextonormalCar"/>
    <w:uiPriority w:val="99"/>
    <w:unhideWhenUsed/>
    <w:rsid w:val="0015689E"/>
    <w:pPr>
      <w:spacing w:before="0" w:after="120"/>
      <w:ind w:left="360"/>
      <w:jc w:val="left"/>
    </w:pPr>
    <w:rPr>
      <w:rFonts w:ascii="Times New Roman" w:eastAsia="Calibri" w:hAnsi="Times New Roman" w:cs="Times New Roman"/>
      <w:sz w:val="24"/>
    </w:rPr>
  </w:style>
  <w:style w:type="character" w:customStyle="1" w:styleId="SangradetextonormalCar">
    <w:name w:val="Sangría de texto normal Car"/>
    <w:basedOn w:val="Fuentedeprrafopredeter"/>
    <w:link w:val="Sangradetextonormal"/>
    <w:uiPriority w:val="99"/>
    <w:rsid w:val="0015689E"/>
    <w:rPr>
      <w:rFonts w:ascii="Times New Roman" w:eastAsia="Calibri" w:hAnsi="Times New Roman" w:cs="Times New Roman"/>
      <w:sz w:val="24"/>
      <w:szCs w:val="24"/>
      <w:lang w:val="es-ES_tradnl"/>
    </w:rPr>
  </w:style>
  <w:style w:type="paragraph" w:customStyle="1" w:styleId="Prrafodelista2">
    <w:name w:val="Párrafo de lista2"/>
    <w:basedOn w:val="Normal"/>
    <w:uiPriority w:val="99"/>
    <w:rsid w:val="000474AA"/>
    <w:pPr>
      <w:spacing w:before="0" w:after="0"/>
      <w:ind w:left="720"/>
      <w:jc w:val="left"/>
    </w:pPr>
    <w:rPr>
      <w:rFonts w:eastAsia="MS Mincho" w:cs="Times New Roman"/>
      <w:szCs w:val="20"/>
      <w:lang w:bidi="en-US"/>
    </w:rPr>
  </w:style>
  <w:style w:type="paragraph" w:styleId="Sinespaciado">
    <w:name w:val="No Spacing"/>
    <w:uiPriority w:val="1"/>
    <w:qFormat/>
    <w:rsid w:val="00187CF2"/>
    <w:pPr>
      <w:spacing w:before="0" w:after="0"/>
      <w:jc w:val="left"/>
    </w:pPr>
    <w:rPr>
      <w:lang w:val="en-US"/>
    </w:rPr>
  </w:style>
  <w:style w:type="paragraph" w:customStyle="1" w:styleId="Normal1">
    <w:name w:val="Normal1"/>
    <w:rsid w:val="00187CF2"/>
    <w:pPr>
      <w:widowControl w:val="0"/>
      <w:spacing w:before="0" w:after="0"/>
      <w:jc w:val="left"/>
    </w:pPr>
    <w:rPr>
      <w:rFonts w:ascii="Times New Roman" w:eastAsia="Times New Roman" w:hAnsi="Times New Roman" w:cs="Times New Roman"/>
      <w:sz w:val="24"/>
      <w:szCs w:val="24"/>
    </w:rPr>
  </w:style>
  <w:style w:type="character" w:styleId="nfasis">
    <w:name w:val="Emphasis"/>
    <w:uiPriority w:val="20"/>
    <w:qFormat/>
    <w:rsid w:val="00454DB0"/>
    <w:rPr>
      <w:i/>
    </w:rPr>
  </w:style>
  <w:style w:type="paragraph" w:customStyle="1" w:styleId="JuPara">
    <w:name w:val="Ju_Para"/>
    <w:basedOn w:val="Normal"/>
    <w:link w:val="JuParaChar"/>
    <w:rsid w:val="00454DB0"/>
    <w:pPr>
      <w:suppressAutoHyphens/>
      <w:spacing w:before="0" w:after="0"/>
      <w:ind w:firstLine="284"/>
    </w:pPr>
    <w:rPr>
      <w:rFonts w:ascii="Times New Roman" w:hAnsi="Times New Roman" w:cs="Times New Roman"/>
      <w:sz w:val="24"/>
      <w:lang w:val="fr-FR" w:eastAsia="fr-FR"/>
    </w:rPr>
  </w:style>
  <w:style w:type="character" w:customStyle="1" w:styleId="JuParaChar">
    <w:name w:val="Ju_Para Char"/>
    <w:link w:val="JuPara"/>
    <w:rsid w:val="00454DB0"/>
    <w:rPr>
      <w:rFonts w:ascii="Times New Roman" w:eastAsia="Batang" w:hAnsi="Times New Roman" w:cs="Times New Roman"/>
      <w:sz w:val="24"/>
      <w:szCs w:val="24"/>
      <w:lang w:val="fr-FR" w:eastAsia="fr-FR"/>
    </w:rPr>
  </w:style>
  <w:style w:type="paragraph" w:customStyle="1" w:styleId="Body">
    <w:name w:val="Body"/>
    <w:rsid w:val="001E0F5B"/>
    <w:pPr>
      <w:spacing w:before="0" w:after="0"/>
      <w:jc w:val="left"/>
    </w:pPr>
    <w:rPr>
      <w:rFonts w:ascii="Helvetica Neue" w:eastAsia="Arial Unicode MS" w:hAnsi="Helvetica Neue" w:cs="Arial Unicode MS"/>
      <w:color w:val="000000"/>
      <w:lang w:eastAsia="es-CR"/>
    </w:rPr>
  </w:style>
  <w:style w:type="character" w:customStyle="1" w:styleId="None">
    <w:name w:val="None"/>
    <w:rsid w:val="001E0F5B"/>
  </w:style>
  <w:style w:type="character" w:customStyle="1" w:styleId="Hyperlink0">
    <w:name w:val="Hyperlink.0"/>
    <w:basedOn w:val="None"/>
    <w:rsid w:val="001E0F5B"/>
    <w:rPr>
      <w:color w:val="0000FF"/>
      <w:u w:val="single" w:color="0000FF"/>
      <w14:shadow w14:blurRad="0" w14:dist="0" w14:dir="0" w14:sx="0" w14:sy="0" w14:kx="0" w14:ky="0" w14:algn="none">
        <w14:srgbClr w14:val="000000"/>
      </w14:shadow>
      <w14:textOutline w14:w="0" w14:cap="rnd" w14:cmpd="sng" w14:algn="ctr">
        <w14:noFill/>
        <w14:prstDash w14:val="solid"/>
        <w14:bevel/>
      </w14:textOutline>
    </w:rPr>
  </w:style>
  <w:style w:type="numbering" w:customStyle="1" w:styleId="ImportedStyle1">
    <w:name w:val="Imported Style 1"/>
    <w:rsid w:val="001E0F5B"/>
    <w:pPr>
      <w:numPr>
        <w:numId w:val="3"/>
      </w:numPr>
    </w:pPr>
  </w:style>
  <w:style w:type="numbering" w:customStyle="1" w:styleId="ImportedStyle2">
    <w:name w:val="Imported Style 2"/>
    <w:rsid w:val="001E0F5B"/>
    <w:pPr>
      <w:numPr>
        <w:numId w:val="4"/>
      </w:numPr>
    </w:pPr>
  </w:style>
  <w:style w:type="paragraph" w:customStyle="1" w:styleId="Numberedparagraphs">
    <w:name w:val="Numbered paragraphs"/>
    <w:basedOn w:val="Normal"/>
    <w:link w:val="NumberedparagraphsCar"/>
    <w:qFormat/>
    <w:rsid w:val="0083041A"/>
    <w:pPr>
      <w:spacing w:before="0" w:after="200"/>
    </w:pPr>
    <w:rPr>
      <w:rFonts w:eastAsia="MS Mincho" w:cs="Times New Roman"/>
      <w:color w:val="000000"/>
      <w:szCs w:val="20"/>
    </w:rPr>
  </w:style>
  <w:style w:type="character" w:customStyle="1" w:styleId="NumberedparagraphsCar">
    <w:name w:val="Numbered paragraphs Car"/>
    <w:basedOn w:val="Fuentedeprrafopredeter"/>
    <w:link w:val="Numberedparagraphs"/>
    <w:rsid w:val="0083041A"/>
    <w:rPr>
      <w:rFonts w:ascii="Verdana" w:eastAsia="MS Mincho" w:hAnsi="Verdana" w:cs="Times New Roman"/>
      <w:color w:val="000000"/>
      <w:sz w:val="20"/>
      <w:szCs w:val="20"/>
      <w:lang w:val="es-ES_tradnl"/>
    </w:rPr>
  </w:style>
  <w:style w:type="character" w:styleId="Mencinsinresolver">
    <w:name w:val="Unresolved Mention"/>
    <w:basedOn w:val="Fuentedeprrafopredeter"/>
    <w:uiPriority w:val="99"/>
    <w:semiHidden/>
    <w:unhideWhenUsed/>
    <w:rsid w:val="008D2A48"/>
    <w:rPr>
      <w:color w:val="605E5C"/>
      <w:shd w:val="clear" w:color="auto" w:fill="E1DFDD"/>
    </w:rPr>
  </w:style>
  <w:style w:type="paragraph" w:customStyle="1" w:styleId="pf0">
    <w:name w:val="pf0"/>
    <w:basedOn w:val="Normal"/>
    <w:rsid w:val="004B2A73"/>
    <w:pPr>
      <w:spacing w:before="100" w:beforeAutospacing="1" w:after="100" w:afterAutospacing="1"/>
      <w:jc w:val="left"/>
    </w:pPr>
    <w:rPr>
      <w:rFonts w:ascii="Times New Roman" w:eastAsia="Times New Roman" w:hAnsi="Times New Roman" w:cs="Times New Roman"/>
      <w:sz w:val="24"/>
      <w:lang w:val="en-US"/>
    </w:rPr>
  </w:style>
  <w:style w:type="character" w:customStyle="1" w:styleId="cf01">
    <w:name w:val="cf01"/>
    <w:basedOn w:val="Fuentedeprrafopredeter"/>
    <w:rsid w:val="004B2A73"/>
    <w:rPr>
      <w:rFonts w:ascii="Segoe UI" w:hAnsi="Segoe UI" w:cs="Segoe UI" w:hint="default"/>
      <w:sz w:val="18"/>
      <w:szCs w:val="18"/>
    </w:rPr>
  </w:style>
  <w:style w:type="character" w:customStyle="1" w:styleId="Smbolodenotaalpie">
    <w:name w:val="Símbolo de nota al pie"/>
    <w:rsid w:val="00821330"/>
    <w:rPr>
      <w:rFonts w:cs="Times New Roman"/>
      <w:szCs w:val="20"/>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1E7DC2"/>
    <w:pPr>
      <w:spacing w:before="0" w:after="160" w:line="240" w:lineRule="exact"/>
      <w:jc w:val="left"/>
    </w:pPr>
    <w:rPr>
      <w:rFonts w:asciiTheme="minorHAnsi" w:eastAsiaTheme="minorHAnsi" w:hAnsiTheme="minorHAnsi" w:cstheme="minorBidi"/>
      <w:sz w:val="22"/>
      <w:szCs w:val="22"/>
      <w:vertAlign w:val="superscript"/>
      <w:lang w:val="en-US"/>
    </w:rPr>
  </w:style>
  <w:style w:type="character" w:customStyle="1" w:styleId="FootnoteReference1">
    <w:name w:val="Footnote Reference1"/>
    <w:aliases w:val="Ref. de nota al pi"/>
    <w:qFormat/>
    <w:rsid w:val="0021453E"/>
    <w:rPr>
      <w:color w:val="000000"/>
      <w:sz w:val="22"/>
      <w:vertAlign w:val="superscript"/>
    </w:rPr>
  </w:style>
  <w:style w:type="paragraph" w:styleId="Textoindependiente">
    <w:name w:val="Body Text"/>
    <w:basedOn w:val="Normal"/>
    <w:link w:val="TextoindependienteCar"/>
    <w:uiPriority w:val="99"/>
    <w:semiHidden/>
    <w:unhideWhenUsed/>
    <w:rsid w:val="004B23AF"/>
    <w:pPr>
      <w:spacing w:after="120"/>
    </w:pPr>
  </w:style>
  <w:style w:type="character" w:customStyle="1" w:styleId="TextoindependienteCar">
    <w:name w:val="Texto independiente Car"/>
    <w:basedOn w:val="Fuentedeprrafopredeter"/>
    <w:link w:val="Textoindependiente"/>
    <w:uiPriority w:val="99"/>
    <w:semiHidden/>
    <w:rsid w:val="004B23AF"/>
    <w:rPr>
      <w:rFonts w:ascii="Verdana" w:eastAsia="Batang" w:hAnsi="Verdana" w:cs="Times"/>
      <w:sz w:val="20"/>
      <w:szCs w:val="24"/>
      <w:lang w:val="es-ES_tradnl"/>
    </w:rPr>
  </w:style>
  <w:style w:type="paragraph" w:customStyle="1" w:styleId="Estilo3">
    <w:name w:val="Estilo3"/>
    <w:basedOn w:val="Ttulo2"/>
    <w:link w:val="Estilo3Car"/>
    <w:qFormat/>
    <w:rsid w:val="00AD05C1"/>
    <w:pPr>
      <w:numPr>
        <w:numId w:val="2"/>
      </w:numPr>
      <w:spacing w:before="0" w:after="0" w:line="276" w:lineRule="auto"/>
      <w:ind w:firstLine="0"/>
    </w:pPr>
    <w:rPr>
      <w:i w:val="0"/>
      <w:szCs w:val="20"/>
      <w:lang w:val="es-CR"/>
    </w:rPr>
  </w:style>
  <w:style w:type="paragraph" w:customStyle="1" w:styleId="Estilo4">
    <w:name w:val="Estilo4"/>
    <w:basedOn w:val="Normal"/>
    <w:next w:val="Ttulo3"/>
    <w:link w:val="Estilo4Car"/>
    <w:qFormat/>
    <w:rsid w:val="00AD05C1"/>
    <w:pPr>
      <w:spacing w:before="0" w:after="0"/>
      <w:outlineLvl w:val="1"/>
    </w:pPr>
    <w:rPr>
      <w:b/>
      <w:szCs w:val="20"/>
      <w:lang w:val="es-CR"/>
    </w:rPr>
  </w:style>
  <w:style w:type="character" w:customStyle="1" w:styleId="Estilo3Car">
    <w:name w:val="Estilo3 Car"/>
    <w:basedOn w:val="Ttulo2Car"/>
    <w:link w:val="Estilo3"/>
    <w:rsid w:val="00AD05C1"/>
    <w:rPr>
      <w:rFonts w:ascii="Verdana" w:eastAsiaTheme="majorEastAsia" w:hAnsi="Verdana" w:cstheme="majorBidi"/>
      <w:b/>
      <w:bCs/>
      <w:i w:val="0"/>
      <w:noProof/>
      <w:sz w:val="20"/>
      <w:szCs w:val="20"/>
      <w:lang w:val="es-ES_tradnl"/>
    </w:rPr>
  </w:style>
  <w:style w:type="paragraph" w:customStyle="1" w:styleId="Estilo5">
    <w:name w:val="Estilo5"/>
    <w:basedOn w:val="Ttulo4"/>
    <w:link w:val="Estilo5Car"/>
    <w:qFormat/>
    <w:rsid w:val="003D4A45"/>
    <w:pPr>
      <w:autoSpaceDE w:val="0"/>
      <w:autoSpaceDN w:val="0"/>
      <w:adjustRightInd w:val="0"/>
      <w:spacing w:before="0" w:after="0"/>
      <w:ind w:firstLine="696"/>
      <w:contextualSpacing/>
    </w:pPr>
    <w:rPr>
      <w:b/>
      <w:szCs w:val="20"/>
    </w:rPr>
  </w:style>
  <w:style w:type="character" w:customStyle="1" w:styleId="Estilo4Car">
    <w:name w:val="Estilo4 Car"/>
    <w:basedOn w:val="Fuentedeprrafopredeter"/>
    <w:link w:val="Estilo4"/>
    <w:rsid w:val="00AD05C1"/>
    <w:rPr>
      <w:rFonts w:ascii="Verdana" w:eastAsia="Batang" w:hAnsi="Verdana" w:cs="Times"/>
      <w:b/>
      <w:sz w:val="20"/>
      <w:szCs w:val="20"/>
    </w:rPr>
  </w:style>
  <w:style w:type="character" w:customStyle="1" w:styleId="Estilo5Car">
    <w:name w:val="Estilo5 Car"/>
    <w:basedOn w:val="Ttulo4Car"/>
    <w:link w:val="Estilo5"/>
    <w:rsid w:val="003D4A45"/>
    <w:rPr>
      <w:rFonts w:ascii="Verdana" w:eastAsiaTheme="majorEastAsia" w:hAnsi="Verdana" w:cstheme="majorBidi"/>
      <w:b/>
      <w:bCs/>
      <w:i/>
      <w:iCs/>
      <w:sz w:val="20"/>
      <w:szCs w:val="20"/>
      <w:lang w:val="es-ES_tradnl"/>
    </w:rPr>
  </w:style>
  <w:style w:type="paragraph" w:customStyle="1" w:styleId="Estilo6">
    <w:name w:val="Estilo6"/>
    <w:basedOn w:val="Ttulo1"/>
    <w:link w:val="Estilo6Car"/>
    <w:qFormat/>
    <w:rsid w:val="008F2B8C"/>
  </w:style>
  <w:style w:type="character" w:customStyle="1" w:styleId="Estilo6Car">
    <w:name w:val="Estilo6 Car"/>
    <w:basedOn w:val="Ttulo1Car"/>
    <w:link w:val="Estilo6"/>
    <w:rsid w:val="008F2B8C"/>
    <w:rPr>
      <w:rFonts w:ascii="Verdana" w:eastAsiaTheme="majorEastAsia" w:hAnsi="Verdana" w:cstheme="majorBidi"/>
      <w:b/>
      <w:bCs/>
      <w:noProof/>
      <w:sz w:val="20"/>
      <w:szCs w:val="28"/>
      <w:lang w:val="es-ES_tradnl"/>
    </w:rPr>
  </w:style>
  <w:style w:type="character" w:customStyle="1" w:styleId="markedcontent">
    <w:name w:val="markedcontent"/>
    <w:basedOn w:val="Fuentedeprrafopredeter"/>
    <w:rsid w:val="00450AFB"/>
  </w:style>
  <w:style w:type="paragraph" w:styleId="Textonotaalfinal">
    <w:name w:val="endnote text"/>
    <w:basedOn w:val="Normal"/>
    <w:link w:val="TextonotaalfinalCar"/>
    <w:uiPriority w:val="99"/>
    <w:semiHidden/>
    <w:unhideWhenUsed/>
    <w:rsid w:val="0027130B"/>
    <w:pPr>
      <w:spacing w:before="0" w:after="0"/>
    </w:pPr>
    <w:rPr>
      <w:szCs w:val="20"/>
    </w:rPr>
  </w:style>
  <w:style w:type="character" w:customStyle="1" w:styleId="TextonotaalfinalCar">
    <w:name w:val="Texto nota al final Car"/>
    <w:basedOn w:val="Fuentedeprrafopredeter"/>
    <w:link w:val="Textonotaalfinal"/>
    <w:uiPriority w:val="99"/>
    <w:semiHidden/>
    <w:rsid w:val="0027130B"/>
    <w:rPr>
      <w:rFonts w:ascii="Verdana" w:eastAsia="Batang" w:hAnsi="Verdana" w:cs="Times"/>
      <w:sz w:val="20"/>
      <w:szCs w:val="20"/>
      <w:lang w:val="es-ES_tradnl"/>
    </w:rPr>
  </w:style>
  <w:style w:type="character" w:styleId="Refdenotaalfinal">
    <w:name w:val="endnote reference"/>
    <w:basedOn w:val="Fuentedeprrafopredeter"/>
    <w:uiPriority w:val="99"/>
    <w:semiHidden/>
    <w:unhideWhenUsed/>
    <w:rsid w:val="0027130B"/>
    <w:rPr>
      <w:vertAlign w:val="superscript"/>
    </w:rPr>
  </w:style>
  <w:style w:type="character" w:styleId="Hipervnculovisitado">
    <w:name w:val="FollowedHyperlink"/>
    <w:basedOn w:val="Fuentedeprrafopredeter"/>
    <w:uiPriority w:val="99"/>
    <w:semiHidden/>
    <w:unhideWhenUsed/>
    <w:rsid w:val="007D78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4600">
      <w:bodyDiv w:val="1"/>
      <w:marLeft w:val="0"/>
      <w:marRight w:val="0"/>
      <w:marTop w:val="0"/>
      <w:marBottom w:val="0"/>
      <w:divBdr>
        <w:top w:val="none" w:sz="0" w:space="0" w:color="auto"/>
        <w:left w:val="none" w:sz="0" w:space="0" w:color="auto"/>
        <w:bottom w:val="none" w:sz="0" w:space="0" w:color="auto"/>
        <w:right w:val="none" w:sz="0" w:space="0" w:color="auto"/>
      </w:divBdr>
    </w:div>
    <w:div w:id="67116966">
      <w:bodyDiv w:val="1"/>
      <w:marLeft w:val="0"/>
      <w:marRight w:val="0"/>
      <w:marTop w:val="0"/>
      <w:marBottom w:val="0"/>
      <w:divBdr>
        <w:top w:val="none" w:sz="0" w:space="0" w:color="auto"/>
        <w:left w:val="none" w:sz="0" w:space="0" w:color="auto"/>
        <w:bottom w:val="none" w:sz="0" w:space="0" w:color="auto"/>
        <w:right w:val="none" w:sz="0" w:space="0" w:color="auto"/>
      </w:divBdr>
    </w:div>
    <w:div w:id="293415934">
      <w:bodyDiv w:val="1"/>
      <w:marLeft w:val="0"/>
      <w:marRight w:val="0"/>
      <w:marTop w:val="0"/>
      <w:marBottom w:val="0"/>
      <w:divBdr>
        <w:top w:val="none" w:sz="0" w:space="0" w:color="auto"/>
        <w:left w:val="none" w:sz="0" w:space="0" w:color="auto"/>
        <w:bottom w:val="none" w:sz="0" w:space="0" w:color="auto"/>
        <w:right w:val="none" w:sz="0" w:space="0" w:color="auto"/>
      </w:divBdr>
    </w:div>
    <w:div w:id="354038254">
      <w:bodyDiv w:val="1"/>
      <w:marLeft w:val="0"/>
      <w:marRight w:val="0"/>
      <w:marTop w:val="0"/>
      <w:marBottom w:val="0"/>
      <w:divBdr>
        <w:top w:val="none" w:sz="0" w:space="0" w:color="auto"/>
        <w:left w:val="none" w:sz="0" w:space="0" w:color="auto"/>
        <w:bottom w:val="none" w:sz="0" w:space="0" w:color="auto"/>
        <w:right w:val="none" w:sz="0" w:space="0" w:color="auto"/>
      </w:divBdr>
    </w:div>
    <w:div w:id="421339913">
      <w:bodyDiv w:val="1"/>
      <w:marLeft w:val="0"/>
      <w:marRight w:val="0"/>
      <w:marTop w:val="0"/>
      <w:marBottom w:val="0"/>
      <w:divBdr>
        <w:top w:val="none" w:sz="0" w:space="0" w:color="auto"/>
        <w:left w:val="none" w:sz="0" w:space="0" w:color="auto"/>
        <w:bottom w:val="none" w:sz="0" w:space="0" w:color="auto"/>
        <w:right w:val="none" w:sz="0" w:space="0" w:color="auto"/>
      </w:divBdr>
    </w:div>
    <w:div w:id="539629880">
      <w:bodyDiv w:val="1"/>
      <w:marLeft w:val="0"/>
      <w:marRight w:val="0"/>
      <w:marTop w:val="0"/>
      <w:marBottom w:val="0"/>
      <w:divBdr>
        <w:top w:val="none" w:sz="0" w:space="0" w:color="auto"/>
        <w:left w:val="none" w:sz="0" w:space="0" w:color="auto"/>
        <w:bottom w:val="none" w:sz="0" w:space="0" w:color="auto"/>
        <w:right w:val="none" w:sz="0" w:space="0" w:color="auto"/>
      </w:divBdr>
    </w:div>
    <w:div w:id="572349570">
      <w:bodyDiv w:val="1"/>
      <w:marLeft w:val="0"/>
      <w:marRight w:val="0"/>
      <w:marTop w:val="0"/>
      <w:marBottom w:val="0"/>
      <w:divBdr>
        <w:top w:val="none" w:sz="0" w:space="0" w:color="auto"/>
        <w:left w:val="none" w:sz="0" w:space="0" w:color="auto"/>
        <w:bottom w:val="none" w:sz="0" w:space="0" w:color="auto"/>
        <w:right w:val="none" w:sz="0" w:space="0" w:color="auto"/>
      </w:divBdr>
    </w:div>
    <w:div w:id="773087594">
      <w:bodyDiv w:val="1"/>
      <w:marLeft w:val="0"/>
      <w:marRight w:val="0"/>
      <w:marTop w:val="0"/>
      <w:marBottom w:val="0"/>
      <w:divBdr>
        <w:top w:val="none" w:sz="0" w:space="0" w:color="auto"/>
        <w:left w:val="none" w:sz="0" w:space="0" w:color="auto"/>
        <w:bottom w:val="none" w:sz="0" w:space="0" w:color="auto"/>
        <w:right w:val="none" w:sz="0" w:space="0" w:color="auto"/>
      </w:divBdr>
    </w:div>
    <w:div w:id="889926517">
      <w:bodyDiv w:val="1"/>
      <w:marLeft w:val="0"/>
      <w:marRight w:val="0"/>
      <w:marTop w:val="0"/>
      <w:marBottom w:val="0"/>
      <w:divBdr>
        <w:top w:val="none" w:sz="0" w:space="0" w:color="auto"/>
        <w:left w:val="none" w:sz="0" w:space="0" w:color="auto"/>
        <w:bottom w:val="none" w:sz="0" w:space="0" w:color="auto"/>
        <w:right w:val="none" w:sz="0" w:space="0" w:color="auto"/>
      </w:divBdr>
    </w:div>
    <w:div w:id="1066799184">
      <w:bodyDiv w:val="1"/>
      <w:marLeft w:val="0"/>
      <w:marRight w:val="0"/>
      <w:marTop w:val="0"/>
      <w:marBottom w:val="0"/>
      <w:divBdr>
        <w:top w:val="none" w:sz="0" w:space="0" w:color="auto"/>
        <w:left w:val="none" w:sz="0" w:space="0" w:color="auto"/>
        <w:bottom w:val="none" w:sz="0" w:space="0" w:color="auto"/>
        <w:right w:val="none" w:sz="0" w:space="0" w:color="auto"/>
      </w:divBdr>
    </w:div>
    <w:div w:id="1365867967">
      <w:bodyDiv w:val="1"/>
      <w:marLeft w:val="0"/>
      <w:marRight w:val="0"/>
      <w:marTop w:val="0"/>
      <w:marBottom w:val="0"/>
      <w:divBdr>
        <w:top w:val="none" w:sz="0" w:space="0" w:color="auto"/>
        <w:left w:val="none" w:sz="0" w:space="0" w:color="auto"/>
        <w:bottom w:val="none" w:sz="0" w:space="0" w:color="auto"/>
        <w:right w:val="none" w:sz="0" w:space="0" w:color="auto"/>
      </w:divBdr>
    </w:div>
    <w:div w:id="1535845330">
      <w:bodyDiv w:val="1"/>
      <w:marLeft w:val="0"/>
      <w:marRight w:val="0"/>
      <w:marTop w:val="0"/>
      <w:marBottom w:val="0"/>
      <w:divBdr>
        <w:top w:val="none" w:sz="0" w:space="0" w:color="auto"/>
        <w:left w:val="none" w:sz="0" w:space="0" w:color="auto"/>
        <w:bottom w:val="none" w:sz="0" w:space="0" w:color="auto"/>
        <w:right w:val="none" w:sz="0" w:space="0" w:color="auto"/>
      </w:divBdr>
    </w:div>
    <w:div w:id="1578981959">
      <w:bodyDiv w:val="1"/>
      <w:marLeft w:val="0"/>
      <w:marRight w:val="0"/>
      <w:marTop w:val="0"/>
      <w:marBottom w:val="0"/>
      <w:divBdr>
        <w:top w:val="none" w:sz="0" w:space="0" w:color="auto"/>
        <w:left w:val="none" w:sz="0" w:space="0" w:color="auto"/>
        <w:bottom w:val="none" w:sz="0" w:space="0" w:color="auto"/>
        <w:right w:val="none" w:sz="0" w:space="0" w:color="auto"/>
      </w:divBdr>
    </w:div>
    <w:div w:id="1635985990">
      <w:bodyDiv w:val="1"/>
      <w:marLeft w:val="0"/>
      <w:marRight w:val="0"/>
      <w:marTop w:val="0"/>
      <w:marBottom w:val="0"/>
      <w:divBdr>
        <w:top w:val="none" w:sz="0" w:space="0" w:color="auto"/>
        <w:left w:val="none" w:sz="0" w:space="0" w:color="auto"/>
        <w:bottom w:val="none" w:sz="0" w:space="0" w:color="auto"/>
        <w:right w:val="none" w:sz="0" w:space="0" w:color="auto"/>
      </w:divBdr>
    </w:div>
    <w:div w:id="1669864631">
      <w:bodyDiv w:val="1"/>
      <w:marLeft w:val="0"/>
      <w:marRight w:val="0"/>
      <w:marTop w:val="0"/>
      <w:marBottom w:val="0"/>
      <w:divBdr>
        <w:top w:val="none" w:sz="0" w:space="0" w:color="auto"/>
        <w:left w:val="none" w:sz="0" w:space="0" w:color="auto"/>
        <w:bottom w:val="none" w:sz="0" w:space="0" w:color="auto"/>
        <w:right w:val="none" w:sz="0" w:space="0" w:color="auto"/>
      </w:divBdr>
    </w:div>
    <w:div w:id="1769690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repositorio.iica.int/handle/11324/20158" TargetMode="External"/><Relationship Id="rId13" Type="http://schemas.openxmlformats.org/officeDocument/2006/relationships/hyperlink" Target="https://www.amnesty.org/en/documents/amr19/001/1998/es/" TargetMode="External"/><Relationship Id="rId18" Type="http://schemas.openxmlformats.org/officeDocument/2006/relationships/hyperlink" Target="https://www.globalwitness.org/documents/19941/Defending_Tomorrow_ES_low_res_-_July_2020.pdf" TargetMode="External"/><Relationship Id="rId26" Type="http://schemas.openxmlformats.org/officeDocument/2006/relationships/hyperlink" Target="https://terradedireitos.org.br/uploads/arquivos/Dossie-Vidas-em-Luta.pdf" TargetMode="External"/><Relationship Id="rId3" Type="http://schemas.openxmlformats.org/officeDocument/2006/relationships/hyperlink" Target="https://rdstation-static.s3.amazonaws.com/cms/files/115321/1596831720relatorio-terrenos_desigualdade-brasil_0-2.pdf" TargetMode="External"/><Relationship Id="rId21" Type="http://schemas.openxmlformats.org/officeDocument/2006/relationships/hyperlink" Target="http://www.planalto.gov.br/ccivil_03/decreto-lei/del2848compilado.htm" TargetMode="External"/><Relationship Id="rId7" Type="http://schemas.openxmlformats.org/officeDocument/2006/relationships/hyperlink" Target="http://www.biblioteca.presidencia.gov.br/publicacoes-oficiais/catalogo/dilma/sdh_direito-a-memoria-e-a-verdade-camponeses-mortos-e-desaparecidos_2013.pdf" TargetMode="External"/><Relationship Id="rId12" Type="http://schemas.openxmlformats.org/officeDocument/2006/relationships/hyperlink" Target="https://www.hrw.org/reports//pdfs/b/brazil/brazil.912/braz912full.pdf" TargetMode="External"/><Relationship Id="rId17" Type="http://schemas.openxmlformats.org/officeDocument/2006/relationships/hyperlink" Target="https://www.frontlinedefenders.org/sites/default/files/fld_global_analysis_2020.pdf" TargetMode="External"/><Relationship Id="rId25" Type="http://schemas.openxmlformats.org/officeDocument/2006/relationships/hyperlink" Target="http://www.planalto.gov.br/ccivil_03/_Ato2019-2022/2019/Decreto/D9937.htm" TargetMode="External"/><Relationship Id="rId2" Type="http://schemas.openxmlformats.org/officeDocument/2006/relationships/hyperlink" Target="https://www.corteidh.or.cr/docs/asuntos/sales_pimenta_17_02_22_spa.pdf" TargetMode="External"/><Relationship Id="rId16" Type="http://schemas.openxmlformats.org/officeDocument/2006/relationships/hyperlink" Target="https://terradedireitos.org.br/uploads/arquivos/CBDDDH---DOSSIE-2017_011118_web.pdf" TargetMode="External"/><Relationship Id="rId20" Type="http://schemas.openxmlformats.org/officeDocument/2006/relationships/hyperlink" Target="http://www.planalto.gov.br/ccivil_03/constituicao/constituicao.htm" TargetMode="External"/><Relationship Id="rId29" Type="http://schemas.openxmlformats.org/officeDocument/2006/relationships/hyperlink" Target="https://www.boe.es/buscar/act.php?id=BOE-A-1985-12666" TargetMode="External"/><Relationship Id="rId1" Type="http://schemas.openxmlformats.org/officeDocument/2006/relationships/hyperlink" Target="https://www.corteidh.or.cr/docs/asuntos/sales_pimenta_17_02_22_spa.pdf" TargetMode="External"/><Relationship Id="rId6" Type="http://schemas.openxmlformats.org/officeDocument/2006/relationships/hyperlink" Target="https://www.hrw.org/sites/default/files/reports/braz926full.pdf" TargetMode="External"/><Relationship Id="rId11" Type="http://schemas.openxmlformats.org/officeDocument/2006/relationships/hyperlink" Target="https://www.fdcl.org/wp-content/uploads/2005/11/relatorioparaportugues.pdf" TargetMode="External"/><Relationship Id="rId24" Type="http://schemas.openxmlformats.org/officeDocument/2006/relationships/hyperlink" Target="http://www.planalto.gov.br/ccivil_03/_Ato2015-2018/2016/Decreto/D8724.htm" TargetMode="External"/><Relationship Id="rId5" Type="http://schemas.openxmlformats.org/officeDocument/2006/relationships/hyperlink" Target="https://sidra.ibge.gov.br/tabela/263" TargetMode="External"/><Relationship Id="rId15" Type="http://schemas.openxmlformats.org/officeDocument/2006/relationships/hyperlink" Target="http://www.dhnet.org.br/dados/relatorios/nacionais/r_fidh_brasil.pdf" TargetMode="External"/><Relationship Id="rId23" Type="http://schemas.openxmlformats.org/officeDocument/2006/relationships/hyperlink" Target="http://www.planalto.gov.br/ccivil_03/_ato2007-2010/2007/decreto/d6044.htm" TargetMode="External"/><Relationship Id="rId28" Type="http://schemas.openxmlformats.org/officeDocument/2006/relationships/hyperlink" Target="https://busquedas.elperuano.pe/normaslegales/nuevo-codigo-procesal-constitucional-ley-no-31307-1975873-2/" TargetMode="External"/><Relationship Id="rId10" Type="http://schemas.openxmlformats.org/officeDocument/2006/relationships/hyperlink" Target="https://www.encontro2010.historiaoral.org.br/resources/anais/2/1268332455_ARQUIVO_ConflitosdeterraeViolencianoSuldoPara_1975-1990_.pdf" TargetMode="External"/><Relationship Id="rId19" Type="http://schemas.openxmlformats.org/officeDocument/2006/relationships/hyperlink" Target="https://cptnacional.org.br/downlods?task=download.send&amp;id=344&amp;catid=41&amp;m=0" TargetMode="External"/><Relationship Id="rId31" Type="http://schemas.openxmlformats.org/officeDocument/2006/relationships/hyperlink" Target="https://www.gesetze-im-internet.de/englisch_stpo/englisch_stpo.html" TargetMode="External"/><Relationship Id="rId4" Type="http://schemas.openxmlformats.org/officeDocument/2006/relationships/hyperlink" Target="https://sidra.ibge.gov.br/tabela/263" TargetMode="External"/><Relationship Id="rId9" Type="http://schemas.openxmlformats.org/officeDocument/2006/relationships/hyperlink" Target="https://www.gov.br/mdh/pt-br/centrais-de-conteudo/memoria-e-verdade/retrato-da-repressao-politica-no-campo-2013-brasil-1962-1985-camponeses-torturados-mortos-e-desaparecidos/view" TargetMode="External"/><Relationship Id="rId14" Type="http://schemas.openxmlformats.org/officeDocument/2006/relationships/hyperlink" Target="http://www.dhnet.org.br/dados/relatorios/dh/br/jglobal/jglobal_frontline/01_resumoexecutivo.htm" TargetMode="External"/><Relationship Id="rId22" Type="http://schemas.openxmlformats.org/officeDocument/2006/relationships/hyperlink" Target="https://ipea.gov.br/portal/images/stories/PDFs/relatorio_institucional/200717_relatorio_institucional_atlas_da_violencia.pdf" TargetMode="External"/><Relationship Id="rId27" Type="http://schemas.openxmlformats.org/officeDocument/2006/relationships/hyperlink" Target="https://leyes.co/codigo_de_procedimiento_penal/192.htm" TargetMode="External"/><Relationship Id="rId30" Type="http://schemas.openxmlformats.org/officeDocument/2006/relationships/hyperlink" Target="https://www.legifrance.gouv.fr/codes/section_lc/LEGITEXT000006071154/LEGISCTA00000613809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721D8-743A-4390-BFE2-071174DDE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57</Pages>
  <Words>24258</Words>
  <Characters>133421</Characters>
  <Application>Microsoft Office Word</Application>
  <DocSecurity>0</DocSecurity>
  <Lines>1111</Lines>
  <Paragraphs>314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157365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2023-11-08T20:26:00Z</cp:lastPrinted>
  <dcterms:created xsi:type="dcterms:W3CDTF">2023-11-08T20:26:00Z</dcterms:created>
  <dcterms:modified xsi:type="dcterms:W3CDTF">2023-11-08T20:29:00Z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-1393118432</vt:i4>
  </property>
</Properties>
</file>