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AC5BE4" w14:textId="56FCA9AC" w:rsidR="00326C79" w:rsidRDefault="00326C79" w:rsidP="00375A21">
      <w:pPr>
        <w:spacing w:after="0" w:line="240" w:lineRule="auto"/>
        <w:rPr>
          <w:rFonts w:ascii="Verdana" w:hAnsi="Verdana"/>
          <w:b/>
          <w:color w:val="000000" w:themeColor="text1"/>
          <w:sz w:val="20"/>
          <w:szCs w:val="20"/>
        </w:rPr>
      </w:pPr>
    </w:p>
    <w:p w14:paraId="3606082C" w14:textId="20744DE9" w:rsidR="001C060F" w:rsidRDefault="001C060F" w:rsidP="00375A21">
      <w:pPr>
        <w:spacing w:after="0" w:line="240" w:lineRule="auto"/>
        <w:rPr>
          <w:rFonts w:ascii="Verdana" w:hAnsi="Verdana"/>
          <w:b/>
          <w:color w:val="000000" w:themeColor="text1"/>
          <w:sz w:val="20"/>
          <w:szCs w:val="20"/>
        </w:rPr>
      </w:pPr>
    </w:p>
    <w:p w14:paraId="28DDB9E4" w14:textId="5D3115ED" w:rsidR="001C060F" w:rsidRDefault="001C060F" w:rsidP="00375A21">
      <w:pPr>
        <w:spacing w:after="0" w:line="240" w:lineRule="auto"/>
        <w:rPr>
          <w:rFonts w:ascii="Verdana" w:hAnsi="Verdana"/>
          <w:b/>
          <w:color w:val="000000" w:themeColor="text1"/>
          <w:sz w:val="20"/>
          <w:szCs w:val="20"/>
        </w:rPr>
      </w:pPr>
    </w:p>
    <w:p w14:paraId="3F23047B" w14:textId="3D6FC54A" w:rsidR="001C060F" w:rsidRDefault="001C060F" w:rsidP="00375A21">
      <w:pPr>
        <w:spacing w:after="0" w:line="240" w:lineRule="auto"/>
        <w:rPr>
          <w:rFonts w:ascii="Verdana" w:hAnsi="Verdana"/>
          <w:b/>
          <w:color w:val="000000" w:themeColor="text1"/>
          <w:sz w:val="20"/>
          <w:szCs w:val="20"/>
        </w:rPr>
      </w:pPr>
    </w:p>
    <w:p w14:paraId="03F08339" w14:textId="16025DD3" w:rsidR="001C060F" w:rsidRPr="00FF553B" w:rsidRDefault="001C060F" w:rsidP="00375A21">
      <w:pPr>
        <w:spacing w:after="0" w:line="240" w:lineRule="auto"/>
        <w:rPr>
          <w:rFonts w:ascii="Verdana" w:hAnsi="Verdana"/>
          <w:b/>
          <w:color w:val="000000" w:themeColor="text1"/>
          <w:sz w:val="20"/>
          <w:szCs w:val="20"/>
        </w:rPr>
      </w:pPr>
    </w:p>
    <w:p w14:paraId="574DFBFD" w14:textId="77777777" w:rsidR="00D91AF5" w:rsidRPr="00FF553B" w:rsidRDefault="00D91AF5" w:rsidP="00D91AF5">
      <w:pPr>
        <w:spacing w:after="0" w:line="240" w:lineRule="auto"/>
        <w:jc w:val="center"/>
        <w:rPr>
          <w:rFonts w:ascii="Verdana" w:hAnsi="Verdana"/>
          <w:b/>
          <w:color w:val="000000" w:themeColor="text1"/>
          <w:sz w:val="20"/>
          <w:szCs w:val="20"/>
        </w:rPr>
      </w:pPr>
    </w:p>
    <w:p w14:paraId="65C901A8" w14:textId="41C08A67" w:rsidR="00FF5E48" w:rsidRPr="00E50A7F" w:rsidRDefault="00D91AF5" w:rsidP="00D91AF5">
      <w:pPr>
        <w:spacing w:after="0" w:line="240" w:lineRule="auto"/>
        <w:jc w:val="center"/>
        <w:rPr>
          <w:rFonts w:ascii="Verdana" w:hAnsi="Verdana"/>
          <w:b/>
          <w:color w:val="000000" w:themeColor="text1"/>
          <w:sz w:val="20"/>
          <w:szCs w:val="20"/>
        </w:rPr>
      </w:pPr>
      <w:r w:rsidRPr="00E50A7F">
        <w:rPr>
          <w:rFonts w:ascii="Verdana" w:hAnsi="Verdana"/>
          <w:b/>
          <w:color w:val="000000" w:themeColor="text1"/>
          <w:sz w:val="20"/>
          <w:szCs w:val="20"/>
        </w:rPr>
        <w:t>CORTE INTERAMERICANA DE DERECHOS HUMANOS</w:t>
      </w:r>
    </w:p>
    <w:p w14:paraId="6B5187AF" w14:textId="77777777" w:rsidR="00D91AF5" w:rsidRPr="00E50A7F" w:rsidRDefault="00D91AF5" w:rsidP="00D91AF5">
      <w:pPr>
        <w:spacing w:after="0" w:line="240" w:lineRule="auto"/>
        <w:jc w:val="center"/>
        <w:rPr>
          <w:rFonts w:ascii="Verdana" w:hAnsi="Verdana"/>
          <w:b/>
          <w:color w:val="000000" w:themeColor="text1"/>
          <w:sz w:val="20"/>
          <w:szCs w:val="20"/>
        </w:rPr>
      </w:pPr>
    </w:p>
    <w:p w14:paraId="31CF35DE" w14:textId="76746DDC" w:rsidR="00D91AF5" w:rsidRPr="00E50A7F" w:rsidRDefault="00D91AF5" w:rsidP="00D91AF5">
      <w:pPr>
        <w:spacing w:after="0" w:line="240" w:lineRule="auto"/>
        <w:jc w:val="center"/>
        <w:rPr>
          <w:rFonts w:ascii="Verdana" w:hAnsi="Verdana"/>
          <w:b/>
          <w:color w:val="000000" w:themeColor="text1"/>
          <w:sz w:val="20"/>
          <w:szCs w:val="20"/>
        </w:rPr>
      </w:pPr>
      <w:r w:rsidRPr="00E50A7F">
        <w:rPr>
          <w:rFonts w:ascii="Verdana" w:hAnsi="Verdana"/>
          <w:b/>
          <w:color w:val="000000" w:themeColor="text1"/>
          <w:sz w:val="20"/>
          <w:szCs w:val="20"/>
        </w:rPr>
        <w:t xml:space="preserve">CASO </w:t>
      </w:r>
      <w:r w:rsidR="00A57FD4" w:rsidRPr="00E50A7F">
        <w:rPr>
          <w:rFonts w:ascii="Verdana" w:hAnsi="Verdana"/>
          <w:b/>
          <w:color w:val="000000" w:themeColor="text1"/>
          <w:sz w:val="20"/>
          <w:szCs w:val="20"/>
        </w:rPr>
        <w:t>MASACRE DE LA ALDEA LOS JOSEFINOS VS. GUATEMALA</w:t>
      </w:r>
    </w:p>
    <w:p w14:paraId="755251B3" w14:textId="77777777" w:rsidR="00D91AF5" w:rsidRPr="00E50A7F" w:rsidRDefault="00D91AF5" w:rsidP="00D91AF5">
      <w:pPr>
        <w:spacing w:after="0" w:line="240" w:lineRule="auto"/>
        <w:jc w:val="center"/>
        <w:rPr>
          <w:rFonts w:ascii="Verdana" w:hAnsi="Verdana"/>
          <w:b/>
          <w:color w:val="000000" w:themeColor="text1"/>
          <w:sz w:val="20"/>
          <w:szCs w:val="20"/>
        </w:rPr>
      </w:pPr>
    </w:p>
    <w:p w14:paraId="721527E0" w14:textId="00FC4D1D" w:rsidR="00D91AF5" w:rsidRPr="00E50A7F" w:rsidRDefault="00D91AF5" w:rsidP="00D91AF5">
      <w:pPr>
        <w:spacing w:after="0" w:line="240" w:lineRule="auto"/>
        <w:jc w:val="center"/>
        <w:rPr>
          <w:rFonts w:ascii="Verdana" w:hAnsi="Verdana"/>
          <w:b/>
          <w:color w:val="000000" w:themeColor="text1"/>
          <w:sz w:val="20"/>
          <w:szCs w:val="20"/>
        </w:rPr>
      </w:pPr>
      <w:r w:rsidRPr="00E50A7F">
        <w:rPr>
          <w:rFonts w:ascii="Verdana" w:hAnsi="Verdana"/>
          <w:b/>
          <w:color w:val="000000" w:themeColor="text1"/>
          <w:sz w:val="20"/>
          <w:szCs w:val="20"/>
        </w:rPr>
        <w:t xml:space="preserve">SENTENCIA DE </w:t>
      </w:r>
      <w:r w:rsidR="009D78B6">
        <w:rPr>
          <w:rFonts w:ascii="Verdana" w:hAnsi="Verdana"/>
          <w:b/>
          <w:color w:val="000000" w:themeColor="text1"/>
          <w:sz w:val="20"/>
          <w:szCs w:val="20"/>
        </w:rPr>
        <w:t>27</w:t>
      </w:r>
      <w:r w:rsidR="009D0958" w:rsidRPr="00E50A7F">
        <w:rPr>
          <w:rFonts w:ascii="Verdana" w:hAnsi="Verdana"/>
          <w:b/>
          <w:color w:val="000000" w:themeColor="text1"/>
          <w:sz w:val="20"/>
          <w:szCs w:val="20"/>
        </w:rPr>
        <w:t xml:space="preserve"> DE </w:t>
      </w:r>
      <w:r w:rsidR="009D78B6">
        <w:rPr>
          <w:rFonts w:ascii="Verdana" w:hAnsi="Verdana"/>
          <w:b/>
          <w:color w:val="000000" w:themeColor="text1"/>
          <w:sz w:val="20"/>
          <w:szCs w:val="20"/>
        </w:rPr>
        <w:t>JULIO</w:t>
      </w:r>
      <w:r w:rsidR="009D0958" w:rsidRPr="00E50A7F">
        <w:rPr>
          <w:rFonts w:ascii="Verdana" w:hAnsi="Verdana"/>
          <w:b/>
          <w:color w:val="000000" w:themeColor="text1"/>
          <w:sz w:val="20"/>
          <w:szCs w:val="20"/>
        </w:rPr>
        <w:t xml:space="preserve"> DE </w:t>
      </w:r>
      <w:r w:rsidR="00EB7379" w:rsidRPr="00E50A7F">
        <w:rPr>
          <w:rFonts w:ascii="Verdana" w:hAnsi="Verdana"/>
          <w:b/>
          <w:color w:val="000000" w:themeColor="text1"/>
          <w:sz w:val="20"/>
          <w:szCs w:val="20"/>
        </w:rPr>
        <w:t>202</w:t>
      </w:r>
      <w:r w:rsidR="00A57FD4" w:rsidRPr="00E50A7F">
        <w:rPr>
          <w:rFonts w:ascii="Verdana" w:hAnsi="Verdana"/>
          <w:b/>
          <w:color w:val="000000" w:themeColor="text1"/>
          <w:sz w:val="20"/>
          <w:szCs w:val="20"/>
        </w:rPr>
        <w:t>2</w:t>
      </w:r>
    </w:p>
    <w:p w14:paraId="30A7B34A" w14:textId="77777777" w:rsidR="00D91AF5" w:rsidRPr="00E50A7F" w:rsidRDefault="00D91AF5" w:rsidP="00D91AF5">
      <w:pPr>
        <w:spacing w:after="0" w:line="240" w:lineRule="auto"/>
        <w:jc w:val="center"/>
        <w:rPr>
          <w:rFonts w:ascii="Verdana" w:hAnsi="Verdana"/>
          <w:b/>
          <w:color w:val="000000" w:themeColor="text1"/>
          <w:sz w:val="20"/>
          <w:szCs w:val="20"/>
        </w:rPr>
      </w:pPr>
    </w:p>
    <w:p w14:paraId="2C95DB8D" w14:textId="2DE6BA77" w:rsidR="00D91AF5" w:rsidRPr="00E50A7F" w:rsidRDefault="00D91AF5" w:rsidP="00D91AF5">
      <w:pPr>
        <w:spacing w:after="0" w:line="240" w:lineRule="auto"/>
        <w:jc w:val="center"/>
        <w:rPr>
          <w:rFonts w:ascii="Verdana" w:hAnsi="Verdana"/>
          <w:b/>
          <w:color w:val="000000" w:themeColor="text1"/>
          <w:sz w:val="20"/>
          <w:szCs w:val="20"/>
        </w:rPr>
      </w:pPr>
      <w:r w:rsidRPr="00E50A7F">
        <w:rPr>
          <w:rFonts w:ascii="Verdana" w:hAnsi="Verdana"/>
          <w:b/>
          <w:color w:val="000000" w:themeColor="text1"/>
          <w:sz w:val="20"/>
          <w:szCs w:val="20"/>
        </w:rPr>
        <w:t>(</w:t>
      </w:r>
      <w:r w:rsidRPr="00E50A7F">
        <w:rPr>
          <w:rFonts w:ascii="Verdana" w:hAnsi="Verdana"/>
          <w:b/>
          <w:i/>
          <w:color w:val="000000" w:themeColor="text1"/>
          <w:sz w:val="20"/>
          <w:szCs w:val="20"/>
        </w:rPr>
        <w:t>Interpretación de la Sentencia de</w:t>
      </w:r>
      <w:r w:rsidR="00A57FD4" w:rsidRPr="00E50A7F">
        <w:rPr>
          <w:rFonts w:ascii="Verdana" w:hAnsi="Verdana"/>
          <w:b/>
          <w:i/>
          <w:color w:val="000000" w:themeColor="text1"/>
          <w:sz w:val="20"/>
          <w:szCs w:val="20"/>
        </w:rPr>
        <w:t xml:space="preserve"> Excepción Preliminar,</w:t>
      </w:r>
      <w:r w:rsidRPr="00E50A7F">
        <w:rPr>
          <w:rFonts w:ascii="Verdana" w:hAnsi="Verdana"/>
          <w:b/>
          <w:i/>
          <w:color w:val="000000" w:themeColor="text1"/>
          <w:sz w:val="20"/>
          <w:szCs w:val="20"/>
        </w:rPr>
        <w:t xml:space="preserve"> Fondo</w:t>
      </w:r>
      <w:r w:rsidR="00A57FD4" w:rsidRPr="00E50A7F">
        <w:rPr>
          <w:rFonts w:ascii="Verdana" w:hAnsi="Verdana"/>
          <w:b/>
          <w:i/>
          <w:color w:val="000000" w:themeColor="text1"/>
          <w:sz w:val="20"/>
          <w:szCs w:val="20"/>
        </w:rPr>
        <w:t>, Reparaciones y Costas</w:t>
      </w:r>
      <w:r w:rsidRPr="00E50A7F">
        <w:rPr>
          <w:rFonts w:ascii="Verdana" w:hAnsi="Verdana"/>
          <w:b/>
          <w:color w:val="000000" w:themeColor="text1"/>
          <w:sz w:val="20"/>
          <w:szCs w:val="20"/>
        </w:rPr>
        <w:t>)</w:t>
      </w:r>
    </w:p>
    <w:p w14:paraId="08131B3E" w14:textId="77777777" w:rsidR="00D91AF5" w:rsidRPr="00E50A7F" w:rsidRDefault="00D91AF5" w:rsidP="00D91AF5">
      <w:pPr>
        <w:spacing w:after="0" w:line="240" w:lineRule="auto"/>
        <w:rPr>
          <w:rFonts w:ascii="Verdana" w:hAnsi="Verdana"/>
          <w:b/>
          <w:color w:val="000000" w:themeColor="text1"/>
          <w:sz w:val="20"/>
          <w:szCs w:val="20"/>
        </w:rPr>
      </w:pPr>
    </w:p>
    <w:p w14:paraId="6008CDF9" w14:textId="77777777" w:rsidR="00D91AF5" w:rsidRPr="00E50A7F" w:rsidRDefault="00D91AF5" w:rsidP="00D91AF5">
      <w:pPr>
        <w:spacing w:after="0" w:line="240" w:lineRule="auto"/>
        <w:rPr>
          <w:rFonts w:ascii="Verdana" w:hAnsi="Verdana"/>
          <w:b/>
          <w:color w:val="000000" w:themeColor="text1"/>
          <w:sz w:val="20"/>
          <w:szCs w:val="20"/>
        </w:rPr>
      </w:pPr>
    </w:p>
    <w:p w14:paraId="4CD2A8FD" w14:textId="10FDB653" w:rsidR="00D91AF5" w:rsidRPr="00E50A7F" w:rsidRDefault="00D91AF5" w:rsidP="00D91AF5">
      <w:pPr>
        <w:spacing w:after="0" w:line="240" w:lineRule="auto"/>
        <w:rPr>
          <w:rFonts w:ascii="Verdana" w:hAnsi="Verdana"/>
          <w:color w:val="000000" w:themeColor="text1"/>
          <w:sz w:val="20"/>
          <w:szCs w:val="20"/>
        </w:rPr>
      </w:pPr>
      <w:r w:rsidRPr="00E50A7F">
        <w:rPr>
          <w:rFonts w:ascii="Verdana" w:hAnsi="Verdana"/>
          <w:color w:val="000000" w:themeColor="text1"/>
          <w:sz w:val="20"/>
          <w:szCs w:val="20"/>
        </w:rPr>
        <w:t xml:space="preserve">En el caso </w:t>
      </w:r>
      <w:r w:rsidR="00A57FD4" w:rsidRPr="00E50A7F">
        <w:rPr>
          <w:rFonts w:ascii="Verdana" w:hAnsi="Verdana"/>
          <w:i/>
          <w:color w:val="000000" w:themeColor="text1"/>
          <w:sz w:val="20"/>
          <w:szCs w:val="20"/>
        </w:rPr>
        <w:t>Masacre de la Aldea Los Josefinos Vs. Guatemala</w:t>
      </w:r>
      <w:r w:rsidRPr="00E50A7F">
        <w:rPr>
          <w:rFonts w:ascii="Verdana" w:hAnsi="Verdana"/>
          <w:color w:val="000000" w:themeColor="text1"/>
          <w:sz w:val="20"/>
          <w:szCs w:val="20"/>
        </w:rPr>
        <w:t>,</w:t>
      </w:r>
    </w:p>
    <w:p w14:paraId="48A9E274" w14:textId="77777777" w:rsidR="00D91AF5" w:rsidRPr="00E50A7F" w:rsidRDefault="00D91AF5" w:rsidP="00D91AF5">
      <w:pPr>
        <w:spacing w:after="0" w:line="240" w:lineRule="auto"/>
        <w:rPr>
          <w:rFonts w:ascii="Verdana" w:hAnsi="Verdana"/>
          <w:color w:val="000000" w:themeColor="text1"/>
          <w:sz w:val="20"/>
          <w:szCs w:val="20"/>
        </w:rPr>
      </w:pPr>
    </w:p>
    <w:p w14:paraId="38614F3D" w14:textId="128A5FA5" w:rsidR="00D91AF5" w:rsidRPr="00E50A7F" w:rsidRDefault="00D91AF5" w:rsidP="00965CDE">
      <w:pPr>
        <w:spacing w:after="0" w:line="240" w:lineRule="auto"/>
        <w:jc w:val="both"/>
        <w:rPr>
          <w:rFonts w:ascii="Verdana" w:hAnsi="Verdana"/>
          <w:color w:val="000000" w:themeColor="text1"/>
          <w:sz w:val="20"/>
          <w:szCs w:val="20"/>
        </w:rPr>
      </w:pPr>
      <w:r w:rsidRPr="00E50A7F">
        <w:rPr>
          <w:rFonts w:ascii="Verdana" w:hAnsi="Verdana"/>
          <w:color w:val="000000" w:themeColor="text1"/>
          <w:sz w:val="20"/>
          <w:szCs w:val="20"/>
        </w:rPr>
        <w:t>la Corte Interamericana de Derechos Humanos (en adelante “la Corte Interamericana”, “la Corte” o “</w:t>
      </w:r>
      <w:r w:rsidR="00AA67ED" w:rsidRPr="00E50A7F">
        <w:rPr>
          <w:rFonts w:ascii="Verdana" w:hAnsi="Verdana"/>
          <w:color w:val="000000" w:themeColor="text1"/>
          <w:sz w:val="20"/>
          <w:szCs w:val="20"/>
        </w:rPr>
        <w:t>el</w:t>
      </w:r>
      <w:r w:rsidRPr="00E50A7F">
        <w:rPr>
          <w:rFonts w:ascii="Verdana" w:hAnsi="Verdana"/>
          <w:color w:val="000000" w:themeColor="text1"/>
          <w:sz w:val="20"/>
          <w:szCs w:val="20"/>
        </w:rPr>
        <w:t xml:space="preserve"> Tribunal”)</w:t>
      </w:r>
      <w:r w:rsidR="00EB7379" w:rsidRPr="00E50A7F">
        <w:rPr>
          <w:rFonts w:ascii="Verdana" w:hAnsi="Verdana"/>
          <w:color w:val="000000" w:themeColor="text1"/>
          <w:sz w:val="20"/>
          <w:szCs w:val="20"/>
        </w:rPr>
        <w:t>, integrada por los siguientes J</w:t>
      </w:r>
      <w:r w:rsidRPr="00E50A7F">
        <w:rPr>
          <w:rFonts w:ascii="Verdana" w:hAnsi="Verdana"/>
          <w:color w:val="000000" w:themeColor="text1"/>
          <w:sz w:val="20"/>
          <w:szCs w:val="20"/>
        </w:rPr>
        <w:t>ueces</w:t>
      </w:r>
      <w:r w:rsidR="00CF0B63">
        <w:rPr>
          <w:rStyle w:val="Refdenotaalpie"/>
          <w:rFonts w:ascii="Verdana" w:hAnsi="Verdana"/>
          <w:b/>
          <w:color w:val="000000" w:themeColor="text1"/>
          <w:sz w:val="20"/>
          <w:szCs w:val="20"/>
        </w:rPr>
        <w:footnoteReference w:customMarkFollows="1" w:id="1"/>
        <w:t>*</w:t>
      </w:r>
      <w:r w:rsidRPr="00E50A7F">
        <w:rPr>
          <w:rFonts w:ascii="Verdana" w:hAnsi="Verdana"/>
          <w:color w:val="000000" w:themeColor="text1"/>
          <w:sz w:val="20"/>
          <w:szCs w:val="20"/>
        </w:rPr>
        <w:t>:</w:t>
      </w:r>
    </w:p>
    <w:p w14:paraId="08299B80" w14:textId="77777777" w:rsidR="00D91AF5" w:rsidRPr="00E50A7F" w:rsidRDefault="00D91AF5" w:rsidP="00D91AF5">
      <w:pPr>
        <w:spacing w:after="0" w:line="240" w:lineRule="auto"/>
        <w:rPr>
          <w:rFonts w:ascii="Verdana" w:hAnsi="Verdana"/>
          <w:color w:val="000000" w:themeColor="text1"/>
          <w:sz w:val="20"/>
          <w:szCs w:val="20"/>
        </w:rPr>
      </w:pPr>
    </w:p>
    <w:p w14:paraId="744CCF40" w14:textId="217ECA19" w:rsidR="00EB7379" w:rsidRPr="00E50A7F" w:rsidRDefault="00EB7379" w:rsidP="00D91AF5">
      <w:pPr>
        <w:spacing w:after="0" w:line="240" w:lineRule="auto"/>
        <w:rPr>
          <w:rFonts w:ascii="Verdana" w:hAnsi="Verdana"/>
          <w:color w:val="000000" w:themeColor="text1"/>
          <w:sz w:val="20"/>
          <w:szCs w:val="20"/>
        </w:rPr>
      </w:pPr>
      <w:r w:rsidRPr="00E50A7F">
        <w:rPr>
          <w:rFonts w:ascii="Verdana" w:hAnsi="Verdana"/>
          <w:color w:val="000000" w:themeColor="text1"/>
          <w:sz w:val="20"/>
          <w:szCs w:val="20"/>
        </w:rPr>
        <w:t xml:space="preserve">L. Patricio Pazmiño Freire, </w:t>
      </w:r>
      <w:r w:rsidR="006E0CDE">
        <w:rPr>
          <w:rFonts w:ascii="Verdana" w:hAnsi="Verdana"/>
          <w:color w:val="000000" w:themeColor="text1"/>
          <w:sz w:val="20"/>
          <w:szCs w:val="20"/>
        </w:rPr>
        <w:t>P</w:t>
      </w:r>
      <w:r w:rsidRPr="00E50A7F">
        <w:rPr>
          <w:rFonts w:ascii="Verdana" w:hAnsi="Verdana"/>
          <w:color w:val="000000" w:themeColor="text1"/>
          <w:sz w:val="20"/>
          <w:szCs w:val="20"/>
        </w:rPr>
        <w:t>residente</w:t>
      </w:r>
      <w:r w:rsidR="006E0CDE">
        <w:rPr>
          <w:rFonts w:ascii="Verdana" w:hAnsi="Verdana"/>
          <w:color w:val="000000" w:themeColor="text1"/>
          <w:sz w:val="20"/>
          <w:szCs w:val="20"/>
        </w:rPr>
        <w:t xml:space="preserve"> en ejercicio</w:t>
      </w:r>
      <w:r w:rsidRPr="00E50A7F">
        <w:rPr>
          <w:rFonts w:ascii="Verdana" w:hAnsi="Verdana"/>
          <w:color w:val="000000" w:themeColor="text1"/>
          <w:sz w:val="20"/>
          <w:szCs w:val="20"/>
        </w:rPr>
        <w:t xml:space="preserve">; </w:t>
      </w:r>
    </w:p>
    <w:p w14:paraId="42435CDF" w14:textId="77777777" w:rsidR="00EB7379" w:rsidRPr="00E50A7F" w:rsidRDefault="00EB7379" w:rsidP="00D91AF5">
      <w:pPr>
        <w:spacing w:after="0" w:line="240" w:lineRule="auto"/>
        <w:rPr>
          <w:rFonts w:ascii="Verdana" w:hAnsi="Verdana"/>
          <w:color w:val="000000" w:themeColor="text1"/>
          <w:sz w:val="20"/>
          <w:szCs w:val="20"/>
        </w:rPr>
      </w:pPr>
      <w:r w:rsidRPr="00E50A7F">
        <w:rPr>
          <w:rFonts w:ascii="Verdana" w:hAnsi="Verdana"/>
          <w:color w:val="000000" w:themeColor="text1"/>
          <w:sz w:val="20"/>
          <w:szCs w:val="20"/>
        </w:rPr>
        <w:t xml:space="preserve">Humberto Antonio Sierra Porto, Juez; </w:t>
      </w:r>
    </w:p>
    <w:p w14:paraId="2D4EAFBA" w14:textId="77777777" w:rsidR="00EB7379" w:rsidRPr="00863220" w:rsidRDefault="00EB7379" w:rsidP="00D91AF5">
      <w:pPr>
        <w:spacing w:after="0" w:line="240" w:lineRule="auto"/>
        <w:rPr>
          <w:rFonts w:ascii="Verdana" w:hAnsi="Verdana"/>
          <w:color w:val="000000" w:themeColor="text1"/>
          <w:sz w:val="20"/>
          <w:szCs w:val="20"/>
          <w:lang w:val="pt-BR"/>
        </w:rPr>
      </w:pPr>
      <w:r w:rsidRPr="00863220">
        <w:rPr>
          <w:rFonts w:ascii="Verdana" w:hAnsi="Verdana"/>
          <w:color w:val="000000" w:themeColor="text1"/>
          <w:sz w:val="20"/>
          <w:szCs w:val="20"/>
          <w:lang w:val="pt-BR"/>
        </w:rPr>
        <w:t xml:space="preserve">Eduardo Ferrer Mac-Gregor Poisot, Juez; </w:t>
      </w:r>
    </w:p>
    <w:p w14:paraId="3EB84ECF" w14:textId="3D0FEFDA" w:rsidR="00EB7379" w:rsidRPr="00E50A7F" w:rsidRDefault="00EB7379" w:rsidP="00D91AF5">
      <w:pPr>
        <w:spacing w:after="0" w:line="240" w:lineRule="auto"/>
        <w:rPr>
          <w:rFonts w:ascii="Verdana" w:hAnsi="Verdana"/>
          <w:color w:val="000000" w:themeColor="text1"/>
          <w:sz w:val="20"/>
          <w:szCs w:val="20"/>
        </w:rPr>
      </w:pPr>
      <w:r w:rsidRPr="00E50A7F">
        <w:rPr>
          <w:rFonts w:ascii="Verdana" w:hAnsi="Verdana"/>
          <w:color w:val="000000" w:themeColor="text1"/>
          <w:sz w:val="20"/>
          <w:szCs w:val="20"/>
        </w:rPr>
        <w:t>Eugenio Raúl Zaffaroni, Juez, y</w:t>
      </w:r>
      <w:r w:rsidR="003A673A" w:rsidRPr="00E50A7F">
        <w:rPr>
          <w:rFonts w:ascii="Verdana" w:hAnsi="Verdana"/>
          <w:color w:val="000000" w:themeColor="text1"/>
          <w:sz w:val="20"/>
          <w:szCs w:val="20"/>
        </w:rPr>
        <w:t xml:space="preserve"> </w:t>
      </w:r>
    </w:p>
    <w:p w14:paraId="3FB425AE" w14:textId="77777777" w:rsidR="00BD5ECF" w:rsidRPr="00E50A7F" w:rsidRDefault="00EB7379" w:rsidP="00D91AF5">
      <w:pPr>
        <w:spacing w:after="0" w:line="240" w:lineRule="auto"/>
        <w:rPr>
          <w:rFonts w:ascii="Verdana" w:hAnsi="Verdana"/>
          <w:color w:val="000000" w:themeColor="text1"/>
          <w:sz w:val="20"/>
          <w:szCs w:val="20"/>
        </w:rPr>
      </w:pPr>
      <w:r w:rsidRPr="00E50A7F">
        <w:rPr>
          <w:rFonts w:ascii="Verdana" w:hAnsi="Verdana"/>
          <w:color w:val="000000" w:themeColor="text1"/>
          <w:sz w:val="20"/>
          <w:szCs w:val="20"/>
        </w:rPr>
        <w:t>Ricardo Pérez Manrique, Juez.</w:t>
      </w:r>
    </w:p>
    <w:p w14:paraId="7D164CD0" w14:textId="77777777" w:rsidR="00EB7379" w:rsidRPr="00E50A7F" w:rsidRDefault="00EB7379" w:rsidP="00D91AF5">
      <w:pPr>
        <w:spacing w:after="0" w:line="240" w:lineRule="auto"/>
        <w:rPr>
          <w:rFonts w:ascii="Verdana" w:hAnsi="Verdana"/>
          <w:color w:val="000000" w:themeColor="text1"/>
          <w:sz w:val="20"/>
          <w:szCs w:val="20"/>
        </w:rPr>
      </w:pPr>
    </w:p>
    <w:p w14:paraId="5B8DC823" w14:textId="77777777" w:rsidR="00BD5ECF" w:rsidRPr="00E50A7F" w:rsidRDefault="00BD5ECF" w:rsidP="00D91AF5">
      <w:pPr>
        <w:spacing w:after="0" w:line="240" w:lineRule="auto"/>
        <w:rPr>
          <w:rFonts w:ascii="Verdana" w:hAnsi="Verdana"/>
          <w:color w:val="000000" w:themeColor="text1"/>
          <w:sz w:val="20"/>
          <w:szCs w:val="20"/>
        </w:rPr>
      </w:pPr>
      <w:r w:rsidRPr="00E50A7F">
        <w:rPr>
          <w:rFonts w:ascii="Verdana" w:hAnsi="Verdana"/>
          <w:color w:val="000000" w:themeColor="text1"/>
          <w:sz w:val="20"/>
          <w:szCs w:val="20"/>
        </w:rPr>
        <w:t>presente</w:t>
      </w:r>
      <w:r w:rsidR="00EB7379" w:rsidRPr="00E50A7F">
        <w:rPr>
          <w:rFonts w:ascii="Verdana" w:hAnsi="Verdana"/>
          <w:color w:val="000000" w:themeColor="text1"/>
          <w:sz w:val="20"/>
          <w:szCs w:val="20"/>
        </w:rPr>
        <w:t>s</w:t>
      </w:r>
      <w:r w:rsidRPr="00E50A7F">
        <w:rPr>
          <w:rFonts w:ascii="Verdana" w:hAnsi="Verdana"/>
          <w:color w:val="000000" w:themeColor="text1"/>
          <w:sz w:val="20"/>
          <w:szCs w:val="20"/>
        </w:rPr>
        <w:t xml:space="preserve">, además, </w:t>
      </w:r>
    </w:p>
    <w:p w14:paraId="6943DB3A" w14:textId="77777777" w:rsidR="00BD5ECF" w:rsidRPr="00E50A7F" w:rsidRDefault="00BD5ECF" w:rsidP="00D91AF5">
      <w:pPr>
        <w:spacing w:after="0" w:line="240" w:lineRule="auto"/>
        <w:rPr>
          <w:rFonts w:ascii="Verdana" w:hAnsi="Verdana"/>
          <w:color w:val="000000" w:themeColor="text1"/>
          <w:sz w:val="20"/>
          <w:szCs w:val="20"/>
        </w:rPr>
      </w:pPr>
    </w:p>
    <w:p w14:paraId="6B3E2B37" w14:textId="77777777" w:rsidR="00BD5ECF" w:rsidRPr="00E50A7F" w:rsidRDefault="00BD5ECF" w:rsidP="00A03487">
      <w:pPr>
        <w:spacing w:after="0" w:line="240" w:lineRule="auto"/>
        <w:rPr>
          <w:rFonts w:ascii="Verdana" w:hAnsi="Verdana"/>
          <w:color w:val="000000" w:themeColor="text1"/>
          <w:sz w:val="20"/>
          <w:szCs w:val="20"/>
        </w:rPr>
      </w:pPr>
      <w:r w:rsidRPr="00E50A7F">
        <w:rPr>
          <w:rFonts w:ascii="Verdana" w:hAnsi="Verdana"/>
          <w:color w:val="000000" w:themeColor="text1"/>
          <w:sz w:val="20"/>
          <w:szCs w:val="20"/>
        </w:rPr>
        <w:t xml:space="preserve">Pablo Saavedra Alessandri, Secretario, </w:t>
      </w:r>
    </w:p>
    <w:p w14:paraId="4B0CD371" w14:textId="77777777" w:rsidR="00BD5ECF" w:rsidRPr="00E50A7F" w:rsidRDefault="00EB7379" w:rsidP="00D91AF5">
      <w:pPr>
        <w:spacing w:after="0" w:line="240" w:lineRule="auto"/>
        <w:rPr>
          <w:rFonts w:ascii="Verdana" w:hAnsi="Verdana"/>
          <w:color w:val="000000" w:themeColor="text1"/>
          <w:sz w:val="20"/>
          <w:szCs w:val="20"/>
        </w:rPr>
      </w:pPr>
      <w:r w:rsidRPr="00E50A7F">
        <w:rPr>
          <w:rFonts w:ascii="Verdana" w:hAnsi="Verdana"/>
          <w:color w:val="000000" w:themeColor="text1"/>
          <w:sz w:val="20"/>
          <w:szCs w:val="20"/>
        </w:rPr>
        <w:t>Romina I. Sijniensky, Secretaria Adjunta,</w:t>
      </w:r>
    </w:p>
    <w:p w14:paraId="461876A2" w14:textId="77777777" w:rsidR="00EB7379" w:rsidRPr="00E50A7F" w:rsidRDefault="00EB7379" w:rsidP="00D91AF5">
      <w:pPr>
        <w:spacing w:after="0" w:line="240" w:lineRule="auto"/>
        <w:rPr>
          <w:rFonts w:ascii="Verdana" w:hAnsi="Verdana"/>
          <w:color w:val="000000" w:themeColor="text1"/>
          <w:sz w:val="20"/>
          <w:szCs w:val="20"/>
        </w:rPr>
      </w:pPr>
    </w:p>
    <w:p w14:paraId="338C03DD" w14:textId="47852A46" w:rsidR="00BD5ECF" w:rsidRPr="00E50A7F" w:rsidRDefault="00BD5ECF" w:rsidP="00BD5ECF">
      <w:pPr>
        <w:spacing w:after="0" w:line="240" w:lineRule="auto"/>
        <w:jc w:val="both"/>
        <w:rPr>
          <w:rFonts w:ascii="Verdana" w:hAnsi="Verdana"/>
          <w:color w:val="000000" w:themeColor="text1"/>
          <w:sz w:val="20"/>
          <w:szCs w:val="20"/>
        </w:rPr>
      </w:pPr>
      <w:r w:rsidRPr="00E50A7F">
        <w:rPr>
          <w:rFonts w:ascii="Verdana" w:hAnsi="Verdana"/>
          <w:color w:val="000000" w:themeColor="text1"/>
          <w:sz w:val="20"/>
          <w:szCs w:val="20"/>
        </w:rPr>
        <w:t xml:space="preserve">de conformidad con el artículo 67 de la Convención Americana sobre Derechos Humanos (en adelante </w:t>
      </w:r>
      <w:r w:rsidR="00726F1E" w:rsidRPr="00E50A7F">
        <w:rPr>
          <w:rFonts w:ascii="Verdana" w:hAnsi="Verdana"/>
          <w:color w:val="000000" w:themeColor="text1"/>
          <w:sz w:val="20"/>
          <w:szCs w:val="20"/>
        </w:rPr>
        <w:t xml:space="preserve">también </w:t>
      </w:r>
      <w:r w:rsidRPr="00E50A7F">
        <w:rPr>
          <w:rFonts w:ascii="Verdana" w:hAnsi="Verdana"/>
          <w:color w:val="000000" w:themeColor="text1"/>
          <w:sz w:val="20"/>
          <w:szCs w:val="20"/>
        </w:rPr>
        <w:t>“la Convención</w:t>
      </w:r>
      <w:r w:rsidR="00726F1E" w:rsidRPr="00E50A7F">
        <w:rPr>
          <w:rFonts w:ascii="Verdana" w:hAnsi="Verdana"/>
          <w:color w:val="000000" w:themeColor="text1"/>
          <w:sz w:val="20"/>
          <w:szCs w:val="20"/>
        </w:rPr>
        <w:t xml:space="preserve"> Americana</w:t>
      </w:r>
      <w:r w:rsidRPr="00E50A7F">
        <w:rPr>
          <w:rFonts w:ascii="Verdana" w:hAnsi="Verdana"/>
          <w:color w:val="000000" w:themeColor="text1"/>
          <w:sz w:val="20"/>
          <w:szCs w:val="20"/>
        </w:rPr>
        <w:t>”</w:t>
      </w:r>
      <w:r w:rsidR="00726F1E" w:rsidRPr="00E50A7F">
        <w:rPr>
          <w:rFonts w:ascii="Verdana" w:hAnsi="Verdana"/>
          <w:color w:val="000000" w:themeColor="text1"/>
          <w:sz w:val="20"/>
          <w:szCs w:val="20"/>
        </w:rPr>
        <w:t xml:space="preserve"> o “la Convención”</w:t>
      </w:r>
      <w:r w:rsidRPr="00E50A7F">
        <w:rPr>
          <w:rFonts w:ascii="Verdana" w:hAnsi="Verdana"/>
          <w:color w:val="000000" w:themeColor="text1"/>
          <w:sz w:val="20"/>
          <w:szCs w:val="20"/>
        </w:rPr>
        <w:t>) y el artículo 68 del Reglamento de la Corte (en adelante “el Reglamento”), resuelve la</w:t>
      </w:r>
      <w:r w:rsidR="00EB7379" w:rsidRPr="00E50A7F">
        <w:rPr>
          <w:rFonts w:ascii="Verdana" w:hAnsi="Verdana"/>
          <w:color w:val="000000" w:themeColor="text1"/>
          <w:sz w:val="20"/>
          <w:szCs w:val="20"/>
        </w:rPr>
        <w:t>s</w:t>
      </w:r>
      <w:r w:rsidRPr="00E50A7F">
        <w:rPr>
          <w:rFonts w:ascii="Verdana" w:hAnsi="Verdana"/>
          <w:color w:val="000000" w:themeColor="text1"/>
          <w:sz w:val="20"/>
          <w:szCs w:val="20"/>
        </w:rPr>
        <w:t xml:space="preserve"> solicitud</w:t>
      </w:r>
      <w:r w:rsidR="00EB7379" w:rsidRPr="00E50A7F">
        <w:rPr>
          <w:rFonts w:ascii="Verdana" w:hAnsi="Verdana"/>
          <w:color w:val="000000" w:themeColor="text1"/>
          <w:sz w:val="20"/>
          <w:szCs w:val="20"/>
        </w:rPr>
        <w:t>es</w:t>
      </w:r>
      <w:r w:rsidRPr="00E50A7F">
        <w:rPr>
          <w:rFonts w:ascii="Verdana" w:hAnsi="Verdana"/>
          <w:color w:val="000000" w:themeColor="text1"/>
          <w:sz w:val="20"/>
          <w:szCs w:val="20"/>
        </w:rPr>
        <w:t xml:space="preserve"> de interpretación de la Sentencia de </w:t>
      </w:r>
      <w:r w:rsidR="00A57FD4" w:rsidRPr="00E50A7F">
        <w:rPr>
          <w:rFonts w:ascii="Verdana" w:hAnsi="Verdana"/>
          <w:color w:val="000000" w:themeColor="text1"/>
          <w:sz w:val="20"/>
          <w:szCs w:val="20"/>
        </w:rPr>
        <w:t xml:space="preserve">Excepción Preliminar, </w:t>
      </w:r>
      <w:r w:rsidR="00726F1E" w:rsidRPr="00E50A7F">
        <w:rPr>
          <w:rFonts w:ascii="Verdana" w:hAnsi="Verdana"/>
          <w:color w:val="000000" w:themeColor="text1"/>
          <w:sz w:val="20"/>
          <w:szCs w:val="20"/>
        </w:rPr>
        <w:t>F</w:t>
      </w:r>
      <w:r w:rsidR="00EB7379" w:rsidRPr="00E50A7F">
        <w:rPr>
          <w:rFonts w:ascii="Verdana" w:hAnsi="Verdana"/>
          <w:color w:val="000000" w:themeColor="text1"/>
          <w:sz w:val="20"/>
          <w:szCs w:val="20"/>
        </w:rPr>
        <w:t>ondo</w:t>
      </w:r>
      <w:r w:rsidR="00A57FD4" w:rsidRPr="00E50A7F">
        <w:rPr>
          <w:rFonts w:ascii="Verdana" w:hAnsi="Verdana"/>
          <w:color w:val="000000" w:themeColor="text1"/>
          <w:sz w:val="20"/>
          <w:szCs w:val="20"/>
        </w:rPr>
        <w:t xml:space="preserve">, </w:t>
      </w:r>
      <w:r w:rsidR="00726F1E" w:rsidRPr="00E50A7F">
        <w:rPr>
          <w:rFonts w:ascii="Verdana" w:hAnsi="Verdana"/>
          <w:color w:val="000000" w:themeColor="text1"/>
          <w:sz w:val="20"/>
          <w:szCs w:val="20"/>
        </w:rPr>
        <w:t>Reparaciones</w:t>
      </w:r>
      <w:r w:rsidR="00A57FD4" w:rsidRPr="00E50A7F">
        <w:rPr>
          <w:rFonts w:ascii="Verdana" w:hAnsi="Verdana"/>
          <w:color w:val="000000" w:themeColor="text1"/>
          <w:sz w:val="20"/>
          <w:szCs w:val="20"/>
        </w:rPr>
        <w:t xml:space="preserve"> y Costas</w:t>
      </w:r>
      <w:r w:rsidR="00726F1E" w:rsidRPr="00E50A7F">
        <w:rPr>
          <w:rFonts w:ascii="Verdana" w:hAnsi="Verdana"/>
          <w:color w:val="000000" w:themeColor="text1"/>
          <w:sz w:val="20"/>
          <w:szCs w:val="20"/>
        </w:rPr>
        <w:t xml:space="preserve"> </w:t>
      </w:r>
      <w:r w:rsidR="004A56D9" w:rsidRPr="00E50A7F">
        <w:rPr>
          <w:rFonts w:ascii="Verdana" w:hAnsi="Verdana"/>
          <w:color w:val="000000" w:themeColor="text1"/>
          <w:sz w:val="20"/>
          <w:szCs w:val="20"/>
        </w:rPr>
        <w:t xml:space="preserve">emitida </w:t>
      </w:r>
      <w:r w:rsidRPr="00E50A7F">
        <w:rPr>
          <w:rFonts w:ascii="Verdana" w:hAnsi="Verdana"/>
          <w:color w:val="000000" w:themeColor="text1"/>
          <w:sz w:val="20"/>
          <w:szCs w:val="20"/>
        </w:rPr>
        <w:t xml:space="preserve">por este Tribunal el </w:t>
      </w:r>
      <w:r w:rsidR="00EB7379" w:rsidRPr="00E50A7F">
        <w:rPr>
          <w:rFonts w:ascii="Verdana" w:hAnsi="Verdana"/>
          <w:color w:val="000000" w:themeColor="text1"/>
          <w:sz w:val="20"/>
          <w:szCs w:val="20"/>
        </w:rPr>
        <w:t>3</w:t>
      </w:r>
      <w:r w:rsidRPr="00E50A7F">
        <w:rPr>
          <w:rFonts w:ascii="Verdana" w:hAnsi="Verdana"/>
          <w:color w:val="000000" w:themeColor="text1"/>
          <w:sz w:val="20"/>
          <w:szCs w:val="20"/>
        </w:rPr>
        <w:t xml:space="preserve"> de </w:t>
      </w:r>
      <w:r w:rsidR="00A57FD4" w:rsidRPr="00E50A7F">
        <w:rPr>
          <w:rFonts w:ascii="Verdana" w:hAnsi="Verdana"/>
          <w:color w:val="000000" w:themeColor="text1"/>
          <w:sz w:val="20"/>
          <w:szCs w:val="20"/>
        </w:rPr>
        <w:t>noviembre de 2021</w:t>
      </w:r>
      <w:r w:rsidRPr="00E50A7F">
        <w:rPr>
          <w:rFonts w:ascii="Verdana" w:hAnsi="Verdana"/>
          <w:color w:val="000000" w:themeColor="text1"/>
          <w:sz w:val="20"/>
          <w:szCs w:val="20"/>
        </w:rPr>
        <w:t xml:space="preserve"> en el presente caso (en adelante también “la Sentencia”), interpuesta</w:t>
      </w:r>
      <w:r w:rsidR="00EB7379" w:rsidRPr="00E50A7F">
        <w:rPr>
          <w:rFonts w:ascii="Verdana" w:hAnsi="Verdana"/>
          <w:color w:val="000000" w:themeColor="text1"/>
          <w:sz w:val="20"/>
          <w:szCs w:val="20"/>
        </w:rPr>
        <w:t>s</w:t>
      </w:r>
      <w:r w:rsidR="00CC22B5" w:rsidRPr="00E50A7F">
        <w:rPr>
          <w:rFonts w:ascii="Verdana" w:hAnsi="Verdana"/>
          <w:color w:val="000000" w:themeColor="text1"/>
          <w:sz w:val="20"/>
          <w:szCs w:val="20"/>
        </w:rPr>
        <w:t>, respectivamente,</w:t>
      </w:r>
      <w:r w:rsidR="00EB7379" w:rsidRPr="00E50A7F">
        <w:rPr>
          <w:rFonts w:ascii="Verdana" w:hAnsi="Verdana"/>
          <w:color w:val="000000" w:themeColor="text1"/>
          <w:sz w:val="20"/>
          <w:szCs w:val="20"/>
        </w:rPr>
        <w:t xml:space="preserve"> el </w:t>
      </w:r>
      <w:r w:rsidR="00A57FD4" w:rsidRPr="00E50A7F">
        <w:rPr>
          <w:rFonts w:ascii="Verdana" w:hAnsi="Verdana"/>
          <w:color w:val="000000" w:themeColor="text1"/>
          <w:sz w:val="20"/>
          <w:szCs w:val="20"/>
        </w:rPr>
        <w:t xml:space="preserve">16 de marzo de </w:t>
      </w:r>
      <w:r w:rsidR="00DF5C3F" w:rsidRPr="00E50A7F">
        <w:rPr>
          <w:rFonts w:ascii="Verdana" w:hAnsi="Verdana"/>
          <w:color w:val="000000" w:themeColor="text1"/>
          <w:sz w:val="20"/>
          <w:szCs w:val="20"/>
        </w:rPr>
        <w:t>2022</w:t>
      </w:r>
      <w:r w:rsidR="00EB7379" w:rsidRPr="00E50A7F">
        <w:rPr>
          <w:rFonts w:ascii="Verdana" w:hAnsi="Verdana"/>
          <w:color w:val="000000" w:themeColor="text1"/>
          <w:sz w:val="20"/>
          <w:szCs w:val="20"/>
        </w:rPr>
        <w:t xml:space="preserve"> y el </w:t>
      </w:r>
      <w:r w:rsidR="00A57FD4" w:rsidRPr="00E50A7F">
        <w:rPr>
          <w:rFonts w:ascii="Verdana" w:hAnsi="Verdana"/>
          <w:color w:val="000000" w:themeColor="text1"/>
          <w:sz w:val="20"/>
          <w:szCs w:val="20"/>
        </w:rPr>
        <w:t>21</w:t>
      </w:r>
      <w:r w:rsidR="00EB7379" w:rsidRPr="00E50A7F">
        <w:rPr>
          <w:rFonts w:ascii="Verdana" w:hAnsi="Verdana"/>
          <w:color w:val="000000" w:themeColor="text1"/>
          <w:sz w:val="20"/>
          <w:szCs w:val="20"/>
        </w:rPr>
        <w:t xml:space="preserve"> de </w:t>
      </w:r>
      <w:r w:rsidR="00A57FD4" w:rsidRPr="00E50A7F">
        <w:rPr>
          <w:rFonts w:ascii="Verdana" w:hAnsi="Verdana"/>
          <w:color w:val="000000" w:themeColor="text1"/>
          <w:sz w:val="20"/>
          <w:szCs w:val="20"/>
        </w:rPr>
        <w:t xml:space="preserve">marzo de </w:t>
      </w:r>
      <w:r w:rsidR="00DF5C3F" w:rsidRPr="00E50A7F">
        <w:rPr>
          <w:rFonts w:ascii="Verdana" w:hAnsi="Verdana"/>
          <w:color w:val="000000" w:themeColor="text1"/>
          <w:sz w:val="20"/>
          <w:szCs w:val="20"/>
        </w:rPr>
        <w:t>2022</w:t>
      </w:r>
      <w:r w:rsidR="00EB7379" w:rsidRPr="00E50A7F">
        <w:rPr>
          <w:rFonts w:ascii="Verdana" w:hAnsi="Verdana"/>
          <w:color w:val="000000" w:themeColor="text1"/>
          <w:sz w:val="20"/>
          <w:szCs w:val="20"/>
        </w:rPr>
        <w:t xml:space="preserve">, por el </w:t>
      </w:r>
      <w:r w:rsidR="00A57FD4" w:rsidRPr="00E50A7F">
        <w:rPr>
          <w:rFonts w:ascii="Verdana" w:hAnsi="Verdana"/>
          <w:color w:val="000000" w:themeColor="text1"/>
          <w:sz w:val="20"/>
          <w:szCs w:val="20"/>
        </w:rPr>
        <w:t xml:space="preserve">Estado de Guatemala (en adelante “el Estado” o “Guatemala”) y los representantes </w:t>
      </w:r>
      <w:r w:rsidR="00EB7379" w:rsidRPr="00E50A7F">
        <w:rPr>
          <w:rFonts w:ascii="Verdana" w:hAnsi="Verdana"/>
          <w:color w:val="000000" w:themeColor="text1"/>
          <w:sz w:val="20"/>
          <w:szCs w:val="20"/>
        </w:rPr>
        <w:t xml:space="preserve">de las víctimas </w:t>
      </w:r>
      <w:r w:rsidRPr="00E50A7F">
        <w:rPr>
          <w:rFonts w:ascii="Verdana" w:hAnsi="Verdana"/>
          <w:color w:val="000000" w:themeColor="text1"/>
          <w:sz w:val="20"/>
          <w:szCs w:val="20"/>
        </w:rPr>
        <w:t>(en adelante “</w:t>
      </w:r>
      <w:r w:rsidR="00A57FD4" w:rsidRPr="00E50A7F">
        <w:rPr>
          <w:rFonts w:ascii="Verdana" w:hAnsi="Verdana"/>
          <w:color w:val="000000" w:themeColor="text1"/>
          <w:sz w:val="20"/>
          <w:szCs w:val="20"/>
        </w:rPr>
        <w:t>los representantes de las víctimas</w:t>
      </w:r>
      <w:r w:rsidRPr="00E50A7F">
        <w:rPr>
          <w:rFonts w:ascii="Verdana" w:hAnsi="Verdana"/>
          <w:color w:val="000000" w:themeColor="text1"/>
          <w:sz w:val="20"/>
          <w:szCs w:val="20"/>
        </w:rPr>
        <w:t>” o “</w:t>
      </w:r>
      <w:r w:rsidR="00A57FD4" w:rsidRPr="00E50A7F">
        <w:rPr>
          <w:rFonts w:ascii="Verdana" w:hAnsi="Verdana"/>
          <w:color w:val="000000" w:themeColor="text1"/>
          <w:sz w:val="20"/>
          <w:szCs w:val="20"/>
        </w:rPr>
        <w:t>los representantes”)</w:t>
      </w:r>
      <w:r w:rsidR="00991567" w:rsidRPr="00E50A7F">
        <w:rPr>
          <w:rFonts w:ascii="Verdana" w:hAnsi="Verdana"/>
          <w:color w:val="000000" w:themeColor="text1"/>
          <w:sz w:val="20"/>
          <w:szCs w:val="20"/>
        </w:rPr>
        <w:t>, respectivamente</w:t>
      </w:r>
      <w:r w:rsidR="00A57FD4" w:rsidRPr="00E50A7F">
        <w:rPr>
          <w:rFonts w:ascii="Verdana" w:hAnsi="Verdana"/>
          <w:color w:val="000000" w:themeColor="text1"/>
          <w:sz w:val="20"/>
          <w:szCs w:val="20"/>
        </w:rPr>
        <w:t>.</w:t>
      </w:r>
      <w:r w:rsidRPr="00E50A7F">
        <w:rPr>
          <w:rFonts w:ascii="Verdana" w:hAnsi="Verdana"/>
          <w:color w:val="000000" w:themeColor="text1"/>
          <w:sz w:val="20"/>
          <w:szCs w:val="20"/>
        </w:rPr>
        <w:t xml:space="preserve"> </w:t>
      </w:r>
    </w:p>
    <w:p w14:paraId="0F64C773" w14:textId="132410F3" w:rsidR="00EB5B4E" w:rsidRPr="00E50A7F" w:rsidRDefault="00EB5B4E" w:rsidP="00BD5ECF">
      <w:pPr>
        <w:spacing w:after="0" w:line="240" w:lineRule="auto"/>
        <w:jc w:val="both"/>
        <w:rPr>
          <w:rFonts w:ascii="Verdana" w:hAnsi="Verdana"/>
          <w:color w:val="000000" w:themeColor="text1"/>
          <w:sz w:val="20"/>
          <w:szCs w:val="20"/>
        </w:rPr>
      </w:pPr>
    </w:p>
    <w:p w14:paraId="5DD1BD4D" w14:textId="77777777" w:rsidR="00BD5ECF" w:rsidRPr="00E50A7F" w:rsidRDefault="00BD5ECF" w:rsidP="00CB2E7C">
      <w:pPr>
        <w:spacing w:after="0" w:line="240" w:lineRule="auto"/>
        <w:jc w:val="center"/>
        <w:rPr>
          <w:rFonts w:ascii="Verdana" w:hAnsi="Verdana"/>
          <w:b/>
          <w:color w:val="000000" w:themeColor="text1"/>
          <w:sz w:val="20"/>
          <w:szCs w:val="20"/>
        </w:rPr>
      </w:pPr>
      <w:r w:rsidRPr="00E50A7F">
        <w:rPr>
          <w:rFonts w:ascii="Verdana" w:hAnsi="Verdana"/>
          <w:b/>
          <w:color w:val="000000" w:themeColor="text1"/>
          <w:sz w:val="20"/>
          <w:szCs w:val="20"/>
        </w:rPr>
        <w:t>I</w:t>
      </w:r>
    </w:p>
    <w:p w14:paraId="52581B0C" w14:textId="77777777" w:rsidR="00BD5ECF" w:rsidRPr="00E50A7F" w:rsidRDefault="00BD5ECF" w:rsidP="00CB2E7C">
      <w:pPr>
        <w:spacing w:after="0" w:line="240" w:lineRule="auto"/>
        <w:jc w:val="center"/>
        <w:rPr>
          <w:rFonts w:ascii="Verdana" w:hAnsi="Verdana"/>
          <w:b/>
          <w:color w:val="000000" w:themeColor="text1"/>
          <w:sz w:val="20"/>
          <w:szCs w:val="20"/>
        </w:rPr>
      </w:pPr>
      <w:r w:rsidRPr="00E50A7F">
        <w:rPr>
          <w:rFonts w:ascii="Verdana" w:hAnsi="Verdana"/>
          <w:b/>
          <w:color w:val="000000" w:themeColor="text1"/>
          <w:sz w:val="20"/>
          <w:szCs w:val="20"/>
        </w:rPr>
        <w:t>SOLICITUD DE INTERPRETACIÓN Y PROCEDIMIENTO ANTE LA CORTE</w:t>
      </w:r>
    </w:p>
    <w:p w14:paraId="191280AA" w14:textId="77777777" w:rsidR="00CB2E7C" w:rsidRPr="00E50A7F" w:rsidRDefault="00CB2E7C" w:rsidP="00CB2E7C">
      <w:pPr>
        <w:spacing w:after="0" w:line="240" w:lineRule="auto"/>
        <w:jc w:val="center"/>
        <w:rPr>
          <w:rFonts w:ascii="Verdana" w:hAnsi="Verdana"/>
          <w:b/>
          <w:color w:val="000000" w:themeColor="text1"/>
          <w:sz w:val="20"/>
          <w:szCs w:val="20"/>
        </w:rPr>
      </w:pPr>
    </w:p>
    <w:p w14:paraId="75DEC369" w14:textId="0EAD3705" w:rsidR="00BD5ECF" w:rsidRPr="00E50A7F" w:rsidRDefault="00CB2E7C" w:rsidP="00CB2E7C">
      <w:pPr>
        <w:pStyle w:val="Prrafodelista"/>
        <w:numPr>
          <w:ilvl w:val="0"/>
          <w:numId w:val="1"/>
        </w:numPr>
        <w:spacing w:after="0" w:line="240" w:lineRule="auto"/>
        <w:ind w:left="0" w:firstLine="0"/>
        <w:jc w:val="both"/>
        <w:rPr>
          <w:rFonts w:ascii="Verdana" w:hAnsi="Verdana"/>
          <w:color w:val="000000" w:themeColor="text1"/>
          <w:sz w:val="20"/>
          <w:szCs w:val="20"/>
        </w:rPr>
      </w:pPr>
      <w:r w:rsidRPr="00E50A7F">
        <w:rPr>
          <w:rFonts w:ascii="Verdana" w:hAnsi="Verdana"/>
          <w:color w:val="000000" w:themeColor="text1"/>
          <w:sz w:val="20"/>
          <w:szCs w:val="20"/>
        </w:rPr>
        <w:t xml:space="preserve">El </w:t>
      </w:r>
      <w:r w:rsidR="00A57FD4" w:rsidRPr="00E50A7F">
        <w:rPr>
          <w:rFonts w:ascii="Verdana" w:hAnsi="Verdana"/>
          <w:color w:val="000000" w:themeColor="text1"/>
          <w:sz w:val="20"/>
          <w:szCs w:val="20"/>
        </w:rPr>
        <w:t xml:space="preserve">3 de noviembre de 2021 </w:t>
      </w:r>
      <w:r w:rsidRPr="00E50A7F">
        <w:rPr>
          <w:rFonts w:ascii="Verdana" w:hAnsi="Verdana"/>
          <w:color w:val="000000" w:themeColor="text1"/>
          <w:sz w:val="20"/>
          <w:szCs w:val="20"/>
        </w:rPr>
        <w:t>la Corte Interamericana emitió la Sentencia</w:t>
      </w:r>
      <w:r w:rsidR="00185E1C" w:rsidRPr="00E50A7F">
        <w:rPr>
          <w:rFonts w:ascii="Verdana" w:hAnsi="Verdana"/>
          <w:color w:val="000000" w:themeColor="text1"/>
          <w:sz w:val="20"/>
          <w:szCs w:val="20"/>
        </w:rPr>
        <w:t xml:space="preserve"> en el presente caso</w:t>
      </w:r>
      <w:r w:rsidRPr="00E50A7F">
        <w:rPr>
          <w:rFonts w:ascii="Verdana" w:hAnsi="Verdana"/>
          <w:color w:val="000000" w:themeColor="text1"/>
          <w:sz w:val="20"/>
          <w:szCs w:val="20"/>
        </w:rPr>
        <w:t xml:space="preserve">, la cual fue notificada a las partes y a la Comisión Interamericana de Derechos Humanos (en adelante “la Comisión Interamericana” o “la Comisión”) el </w:t>
      </w:r>
      <w:r w:rsidR="00991567" w:rsidRPr="00E50A7F">
        <w:rPr>
          <w:rFonts w:ascii="Verdana" w:hAnsi="Verdana"/>
          <w:color w:val="000000" w:themeColor="text1"/>
          <w:sz w:val="20"/>
          <w:szCs w:val="20"/>
        </w:rPr>
        <w:t>21</w:t>
      </w:r>
      <w:r w:rsidRPr="00E50A7F">
        <w:rPr>
          <w:rFonts w:ascii="Verdana" w:hAnsi="Verdana"/>
          <w:color w:val="000000" w:themeColor="text1"/>
          <w:sz w:val="20"/>
          <w:szCs w:val="20"/>
        </w:rPr>
        <w:t xml:space="preserve"> de </w:t>
      </w:r>
      <w:r w:rsidR="00991567" w:rsidRPr="00E50A7F">
        <w:rPr>
          <w:rFonts w:ascii="Verdana" w:hAnsi="Verdana"/>
          <w:color w:val="000000" w:themeColor="text1"/>
          <w:sz w:val="20"/>
          <w:szCs w:val="20"/>
        </w:rPr>
        <w:t>diciembre</w:t>
      </w:r>
      <w:r w:rsidRPr="00E50A7F">
        <w:rPr>
          <w:rFonts w:ascii="Verdana" w:hAnsi="Verdana"/>
          <w:color w:val="000000" w:themeColor="text1"/>
          <w:sz w:val="20"/>
          <w:szCs w:val="20"/>
        </w:rPr>
        <w:t xml:space="preserve"> del mismo año. </w:t>
      </w:r>
    </w:p>
    <w:p w14:paraId="7DFB822F" w14:textId="77777777" w:rsidR="00CB2E7C" w:rsidRPr="00E50A7F" w:rsidRDefault="00CB2E7C" w:rsidP="00CB2E7C">
      <w:pPr>
        <w:pStyle w:val="Prrafodelista"/>
        <w:spacing w:after="0" w:line="240" w:lineRule="auto"/>
        <w:ind w:left="0"/>
        <w:jc w:val="both"/>
        <w:rPr>
          <w:rFonts w:ascii="Verdana" w:hAnsi="Verdana"/>
          <w:color w:val="000000" w:themeColor="text1"/>
          <w:sz w:val="20"/>
          <w:szCs w:val="20"/>
        </w:rPr>
      </w:pPr>
    </w:p>
    <w:p w14:paraId="5EDB998E" w14:textId="4ADE938C" w:rsidR="004A56D9" w:rsidRPr="00E50A7F" w:rsidRDefault="00CB2E7C" w:rsidP="006F7956">
      <w:pPr>
        <w:pStyle w:val="Prrafodelista"/>
        <w:numPr>
          <w:ilvl w:val="0"/>
          <w:numId w:val="1"/>
        </w:numPr>
        <w:spacing w:after="0" w:line="240" w:lineRule="auto"/>
        <w:ind w:left="0" w:firstLine="0"/>
        <w:jc w:val="both"/>
        <w:rPr>
          <w:rFonts w:ascii="Verdana" w:hAnsi="Verdana"/>
          <w:color w:val="000000" w:themeColor="text1"/>
          <w:sz w:val="20"/>
          <w:szCs w:val="20"/>
        </w:rPr>
      </w:pPr>
      <w:r w:rsidRPr="00E50A7F">
        <w:rPr>
          <w:rFonts w:ascii="Verdana" w:hAnsi="Verdana"/>
          <w:color w:val="000000" w:themeColor="text1"/>
          <w:sz w:val="20"/>
          <w:szCs w:val="20"/>
        </w:rPr>
        <w:lastRenderedPageBreak/>
        <w:t xml:space="preserve">El </w:t>
      </w:r>
      <w:r w:rsidR="00991567" w:rsidRPr="00E50A7F">
        <w:rPr>
          <w:rFonts w:ascii="Verdana" w:hAnsi="Verdana"/>
          <w:color w:val="000000" w:themeColor="text1"/>
          <w:sz w:val="20"/>
          <w:szCs w:val="20"/>
        </w:rPr>
        <w:t xml:space="preserve">16 de marzo de </w:t>
      </w:r>
      <w:r w:rsidR="001F283B" w:rsidRPr="00E50A7F">
        <w:rPr>
          <w:rFonts w:ascii="Verdana" w:hAnsi="Verdana"/>
          <w:color w:val="000000" w:themeColor="text1"/>
          <w:sz w:val="20"/>
          <w:szCs w:val="20"/>
        </w:rPr>
        <w:t>2022</w:t>
      </w:r>
      <w:r w:rsidR="00991567" w:rsidRPr="00E50A7F">
        <w:rPr>
          <w:rFonts w:ascii="Verdana" w:hAnsi="Verdana"/>
          <w:color w:val="000000" w:themeColor="text1"/>
          <w:sz w:val="20"/>
          <w:szCs w:val="20"/>
        </w:rPr>
        <w:t xml:space="preserve"> el Estado </w:t>
      </w:r>
      <w:r w:rsidR="001F283B" w:rsidRPr="00E50A7F">
        <w:rPr>
          <w:rFonts w:ascii="Verdana" w:hAnsi="Verdana"/>
          <w:color w:val="000000" w:themeColor="text1"/>
          <w:sz w:val="20"/>
          <w:szCs w:val="20"/>
        </w:rPr>
        <w:t>de Guatemala</w:t>
      </w:r>
      <w:r w:rsidR="006A44D4" w:rsidRPr="00E50A7F">
        <w:rPr>
          <w:rFonts w:ascii="Verdana" w:hAnsi="Verdana"/>
          <w:color w:val="000000" w:themeColor="text1"/>
          <w:sz w:val="20"/>
          <w:szCs w:val="20"/>
        </w:rPr>
        <w:t xml:space="preserve"> presentó</w:t>
      </w:r>
      <w:r w:rsidR="001F283B" w:rsidRPr="00E50A7F">
        <w:rPr>
          <w:rFonts w:ascii="Verdana" w:hAnsi="Verdana"/>
          <w:color w:val="000000" w:themeColor="text1"/>
          <w:sz w:val="20"/>
          <w:szCs w:val="20"/>
        </w:rPr>
        <w:t xml:space="preserve"> </w:t>
      </w:r>
      <w:r w:rsidRPr="00E50A7F">
        <w:rPr>
          <w:rFonts w:ascii="Verdana" w:hAnsi="Verdana"/>
          <w:color w:val="000000" w:themeColor="text1"/>
          <w:sz w:val="20"/>
          <w:szCs w:val="20"/>
        </w:rPr>
        <w:t>a la Corte una solicitud</w:t>
      </w:r>
      <w:r w:rsidR="004A56D9" w:rsidRPr="00E50A7F">
        <w:rPr>
          <w:rFonts w:ascii="Verdana" w:hAnsi="Verdana"/>
          <w:color w:val="000000" w:themeColor="text1"/>
          <w:sz w:val="20"/>
          <w:szCs w:val="20"/>
        </w:rPr>
        <w:t xml:space="preserve"> de interpretación</w:t>
      </w:r>
      <w:r w:rsidRPr="00E50A7F">
        <w:rPr>
          <w:rFonts w:ascii="Verdana" w:hAnsi="Verdana"/>
          <w:color w:val="000000" w:themeColor="text1"/>
          <w:sz w:val="20"/>
          <w:szCs w:val="20"/>
        </w:rPr>
        <w:t xml:space="preserve"> en relación con </w:t>
      </w:r>
      <w:r w:rsidR="00CD19D0" w:rsidRPr="00E50A7F">
        <w:rPr>
          <w:rFonts w:ascii="Verdana" w:hAnsi="Verdana"/>
          <w:color w:val="000000" w:themeColor="text1"/>
          <w:sz w:val="20"/>
          <w:szCs w:val="20"/>
        </w:rPr>
        <w:t>la determinación de víctimas efectuada en la Sentencia.</w:t>
      </w:r>
      <w:r w:rsidR="006F1078" w:rsidRPr="00E50A7F">
        <w:rPr>
          <w:rFonts w:ascii="Verdana" w:hAnsi="Verdana"/>
          <w:color w:val="000000" w:themeColor="text1"/>
          <w:sz w:val="20"/>
          <w:szCs w:val="20"/>
        </w:rPr>
        <w:t xml:space="preserve"> Asimismo, e</w:t>
      </w:r>
      <w:r w:rsidR="004A56D9" w:rsidRPr="00E50A7F">
        <w:rPr>
          <w:rFonts w:ascii="Verdana" w:hAnsi="Verdana"/>
          <w:color w:val="000000" w:themeColor="text1"/>
          <w:sz w:val="20"/>
          <w:szCs w:val="20"/>
        </w:rPr>
        <w:t xml:space="preserve">l </w:t>
      </w:r>
      <w:r w:rsidR="00991567" w:rsidRPr="00E50A7F">
        <w:rPr>
          <w:rFonts w:ascii="Verdana" w:hAnsi="Verdana"/>
          <w:color w:val="000000" w:themeColor="text1"/>
          <w:sz w:val="20"/>
          <w:szCs w:val="20"/>
        </w:rPr>
        <w:t xml:space="preserve">21 de marzo de </w:t>
      </w:r>
      <w:r w:rsidR="001F283B" w:rsidRPr="00E50A7F">
        <w:rPr>
          <w:rFonts w:ascii="Verdana" w:hAnsi="Verdana"/>
          <w:color w:val="000000" w:themeColor="text1"/>
          <w:sz w:val="20"/>
          <w:szCs w:val="20"/>
        </w:rPr>
        <w:t>2022</w:t>
      </w:r>
      <w:r w:rsidR="00991567" w:rsidRPr="00E50A7F">
        <w:rPr>
          <w:rFonts w:ascii="Verdana" w:hAnsi="Verdana"/>
          <w:color w:val="000000" w:themeColor="text1"/>
          <w:sz w:val="20"/>
          <w:szCs w:val="20"/>
        </w:rPr>
        <w:t xml:space="preserve"> los representantes</w:t>
      </w:r>
      <w:r w:rsidR="00CD6805" w:rsidRPr="00E50A7F">
        <w:rPr>
          <w:rStyle w:val="Refdenotaalpie"/>
          <w:rFonts w:ascii="Verdana" w:hAnsi="Verdana"/>
          <w:color w:val="000000" w:themeColor="text1"/>
          <w:sz w:val="20"/>
          <w:szCs w:val="20"/>
        </w:rPr>
        <w:footnoteReference w:id="2"/>
      </w:r>
      <w:r w:rsidR="00991567" w:rsidRPr="00E50A7F">
        <w:rPr>
          <w:rFonts w:ascii="Verdana" w:hAnsi="Verdana"/>
          <w:color w:val="000000" w:themeColor="text1"/>
          <w:sz w:val="20"/>
          <w:szCs w:val="20"/>
        </w:rPr>
        <w:t xml:space="preserve"> </w:t>
      </w:r>
      <w:r w:rsidR="001F283B" w:rsidRPr="00E50A7F">
        <w:rPr>
          <w:rFonts w:ascii="Verdana" w:hAnsi="Verdana"/>
          <w:color w:val="000000" w:themeColor="text1"/>
          <w:sz w:val="20"/>
          <w:szCs w:val="20"/>
        </w:rPr>
        <w:t>sometieron</w:t>
      </w:r>
      <w:r w:rsidR="004A56D9" w:rsidRPr="00E50A7F">
        <w:rPr>
          <w:rFonts w:ascii="Verdana" w:hAnsi="Verdana"/>
          <w:color w:val="000000" w:themeColor="text1"/>
          <w:sz w:val="20"/>
          <w:szCs w:val="20"/>
        </w:rPr>
        <w:t xml:space="preserve"> a la Corte una solicitud de interpretaci</w:t>
      </w:r>
      <w:r w:rsidR="00901CDD" w:rsidRPr="00E50A7F">
        <w:rPr>
          <w:rFonts w:ascii="Verdana" w:hAnsi="Verdana"/>
          <w:color w:val="000000" w:themeColor="text1"/>
          <w:sz w:val="20"/>
          <w:szCs w:val="20"/>
        </w:rPr>
        <w:t>ón relacionada con (i</w:t>
      </w:r>
      <w:r w:rsidR="00B84B9D" w:rsidRPr="00E50A7F">
        <w:rPr>
          <w:rFonts w:ascii="Verdana" w:hAnsi="Verdana"/>
          <w:color w:val="000000" w:themeColor="text1"/>
          <w:sz w:val="20"/>
          <w:szCs w:val="20"/>
        </w:rPr>
        <w:t>) la medida de retorno seguro para las personas desplazadas que así lo deseen y (ii) la</w:t>
      </w:r>
      <w:r w:rsidR="00F911EA" w:rsidRPr="00E50A7F">
        <w:rPr>
          <w:rFonts w:ascii="Verdana" w:hAnsi="Verdana"/>
          <w:color w:val="000000" w:themeColor="text1"/>
          <w:sz w:val="20"/>
          <w:szCs w:val="20"/>
        </w:rPr>
        <w:t>s</w:t>
      </w:r>
      <w:r w:rsidR="00B84B9D" w:rsidRPr="00E50A7F">
        <w:rPr>
          <w:rFonts w:ascii="Verdana" w:hAnsi="Verdana"/>
          <w:color w:val="000000" w:themeColor="text1"/>
          <w:sz w:val="20"/>
          <w:szCs w:val="20"/>
        </w:rPr>
        <w:t xml:space="preserve"> medidas de indemnización compensatorias. </w:t>
      </w:r>
    </w:p>
    <w:p w14:paraId="299ECC28" w14:textId="77777777" w:rsidR="00326C79" w:rsidRPr="00E50A7F" w:rsidRDefault="00326C79" w:rsidP="00326C79">
      <w:pPr>
        <w:pStyle w:val="Prrafodelista"/>
        <w:spacing w:after="0" w:line="240" w:lineRule="auto"/>
        <w:ind w:left="0"/>
        <w:jc w:val="both"/>
        <w:rPr>
          <w:rFonts w:ascii="Verdana" w:hAnsi="Verdana"/>
          <w:color w:val="000000" w:themeColor="text1"/>
          <w:sz w:val="20"/>
          <w:szCs w:val="20"/>
        </w:rPr>
      </w:pPr>
    </w:p>
    <w:p w14:paraId="4C0ADFC4" w14:textId="0B3C0035" w:rsidR="00BB324D" w:rsidRPr="00E50A7F" w:rsidRDefault="00BB324D" w:rsidP="00BB324D">
      <w:pPr>
        <w:pStyle w:val="Prrafodelista"/>
        <w:numPr>
          <w:ilvl w:val="0"/>
          <w:numId w:val="1"/>
        </w:numPr>
        <w:spacing w:after="0" w:line="240" w:lineRule="auto"/>
        <w:ind w:left="0" w:firstLine="0"/>
        <w:jc w:val="both"/>
        <w:rPr>
          <w:rFonts w:ascii="Verdana" w:hAnsi="Verdana"/>
          <w:color w:val="000000" w:themeColor="text1"/>
          <w:sz w:val="20"/>
          <w:szCs w:val="20"/>
        </w:rPr>
      </w:pPr>
      <w:r w:rsidRPr="00E50A7F">
        <w:rPr>
          <w:rFonts w:ascii="Verdana" w:hAnsi="Verdana"/>
          <w:color w:val="000000" w:themeColor="text1"/>
          <w:sz w:val="20"/>
          <w:szCs w:val="20"/>
        </w:rPr>
        <w:t xml:space="preserve">El </w:t>
      </w:r>
      <w:r w:rsidR="00991567" w:rsidRPr="00E50A7F">
        <w:rPr>
          <w:rFonts w:ascii="Verdana" w:hAnsi="Verdana"/>
          <w:color w:val="000000" w:themeColor="text1"/>
          <w:sz w:val="20"/>
          <w:szCs w:val="20"/>
        </w:rPr>
        <w:t>22</w:t>
      </w:r>
      <w:r w:rsidRPr="00E50A7F">
        <w:rPr>
          <w:rFonts w:ascii="Verdana" w:hAnsi="Verdana"/>
          <w:color w:val="000000" w:themeColor="text1"/>
          <w:sz w:val="20"/>
          <w:szCs w:val="20"/>
        </w:rPr>
        <w:t xml:space="preserve"> de </w:t>
      </w:r>
      <w:r w:rsidR="00991567" w:rsidRPr="00E50A7F">
        <w:rPr>
          <w:rFonts w:ascii="Verdana" w:hAnsi="Verdana"/>
          <w:color w:val="000000" w:themeColor="text1"/>
          <w:sz w:val="20"/>
          <w:szCs w:val="20"/>
        </w:rPr>
        <w:t>marzo</w:t>
      </w:r>
      <w:r w:rsidRPr="00E50A7F">
        <w:rPr>
          <w:rFonts w:ascii="Verdana" w:hAnsi="Verdana"/>
          <w:color w:val="000000" w:themeColor="text1"/>
          <w:sz w:val="20"/>
          <w:szCs w:val="20"/>
        </w:rPr>
        <w:t xml:space="preserve"> de </w:t>
      </w:r>
      <w:r w:rsidR="001F283B" w:rsidRPr="00E50A7F">
        <w:rPr>
          <w:rFonts w:ascii="Verdana" w:hAnsi="Verdana"/>
          <w:color w:val="000000" w:themeColor="text1"/>
          <w:sz w:val="20"/>
          <w:szCs w:val="20"/>
        </w:rPr>
        <w:t>2022</w:t>
      </w:r>
      <w:r w:rsidRPr="00E50A7F">
        <w:rPr>
          <w:rFonts w:ascii="Verdana" w:hAnsi="Verdana"/>
          <w:color w:val="000000" w:themeColor="text1"/>
          <w:sz w:val="20"/>
          <w:szCs w:val="20"/>
        </w:rPr>
        <w:t xml:space="preserve">, </w:t>
      </w:r>
      <w:r w:rsidR="006F1078" w:rsidRPr="00E50A7F">
        <w:rPr>
          <w:rFonts w:ascii="Verdana" w:hAnsi="Verdana"/>
          <w:color w:val="000000" w:themeColor="text1"/>
          <w:sz w:val="20"/>
          <w:szCs w:val="20"/>
        </w:rPr>
        <w:t xml:space="preserve">de conformidad con el artículo 68.2 del Reglamento de la Corte y </w:t>
      </w:r>
      <w:r w:rsidRPr="00E50A7F">
        <w:rPr>
          <w:rFonts w:ascii="Verdana" w:hAnsi="Verdana"/>
          <w:color w:val="000000" w:themeColor="text1"/>
          <w:sz w:val="20"/>
          <w:szCs w:val="20"/>
        </w:rPr>
        <w:t xml:space="preserve">siguiendo instrucciones </w:t>
      </w:r>
      <w:r w:rsidR="004A56D9" w:rsidRPr="00E50A7F">
        <w:rPr>
          <w:rFonts w:ascii="Verdana" w:hAnsi="Verdana"/>
          <w:color w:val="000000" w:themeColor="text1"/>
          <w:sz w:val="20"/>
          <w:szCs w:val="20"/>
        </w:rPr>
        <w:t xml:space="preserve">de la </w:t>
      </w:r>
      <w:r w:rsidR="006F1078" w:rsidRPr="00E50A7F">
        <w:rPr>
          <w:rFonts w:ascii="Verdana" w:hAnsi="Verdana"/>
          <w:color w:val="000000" w:themeColor="text1"/>
          <w:sz w:val="20"/>
          <w:szCs w:val="20"/>
        </w:rPr>
        <w:t>Presidencia</w:t>
      </w:r>
      <w:r w:rsidRPr="00E50A7F">
        <w:rPr>
          <w:rFonts w:ascii="Verdana" w:hAnsi="Verdana"/>
          <w:color w:val="000000" w:themeColor="text1"/>
          <w:sz w:val="20"/>
          <w:szCs w:val="20"/>
        </w:rPr>
        <w:t xml:space="preserve"> de la Corte, la Secretaría del Tribunal transmitió la</w:t>
      </w:r>
      <w:r w:rsidR="004A56D9" w:rsidRPr="00E50A7F">
        <w:rPr>
          <w:rFonts w:ascii="Verdana" w:hAnsi="Verdana"/>
          <w:color w:val="000000" w:themeColor="text1"/>
          <w:sz w:val="20"/>
          <w:szCs w:val="20"/>
        </w:rPr>
        <w:t>s</w:t>
      </w:r>
      <w:r w:rsidRPr="00E50A7F">
        <w:rPr>
          <w:rFonts w:ascii="Verdana" w:hAnsi="Verdana"/>
          <w:color w:val="000000" w:themeColor="text1"/>
          <w:sz w:val="20"/>
          <w:szCs w:val="20"/>
        </w:rPr>
        <w:t xml:space="preserve"> referida</w:t>
      </w:r>
      <w:r w:rsidR="004B5867" w:rsidRPr="00E50A7F">
        <w:rPr>
          <w:rFonts w:ascii="Verdana" w:hAnsi="Verdana"/>
          <w:color w:val="000000" w:themeColor="text1"/>
          <w:sz w:val="20"/>
          <w:szCs w:val="20"/>
        </w:rPr>
        <w:t>s</w:t>
      </w:r>
      <w:r w:rsidRPr="00E50A7F">
        <w:rPr>
          <w:rFonts w:ascii="Verdana" w:hAnsi="Verdana"/>
          <w:color w:val="000000" w:themeColor="text1"/>
          <w:sz w:val="20"/>
          <w:szCs w:val="20"/>
        </w:rPr>
        <w:t xml:space="preserve"> </w:t>
      </w:r>
      <w:r w:rsidR="004A56D9" w:rsidRPr="00E50A7F">
        <w:rPr>
          <w:rFonts w:ascii="Verdana" w:hAnsi="Verdana"/>
          <w:color w:val="000000" w:themeColor="text1"/>
          <w:sz w:val="20"/>
          <w:szCs w:val="20"/>
        </w:rPr>
        <w:t xml:space="preserve">comunicaciones a las partes </w:t>
      </w:r>
      <w:r w:rsidRPr="00E50A7F">
        <w:rPr>
          <w:rFonts w:ascii="Verdana" w:hAnsi="Verdana"/>
          <w:color w:val="000000" w:themeColor="text1"/>
          <w:sz w:val="20"/>
          <w:szCs w:val="20"/>
        </w:rPr>
        <w:t xml:space="preserve">y a la Comisión Interamericana y les otorgó un plazo hasta el </w:t>
      </w:r>
      <w:r w:rsidR="007D4DDA" w:rsidRPr="00E50A7F">
        <w:rPr>
          <w:rFonts w:ascii="Verdana" w:hAnsi="Verdana"/>
          <w:color w:val="000000" w:themeColor="text1"/>
          <w:sz w:val="20"/>
          <w:szCs w:val="20"/>
        </w:rPr>
        <w:t>21</w:t>
      </w:r>
      <w:r w:rsidRPr="00E50A7F">
        <w:rPr>
          <w:rFonts w:ascii="Verdana" w:hAnsi="Verdana"/>
          <w:color w:val="000000" w:themeColor="text1"/>
          <w:sz w:val="20"/>
          <w:szCs w:val="20"/>
        </w:rPr>
        <w:t xml:space="preserve"> de </w:t>
      </w:r>
      <w:r w:rsidR="007D4DDA" w:rsidRPr="00E50A7F">
        <w:rPr>
          <w:rFonts w:ascii="Verdana" w:hAnsi="Verdana"/>
          <w:color w:val="000000" w:themeColor="text1"/>
          <w:sz w:val="20"/>
          <w:szCs w:val="20"/>
        </w:rPr>
        <w:t>abril de 2022</w:t>
      </w:r>
      <w:r w:rsidRPr="00E50A7F">
        <w:rPr>
          <w:rFonts w:ascii="Verdana" w:hAnsi="Verdana"/>
          <w:color w:val="000000" w:themeColor="text1"/>
          <w:sz w:val="20"/>
          <w:szCs w:val="20"/>
        </w:rPr>
        <w:t xml:space="preserve"> para presentar </w:t>
      </w:r>
      <w:r w:rsidR="005A46F0" w:rsidRPr="00E50A7F">
        <w:rPr>
          <w:rFonts w:ascii="Verdana" w:hAnsi="Verdana"/>
          <w:color w:val="000000" w:themeColor="text1"/>
          <w:sz w:val="20"/>
          <w:szCs w:val="20"/>
        </w:rPr>
        <w:t>sus observaciones escritas</w:t>
      </w:r>
      <w:r w:rsidR="007D4DDA" w:rsidRPr="00E50A7F">
        <w:rPr>
          <w:rFonts w:ascii="Verdana" w:hAnsi="Verdana"/>
          <w:color w:val="000000" w:themeColor="text1"/>
          <w:sz w:val="20"/>
          <w:szCs w:val="20"/>
        </w:rPr>
        <w:t>, en caso de que así lo estimaran pertinente</w:t>
      </w:r>
      <w:r w:rsidRPr="00E50A7F">
        <w:rPr>
          <w:rFonts w:ascii="Verdana" w:hAnsi="Verdana"/>
          <w:color w:val="000000" w:themeColor="text1"/>
          <w:sz w:val="20"/>
          <w:szCs w:val="20"/>
        </w:rPr>
        <w:t xml:space="preserve">. </w:t>
      </w:r>
    </w:p>
    <w:p w14:paraId="583735BF" w14:textId="77777777" w:rsidR="00BB324D" w:rsidRPr="00E50A7F" w:rsidRDefault="00BB324D" w:rsidP="00BB324D">
      <w:pPr>
        <w:pStyle w:val="Prrafodelista"/>
        <w:rPr>
          <w:rFonts w:ascii="Verdana" w:hAnsi="Verdana"/>
          <w:color w:val="000000" w:themeColor="text1"/>
          <w:sz w:val="20"/>
          <w:szCs w:val="20"/>
        </w:rPr>
      </w:pPr>
    </w:p>
    <w:p w14:paraId="5915CE88" w14:textId="48ABA184" w:rsidR="00BB324D" w:rsidRPr="00E50A7F" w:rsidRDefault="00BB324D" w:rsidP="00BB324D">
      <w:pPr>
        <w:pStyle w:val="Prrafodelista"/>
        <w:numPr>
          <w:ilvl w:val="0"/>
          <w:numId w:val="1"/>
        </w:numPr>
        <w:spacing w:after="0" w:line="240" w:lineRule="auto"/>
        <w:ind w:left="0" w:firstLine="0"/>
        <w:jc w:val="both"/>
        <w:rPr>
          <w:rFonts w:ascii="Verdana" w:hAnsi="Verdana"/>
          <w:color w:val="000000" w:themeColor="text1"/>
          <w:sz w:val="20"/>
          <w:szCs w:val="20"/>
        </w:rPr>
      </w:pPr>
      <w:r w:rsidRPr="00E50A7F">
        <w:rPr>
          <w:rFonts w:ascii="Verdana" w:hAnsi="Verdana"/>
          <w:color w:val="000000" w:themeColor="text1"/>
          <w:sz w:val="20"/>
          <w:szCs w:val="20"/>
        </w:rPr>
        <w:t xml:space="preserve">El </w:t>
      </w:r>
      <w:r w:rsidR="00991567" w:rsidRPr="00E50A7F">
        <w:rPr>
          <w:rFonts w:ascii="Verdana" w:hAnsi="Verdana"/>
          <w:color w:val="000000" w:themeColor="text1"/>
          <w:sz w:val="20"/>
          <w:szCs w:val="20"/>
        </w:rPr>
        <w:t>18 de abril de 202</w:t>
      </w:r>
      <w:r w:rsidR="00C214C5" w:rsidRPr="00E50A7F">
        <w:rPr>
          <w:rFonts w:ascii="Verdana" w:hAnsi="Verdana"/>
          <w:color w:val="000000" w:themeColor="text1"/>
          <w:sz w:val="20"/>
          <w:szCs w:val="20"/>
        </w:rPr>
        <w:t>2</w:t>
      </w:r>
      <w:r w:rsidR="00991567" w:rsidRPr="00E50A7F">
        <w:rPr>
          <w:rFonts w:ascii="Verdana" w:hAnsi="Verdana"/>
          <w:color w:val="000000" w:themeColor="text1"/>
          <w:sz w:val="20"/>
          <w:szCs w:val="20"/>
        </w:rPr>
        <w:t xml:space="preserve"> el </w:t>
      </w:r>
      <w:r w:rsidRPr="00E50A7F">
        <w:rPr>
          <w:rFonts w:ascii="Verdana" w:hAnsi="Verdana"/>
          <w:color w:val="000000" w:themeColor="text1"/>
          <w:sz w:val="20"/>
          <w:szCs w:val="20"/>
        </w:rPr>
        <w:t xml:space="preserve">Estado </w:t>
      </w:r>
      <w:r w:rsidR="00991567" w:rsidRPr="00E50A7F">
        <w:rPr>
          <w:rFonts w:ascii="Verdana" w:hAnsi="Verdana"/>
          <w:color w:val="000000" w:themeColor="text1"/>
          <w:sz w:val="20"/>
          <w:szCs w:val="20"/>
        </w:rPr>
        <w:t>presentó sus observaciones escritas respecto de la solicitud de interpretación interpuesta por los representantes. El 21 de abril de 202</w:t>
      </w:r>
      <w:r w:rsidR="00C214C5" w:rsidRPr="00E50A7F">
        <w:rPr>
          <w:rFonts w:ascii="Verdana" w:hAnsi="Verdana"/>
          <w:color w:val="000000" w:themeColor="text1"/>
          <w:sz w:val="20"/>
          <w:szCs w:val="20"/>
        </w:rPr>
        <w:t>2</w:t>
      </w:r>
      <w:r w:rsidR="00991567" w:rsidRPr="00E50A7F">
        <w:rPr>
          <w:rFonts w:ascii="Verdana" w:hAnsi="Verdana"/>
          <w:color w:val="000000" w:themeColor="text1"/>
          <w:sz w:val="20"/>
          <w:szCs w:val="20"/>
        </w:rPr>
        <w:t xml:space="preserve"> los representantes </w:t>
      </w:r>
      <w:r w:rsidRPr="00E50A7F">
        <w:rPr>
          <w:rFonts w:ascii="Verdana" w:hAnsi="Verdana"/>
          <w:color w:val="000000" w:themeColor="text1"/>
          <w:sz w:val="20"/>
          <w:szCs w:val="20"/>
        </w:rPr>
        <w:t>presentaron sus</w:t>
      </w:r>
      <w:r w:rsidR="005A46F0" w:rsidRPr="00E50A7F">
        <w:rPr>
          <w:rFonts w:ascii="Verdana" w:hAnsi="Verdana"/>
          <w:color w:val="000000" w:themeColor="text1"/>
          <w:sz w:val="20"/>
          <w:szCs w:val="20"/>
        </w:rPr>
        <w:t xml:space="preserve"> observaciones escritas respecto </w:t>
      </w:r>
      <w:r w:rsidR="00991567" w:rsidRPr="00E50A7F">
        <w:rPr>
          <w:rFonts w:ascii="Verdana" w:hAnsi="Verdana"/>
          <w:color w:val="000000" w:themeColor="text1"/>
          <w:sz w:val="20"/>
          <w:szCs w:val="20"/>
        </w:rPr>
        <w:t xml:space="preserve">de la solicitud de interpretación presentada por el Estado, mientras que </w:t>
      </w:r>
      <w:r w:rsidR="001266A4">
        <w:rPr>
          <w:rFonts w:ascii="Verdana" w:hAnsi="Verdana"/>
          <w:color w:val="000000" w:themeColor="text1"/>
          <w:sz w:val="20"/>
          <w:szCs w:val="20"/>
        </w:rPr>
        <w:t xml:space="preserve">en esa misma fecha </w:t>
      </w:r>
      <w:r w:rsidR="00991567" w:rsidRPr="00E50A7F">
        <w:rPr>
          <w:rFonts w:ascii="Verdana" w:hAnsi="Verdana"/>
          <w:color w:val="000000" w:themeColor="text1"/>
          <w:sz w:val="20"/>
          <w:szCs w:val="20"/>
        </w:rPr>
        <w:t xml:space="preserve">la Comisión presentó sus observaciones escritas respecto </w:t>
      </w:r>
      <w:r w:rsidR="006F1078" w:rsidRPr="00E50A7F">
        <w:rPr>
          <w:rFonts w:ascii="Verdana" w:hAnsi="Verdana"/>
          <w:color w:val="000000" w:themeColor="text1"/>
          <w:sz w:val="20"/>
          <w:szCs w:val="20"/>
        </w:rPr>
        <w:t>de</w:t>
      </w:r>
      <w:r w:rsidR="00991567" w:rsidRPr="00E50A7F">
        <w:rPr>
          <w:rFonts w:ascii="Verdana" w:hAnsi="Verdana"/>
          <w:color w:val="000000" w:themeColor="text1"/>
          <w:sz w:val="20"/>
          <w:szCs w:val="20"/>
        </w:rPr>
        <w:t xml:space="preserve"> las solicitudes de interpretación presentadas por el Estado y por los representantes.</w:t>
      </w:r>
    </w:p>
    <w:p w14:paraId="34A111B2" w14:textId="77777777" w:rsidR="00185E1C" w:rsidRPr="00E50A7F" w:rsidRDefault="00185E1C" w:rsidP="00A03487">
      <w:pPr>
        <w:pStyle w:val="Prrafodelista"/>
        <w:spacing w:after="0" w:line="240" w:lineRule="auto"/>
        <w:rPr>
          <w:rFonts w:ascii="Verdana" w:hAnsi="Verdana"/>
          <w:color w:val="000000" w:themeColor="text1"/>
          <w:sz w:val="20"/>
          <w:szCs w:val="20"/>
        </w:rPr>
      </w:pPr>
    </w:p>
    <w:p w14:paraId="2230AEC9" w14:textId="77777777" w:rsidR="00185E1C" w:rsidRPr="00E50A7F" w:rsidRDefault="00185E1C" w:rsidP="00185E1C">
      <w:pPr>
        <w:spacing w:after="0" w:line="240" w:lineRule="auto"/>
        <w:jc w:val="center"/>
        <w:rPr>
          <w:rFonts w:ascii="Verdana" w:hAnsi="Verdana"/>
          <w:b/>
          <w:color w:val="000000" w:themeColor="text1"/>
          <w:sz w:val="20"/>
          <w:szCs w:val="20"/>
        </w:rPr>
      </w:pPr>
      <w:r w:rsidRPr="00E50A7F">
        <w:rPr>
          <w:rFonts w:ascii="Verdana" w:hAnsi="Verdana"/>
          <w:b/>
          <w:color w:val="000000" w:themeColor="text1"/>
          <w:sz w:val="20"/>
          <w:szCs w:val="20"/>
        </w:rPr>
        <w:t>II</w:t>
      </w:r>
    </w:p>
    <w:p w14:paraId="40AE15AF" w14:textId="77777777" w:rsidR="00185E1C" w:rsidRPr="00E50A7F" w:rsidRDefault="00185E1C" w:rsidP="00185E1C">
      <w:pPr>
        <w:spacing w:after="0" w:line="240" w:lineRule="auto"/>
        <w:jc w:val="center"/>
        <w:rPr>
          <w:rFonts w:ascii="Verdana" w:hAnsi="Verdana"/>
          <w:b/>
          <w:color w:val="000000" w:themeColor="text1"/>
          <w:sz w:val="20"/>
          <w:szCs w:val="20"/>
        </w:rPr>
      </w:pPr>
      <w:r w:rsidRPr="00E50A7F">
        <w:rPr>
          <w:rFonts w:ascii="Verdana" w:hAnsi="Verdana"/>
          <w:b/>
          <w:color w:val="000000" w:themeColor="text1"/>
          <w:sz w:val="20"/>
          <w:szCs w:val="20"/>
        </w:rPr>
        <w:t>COMPETENCIA</w:t>
      </w:r>
    </w:p>
    <w:p w14:paraId="7182AB0B" w14:textId="77777777" w:rsidR="00BB324D" w:rsidRPr="00E50A7F" w:rsidRDefault="00BB324D" w:rsidP="00BB324D">
      <w:pPr>
        <w:pStyle w:val="Prrafodelista"/>
        <w:rPr>
          <w:rFonts w:ascii="Verdana" w:hAnsi="Verdana"/>
          <w:color w:val="000000" w:themeColor="text1"/>
          <w:sz w:val="20"/>
          <w:szCs w:val="20"/>
        </w:rPr>
      </w:pPr>
    </w:p>
    <w:p w14:paraId="3CE8C859" w14:textId="77777777" w:rsidR="00BB324D" w:rsidRPr="00E50A7F" w:rsidRDefault="00BB324D" w:rsidP="00BB324D">
      <w:pPr>
        <w:pStyle w:val="Prrafodelista"/>
        <w:numPr>
          <w:ilvl w:val="0"/>
          <w:numId w:val="1"/>
        </w:numPr>
        <w:spacing w:after="0" w:line="240" w:lineRule="auto"/>
        <w:ind w:left="0" w:firstLine="0"/>
        <w:jc w:val="both"/>
        <w:rPr>
          <w:rFonts w:ascii="Verdana" w:hAnsi="Verdana"/>
          <w:color w:val="000000" w:themeColor="text1"/>
          <w:sz w:val="20"/>
          <w:szCs w:val="20"/>
        </w:rPr>
      </w:pPr>
      <w:r w:rsidRPr="00E50A7F">
        <w:rPr>
          <w:rFonts w:ascii="Verdana" w:hAnsi="Verdana"/>
          <w:color w:val="000000" w:themeColor="text1"/>
          <w:sz w:val="20"/>
          <w:szCs w:val="20"/>
        </w:rPr>
        <w:t>El artículo 67 de la Convención establece que:</w:t>
      </w:r>
    </w:p>
    <w:p w14:paraId="495AC1D8" w14:textId="77777777" w:rsidR="00BB324D" w:rsidRPr="00E50A7F" w:rsidRDefault="00BB324D" w:rsidP="00BB324D">
      <w:pPr>
        <w:pStyle w:val="Prrafodelista"/>
        <w:rPr>
          <w:rFonts w:ascii="Verdana" w:hAnsi="Verdana"/>
          <w:color w:val="000000" w:themeColor="text1"/>
          <w:sz w:val="20"/>
          <w:szCs w:val="20"/>
        </w:rPr>
      </w:pPr>
    </w:p>
    <w:p w14:paraId="39CB4832" w14:textId="77777777" w:rsidR="00F42B42" w:rsidRPr="00E50A7F" w:rsidRDefault="00F42B42" w:rsidP="00400784">
      <w:pPr>
        <w:pStyle w:val="Prrafodelista"/>
        <w:spacing w:after="0" w:line="240" w:lineRule="auto"/>
        <w:ind w:right="815"/>
        <w:jc w:val="both"/>
        <w:rPr>
          <w:rFonts w:ascii="Verdana" w:hAnsi="Verdana"/>
          <w:color w:val="000000" w:themeColor="text1"/>
          <w:sz w:val="18"/>
          <w:szCs w:val="18"/>
        </w:rPr>
      </w:pPr>
      <w:r w:rsidRPr="00E50A7F">
        <w:rPr>
          <w:rFonts w:ascii="Verdana" w:hAnsi="Verdana"/>
          <w:color w:val="000000" w:themeColor="text1"/>
          <w:sz w:val="18"/>
          <w:szCs w:val="18"/>
        </w:rPr>
        <w:t>[e]l fallo de la Corte será definitivo e inapelable. En caso de desacuerdo sobre el sentido o alcance del fallo, la Corte lo interpretará a solicitud de cualquiera de las partes, siempre que dicha solicitud se presente dentro de los noventa días a partir de la fecha de la notificación del fallo.</w:t>
      </w:r>
    </w:p>
    <w:p w14:paraId="469D8001" w14:textId="77777777" w:rsidR="00F42B42" w:rsidRPr="00E50A7F" w:rsidRDefault="00F42B42" w:rsidP="00BB324D">
      <w:pPr>
        <w:pStyle w:val="Prrafodelista"/>
        <w:rPr>
          <w:rFonts w:ascii="Verdana" w:hAnsi="Verdana"/>
          <w:color w:val="000000" w:themeColor="text1"/>
          <w:sz w:val="20"/>
          <w:szCs w:val="20"/>
        </w:rPr>
      </w:pPr>
    </w:p>
    <w:p w14:paraId="2344780A" w14:textId="59D1C51F" w:rsidR="00BB324D" w:rsidRPr="00E50A7F" w:rsidRDefault="00BB324D" w:rsidP="004B5867">
      <w:pPr>
        <w:pStyle w:val="Prrafodelista"/>
        <w:numPr>
          <w:ilvl w:val="0"/>
          <w:numId w:val="1"/>
        </w:numPr>
        <w:spacing w:after="0" w:line="240" w:lineRule="auto"/>
        <w:ind w:left="0" w:firstLine="0"/>
        <w:jc w:val="both"/>
        <w:rPr>
          <w:rFonts w:ascii="Verdana" w:hAnsi="Verdana"/>
          <w:color w:val="000000" w:themeColor="text1"/>
          <w:sz w:val="20"/>
          <w:szCs w:val="20"/>
        </w:rPr>
      </w:pPr>
      <w:r w:rsidRPr="00E50A7F">
        <w:rPr>
          <w:rFonts w:ascii="Verdana" w:hAnsi="Verdana"/>
          <w:color w:val="000000" w:themeColor="text1"/>
          <w:sz w:val="20"/>
          <w:szCs w:val="20"/>
        </w:rPr>
        <w:t xml:space="preserve">De conformidad con el artículo citado, la Corte es competente para interpretar sus fallos. Para realizar el examen de la solicitud de interpretación y resolver lo que a este respecto corresponda, el Tribunal debe tener, si es posible, la misma composición </w:t>
      </w:r>
      <w:r w:rsidR="00F42B42" w:rsidRPr="00E50A7F">
        <w:rPr>
          <w:rFonts w:ascii="Verdana" w:hAnsi="Verdana"/>
          <w:color w:val="000000" w:themeColor="text1"/>
          <w:sz w:val="20"/>
          <w:szCs w:val="20"/>
        </w:rPr>
        <w:t xml:space="preserve">que tenía al dictar la Sentencia respectiva, de acuerdo con el artículo 68.3 del Reglamento. </w:t>
      </w:r>
      <w:r w:rsidR="006A044A" w:rsidRPr="006A044A">
        <w:rPr>
          <w:rFonts w:ascii="Verdana" w:hAnsi="Verdana"/>
          <w:color w:val="000000" w:themeColor="text1"/>
          <w:sz w:val="20"/>
          <w:szCs w:val="20"/>
        </w:rPr>
        <w:t>En esta ocasión, la Corte está integrada, en su mayoría, por los mismos Jueces que dictaron la Sentencia cuya interpretación ha sido solicitada</w:t>
      </w:r>
      <w:r w:rsidR="006A044A">
        <w:rPr>
          <w:rFonts w:ascii="Verdana" w:hAnsi="Verdana"/>
          <w:color w:val="000000" w:themeColor="text1"/>
          <w:sz w:val="20"/>
          <w:szCs w:val="20"/>
        </w:rPr>
        <w:t>.</w:t>
      </w:r>
    </w:p>
    <w:p w14:paraId="14BDCAA9" w14:textId="77777777" w:rsidR="00F42B42" w:rsidRPr="00E50A7F" w:rsidRDefault="00F42B42" w:rsidP="00A03487">
      <w:pPr>
        <w:pStyle w:val="Prrafodelista"/>
        <w:spacing w:after="0" w:line="240" w:lineRule="auto"/>
        <w:rPr>
          <w:rFonts w:ascii="Verdana" w:hAnsi="Verdana"/>
          <w:color w:val="000000" w:themeColor="text1"/>
          <w:sz w:val="20"/>
          <w:szCs w:val="20"/>
        </w:rPr>
      </w:pPr>
    </w:p>
    <w:p w14:paraId="5014839E" w14:textId="77777777" w:rsidR="00F42B42" w:rsidRPr="00E50A7F" w:rsidRDefault="00F42B42" w:rsidP="00F42B42">
      <w:pPr>
        <w:spacing w:after="0" w:line="240" w:lineRule="auto"/>
        <w:jc w:val="center"/>
        <w:rPr>
          <w:rFonts w:ascii="Verdana" w:hAnsi="Verdana"/>
          <w:b/>
          <w:color w:val="000000" w:themeColor="text1"/>
          <w:sz w:val="20"/>
          <w:szCs w:val="20"/>
        </w:rPr>
      </w:pPr>
      <w:r w:rsidRPr="00E50A7F">
        <w:rPr>
          <w:rFonts w:ascii="Verdana" w:hAnsi="Verdana"/>
          <w:b/>
          <w:color w:val="000000" w:themeColor="text1"/>
          <w:sz w:val="20"/>
          <w:szCs w:val="20"/>
        </w:rPr>
        <w:t>III</w:t>
      </w:r>
    </w:p>
    <w:p w14:paraId="3E0A3684" w14:textId="77777777" w:rsidR="00F42B42" w:rsidRPr="00E50A7F" w:rsidRDefault="00F42B42" w:rsidP="00F42B42">
      <w:pPr>
        <w:spacing w:after="0" w:line="240" w:lineRule="auto"/>
        <w:jc w:val="center"/>
        <w:rPr>
          <w:rFonts w:ascii="Verdana" w:hAnsi="Verdana"/>
          <w:b/>
          <w:color w:val="000000" w:themeColor="text1"/>
          <w:sz w:val="20"/>
          <w:szCs w:val="20"/>
        </w:rPr>
      </w:pPr>
      <w:r w:rsidRPr="00E50A7F">
        <w:rPr>
          <w:rFonts w:ascii="Verdana" w:hAnsi="Verdana"/>
          <w:b/>
          <w:color w:val="000000" w:themeColor="text1"/>
          <w:sz w:val="20"/>
          <w:szCs w:val="20"/>
        </w:rPr>
        <w:t>ADMISIBILIDAD</w:t>
      </w:r>
    </w:p>
    <w:p w14:paraId="28DA31EF" w14:textId="77777777" w:rsidR="00F42B42" w:rsidRPr="00E50A7F" w:rsidRDefault="00F42B42" w:rsidP="00F42B42">
      <w:pPr>
        <w:spacing w:after="0" w:line="240" w:lineRule="auto"/>
        <w:rPr>
          <w:rFonts w:ascii="Verdana" w:hAnsi="Verdana"/>
          <w:color w:val="000000" w:themeColor="text1"/>
          <w:sz w:val="20"/>
          <w:szCs w:val="20"/>
        </w:rPr>
      </w:pPr>
    </w:p>
    <w:p w14:paraId="55BA5858" w14:textId="7623A4DF" w:rsidR="005A46F0" w:rsidRPr="00E50A7F" w:rsidRDefault="00F42B42" w:rsidP="006F1078">
      <w:pPr>
        <w:pStyle w:val="Prrafodelista"/>
        <w:numPr>
          <w:ilvl w:val="0"/>
          <w:numId w:val="1"/>
        </w:numPr>
        <w:spacing w:after="0" w:line="240" w:lineRule="auto"/>
        <w:ind w:left="0" w:firstLine="0"/>
        <w:jc w:val="both"/>
        <w:rPr>
          <w:rFonts w:ascii="Verdana" w:hAnsi="Verdana"/>
          <w:color w:val="000000" w:themeColor="text1"/>
          <w:sz w:val="20"/>
          <w:szCs w:val="20"/>
        </w:rPr>
      </w:pPr>
      <w:r w:rsidRPr="00E50A7F">
        <w:rPr>
          <w:rFonts w:ascii="Verdana" w:hAnsi="Verdana"/>
          <w:color w:val="000000" w:themeColor="text1"/>
          <w:sz w:val="20"/>
          <w:szCs w:val="20"/>
        </w:rPr>
        <w:t>Corresponde a la Corte verificar si la</w:t>
      </w:r>
      <w:r w:rsidR="00376909" w:rsidRPr="00E50A7F">
        <w:rPr>
          <w:rFonts w:ascii="Verdana" w:hAnsi="Verdana"/>
          <w:color w:val="000000" w:themeColor="text1"/>
          <w:sz w:val="20"/>
          <w:szCs w:val="20"/>
        </w:rPr>
        <w:t>s</w:t>
      </w:r>
      <w:r w:rsidRPr="00E50A7F">
        <w:rPr>
          <w:rFonts w:ascii="Verdana" w:hAnsi="Verdana"/>
          <w:color w:val="000000" w:themeColor="text1"/>
          <w:sz w:val="20"/>
          <w:szCs w:val="20"/>
        </w:rPr>
        <w:t xml:space="preserve"> </w:t>
      </w:r>
      <w:r w:rsidR="00376909" w:rsidRPr="00E50A7F">
        <w:rPr>
          <w:rFonts w:ascii="Verdana" w:hAnsi="Verdana"/>
          <w:color w:val="000000" w:themeColor="text1"/>
          <w:sz w:val="20"/>
          <w:szCs w:val="20"/>
        </w:rPr>
        <w:t>solicitudes</w:t>
      </w:r>
      <w:r w:rsidRPr="00E50A7F">
        <w:rPr>
          <w:rFonts w:ascii="Verdana" w:hAnsi="Verdana"/>
          <w:color w:val="000000" w:themeColor="text1"/>
          <w:sz w:val="20"/>
          <w:szCs w:val="20"/>
        </w:rPr>
        <w:t xml:space="preserve"> presentada</w:t>
      </w:r>
      <w:r w:rsidR="00376909" w:rsidRPr="00E50A7F">
        <w:rPr>
          <w:rFonts w:ascii="Verdana" w:hAnsi="Verdana"/>
          <w:color w:val="000000" w:themeColor="text1"/>
          <w:sz w:val="20"/>
          <w:szCs w:val="20"/>
        </w:rPr>
        <w:t>s</w:t>
      </w:r>
      <w:r w:rsidRPr="00E50A7F">
        <w:rPr>
          <w:rFonts w:ascii="Verdana" w:hAnsi="Verdana"/>
          <w:color w:val="000000" w:themeColor="text1"/>
          <w:sz w:val="20"/>
          <w:szCs w:val="20"/>
        </w:rPr>
        <w:t xml:space="preserve"> por </w:t>
      </w:r>
      <w:r w:rsidR="001F283B" w:rsidRPr="00E50A7F">
        <w:rPr>
          <w:rFonts w:ascii="Verdana" w:hAnsi="Verdana"/>
          <w:color w:val="000000" w:themeColor="text1"/>
          <w:sz w:val="20"/>
          <w:szCs w:val="20"/>
        </w:rPr>
        <w:t>el Estado y los representantes</w:t>
      </w:r>
      <w:r w:rsidR="00376909" w:rsidRPr="00E50A7F">
        <w:rPr>
          <w:rFonts w:ascii="Verdana" w:hAnsi="Verdana"/>
          <w:color w:val="000000" w:themeColor="text1"/>
          <w:sz w:val="20"/>
          <w:szCs w:val="20"/>
        </w:rPr>
        <w:t xml:space="preserve"> </w:t>
      </w:r>
      <w:r w:rsidRPr="00E50A7F">
        <w:rPr>
          <w:rFonts w:ascii="Verdana" w:hAnsi="Verdana"/>
          <w:color w:val="000000" w:themeColor="text1"/>
          <w:sz w:val="20"/>
          <w:szCs w:val="20"/>
        </w:rPr>
        <w:t>cumple</w:t>
      </w:r>
      <w:r w:rsidR="00376909" w:rsidRPr="00E50A7F">
        <w:rPr>
          <w:rFonts w:ascii="Verdana" w:hAnsi="Verdana"/>
          <w:color w:val="000000" w:themeColor="text1"/>
          <w:sz w:val="20"/>
          <w:szCs w:val="20"/>
        </w:rPr>
        <w:t>n</w:t>
      </w:r>
      <w:r w:rsidRPr="00E50A7F">
        <w:rPr>
          <w:rFonts w:ascii="Verdana" w:hAnsi="Verdana"/>
          <w:color w:val="000000" w:themeColor="text1"/>
          <w:sz w:val="20"/>
          <w:szCs w:val="20"/>
        </w:rPr>
        <w:t xml:space="preserve"> con los requisitos establecidos en las normas aplicables a una solicitud de interpretación de Sentencia, a saber, </w:t>
      </w:r>
      <w:r w:rsidR="006F1078" w:rsidRPr="00E50A7F">
        <w:rPr>
          <w:rFonts w:ascii="Verdana" w:hAnsi="Verdana"/>
          <w:color w:val="000000" w:themeColor="text1"/>
          <w:sz w:val="20"/>
          <w:szCs w:val="20"/>
        </w:rPr>
        <w:t xml:space="preserve">el artículo 67 de la Convención anteriormente citado y </w:t>
      </w:r>
      <w:r w:rsidR="005A46F0" w:rsidRPr="00E50A7F">
        <w:rPr>
          <w:rFonts w:ascii="Verdana" w:hAnsi="Verdana"/>
          <w:color w:val="000000" w:themeColor="text1"/>
          <w:sz w:val="20"/>
          <w:szCs w:val="20"/>
        </w:rPr>
        <w:t>el artículo 68 del Reglamento. Asimismo, el artículo 31.3 del Reglamento establece que “[c]ontra las sentencias y resoluciones de la Corte no procede ningún medio de impugnación”.</w:t>
      </w:r>
    </w:p>
    <w:p w14:paraId="04C6190F" w14:textId="77777777" w:rsidR="006B478B" w:rsidRPr="00E50A7F" w:rsidRDefault="006B478B">
      <w:pPr>
        <w:pStyle w:val="Prrafodelista"/>
        <w:spacing w:after="0" w:line="240" w:lineRule="auto"/>
        <w:ind w:left="0"/>
        <w:jc w:val="both"/>
        <w:rPr>
          <w:rFonts w:ascii="Verdana" w:hAnsi="Verdana"/>
          <w:color w:val="000000" w:themeColor="text1"/>
          <w:sz w:val="20"/>
          <w:szCs w:val="20"/>
        </w:rPr>
      </w:pPr>
    </w:p>
    <w:p w14:paraId="3EBC06BA" w14:textId="3933DF0F" w:rsidR="006B478B" w:rsidRPr="00E50A7F" w:rsidRDefault="001F283B" w:rsidP="00F42B42">
      <w:pPr>
        <w:pStyle w:val="Prrafodelista"/>
        <w:numPr>
          <w:ilvl w:val="0"/>
          <w:numId w:val="1"/>
        </w:numPr>
        <w:spacing w:after="0" w:line="240" w:lineRule="auto"/>
        <w:ind w:left="0" w:firstLine="0"/>
        <w:jc w:val="both"/>
        <w:rPr>
          <w:rFonts w:ascii="Verdana" w:hAnsi="Verdana"/>
          <w:color w:val="000000" w:themeColor="text1"/>
          <w:sz w:val="20"/>
          <w:szCs w:val="20"/>
        </w:rPr>
      </w:pPr>
      <w:r w:rsidRPr="00E50A7F">
        <w:rPr>
          <w:rFonts w:ascii="Verdana" w:hAnsi="Verdana"/>
          <w:color w:val="000000" w:themeColor="text1"/>
          <w:sz w:val="20"/>
          <w:szCs w:val="20"/>
        </w:rPr>
        <w:t>A estos efecto</w:t>
      </w:r>
      <w:r w:rsidR="006F1078" w:rsidRPr="00E50A7F">
        <w:rPr>
          <w:rFonts w:ascii="Verdana" w:hAnsi="Verdana"/>
          <w:color w:val="000000" w:themeColor="text1"/>
          <w:sz w:val="20"/>
          <w:szCs w:val="20"/>
        </w:rPr>
        <w:t>s</w:t>
      </w:r>
      <w:r w:rsidRPr="00E50A7F">
        <w:rPr>
          <w:rFonts w:ascii="Verdana" w:hAnsi="Verdana"/>
          <w:color w:val="000000" w:themeColor="text1"/>
          <w:sz w:val="20"/>
          <w:szCs w:val="20"/>
        </w:rPr>
        <w:t>, l</w:t>
      </w:r>
      <w:r w:rsidR="006B478B" w:rsidRPr="00E50A7F">
        <w:rPr>
          <w:rFonts w:ascii="Verdana" w:hAnsi="Verdana"/>
          <w:color w:val="000000" w:themeColor="text1"/>
          <w:sz w:val="20"/>
          <w:szCs w:val="20"/>
        </w:rPr>
        <w:t xml:space="preserve">a Corte </w:t>
      </w:r>
      <w:r w:rsidR="00185E1C" w:rsidRPr="00E50A7F">
        <w:rPr>
          <w:rFonts w:ascii="Verdana" w:hAnsi="Verdana"/>
          <w:color w:val="000000" w:themeColor="text1"/>
          <w:sz w:val="20"/>
          <w:szCs w:val="20"/>
        </w:rPr>
        <w:t>advierte</w:t>
      </w:r>
      <w:r w:rsidR="006B478B" w:rsidRPr="00E50A7F">
        <w:rPr>
          <w:rFonts w:ascii="Verdana" w:hAnsi="Verdana"/>
          <w:color w:val="000000" w:themeColor="text1"/>
          <w:sz w:val="20"/>
          <w:szCs w:val="20"/>
        </w:rPr>
        <w:t xml:space="preserve"> que </w:t>
      </w:r>
      <w:r w:rsidRPr="00E50A7F">
        <w:rPr>
          <w:rFonts w:ascii="Verdana" w:hAnsi="Verdana"/>
          <w:color w:val="000000" w:themeColor="text1"/>
          <w:sz w:val="20"/>
          <w:szCs w:val="20"/>
        </w:rPr>
        <w:t>el Estado y los representantes</w:t>
      </w:r>
      <w:r w:rsidR="00376909" w:rsidRPr="00E50A7F">
        <w:rPr>
          <w:rFonts w:ascii="Verdana" w:hAnsi="Verdana"/>
          <w:color w:val="000000" w:themeColor="text1"/>
          <w:sz w:val="20"/>
          <w:szCs w:val="20"/>
        </w:rPr>
        <w:t xml:space="preserve"> </w:t>
      </w:r>
      <w:r w:rsidR="006B478B" w:rsidRPr="00E50A7F">
        <w:rPr>
          <w:rFonts w:ascii="Verdana" w:hAnsi="Verdana"/>
          <w:color w:val="000000" w:themeColor="text1"/>
          <w:sz w:val="20"/>
          <w:szCs w:val="20"/>
        </w:rPr>
        <w:t xml:space="preserve">presentaron su solicitud de interpretación de la Sentencia </w:t>
      </w:r>
      <w:r w:rsidR="001E3F2A" w:rsidRPr="00E50A7F">
        <w:rPr>
          <w:rFonts w:ascii="Verdana" w:hAnsi="Verdana"/>
          <w:color w:val="000000" w:themeColor="text1"/>
          <w:sz w:val="20"/>
          <w:szCs w:val="20"/>
        </w:rPr>
        <w:t>los días 16 y 21 de marzo de 2022</w:t>
      </w:r>
      <w:r w:rsidR="00376909" w:rsidRPr="00E50A7F">
        <w:rPr>
          <w:rFonts w:ascii="Verdana" w:hAnsi="Verdana"/>
          <w:color w:val="000000" w:themeColor="text1"/>
          <w:sz w:val="20"/>
          <w:szCs w:val="20"/>
        </w:rPr>
        <w:t xml:space="preserve">, respectivamente, esto es, </w:t>
      </w:r>
      <w:r w:rsidR="006B478B" w:rsidRPr="00E50A7F">
        <w:rPr>
          <w:rFonts w:ascii="Verdana" w:hAnsi="Verdana"/>
          <w:color w:val="000000" w:themeColor="text1"/>
          <w:sz w:val="20"/>
          <w:szCs w:val="20"/>
        </w:rPr>
        <w:t xml:space="preserve">dentro del plazo de </w:t>
      </w:r>
      <w:r w:rsidR="006F1078" w:rsidRPr="00E50A7F">
        <w:rPr>
          <w:rFonts w:ascii="Verdana" w:hAnsi="Verdana"/>
          <w:color w:val="000000" w:themeColor="text1"/>
          <w:sz w:val="20"/>
          <w:szCs w:val="20"/>
        </w:rPr>
        <w:t>90</w:t>
      </w:r>
      <w:r w:rsidR="006B478B" w:rsidRPr="00E50A7F">
        <w:rPr>
          <w:rFonts w:ascii="Verdana" w:hAnsi="Verdana"/>
          <w:color w:val="000000" w:themeColor="text1"/>
          <w:sz w:val="20"/>
          <w:szCs w:val="20"/>
        </w:rPr>
        <w:t xml:space="preserve"> días establecido en el artículo 67 de la Convención, ya que la misma fue notificada </w:t>
      </w:r>
      <w:r w:rsidR="00376909" w:rsidRPr="00E50A7F">
        <w:rPr>
          <w:rFonts w:ascii="Verdana" w:hAnsi="Verdana"/>
          <w:color w:val="000000" w:themeColor="text1"/>
          <w:sz w:val="20"/>
          <w:szCs w:val="20"/>
        </w:rPr>
        <w:t xml:space="preserve">a las partes y a la Comisión el </w:t>
      </w:r>
      <w:r w:rsidR="006F1078" w:rsidRPr="00E50A7F">
        <w:rPr>
          <w:rFonts w:ascii="Verdana" w:hAnsi="Verdana"/>
          <w:color w:val="000000" w:themeColor="text1"/>
          <w:sz w:val="20"/>
          <w:szCs w:val="20"/>
        </w:rPr>
        <w:t>21</w:t>
      </w:r>
      <w:r w:rsidR="00376909" w:rsidRPr="00E50A7F">
        <w:rPr>
          <w:rFonts w:ascii="Verdana" w:hAnsi="Verdana"/>
          <w:color w:val="000000" w:themeColor="text1"/>
          <w:sz w:val="20"/>
          <w:szCs w:val="20"/>
        </w:rPr>
        <w:t xml:space="preserve"> de </w:t>
      </w:r>
      <w:r w:rsidR="006F1078" w:rsidRPr="00E50A7F">
        <w:rPr>
          <w:rFonts w:ascii="Verdana" w:hAnsi="Verdana"/>
          <w:color w:val="000000" w:themeColor="text1"/>
          <w:sz w:val="20"/>
          <w:szCs w:val="20"/>
        </w:rPr>
        <w:t>diciembre</w:t>
      </w:r>
      <w:r w:rsidR="00376909" w:rsidRPr="00E50A7F">
        <w:rPr>
          <w:rFonts w:ascii="Verdana" w:hAnsi="Verdana"/>
          <w:color w:val="000000" w:themeColor="text1"/>
          <w:sz w:val="20"/>
          <w:szCs w:val="20"/>
        </w:rPr>
        <w:t xml:space="preserve"> de 202</w:t>
      </w:r>
      <w:r w:rsidR="001839D3" w:rsidRPr="00E50A7F">
        <w:rPr>
          <w:rFonts w:ascii="Verdana" w:hAnsi="Verdana"/>
          <w:color w:val="000000" w:themeColor="text1"/>
          <w:sz w:val="20"/>
          <w:szCs w:val="20"/>
        </w:rPr>
        <w:t>1</w:t>
      </w:r>
      <w:r w:rsidR="006B478B" w:rsidRPr="00E50A7F">
        <w:rPr>
          <w:rFonts w:ascii="Verdana" w:hAnsi="Verdana"/>
          <w:color w:val="000000" w:themeColor="text1"/>
          <w:sz w:val="20"/>
          <w:szCs w:val="20"/>
        </w:rPr>
        <w:t xml:space="preserve">. Por ende, </w:t>
      </w:r>
      <w:r w:rsidR="00376909" w:rsidRPr="00E50A7F">
        <w:rPr>
          <w:rFonts w:ascii="Verdana" w:hAnsi="Verdana"/>
          <w:color w:val="000000" w:themeColor="text1"/>
          <w:sz w:val="20"/>
          <w:szCs w:val="20"/>
        </w:rPr>
        <w:t>ambas solicitudes</w:t>
      </w:r>
      <w:r w:rsidR="006B478B" w:rsidRPr="00E50A7F">
        <w:rPr>
          <w:rFonts w:ascii="Verdana" w:hAnsi="Verdana"/>
          <w:color w:val="000000" w:themeColor="text1"/>
          <w:sz w:val="20"/>
          <w:szCs w:val="20"/>
        </w:rPr>
        <w:t xml:space="preserve"> resulta</w:t>
      </w:r>
      <w:r w:rsidR="00376909" w:rsidRPr="00E50A7F">
        <w:rPr>
          <w:rFonts w:ascii="Verdana" w:hAnsi="Verdana"/>
          <w:color w:val="000000" w:themeColor="text1"/>
          <w:sz w:val="20"/>
          <w:szCs w:val="20"/>
        </w:rPr>
        <w:t>n</w:t>
      </w:r>
      <w:r w:rsidR="006B478B" w:rsidRPr="00E50A7F">
        <w:rPr>
          <w:rFonts w:ascii="Verdana" w:hAnsi="Verdana"/>
          <w:color w:val="000000" w:themeColor="text1"/>
          <w:sz w:val="20"/>
          <w:szCs w:val="20"/>
        </w:rPr>
        <w:t xml:space="preserve"> admisible</w:t>
      </w:r>
      <w:r w:rsidR="00376909" w:rsidRPr="00E50A7F">
        <w:rPr>
          <w:rFonts w:ascii="Verdana" w:hAnsi="Verdana"/>
          <w:color w:val="000000" w:themeColor="text1"/>
          <w:sz w:val="20"/>
          <w:szCs w:val="20"/>
        </w:rPr>
        <w:t>s</w:t>
      </w:r>
      <w:r w:rsidR="006B478B" w:rsidRPr="00E50A7F">
        <w:rPr>
          <w:rFonts w:ascii="Verdana" w:hAnsi="Verdana"/>
          <w:color w:val="000000" w:themeColor="text1"/>
          <w:sz w:val="20"/>
          <w:szCs w:val="20"/>
        </w:rPr>
        <w:t xml:space="preserve"> en lo que se refiere al plazo de su presentación. En cuanto a los </w:t>
      </w:r>
      <w:r w:rsidR="006B478B" w:rsidRPr="00E50A7F">
        <w:rPr>
          <w:rFonts w:ascii="Verdana" w:hAnsi="Verdana"/>
          <w:color w:val="000000" w:themeColor="text1"/>
          <w:sz w:val="20"/>
          <w:szCs w:val="20"/>
        </w:rPr>
        <w:lastRenderedPageBreak/>
        <w:t xml:space="preserve">demás requisitos, la Corte realizará el análisis respectivo al examinar el contenido de </w:t>
      </w:r>
      <w:r w:rsidR="00376909" w:rsidRPr="00E50A7F">
        <w:rPr>
          <w:rFonts w:ascii="Verdana" w:hAnsi="Verdana"/>
          <w:color w:val="000000" w:themeColor="text1"/>
          <w:sz w:val="20"/>
          <w:szCs w:val="20"/>
        </w:rPr>
        <w:t>dichas solicitudes</w:t>
      </w:r>
      <w:r w:rsidR="006B478B" w:rsidRPr="00E50A7F">
        <w:rPr>
          <w:rFonts w:ascii="Verdana" w:hAnsi="Verdana"/>
          <w:color w:val="000000" w:themeColor="text1"/>
          <w:sz w:val="20"/>
          <w:szCs w:val="20"/>
        </w:rPr>
        <w:t xml:space="preserve"> en el </w:t>
      </w:r>
      <w:r w:rsidR="00185E1C" w:rsidRPr="00E50A7F">
        <w:rPr>
          <w:rFonts w:ascii="Verdana" w:hAnsi="Verdana"/>
          <w:color w:val="000000" w:themeColor="text1"/>
          <w:sz w:val="20"/>
          <w:szCs w:val="20"/>
        </w:rPr>
        <w:t>siguiente</w:t>
      </w:r>
      <w:r w:rsidR="006B478B" w:rsidRPr="00E50A7F">
        <w:rPr>
          <w:rFonts w:ascii="Verdana" w:hAnsi="Verdana"/>
          <w:color w:val="000000" w:themeColor="text1"/>
          <w:sz w:val="20"/>
          <w:szCs w:val="20"/>
        </w:rPr>
        <w:t xml:space="preserve"> capítulo. </w:t>
      </w:r>
    </w:p>
    <w:p w14:paraId="51D77086" w14:textId="77777777" w:rsidR="00FE0809" w:rsidRPr="00E50A7F" w:rsidRDefault="00FE0809" w:rsidP="00A03487">
      <w:pPr>
        <w:pStyle w:val="Prrafodelista"/>
        <w:spacing w:after="0" w:line="240" w:lineRule="auto"/>
        <w:rPr>
          <w:rFonts w:ascii="Verdana" w:hAnsi="Verdana"/>
          <w:color w:val="000000" w:themeColor="text1"/>
          <w:sz w:val="20"/>
          <w:szCs w:val="20"/>
        </w:rPr>
      </w:pPr>
    </w:p>
    <w:p w14:paraId="21A17029" w14:textId="77777777" w:rsidR="00AF1F82" w:rsidRDefault="00AF1F82" w:rsidP="00A57ACC">
      <w:pPr>
        <w:spacing w:after="0" w:line="240" w:lineRule="auto"/>
        <w:jc w:val="center"/>
        <w:rPr>
          <w:rFonts w:ascii="Verdana" w:hAnsi="Verdana"/>
          <w:b/>
          <w:color w:val="000000" w:themeColor="text1"/>
          <w:sz w:val="20"/>
          <w:szCs w:val="20"/>
        </w:rPr>
      </w:pPr>
    </w:p>
    <w:p w14:paraId="0FBD20B5" w14:textId="709F12CF" w:rsidR="00A57ACC" w:rsidRPr="00E50A7F" w:rsidRDefault="00A57ACC" w:rsidP="00A57ACC">
      <w:pPr>
        <w:spacing w:after="0" w:line="240" w:lineRule="auto"/>
        <w:jc w:val="center"/>
        <w:rPr>
          <w:rFonts w:ascii="Verdana" w:hAnsi="Verdana"/>
          <w:b/>
          <w:color w:val="000000" w:themeColor="text1"/>
          <w:sz w:val="20"/>
          <w:szCs w:val="20"/>
        </w:rPr>
      </w:pPr>
      <w:r w:rsidRPr="00E50A7F">
        <w:rPr>
          <w:rFonts w:ascii="Verdana" w:hAnsi="Verdana"/>
          <w:b/>
          <w:color w:val="000000" w:themeColor="text1"/>
          <w:sz w:val="20"/>
          <w:szCs w:val="20"/>
        </w:rPr>
        <w:t>IV</w:t>
      </w:r>
    </w:p>
    <w:p w14:paraId="659C87FC" w14:textId="77777777" w:rsidR="00A57ACC" w:rsidRPr="00E50A7F" w:rsidRDefault="00A57ACC" w:rsidP="00A57ACC">
      <w:pPr>
        <w:spacing w:after="0" w:line="240" w:lineRule="auto"/>
        <w:jc w:val="center"/>
        <w:rPr>
          <w:rFonts w:ascii="Verdana" w:hAnsi="Verdana"/>
          <w:b/>
          <w:color w:val="000000" w:themeColor="text1"/>
          <w:sz w:val="20"/>
          <w:szCs w:val="20"/>
        </w:rPr>
      </w:pPr>
      <w:r w:rsidRPr="00E50A7F">
        <w:rPr>
          <w:rFonts w:ascii="Verdana" w:hAnsi="Verdana"/>
          <w:b/>
          <w:color w:val="000000" w:themeColor="text1"/>
          <w:sz w:val="20"/>
          <w:szCs w:val="20"/>
        </w:rPr>
        <w:t>ANÁLISIS DE LA PROCEDENCIA DE LA</w:t>
      </w:r>
      <w:r w:rsidR="00CC22B5" w:rsidRPr="00E50A7F">
        <w:rPr>
          <w:rFonts w:ascii="Verdana" w:hAnsi="Verdana"/>
          <w:b/>
          <w:color w:val="000000" w:themeColor="text1"/>
          <w:sz w:val="20"/>
          <w:szCs w:val="20"/>
        </w:rPr>
        <w:t>S</w:t>
      </w:r>
      <w:r w:rsidRPr="00E50A7F">
        <w:rPr>
          <w:rFonts w:ascii="Verdana" w:hAnsi="Verdana"/>
          <w:b/>
          <w:color w:val="000000" w:themeColor="text1"/>
          <w:sz w:val="20"/>
          <w:szCs w:val="20"/>
        </w:rPr>
        <w:t xml:space="preserve"> SOLICITUD</w:t>
      </w:r>
      <w:r w:rsidR="00CC22B5" w:rsidRPr="00E50A7F">
        <w:rPr>
          <w:rFonts w:ascii="Verdana" w:hAnsi="Verdana"/>
          <w:b/>
          <w:color w:val="000000" w:themeColor="text1"/>
          <w:sz w:val="20"/>
          <w:szCs w:val="20"/>
        </w:rPr>
        <w:t>ES</w:t>
      </w:r>
      <w:r w:rsidRPr="00E50A7F">
        <w:rPr>
          <w:rFonts w:ascii="Verdana" w:hAnsi="Verdana"/>
          <w:b/>
          <w:color w:val="000000" w:themeColor="text1"/>
          <w:sz w:val="20"/>
          <w:szCs w:val="20"/>
        </w:rPr>
        <w:t xml:space="preserve"> DE INTERPRETACIÓN</w:t>
      </w:r>
    </w:p>
    <w:p w14:paraId="4119AC48" w14:textId="77777777" w:rsidR="00A57ACC" w:rsidRPr="00E50A7F" w:rsidRDefault="00A57ACC" w:rsidP="00A57ACC">
      <w:pPr>
        <w:spacing w:after="0" w:line="240" w:lineRule="auto"/>
        <w:rPr>
          <w:rFonts w:ascii="Verdana" w:hAnsi="Verdana"/>
          <w:b/>
          <w:color w:val="000000" w:themeColor="text1"/>
          <w:sz w:val="20"/>
          <w:szCs w:val="20"/>
        </w:rPr>
      </w:pPr>
    </w:p>
    <w:p w14:paraId="10F328EA" w14:textId="39CC5FC6" w:rsidR="00A57ACC" w:rsidRPr="00E50A7F" w:rsidRDefault="00A57ACC" w:rsidP="001A3EFE">
      <w:pPr>
        <w:pStyle w:val="Prrafodelista"/>
        <w:numPr>
          <w:ilvl w:val="0"/>
          <w:numId w:val="1"/>
        </w:numPr>
        <w:spacing w:after="0" w:line="240" w:lineRule="auto"/>
        <w:ind w:left="0" w:firstLine="0"/>
        <w:jc w:val="both"/>
        <w:rPr>
          <w:rFonts w:ascii="Verdana" w:hAnsi="Verdana"/>
          <w:color w:val="000000" w:themeColor="text1"/>
          <w:sz w:val="20"/>
          <w:szCs w:val="20"/>
        </w:rPr>
      </w:pPr>
      <w:r w:rsidRPr="00E50A7F">
        <w:rPr>
          <w:rFonts w:ascii="Verdana" w:hAnsi="Verdana"/>
          <w:color w:val="000000" w:themeColor="text1"/>
          <w:sz w:val="20"/>
          <w:szCs w:val="20"/>
        </w:rPr>
        <w:t xml:space="preserve">A continuación, la Corte analizará </w:t>
      </w:r>
      <w:r w:rsidR="001A3EFE" w:rsidRPr="00E50A7F">
        <w:rPr>
          <w:rFonts w:ascii="Verdana" w:hAnsi="Verdana"/>
          <w:color w:val="000000" w:themeColor="text1"/>
          <w:sz w:val="20"/>
          <w:szCs w:val="20"/>
        </w:rPr>
        <w:t xml:space="preserve">las solicitudes </w:t>
      </w:r>
      <w:r w:rsidR="001F283B" w:rsidRPr="00E50A7F">
        <w:rPr>
          <w:rFonts w:ascii="Verdana" w:hAnsi="Verdana"/>
          <w:color w:val="000000" w:themeColor="text1"/>
          <w:sz w:val="20"/>
          <w:szCs w:val="20"/>
        </w:rPr>
        <w:t>del Estado y de los representantes</w:t>
      </w:r>
      <w:r w:rsidR="001A3EFE" w:rsidRPr="00E50A7F">
        <w:rPr>
          <w:rFonts w:ascii="Verdana" w:hAnsi="Verdana"/>
          <w:color w:val="000000" w:themeColor="text1"/>
          <w:sz w:val="20"/>
          <w:szCs w:val="20"/>
        </w:rPr>
        <w:t xml:space="preserve"> </w:t>
      </w:r>
      <w:r w:rsidRPr="00E50A7F">
        <w:rPr>
          <w:rFonts w:ascii="Verdana" w:hAnsi="Verdana"/>
          <w:color w:val="000000" w:themeColor="text1"/>
          <w:sz w:val="20"/>
          <w:szCs w:val="20"/>
        </w:rPr>
        <w:t xml:space="preserve">para determinar si, de acuerdo </w:t>
      </w:r>
      <w:r w:rsidR="00F911EA" w:rsidRPr="00E50A7F">
        <w:rPr>
          <w:rFonts w:ascii="Verdana" w:hAnsi="Verdana"/>
          <w:color w:val="000000" w:themeColor="text1"/>
          <w:sz w:val="20"/>
          <w:szCs w:val="20"/>
        </w:rPr>
        <w:t>con</w:t>
      </w:r>
      <w:r w:rsidRPr="00E50A7F">
        <w:rPr>
          <w:rFonts w:ascii="Verdana" w:hAnsi="Verdana"/>
          <w:color w:val="000000" w:themeColor="text1"/>
          <w:sz w:val="20"/>
          <w:szCs w:val="20"/>
        </w:rPr>
        <w:t xml:space="preserve"> la normativa </w:t>
      </w:r>
      <w:r w:rsidR="0016672D" w:rsidRPr="00E50A7F">
        <w:rPr>
          <w:rFonts w:ascii="Verdana" w:hAnsi="Verdana"/>
          <w:color w:val="000000" w:themeColor="text1"/>
          <w:sz w:val="20"/>
          <w:szCs w:val="20"/>
        </w:rPr>
        <w:t>y</w:t>
      </w:r>
      <w:r w:rsidRPr="00E50A7F">
        <w:rPr>
          <w:rFonts w:ascii="Verdana" w:hAnsi="Verdana"/>
          <w:color w:val="000000" w:themeColor="text1"/>
          <w:sz w:val="20"/>
          <w:szCs w:val="20"/>
        </w:rPr>
        <w:t xml:space="preserve"> los </w:t>
      </w:r>
      <w:r w:rsidR="0016672D" w:rsidRPr="00E50A7F">
        <w:rPr>
          <w:rFonts w:ascii="Verdana" w:hAnsi="Verdana"/>
          <w:color w:val="000000" w:themeColor="text1"/>
          <w:sz w:val="20"/>
          <w:szCs w:val="20"/>
        </w:rPr>
        <w:t>estándares</w:t>
      </w:r>
      <w:r w:rsidRPr="00E50A7F">
        <w:rPr>
          <w:rFonts w:ascii="Verdana" w:hAnsi="Verdana"/>
          <w:color w:val="000000" w:themeColor="text1"/>
          <w:sz w:val="20"/>
          <w:szCs w:val="20"/>
        </w:rPr>
        <w:t xml:space="preserve"> desarrollados en su jurisprudencia, procede aclarar el sentido o alcance de algún punto de la Sentencia. </w:t>
      </w:r>
    </w:p>
    <w:p w14:paraId="5B755BEB" w14:textId="77777777" w:rsidR="00A57ACC" w:rsidRPr="00E50A7F" w:rsidRDefault="00A57ACC" w:rsidP="00A57ACC">
      <w:pPr>
        <w:pStyle w:val="Prrafodelista"/>
        <w:spacing w:after="0" w:line="240" w:lineRule="auto"/>
        <w:ind w:left="0"/>
        <w:jc w:val="both"/>
        <w:rPr>
          <w:rFonts w:ascii="Verdana" w:hAnsi="Verdana"/>
          <w:color w:val="000000" w:themeColor="text1"/>
          <w:sz w:val="20"/>
          <w:szCs w:val="20"/>
        </w:rPr>
      </w:pPr>
    </w:p>
    <w:p w14:paraId="40542814" w14:textId="53472FD0" w:rsidR="00A57ACC" w:rsidRPr="00E50A7F" w:rsidRDefault="005A46F0" w:rsidP="001A3EFE">
      <w:pPr>
        <w:pStyle w:val="Prrafodelista"/>
        <w:numPr>
          <w:ilvl w:val="0"/>
          <w:numId w:val="1"/>
        </w:numPr>
        <w:spacing w:after="0" w:line="240" w:lineRule="auto"/>
        <w:ind w:left="0" w:firstLine="0"/>
        <w:jc w:val="both"/>
        <w:rPr>
          <w:rFonts w:ascii="Verdana" w:hAnsi="Verdana"/>
          <w:color w:val="000000" w:themeColor="text1"/>
          <w:sz w:val="20"/>
          <w:szCs w:val="20"/>
        </w:rPr>
      </w:pPr>
      <w:r w:rsidRPr="00E50A7F">
        <w:rPr>
          <w:rFonts w:ascii="Verdana" w:hAnsi="Verdana"/>
          <w:color w:val="000000" w:themeColor="text1"/>
          <w:sz w:val="20"/>
          <w:szCs w:val="20"/>
        </w:rPr>
        <w:t>L</w:t>
      </w:r>
      <w:r w:rsidR="00A57ACC" w:rsidRPr="00E50A7F">
        <w:rPr>
          <w:rFonts w:ascii="Verdana" w:hAnsi="Verdana"/>
          <w:color w:val="000000" w:themeColor="text1"/>
          <w:sz w:val="20"/>
          <w:szCs w:val="20"/>
        </w:rPr>
        <w:t xml:space="preserve">a Corte </w:t>
      </w:r>
      <w:r w:rsidRPr="00E50A7F">
        <w:rPr>
          <w:rFonts w:ascii="Verdana" w:hAnsi="Verdana"/>
          <w:color w:val="000000" w:themeColor="text1"/>
          <w:sz w:val="20"/>
          <w:szCs w:val="20"/>
        </w:rPr>
        <w:t xml:space="preserve">ha señalado que </w:t>
      </w:r>
      <w:r w:rsidR="00A57ACC" w:rsidRPr="00E50A7F">
        <w:rPr>
          <w:rFonts w:ascii="Verdana" w:hAnsi="Verdana"/>
          <w:color w:val="000000" w:themeColor="text1"/>
          <w:sz w:val="20"/>
          <w:szCs w:val="20"/>
        </w:rPr>
        <w:t>una solicitud de interpretación de sentencia no puede utilizarse como medio de impugnación de la decisión cuya interpretación se requiere. Dicha solicitud tiene como objeto, exclusivamente, determinar el sentido de un fallo cuando alguna de las partes sostiene que el texto de sus puntos resolutivos o de sus consideraciones carece de claridad o precisión, siempre y cuando esas consideraciones incidan en dicha parte resolutiva</w:t>
      </w:r>
      <w:r w:rsidR="0016672D" w:rsidRPr="00E50A7F">
        <w:rPr>
          <w:rStyle w:val="Refdenotaalpie"/>
          <w:rFonts w:ascii="Verdana" w:hAnsi="Verdana"/>
          <w:color w:val="000000" w:themeColor="text1"/>
          <w:sz w:val="20"/>
          <w:szCs w:val="20"/>
        </w:rPr>
        <w:footnoteReference w:id="3"/>
      </w:r>
      <w:r w:rsidR="00A57ACC" w:rsidRPr="00E50A7F">
        <w:rPr>
          <w:rFonts w:ascii="Verdana" w:hAnsi="Verdana"/>
          <w:color w:val="000000" w:themeColor="text1"/>
          <w:sz w:val="20"/>
          <w:szCs w:val="20"/>
        </w:rPr>
        <w:t>. Por lo tanto, no se puede solicitar la modificación o anulación de la sentencia respectiva a través de una solicitud de interpretación</w:t>
      </w:r>
      <w:r w:rsidR="00A57ACC" w:rsidRPr="00E50A7F">
        <w:rPr>
          <w:rStyle w:val="Refdenotaalpie"/>
          <w:rFonts w:ascii="Verdana" w:hAnsi="Verdana"/>
          <w:color w:val="000000" w:themeColor="text1"/>
          <w:sz w:val="20"/>
          <w:szCs w:val="20"/>
        </w:rPr>
        <w:footnoteReference w:id="4"/>
      </w:r>
      <w:r w:rsidR="00A57ACC" w:rsidRPr="00E50A7F">
        <w:rPr>
          <w:rFonts w:ascii="Verdana" w:hAnsi="Verdana"/>
          <w:color w:val="000000" w:themeColor="text1"/>
          <w:sz w:val="20"/>
          <w:szCs w:val="20"/>
        </w:rPr>
        <w:t>.</w:t>
      </w:r>
    </w:p>
    <w:p w14:paraId="77925BB5" w14:textId="77777777" w:rsidR="00EF6514" w:rsidRPr="00E50A7F" w:rsidRDefault="00EF6514" w:rsidP="00EF6514">
      <w:pPr>
        <w:pStyle w:val="Prrafodelista"/>
        <w:rPr>
          <w:rFonts w:ascii="Verdana" w:hAnsi="Verdana"/>
          <w:color w:val="000000" w:themeColor="text1"/>
          <w:sz w:val="20"/>
          <w:szCs w:val="20"/>
        </w:rPr>
      </w:pPr>
    </w:p>
    <w:p w14:paraId="3FCAF218" w14:textId="77777777" w:rsidR="005A46F0" w:rsidRPr="00E50A7F" w:rsidRDefault="005A46F0" w:rsidP="008002A7">
      <w:pPr>
        <w:pStyle w:val="Prrafodelista"/>
        <w:numPr>
          <w:ilvl w:val="0"/>
          <w:numId w:val="1"/>
        </w:numPr>
        <w:spacing w:after="0" w:line="240" w:lineRule="auto"/>
        <w:ind w:left="0" w:firstLine="0"/>
        <w:jc w:val="both"/>
        <w:rPr>
          <w:rFonts w:ascii="Verdana" w:eastAsia="Times" w:hAnsi="Verdana"/>
          <w:color w:val="000000" w:themeColor="text1"/>
          <w:sz w:val="20"/>
          <w:szCs w:val="20"/>
          <w:lang w:val="es-ES_tradnl"/>
        </w:rPr>
      </w:pPr>
      <w:r w:rsidRPr="00E50A7F">
        <w:rPr>
          <w:rFonts w:ascii="Verdana" w:hAnsi="Verdana"/>
          <w:color w:val="000000" w:themeColor="text1"/>
          <w:sz w:val="20"/>
          <w:szCs w:val="20"/>
        </w:rPr>
        <w:t>Adicionalmente, la Corte ha sostenido la improcedencia de utilizar una solicitud de interpretación para someter consideraciones sobre cuestiones de hecho y de derecho que ya fueron planteadas en su oportunidad procesal y sobre las cuales la Corte ya adoptó una decisión</w:t>
      </w:r>
      <w:r w:rsidRPr="00E50A7F">
        <w:rPr>
          <w:rStyle w:val="Refdenotaalpie"/>
          <w:rFonts w:ascii="Verdana" w:hAnsi="Verdana"/>
          <w:color w:val="000000" w:themeColor="text1"/>
          <w:sz w:val="20"/>
          <w:szCs w:val="20"/>
        </w:rPr>
        <w:footnoteReference w:id="5"/>
      </w:r>
      <w:r w:rsidRPr="00E50A7F">
        <w:rPr>
          <w:rFonts w:ascii="Verdana" w:hAnsi="Verdana"/>
          <w:color w:val="000000" w:themeColor="text1"/>
          <w:sz w:val="20"/>
          <w:szCs w:val="20"/>
        </w:rPr>
        <w:t>, así como para pretender que la Corte valore nuevamente cuestiones que ya han sido resueltas en la Sentencia</w:t>
      </w:r>
      <w:r w:rsidRPr="00E50A7F">
        <w:rPr>
          <w:rStyle w:val="Refdenotaalpie"/>
          <w:rFonts w:ascii="Verdana" w:hAnsi="Verdana"/>
          <w:color w:val="000000" w:themeColor="text1"/>
          <w:sz w:val="20"/>
          <w:szCs w:val="20"/>
        </w:rPr>
        <w:footnoteReference w:id="6"/>
      </w:r>
      <w:r w:rsidRPr="00E50A7F">
        <w:rPr>
          <w:rFonts w:ascii="Verdana" w:hAnsi="Verdana"/>
          <w:color w:val="000000" w:themeColor="text1"/>
          <w:sz w:val="20"/>
          <w:szCs w:val="20"/>
        </w:rPr>
        <w:t>. De igual manera, por esta vía tampoco se puede intentar que se amplíe el alcance de una medida de reparación ordenada oportunamente</w:t>
      </w:r>
      <w:r w:rsidRPr="00E50A7F">
        <w:rPr>
          <w:rStyle w:val="Refdenotaalpie"/>
          <w:rFonts w:ascii="Verdana" w:hAnsi="Verdana"/>
          <w:color w:val="000000" w:themeColor="text1"/>
          <w:sz w:val="20"/>
          <w:szCs w:val="20"/>
        </w:rPr>
        <w:footnoteReference w:id="7"/>
      </w:r>
      <w:r w:rsidRPr="00E50A7F">
        <w:rPr>
          <w:rFonts w:ascii="Verdana" w:hAnsi="Verdana"/>
          <w:color w:val="000000" w:themeColor="text1"/>
          <w:sz w:val="20"/>
          <w:szCs w:val="20"/>
        </w:rPr>
        <w:t>.</w:t>
      </w:r>
    </w:p>
    <w:p w14:paraId="67B66A44" w14:textId="0902E5BE" w:rsidR="005A46F0" w:rsidRPr="00E50A7F" w:rsidRDefault="00236B2C" w:rsidP="00236B2C">
      <w:pPr>
        <w:pStyle w:val="Prrafodelista"/>
        <w:tabs>
          <w:tab w:val="left" w:pos="2175"/>
        </w:tabs>
        <w:spacing w:after="0" w:line="240" w:lineRule="auto"/>
        <w:ind w:left="0"/>
        <w:jc w:val="both"/>
        <w:rPr>
          <w:rFonts w:ascii="Verdana" w:eastAsia="Times" w:hAnsi="Verdana"/>
          <w:color w:val="000000" w:themeColor="text1"/>
          <w:sz w:val="20"/>
          <w:szCs w:val="20"/>
          <w:lang w:val="es-ES_tradnl"/>
        </w:rPr>
      </w:pPr>
      <w:r w:rsidRPr="00E50A7F">
        <w:rPr>
          <w:rFonts w:ascii="Verdana" w:eastAsia="Times" w:hAnsi="Verdana"/>
          <w:color w:val="000000" w:themeColor="text1"/>
          <w:sz w:val="20"/>
          <w:szCs w:val="20"/>
          <w:lang w:val="es-ES_tradnl"/>
        </w:rPr>
        <w:tab/>
      </w:r>
    </w:p>
    <w:p w14:paraId="2E771780" w14:textId="293C31E2" w:rsidR="00A53C30" w:rsidRPr="00E50A7F" w:rsidRDefault="00BC3CC7" w:rsidP="00CD19D0">
      <w:pPr>
        <w:pStyle w:val="Prrafodelista"/>
        <w:numPr>
          <w:ilvl w:val="0"/>
          <w:numId w:val="1"/>
        </w:numPr>
        <w:spacing w:after="0" w:line="240" w:lineRule="auto"/>
        <w:ind w:left="0" w:firstLine="0"/>
        <w:jc w:val="both"/>
        <w:rPr>
          <w:rFonts w:ascii="Verdana" w:hAnsi="Verdana"/>
          <w:b/>
          <w:color w:val="000000" w:themeColor="text1"/>
          <w:sz w:val="20"/>
          <w:szCs w:val="20"/>
        </w:rPr>
      </w:pPr>
      <w:r w:rsidRPr="00E50A7F">
        <w:rPr>
          <w:rFonts w:ascii="Verdana" w:eastAsia="Times" w:hAnsi="Verdana"/>
          <w:color w:val="000000" w:themeColor="text1"/>
          <w:sz w:val="20"/>
          <w:szCs w:val="20"/>
        </w:rPr>
        <w:t>L</w:t>
      </w:r>
      <w:r w:rsidR="005A46F0" w:rsidRPr="00E50A7F">
        <w:rPr>
          <w:rFonts w:ascii="Verdana" w:eastAsia="Times" w:hAnsi="Verdana"/>
          <w:color w:val="000000" w:themeColor="text1"/>
          <w:sz w:val="20"/>
          <w:szCs w:val="20"/>
        </w:rPr>
        <w:t xml:space="preserve">a Corte Interamericana examinará las cuestiones planteadas en el siguiente orden: </w:t>
      </w:r>
      <w:r w:rsidR="00503125" w:rsidRPr="00E50A7F">
        <w:rPr>
          <w:rFonts w:ascii="Verdana" w:eastAsia="Times" w:hAnsi="Verdana"/>
          <w:color w:val="000000" w:themeColor="text1"/>
          <w:sz w:val="20"/>
          <w:szCs w:val="20"/>
        </w:rPr>
        <w:t>(i)</w:t>
      </w:r>
      <w:r w:rsidR="00503125" w:rsidRPr="00E50A7F">
        <w:rPr>
          <w:rFonts w:ascii="Verdana" w:hAnsi="Verdana"/>
          <w:color w:val="000000" w:themeColor="text1"/>
          <w:sz w:val="20"/>
          <w:szCs w:val="20"/>
        </w:rPr>
        <w:t xml:space="preserve"> </w:t>
      </w:r>
      <w:r w:rsidR="00236B2C" w:rsidRPr="00E50A7F">
        <w:rPr>
          <w:rFonts w:ascii="Verdana" w:hAnsi="Verdana"/>
          <w:color w:val="000000" w:themeColor="text1"/>
          <w:sz w:val="20"/>
          <w:szCs w:val="20"/>
        </w:rPr>
        <w:t xml:space="preserve">la solicitud </w:t>
      </w:r>
      <w:r w:rsidR="00CD19D0" w:rsidRPr="00E50A7F">
        <w:rPr>
          <w:rFonts w:ascii="Verdana" w:hAnsi="Verdana"/>
          <w:color w:val="000000" w:themeColor="text1"/>
          <w:sz w:val="20"/>
          <w:szCs w:val="20"/>
        </w:rPr>
        <w:t xml:space="preserve">de interpretación </w:t>
      </w:r>
      <w:r w:rsidR="00D67FAA">
        <w:rPr>
          <w:rFonts w:ascii="Verdana" w:hAnsi="Verdana"/>
          <w:color w:val="000000" w:themeColor="text1"/>
          <w:sz w:val="20"/>
          <w:szCs w:val="20"/>
        </w:rPr>
        <w:t xml:space="preserve">interpuesta por </w:t>
      </w:r>
      <w:r w:rsidR="00CD19D0" w:rsidRPr="00E50A7F">
        <w:rPr>
          <w:rFonts w:ascii="Verdana" w:hAnsi="Verdana"/>
          <w:color w:val="000000" w:themeColor="text1"/>
          <w:sz w:val="20"/>
          <w:szCs w:val="20"/>
        </w:rPr>
        <w:t>el Estado</w:t>
      </w:r>
      <w:r w:rsidR="00503125" w:rsidRPr="00E50A7F">
        <w:rPr>
          <w:rFonts w:ascii="Verdana" w:eastAsia="Times" w:hAnsi="Verdana"/>
          <w:color w:val="000000" w:themeColor="text1"/>
          <w:sz w:val="20"/>
          <w:szCs w:val="20"/>
        </w:rPr>
        <w:t xml:space="preserve"> y (ii) </w:t>
      </w:r>
      <w:r w:rsidR="00236B2C" w:rsidRPr="00E50A7F">
        <w:rPr>
          <w:rFonts w:ascii="Verdana" w:eastAsia="Times" w:hAnsi="Verdana"/>
          <w:color w:val="000000" w:themeColor="text1"/>
          <w:sz w:val="20"/>
          <w:szCs w:val="20"/>
        </w:rPr>
        <w:t xml:space="preserve">la solicitud </w:t>
      </w:r>
      <w:r w:rsidR="00CD19D0" w:rsidRPr="00E50A7F">
        <w:rPr>
          <w:rFonts w:ascii="Verdana" w:eastAsia="Times" w:hAnsi="Verdana"/>
          <w:color w:val="000000" w:themeColor="text1"/>
          <w:sz w:val="20"/>
          <w:szCs w:val="20"/>
        </w:rPr>
        <w:t xml:space="preserve">de interpretación </w:t>
      </w:r>
      <w:r w:rsidR="00D67FAA">
        <w:rPr>
          <w:rFonts w:ascii="Verdana" w:eastAsia="Times" w:hAnsi="Verdana"/>
          <w:color w:val="000000" w:themeColor="text1"/>
          <w:sz w:val="20"/>
          <w:szCs w:val="20"/>
        </w:rPr>
        <w:t>interpuesta por</w:t>
      </w:r>
      <w:r w:rsidR="00D67FAA" w:rsidRPr="00E50A7F">
        <w:rPr>
          <w:rFonts w:ascii="Verdana" w:eastAsia="Times" w:hAnsi="Verdana"/>
          <w:color w:val="000000" w:themeColor="text1"/>
          <w:sz w:val="20"/>
          <w:szCs w:val="20"/>
        </w:rPr>
        <w:t xml:space="preserve"> </w:t>
      </w:r>
      <w:r w:rsidR="00CD19D0" w:rsidRPr="00E50A7F">
        <w:rPr>
          <w:rFonts w:ascii="Verdana" w:eastAsia="Times" w:hAnsi="Verdana"/>
          <w:color w:val="000000" w:themeColor="text1"/>
          <w:sz w:val="20"/>
          <w:szCs w:val="20"/>
        </w:rPr>
        <w:t>los representantes.</w:t>
      </w:r>
    </w:p>
    <w:p w14:paraId="557278AB" w14:textId="77777777" w:rsidR="00CB4AC8" w:rsidRPr="00E50A7F" w:rsidRDefault="00CB4AC8" w:rsidP="00CB4AC8">
      <w:pPr>
        <w:pStyle w:val="Prrafodelista"/>
        <w:rPr>
          <w:rFonts w:ascii="Verdana" w:hAnsi="Verdana"/>
          <w:b/>
          <w:color w:val="000000" w:themeColor="text1"/>
          <w:sz w:val="20"/>
          <w:szCs w:val="20"/>
        </w:rPr>
      </w:pPr>
    </w:p>
    <w:p w14:paraId="6069C668" w14:textId="5C469632" w:rsidR="00CB4AC8" w:rsidRPr="00E50A7F" w:rsidRDefault="00CB4AC8" w:rsidP="00CB4AC8">
      <w:pPr>
        <w:pStyle w:val="Prrafodelista"/>
        <w:numPr>
          <w:ilvl w:val="0"/>
          <w:numId w:val="2"/>
        </w:numPr>
        <w:spacing w:after="0" w:line="240" w:lineRule="auto"/>
        <w:ind w:left="426"/>
        <w:jc w:val="both"/>
        <w:rPr>
          <w:rFonts w:ascii="Verdana" w:hAnsi="Verdana"/>
          <w:b/>
          <w:color w:val="000000" w:themeColor="text1"/>
          <w:sz w:val="20"/>
          <w:szCs w:val="20"/>
        </w:rPr>
      </w:pPr>
      <w:r w:rsidRPr="00E50A7F">
        <w:rPr>
          <w:rFonts w:ascii="Verdana" w:hAnsi="Verdana"/>
          <w:b/>
          <w:color w:val="000000" w:themeColor="text1"/>
          <w:sz w:val="20"/>
          <w:szCs w:val="20"/>
        </w:rPr>
        <w:t>Solicitud de interpretación interpuesta por el Estado</w:t>
      </w:r>
    </w:p>
    <w:p w14:paraId="359AB7F1" w14:textId="2E7394E3" w:rsidR="00CD19D0" w:rsidRPr="00E50A7F" w:rsidRDefault="00CD19D0" w:rsidP="00CD19D0">
      <w:pPr>
        <w:spacing w:after="0" w:line="240" w:lineRule="auto"/>
        <w:jc w:val="both"/>
        <w:rPr>
          <w:rFonts w:ascii="Verdana" w:hAnsi="Verdana"/>
          <w:b/>
          <w:color w:val="000000" w:themeColor="text1"/>
          <w:sz w:val="20"/>
          <w:szCs w:val="20"/>
        </w:rPr>
      </w:pPr>
    </w:p>
    <w:p w14:paraId="26B7D74C" w14:textId="2419D0EC" w:rsidR="00CD19D0" w:rsidRPr="00E50A7F" w:rsidRDefault="002A5213" w:rsidP="00CD19D0">
      <w:pPr>
        <w:spacing w:after="0" w:line="240" w:lineRule="auto"/>
        <w:ind w:firstLine="708"/>
        <w:jc w:val="both"/>
        <w:rPr>
          <w:rFonts w:ascii="Verdana" w:hAnsi="Verdana"/>
          <w:i/>
          <w:color w:val="000000" w:themeColor="text1"/>
          <w:sz w:val="20"/>
          <w:szCs w:val="20"/>
        </w:rPr>
      </w:pPr>
      <w:r>
        <w:rPr>
          <w:rFonts w:ascii="Verdana" w:hAnsi="Verdana"/>
          <w:i/>
          <w:color w:val="000000" w:themeColor="text1"/>
          <w:sz w:val="20"/>
          <w:szCs w:val="20"/>
        </w:rPr>
        <w:t>A</w:t>
      </w:r>
      <w:r w:rsidR="00CD19D0" w:rsidRPr="00E50A7F">
        <w:rPr>
          <w:rFonts w:ascii="Verdana" w:hAnsi="Verdana"/>
          <w:i/>
          <w:color w:val="000000" w:themeColor="text1"/>
          <w:sz w:val="20"/>
          <w:szCs w:val="20"/>
        </w:rPr>
        <w:t xml:space="preserve">.1. Argumentos de las partes y de la Comisión </w:t>
      </w:r>
    </w:p>
    <w:p w14:paraId="65623A35" w14:textId="77777777" w:rsidR="001928E4" w:rsidRPr="00E50A7F" w:rsidRDefault="001928E4" w:rsidP="001928E4">
      <w:pPr>
        <w:pStyle w:val="Prrafodelista"/>
        <w:spacing w:after="0" w:line="240" w:lineRule="auto"/>
        <w:ind w:left="426"/>
        <w:jc w:val="both"/>
        <w:rPr>
          <w:rFonts w:ascii="Verdana" w:hAnsi="Verdana"/>
          <w:b/>
          <w:color w:val="000000" w:themeColor="text1"/>
          <w:sz w:val="20"/>
          <w:szCs w:val="20"/>
        </w:rPr>
      </w:pPr>
    </w:p>
    <w:p w14:paraId="7619E632" w14:textId="79877C3E" w:rsidR="00CD19D0" w:rsidRPr="00E50A7F" w:rsidRDefault="00CD19D0" w:rsidP="00970BC9">
      <w:pPr>
        <w:pStyle w:val="Prrafodelista"/>
        <w:numPr>
          <w:ilvl w:val="0"/>
          <w:numId w:val="1"/>
        </w:numPr>
        <w:spacing w:after="0" w:line="240" w:lineRule="auto"/>
        <w:ind w:left="0" w:firstLine="0"/>
        <w:jc w:val="both"/>
        <w:rPr>
          <w:rFonts w:ascii="Verdana" w:hAnsi="Verdana"/>
          <w:color w:val="000000" w:themeColor="text1"/>
          <w:sz w:val="20"/>
          <w:szCs w:val="20"/>
        </w:rPr>
      </w:pPr>
      <w:r w:rsidRPr="00E50A7F">
        <w:rPr>
          <w:rFonts w:ascii="Verdana" w:hAnsi="Verdana"/>
          <w:color w:val="000000" w:themeColor="text1"/>
          <w:sz w:val="20"/>
          <w:szCs w:val="20"/>
        </w:rPr>
        <w:t xml:space="preserve">El </w:t>
      </w:r>
      <w:r w:rsidRPr="00E50A7F">
        <w:rPr>
          <w:rFonts w:ascii="Verdana" w:hAnsi="Verdana"/>
          <w:b/>
          <w:bCs/>
          <w:i/>
          <w:iCs/>
          <w:color w:val="000000" w:themeColor="text1"/>
          <w:sz w:val="20"/>
          <w:szCs w:val="20"/>
        </w:rPr>
        <w:t>Estado</w:t>
      </w:r>
      <w:r w:rsidRPr="00E50A7F">
        <w:rPr>
          <w:rFonts w:ascii="Verdana" w:hAnsi="Verdana"/>
          <w:color w:val="000000" w:themeColor="text1"/>
          <w:sz w:val="20"/>
          <w:szCs w:val="20"/>
        </w:rPr>
        <w:t xml:space="preserve"> señaló que la </w:t>
      </w:r>
      <w:r w:rsidRPr="00E50A7F">
        <w:rPr>
          <w:rFonts w:ascii="Verdana" w:eastAsia="Times" w:hAnsi="Verdana"/>
          <w:color w:val="000000" w:themeColor="text1"/>
          <w:sz w:val="20"/>
          <w:szCs w:val="20"/>
        </w:rPr>
        <w:t>Comisión</w:t>
      </w:r>
      <w:r w:rsidRPr="00E50A7F">
        <w:rPr>
          <w:rFonts w:ascii="Verdana" w:hAnsi="Verdana"/>
          <w:color w:val="000000" w:themeColor="text1"/>
          <w:sz w:val="20"/>
          <w:szCs w:val="20"/>
        </w:rPr>
        <w:t xml:space="preserve"> Presidencial por la Paz y los Derechos Humanos (en adelante “COPADEH”)</w:t>
      </w:r>
      <w:r w:rsidR="0082431C" w:rsidRPr="00E50A7F">
        <w:rPr>
          <w:rFonts w:ascii="Verdana" w:hAnsi="Verdana"/>
          <w:color w:val="000000" w:themeColor="text1"/>
          <w:sz w:val="20"/>
          <w:szCs w:val="20"/>
        </w:rPr>
        <w:t xml:space="preserve"> era el ente encarg</w:t>
      </w:r>
      <w:r w:rsidR="00970BC9" w:rsidRPr="00E50A7F">
        <w:rPr>
          <w:rFonts w:ascii="Verdana" w:hAnsi="Verdana"/>
          <w:color w:val="000000" w:themeColor="text1"/>
          <w:sz w:val="20"/>
          <w:szCs w:val="20"/>
        </w:rPr>
        <w:t>ado</w:t>
      </w:r>
      <w:r w:rsidR="0082431C" w:rsidRPr="00E50A7F">
        <w:rPr>
          <w:rFonts w:ascii="Verdana" w:hAnsi="Verdana"/>
          <w:color w:val="000000" w:themeColor="text1"/>
          <w:sz w:val="20"/>
          <w:szCs w:val="20"/>
        </w:rPr>
        <w:t xml:space="preserve"> de dar seguimiento al cumplimiento de Sentencia en el presente caso. </w:t>
      </w:r>
      <w:r w:rsidR="00970BC9" w:rsidRPr="00E50A7F">
        <w:rPr>
          <w:rFonts w:ascii="Verdana" w:hAnsi="Verdana"/>
          <w:color w:val="000000" w:themeColor="text1"/>
          <w:sz w:val="20"/>
          <w:szCs w:val="20"/>
        </w:rPr>
        <w:t>Según el Estado, l</w:t>
      </w:r>
      <w:r w:rsidR="0082431C" w:rsidRPr="00E50A7F">
        <w:rPr>
          <w:rFonts w:ascii="Verdana" w:hAnsi="Verdana"/>
          <w:color w:val="000000" w:themeColor="text1"/>
          <w:sz w:val="20"/>
          <w:szCs w:val="20"/>
        </w:rPr>
        <w:t xml:space="preserve">a COPADEH manifestó su “disentimiento sobre el sentido y alcance” del referido fallo y </w:t>
      </w:r>
      <w:r w:rsidR="0082431C" w:rsidRPr="00E50A7F">
        <w:rPr>
          <w:rFonts w:ascii="Verdana" w:eastAsia="Times" w:hAnsi="Verdana"/>
          <w:color w:val="000000" w:themeColor="text1"/>
          <w:sz w:val="20"/>
          <w:szCs w:val="20"/>
        </w:rPr>
        <w:t>solicitó</w:t>
      </w:r>
      <w:r w:rsidR="0082431C" w:rsidRPr="00E50A7F">
        <w:rPr>
          <w:rFonts w:ascii="Verdana" w:hAnsi="Verdana"/>
          <w:color w:val="000000" w:themeColor="text1"/>
          <w:sz w:val="20"/>
          <w:szCs w:val="20"/>
        </w:rPr>
        <w:t xml:space="preserve"> que “se interpreten los argumentos y fundamentos que la </w:t>
      </w:r>
      <w:r w:rsidR="0082431C" w:rsidRPr="00E50A7F">
        <w:rPr>
          <w:rFonts w:ascii="Verdana" w:hAnsi="Verdana"/>
          <w:color w:val="000000" w:themeColor="text1"/>
          <w:sz w:val="20"/>
          <w:szCs w:val="20"/>
        </w:rPr>
        <w:lastRenderedPageBreak/>
        <w:t xml:space="preserve">Corte Interamericana tuvo a bien considerar para validar a las víctimas del caso […] que se encuentran incluidas en los Anexos II, III, IV, V, VI, VII y VIII”. </w:t>
      </w:r>
      <w:bookmarkStart w:id="0" w:name="_Hlk109801568"/>
      <w:r w:rsidR="006440E3" w:rsidRPr="00E50A7F">
        <w:rPr>
          <w:rFonts w:ascii="Verdana" w:hAnsi="Verdana"/>
          <w:color w:val="000000" w:themeColor="text1"/>
          <w:sz w:val="20"/>
          <w:szCs w:val="20"/>
        </w:rPr>
        <w:t xml:space="preserve">La COPADEH solicitó que la Corte determinara “qué criterios formales y jurisprudenciales” consideró </w:t>
      </w:r>
      <w:r w:rsidR="00970BC9" w:rsidRPr="00E50A7F">
        <w:rPr>
          <w:rFonts w:ascii="Verdana" w:hAnsi="Verdana" w:cs="Arial"/>
          <w:color w:val="282828"/>
          <w:sz w:val="20"/>
          <w:szCs w:val="20"/>
          <w:lang w:val="es-ES"/>
        </w:rPr>
        <w:t xml:space="preserve">para incluir como víctimas dentro de sus anexos a algunas personas que actualmente se </w:t>
      </w:r>
      <w:r w:rsidR="00970BC9" w:rsidRPr="00E50A7F">
        <w:rPr>
          <w:rFonts w:ascii="Verdana" w:hAnsi="Verdana" w:cs="Arial"/>
          <w:color w:val="393939"/>
          <w:sz w:val="20"/>
          <w:szCs w:val="20"/>
          <w:lang w:val="es-ES"/>
        </w:rPr>
        <w:t xml:space="preserve">encontrarían </w:t>
      </w:r>
      <w:r w:rsidR="00970BC9" w:rsidRPr="00E50A7F">
        <w:rPr>
          <w:rFonts w:ascii="Verdana" w:hAnsi="Verdana" w:cs="Arial"/>
          <w:color w:val="282828"/>
          <w:sz w:val="20"/>
          <w:szCs w:val="20"/>
          <w:lang w:val="es-ES"/>
        </w:rPr>
        <w:t>fallecidas, lo cual denotaría “falta de certeza jurídica en el fallo”</w:t>
      </w:r>
      <w:r w:rsidR="006440E3" w:rsidRPr="00E50A7F">
        <w:rPr>
          <w:rFonts w:ascii="Verdana" w:hAnsi="Verdana"/>
          <w:color w:val="000000" w:themeColor="text1"/>
          <w:sz w:val="20"/>
          <w:szCs w:val="20"/>
        </w:rPr>
        <w:t xml:space="preserve">. </w:t>
      </w:r>
      <w:r w:rsidR="00970BC9" w:rsidRPr="00E50A7F">
        <w:rPr>
          <w:rFonts w:ascii="Verdana" w:hAnsi="Verdana"/>
          <w:color w:val="000000" w:themeColor="text1"/>
          <w:sz w:val="20"/>
          <w:szCs w:val="20"/>
        </w:rPr>
        <w:t xml:space="preserve">El Estado además señaló que </w:t>
      </w:r>
      <w:r w:rsidR="0082431C" w:rsidRPr="00E50A7F">
        <w:rPr>
          <w:rFonts w:ascii="Verdana" w:hAnsi="Verdana"/>
          <w:color w:val="000000" w:themeColor="text1"/>
          <w:sz w:val="20"/>
          <w:szCs w:val="20"/>
        </w:rPr>
        <w:t xml:space="preserve">la Corte no habría considerado los argumentos esgrimidos por </w:t>
      </w:r>
      <w:r w:rsidR="00970BC9" w:rsidRPr="00E50A7F">
        <w:rPr>
          <w:rFonts w:ascii="Verdana" w:hAnsi="Verdana"/>
          <w:color w:val="000000" w:themeColor="text1"/>
          <w:sz w:val="20"/>
          <w:szCs w:val="20"/>
        </w:rPr>
        <w:t>este</w:t>
      </w:r>
      <w:r w:rsidR="0082431C" w:rsidRPr="00E50A7F">
        <w:rPr>
          <w:rFonts w:ascii="Verdana" w:hAnsi="Verdana"/>
          <w:color w:val="000000" w:themeColor="text1"/>
          <w:sz w:val="20"/>
          <w:szCs w:val="20"/>
        </w:rPr>
        <w:t xml:space="preserve"> ni los medios de prueba aportados y, en especial, no</w:t>
      </w:r>
      <w:r w:rsidR="00A812AD">
        <w:rPr>
          <w:rFonts w:ascii="Verdana" w:hAnsi="Verdana"/>
          <w:color w:val="000000" w:themeColor="text1"/>
          <w:sz w:val="20"/>
          <w:szCs w:val="20"/>
        </w:rPr>
        <w:t xml:space="preserve"> </w:t>
      </w:r>
      <w:r w:rsidR="0082431C" w:rsidRPr="00E50A7F">
        <w:rPr>
          <w:rFonts w:ascii="Verdana" w:hAnsi="Verdana"/>
          <w:color w:val="000000" w:themeColor="text1"/>
          <w:sz w:val="20"/>
          <w:szCs w:val="20"/>
        </w:rPr>
        <w:t xml:space="preserve">habría “tomado en cuenta ni en consideración el registro único de víctimas que fue debidamente reconocido por los representantes y el Estado de Guatemala dentro del Acuerdo de Solución Amistosa suscrito el 18 de diciembre de 2007”. </w:t>
      </w:r>
      <w:r w:rsidR="006440E3" w:rsidRPr="00E50A7F">
        <w:rPr>
          <w:rFonts w:ascii="Verdana" w:hAnsi="Verdana"/>
          <w:color w:val="000000" w:themeColor="text1"/>
          <w:sz w:val="20"/>
          <w:szCs w:val="20"/>
        </w:rPr>
        <w:t xml:space="preserve">Finalmente, el Estado indicó que no era “generador de riqueza” y que, “por ende, la desproporcionalidad sobre lo ya establecido perjudica[ba] el erario estatal”. </w:t>
      </w:r>
      <w:bookmarkEnd w:id="0"/>
    </w:p>
    <w:p w14:paraId="23BE6CD6" w14:textId="6597641E" w:rsidR="00B84743" w:rsidRPr="00E50A7F" w:rsidRDefault="00B84743" w:rsidP="00B84743">
      <w:pPr>
        <w:spacing w:after="0" w:line="240" w:lineRule="auto"/>
        <w:jc w:val="both"/>
        <w:rPr>
          <w:rFonts w:ascii="Verdana" w:hAnsi="Verdana"/>
          <w:color w:val="000000" w:themeColor="text1"/>
          <w:sz w:val="20"/>
          <w:szCs w:val="20"/>
        </w:rPr>
      </w:pPr>
    </w:p>
    <w:p w14:paraId="7C8018E2" w14:textId="1F3934D1" w:rsidR="00CD19D0" w:rsidRPr="00E50A7F" w:rsidRDefault="00CD19D0" w:rsidP="004F36A8">
      <w:pPr>
        <w:pStyle w:val="Prrafodelista"/>
        <w:numPr>
          <w:ilvl w:val="0"/>
          <w:numId w:val="1"/>
        </w:numPr>
        <w:spacing w:after="0" w:line="240" w:lineRule="auto"/>
        <w:ind w:left="0" w:firstLine="0"/>
        <w:jc w:val="both"/>
        <w:rPr>
          <w:rFonts w:ascii="Verdana" w:hAnsi="Verdana"/>
          <w:color w:val="000000" w:themeColor="text1"/>
          <w:sz w:val="20"/>
          <w:szCs w:val="20"/>
        </w:rPr>
      </w:pPr>
      <w:r w:rsidRPr="00E50A7F">
        <w:rPr>
          <w:rFonts w:ascii="Verdana" w:hAnsi="Verdana"/>
          <w:color w:val="000000" w:themeColor="text1"/>
          <w:sz w:val="20"/>
          <w:szCs w:val="20"/>
        </w:rPr>
        <w:t xml:space="preserve">Los </w:t>
      </w:r>
      <w:r w:rsidRPr="00E50A7F">
        <w:rPr>
          <w:rFonts w:ascii="Verdana" w:hAnsi="Verdana"/>
          <w:b/>
          <w:bCs/>
          <w:i/>
          <w:iCs/>
          <w:color w:val="000000" w:themeColor="text1"/>
          <w:sz w:val="20"/>
          <w:szCs w:val="20"/>
        </w:rPr>
        <w:t>representante</w:t>
      </w:r>
      <w:r w:rsidR="006440E3" w:rsidRPr="00E50A7F">
        <w:rPr>
          <w:rFonts w:ascii="Verdana" w:hAnsi="Verdana"/>
          <w:b/>
          <w:bCs/>
          <w:i/>
          <w:iCs/>
          <w:color w:val="000000" w:themeColor="text1"/>
          <w:sz w:val="20"/>
          <w:szCs w:val="20"/>
        </w:rPr>
        <w:t>s</w:t>
      </w:r>
      <w:r w:rsidR="006440E3" w:rsidRPr="00E50A7F">
        <w:rPr>
          <w:rFonts w:ascii="Verdana" w:hAnsi="Verdana"/>
          <w:color w:val="000000" w:themeColor="text1"/>
          <w:sz w:val="20"/>
          <w:szCs w:val="20"/>
        </w:rPr>
        <w:t>, por su parte, indicaron que</w:t>
      </w:r>
      <w:r w:rsidR="00DF5C3F" w:rsidRPr="00E50A7F">
        <w:rPr>
          <w:rFonts w:ascii="Verdana" w:hAnsi="Verdana"/>
          <w:color w:val="000000" w:themeColor="text1"/>
          <w:sz w:val="20"/>
          <w:szCs w:val="20"/>
        </w:rPr>
        <w:t>, de conformidad con lo preceptuado en el artículo 35.1 del Reglamento de la Corte, correspond</w:t>
      </w:r>
      <w:r w:rsidR="004F36A8" w:rsidRPr="00E50A7F">
        <w:rPr>
          <w:rFonts w:ascii="Verdana" w:hAnsi="Verdana"/>
          <w:color w:val="000000" w:themeColor="text1"/>
          <w:sz w:val="20"/>
          <w:szCs w:val="20"/>
        </w:rPr>
        <w:t>ía</w:t>
      </w:r>
      <w:r w:rsidR="00DF5C3F" w:rsidRPr="00E50A7F">
        <w:rPr>
          <w:rFonts w:ascii="Verdana" w:hAnsi="Verdana"/>
          <w:color w:val="000000" w:themeColor="text1"/>
          <w:sz w:val="20"/>
          <w:szCs w:val="20"/>
        </w:rPr>
        <w:t xml:space="preserve"> a la Comisión identificar con precisión, en el momento procesal oportuno, a las víctimas de un caso ante la Corte</w:t>
      </w:r>
      <w:r w:rsidR="004C41BC" w:rsidRPr="00E50A7F">
        <w:rPr>
          <w:rFonts w:ascii="Verdana" w:hAnsi="Verdana"/>
          <w:color w:val="000000" w:themeColor="text1"/>
          <w:sz w:val="20"/>
          <w:szCs w:val="20"/>
        </w:rPr>
        <w:t>, si bien en ocasiones la Corte también ha considerado a víctimas personas que no fueron alegadas como tales en el Informe de Fondo de la Comisión. Recordaron que la Sentencia dictada por este Tribunal tiene “carácter definitivo e inapelable”</w:t>
      </w:r>
      <w:r w:rsidR="004F36A8" w:rsidRPr="00E50A7F">
        <w:rPr>
          <w:rFonts w:ascii="Verdana" w:hAnsi="Verdana"/>
          <w:color w:val="000000" w:themeColor="text1"/>
          <w:sz w:val="20"/>
          <w:szCs w:val="20"/>
        </w:rPr>
        <w:t>,</w:t>
      </w:r>
      <w:r w:rsidR="004C41BC" w:rsidRPr="00E50A7F">
        <w:rPr>
          <w:rFonts w:ascii="Verdana" w:hAnsi="Verdana"/>
          <w:color w:val="000000" w:themeColor="text1"/>
          <w:sz w:val="20"/>
          <w:szCs w:val="20"/>
        </w:rPr>
        <w:t xml:space="preserve"> de conformidad con lo establecido en el artículo 67 de la Convención Americana. Añadieron que el listado que figura en el Acuerdo de Solución Amistosa de 18 de diciembre de 2007 no podía ser el único medio de prueba. </w:t>
      </w:r>
      <w:r w:rsidR="004F36A8" w:rsidRPr="00E50A7F">
        <w:rPr>
          <w:rFonts w:ascii="Verdana" w:hAnsi="Verdana"/>
          <w:color w:val="000000" w:themeColor="text1"/>
          <w:sz w:val="20"/>
          <w:szCs w:val="20"/>
        </w:rPr>
        <w:t xml:space="preserve">De la misma forma, consideraron que el hecho de que algunas víctimas hubieran fallecido durante el proceso de solución amistosa no les impedía ser reconocidos como tal en el procedimiento ante el Sistema Interamericano de Derechos Humanos. </w:t>
      </w:r>
      <w:r w:rsidR="00074340" w:rsidRPr="00E50A7F">
        <w:rPr>
          <w:rFonts w:ascii="Verdana" w:hAnsi="Verdana"/>
          <w:color w:val="000000" w:themeColor="text1"/>
          <w:sz w:val="20"/>
          <w:szCs w:val="20"/>
        </w:rPr>
        <w:t>Finalmente, indicaron que el Estado pretendía en esta etapa procesal y de manera extemporánea “abrir a debate la calidad de víctimas de ciertas personas”</w:t>
      </w:r>
      <w:r w:rsidR="004C41BC" w:rsidRPr="00E50A7F">
        <w:rPr>
          <w:rFonts w:ascii="Verdana" w:hAnsi="Verdana"/>
          <w:color w:val="000000" w:themeColor="text1"/>
          <w:sz w:val="20"/>
          <w:szCs w:val="20"/>
        </w:rPr>
        <w:t xml:space="preserve">, </w:t>
      </w:r>
      <w:r w:rsidR="00074340" w:rsidRPr="00E50A7F">
        <w:rPr>
          <w:rFonts w:ascii="Verdana" w:hAnsi="Verdana"/>
          <w:color w:val="000000" w:themeColor="text1"/>
          <w:sz w:val="20"/>
          <w:szCs w:val="20"/>
        </w:rPr>
        <w:t>por lo que solicitaron que</w:t>
      </w:r>
      <w:r w:rsidR="004C41BC" w:rsidRPr="00E50A7F">
        <w:rPr>
          <w:rFonts w:ascii="Verdana" w:hAnsi="Verdana"/>
          <w:color w:val="000000" w:themeColor="text1"/>
          <w:sz w:val="20"/>
          <w:szCs w:val="20"/>
        </w:rPr>
        <w:t xml:space="preserve"> se desestimara la solicitud de interpretación interpuesta por el Estado</w:t>
      </w:r>
      <w:r w:rsidR="00074340" w:rsidRPr="00E50A7F">
        <w:rPr>
          <w:rFonts w:ascii="Verdana" w:hAnsi="Verdana"/>
          <w:color w:val="000000" w:themeColor="text1"/>
          <w:sz w:val="20"/>
          <w:szCs w:val="20"/>
        </w:rPr>
        <w:t xml:space="preserve">. </w:t>
      </w:r>
    </w:p>
    <w:p w14:paraId="7865E3EF" w14:textId="77777777" w:rsidR="006440E3" w:rsidRPr="00E50A7F" w:rsidRDefault="006440E3" w:rsidP="006440E3">
      <w:pPr>
        <w:pStyle w:val="Prrafodelista"/>
        <w:rPr>
          <w:rFonts w:ascii="Verdana" w:hAnsi="Verdana"/>
          <w:color w:val="000000" w:themeColor="text1"/>
          <w:sz w:val="20"/>
          <w:szCs w:val="20"/>
        </w:rPr>
      </w:pPr>
    </w:p>
    <w:p w14:paraId="641E1FE0" w14:textId="6FF31C54" w:rsidR="006440E3" w:rsidRPr="00E50A7F" w:rsidRDefault="00CD19D0" w:rsidP="006440E3">
      <w:pPr>
        <w:pStyle w:val="Prrafodelista"/>
        <w:numPr>
          <w:ilvl w:val="0"/>
          <w:numId w:val="1"/>
        </w:numPr>
        <w:spacing w:after="0" w:line="240" w:lineRule="auto"/>
        <w:ind w:left="0" w:firstLine="0"/>
        <w:jc w:val="both"/>
        <w:rPr>
          <w:rFonts w:ascii="Verdana" w:hAnsi="Verdana"/>
          <w:color w:val="000000" w:themeColor="text1"/>
          <w:sz w:val="20"/>
          <w:szCs w:val="20"/>
        </w:rPr>
      </w:pPr>
      <w:r w:rsidRPr="00E50A7F">
        <w:rPr>
          <w:rFonts w:ascii="Verdana" w:hAnsi="Verdana"/>
          <w:color w:val="000000" w:themeColor="text1"/>
          <w:sz w:val="20"/>
          <w:szCs w:val="20"/>
        </w:rPr>
        <w:t xml:space="preserve">La </w:t>
      </w:r>
      <w:r w:rsidRPr="00E50A7F">
        <w:rPr>
          <w:rFonts w:ascii="Verdana" w:hAnsi="Verdana"/>
          <w:b/>
          <w:bCs/>
          <w:i/>
          <w:iCs/>
          <w:color w:val="000000" w:themeColor="text1"/>
          <w:sz w:val="20"/>
          <w:szCs w:val="20"/>
        </w:rPr>
        <w:t>Comisión</w:t>
      </w:r>
      <w:r w:rsidR="006440E3" w:rsidRPr="00E50A7F">
        <w:rPr>
          <w:rFonts w:ascii="Verdana" w:hAnsi="Verdana"/>
          <w:color w:val="000000" w:themeColor="text1"/>
          <w:sz w:val="20"/>
          <w:szCs w:val="20"/>
        </w:rPr>
        <w:t xml:space="preserve"> señaló que</w:t>
      </w:r>
      <w:r w:rsidR="002A5213">
        <w:rPr>
          <w:rFonts w:ascii="Verdana" w:hAnsi="Verdana"/>
          <w:color w:val="000000" w:themeColor="text1"/>
          <w:sz w:val="20"/>
          <w:szCs w:val="20"/>
        </w:rPr>
        <w:t>,</w:t>
      </w:r>
      <w:r w:rsidR="00074340" w:rsidRPr="00E50A7F">
        <w:rPr>
          <w:rFonts w:ascii="Verdana" w:hAnsi="Verdana"/>
          <w:color w:val="000000" w:themeColor="text1"/>
          <w:sz w:val="20"/>
          <w:szCs w:val="20"/>
        </w:rPr>
        <w:t xml:space="preserve"> </w:t>
      </w:r>
      <w:r w:rsidR="004F36A8" w:rsidRPr="00E50A7F">
        <w:rPr>
          <w:rFonts w:ascii="Verdana" w:hAnsi="Verdana"/>
          <w:color w:val="000000" w:themeColor="text1"/>
          <w:sz w:val="20"/>
          <w:szCs w:val="20"/>
        </w:rPr>
        <w:t xml:space="preserve">en </w:t>
      </w:r>
      <w:r w:rsidR="00074340" w:rsidRPr="00E50A7F">
        <w:rPr>
          <w:rFonts w:ascii="Verdana" w:hAnsi="Verdana"/>
          <w:color w:val="000000" w:themeColor="text1"/>
          <w:sz w:val="20"/>
          <w:szCs w:val="20"/>
        </w:rPr>
        <w:t xml:space="preserve">los párrafos 129 y 136 </w:t>
      </w:r>
      <w:r w:rsidR="004F36A8" w:rsidRPr="00E50A7F">
        <w:rPr>
          <w:rFonts w:ascii="Verdana" w:hAnsi="Verdana"/>
          <w:color w:val="000000" w:themeColor="text1"/>
          <w:sz w:val="20"/>
          <w:szCs w:val="20"/>
        </w:rPr>
        <w:t>de la Sentencia</w:t>
      </w:r>
      <w:r w:rsidR="002A5213">
        <w:rPr>
          <w:rFonts w:ascii="Verdana" w:hAnsi="Verdana"/>
          <w:color w:val="000000" w:themeColor="text1"/>
          <w:sz w:val="20"/>
          <w:szCs w:val="20"/>
        </w:rPr>
        <w:t>,</w:t>
      </w:r>
      <w:r w:rsidR="004F36A8" w:rsidRPr="00E50A7F">
        <w:rPr>
          <w:rFonts w:ascii="Verdana" w:hAnsi="Verdana"/>
          <w:color w:val="000000" w:themeColor="text1"/>
          <w:sz w:val="20"/>
          <w:szCs w:val="20"/>
        </w:rPr>
        <w:t xml:space="preserve"> </w:t>
      </w:r>
      <w:r w:rsidR="00074340" w:rsidRPr="00E50A7F">
        <w:rPr>
          <w:rFonts w:ascii="Verdana" w:hAnsi="Verdana"/>
          <w:color w:val="000000" w:themeColor="text1"/>
          <w:sz w:val="20"/>
          <w:szCs w:val="20"/>
        </w:rPr>
        <w:t xml:space="preserve">el Tribunal analizó los argumentos estatales relativos a su desacuerdo con el listado aportado por la Comisión, así como sobre </w:t>
      </w:r>
      <w:r w:rsidR="00B84743" w:rsidRPr="00E50A7F">
        <w:rPr>
          <w:rFonts w:ascii="Verdana" w:hAnsi="Verdana"/>
          <w:color w:val="000000" w:themeColor="text1"/>
          <w:sz w:val="20"/>
          <w:szCs w:val="20"/>
        </w:rPr>
        <w:t xml:space="preserve">el valor probatorio del referido listado que figuraba en el Acuerdo de Solución Amistosa de 18 de diciembre de 2007. En relación </w:t>
      </w:r>
      <w:r w:rsidR="005A693B" w:rsidRPr="00E50A7F">
        <w:rPr>
          <w:rFonts w:ascii="Verdana" w:hAnsi="Verdana"/>
          <w:color w:val="000000" w:themeColor="text1"/>
          <w:sz w:val="20"/>
          <w:szCs w:val="20"/>
        </w:rPr>
        <w:t>con</w:t>
      </w:r>
      <w:r w:rsidR="00B84743" w:rsidRPr="00E50A7F">
        <w:rPr>
          <w:rFonts w:ascii="Verdana" w:hAnsi="Verdana"/>
          <w:color w:val="000000" w:themeColor="text1"/>
          <w:sz w:val="20"/>
          <w:szCs w:val="20"/>
        </w:rPr>
        <w:t xml:space="preserve"> la consideración del Estado respecto de las indemnizaciones dictadas </w:t>
      </w:r>
      <w:r w:rsidR="004F36A8" w:rsidRPr="00E50A7F">
        <w:rPr>
          <w:rFonts w:ascii="Verdana" w:hAnsi="Verdana"/>
          <w:color w:val="000000" w:themeColor="text1"/>
          <w:sz w:val="20"/>
          <w:szCs w:val="20"/>
        </w:rPr>
        <w:t>en favor</w:t>
      </w:r>
      <w:r w:rsidR="00B84743" w:rsidRPr="00E50A7F">
        <w:rPr>
          <w:rFonts w:ascii="Verdana" w:hAnsi="Verdana"/>
          <w:color w:val="000000" w:themeColor="text1"/>
          <w:sz w:val="20"/>
          <w:szCs w:val="20"/>
        </w:rPr>
        <w:t xml:space="preserve"> de las personas fallecidas, la Comisión </w:t>
      </w:r>
      <w:r w:rsidR="00420FF8" w:rsidRPr="00E50A7F">
        <w:rPr>
          <w:rFonts w:ascii="Verdana" w:hAnsi="Verdana"/>
          <w:color w:val="000000" w:themeColor="text1"/>
          <w:sz w:val="20"/>
          <w:szCs w:val="20"/>
        </w:rPr>
        <w:t xml:space="preserve">indicó que en los párrafos 169 a 177 la Corte determinó </w:t>
      </w:r>
      <w:r w:rsidR="0043503C" w:rsidRPr="00E50A7F">
        <w:rPr>
          <w:rFonts w:ascii="Verdana" w:hAnsi="Verdana"/>
          <w:color w:val="000000" w:themeColor="text1"/>
          <w:sz w:val="20"/>
          <w:szCs w:val="20"/>
        </w:rPr>
        <w:t>las indemnizaciones</w:t>
      </w:r>
      <w:r w:rsidR="00420FF8" w:rsidRPr="00E50A7F">
        <w:rPr>
          <w:rFonts w:ascii="Verdana" w:hAnsi="Verdana"/>
          <w:color w:val="000000" w:themeColor="text1"/>
          <w:sz w:val="20"/>
          <w:szCs w:val="20"/>
        </w:rPr>
        <w:t xml:space="preserve"> con </w:t>
      </w:r>
      <w:r w:rsidR="0043503C" w:rsidRPr="00E50A7F">
        <w:rPr>
          <w:rFonts w:ascii="Verdana" w:hAnsi="Verdana"/>
          <w:color w:val="000000" w:themeColor="text1"/>
          <w:sz w:val="20"/>
          <w:szCs w:val="20"/>
        </w:rPr>
        <w:t xml:space="preserve">base en </w:t>
      </w:r>
      <w:r w:rsidR="00420FF8" w:rsidRPr="00E50A7F">
        <w:rPr>
          <w:rFonts w:ascii="Verdana" w:hAnsi="Verdana"/>
          <w:color w:val="000000" w:themeColor="text1"/>
          <w:sz w:val="20"/>
          <w:szCs w:val="20"/>
        </w:rPr>
        <w:t xml:space="preserve">una serie de criterios para su liquidación y </w:t>
      </w:r>
      <w:r w:rsidR="00B84743" w:rsidRPr="00E50A7F">
        <w:rPr>
          <w:rFonts w:ascii="Verdana" w:hAnsi="Verdana"/>
          <w:color w:val="000000" w:themeColor="text1"/>
          <w:sz w:val="20"/>
          <w:szCs w:val="20"/>
        </w:rPr>
        <w:t>recordó</w:t>
      </w:r>
      <w:r w:rsidR="00420FF8" w:rsidRPr="00E50A7F">
        <w:rPr>
          <w:rFonts w:ascii="Verdana" w:hAnsi="Verdana"/>
          <w:color w:val="000000" w:themeColor="text1"/>
          <w:sz w:val="20"/>
          <w:szCs w:val="20"/>
        </w:rPr>
        <w:t>, además,</w:t>
      </w:r>
      <w:r w:rsidR="00B84743" w:rsidRPr="00E50A7F">
        <w:rPr>
          <w:rFonts w:ascii="Verdana" w:hAnsi="Verdana"/>
          <w:color w:val="000000" w:themeColor="text1"/>
          <w:sz w:val="20"/>
          <w:szCs w:val="20"/>
        </w:rPr>
        <w:t xml:space="preserve"> que la jurisprudencia de la Corte ha establecido que las indemnizaciones </w:t>
      </w:r>
      <w:r w:rsidR="004F36A8" w:rsidRPr="00E50A7F">
        <w:rPr>
          <w:rFonts w:ascii="Verdana" w:hAnsi="Verdana"/>
          <w:color w:val="000000" w:themeColor="text1"/>
          <w:sz w:val="20"/>
          <w:szCs w:val="20"/>
        </w:rPr>
        <w:t>deben ser</w:t>
      </w:r>
      <w:r w:rsidR="00B84743" w:rsidRPr="00E50A7F">
        <w:rPr>
          <w:rFonts w:ascii="Verdana" w:hAnsi="Verdana"/>
          <w:color w:val="000000" w:themeColor="text1"/>
          <w:sz w:val="20"/>
          <w:szCs w:val="20"/>
        </w:rPr>
        <w:t xml:space="preserve"> pagadas a las víctimas o a sus herederos en caso de estar ellas fallecida</w:t>
      </w:r>
      <w:r w:rsidR="009F529A">
        <w:rPr>
          <w:rFonts w:ascii="Verdana" w:hAnsi="Verdana"/>
          <w:color w:val="000000" w:themeColor="text1"/>
          <w:sz w:val="20"/>
          <w:szCs w:val="20"/>
        </w:rPr>
        <w:t>s</w:t>
      </w:r>
      <w:r w:rsidR="00B84743" w:rsidRPr="00E50A7F">
        <w:rPr>
          <w:rFonts w:ascii="Verdana" w:hAnsi="Verdana"/>
          <w:color w:val="000000" w:themeColor="text1"/>
          <w:sz w:val="20"/>
          <w:szCs w:val="20"/>
        </w:rPr>
        <w:t xml:space="preserve">. </w:t>
      </w:r>
    </w:p>
    <w:p w14:paraId="3D968473" w14:textId="445E491F" w:rsidR="003A673A" w:rsidRDefault="003A673A" w:rsidP="003A673A">
      <w:pPr>
        <w:spacing w:after="0" w:line="240" w:lineRule="auto"/>
        <w:ind w:firstLine="708"/>
        <w:jc w:val="both"/>
        <w:rPr>
          <w:rFonts w:ascii="Verdana" w:hAnsi="Verdana"/>
          <w:i/>
          <w:color w:val="000000" w:themeColor="text1"/>
          <w:sz w:val="20"/>
          <w:szCs w:val="20"/>
        </w:rPr>
      </w:pPr>
    </w:p>
    <w:p w14:paraId="7ABD92FA" w14:textId="44E0B3D3" w:rsidR="003A673A" w:rsidRPr="00E50A7F" w:rsidRDefault="002A5213" w:rsidP="003A673A">
      <w:pPr>
        <w:spacing w:after="0" w:line="240" w:lineRule="auto"/>
        <w:ind w:firstLine="708"/>
        <w:jc w:val="both"/>
        <w:rPr>
          <w:rFonts w:ascii="Verdana" w:hAnsi="Verdana"/>
          <w:i/>
          <w:color w:val="000000" w:themeColor="text1"/>
          <w:sz w:val="20"/>
          <w:szCs w:val="20"/>
        </w:rPr>
      </w:pPr>
      <w:r>
        <w:rPr>
          <w:rFonts w:ascii="Verdana" w:hAnsi="Verdana"/>
          <w:i/>
          <w:color w:val="000000" w:themeColor="text1"/>
          <w:sz w:val="20"/>
          <w:szCs w:val="20"/>
        </w:rPr>
        <w:t>A.</w:t>
      </w:r>
      <w:r w:rsidR="003A673A" w:rsidRPr="00E50A7F">
        <w:rPr>
          <w:rFonts w:ascii="Verdana" w:hAnsi="Verdana"/>
          <w:i/>
          <w:color w:val="000000" w:themeColor="text1"/>
          <w:sz w:val="20"/>
          <w:szCs w:val="20"/>
        </w:rPr>
        <w:t xml:space="preserve">2. Consideraciones de la Corte </w:t>
      </w:r>
    </w:p>
    <w:p w14:paraId="46EAA5E0" w14:textId="77777777" w:rsidR="00032504" w:rsidRDefault="00032504" w:rsidP="00032504">
      <w:pPr>
        <w:pStyle w:val="Prrafodelista"/>
        <w:spacing w:after="0" w:line="240" w:lineRule="auto"/>
        <w:ind w:left="0"/>
        <w:jc w:val="both"/>
        <w:rPr>
          <w:rFonts w:ascii="Verdana" w:hAnsi="Verdana"/>
          <w:color w:val="000000" w:themeColor="text1"/>
          <w:sz w:val="20"/>
          <w:szCs w:val="20"/>
        </w:rPr>
      </w:pPr>
    </w:p>
    <w:p w14:paraId="49C3AFFF" w14:textId="4849811A" w:rsidR="006D5D01" w:rsidRPr="00E50A7F" w:rsidRDefault="00CD19D0" w:rsidP="006D5D01">
      <w:pPr>
        <w:pStyle w:val="Prrafodelista"/>
        <w:numPr>
          <w:ilvl w:val="0"/>
          <w:numId w:val="1"/>
        </w:numPr>
        <w:spacing w:after="0" w:line="240" w:lineRule="auto"/>
        <w:ind w:left="0" w:firstLine="0"/>
        <w:jc w:val="both"/>
        <w:rPr>
          <w:rFonts w:ascii="Verdana" w:hAnsi="Verdana"/>
          <w:color w:val="000000" w:themeColor="text1"/>
          <w:sz w:val="20"/>
          <w:szCs w:val="20"/>
        </w:rPr>
      </w:pPr>
      <w:r w:rsidRPr="00E50A7F">
        <w:rPr>
          <w:rFonts w:ascii="Verdana" w:hAnsi="Verdana"/>
          <w:color w:val="000000" w:themeColor="text1"/>
          <w:sz w:val="20"/>
          <w:szCs w:val="20"/>
        </w:rPr>
        <w:t xml:space="preserve">La </w:t>
      </w:r>
      <w:r w:rsidRPr="00E50A7F">
        <w:rPr>
          <w:rFonts w:ascii="Verdana" w:hAnsi="Verdana"/>
          <w:b/>
          <w:bCs/>
          <w:i/>
          <w:iCs/>
          <w:color w:val="000000" w:themeColor="text1"/>
          <w:sz w:val="20"/>
          <w:szCs w:val="20"/>
        </w:rPr>
        <w:t>Corte</w:t>
      </w:r>
      <w:r w:rsidRPr="00E50A7F">
        <w:rPr>
          <w:rFonts w:ascii="Verdana" w:hAnsi="Verdana"/>
          <w:color w:val="000000" w:themeColor="text1"/>
          <w:sz w:val="20"/>
          <w:szCs w:val="20"/>
        </w:rPr>
        <w:t xml:space="preserve"> </w:t>
      </w:r>
      <w:r w:rsidR="006440E3" w:rsidRPr="00E50A7F">
        <w:rPr>
          <w:rFonts w:ascii="Verdana" w:hAnsi="Verdana"/>
          <w:color w:val="000000" w:themeColor="text1"/>
          <w:sz w:val="20"/>
          <w:szCs w:val="20"/>
        </w:rPr>
        <w:t xml:space="preserve">advierte que la solicitud de interpretación realizada por el Estado </w:t>
      </w:r>
      <w:r w:rsidR="0043503C" w:rsidRPr="00E50A7F">
        <w:rPr>
          <w:rFonts w:ascii="Verdana" w:hAnsi="Verdana"/>
          <w:color w:val="000000" w:themeColor="text1"/>
          <w:sz w:val="20"/>
          <w:szCs w:val="20"/>
        </w:rPr>
        <w:t xml:space="preserve">se centra en su disconformidad con el listado de víctimas determinado por la Corte y, en consecuencia, con la valoración de la prueba realizada a estos efectos. </w:t>
      </w:r>
      <w:r w:rsidR="006440E3" w:rsidRPr="00E50A7F">
        <w:rPr>
          <w:rFonts w:ascii="Verdana" w:hAnsi="Verdana"/>
          <w:color w:val="000000" w:themeColor="text1"/>
          <w:sz w:val="20"/>
          <w:szCs w:val="20"/>
        </w:rPr>
        <w:t xml:space="preserve">El Tribunal </w:t>
      </w:r>
      <w:r w:rsidRPr="00E50A7F">
        <w:rPr>
          <w:rFonts w:ascii="Verdana" w:hAnsi="Verdana"/>
          <w:color w:val="000000" w:themeColor="text1"/>
          <w:sz w:val="20"/>
          <w:szCs w:val="20"/>
        </w:rPr>
        <w:t xml:space="preserve">estima que la consulta realizada por el Estado no corresponde a los supuestos de interpretación establecidos en el artículo 67 de la Convención, ya que no versan sobre el sentido o alcance del fallo, sino sobre un nuevo análisis de la prueba con base </w:t>
      </w:r>
      <w:r w:rsidR="0043503C" w:rsidRPr="00E50A7F">
        <w:rPr>
          <w:rFonts w:ascii="Verdana" w:hAnsi="Verdana"/>
          <w:color w:val="000000" w:themeColor="text1"/>
          <w:sz w:val="20"/>
          <w:szCs w:val="20"/>
        </w:rPr>
        <w:t>en una repetición de</w:t>
      </w:r>
      <w:r w:rsidRPr="00E50A7F">
        <w:rPr>
          <w:rFonts w:ascii="Verdana" w:hAnsi="Verdana"/>
          <w:color w:val="000000" w:themeColor="text1"/>
          <w:sz w:val="20"/>
          <w:szCs w:val="20"/>
        </w:rPr>
        <w:t xml:space="preserve"> alegatos </w:t>
      </w:r>
      <w:r w:rsidR="0043503C" w:rsidRPr="00E50A7F">
        <w:rPr>
          <w:rFonts w:ascii="Verdana" w:hAnsi="Verdana"/>
          <w:color w:val="000000" w:themeColor="text1"/>
          <w:sz w:val="20"/>
          <w:szCs w:val="20"/>
        </w:rPr>
        <w:t xml:space="preserve">que ya fueron esgrimidos por el Estado antes de que la Corte dictara su Sentencia. En efecto, el Tribunal advierte que en el párrafo 22 de la Sentencia se recogieron los argumentos del Estado relativos a su desacuerdo con el listado de víctimas aportado por los representantes y por la Comisión, así como la alegada validez del </w:t>
      </w:r>
      <w:r w:rsidR="00DA0F3F" w:rsidRPr="00E50A7F">
        <w:rPr>
          <w:rFonts w:ascii="Verdana" w:hAnsi="Verdana"/>
          <w:color w:val="000000" w:themeColor="text1"/>
          <w:sz w:val="20"/>
          <w:szCs w:val="20"/>
        </w:rPr>
        <w:t xml:space="preserve">Acuerdo de Solución Amistosa </w:t>
      </w:r>
      <w:r w:rsidR="0043503C" w:rsidRPr="00E50A7F">
        <w:rPr>
          <w:rFonts w:ascii="Verdana" w:hAnsi="Verdana"/>
          <w:color w:val="000000" w:themeColor="text1"/>
          <w:sz w:val="20"/>
          <w:szCs w:val="20"/>
        </w:rPr>
        <w:t xml:space="preserve">del año 2007. </w:t>
      </w:r>
      <w:bookmarkStart w:id="1" w:name="_Hlk109801584"/>
      <w:r w:rsidR="0043503C" w:rsidRPr="00E50A7F">
        <w:rPr>
          <w:rFonts w:ascii="Verdana" w:hAnsi="Verdana"/>
          <w:color w:val="000000" w:themeColor="text1"/>
          <w:sz w:val="20"/>
          <w:szCs w:val="20"/>
        </w:rPr>
        <w:t xml:space="preserve">Tras analizar los argumentos de las partes y la Comisión, así como la prueba obrante, el Tribunal consideró en el párrafo 25 que </w:t>
      </w:r>
      <w:r w:rsidR="006D5D01" w:rsidRPr="00E50A7F">
        <w:rPr>
          <w:rFonts w:ascii="Verdana" w:hAnsi="Verdana"/>
          <w:color w:val="000000" w:themeColor="text1"/>
          <w:sz w:val="20"/>
          <w:szCs w:val="20"/>
        </w:rPr>
        <w:t xml:space="preserve">tendría como víctimas a “aquellas personas debidamente identificadas que hayan sido individualizadas por la Comisión en sus listados anexos al Informe de Fondo y/o por los representantes en sus listados adjuntos a su escrito de solicitudes, argumentos y pruebas, que hayan sufrido alguna violación </w:t>
      </w:r>
      <w:r w:rsidR="006D5D01" w:rsidRPr="00E50A7F">
        <w:rPr>
          <w:rFonts w:ascii="Verdana" w:hAnsi="Verdana"/>
          <w:color w:val="000000" w:themeColor="text1"/>
          <w:sz w:val="20"/>
          <w:szCs w:val="20"/>
        </w:rPr>
        <w:lastRenderedPageBreak/>
        <w:t xml:space="preserve">de derechos humanos derivada de la masacre de la Aldea los Josefinos y sobre la cual la Corte tenga competencia temporal”. En aplicación de dicho criterio, la Corte identificó e individualizó a las víctimas del presente caso en los Anexos II a VIII de la Sentencia. </w:t>
      </w:r>
    </w:p>
    <w:p w14:paraId="7DEF23EC" w14:textId="77777777" w:rsidR="006D5D01" w:rsidRPr="00E50A7F" w:rsidRDefault="006D5D01" w:rsidP="006D5D01">
      <w:pPr>
        <w:pStyle w:val="Prrafodelista"/>
        <w:spacing w:after="0" w:line="240" w:lineRule="auto"/>
        <w:ind w:left="0"/>
        <w:jc w:val="both"/>
        <w:rPr>
          <w:rFonts w:ascii="Verdana" w:hAnsi="Verdana"/>
          <w:color w:val="000000" w:themeColor="text1"/>
          <w:sz w:val="20"/>
          <w:szCs w:val="20"/>
        </w:rPr>
      </w:pPr>
    </w:p>
    <w:p w14:paraId="0C532AE7" w14:textId="4B90552A" w:rsidR="0043503C" w:rsidRPr="00E50A7F" w:rsidRDefault="006D5D01" w:rsidP="006D5D01">
      <w:pPr>
        <w:pStyle w:val="Prrafodelista"/>
        <w:numPr>
          <w:ilvl w:val="0"/>
          <w:numId w:val="1"/>
        </w:numPr>
        <w:spacing w:after="0" w:line="240" w:lineRule="auto"/>
        <w:ind w:left="0" w:firstLine="0"/>
        <w:jc w:val="both"/>
        <w:rPr>
          <w:rFonts w:ascii="Verdana" w:hAnsi="Verdana"/>
          <w:color w:val="000000" w:themeColor="text1"/>
          <w:sz w:val="20"/>
          <w:szCs w:val="20"/>
        </w:rPr>
      </w:pPr>
      <w:r w:rsidRPr="00E50A7F">
        <w:rPr>
          <w:rFonts w:ascii="Verdana" w:hAnsi="Verdana"/>
          <w:color w:val="000000" w:themeColor="text1"/>
          <w:sz w:val="20"/>
          <w:szCs w:val="20"/>
        </w:rPr>
        <w:t xml:space="preserve">Adicionalmente, </w:t>
      </w:r>
      <w:r w:rsidR="005A693B" w:rsidRPr="00E50A7F">
        <w:rPr>
          <w:rFonts w:ascii="Verdana" w:hAnsi="Verdana"/>
          <w:color w:val="000000" w:themeColor="text1"/>
          <w:sz w:val="20"/>
          <w:szCs w:val="20"/>
        </w:rPr>
        <w:t>con relación a</w:t>
      </w:r>
      <w:r w:rsidRPr="00E50A7F">
        <w:rPr>
          <w:rFonts w:ascii="Verdana" w:hAnsi="Verdana"/>
          <w:color w:val="000000" w:themeColor="text1"/>
          <w:sz w:val="20"/>
          <w:szCs w:val="20"/>
        </w:rPr>
        <w:t xml:space="preserve"> la alegada validez del list</w:t>
      </w:r>
      <w:r w:rsidR="00EE3104">
        <w:rPr>
          <w:rFonts w:ascii="Verdana" w:hAnsi="Verdana"/>
          <w:color w:val="000000" w:themeColor="text1"/>
          <w:sz w:val="20"/>
          <w:szCs w:val="20"/>
        </w:rPr>
        <w:t>ado</w:t>
      </w:r>
      <w:r w:rsidRPr="00E50A7F">
        <w:rPr>
          <w:rFonts w:ascii="Verdana" w:hAnsi="Verdana"/>
          <w:color w:val="000000" w:themeColor="text1"/>
          <w:sz w:val="20"/>
          <w:szCs w:val="20"/>
        </w:rPr>
        <w:t xml:space="preserve"> anexado al </w:t>
      </w:r>
      <w:r w:rsidR="00DA0F3F" w:rsidRPr="00E50A7F">
        <w:rPr>
          <w:rFonts w:ascii="Verdana" w:hAnsi="Verdana"/>
          <w:color w:val="000000" w:themeColor="text1"/>
          <w:sz w:val="20"/>
          <w:szCs w:val="20"/>
        </w:rPr>
        <w:t>Acuerdo de Solución Amistosa</w:t>
      </w:r>
      <w:r w:rsidRPr="00E50A7F">
        <w:rPr>
          <w:rFonts w:ascii="Verdana" w:hAnsi="Verdana"/>
          <w:color w:val="000000" w:themeColor="text1"/>
          <w:sz w:val="20"/>
          <w:szCs w:val="20"/>
        </w:rPr>
        <w:t xml:space="preserve"> del año 2007, el Tribunal recuerda que en el párrafo 136 de la Sentencia se señaló expresamente que dicho listado “no inclu[ía] a la totalidad de víctimas declaradas en la presente Sentencia”. </w:t>
      </w:r>
      <w:r w:rsidR="00DA0F3F" w:rsidRPr="00E50A7F">
        <w:rPr>
          <w:rFonts w:ascii="Verdana" w:hAnsi="Verdana"/>
          <w:color w:val="000000" w:themeColor="text1"/>
          <w:sz w:val="20"/>
          <w:szCs w:val="20"/>
        </w:rPr>
        <w:t>En vista de todo lo anterior</w:t>
      </w:r>
      <w:r w:rsidRPr="00E50A7F">
        <w:rPr>
          <w:rFonts w:ascii="Verdana" w:hAnsi="Verdana"/>
          <w:color w:val="000000" w:themeColor="text1"/>
          <w:sz w:val="20"/>
          <w:szCs w:val="20"/>
        </w:rPr>
        <w:t xml:space="preserve">, no le asiste razón al Estado cuando afirma </w:t>
      </w:r>
      <w:r w:rsidR="00DA0F3F" w:rsidRPr="00E50A7F">
        <w:rPr>
          <w:rFonts w:ascii="Verdana" w:hAnsi="Verdana"/>
          <w:color w:val="000000" w:themeColor="text1"/>
          <w:sz w:val="20"/>
          <w:szCs w:val="20"/>
        </w:rPr>
        <w:t>que</w:t>
      </w:r>
      <w:r w:rsidRPr="00E50A7F">
        <w:rPr>
          <w:rFonts w:ascii="Verdana" w:hAnsi="Verdana"/>
          <w:color w:val="000000" w:themeColor="text1"/>
          <w:sz w:val="20"/>
          <w:szCs w:val="20"/>
        </w:rPr>
        <w:t xml:space="preserve"> no se habría tomado en cuenta </w:t>
      </w:r>
      <w:r w:rsidR="00DA0F3F" w:rsidRPr="00E50A7F">
        <w:rPr>
          <w:rFonts w:ascii="Verdana" w:hAnsi="Verdana"/>
          <w:color w:val="000000" w:themeColor="text1"/>
          <w:sz w:val="20"/>
          <w:szCs w:val="20"/>
        </w:rPr>
        <w:t xml:space="preserve">las pruebas aportadas por este ni, en particular, el citado </w:t>
      </w:r>
      <w:r w:rsidRPr="00E50A7F">
        <w:rPr>
          <w:rFonts w:ascii="Verdana" w:hAnsi="Verdana"/>
          <w:color w:val="000000" w:themeColor="text1"/>
          <w:sz w:val="20"/>
          <w:szCs w:val="20"/>
        </w:rPr>
        <w:t xml:space="preserve">registro único de víctimas </w:t>
      </w:r>
      <w:r w:rsidR="00DA0F3F" w:rsidRPr="00E50A7F">
        <w:rPr>
          <w:rFonts w:ascii="Verdana" w:hAnsi="Verdana"/>
          <w:color w:val="000000" w:themeColor="text1"/>
          <w:sz w:val="20"/>
          <w:szCs w:val="20"/>
        </w:rPr>
        <w:t>que se adjuntó junto al A</w:t>
      </w:r>
      <w:r w:rsidRPr="00E50A7F">
        <w:rPr>
          <w:rFonts w:ascii="Verdana" w:hAnsi="Verdana"/>
          <w:color w:val="000000" w:themeColor="text1"/>
          <w:sz w:val="20"/>
          <w:szCs w:val="20"/>
        </w:rPr>
        <w:t xml:space="preserve">cuerdo de Solución Amistosa </w:t>
      </w:r>
      <w:r w:rsidR="00DA0F3F" w:rsidRPr="00E50A7F">
        <w:rPr>
          <w:rFonts w:ascii="Verdana" w:hAnsi="Verdana"/>
          <w:color w:val="000000" w:themeColor="text1"/>
          <w:sz w:val="20"/>
          <w:szCs w:val="20"/>
        </w:rPr>
        <w:t>del año</w:t>
      </w:r>
      <w:r w:rsidRPr="00E50A7F">
        <w:rPr>
          <w:rFonts w:ascii="Verdana" w:hAnsi="Verdana"/>
          <w:color w:val="000000" w:themeColor="text1"/>
          <w:sz w:val="20"/>
          <w:szCs w:val="20"/>
        </w:rPr>
        <w:t xml:space="preserve"> 2007</w:t>
      </w:r>
      <w:r w:rsidR="00DA0F3F" w:rsidRPr="00E50A7F">
        <w:rPr>
          <w:rFonts w:ascii="Verdana" w:hAnsi="Verdana"/>
          <w:color w:val="000000" w:themeColor="text1"/>
          <w:sz w:val="20"/>
          <w:szCs w:val="20"/>
        </w:rPr>
        <w:t>.</w:t>
      </w:r>
    </w:p>
    <w:p w14:paraId="57DB51AB" w14:textId="77777777" w:rsidR="00CD19D0" w:rsidRPr="00E50A7F" w:rsidRDefault="00CD19D0" w:rsidP="00CD19D0">
      <w:pPr>
        <w:pStyle w:val="Prrafodelista"/>
        <w:spacing w:after="0" w:line="240" w:lineRule="auto"/>
        <w:ind w:left="0"/>
        <w:jc w:val="both"/>
        <w:rPr>
          <w:rFonts w:ascii="Verdana" w:hAnsi="Verdana"/>
          <w:color w:val="000000" w:themeColor="text1"/>
          <w:sz w:val="20"/>
          <w:szCs w:val="20"/>
        </w:rPr>
      </w:pPr>
    </w:p>
    <w:bookmarkEnd w:id="1"/>
    <w:p w14:paraId="13D8ED42" w14:textId="2720AD15" w:rsidR="00CD19D0" w:rsidRPr="00E50A7F" w:rsidRDefault="00CD19D0" w:rsidP="00CD19D0">
      <w:pPr>
        <w:pStyle w:val="Prrafodelista"/>
        <w:numPr>
          <w:ilvl w:val="0"/>
          <w:numId w:val="1"/>
        </w:numPr>
        <w:spacing w:after="0" w:line="240" w:lineRule="auto"/>
        <w:ind w:left="0" w:firstLine="0"/>
        <w:jc w:val="both"/>
        <w:rPr>
          <w:rFonts w:ascii="Verdana" w:hAnsi="Verdana"/>
          <w:color w:val="000000" w:themeColor="text1"/>
          <w:sz w:val="20"/>
          <w:szCs w:val="20"/>
        </w:rPr>
      </w:pPr>
      <w:r w:rsidRPr="00E50A7F">
        <w:rPr>
          <w:rFonts w:ascii="Verdana" w:hAnsi="Verdana"/>
          <w:color w:val="000000" w:themeColor="text1"/>
          <w:sz w:val="20"/>
          <w:szCs w:val="20"/>
        </w:rPr>
        <w:t>Este Tribunal recuerda la improcedencia de utilizar una solicitud de interpretación para someter cuestiones sobre las cuales ya adoptó una decisión</w:t>
      </w:r>
      <w:r w:rsidRPr="00E50A7F">
        <w:rPr>
          <w:rStyle w:val="Refdenotaalpie"/>
          <w:rFonts w:ascii="Verdana" w:hAnsi="Verdana"/>
          <w:color w:val="000000" w:themeColor="text1"/>
          <w:sz w:val="20"/>
          <w:szCs w:val="20"/>
        </w:rPr>
        <w:footnoteReference w:id="8"/>
      </w:r>
      <w:r w:rsidRPr="00E50A7F">
        <w:rPr>
          <w:rFonts w:ascii="Verdana" w:hAnsi="Verdana"/>
          <w:color w:val="000000" w:themeColor="text1"/>
          <w:sz w:val="20"/>
          <w:szCs w:val="20"/>
        </w:rPr>
        <w:t>, así como que ésta no puede utilizarse como medio de impugnación de la misma</w:t>
      </w:r>
      <w:r w:rsidRPr="00E50A7F">
        <w:rPr>
          <w:rStyle w:val="Refdenotaalpie"/>
          <w:rFonts w:ascii="Verdana" w:hAnsi="Verdana"/>
          <w:color w:val="000000" w:themeColor="text1"/>
          <w:sz w:val="20"/>
          <w:szCs w:val="20"/>
        </w:rPr>
        <w:footnoteReference w:id="9"/>
      </w:r>
      <w:r w:rsidRPr="00E50A7F">
        <w:rPr>
          <w:rFonts w:ascii="Verdana" w:hAnsi="Verdana"/>
          <w:color w:val="000000" w:themeColor="text1"/>
          <w:sz w:val="20"/>
          <w:szCs w:val="20"/>
        </w:rPr>
        <w:t xml:space="preserve">. En este sentido, la Corte advierte que, bajo la apariencia de una solicitud de interpretación, la posición del Estado evidencia una discrepancia con lo considerado, resuelto y ordenado por la Corte, por cuanto lo que se pretende es una modificación de </w:t>
      </w:r>
      <w:r w:rsidR="00DA0F3F" w:rsidRPr="00E50A7F">
        <w:rPr>
          <w:rFonts w:ascii="Verdana" w:hAnsi="Verdana"/>
          <w:color w:val="000000" w:themeColor="text1"/>
          <w:sz w:val="20"/>
          <w:szCs w:val="20"/>
        </w:rPr>
        <w:t>las víctimas determinadas</w:t>
      </w:r>
      <w:r w:rsidRPr="00E50A7F">
        <w:rPr>
          <w:rFonts w:ascii="Verdana" w:hAnsi="Verdana"/>
          <w:color w:val="000000" w:themeColor="text1"/>
          <w:sz w:val="20"/>
          <w:szCs w:val="20"/>
        </w:rPr>
        <w:t xml:space="preserve"> en la Sentencia, </w:t>
      </w:r>
      <w:r w:rsidR="00DA0F3F" w:rsidRPr="00E50A7F">
        <w:rPr>
          <w:rFonts w:ascii="Verdana" w:hAnsi="Verdana"/>
          <w:color w:val="000000" w:themeColor="text1"/>
          <w:sz w:val="20"/>
          <w:szCs w:val="20"/>
        </w:rPr>
        <w:t>cuestión</w:t>
      </w:r>
      <w:r w:rsidRPr="00E50A7F">
        <w:rPr>
          <w:rFonts w:ascii="Verdana" w:hAnsi="Verdana"/>
          <w:color w:val="000000" w:themeColor="text1"/>
          <w:sz w:val="20"/>
          <w:szCs w:val="20"/>
        </w:rPr>
        <w:t xml:space="preserve"> que excede el ámbito del artículo 67 del Convenio.</w:t>
      </w:r>
    </w:p>
    <w:p w14:paraId="0412B22E" w14:textId="77777777" w:rsidR="00CD19D0" w:rsidRPr="00E50A7F" w:rsidRDefault="00CD19D0" w:rsidP="00CD19D0">
      <w:pPr>
        <w:pStyle w:val="Prrafodelista"/>
        <w:spacing w:after="0" w:line="240" w:lineRule="auto"/>
        <w:ind w:left="0"/>
        <w:jc w:val="both"/>
        <w:rPr>
          <w:rFonts w:ascii="Verdana" w:hAnsi="Verdana"/>
          <w:color w:val="000000" w:themeColor="text1"/>
          <w:sz w:val="20"/>
          <w:szCs w:val="20"/>
        </w:rPr>
      </w:pPr>
    </w:p>
    <w:p w14:paraId="5C4A40D6" w14:textId="77777777" w:rsidR="00CD19D0" w:rsidRPr="00E50A7F" w:rsidRDefault="00CD19D0" w:rsidP="00CD19D0">
      <w:pPr>
        <w:pStyle w:val="Prrafodelista"/>
        <w:numPr>
          <w:ilvl w:val="0"/>
          <w:numId w:val="1"/>
        </w:numPr>
        <w:spacing w:after="0" w:line="240" w:lineRule="auto"/>
        <w:ind w:left="0" w:firstLine="0"/>
        <w:jc w:val="both"/>
        <w:rPr>
          <w:rFonts w:ascii="Verdana" w:hAnsi="Verdana"/>
          <w:b/>
          <w:color w:val="000000" w:themeColor="text1"/>
          <w:sz w:val="20"/>
          <w:szCs w:val="20"/>
        </w:rPr>
      </w:pPr>
      <w:r w:rsidRPr="00E50A7F">
        <w:rPr>
          <w:rFonts w:ascii="Verdana" w:hAnsi="Verdana"/>
          <w:color w:val="000000" w:themeColor="text1"/>
          <w:sz w:val="20"/>
          <w:szCs w:val="20"/>
        </w:rPr>
        <w:t>En razón de lo anterior, este Tribunal considera que la solicitud del Estado es improcedente.</w:t>
      </w:r>
    </w:p>
    <w:p w14:paraId="3FE92DDD" w14:textId="77777777" w:rsidR="00A53C30" w:rsidRPr="00E50A7F" w:rsidRDefault="00A53C30" w:rsidP="00A53C30">
      <w:pPr>
        <w:spacing w:after="0" w:line="240" w:lineRule="auto"/>
        <w:jc w:val="both"/>
        <w:rPr>
          <w:rFonts w:ascii="Verdana" w:hAnsi="Verdana"/>
          <w:b/>
          <w:color w:val="000000" w:themeColor="text1"/>
          <w:sz w:val="20"/>
          <w:szCs w:val="20"/>
        </w:rPr>
      </w:pPr>
    </w:p>
    <w:p w14:paraId="6F915817" w14:textId="2D5FDCC5" w:rsidR="00A53C30" w:rsidRPr="00E50A7F" w:rsidRDefault="00CB4AC8" w:rsidP="00522A34">
      <w:pPr>
        <w:pStyle w:val="Prrafodelista"/>
        <w:numPr>
          <w:ilvl w:val="0"/>
          <w:numId w:val="2"/>
        </w:numPr>
        <w:spacing w:after="0" w:line="240" w:lineRule="auto"/>
        <w:ind w:left="426"/>
        <w:jc w:val="both"/>
        <w:rPr>
          <w:rFonts w:ascii="Verdana" w:hAnsi="Verdana"/>
          <w:b/>
          <w:color w:val="000000" w:themeColor="text1"/>
          <w:sz w:val="20"/>
          <w:szCs w:val="20"/>
        </w:rPr>
      </w:pPr>
      <w:r w:rsidRPr="00E50A7F">
        <w:rPr>
          <w:rFonts w:ascii="Verdana" w:hAnsi="Verdana"/>
          <w:b/>
          <w:color w:val="000000" w:themeColor="text1"/>
          <w:sz w:val="20"/>
          <w:szCs w:val="20"/>
        </w:rPr>
        <w:t>Solicitud de interpretación interpuesta por los representantes</w:t>
      </w:r>
    </w:p>
    <w:p w14:paraId="35ED5E45" w14:textId="77777777" w:rsidR="00A9174A" w:rsidRPr="00E50A7F" w:rsidRDefault="00A9174A" w:rsidP="00A9174A">
      <w:pPr>
        <w:spacing w:after="0" w:line="240" w:lineRule="auto"/>
        <w:jc w:val="both"/>
        <w:rPr>
          <w:rFonts w:ascii="Verdana" w:hAnsi="Verdana"/>
          <w:color w:val="000000" w:themeColor="text1"/>
          <w:sz w:val="20"/>
          <w:szCs w:val="20"/>
        </w:rPr>
      </w:pPr>
    </w:p>
    <w:p w14:paraId="6E4656E7" w14:textId="77777777" w:rsidR="00A9174A" w:rsidRPr="00E50A7F" w:rsidRDefault="00A9174A" w:rsidP="00A9174A">
      <w:pPr>
        <w:spacing w:after="0" w:line="240" w:lineRule="auto"/>
        <w:ind w:firstLine="708"/>
        <w:jc w:val="both"/>
        <w:rPr>
          <w:rFonts w:ascii="Verdana" w:hAnsi="Verdana"/>
          <w:i/>
          <w:color w:val="000000" w:themeColor="text1"/>
          <w:sz w:val="20"/>
          <w:szCs w:val="20"/>
        </w:rPr>
      </w:pPr>
      <w:r w:rsidRPr="00E50A7F">
        <w:rPr>
          <w:rFonts w:ascii="Verdana" w:hAnsi="Verdana"/>
          <w:i/>
          <w:color w:val="000000" w:themeColor="text1"/>
          <w:sz w:val="20"/>
          <w:szCs w:val="20"/>
        </w:rPr>
        <w:t xml:space="preserve">B.1. </w:t>
      </w:r>
      <w:r w:rsidR="00A2244B" w:rsidRPr="00E50A7F">
        <w:rPr>
          <w:rFonts w:ascii="Verdana" w:hAnsi="Verdana"/>
          <w:i/>
          <w:color w:val="000000" w:themeColor="text1"/>
          <w:sz w:val="20"/>
          <w:szCs w:val="20"/>
        </w:rPr>
        <w:t>Argumentos de las partes y de la Comisión</w:t>
      </w:r>
      <w:r w:rsidRPr="00E50A7F">
        <w:rPr>
          <w:rFonts w:ascii="Verdana" w:hAnsi="Verdana"/>
          <w:i/>
          <w:color w:val="000000" w:themeColor="text1"/>
          <w:sz w:val="20"/>
          <w:szCs w:val="20"/>
        </w:rPr>
        <w:t xml:space="preserve"> </w:t>
      </w:r>
    </w:p>
    <w:p w14:paraId="1B80D3F5" w14:textId="77777777" w:rsidR="002033CA" w:rsidRPr="00E50A7F" w:rsidRDefault="002033CA" w:rsidP="00A9174A">
      <w:pPr>
        <w:spacing w:after="0" w:line="240" w:lineRule="auto"/>
        <w:ind w:firstLine="708"/>
        <w:jc w:val="both"/>
        <w:rPr>
          <w:rFonts w:ascii="Verdana" w:hAnsi="Verdana"/>
          <w:i/>
          <w:color w:val="000000" w:themeColor="text1"/>
          <w:sz w:val="20"/>
          <w:szCs w:val="20"/>
        </w:rPr>
      </w:pPr>
    </w:p>
    <w:p w14:paraId="4F9A343B" w14:textId="40C5FCF9" w:rsidR="001F0837" w:rsidRPr="00E50A7F" w:rsidRDefault="00DA0F3F" w:rsidP="001F0837">
      <w:pPr>
        <w:pStyle w:val="Prrafodelista"/>
        <w:numPr>
          <w:ilvl w:val="0"/>
          <w:numId w:val="1"/>
        </w:numPr>
        <w:spacing w:after="0" w:line="240" w:lineRule="auto"/>
        <w:ind w:left="0" w:firstLine="0"/>
        <w:jc w:val="both"/>
        <w:rPr>
          <w:rFonts w:ascii="Verdana" w:hAnsi="Verdana"/>
          <w:color w:val="000000" w:themeColor="text1"/>
          <w:sz w:val="20"/>
          <w:szCs w:val="20"/>
        </w:rPr>
      </w:pPr>
      <w:bookmarkStart w:id="2" w:name="_Hlk109801600"/>
      <w:r w:rsidRPr="00E50A7F">
        <w:rPr>
          <w:rFonts w:ascii="Verdana" w:hAnsi="Verdana"/>
          <w:color w:val="000000" w:themeColor="text1"/>
          <w:sz w:val="20"/>
          <w:szCs w:val="20"/>
        </w:rPr>
        <w:t>L</w:t>
      </w:r>
      <w:r w:rsidR="00B84B9D" w:rsidRPr="00E50A7F">
        <w:rPr>
          <w:rFonts w:ascii="Verdana" w:hAnsi="Verdana"/>
          <w:color w:val="000000" w:themeColor="text1"/>
          <w:sz w:val="20"/>
          <w:szCs w:val="20"/>
        </w:rPr>
        <w:t xml:space="preserve">os </w:t>
      </w:r>
      <w:r w:rsidR="00B84B9D" w:rsidRPr="00E50A7F">
        <w:rPr>
          <w:rFonts w:ascii="Verdana" w:hAnsi="Verdana"/>
          <w:b/>
          <w:bCs/>
          <w:i/>
          <w:iCs/>
          <w:color w:val="000000" w:themeColor="text1"/>
          <w:sz w:val="20"/>
          <w:szCs w:val="20"/>
        </w:rPr>
        <w:t>representantes</w:t>
      </w:r>
      <w:r w:rsidR="00B84B9D" w:rsidRPr="00E50A7F">
        <w:rPr>
          <w:rFonts w:ascii="Verdana" w:hAnsi="Verdana"/>
          <w:color w:val="000000" w:themeColor="text1"/>
          <w:sz w:val="20"/>
          <w:szCs w:val="20"/>
        </w:rPr>
        <w:t xml:space="preserve"> </w:t>
      </w:r>
      <w:r w:rsidRPr="00E50A7F">
        <w:rPr>
          <w:rFonts w:ascii="Verdana" w:hAnsi="Verdana"/>
          <w:color w:val="000000" w:themeColor="text1"/>
          <w:sz w:val="20"/>
          <w:szCs w:val="20"/>
        </w:rPr>
        <w:t>observaron</w:t>
      </w:r>
      <w:r w:rsidR="00B84B9D" w:rsidRPr="00E50A7F">
        <w:rPr>
          <w:rFonts w:ascii="Verdana" w:hAnsi="Verdana"/>
          <w:color w:val="000000" w:themeColor="text1"/>
          <w:sz w:val="20"/>
          <w:szCs w:val="20"/>
        </w:rPr>
        <w:t xml:space="preserve"> que</w:t>
      </w:r>
      <w:r w:rsidR="004204CB" w:rsidRPr="00E50A7F">
        <w:rPr>
          <w:rFonts w:ascii="Verdana" w:hAnsi="Verdana"/>
          <w:color w:val="000000" w:themeColor="text1"/>
          <w:sz w:val="20"/>
          <w:szCs w:val="20"/>
        </w:rPr>
        <w:t xml:space="preserve">, en el punto resolutivo decimotercero de la Sentencia, </w:t>
      </w:r>
      <w:r w:rsidR="00B84B9D" w:rsidRPr="00E50A7F">
        <w:rPr>
          <w:rFonts w:ascii="Verdana" w:hAnsi="Verdana"/>
          <w:color w:val="000000" w:themeColor="text1"/>
          <w:sz w:val="20"/>
          <w:szCs w:val="20"/>
        </w:rPr>
        <w:t>la Corte ordenó</w:t>
      </w:r>
      <w:r w:rsidR="004204CB" w:rsidRPr="00E50A7F">
        <w:rPr>
          <w:rFonts w:ascii="Verdana" w:hAnsi="Verdana"/>
          <w:color w:val="000000" w:themeColor="text1"/>
          <w:sz w:val="20"/>
          <w:szCs w:val="20"/>
        </w:rPr>
        <w:t xml:space="preserve"> al Estado</w:t>
      </w:r>
      <w:r w:rsidR="00B84B9D" w:rsidRPr="00E50A7F">
        <w:rPr>
          <w:rFonts w:ascii="Verdana" w:hAnsi="Verdana"/>
          <w:color w:val="000000" w:themeColor="text1"/>
          <w:sz w:val="20"/>
          <w:szCs w:val="20"/>
        </w:rPr>
        <w:t xml:space="preserve"> que</w:t>
      </w:r>
      <w:r w:rsidR="001F0837" w:rsidRPr="00E50A7F">
        <w:rPr>
          <w:rFonts w:ascii="Verdana" w:hAnsi="Verdana"/>
          <w:color w:val="000000" w:themeColor="text1"/>
          <w:sz w:val="20"/>
          <w:szCs w:val="20"/>
        </w:rPr>
        <w:t xml:space="preserve"> garantizara las condiciones adecuadas para que las personas que permanecieran desplazadas pudieran retornar a sus comunidades de origen, s</w:t>
      </w:r>
      <w:r w:rsidR="00BC7D2C">
        <w:rPr>
          <w:rFonts w:ascii="Verdana" w:hAnsi="Verdana"/>
          <w:color w:val="000000" w:themeColor="text1"/>
          <w:sz w:val="20"/>
          <w:szCs w:val="20"/>
        </w:rPr>
        <w:t>i</w:t>
      </w:r>
      <w:r w:rsidR="001F0837" w:rsidRPr="00E50A7F">
        <w:rPr>
          <w:rFonts w:ascii="Verdana" w:hAnsi="Verdana"/>
          <w:color w:val="000000" w:themeColor="text1"/>
          <w:sz w:val="20"/>
          <w:szCs w:val="20"/>
        </w:rPr>
        <w:t xml:space="preserve"> así lo desearan. Indicaron que subsistía la dud</w:t>
      </w:r>
      <w:r w:rsidR="00FF553B" w:rsidRPr="00E50A7F">
        <w:rPr>
          <w:rFonts w:ascii="Verdana" w:hAnsi="Verdana"/>
          <w:color w:val="000000" w:themeColor="text1"/>
          <w:sz w:val="20"/>
          <w:szCs w:val="20"/>
        </w:rPr>
        <w:t>a</w:t>
      </w:r>
      <w:r w:rsidR="001F0837" w:rsidRPr="00E50A7F">
        <w:rPr>
          <w:rFonts w:ascii="Verdana" w:hAnsi="Verdana"/>
          <w:color w:val="000000" w:themeColor="text1"/>
          <w:sz w:val="20"/>
          <w:szCs w:val="20"/>
        </w:rPr>
        <w:t xml:space="preserve"> respecto a lo que constituía el lugar “de origen”. </w:t>
      </w:r>
      <w:bookmarkEnd w:id="2"/>
      <w:r w:rsidR="001F0837" w:rsidRPr="00E50A7F">
        <w:rPr>
          <w:rFonts w:ascii="Verdana" w:hAnsi="Verdana"/>
          <w:color w:val="000000" w:themeColor="text1"/>
          <w:sz w:val="20"/>
          <w:szCs w:val="20"/>
        </w:rPr>
        <w:t xml:space="preserve">En vista de lo anterior, solicitaron a la Corte que fijara “los criterios de interpretación necesarios para determinar el lugar o lugares a los cuales pueden retornar las víctimas, y de esa forma asegurar la correcta implementación de las medidas necesarias para garantizar las condiciones adecuadas para que las personas que permanecen desplazadas puedan retornar, si así lo desean”. </w:t>
      </w:r>
    </w:p>
    <w:p w14:paraId="4FFD215C" w14:textId="77777777" w:rsidR="001F0837" w:rsidRPr="00E50A7F" w:rsidRDefault="001F0837" w:rsidP="001F0837">
      <w:pPr>
        <w:autoSpaceDE w:val="0"/>
        <w:autoSpaceDN w:val="0"/>
        <w:adjustRightInd w:val="0"/>
        <w:spacing w:after="0" w:line="240" w:lineRule="auto"/>
        <w:jc w:val="both"/>
        <w:rPr>
          <w:rFonts w:ascii="Verdana" w:hAnsi="Verdana"/>
          <w:color w:val="000000" w:themeColor="text1"/>
          <w:sz w:val="20"/>
          <w:szCs w:val="20"/>
        </w:rPr>
      </w:pPr>
    </w:p>
    <w:p w14:paraId="67D0297D" w14:textId="74D68BB4" w:rsidR="00CF1F29" w:rsidRPr="00E50A7F" w:rsidRDefault="004204CB" w:rsidP="00A91FE9">
      <w:pPr>
        <w:pStyle w:val="Prrafodelista"/>
        <w:numPr>
          <w:ilvl w:val="0"/>
          <w:numId w:val="1"/>
        </w:numPr>
        <w:spacing w:after="0" w:line="240" w:lineRule="auto"/>
        <w:ind w:left="0" w:firstLine="0"/>
        <w:jc w:val="both"/>
        <w:rPr>
          <w:rFonts w:ascii="Verdana" w:hAnsi="Verdana"/>
          <w:color w:val="000000" w:themeColor="text1"/>
          <w:sz w:val="20"/>
          <w:szCs w:val="20"/>
        </w:rPr>
      </w:pPr>
      <w:r w:rsidRPr="00E50A7F">
        <w:rPr>
          <w:rFonts w:ascii="Verdana" w:hAnsi="Verdana"/>
          <w:color w:val="000000" w:themeColor="text1"/>
          <w:sz w:val="20"/>
          <w:szCs w:val="20"/>
        </w:rPr>
        <w:t>Adicionalmente, e</w:t>
      </w:r>
      <w:r w:rsidR="001F0837" w:rsidRPr="00E50A7F">
        <w:rPr>
          <w:rFonts w:ascii="Verdana" w:hAnsi="Verdana"/>
          <w:color w:val="000000" w:themeColor="text1"/>
          <w:sz w:val="20"/>
          <w:szCs w:val="20"/>
        </w:rPr>
        <w:t>n relación con las medidas de indemnización compensatoria, los representantes</w:t>
      </w:r>
      <w:r w:rsidR="00B84B9D" w:rsidRPr="00E50A7F">
        <w:rPr>
          <w:rFonts w:ascii="Verdana" w:hAnsi="Verdana"/>
          <w:color w:val="000000" w:themeColor="text1"/>
          <w:sz w:val="20"/>
          <w:szCs w:val="20"/>
        </w:rPr>
        <w:t xml:space="preserve"> advirtieron que </w:t>
      </w:r>
      <w:r w:rsidR="001F0837" w:rsidRPr="00E50A7F">
        <w:rPr>
          <w:rFonts w:ascii="Verdana" w:hAnsi="Verdana"/>
          <w:color w:val="000000" w:themeColor="text1"/>
          <w:sz w:val="20"/>
          <w:szCs w:val="20"/>
        </w:rPr>
        <w:t>existían</w:t>
      </w:r>
      <w:r w:rsidR="00B84B9D" w:rsidRPr="00E50A7F">
        <w:rPr>
          <w:rFonts w:ascii="Verdana" w:hAnsi="Verdana"/>
          <w:color w:val="000000" w:themeColor="text1"/>
          <w:sz w:val="20"/>
          <w:szCs w:val="20"/>
        </w:rPr>
        <w:t xml:space="preserve"> ciertas circunstancias en las cuales podría generarse una confusión entre los pagos ya concretados </w:t>
      </w:r>
      <w:r w:rsidR="00CF1F29" w:rsidRPr="00E50A7F">
        <w:rPr>
          <w:rFonts w:ascii="Verdana" w:hAnsi="Verdana"/>
          <w:color w:val="000000" w:themeColor="text1"/>
          <w:sz w:val="20"/>
          <w:szCs w:val="20"/>
        </w:rPr>
        <w:t xml:space="preserve">en el pasado en virtud del </w:t>
      </w:r>
      <w:r w:rsidR="00DA0F3F" w:rsidRPr="00E50A7F">
        <w:rPr>
          <w:rFonts w:ascii="Verdana" w:hAnsi="Verdana"/>
          <w:color w:val="000000" w:themeColor="text1"/>
          <w:sz w:val="20"/>
          <w:szCs w:val="20"/>
        </w:rPr>
        <w:t>A</w:t>
      </w:r>
      <w:r w:rsidR="00CF1F29" w:rsidRPr="00E50A7F">
        <w:rPr>
          <w:rFonts w:ascii="Verdana" w:hAnsi="Verdana"/>
          <w:color w:val="000000" w:themeColor="text1"/>
          <w:sz w:val="20"/>
          <w:szCs w:val="20"/>
        </w:rPr>
        <w:t xml:space="preserve">cuerdo de </w:t>
      </w:r>
      <w:r w:rsidR="00DA0F3F" w:rsidRPr="00E50A7F">
        <w:rPr>
          <w:rFonts w:ascii="Verdana" w:hAnsi="Verdana"/>
          <w:color w:val="000000" w:themeColor="text1"/>
          <w:sz w:val="20"/>
          <w:szCs w:val="20"/>
        </w:rPr>
        <w:t>S</w:t>
      </w:r>
      <w:r w:rsidR="00CF1F29" w:rsidRPr="00E50A7F">
        <w:rPr>
          <w:rFonts w:ascii="Verdana" w:hAnsi="Verdana"/>
          <w:color w:val="000000" w:themeColor="text1"/>
          <w:sz w:val="20"/>
          <w:szCs w:val="20"/>
        </w:rPr>
        <w:t xml:space="preserve">olución </w:t>
      </w:r>
      <w:r w:rsidR="00DA0F3F" w:rsidRPr="00E50A7F">
        <w:rPr>
          <w:rFonts w:ascii="Verdana" w:hAnsi="Verdana"/>
          <w:color w:val="000000" w:themeColor="text1"/>
          <w:sz w:val="20"/>
          <w:szCs w:val="20"/>
        </w:rPr>
        <w:t>A</w:t>
      </w:r>
      <w:r w:rsidR="00CF1F29" w:rsidRPr="00E50A7F">
        <w:rPr>
          <w:rFonts w:ascii="Verdana" w:hAnsi="Verdana"/>
          <w:color w:val="000000" w:themeColor="text1"/>
          <w:sz w:val="20"/>
          <w:szCs w:val="20"/>
        </w:rPr>
        <w:t>mistosa suscrito</w:t>
      </w:r>
      <w:r w:rsidRPr="00E50A7F">
        <w:rPr>
          <w:rFonts w:ascii="Verdana" w:hAnsi="Verdana"/>
          <w:color w:val="000000" w:themeColor="text1"/>
          <w:sz w:val="20"/>
          <w:szCs w:val="20"/>
        </w:rPr>
        <w:t xml:space="preserve"> en 2007</w:t>
      </w:r>
      <w:r w:rsidR="00CF1F29" w:rsidRPr="00E50A7F">
        <w:rPr>
          <w:rFonts w:ascii="Verdana" w:hAnsi="Verdana"/>
          <w:color w:val="000000" w:themeColor="text1"/>
          <w:sz w:val="20"/>
          <w:szCs w:val="20"/>
        </w:rPr>
        <w:t xml:space="preserve"> entre el Estado y los representantes </w:t>
      </w:r>
      <w:r w:rsidR="00B84B9D" w:rsidRPr="00E50A7F">
        <w:rPr>
          <w:rFonts w:ascii="Verdana" w:hAnsi="Verdana"/>
          <w:color w:val="000000" w:themeColor="text1"/>
          <w:sz w:val="20"/>
          <w:szCs w:val="20"/>
        </w:rPr>
        <w:t>y las indemnizaciones ordenadas por la Corte</w:t>
      </w:r>
      <w:r w:rsidR="00FF553B" w:rsidRPr="00E50A7F">
        <w:rPr>
          <w:rFonts w:ascii="Verdana" w:hAnsi="Verdana"/>
          <w:color w:val="000000" w:themeColor="text1"/>
          <w:sz w:val="20"/>
          <w:szCs w:val="20"/>
        </w:rPr>
        <w:t xml:space="preserve"> en la presente Sentencia</w:t>
      </w:r>
      <w:r w:rsidR="00B84B9D" w:rsidRPr="00E50A7F">
        <w:rPr>
          <w:rFonts w:ascii="Verdana" w:hAnsi="Verdana"/>
          <w:color w:val="000000" w:themeColor="text1"/>
          <w:sz w:val="20"/>
          <w:szCs w:val="20"/>
        </w:rPr>
        <w:t xml:space="preserve">. </w:t>
      </w:r>
      <w:bookmarkStart w:id="3" w:name="_Hlk109801633"/>
      <w:r w:rsidR="00A91FE9" w:rsidRPr="00E50A7F">
        <w:rPr>
          <w:rFonts w:ascii="Verdana" w:hAnsi="Verdana"/>
          <w:color w:val="000000" w:themeColor="text1"/>
          <w:sz w:val="20"/>
          <w:szCs w:val="20"/>
        </w:rPr>
        <w:t>En primer lugar, consideraron que resultaba</w:t>
      </w:r>
      <w:r w:rsidR="00CF1F29" w:rsidRPr="00E50A7F">
        <w:rPr>
          <w:rFonts w:ascii="Verdana" w:hAnsi="Verdana"/>
          <w:color w:val="000000" w:themeColor="text1"/>
          <w:sz w:val="20"/>
          <w:szCs w:val="20"/>
        </w:rPr>
        <w:t xml:space="preserve"> fundamental que la Corte </w:t>
      </w:r>
      <w:r w:rsidR="00A91FE9" w:rsidRPr="00E50A7F">
        <w:rPr>
          <w:rFonts w:ascii="Verdana" w:hAnsi="Verdana"/>
          <w:color w:val="000000" w:themeColor="text1"/>
          <w:sz w:val="20"/>
          <w:szCs w:val="20"/>
        </w:rPr>
        <w:t>aclarara</w:t>
      </w:r>
      <w:r w:rsidR="00CF1F29" w:rsidRPr="00E50A7F">
        <w:rPr>
          <w:rFonts w:ascii="Verdana" w:hAnsi="Verdana"/>
          <w:color w:val="000000" w:themeColor="text1"/>
          <w:sz w:val="20"/>
          <w:szCs w:val="20"/>
        </w:rPr>
        <w:t xml:space="preserve"> “si los pagos ya realizados </w:t>
      </w:r>
      <w:r w:rsidR="00A91FE9" w:rsidRPr="00E50A7F">
        <w:rPr>
          <w:rFonts w:ascii="Verdana" w:hAnsi="Verdana"/>
          <w:color w:val="000000" w:themeColor="text1"/>
          <w:sz w:val="20"/>
          <w:szCs w:val="20"/>
        </w:rPr>
        <w:t xml:space="preserve">[a la persona representante del grupo familiar] </w:t>
      </w:r>
      <w:r w:rsidR="00CF1F29" w:rsidRPr="00E50A7F">
        <w:rPr>
          <w:rFonts w:ascii="Verdana" w:hAnsi="Verdana"/>
          <w:color w:val="000000" w:themeColor="text1"/>
          <w:sz w:val="20"/>
          <w:szCs w:val="20"/>
        </w:rPr>
        <w:t>se deducirán en equidad entre todos los miembros de un núcleo familiar o si las deducciones deben ser primero asumidas por el representante del núcleo familiar y posteriormente por el resto de los miembros de la familia”.</w:t>
      </w:r>
      <w:r w:rsidR="003A673A" w:rsidRPr="00E50A7F">
        <w:rPr>
          <w:rFonts w:ascii="Verdana" w:hAnsi="Verdana"/>
          <w:color w:val="000000" w:themeColor="text1"/>
          <w:sz w:val="20"/>
          <w:szCs w:val="20"/>
        </w:rPr>
        <w:t xml:space="preserve"> </w:t>
      </w:r>
      <w:r w:rsidR="00A91FE9" w:rsidRPr="00E50A7F">
        <w:rPr>
          <w:rFonts w:ascii="Verdana" w:hAnsi="Verdana"/>
          <w:color w:val="000000" w:themeColor="text1"/>
          <w:sz w:val="20"/>
          <w:szCs w:val="20"/>
        </w:rPr>
        <w:t xml:space="preserve">En segundo lugar, </w:t>
      </w:r>
      <w:r w:rsidR="003A4B36" w:rsidRPr="00E50A7F">
        <w:rPr>
          <w:rFonts w:ascii="Verdana" w:hAnsi="Verdana"/>
          <w:color w:val="000000" w:themeColor="text1"/>
          <w:sz w:val="20"/>
          <w:szCs w:val="20"/>
        </w:rPr>
        <w:t xml:space="preserve">indicaron que algunas de las víctimas </w:t>
      </w:r>
      <w:r w:rsidR="00133294" w:rsidRPr="00E50A7F">
        <w:rPr>
          <w:rFonts w:ascii="Verdana" w:hAnsi="Verdana"/>
          <w:color w:val="000000" w:themeColor="text1"/>
          <w:sz w:val="20"/>
          <w:szCs w:val="20"/>
        </w:rPr>
        <w:t xml:space="preserve">que habían recibido un pago indemnizatorio en representación del grupo familiar </w:t>
      </w:r>
      <w:r w:rsidR="003A673A" w:rsidRPr="00E50A7F">
        <w:rPr>
          <w:rFonts w:ascii="Verdana" w:hAnsi="Verdana"/>
          <w:color w:val="000000" w:themeColor="text1"/>
          <w:sz w:val="20"/>
          <w:szCs w:val="20"/>
        </w:rPr>
        <w:t xml:space="preserve">en el marco del referido Acuerdo de Solución Amistosa </w:t>
      </w:r>
      <w:r w:rsidR="00133294" w:rsidRPr="00E50A7F">
        <w:rPr>
          <w:rFonts w:ascii="Verdana" w:hAnsi="Verdana"/>
          <w:color w:val="000000" w:themeColor="text1"/>
          <w:sz w:val="20"/>
          <w:szCs w:val="20"/>
        </w:rPr>
        <w:t>habrían fallecido</w:t>
      </w:r>
      <w:r w:rsidR="00FF553B" w:rsidRPr="00E50A7F">
        <w:rPr>
          <w:rFonts w:ascii="Verdana" w:hAnsi="Verdana"/>
          <w:color w:val="000000" w:themeColor="text1"/>
          <w:sz w:val="20"/>
          <w:szCs w:val="20"/>
        </w:rPr>
        <w:t xml:space="preserve"> y </w:t>
      </w:r>
      <w:r w:rsidR="00A91FE9" w:rsidRPr="00E50A7F">
        <w:rPr>
          <w:rFonts w:ascii="Verdana" w:hAnsi="Verdana"/>
          <w:color w:val="000000" w:themeColor="text1"/>
          <w:sz w:val="20"/>
          <w:szCs w:val="20"/>
        </w:rPr>
        <w:t xml:space="preserve">que, por tanto, era necesario que la Corte </w:t>
      </w:r>
      <w:r w:rsidR="00A91FE9" w:rsidRPr="00E50A7F">
        <w:rPr>
          <w:rFonts w:ascii="Verdana" w:hAnsi="Verdana"/>
          <w:color w:val="000000" w:themeColor="text1"/>
          <w:sz w:val="20"/>
          <w:szCs w:val="20"/>
        </w:rPr>
        <w:lastRenderedPageBreak/>
        <w:t>estableciera los criterios sobre la forma</w:t>
      </w:r>
      <w:r w:rsidR="00133294" w:rsidRPr="00E50A7F">
        <w:rPr>
          <w:rFonts w:ascii="Verdana" w:hAnsi="Verdana"/>
          <w:color w:val="000000" w:themeColor="text1"/>
          <w:sz w:val="20"/>
          <w:szCs w:val="20"/>
        </w:rPr>
        <w:t xml:space="preserve"> en que debía distribuirse la deducción entre los sobrevivientes de la familia</w:t>
      </w:r>
      <w:r w:rsidR="00AB6287">
        <w:rPr>
          <w:rFonts w:ascii="Verdana" w:hAnsi="Verdana"/>
          <w:color w:val="000000" w:themeColor="text1"/>
          <w:sz w:val="20"/>
          <w:szCs w:val="20"/>
        </w:rPr>
        <w:t>.</w:t>
      </w:r>
    </w:p>
    <w:bookmarkEnd w:id="3"/>
    <w:p w14:paraId="4E2EF38F" w14:textId="37D4874A" w:rsidR="00CF1F29" w:rsidRPr="00E50A7F" w:rsidRDefault="00CF1F29" w:rsidP="00CF1F29">
      <w:pPr>
        <w:autoSpaceDE w:val="0"/>
        <w:autoSpaceDN w:val="0"/>
        <w:adjustRightInd w:val="0"/>
        <w:spacing w:after="0" w:line="240" w:lineRule="auto"/>
        <w:jc w:val="both"/>
        <w:rPr>
          <w:rFonts w:ascii="Verdana" w:hAnsi="Verdana"/>
          <w:color w:val="000000" w:themeColor="text1"/>
          <w:sz w:val="20"/>
          <w:szCs w:val="20"/>
        </w:rPr>
      </w:pPr>
    </w:p>
    <w:p w14:paraId="5FD7A021" w14:textId="22E9F13E" w:rsidR="004F0814" w:rsidRPr="00E50A7F" w:rsidRDefault="004F0814" w:rsidP="00CB4AC8">
      <w:pPr>
        <w:pStyle w:val="Prrafodelista"/>
        <w:numPr>
          <w:ilvl w:val="0"/>
          <w:numId w:val="1"/>
        </w:numPr>
        <w:spacing w:after="0" w:line="240" w:lineRule="auto"/>
        <w:ind w:left="0" w:firstLine="0"/>
        <w:jc w:val="both"/>
        <w:rPr>
          <w:rFonts w:ascii="Verdana" w:hAnsi="Verdana" w:cs="Arial"/>
          <w:color w:val="000000" w:themeColor="text1"/>
          <w:sz w:val="20"/>
          <w:szCs w:val="20"/>
        </w:rPr>
      </w:pPr>
      <w:r w:rsidRPr="00E50A7F">
        <w:rPr>
          <w:rFonts w:ascii="Verdana" w:hAnsi="Verdana" w:cs="Arial"/>
          <w:color w:val="000000" w:themeColor="text1"/>
          <w:sz w:val="20"/>
          <w:szCs w:val="20"/>
        </w:rPr>
        <w:t xml:space="preserve">Con respecto a la medida de reparación relacionada </w:t>
      </w:r>
      <w:r w:rsidR="003A673A" w:rsidRPr="00E50A7F">
        <w:rPr>
          <w:rFonts w:ascii="Verdana" w:hAnsi="Verdana" w:cs="Arial"/>
          <w:color w:val="000000" w:themeColor="text1"/>
          <w:sz w:val="20"/>
          <w:szCs w:val="20"/>
        </w:rPr>
        <w:t>con el</w:t>
      </w:r>
      <w:r w:rsidRPr="00E50A7F">
        <w:rPr>
          <w:rFonts w:ascii="Verdana" w:hAnsi="Verdana" w:cs="Arial"/>
          <w:color w:val="000000" w:themeColor="text1"/>
          <w:sz w:val="20"/>
          <w:szCs w:val="20"/>
        </w:rPr>
        <w:t xml:space="preserve"> retorno seguro de las personas</w:t>
      </w:r>
      <w:r w:rsidR="003A673A" w:rsidRPr="00E50A7F">
        <w:rPr>
          <w:rFonts w:ascii="Verdana" w:hAnsi="Verdana" w:cs="Arial"/>
          <w:color w:val="000000" w:themeColor="text1"/>
          <w:sz w:val="20"/>
          <w:szCs w:val="20"/>
        </w:rPr>
        <w:t xml:space="preserve"> </w:t>
      </w:r>
      <w:r w:rsidRPr="00E50A7F">
        <w:rPr>
          <w:rFonts w:ascii="Verdana" w:hAnsi="Verdana" w:cs="Arial"/>
          <w:color w:val="000000" w:themeColor="text1"/>
          <w:sz w:val="20"/>
          <w:szCs w:val="20"/>
        </w:rPr>
        <w:t>desplazadas</w:t>
      </w:r>
      <w:r w:rsidR="003A673A" w:rsidRPr="00E50A7F">
        <w:rPr>
          <w:rFonts w:ascii="Verdana" w:hAnsi="Verdana" w:cs="Arial"/>
          <w:color w:val="000000" w:themeColor="text1"/>
          <w:sz w:val="20"/>
          <w:szCs w:val="20"/>
        </w:rPr>
        <w:t>,</w:t>
      </w:r>
      <w:r w:rsidRPr="00E50A7F">
        <w:rPr>
          <w:rFonts w:ascii="Verdana" w:hAnsi="Verdana" w:cs="Arial"/>
          <w:color w:val="000000" w:themeColor="text1"/>
          <w:sz w:val="20"/>
          <w:szCs w:val="20"/>
        </w:rPr>
        <w:t xml:space="preserve"> </w:t>
      </w:r>
      <w:r w:rsidRPr="00E50A7F">
        <w:rPr>
          <w:rFonts w:ascii="Verdana" w:hAnsi="Verdana" w:cs="Arial"/>
          <w:b/>
          <w:bCs/>
          <w:i/>
          <w:iCs/>
          <w:color w:val="000000" w:themeColor="text1"/>
          <w:sz w:val="20"/>
          <w:szCs w:val="20"/>
        </w:rPr>
        <w:t>Estado</w:t>
      </w:r>
      <w:r w:rsidRPr="00E50A7F">
        <w:rPr>
          <w:rFonts w:ascii="Verdana" w:hAnsi="Verdana" w:cs="Arial"/>
          <w:color w:val="000000" w:themeColor="text1"/>
          <w:sz w:val="20"/>
          <w:szCs w:val="20"/>
        </w:rPr>
        <w:t xml:space="preserve"> indicó que </w:t>
      </w:r>
      <w:r w:rsidR="000E7ADA" w:rsidRPr="00E50A7F">
        <w:rPr>
          <w:rFonts w:ascii="Verdana" w:hAnsi="Verdana" w:cs="Arial"/>
          <w:color w:val="000000" w:themeColor="text1"/>
          <w:sz w:val="20"/>
          <w:szCs w:val="20"/>
          <w:lang w:val="es-ES"/>
        </w:rPr>
        <w:t xml:space="preserve">como lugar o comunidades de origen </w:t>
      </w:r>
      <w:r w:rsidR="000E7ADA" w:rsidRPr="00E50A7F">
        <w:rPr>
          <w:rFonts w:ascii="Verdana" w:hAnsi="Verdana" w:cs="Arial"/>
          <w:color w:val="000000" w:themeColor="text1"/>
          <w:sz w:val="20"/>
          <w:szCs w:val="20"/>
        </w:rPr>
        <w:t xml:space="preserve">al que debe realizarse el retorno </w:t>
      </w:r>
      <w:r w:rsidR="004204CB" w:rsidRPr="00E50A7F">
        <w:rPr>
          <w:rFonts w:ascii="Verdana" w:hAnsi="Verdana" w:cs="Arial"/>
          <w:color w:val="000000" w:themeColor="text1"/>
          <w:sz w:val="20"/>
          <w:szCs w:val="20"/>
        </w:rPr>
        <w:t>debía entenderse</w:t>
      </w:r>
      <w:r w:rsidR="000E7ADA" w:rsidRPr="00E50A7F">
        <w:rPr>
          <w:rFonts w:ascii="Verdana" w:hAnsi="Verdana" w:cs="Arial"/>
          <w:color w:val="000000" w:themeColor="text1"/>
          <w:sz w:val="20"/>
          <w:szCs w:val="20"/>
        </w:rPr>
        <w:t xml:space="preserve"> </w:t>
      </w:r>
      <w:r w:rsidR="000E7ADA" w:rsidRPr="00E50A7F">
        <w:rPr>
          <w:rFonts w:ascii="Verdana" w:hAnsi="Verdana" w:cs="Arial"/>
          <w:color w:val="000000" w:themeColor="text1"/>
          <w:sz w:val="20"/>
          <w:szCs w:val="20"/>
          <w:lang w:val="es-ES"/>
        </w:rPr>
        <w:t>la Aldea Los Josefinos actual</w:t>
      </w:r>
      <w:r w:rsidR="00CB4AC8" w:rsidRPr="00E50A7F">
        <w:rPr>
          <w:rFonts w:ascii="Verdana" w:hAnsi="Verdana" w:cs="Arial"/>
          <w:color w:val="000000" w:themeColor="text1"/>
          <w:sz w:val="20"/>
          <w:szCs w:val="20"/>
          <w:lang w:val="es-ES"/>
        </w:rPr>
        <w:t xml:space="preserve">. Con respecto a la realización de los pagos indemnizatorios, el Estado señaló que era “necesario que las deducciones sean asumidas por </w:t>
      </w:r>
      <w:r w:rsidR="00CB4AC8" w:rsidRPr="00E50A7F">
        <w:rPr>
          <w:rFonts w:ascii="Verdana" w:hAnsi="Verdana"/>
          <w:color w:val="000000" w:themeColor="text1"/>
          <w:sz w:val="20"/>
          <w:szCs w:val="20"/>
        </w:rPr>
        <w:t>todos</w:t>
      </w:r>
      <w:r w:rsidR="00CB4AC8" w:rsidRPr="00E50A7F">
        <w:rPr>
          <w:rFonts w:ascii="Verdana" w:hAnsi="Verdana" w:cs="Arial"/>
          <w:color w:val="000000" w:themeColor="text1"/>
          <w:sz w:val="20"/>
          <w:szCs w:val="20"/>
          <w:lang w:val="es-ES"/>
        </w:rPr>
        <w:t xml:space="preserve"> los miembros de la familia”. Además, en relación </w:t>
      </w:r>
      <w:r w:rsidR="003A673A" w:rsidRPr="00E50A7F">
        <w:rPr>
          <w:rFonts w:ascii="Verdana" w:hAnsi="Verdana" w:cs="Arial"/>
          <w:color w:val="000000" w:themeColor="text1"/>
          <w:sz w:val="20"/>
          <w:szCs w:val="20"/>
          <w:lang w:val="es-ES"/>
        </w:rPr>
        <w:t>con</w:t>
      </w:r>
      <w:r w:rsidR="00CB4AC8" w:rsidRPr="00E50A7F">
        <w:rPr>
          <w:rFonts w:ascii="Verdana" w:hAnsi="Verdana" w:cs="Arial"/>
          <w:color w:val="000000" w:themeColor="text1"/>
          <w:sz w:val="20"/>
          <w:szCs w:val="20"/>
          <w:lang w:val="es-ES"/>
        </w:rPr>
        <w:t xml:space="preserve"> los pagos ordenados a algunas víctimas que habrían fallecido, </w:t>
      </w:r>
      <w:r w:rsidR="003A673A" w:rsidRPr="00E50A7F">
        <w:rPr>
          <w:rFonts w:ascii="Verdana" w:hAnsi="Verdana" w:cs="Arial"/>
          <w:color w:val="000000" w:themeColor="text1"/>
          <w:sz w:val="20"/>
          <w:szCs w:val="20"/>
          <w:lang w:val="es-ES"/>
        </w:rPr>
        <w:t>señaló</w:t>
      </w:r>
      <w:r w:rsidR="00FF553B" w:rsidRPr="00E50A7F">
        <w:rPr>
          <w:rFonts w:ascii="Verdana" w:hAnsi="Verdana" w:cs="Arial"/>
          <w:color w:val="000000" w:themeColor="text1"/>
          <w:sz w:val="20"/>
          <w:szCs w:val="20"/>
          <w:lang w:val="es-ES"/>
        </w:rPr>
        <w:t xml:space="preserve"> </w:t>
      </w:r>
      <w:r w:rsidR="00CB4AC8" w:rsidRPr="00E50A7F">
        <w:rPr>
          <w:rFonts w:ascii="Verdana" w:hAnsi="Verdana" w:cs="Arial"/>
          <w:color w:val="000000" w:themeColor="text1"/>
          <w:sz w:val="20"/>
          <w:szCs w:val="20"/>
          <w:lang w:val="es-ES"/>
        </w:rPr>
        <w:t>que “los montos que hubieran sido entregados a un beneficiario que falleció antes de dictarse la Sentencia, deb</w:t>
      </w:r>
      <w:r w:rsidR="003A673A" w:rsidRPr="00E50A7F">
        <w:rPr>
          <w:rFonts w:ascii="Verdana" w:hAnsi="Verdana" w:cs="Arial"/>
          <w:color w:val="000000" w:themeColor="text1"/>
          <w:sz w:val="20"/>
          <w:szCs w:val="20"/>
          <w:lang w:val="es-ES"/>
        </w:rPr>
        <w:t>[ían]</w:t>
      </w:r>
      <w:r w:rsidR="00CB4AC8" w:rsidRPr="00E50A7F">
        <w:rPr>
          <w:rFonts w:ascii="Verdana" w:hAnsi="Verdana" w:cs="Arial"/>
          <w:color w:val="000000" w:themeColor="text1"/>
          <w:sz w:val="20"/>
          <w:szCs w:val="20"/>
          <w:lang w:val="es-ES"/>
        </w:rPr>
        <w:t xml:space="preserve"> ser reconocidos como parte de la reparación sobre el resto de los miembros de la familia”. </w:t>
      </w:r>
    </w:p>
    <w:p w14:paraId="2B1BA04E" w14:textId="77777777" w:rsidR="004F0814" w:rsidRPr="00E50A7F" w:rsidRDefault="004F0814" w:rsidP="004F0814">
      <w:pPr>
        <w:spacing w:after="0" w:line="240" w:lineRule="auto"/>
        <w:jc w:val="both"/>
        <w:rPr>
          <w:rFonts w:ascii="Verdana" w:hAnsi="Verdana"/>
          <w:color w:val="000000" w:themeColor="text1"/>
          <w:sz w:val="20"/>
          <w:szCs w:val="20"/>
        </w:rPr>
      </w:pPr>
    </w:p>
    <w:p w14:paraId="0A778A68" w14:textId="03D8A8C0" w:rsidR="003E4FE8" w:rsidRPr="00E50A7F" w:rsidRDefault="00B84743" w:rsidP="003E4FE8">
      <w:pPr>
        <w:pStyle w:val="Prrafodelista"/>
        <w:numPr>
          <w:ilvl w:val="0"/>
          <w:numId w:val="1"/>
        </w:numPr>
        <w:spacing w:after="0" w:line="240" w:lineRule="auto"/>
        <w:ind w:left="0" w:firstLine="0"/>
        <w:jc w:val="both"/>
        <w:rPr>
          <w:rFonts w:ascii="Verdana" w:hAnsi="Verdana"/>
          <w:color w:val="000000" w:themeColor="text1"/>
          <w:sz w:val="20"/>
          <w:szCs w:val="20"/>
        </w:rPr>
      </w:pPr>
      <w:r w:rsidRPr="00E50A7F">
        <w:rPr>
          <w:rFonts w:ascii="Verdana" w:hAnsi="Verdana"/>
          <w:color w:val="000000" w:themeColor="text1"/>
          <w:sz w:val="20"/>
          <w:szCs w:val="20"/>
        </w:rPr>
        <w:t xml:space="preserve">La </w:t>
      </w:r>
      <w:r w:rsidRPr="00E50A7F">
        <w:rPr>
          <w:rFonts w:ascii="Verdana" w:hAnsi="Verdana"/>
          <w:b/>
          <w:bCs/>
          <w:i/>
          <w:iCs/>
          <w:color w:val="000000" w:themeColor="text1"/>
          <w:sz w:val="20"/>
          <w:szCs w:val="20"/>
        </w:rPr>
        <w:t>Comisión</w:t>
      </w:r>
      <w:r w:rsidRPr="00E50A7F">
        <w:rPr>
          <w:rFonts w:ascii="Verdana" w:hAnsi="Verdana"/>
          <w:color w:val="000000" w:themeColor="text1"/>
          <w:sz w:val="20"/>
          <w:szCs w:val="20"/>
        </w:rPr>
        <w:t xml:space="preserve"> señaló, por su parte, que la Corte podría “clarificar los criterios” mediante los cuales se deb</w:t>
      </w:r>
      <w:r w:rsidR="00FF553B" w:rsidRPr="00E50A7F">
        <w:rPr>
          <w:rFonts w:ascii="Verdana" w:hAnsi="Verdana"/>
          <w:color w:val="000000" w:themeColor="text1"/>
          <w:sz w:val="20"/>
          <w:szCs w:val="20"/>
        </w:rPr>
        <w:t>ían</w:t>
      </w:r>
      <w:r w:rsidRPr="00E50A7F">
        <w:rPr>
          <w:rFonts w:ascii="Verdana" w:hAnsi="Verdana"/>
          <w:color w:val="000000" w:themeColor="text1"/>
          <w:sz w:val="20"/>
          <w:szCs w:val="20"/>
        </w:rPr>
        <w:t xml:space="preserve"> realizar las deducciones de los montos ya pagados a nivel nacional a las víctimas mediante el acuerdo de solución amistosa. </w:t>
      </w:r>
      <w:r w:rsidR="003E4FE8" w:rsidRPr="00E50A7F">
        <w:rPr>
          <w:rFonts w:ascii="Verdana" w:hAnsi="Verdana"/>
          <w:color w:val="000000" w:themeColor="text1"/>
          <w:sz w:val="20"/>
          <w:szCs w:val="20"/>
        </w:rPr>
        <w:t xml:space="preserve">Asimismo, indicó que los párrafos </w:t>
      </w:r>
      <w:r w:rsidR="003E4FE8" w:rsidRPr="00E50A7F">
        <w:rPr>
          <w:rFonts w:ascii="Verdana" w:hAnsi="Verdana" w:cs="Cambria"/>
          <w:color w:val="000000" w:themeColor="text1"/>
          <w:sz w:val="20"/>
          <w:szCs w:val="20"/>
          <w:lang w:val="es-ES"/>
        </w:rPr>
        <w:t xml:space="preserve">80 y 83 </w:t>
      </w:r>
      <w:r w:rsidR="00FF553B" w:rsidRPr="00E50A7F">
        <w:rPr>
          <w:rFonts w:ascii="Verdana" w:hAnsi="Verdana" w:cs="Cambria"/>
          <w:color w:val="000000" w:themeColor="text1"/>
          <w:sz w:val="20"/>
          <w:szCs w:val="20"/>
          <w:lang w:val="es-ES"/>
        </w:rPr>
        <w:t>de</w:t>
      </w:r>
      <w:r w:rsidR="003E4FE8" w:rsidRPr="00E50A7F">
        <w:rPr>
          <w:rFonts w:ascii="Verdana" w:hAnsi="Verdana" w:cs="Cambria"/>
          <w:color w:val="000000" w:themeColor="text1"/>
          <w:sz w:val="20"/>
          <w:szCs w:val="20"/>
          <w:lang w:val="es-ES"/>
        </w:rPr>
        <w:t xml:space="preserve"> la </w:t>
      </w:r>
      <w:r w:rsidR="00FF553B" w:rsidRPr="00E50A7F">
        <w:rPr>
          <w:rFonts w:ascii="Verdana" w:hAnsi="Verdana" w:cs="Cambria"/>
          <w:color w:val="000000" w:themeColor="text1"/>
          <w:sz w:val="20"/>
          <w:szCs w:val="20"/>
          <w:lang w:val="es-ES"/>
        </w:rPr>
        <w:t>S</w:t>
      </w:r>
      <w:r w:rsidR="003E4FE8" w:rsidRPr="00E50A7F">
        <w:rPr>
          <w:rFonts w:ascii="Verdana" w:hAnsi="Verdana" w:cs="Cambria"/>
          <w:color w:val="000000" w:themeColor="text1"/>
          <w:sz w:val="20"/>
          <w:szCs w:val="20"/>
          <w:lang w:val="es-ES"/>
        </w:rPr>
        <w:t xml:space="preserve">entencia </w:t>
      </w:r>
      <w:r w:rsidR="00C807F4" w:rsidRPr="00E50A7F">
        <w:rPr>
          <w:rFonts w:ascii="Verdana" w:hAnsi="Verdana" w:cs="Cambria"/>
          <w:color w:val="000000" w:themeColor="text1"/>
          <w:sz w:val="20"/>
          <w:szCs w:val="20"/>
          <w:lang w:val="es-ES"/>
        </w:rPr>
        <w:t>hicieron</w:t>
      </w:r>
      <w:r w:rsidR="003E4FE8" w:rsidRPr="00E50A7F">
        <w:rPr>
          <w:rFonts w:ascii="Verdana" w:hAnsi="Verdana" w:cs="Cambria"/>
          <w:color w:val="000000" w:themeColor="text1"/>
          <w:sz w:val="20"/>
          <w:szCs w:val="20"/>
          <w:lang w:val="es-ES"/>
        </w:rPr>
        <w:t xml:space="preserve"> referencia indistintamente al retorno de las víctimas</w:t>
      </w:r>
      <w:r w:rsidR="004204CB" w:rsidRPr="00E50A7F">
        <w:rPr>
          <w:rFonts w:ascii="Verdana" w:hAnsi="Verdana" w:cs="Cambria"/>
          <w:color w:val="000000" w:themeColor="text1"/>
          <w:sz w:val="20"/>
          <w:szCs w:val="20"/>
          <w:lang w:val="es-ES"/>
        </w:rPr>
        <w:t>,</w:t>
      </w:r>
      <w:r w:rsidR="003E4FE8" w:rsidRPr="00E50A7F">
        <w:rPr>
          <w:rFonts w:ascii="Verdana" w:hAnsi="Verdana" w:cs="Cambria"/>
          <w:color w:val="000000" w:themeColor="text1"/>
          <w:sz w:val="20"/>
          <w:szCs w:val="20"/>
          <w:lang w:val="es-ES"/>
        </w:rPr>
        <w:t xml:space="preserve"> ya sea a su lugar su origen o a la Aldea Los Josefinos, lo cual “podría generar algún grado de confusión para la correcta implementación de la reparación por parte del Estado”</w:t>
      </w:r>
      <w:r w:rsidR="00FF553B" w:rsidRPr="00E50A7F">
        <w:rPr>
          <w:rFonts w:ascii="Verdana" w:hAnsi="Verdana" w:cs="Cambria"/>
          <w:color w:val="000000" w:themeColor="text1"/>
          <w:sz w:val="20"/>
          <w:szCs w:val="20"/>
          <w:lang w:val="es-ES"/>
        </w:rPr>
        <w:t>, por lo que la aclaración sobre</w:t>
      </w:r>
      <w:r w:rsidR="00FF553B" w:rsidRPr="00E50A7F">
        <w:rPr>
          <w:rFonts w:ascii="Verdana" w:hAnsi="Verdana"/>
          <w:color w:val="000000" w:themeColor="text1"/>
          <w:sz w:val="20"/>
          <w:szCs w:val="20"/>
        </w:rPr>
        <w:t xml:space="preserve"> </w:t>
      </w:r>
      <w:r w:rsidR="00C807F4" w:rsidRPr="00E50A7F">
        <w:rPr>
          <w:rFonts w:ascii="Verdana" w:hAnsi="Verdana"/>
          <w:color w:val="000000" w:themeColor="text1"/>
          <w:sz w:val="20"/>
          <w:szCs w:val="20"/>
        </w:rPr>
        <w:t>“</w:t>
      </w:r>
      <w:r w:rsidR="00FF553B" w:rsidRPr="00E50A7F">
        <w:rPr>
          <w:rFonts w:ascii="Verdana" w:hAnsi="Verdana"/>
          <w:color w:val="000000" w:themeColor="text1"/>
          <w:sz w:val="20"/>
          <w:szCs w:val="20"/>
        </w:rPr>
        <w:t>hacia dónde debe garantizar el Estado el retorno seguro de las víctimas facilitaría la implementación de esta medida</w:t>
      </w:r>
      <w:r w:rsidR="00C807F4" w:rsidRPr="00E50A7F">
        <w:rPr>
          <w:rFonts w:ascii="Verdana" w:hAnsi="Verdana"/>
          <w:color w:val="000000" w:themeColor="text1"/>
          <w:sz w:val="20"/>
          <w:szCs w:val="20"/>
        </w:rPr>
        <w:t>”</w:t>
      </w:r>
      <w:r w:rsidR="003E4FE8" w:rsidRPr="00E50A7F">
        <w:rPr>
          <w:rFonts w:ascii="Verdana" w:hAnsi="Verdana"/>
          <w:color w:val="000000" w:themeColor="text1"/>
          <w:sz w:val="20"/>
          <w:szCs w:val="20"/>
        </w:rPr>
        <w:t>.</w:t>
      </w:r>
      <w:r w:rsidR="003E4FE8" w:rsidRPr="00E50A7F">
        <w:rPr>
          <w:rFonts w:ascii="Verdana" w:hAnsi="Verdana" w:cs="Cambria"/>
          <w:color w:val="000000" w:themeColor="text1"/>
          <w:sz w:val="20"/>
          <w:szCs w:val="20"/>
          <w:lang w:val="es-ES"/>
        </w:rPr>
        <w:t xml:space="preserve"> </w:t>
      </w:r>
    </w:p>
    <w:p w14:paraId="5C72ECAC" w14:textId="3FEE732D" w:rsidR="00B84743" w:rsidRPr="00E50A7F" w:rsidRDefault="00B84743" w:rsidP="00C92D55">
      <w:pPr>
        <w:tabs>
          <w:tab w:val="left" w:pos="1323"/>
        </w:tabs>
        <w:spacing w:after="0" w:line="240" w:lineRule="auto"/>
        <w:jc w:val="both"/>
        <w:rPr>
          <w:rFonts w:ascii="Verdana" w:hAnsi="Verdana"/>
          <w:color w:val="000000" w:themeColor="text1"/>
          <w:sz w:val="20"/>
          <w:szCs w:val="20"/>
        </w:rPr>
      </w:pPr>
    </w:p>
    <w:p w14:paraId="69B8FCD7" w14:textId="77777777" w:rsidR="00A2244B" w:rsidRPr="00E50A7F" w:rsidRDefault="00A2244B" w:rsidP="00A2244B">
      <w:pPr>
        <w:spacing w:after="0" w:line="240" w:lineRule="auto"/>
        <w:ind w:firstLine="708"/>
        <w:jc w:val="both"/>
        <w:rPr>
          <w:rFonts w:ascii="Verdana" w:hAnsi="Verdana"/>
          <w:i/>
          <w:color w:val="000000" w:themeColor="text1"/>
          <w:sz w:val="20"/>
          <w:szCs w:val="20"/>
        </w:rPr>
      </w:pPr>
      <w:r w:rsidRPr="00E50A7F">
        <w:rPr>
          <w:rFonts w:ascii="Verdana" w:hAnsi="Verdana"/>
          <w:i/>
          <w:color w:val="000000" w:themeColor="text1"/>
          <w:sz w:val="20"/>
          <w:szCs w:val="20"/>
        </w:rPr>
        <w:t xml:space="preserve">B.2. Consideraciones de la Corte </w:t>
      </w:r>
    </w:p>
    <w:p w14:paraId="78C8B52B" w14:textId="77777777" w:rsidR="008A2975" w:rsidRPr="00E50A7F" w:rsidRDefault="008A2975" w:rsidP="008A2975">
      <w:pPr>
        <w:pStyle w:val="Prrafodelista"/>
        <w:rPr>
          <w:rFonts w:ascii="Verdana" w:hAnsi="Verdana"/>
          <w:color w:val="000000" w:themeColor="text1"/>
          <w:sz w:val="20"/>
          <w:szCs w:val="20"/>
        </w:rPr>
      </w:pPr>
    </w:p>
    <w:p w14:paraId="4A79A905" w14:textId="406076C9" w:rsidR="003A673A" w:rsidRPr="00E50A7F" w:rsidRDefault="000B52DB" w:rsidP="004B3279">
      <w:pPr>
        <w:pStyle w:val="Prrafodelista"/>
        <w:numPr>
          <w:ilvl w:val="0"/>
          <w:numId w:val="1"/>
        </w:numPr>
        <w:spacing w:after="0" w:line="240" w:lineRule="auto"/>
        <w:ind w:left="0" w:firstLine="0"/>
        <w:jc w:val="both"/>
        <w:rPr>
          <w:rFonts w:ascii="Verdana" w:hAnsi="Verdana"/>
          <w:color w:val="000000" w:themeColor="text1"/>
          <w:sz w:val="20"/>
          <w:szCs w:val="20"/>
        </w:rPr>
      </w:pPr>
      <w:r w:rsidRPr="00E50A7F">
        <w:rPr>
          <w:rFonts w:ascii="Verdana" w:hAnsi="Verdana"/>
          <w:color w:val="000000" w:themeColor="text1"/>
          <w:sz w:val="20"/>
          <w:szCs w:val="20"/>
        </w:rPr>
        <w:t>Con relación a</w:t>
      </w:r>
      <w:r w:rsidR="003A673A" w:rsidRPr="00E50A7F">
        <w:rPr>
          <w:rFonts w:ascii="Verdana" w:hAnsi="Verdana"/>
          <w:color w:val="000000" w:themeColor="text1"/>
          <w:sz w:val="20"/>
          <w:szCs w:val="20"/>
        </w:rPr>
        <w:t xml:space="preserve"> la medida acordada en el punto resolutivo decimotercero relativa a las garantías adecuadas para el retorno a “sus comunidades de origen”, el Tribunal considera que, efectivamente, procede realizar una aclaración al respecto. Así, el Tribunal observa que el referido punto resolutivo decimotercero de la Sentencia indica que dicha medida “deberá implementarse en los términos del párrafo 153 de la presente Sentencia”.</w:t>
      </w:r>
      <w:r w:rsidR="004B3279" w:rsidRPr="00E50A7F">
        <w:rPr>
          <w:rFonts w:ascii="Verdana" w:hAnsi="Verdana"/>
          <w:color w:val="000000" w:themeColor="text1"/>
          <w:sz w:val="20"/>
          <w:szCs w:val="20"/>
        </w:rPr>
        <w:t xml:space="preserve"> El citado párrafo 153 señala</w:t>
      </w:r>
      <w:r w:rsidR="00997956">
        <w:rPr>
          <w:rFonts w:ascii="Verdana" w:hAnsi="Verdana"/>
          <w:color w:val="000000" w:themeColor="text1"/>
          <w:sz w:val="20"/>
          <w:szCs w:val="20"/>
        </w:rPr>
        <w:t xml:space="preserve"> </w:t>
      </w:r>
      <w:r w:rsidR="004B3279" w:rsidRPr="00E50A7F">
        <w:rPr>
          <w:rFonts w:ascii="Verdana" w:hAnsi="Verdana"/>
          <w:color w:val="000000" w:themeColor="text1"/>
          <w:sz w:val="20"/>
          <w:szCs w:val="20"/>
        </w:rPr>
        <w:t>que el Estado no desplegó “alegatos ni prueba específica que acredit[ara] que actualmente exist[ían] las garantías necesarias para que [las 49 víctimas de desplazamiento forzado del presente caso] pud</w:t>
      </w:r>
      <w:r w:rsidR="004204CB" w:rsidRPr="00E50A7F">
        <w:rPr>
          <w:rFonts w:ascii="Verdana" w:hAnsi="Verdana"/>
          <w:color w:val="000000" w:themeColor="text1"/>
          <w:sz w:val="20"/>
          <w:szCs w:val="20"/>
        </w:rPr>
        <w:t>[ieran]</w:t>
      </w:r>
      <w:r w:rsidR="004B3279" w:rsidRPr="00E50A7F">
        <w:rPr>
          <w:rFonts w:ascii="Verdana" w:hAnsi="Verdana"/>
          <w:color w:val="000000" w:themeColor="text1"/>
          <w:sz w:val="20"/>
          <w:szCs w:val="20"/>
        </w:rPr>
        <w:t xml:space="preserve"> retornar a la aldea</w:t>
      </w:r>
      <w:r w:rsidR="005F3243" w:rsidRPr="00E50A7F">
        <w:rPr>
          <w:rFonts w:ascii="Verdana" w:hAnsi="Verdana"/>
          <w:color w:val="000000" w:themeColor="text1"/>
          <w:sz w:val="20"/>
          <w:szCs w:val="20"/>
        </w:rPr>
        <w:t xml:space="preserve"> [los Josefinos]</w:t>
      </w:r>
      <w:r w:rsidR="004B3279" w:rsidRPr="00E50A7F">
        <w:rPr>
          <w:rFonts w:ascii="Verdana" w:hAnsi="Verdana"/>
          <w:color w:val="000000" w:themeColor="text1"/>
          <w:sz w:val="20"/>
          <w:szCs w:val="20"/>
        </w:rPr>
        <w:t xml:space="preserve">, si así lo desearan”. </w:t>
      </w:r>
      <w:bookmarkStart w:id="4" w:name="_Hlk109801615"/>
      <w:r w:rsidR="004B3279" w:rsidRPr="00E50A7F">
        <w:rPr>
          <w:rFonts w:ascii="Verdana" w:hAnsi="Verdana"/>
          <w:color w:val="000000" w:themeColor="text1"/>
          <w:sz w:val="20"/>
          <w:szCs w:val="20"/>
        </w:rPr>
        <w:t>Si bien</w:t>
      </w:r>
      <w:r w:rsidR="004204CB" w:rsidRPr="00E50A7F">
        <w:rPr>
          <w:rFonts w:ascii="Verdana" w:hAnsi="Verdana"/>
          <w:color w:val="000000" w:themeColor="text1"/>
          <w:sz w:val="20"/>
          <w:szCs w:val="20"/>
        </w:rPr>
        <w:t xml:space="preserve"> </w:t>
      </w:r>
      <w:r w:rsidR="004B3279" w:rsidRPr="00E50A7F">
        <w:rPr>
          <w:rFonts w:ascii="Verdana" w:hAnsi="Verdana"/>
          <w:color w:val="000000" w:themeColor="text1"/>
          <w:sz w:val="20"/>
          <w:szCs w:val="20"/>
        </w:rPr>
        <w:t>el Tribunal orden</w:t>
      </w:r>
      <w:r w:rsidR="004204CB" w:rsidRPr="00E50A7F">
        <w:rPr>
          <w:rFonts w:ascii="Verdana" w:hAnsi="Verdana"/>
          <w:color w:val="000000" w:themeColor="text1"/>
          <w:sz w:val="20"/>
          <w:szCs w:val="20"/>
        </w:rPr>
        <w:t>ó</w:t>
      </w:r>
      <w:r w:rsidR="004B3279" w:rsidRPr="00E50A7F">
        <w:rPr>
          <w:rFonts w:ascii="Verdana" w:hAnsi="Verdana"/>
          <w:color w:val="000000" w:themeColor="text1"/>
          <w:sz w:val="20"/>
          <w:szCs w:val="20"/>
        </w:rPr>
        <w:t xml:space="preserve"> que el Estado garantice las condiciones adecuadas para que las personas que permanecen desplazadas puedan retornar a sus “comunidades de origen”, esta Corte considera que una interpretación armónica </w:t>
      </w:r>
      <w:r w:rsidR="00FD56E3" w:rsidRPr="00E50A7F">
        <w:rPr>
          <w:rFonts w:ascii="Verdana" w:hAnsi="Verdana"/>
          <w:color w:val="000000" w:themeColor="text1"/>
          <w:sz w:val="20"/>
          <w:szCs w:val="20"/>
        </w:rPr>
        <w:t xml:space="preserve">e integral </w:t>
      </w:r>
      <w:r w:rsidR="004B3279" w:rsidRPr="00E50A7F">
        <w:rPr>
          <w:rFonts w:ascii="Verdana" w:hAnsi="Verdana"/>
          <w:color w:val="000000" w:themeColor="text1"/>
          <w:sz w:val="20"/>
          <w:szCs w:val="20"/>
        </w:rPr>
        <w:t>de dicha medida</w:t>
      </w:r>
      <w:r w:rsidR="001E2757" w:rsidRPr="00E50A7F">
        <w:rPr>
          <w:rFonts w:ascii="Verdana" w:hAnsi="Verdana"/>
          <w:color w:val="000000" w:themeColor="text1"/>
          <w:sz w:val="20"/>
          <w:szCs w:val="20"/>
        </w:rPr>
        <w:t xml:space="preserve"> conlleva a concluir que la comunidad de origen a las que se hace referencia es, específicamente, la Aldea los Josefinos.</w:t>
      </w:r>
      <w:bookmarkEnd w:id="4"/>
      <w:r w:rsidR="001E2757" w:rsidRPr="00E50A7F">
        <w:rPr>
          <w:rFonts w:ascii="Verdana" w:hAnsi="Verdana"/>
          <w:color w:val="000000" w:themeColor="text1"/>
          <w:sz w:val="20"/>
          <w:szCs w:val="20"/>
        </w:rPr>
        <w:t xml:space="preserve"> Además, el Tribunal aclara que las víctimas tienen un plazo de seis meses, contados a partir de la notificación de la presente Sentencia</w:t>
      </w:r>
      <w:r w:rsidR="00997956">
        <w:rPr>
          <w:rFonts w:ascii="Verdana" w:hAnsi="Verdana"/>
          <w:color w:val="000000" w:themeColor="text1"/>
          <w:sz w:val="20"/>
          <w:szCs w:val="20"/>
        </w:rPr>
        <w:t xml:space="preserve"> de Interpretación</w:t>
      </w:r>
      <w:r w:rsidR="001E2757" w:rsidRPr="00E50A7F">
        <w:rPr>
          <w:rFonts w:ascii="Verdana" w:hAnsi="Verdana"/>
          <w:color w:val="000000" w:themeColor="text1"/>
          <w:sz w:val="20"/>
          <w:szCs w:val="20"/>
        </w:rPr>
        <w:t xml:space="preserve">, para manifestar </w:t>
      </w:r>
      <w:r w:rsidR="00A53CCD" w:rsidRPr="00E50A7F">
        <w:rPr>
          <w:rFonts w:ascii="Verdana" w:hAnsi="Verdana"/>
          <w:color w:val="000000" w:themeColor="text1"/>
          <w:sz w:val="20"/>
          <w:szCs w:val="20"/>
        </w:rPr>
        <w:t xml:space="preserve">al Estado </w:t>
      </w:r>
      <w:r w:rsidR="001E2757" w:rsidRPr="00E50A7F">
        <w:rPr>
          <w:rFonts w:ascii="Verdana" w:hAnsi="Verdana"/>
          <w:color w:val="000000" w:themeColor="text1"/>
          <w:sz w:val="20"/>
          <w:szCs w:val="20"/>
        </w:rPr>
        <w:t xml:space="preserve">su voluntad de </w:t>
      </w:r>
      <w:r w:rsidR="00A53CCD" w:rsidRPr="00E50A7F">
        <w:rPr>
          <w:rFonts w:ascii="Verdana" w:hAnsi="Verdana"/>
          <w:color w:val="000000" w:themeColor="text1"/>
          <w:sz w:val="20"/>
          <w:szCs w:val="20"/>
        </w:rPr>
        <w:t>retornar</w:t>
      </w:r>
      <w:r w:rsidR="001E2757" w:rsidRPr="00E50A7F">
        <w:rPr>
          <w:rFonts w:ascii="Verdana" w:hAnsi="Verdana"/>
          <w:color w:val="000000" w:themeColor="text1"/>
          <w:sz w:val="20"/>
          <w:szCs w:val="20"/>
        </w:rPr>
        <w:t xml:space="preserve"> a la Aldea los Josefinos, en caso de que así lo desearan.</w:t>
      </w:r>
    </w:p>
    <w:p w14:paraId="58140DD0" w14:textId="77777777" w:rsidR="003A673A" w:rsidRPr="00E50A7F" w:rsidRDefault="003A673A" w:rsidP="004B3279">
      <w:pPr>
        <w:pStyle w:val="Prrafodelista"/>
        <w:spacing w:after="0" w:line="240" w:lineRule="auto"/>
        <w:ind w:left="0"/>
        <w:jc w:val="both"/>
        <w:rPr>
          <w:rFonts w:ascii="Verdana" w:hAnsi="Verdana"/>
          <w:color w:val="000000" w:themeColor="text1"/>
          <w:sz w:val="20"/>
          <w:szCs w:val="20"/>
        </w:rPr>
      </w:pPr>
    </w:p>
    <w:p w14:paraId="3A970DD5" w14:textId="77777777" w:rsidR="001E2757" w:rsidRPr="00E50A7F" w:rsidRDefault="001E2757" w:rsidP="00CF1F29">
      <w:pPr>
        <w:pStyle w:val="Prrafodelista"/>
        <w:numPr>
          <w:ilvl w:val="0"/>
          <w:numId w:val="1"/>
        </w:numPr>
        <w:spacing w:after="0" w:line="240" w:lineRule="auto"/>
        <w:ind w:left="0" w:firstLine="0"/>
        <w:jc w:val="both"/>
        <w:rPr>
          <w:rFonts w:ascii="Verdana" w:hAnsi="Verdana"/>
          <w:color w:val="000000" w:themeColor="text1"/>
          <w:sz w:val="20"/>
          <w:szCs w:val="20"/>
        </w:rPr>
      </w:pPr>
      <w:r w:rsidRPr="00E50A7F">
        <w:rPr>
          <w:rFonts w:ascii="Verdana" w:hAnsi="Verdana"/>
          <w:color w:val="000000" w:themeColor="text1"/>
          <w:sz w:val="20"/>
          <w:szCs w:val="20"/>
        </w:rPr>
        <w:t>Por otro lado, en relación con la modalidad de deducción de los pagos ya efectuados en el marco del Acuerdo de Solución Amistosa del año 2007, el Tribunal advierte que el párrafo 177 de la Sentencia indicó lo siguiente:</w:t>
      </w:r>
    </w:p>
    <w:p w14:paraId="4FFA8470" w14:textId="77777777" w:rsidR="001E2757" w:rsidRPr="00E50A7F" w:rsidRDefault="001E2757" w:rsidP="001E2757">
      <w:pPr>
        <w:pStyle w:val="Prrafodelista"/>
        <w:rPr>
          <w:rFonts w:ascii="Verdana" w:hAnsi="Verdana"/>
          <w:color w:val="000000" w:themeColor="text1"/>
          <w:sz w:val="20"/>
          <w:szCs w:val="20"/>
        </w:rPr>
      </w:pPr>
    </w:p>
    <w:p w14:paraId="62C673FC" w14:textId="5FA84DE4" w:rsidR="00710618" w:rsidRPr="00E50A7F" w:rsidRDefault="001E2757" w:rsidP="001E2757">
      <w:pPr>
        <w:pStyle w:val="Prrafodelista"/>
        <w:spacing w:after="0" w:line="240" w:lineRule="auto"/>
        <w:ind w:left="567" w:right="674"/>
        <w:jc w:val="both"/>
        <w:rPr>
          <w:rFonts w:ascii="Verdana" w:hAnsi="Verdana"/>
          <w:color w:val="000000" w:themeColor="text1"/>
          <w:sz w:val="18"/>
          <w:szCs w:val="18"/>
        </w:rPr>
      </w:pPr>
      <w:r w:rsidRPr="00E50A7F">
        <w:rPr>
          <w:rFonts w:ascii="Verdana" w:hAnsi="Verdana"/>
          <w:color w:val="000000" w:themeColor="text1"/>
          <w:sz w:val="18"/>
          <w:szCs w:val="18"/>
        </w:rPr>
        <w:t>177. Los montos que ya hayan sido entregados a víctimas del presente caso a nivel interno deben ser reconocidos como parte de la reparación debida a éstas y descontado de las cantidades que fije el Tribunal en esta Sentencia por concepto de indemnización. Corresponde al Estado, en la etapa de supervisión del presente caso, comprobar la entrega efectiva de los montos dispuestos mediante dicho programa.</w:t>
      </w:r>
    </w:p>
    <w:p w14:paraId="78323CA9" w14:textId="77777777" w:rsidR="001E2757" w:rsidRPr="00E50A7F" w:rsidRDefault="001E2757" w:rsidP="001E2757">
      <w:pPr>
        <w:pStyle w:val="Prrafodelista"/>
        <w:spacing w:after="0" w:line="240" w:lineRule="auto"/>
        <w:jc w:val="both"/>
        <w:rPr>
          <w:rFonts w:ascii="Verdana" w:hAnsi="Verdana"/>
          <w:color w:val="000000" w:themeColor="text1"/>
          <w:sz w:val="20"/>
          <w:szCs w:val="20"/>
        </w:rPr>
      </w:pPr>
    </w:p>
    <w:p w14:paraId="11E9BD0F" w14:textId="59C7F819" w:rsidR="00A53CCD" w:rsidRPr="00E50A7F" w:rsidRDefault="00A53CCD" w:rsidP="00A53CCD">
      <w:pPr>
        <w:pStyle w:val="Prrafodelista"/>
        <w:numPr>
          <w:ilvl w:val="0"/>
          <w:numId w:val="1"/>
        </w:numPr>
        <w:spacing w:after="0" w:line="240" w:lineRule="auto"/>
        <w:ind w:left="0" w:firstLine="0"/>
        <w:jc w:val="both"/>
        <w:rPr>
          <w:rFonts w:ascii="Verdana" w:hAnsi="Verdana"/>
          <w:color w:val="000000" w:themeColor="text1"/>
          <w:sz w:val="20"/>
          <w:szCs w:val="20"/>
        </w:rPr>
      </w:pPr>
      <w:bookmarkStart w:id="5" w:name="_Hlk109801667"/>
      <w:r w:rsidRPr="00E50A7F">
        <w:rPr>
          <w:rFonts w:ascii="Verdana" w:hAnsi="Verdana"/>
          <w:color w:val="000000" w:themeColor="text1"/>
          <w:sz w:val="20"/>
          <w:szCs w:val="20"/>
        </w:rPr>
        <w:t xml:space="preserve">El Tribunal </w:t>
      </w:r>
      <w:r w:rsidR="00FD56E3" w:rsidRPr="00E50A7F">
        <w:rPr>
          <w:rFonts w:ascii="Verdana" w:hAnsi="Verdana"/>
          <w:color w:val="000000" w:themeColor="text1"/>
          <w:sz w:val="20"/>
          <w:szCs w:val="20"/>
        </w:rPr>
        <w:t xml:space="preserve">considera pertinente </w:t>
      </w:r>
      <w:r w:rsidRPr="00E50A7F">
        <w:rPr>
          <w:rFonts w:ascii="Verdana" w:hAnsi="Verdana"/>
          <w:color w:val="000000" w:themeColor="text1"/>
          <w:sz w:val="20"/>
          <w:szCs w:val="20"/>
        </w:rPr>
        <w:t>aclara</w:t>
      </w:r>
      <w:r w:rsidR="00FD56E3" w:rsidRPr="00E50A7F">
        <w:rPr>
          <w:rFonts w:ascii="Verdana" w:hAnsi="Verdana"/>
          <w:color w:val="000000" w:themeColor="text1"/>
          <w:sz w:val="20"/>
          <w:szCs w:val="20"/>
        </w:rPr>
        <w:t>r</w:t>
      </w:r>
      <w:r w:rsidRPr="00E50A7F">
        <w:rPr>
          <w:rFonts w:ascii="Verdana" w:hAnsi="Verdana"/>
          <w:color w:val="000000" w:themeColor="text1"/>
          <w:sz w:val="20"/>
          <w:szCs w:val="20"/>
        </w:rPr>
        <w:t xml:space="preserve"> que los pagos ya realizados a la persona representante del grupo familiar en el marco del Acuerdo de Solución Amistosa </w:t>
      </w:r>
      <w:r w:rsidR="004204CB" w:rsidRPr="00E50A7F">
        <w:rPr>
          <w:rFonts w:ascii="Verdana" w:hAnsi="Verdana"/>
          <w:color w:val="000000" w:themeColor="text1"/>
          <w:sz w:val="20"/>
          <w:szCs w:val="20"/>
        </w:rPr>
        <w:t xml:space="preserve">del año 2007 </w:t>
      </w:r>
      <w:r w:rsidRPr="00E50A7F">
        <w:rPr>
          <w:rFonts w:ascii="Verdana" w:hAnsi="Verdana"/>
          <w:color w:val="000000" w:themeColor="text1"/>
          <w:sz w:val="20"/>
          <w:szCs w:val="20"/>
        </w:rPr>
        <w:t xml:space="preserve">serán asumidos por la persona que efectivamente recibió el pago en calidad de representante del núcleo familiar. </w:t>
      </w:r>
    </w:p>
    <w:bookmarkEnd w:id="5"/>
    <w:p w14:paraId="4F221C08" w14:textId="77777777" w:rsidR="00A53CCD" w:rsidRPr="00E50A7F" w:rsidRDefault="00A53CCD" w:rsidP="003A4B36">
      <w:pPr>
        <w:autoSpaceDE w:val="0"/>
        <w:autoSpaceDN w:val="0"/>
        <w:adjustRightInd w:val="0"/>
        <w:spacing w:after="0" w:line="240" w:lineRule="auto"/>
        <w:rPr>
          <w:rFonts w:ascii="Verdana" w:hAnsi="Verdana"/>
          <w:color w:val="000000" w:themeColor="text1"/>
          <w:sz w:val="20"/>
          <w:szCs w:val="20"/>
        </w:rPr>
      </w:pPr>
    </w:p>
    <w:p w14:paraId="127A178D" w14:textId="38DD3EC4" w:rsidR="003A4B36" w:rsidRPr="00E50A7F" w:rsidRDefault="002A5974" w:rsidP="003A4B36">
      <w:pPr>
        <w:pStyle w:val="Prrafodelista"/>
        <w:numPr>
          <w:ilvl w:val="0"/>
          <w:numId w:val="1"/>
        </w:numPr>
        <w:spacing w:after="0" w:line="240" w:lineRule="auto"/>
        <w:ind w:left="0" w:firstLine="0"/>
        <w:jc w:val="both"/>
        <w:rPr>
          <w:rFonts w:ascii="Verdana" w:hAnsi="Verdana" w:cs="Arial"/>
          <w:color w:val="000000" w:themeColor="text1"/>
          <w:sz w:val="20"/>
          <w:szCs w:val="20"/>
        </w:rPr>
      </w:pPr>
      <w:r w:rsidRPr="00E50A7F">
        <w:rPr>
          <w:rFonts w:ascii="Verdana" w:hAnsi="Verdana"/>
          <w:color w:val="000000" w:themeColor="text1"/>
          <w:sz w:val="20"/>
          <w:szCs w:val="20"/>
        </w:rPr>
        <w:t>Asimismo, e</w:t>
      </w:r>
      <w:r w:rsidR="00FD56E3" w:rsidRPr="00E50A7F">
        <w:rPr>
          <w:rFonts w:ascii="Verdana" w:hAnsi="Verdana"/>
          <w:color w:val="000000" w:themeColor="text1"/>
          <w:sz w:val="20"/>
          <w:szCs w:val="20"/>
        </w:rPr>
        <w:t>n caso de que esta persona hubiera fallecido, a la cantidad que le corresponde a esta víctima se le realizará la deducción que eventualmente corresponda conforme al criterio indicado en el párrafo anterior</w:t>
      </w:r>
      <w:r w:rsidRPr="00E50A7F">
        <w:rPr>
          <w:rFonts w:ascii="Verdana" w:hAnsi="Verdana"/>
          <w:color w:val="000000" w:themeColor="text1"/>
          <w:sz w:val="20"/>
          <w:szCs w:val="20"/>
        </w:rPr>
        <w:t xml:space="preserve">, esto es, le será deducido todo pago </w:t>
      </w:r>
      <w:r w:rsidR="00615705" w:rsidRPr="00E50A7F">
        <w:rPr>
          <w:rFonts w:ascii="Verdana" w:hAnsi="Verdana"/>
          <w:color w:val="000000" w:themeColor="text1"/>
          <w:sz w:val="20"/>
          <w:szCs w:val="20"/>
        </w:rPr>
        <w:t>realizado</w:t>
      </w:r>
      <w:r w:rsidRPr="00E50A7F">
        <w:rPr>
          <w:rFonts w:ascii="Verdana" w:hAnsi="Verdana"/>
          <w:color w:val="000000" w:themeColor="text1"/>
          <w:sz w:val="20"/>
          <w:szCs w:val="20"/>
        </w:rPr>
        <w:t xml:space="preserve"> en el pasado</w:t>
      </w:r>
      <w:r w:rsidR="00615705" w:rsidRPr="00E50A7F">
        <w:rPr>
          <w:rFonts w:ascii="Verdana" w:hAnsi="Verdana"/>
          <w:color w:val="000000" w:themeColor="text1"/>
          <w:sz w:val="20"/>
          <w:szCs w:val="20"/>
        </w:rPr>
        <w:t xml:space="preserve"> a dicha persona</w:t>
      </w:r>
      <w:r w:rsidRPr="00E50A7F">
        <w:rPr>
          <w:rFonts w:ascii="Verdana" w:hAnsi="Verdana"/>
          <w:color w:val="000000" w:themeColor="text1"/>
          <w:sz w:val="20"/>
          <w:szCs w:val="20"/>
        </w:rPr>
        <w:t xml:space="preserve"> en el marco del Acuerdo de Solución Amistosa del año 2007</w:t>
      </w:r>
      <w:r w:rsidR="00434EA5" w:rsidRPr="00E50A7F">
        <w:rPr>
          <w:rFonts w:ascii="Verdana" w:hAnsi="Verdana"/>
          <w:color w:val="000000" w:themeColor="text1"/>
          <w:sz w:val="20"/>
          <w:szCs w:val="20"/>
        </w:rPr>
        <w:t>.</w:t>
      </w:r>
      <w:r w:rsidRPr="00E50A7F">
        <w:rPr>
          <w:rFonts w:ascii="Verdana" w:hAnsi="Verdana"/>
          <w:color w:val="000000" w:themeColor="text1"/>
          <w:sz w:val="20"/>
          <w:szCs w:val="20"/>
        </w:rPr>
        <w:t xml:space="preserve"> Una vez realizada la referida deducción -en caso de que así proceda-, </w:t>
      </w:r>
      <w:r w:rsidR="00434EA5" w:rsidRPr="00E50A7F">
        <w:rPr>
          <w:rFonts w:ascii="Verdana" w:hAnsi="Verdana"/>
          <w:color w:val="000000" w:themeColor="text1"/>
          <w:sz w:val="20"/>
          <w:szCs w:val="20"/>
        </w:rPr>
        <w:t xml:space="preserve">la cantidad resultante se entregará, </w:t>
      </w:r>
      <w:r w:rsidR="00FD56E3" w:rsidRPr="00E50A7F">
        <w:rPr>
          <w:rFonts w:ascii="Verdana" w:hAnsi="Verdana"/>
          <w:color w:val="000000" w:themeColor="text1"/>
          <w:sz w:val="20"/>
          <w:szCs w:val="20"/>
        </w:rPr>
        <w:t xml:space="preserve">de conformidad con lo indicado en el párrafo 188 de la Sentencia, </w:t>
      </w:r>
      <w:r w:rsidR="00FD56E3" w:rsidRPr="00E50A7F">
        <w:rPr>
          <w:rFonts w:ascii="Verdana" w:hAnsi="Verdana" w:cs="Arial"/>
          <w:color w:val="000000" w:themeColor="text1"/>
          <w:sz w:val="20"/>
          <w:szCs w:val="20"/>
        </w:rPr>
        <w:t>directamente a sus derechohabientes, conforme al derecho interno aplicable</w:t>
      </w:r>
      <w:r w:rsidR="00FD56E3" w:rsidRPr="00E50A7F">
        <w:rPr>
          <w:rFonts w:ascii="Verdana" w:hAnsi="Verdana"/>
          <w:color w:val="000000" w:themeColor="text1"/>
          <w:sz w:val="20"/>
          <w:szCs w:val="20"/>
        </w:rPr>
        <w:t>.</w:t>
      </w:r>
    </w:p>
    <w:p w14:paraId="4AC023B7" w14:textId="77777777" w:rsidR="00A91FE9" w:rsidRPr="00E50A7F" w:rsidRDefault="00A91FE9" w:rsidP="003A4B36">
      <w:pPr>
        <w:pStyle w:val="Prrafodelista"/>
        <w:spacing w:after="0" w:line="240" w:lineRule="auto"/>
        <w:ind w:left="0"/>
        <w:jc w:val="both"/>
        <w:rPr>
          <w:rFonts w:ascii="Verdana" w:hAnsi="Verdana"/>
          <w:color w:val="000000" w:themeColor="text1"/>
          <w:sz w:val="20"/>
          <w:szCs w:val="20"/>
        </w:rPr>
      </w:pPr>
    </w:p>
    <w:p w14:paraId="699CA4A1" w14:textId="77777777" w:rsidR="00A03487" w:rsidRPr="00E50A7F" w:rsidRDefault="00A03487" w:rsidP="00A03487">
      <w:pPr>
        <w:spacing w:after="0" w:line="240" w:lineRule="auto"/>
        <w:jc w:val="center"/>
        <w:rPr>
          <w:rFonts w:ascii="Verdana" w:hAnsi="Verdana"/>
          <w:b/>
          <w:color w:val="000000" w:themeColor="text1"/>
          <w:sz w:val="20"/>
          <w:szCs w:val="20"/>
        </w:rPr>
      </w:pPr>
      <w:r w:rsidRPr="00E50A7F">
        <w:rPr>
          <w:rFonts w:ascii="Verdana" w:hAnsi="Verdana"/>
          <w:b/>
          <w:color w:val="000000" w:themeColor="text1"/>
          <w:sz w:val="20"/>
          <w:szCs w:val="20"/>
        </w:rPr>
        <w:t>V</w:t>
      </w:r>
    </w:p>
    <w:p w14:paraId="3964A050" w14:textId="77777777" w:rsidR="00A03487" w:rsidRPr="00E50A7F" w:rsidRDefault="00A03487" w:rsidP="00A03487">
      <w:pPr>
        <w:spacing w:after="0" w:line="240" w:lineRule="auto"/>
        <w:jc w:val="center"/>
        <w:rPr>
          <w:rFonts w:ascii="Verdana" w:hAnsi="Verdana"/>
          <w:b/>
          <w:color w:val="000000" w:themeColor="text1"/>
          <w:sz w:val="20"/>
          <w:szCs w:val="20"/>
        </w:rPr>
      </w:pPr>
      <w:r w:rsidRPr="00E50A7F">
        <w:rPr>
          <w:rFonts w:ascii="Verdana" w:hAnsi="Verdana"/>
          <w:b/>
          <w:color w:val="000000" w:themeColor="text1"/>
          <w:sz w:val="20"/>
          <w:szCs w:val="20"/>
        </w:rPr>
        <w:t>PUNTOS RESOLUTIVOS</w:t>
      </w:r>
    </w:p>
    <w:p w14:paraId="6466DF26" w14:textId="77777777" w:rsidR="00A03487" w:rsidRPr="00E50A7F" w:rsidRDefault="00A03487" w:rsidP="00A03487">
      <w:pPr>
        <w:spacing w:after="0" w:line="240" w:lineRule="auto"/>
        <w:rPr>
          <w:rFonts w:ascii="Verdana" w:hAnsi="Verdana"/>
          <w:color w:val="000000" w:themeColor="text1"/>
          <w:sz w:val="20"/>
          <w:szCs w:val="20"/>
        </w:rPr>
      </w:pPr>
    </w:p>
    <w:p w14:paraId="598B9696" w14:textId="77777777" w:rsidR="00A03487" w:rsidRPr="00E50A7F" w:rsidRDefault="00A03487" w:rsidP="006A044A">
      <w:pPr>
        <w:pStyle w:val="Prrafodelista"/>
        <w:numPr>
          <w:ilvl w:val="0"/>
          <w:numId w:val="1"/>
        </w:numPr>
        <w:spacing w:after="0" w:line="240" w:lineRule="auto"/>
        <w:ind w:left="0" w:firstLine="0"/>
        <w:jc w:val="both"/>
        <w:rPr>
          <w:rFonts w:ascii="Verdana" w:hAnsi="Verdana"/>
          <w:color w:val="000000" w:themeColor="text1"/>
          <w:sz w:val="20"/>
          <w:szCs w:val="20"/>
        </w:rPr>
      </w:pPr>
      <w:r w:rsidRPr="00E50A7F">
        <w:rPr>
          <w:rFonts w:ascii="Verdana" w:hAnsi="Verdana"/>
          <w:color w:val="000000" w:themeColor="text1"/>
          <w:sz w:val="20"/>
          <w:szCs w:val="20"/>
        </w:rPr>
        <w:t>Por tanto,</w:t>
      </w:r>
    </w:p>
    <w:p w14:paraId="5B1CD3E7" w14:textId="77777777" w:rsidR="00A03487" w:rsidRPr="00E50A7F" w:rsidRDefault="00A03487" w:rsidP="00A03487">
      <w:pPr>
        <w:spacing w:after="0" w:line="240" w:lineRule="auto"/>
        <w:rPr>
          <w:rFonts w:ascii="Verdana" w:hAnsi="Verdana"/>
          <w:color w:val="000000" w:themeColor="text1"/>
          <w:sz w:val="20"/>
          <w:szCs w:val="20"/>
        </w:rPr>
      </w:pPr>
    </w:p>
    <w:p w14:paraId="7BFA35D5" w14:textId="77777777" w:rsidR="00A03487" w:rsidRPr="00E50A7F" w:rsidRDefault="00A03487" w:rsidP="00A03487">
      <w:pPr>
        <w:spacing w:after="0" w:line="240" w:lineRule="auto"/>
        <w:rPr>
          <w:rFonts w:ascii="Verdana" w:hAnsi="Verdana"/>
          <w:b/>
          <w:color w:val="000000" w:themeColor="text1"/>
          <w:sz w:val="20"/>
          <w:szCs w:val="20"/>
        </w:rPr>
      </w:pPr>
      <w:r w:rsidRPr="00E50A7F">
        <w:rPr>
          <w:rFonts w:ascii="Verdana" w:hAnsi="Verdana"/>
          <w:b/>
          <w:color w:val="000000" w:themeColor="text1"/>
          <w:sz w:val="20"/>
          <w:szCs w:val="20"/>
        </w:rPr>
        <w:t xml:space="preserve">LA CORTE, </w:t>
      </w:r>
    </w:p>
    <w:p w14:paraId="48F02251" w14:textId="77777777" w:rsidR="00A03487" w:rsidRPr="00E50A7F" w:rsidRDefault="00A03487" w:rsidP="00A03487">
      <w:pPr>
        <w:spacing w:after="0" w:line="240" w:lineRule="auto"/>
        <w:rPr>
          <w:rFonts w:ascii="Verdana" w:hAnsi="Verdana"/>
          <w:b/>
          <w:color w:val="000000" w:themeColor="text1"/>
          <w:sz w:val="20"/>
          <w:szCs w:val="20"/>
        </w:rPr>
      </w:pPr>
    </w:p>
    <w:p w14:paraId="3F6153AB" w14:textId="77777777" w:rsidR="00A03487" w:rsidRPr="00E50A7F" w:rsidRDefault="00A03487" w:rsidP="00A03487">
      <w:pPr>
        <w:spacing w:after="0" w:line="240" w:lineRule="auto"/>
        <w:rPr>
          <w:rFonts w:ascii="Verdana" w:hAnsi="Verdana"/>
          <w:color w:val="000000" w:themeColor="text1"/>
          <w:sz w:val="20"/>
          <w:szCs w:val="20"/>
        </w:rPr>
      </w:pPr>
      <w:r w:rsidRPr="00E50A7F">
        <w:rPr>
          <w:rFonts w:ascii="Verdana" w:hAnsi="Verdana"/>
          <w:color w:val="000000" w:themeColor="text1"/>
          <w:sz w:val="20"/>
          <w:szCs w:val="20"/>
        </w:rPr>
        <w:t>de conformidad con el artículo 67 de la Convención Americana sobre Derechos Humanos y los artículos 31.3 y 68 del Reglamento,</w:t>
      </w:r>
    </w:p>
    <w:p w14:paraId="13D3A396" w14:textId="77777777" w:rsidR="00A03487" w:rsidRPr="00E50A7F" w:rsidRDefault="00A03487" w:rsidP="00A03487">
      <w:pPr>
        <w:spacing w:after="0" w:line="240" w:lineRule="auto"/>
        <w:rPr>
          <w:rFonts w:ascii="Verdana" w:hAnsi="Verdana"/>
          <w:color w:val="000000" w:themeColor="text1"/>
          <w:sz w:val="20"/>
          <w:szCs w:val="20"/>
        </w:rPr>
      </w:pPr>
    </w:p>
    <w:p w14:paraId="39376A83" w14:textId="77777777" w:rsidR="00A03487" w:rsidRPr="00E50A7F" w:rsidRDefault="00A03487" w:rsidP="00A03487">
      <w:pPr>
        <w:spacing w:after="0" w:line="240" w:lineRule="auto"/>
        <w:rPr>
          <w:rFonts w:ascii="Verdana" w:hAnsi="Verdana"/>
          <w:b/>
          <w:color w:val="000000" w:themeColor="text1"/>
          <w:sz w:val="20"/>
          <w:szCs w:val="20"/>
        </w:rPr>
      </w:pPr>
      <w:r w:rsidRPr="00E50A7F">
        <w:rPr>
          <w:rFonts w:ascii="Verdana" w:hAnsi="Verdana"/>
          <w:b/>
          <w:color w:val="000000" w:themeColor="text1"/>
          <w:sz w:val="20"/>
          <w:szCs w:val="20"/>
        </w:rPr>
        <w:t>DECIDE:</w:t>
      </w:r>
    </w:p>
    <w:p w14:paraId="1DFE0633" w14:textId="77777777" w:rsidR="00A03487" w:rsidRPr="00E50A7F" w:rsidRDefault="00A03487" w:rsidP="00A03487">
      <w:pPr>
        <w:spacing w:after="0" w:line="240" w:lineRule="auto"/>
        <w:rPr>
          <w:rFonts w:ascii="Verdana" w:hAnsi="Verdana"/>
          <w:b/>
          <w:color w:val="000000" w:themeColor="text1"/>
          <w:sz w:val="20"/>
          <w:szCs w:val="20"/>
        </w:rPr>
      </w:pPr>
    </w:p>
    <w:p w14:paraId="35408781" w14:textId="44585319" w:rsidR="00A03487" w:rsidRPr="00E50A7F" w:rsidRDefault="00A03487" w:rsidP="00A03487">
      <w:pPr>
        <w:spacing w:after="0" w:line="240" w:lineRule="auto"/>
        <w:rPr>
          <w:rFonts w:ascii="Verdana" w:hAnsi="Verdana"/>
          <w:color w:val="000000" w:themeColor="text1"/>
          <w:sz w:val="20"/>
          <w:szCs w:val="20"/>
        </w:rPr>
      </w:pPr>
      <w:r w:rsidRPr="00E50A7F">
        <w:rPr>
          <w:rFonts w:ascii="Verdana" w:hAnsi="Verdana"/>
          <w:color w:val="000000" w:themeColor="text1"/>
          <w:sz w:val="20"/>
          <w:szCs w:val="20"/>
        </w:rPr>
        <w:t xml:space="preserve">Por </w:t>
      </w:r>
      <w:r w:rsidR="006A4578">
        <w:rPr>
          <w:rFonts w:ascii="Verdana" w:hAnsi="Verdana"/>
          <w:color w:val="000000" w:themeColor="text1"/>
          <w:sz w:val="20"/>
          <w:szCs w:val="20"/>
        </w:rPr>
        <w:t>unanimidad</w:t>
      </w:r>
      <w:r w:rsidR="006A4578" w:rsidRPr="00E50A7F">
        <w:rPr>
          <w:rFonts w:ascii="Verdana" w:hAnsi="Verdana"/>
          <w:color w:val="000000" w:themeColor="text1"/>
          <w:sz w:val="20"/>
          <w:szCs w:val="20"/>
        </w:rPr>
        <w:t>,</w:t>
      </w:r>
    </w:p>
    <w:p w14:paraId="079B2374" w14:textId="77777777" w:rsidR="00A03487" w:rsidRPr="00E50A7F" w:rsidRDefault="00A03487" w:rsidP="00A03487">
      <w:pPr>
        <w:spacing w:after="0" w:line="240" w:lineRule="auto"/>
        <w:rPr>
          <w:rFonts w:ascii="Verdana" w:hAnsi="Verdana"/>
          <w:color w:val="000000" w:themeColor="text1"/>
          <w:sz w:val="20"/>
          <w:szCs w:val="20"/>
        </w:rPr>
      </w:pPr>
    </w:p>
    <w:p w14:paraId="78287C1E" w14:textId="6785C620" w:rsidR="00434EA5" w:rsidRPr="00E50A7F" w:rsidRDefault="00434EA5" w:rsidP="00434EA5">
      <w:pPr>
        <w:pStyle w:val="Prrafodelista"/>
        <w:numPr>
          <w:ilvl w:val="0"/>
          <w:numId w:val="3"/>
        </w:numPr>
        <w:spacing w:after="0" w:line="240" w:lineRule="auto"/>
        <w:ind w:left="0" w:firstLine="0"/>
        <w:jc w:val="both"/>
        <w:rPr>
          <w:rFonts w:ascii="Verdana" w:hAnsi="Verdana"/>
          <w:color w:val="000000" w:themeColor="text1"/>
          <w:sz w:val="20"/>
          <w:szCs w:val="20"/>
        </w:rPr>
      </w:pPr>
      <w:r w:rsidRPr="00E50A7F">
        <w:rPr>
          <w:rFonts w:ascii="Verdana" w:hAnsi="Verdana"/>
          <w:color w:val="000000" w:themeColor="text1"/>
          <w:sz w:val="20"/>
          <w:szCs w:val="20"/>
        </w:rPr>
        <w:t xml:space="preserve">Declarar admisible la solicitud de interpretación de la Sentencia de Excepción Preliminar, Fondo, Reparaciones y Costas emitida en el </w:t>
      </w:r>
      <w:r w:rsidRPr="00E50A7F">
        <w:rPr>
          <w:rFonts w:ascii="Verdana" w:hAnsi="Verdana"/>
          <w:i/>
          <w:iCs/>
          <w:color w:val="000000" w:themeColor="text1"/>
          <w:sz w:val="20"/>
          <w:szCs w:val="20"/>
        </w:rPr>
        <w:t>Caso Masacre de la Aldea Los Josefinos Vs. Guatemala</w:t>
      </w:r>
      <w:r w:rsidRPr="00E50A7F">
        <w:rPr>
          <w:rFonts w:ascii="Verdana" w:hAnsi="Verdana"/>
          <w:color w:val="000000" w:themeColor="text1"/>
          <w:sz w:val="20"/>
          <w:szCs w:val="20"/>
        </w:rPr>
        <w:t xml:space="preserve"> presentada por el Estado, en los términos del párrafo 8 de la presente Sentencia de Interpretación.</w:t>
      </w:r>
    </w:p>
    <w:p w14:paraId="786FB189" w14:textId="77777777" w:rsidR="00434EA5" w:rsidRPr="00E50A7F" w:rsidRDefault="00434EA5" w:rsidP="00434EA5">
      <w:pPr>
        <w:spacing w:after="0" w:line="240" w:lineRule="auto"/>
        <w:jc w:val="both"/>
        <w:rPr>
          <w:rFonts w:ascii="Verdana" w:hAnsi="Verdana"/>
          <w:color w:val="000000" w:themeColor="text1"/>
          <w:sz w:val="20"/>
          <w:szCs w:val="20"/>
        </w:rPr>
      </w:pPr>
    </w:p>
    <w:p w14:paraId="1BFA323B" w14:textId="120E9ACF" w:rsidR="00434EA5" w:rsidRPr="00E50A7F" w:rsidRDefault="00434EA5" w:rsidP="00434EA5">
      <w:pPr>
        <w:pStyle w:val="Prrafodelista"/>
        <w:numPr>
          <w:ilvl w:val="0"/>
          <w:numId w:val="3"/>
        </w:numPr>
        <w:spacing w:after="0" w:line="240" w:lineRule="auto"/>
        <w:ind w:left="0" w:firstLine="0"/>
        <w:jc w:val="both"/>
        <w:rPr>
          <w:rFonts w:ascii="Verdana" w:hAnsi="Verdana"/>
          <w:color w:val="000000" w:themeColor="text1"/>
          <w:sz w:val="20"/>
          <w:szCs w:val="20"/>
        </w:rPr>
      </w:pPr>
      <w:r w:rsidRPr="00E50A7F">
        <w:rPr>
          <w:rFonts w:ascii="Verdana" w:hAnsi="Verdana"/>
          <w:color w:val="000000" w:themeColor="text1"/>
          <w:sz w:val="20"/>
          <w:szCs w:val="20"/>
        </w:rPr>
        <w:t xml:space="preserve">Declarar admisible la solicitud de interpretación de la Sentencia de Excepción Preliminar, Fondo, Reparaciones y Costas emitida en el </w:t>
      </w:r>
      <w:r w:rsidRPr="00E50A7F">
        <w:rPr>
          <w:rFonts w:ascii="Verdana" w:hAnsi="Verdana"/>
          <w:i/>
          <w:iCs/>
          <w:color w:val="000000" w:themeColor="text1"/>
          <w:sz w:val="20"/>
          <w:szCs w:val="20"/>
        </w:rPr>
        <w:t>Caso Masacre de la Aldea Los Josefinos Vs. Guatemala</w:t>
      </w:r>
      <w:r w:rsidRPr="00E50A7F">
        <w:rPr>
          <w:rFonts w:ascii="Verdana" w:hAnsi="Verdana"/>
          <w:color w:val="000000" w:themeColor="text1"/>
          <w:sz w:val="20"/>
          <w:szCs w:val="20"/>
        </w:rPr>
        <w:t xml:space="preserve"> presentada por los representantes, en los términos del párrafo 8 de la presente Sentencia de Interpretación.</w:t>
      </w:r>
    </w:p>
    <w:p w14:paraId="3B60192B" w14:textId="77777777" w:rsidR="00434EA5" w:rsidRPr="00E50A7F" w:rsidRDefault="00434EA5" w:rsidP="00434EA5">
      <w:pPr>
        <w:spacing w:after="0" w:line="240" w:lineRule="auto"/>
        <w:jc w:val="both"/>
        <w:rPr>
          <w:rFonts w:ascii="Verdana" w:hAnsi="Verdana"/>
          <w:color w:val="000000" w:themeColor="text1"/>
          <w:sz w:val="20"/>
          <w:szCs w:val="20"/>
        </w:rPr>
      </w:pPr>
    </w:p>
    <w:p w14:paraId="6D1CEFE4" w14:textId="75F6C8CB" w:rsidR="00B22E3D" w:rsidRPr="00E50A7F" w:rsidRDefault="00434EA5" w:rsidP="00434EA5">
      <w:pPr>
        <w:pStyle w:val="Prrafodelista"/>
        <w:numPr>
          <w:ilvl w:val="0"/>
          <w:numId w:val="3"/>
        </w:numPr>
        <w:spacing w:after="0" w:line="240" w:lineRule="auto"/>
        <w:ind w:left="0" w:firstLine="0"/>
        <w:jc w:val="both"/>
        <w:rPr>
          <w:rFonts w:ascii="Verdana" w:hAnsi="Verdana"/>
          <w:color w:val="000000" w:themeColor="text1"/>
          <w:sz w:val="20"/>
          <w:szCs w:val="20"/>
        </w:rPr>
      </w:pPr>
      <w:r w:rsidRPr="00E50A7F">
        <w:rPr>
          <w:rFonts w:ascii="Verdana" w:hAnsi="Verdana"/>
          <w:color w:val="000000" w:themeColor="text1"/>
          <w:sz w:val="20"/>
          <w:szCs w:val="20"/>
        </w:rPr>
        <w:t xml:space="preserve">Desestimar por improcedente la solicitud de interpretación de la Sentencia de Excepción Preliminar, Fondo, Reparaciones y Costas emitida en el </w:t>
      </w:r>
      <w:r w:rsidRPr="00E50A7F">
        <w:rPr>
          <w:rFonts w:ascii="Verdana" w:hAnsi="Verdana"/>
          <w:i/>
          <w:iCs/>
          <w:color w:val="000000" w:themeColor="text1"/>
          <w:sz w:val="20"/>
          <w:szCs w:val="20"/>
        </w:rPr>
        <w:t>Caso Masacre de la Aldea Los Josefinos Vs. Guatemala</w:t>
      </w:r>
      <w:r w:rsidR="004204CB" w:rsidRPr="00E50A7F">
        <w:rPr>
          <w:rFonts w:ascii="Verdana" w:hAnsi="Verdana"/>
          <w:color w:val="000000" w:themeColor="text1"/>
          <w:sz w:val="20"/>
          <w:szCs w:val="20"/>
        </w:rPr>
        <w:t xml:space="preserve"> </w:t>
      </w:r>
      <w:r w:rsidRPr="00E50A7F">
        <w:rPr>
          <w:rFonts w:ascii="Verdana" w:hAnsi="Verdana"/>
          <w:color w:val="000000" w:themeColor="text1"/>
          <w:sz w:val="20"/>
          <w:szCs w:val="20"/>
        </w:rPr>
        <w:t>presentada por el Estado, en los términos de los párrafos 16 a 19 de la presente Sentencia de Interpretación.</w:t>
      </w:r>
    </w:p>
    <w:p w14:paraId="054C305B" w14:textId="77777777" w:rsidR="00434EA5" w:rsidRPr="00E50A7F" w:rsidRDefault="00434EA5" w:rsidP="00434EA5">
      <w:pPr>
        <w:pStyle w:val="Prrafodelista"/>
        <w:spacing w:after="0" w:line="240" w:lineRule="auto"/>
        <w:ind w:left="0"/>
        <w:jc w:val="both"/>
        <w:rPr>
          <w:rFonts w:ascii="Verdana" w:hAnsi="Verdana"/>
          <w:color w:val="000000" w:themeColor="text1"/>
          <w:sz w:val="20"/>
          <w:szCs w:val="20"/>
        </w:rPr>
      </w:pPr>
    </w:p>
    <w:p w14:paraId="0A2BFA10" w14:textId="663B23CC" w:rsidR="00522A34" w:rsidRPr="00E50A7F" w:rsidRDefault="00522A34" w:rsidP="00522A34">
      <w:pPr>
        <w:pStyle w:val="Prrafodelista"/>
        <w:numPr>
          <w:ilvl w:val="0"/>
          <w:numId w:val="3"/>
        </w:numPr>
        <w:spacing w:after="0" w:line="240" w:lineRule="auto"/>
        <w:ind w:left="0" w:firstLine="0"/>
        <w:jc w:val="both"/>
        <w:rPr>
          <w:rFonts w:ascii="Verdana" w:hAnsi="Verdana"/>
          <w:color w:val="000000" w:themeColor="text1"/>
          <w:sz w:val="20"/>
          <w:szCs w:val="20"/>
        </w:rPr>
      </w:pPr>
      <w:r w:rsidRPr="00E50A7F">
        <w:rPr>
          <w:rFonts w:ascii="Verdana" w:hAnsi="Verdana"/>
          <w:color w:val="000000" w:themeColor="text1"/>
          <w:sz w:val="20"/>
          <w:szCs w:val="20"/>
        </w:rPr>
        <w:t xml:space="preserve">Aclarar por medio de interpretación la </w:t>
      </w:r>
      <w:r w:rsidR="00434EA5" w:rsidRPr="00E50A7F">
        <w:rPr>
          <w:rFonts w:ascii="Verdana" w:hAnsi="Verdana"/>
          <w:color w:val="000000" w:themeColor="text1"/>
          <w:sz w:val="20"/>
          <w:szCs w:val="20"/>
        </w:rPr>
        <w:t xml:space="preserve">Sentencia de Excepción Preliminar, Fondo, Reparaciones y Costas emitida en el </w:t>
      </w:r>
      <w:r w:rsidR="00434EA5" w:rsidRPr="00E50A7F">
        <w:rPr>
          <w:rFonts w:ascii="Verdana" w:hAnsi="Verdana"/>
          <w:i/>
          <w:iCs/>
          <w:color w:val="000000" w:themeColor="text1"/>
          <w:sz w:val="20"/>
          <w:szCs w:val="20"/>
        </w:rPr>
        <w:t>Caso Masacre de la Aldea Los Josefinos Vs. Guatemala</w:t>
      </w:r>
      <w:r w:rsidRPr="00E50A7F">
        <w:rPr>
          <w:rFonts w:ascii="Verdana" w:hAnsi="Verdana"/>
          <w:color w:val="000000" w:themeColor="text1"/>
          <w:sz w:val="20"/>
          <w:szCs w:val="20"/>
        </w:rPr>
        <w:t>, en los términos de</w:t>
      </w:r>
      <w:r w:rsidR="00B22E3D" w:rsidRPr="00E50A7F">
        <w:rPr>
          <w:rFonts w:ascii="Verdana" w:hAnsi="Verdana"/>
          <w:color w:val="000000" w:themeColor="text1"/>
          <w:sz w:val="20"/>
          <w:szCs w:val="20"/>
        </w:rPr>
        <w:t xml:space="preserve"> </w:t>
      </w:r>
      <w:r w:rsidRPr="00E50A7F">
        <w:rPr>
          <w:rFonts w:ascii="Verdana" w:hAnsi="Verdana"/>
          <w:color w:val="000000" w:themeColor="text1"/>
          <w:sz w:val="20"/>
          <w:szCs w:val="20"/>
        </w:rPr>
        <w:t>l</w:t>
      </w:r>
      <w:r w:rsidR="00B22E3D" w:rsidRPr="00E50A7F">
        <w:rPr>
          <w:rFonts w:ascii="Verdana" w:hAnsi="Verdana"/>
          <w:color w:val="000000" w:themeColor="text1"/>
          <w:sz w:val="20"/>
          <w:szCs w:val="20"/>
        </w:rPr>
        <w:t>os</w:t>
      </w:r>
      <w:r w:rsidRPr="00E50A7F">
        <w:rPr>
          <w:rFonts w:ascii="Verdana" w:hAnsi="Verdana"/>
          <w:color w:val="000000" w:themeColor="text1"/>
          <w:sz w:val="20"/>
          <w:szCs w:val="20"/>
        </w:rPr>
        <w:t xml:space="preserve"> párrafo</w:t>
      </w:r>
      <w:r w:rsidR="00B22E3D" w:rsidRPr="00E50A7F">
        <w:rPr>
          <w:rFonts w:ascii="Verdana" w:hAnsi="Verdana"/>
          <w:color w:val="000000" w:themeColor="text1"/>
          <w:sz w:val="20"/>
          <w:szCs w:val="20"/>
        </w:rPr>
        <w:t>s</w:t>
      </w:r>
      <w:r w:rsidRPr="00E50A7F">
        <w:rPr>
          <w:rFonts w:ascii="Verdana" w:hAnsi="Verdana"/>
          <w:color w:val="000000" w:themeColor="text1"/>
          <w:sz w:val="20"/>
          <w:szCs w:val="20"/>
        </w:rPr>
        <w:t xml:space="preserve"> </w:t>
      </w:r>
      <w:r w:rsidR="00434EA5" w:rsidRPr="00E50A7F">
        <w:rPr>
          <w:rFonts w:ascii="Verdana" w:hAnsi="Verdana"/>
          <w:color w:val="000000" w:themeColor="text1"/>
          <w:sz w:val="20"/>
          <w:szCs w:val="20"/>
        </w:rPr>
        <w:t>24</w:t>
      </w:r>
      <w:r w:rsidRPr="00E50A7F">
        <w:rPr>
          <w:rFonts w:ascii="Verdana" w:hAnsi="Verdana"/>
          <w:color w:val="000000" w:themeColor="text1"/>
          <w:sz w:val="20"/>
          <w:szCs w:val="20"/>
        </w:rPr>
        <w:t xml:space="preserve"> </w:t>
      </w:r>
      <w:r w:rsidR="00434EA5" w:rsidRPr="00E50A7F">
        <w:rPr>
          <w:rFonts w:ascii="Verdana" w:hAnsi="Verdana"/>
          <w:color w:val="000000" w:themeColor="text1"/>
          <w:sz w:val="20"/>
          <w:szCs w:val="20"/>
        </w:rPr>
        <w:t>a 27</w:t>
      </w:r>
      <w:r w:rsidR="003314C4" w:rsidRPr="00E50A7F">
        <w:rPr>
          <w:rFonts w:ascii="Verdana" w:hAnsi="Verdana"/>
          <w:color w:val="000000" w:themeColor="text1"/>
          <w:sz w:val="20"/>
          <w:szCs w:val="20"/>
        </w:rPr>
        <w:t xml:space="preserve"> de la presente Sentencia de Interpretación</w:t>
      </w:r>
      <w:r w:rsidR="00DD6E9C" w:rsidRPr="00E50A7F">
        <w:rPr>
          <w:rFonts w:ascii="Verdana" w:hAnsi="Verdana"/>
          <w:color w:val="000000" w:themeColor="text1"/>
          <w:sz w:val="20"/>
          <w:szCs w:val="20"/>
        </w:rPr>
        <w:t>.</w:t>
      </w:r>
      <w:r w:rsidRPr="00E50A7F">
        <w:rPr>
          <w:rFonts w:ascii="Verdana" w:hAnsi="Verdana"/>
          <w:color w:val="000000" w:themeColor="text1"/>
          <w:sz w:val="20"/>
          <w:szCs w:val="20"/>
        </w:rPr>
        <w:t xml:space="preserve"> </w:t>
      </w:r>
    </w:p>
    <w:p w14:paraId="5424F195" w14:textId="77777777" w:rsidR="00522A34" w:rsidRPr="00E50A7F" w:rsidRDefault="00522A34" w:rsidP="00522A34">
      <w:pPr>
        <w:pStyle w:val="Prrafodelista"/>
        <w:spacing w:after="0" w:line="240" w:lineRule="auto"/>
        <w:ind w:left="0"/>
        <w:jc w:val="both"/>
        <w:rPr>
          <w:rFonts w:ascii="Verdana" w:hAnsi="Verdana"/>
          <w:color w:val="000000" w:themeColor="text1"/>
          <w:sz w:val="20"/>
          <w:szCs w:val="20"/>
        </w:rPr>
      </w:pPr>
    </w:p>
    <w:p w14:paraId="582E14A7" w14:textId="2DF11BC5" w:rsidR="008976FB" w:rsidRPr="00E50A7F" w:rsidRDefault="008976FB" w:rsidP="00A03487">
      <w:pPr>
        <w:pStyle w:val="Prrafodelista"/>
        <w:numPr>
          <w:ilvl w:val="0"/>
          <w:numId w:val="3"/>
        </w:numPr>
        <w:spacing w:after="0" w:line="240" w:lineRule="auto"/>
        <w:ind w:left="0" w:firstLine="0"/>
        <w:jc w:val="both"/>
        <w:rPr>
          <w:rFonts w:ascii="Verdana" w:hAnsi="Verdana"/>
          <w:color w:val="000000" w:themeColor="text1"/>
          <w:sz w:val="20"/>
          <w:szCs w:val="20"/>
        </w:rPr>
      </w:pPr>
      <w:r w:rsidRPr="00E50A7F">
        <w:rPr>
          <w:rFonts w:ascii="Verdana" w:hAnsi="Verdana"/>
          <w:color w:val="000000" w:themeColor="text1"/>
          <w:sz w:val="20"/>
          <w:szCs w:val="20"/>
        </w:rPr>
        <w:t xml:space="preserve">Disponer que la Secretaría de la Corte notifique la presente Sentencia de interpretación a la República </w:t>
      </w:r>
      <w:r w:rsidR="00710618" w:rsidRPr="00E50A7F">
        <w:rPr>
          <w:rFonts w:ascii="Verdana" w:hAnsi="Verdana"/>
          <w:color w:val="000000" w:themeColor="text1"/>
          <w:sz w:val="20"/>
          <w:szCs w:val="20"/>
        </w:rPr>
        <w:t xml:space="preserve">de </w:t>
      </w:r>
      <w:r w:rsidR="001D3FC0" w:rsidRPr="00E50A7F">
        <w:rPr>
          <w:rFonts w:ascii="Verdana" w:hAnsi="Verdana"/>
          <w:color w:val="000000" w:themeColor="text1"/>
          <w:sz w:val="20"/>
          <w:szCs w:val="20"/>
        </w:rPr>
        <w:t>Guatemala</w:t>
      </w:r>
      <w:r w:rsidRPr="00E50A7F">
        <w:rPr>
          <w:rFonts w:ascii="Verdana" w:hAnsi="Verdana"/>
          <w:color w:val="000000" w:themeColor="text1"/>
          <w:sz w:val="20"/>
          <w:szCs w:val="20"/>
        </w:rPr>
        <w:t>, a</w:t>
      </w:r>
      <w:r w:rsidR="001D3FC0" w:rsidRPr="00E50A7F">
        <w:rPr>
          <w:rFonts w:ascii="Verdana" w:hAnsi="Verdana"/>
          <w:color w:val="000000" w:themeColor="text1"/>
          <w:sz w:val="20"/>
          <w:szCs w:val="20"/>
        </w:rPr>
        <w:t xml:space="preserve"> los representantes </w:t>
      </w:r>
      <w:r w:rsidRPr="00E50A7F">
        <w:rPr>
          <w:rFonts w:ascii="Verdana" w:hAnsi="Verdana"/>
          <w:color w:val="000000" w:themeColor="text1"/>
          <w:sz w:val="20"/>
          <w:szCs w:val="20"/>
        </w:rPr>
        <w:t>de las víctimas y a la Comisión Interamericana de Derechos Humanos.</w:t>
      </w:r>
    </w:p>
    <w:p w14:paraId="25BA61B3" w14:textId="77777777" w:rsidR="00326C79" w:rsidRPr="00E50A7F" w:rsidRDefault="00326C79" w:rsidP="00326C79">
      <w:pPr>
        <w:pStyle w:val="Prrafodelista"/>
        <w:spacing w:after="0" w:line="240" w:lineRule="auto"/>
        <w:ind w:left="0"/>
        <w:jc w:val="both"/>
        <w:rPr>
          <w:rFonts w:ascii="Verdana" w:hAnsi="Verdana"/>
          <w:color w:val="000000" w:themeColor="text1"/>
          <w:sz w:val="20"/>
          <w:szCs w:val="20"/>
        </w:rPr>
      </w:pPr>
    </w:p>
    <w:p w14:paraId="7A708D31" w14:textId="4550E439" w:rsidR="007F245B" w:rsidRDefault="00326C79" w:rsidP="001D3FC0">
      <w:pPr>
        <w:spacing w:after="0"/>
        <w:jc w:val="both"/>
        <w:rPr>
          <w:rFonts w:ascii="Verdana" w:hAnsi="Verdana"/>
          <w:color w:val="000000" w:themeColor="text1"/>
          <w:sz w:val="20"/>
          <w:szCs w:val="20"/>
          <w:lang w:val="es-ES"/>
        </w:rPr>
      </w:pPr>
      <w:r w:rsidRPr="00E50A7F">
        <w:rPr>
          <w:rFonts w:ascii="Verdana" w:hAnsi="Verdana"/>
          <w:color w:val="000000" w:themeColor="text1"/>
          <w:sz w:val="20"/>
          <w:szCs w:val="20"/>
          <w:lang w:val="es-ES"/>
        </w:rPr>
        <w:t xml:space="preserve">Corte IDH. </w:t>
      </w:r>
      <w:r w:rsidR="001D3FC0" w:rsidRPr="00E50A7F">
        <w:rPr>
          <w:rFonts w:ascii="Verdana" w:hAnsi="Verdana"/>
          <w:i/>
          <w:iCs/>
          <w:color w:val="000000" w:themeColor="text1"/>
          <w:sz w:val="20"/>
          <w:szCs w:val="20"/>
        </w:rPr>
        <w:t>Caso Masacre de la Aldea Los Josefinos Vs. Guatemala</w:t>
      </w:r>
      <w:r w:rsidRPr="00E50A7F">
        <w:rPr>
          <w:rFonts w:ascii="Verdana" w:hAnsi="Verdana"/>
          <w:i/>
          <w:color w:val="000000" w:themeColor="text1"/>
          <w:sz w:val="20"/>
          <w:szCs w:val="20"/>
          <w:lang w:val="es-ES"/>
        </w:rPr>
        <w:t>. Interpretación de la Sentencia de Fondo</w:t>
      </w:r>
      <w:r w:rsidR="00710618" w:rsidRPr="00E50A7F">
        <w:rPr>
          <w:rFonts w:ascii="Verdana" w:hAnsi="Verdana"/>
          <w:i/>
          <w:color w:val="000000" w:themeColor="text1"/>
          <w:sz w:val="20"/>
          <w:szCs w:val="20"/>
          <w:lang w:val="es-ES"/>
        </w:rPr>
        <w:t xml:space="preserve"> y </w:t>
      </w:r>
      <w:r w:rsidRPr="00E50A7F">
        <w:rPr>
          <w:rFonts w:ascii="Verdana" w:hAnsi="Verdana"/>
          <w:i/>
          <w:color w:val="000000" w:themeColor="text1"/>
          <w:sz w:val="20"/>
          <w:szCs w:val="20"/>
          <w:lang w:val="es-ES"/>
        </w:rPr>
        <w:t>Reparaciones</w:t>
      </w:r>
      <w:r w:rsidRPr="00E50A7F">
        <w:rPr>
          <w:rFonts w:ascii="Verdana" w:hAnsi="Verdana"/>
          <w:color w:val="000000" w:themeColor="text1"/>
          <w:sz w:val="20"/>
          <w:szCs w:val="20"/>
          <w:lang w:val="es-ES"/>
        </w:rPr>
        <w:t xml:space="preserve">. Sentencia de </w:t>
      </w:r>
      <w:r w:rsidR="009D78B6">
        <w:rPr>
          <w:rFonts w:ascii="Verdana" w:hAnsi="Verdana"/>
          <w:color w:val="000000" w:themeColor="text1"/>
          <w:sz w:val="20"/>
          <w:szCs w:val="20"/>
          <w:lang w:val="es-ES"/>
        </w:rPr>
        <w:t>27</w:t>
      </w:r>
      <w:r w:rsidRPr="00E50A7F">
        <w:rPr>
          <w:rFonts w:ascii="Verdana" w:hAnsi="Verdana"/>
          <w:color w:val="000000" w:themeColor="text1"/>
          <w:sz w:val="20"/>
          <w:szCs w:val="20"/>
          <w:lang w:val="es-ES"/>
        </w:rPr>
        <w:t xml:space="preserve"> de </w:t>
      </w:r>
      <w:r w:rsidR="009D78B6">
        <w:rPr>
          <w:rFonts w:ascii="Verdana" w:hAnsi="Verdana"/>
          <w:color w:val="000000" w:themeColor="text1"/>
          <w:sz w:val="20"/>
          <w:szCs w:val="20"/>
          <w:lang w:val="es-ES"/>
        </w:rPr>
        <w:t>julio</w:t>
      </w:r>
      <w:r w:rsidRPr="00E50A7F">
        <w:rPr>
          <w:rFonts w:ascii="Verdana" w:hAnsi="Verdana"/>
          <w:color w:val="000000" w:themeColor="text1"/>
          <w:sz w:val="20"/>
          <w:szCs w:val="20"/>
          <w:lang w:val="es-ES"/>
        </w:rPr>
        <w:t xml:space="preserve"> de </w:t>
      </w:r>
      <w:r w:rsidR="001D3FC0" w:rsidRPr="00E50A7F">
        <w:rPr>
          <w:rFonts w:ascii="Verdana" w:hAnsi="Verdana"/>
          <w:color w:val="000000" w:themeColor="text1"/>
          <w:sz w:val="20"/>
          <w:szCs w:val="20"/>
          <w:lang w:val="es-ES"/>
        </w:rPr>
        <w:t>2022</w:t>
      </w:r>
      <w:r w:rsidRPr="00E50A7F">
        <w:rPr>
          <w:rFonts w:ascii="Verdana" w:hAnsi="Verdana"/>
          <w:color w:val="000000" w:themeColor="text1"/>
          <w:sz w:val="20"/>
          <w:szCs w:val="20"/>
          <w:lang w:val="es-ES"/>
        </w:rPr>
        <w:t>.</w:t>
      </w:r>
    </w:p>
    <w:p w14:paraId="4B502B35" w14:textId="77777777" w:rsidR="007F245B" w:rsidRDefault="007F245B">
      <w:pPr>
        <w:rPr>
          <w:rFonts w:ascii="Verdana" w:hAnsi="Verdana"/>
          <w:color w:val="000000" w:themeColor="text1"/>
          <w:sz w:val="20"/>
          <w:szCs w:val="20"/>
          <w:lang w:val="es-ES"/>
        </w:rPr>
      </w:pPr>
      <w:r>
        <w:rPr>
          <w:rFonts w:ascii="Verdana" w:hAnsi="Verdana"/>
          <w:color w:val="000000" w:themeColor="text1"/>
          <w:sz w:val="20"/>
          <w:szCs w:val="20"/>
          <w:lang w:val="es-ES"/>
        </w:rPr>
        <w:br w:type="page"/>
      </w:r>
    </w:p>
    <w:p w14:paraId="07C07658" w14:textId="4DBF8703" w:rsidR="007F245B" w:rsidRDefault="007F245B" w:rsidP="007F245B">
      <w:pPr>
        <w:autoSpaceDE w:val="0"/>
        <w:autoSpaceDN w:val="0"/>
        <w:adjustRightInd w:val="0"/>
        <w:spacing w:after="0" w:line="240" w:lineRule="auto"/>
        <w:jc w:val="both"/>
        <w:rPr>
          <w:rFonts w:ascii="Verdana" w:eastAsia="Times" w:hAnsi="Verdana" w:cs="Times New Roman"/>
          <w:sz w:val="20"/>
          <w:szCs w:val="20"/>
          <w:lang w:val="es-ES"/>
        </w:rPr>
      </w:pPr>
      <w:r>
        <w:rPr>
          <w:rFonts w:ascii="Verdana" w:hAnsi="Verdana" w:cs="Verdana"/>
          <w:sz w:val="19"/>
          <w:szCs w:val="19"/>
        </w:rPr>
        <w:lastRenderedPageBreak/>
        <w:t xml:space="preserve">Corte IDH. </w:t>
      </w:r>
      <w:r>
        <w:rPr>
          <w:rFonts w:ascii="Verdana" w:hAnsi="Verdana" w:cs="Verdana"/>
          <w:i/>
          <w:iCs/>
          <w:sz w:val="19"/>
          <w:szCs w:val="19"/>
        </w:rPr>
        <w:t xml:space="preserve">Caso </w:t>
      </w:r>
      <w:r w:rsidRPr="00DF71E2">
        <w:rPr>
          <w:rFonts w:ascii="Verdana" w:hAnsi="Verdana" w:cs="Verdana"/>
          <w:i/>
          <w:iCs/>
          <w:sz w:val="19"/>
          <w:szCs w:val="19"/>
        </w:rPr>
        <w:t>Masacre de la Aldea Los Josefinos Vs. Guatemala</w:t>
      </w:r>
      <w:r>
        <w:rPr>
          <w:rFonts w:ascii="Verdana" w:hAnsi="Verdana" w:cs="Verdana"/>
          <w:i/>
          <w:iCs/>
          <w:sz w:val="19"/>
          <w:szCs w:val="19"/>
        </w:rPr>
        <w:t xml:space="preserve">. </w:t>
      </w:r>
      <w:r>
        <w:rPr>
          <w:rFonts w:ascii="Verdana" w:hAnsi="Verdana" w:cs="Verdana"/>
          <w:sz w:val="19"/>
          <w:szCs w:val="19"/>
        </w:rPr>
        <w:t>Interpretación de la Sentencia de Excepción Preliminar, Fondo, Reparaciones y Costas</w:t>
      </w:r>
      <w:r>
        <w:rPr>
          <w:rFonts w:ascii="Verdana" w:hAnsi="Verdana" w:cs="Verdana"/>
          <w:i/>
          <w:iCs/>
          <w:sz w:val="19"/>
          <w:szCs w:val="19"/>
        </w:rPr>
        <w:t xml:space="preserve">. </w:t>
      </w:r>
      <w:r>
        <w:rPr>
          <w:rFonts w:ascii="Verdana" w:hAnsi="Verdana" w:cs="Verdana"/>
          <w:sz w:val="19"/>
          <w:szCs w:val="19"/>
        </w:rPr>
        <w:t>Sentencia de 27 de julio de 2022. Sentencia adoptada en San José, Costa Rica por medio de sesión virtual.</w:t>
      </w:r>
    </w:p>
    <w:p w14:paraId="7D88B7C6" w14:textId="77777777" w:rsidR="007F245B" w:rsidRDefault="007F245B" w:rsidP="007F245B">
      <w:pPr>
        <w:spacing w:after="0" w:line="240" w:lineRule="auto"/>
        <w:jc w:val="center"/>
        <w:rPr>
          <w:rFonts w:ascii="Verdana" w:eastAsia="Times" w:hAnsi="Verdana" w:cs="Times New Roman"/>
          <w:sz w:val="20"/>
          <w:szCs w:val="20"/>
          <w:lang w:val="es-ES"/>
        </w:rPr>
      </w:pPr>
    </w:p>
    <w:p w14:paraId="00FF34C6" w14:textId="77777777" w:rsidR="007F245B" w:rsidRDefault="007F245B" w:rsidP="007F245B">
      <w:pPr>
        <w:spacing w:after="0" w:line="240" w:lineRule="auto"/>
        <w:jc w:val="center"/>
        <w:rPr>
          <w:rFonts w:ascii="Verdana" w:eastAsia="Times" w:hAnsi="Verdana" w:cs="Times New Roman"/>
          <w:sz w:val="20"/>
          <w:szCs w:val="20"/>
          <w:lang w:val="es-ES"/>
        </w:rPr>
      </w:pPr>
    </w:p>
    <w:p w14:paraId="59983D8F" w14:textId="77777777" w:rsidR="007F245B" w:rsidRDefault="007F245B" w:rsidP="007F245B">
      <w:pPr>
        <w:spacing w:after="0" w:line="240" w:lineRule="auto"/>
        <w:jc w:val="center"/>
        <w:rPr>
          <w:rFonts w:ascii="Verdana" w:eastAsia="Times" w:hAnsi="Verdana" w:cs="Times New Roman"/>
          <w:sz w:val="20"/>
          <w:szCs w:val="20"/>
          <w:lang w:val="es-ES"/>
        </w:rPr>
      </w:pPr>
    </w:p>
    <w:p w14:paraId="407E888B" w14:textId="77777777" w:rsidR="007F245B" w:rsidRDefault="007F245B" w:rsidP="007F245B">
      <w:pPr>
        <w:spacing w:after="0" w:line="240" w:lineRule="auto"/>
        <w:jc w:val="center"/>
        <w:rPr>
          <w:rFonts w:ascii="Verdana" w:eastAsia="Times" w:hAnsi="Verdana" w:cs="Times New Roman"/>
          <w:sz w:val="20"/>
          <w:szCs w:val="20"/>
          <w:lang w:val="es-ES"/>
        </w:rPr>
      </w:pPr>
    </w:p>
    <w:p w14:paraId="51490986" w14:textId="77777777" w:rsidR="007F245B" w:rsidRDefault="007F245B" w:rsidP="007F245B">
      <w:pPr>
        <w:spacing w:after="0" w:line="240" w:lineRule="auto"/>
        <w:jc w:val="center"/>
        <w:rPr>
          <w:rFonts w:ascii="Verdana" w:eastAsia="Times" w:hAnsi="Verdana" w:cs="Times New Roman"/>
          <w:sz w:val="20"/>
          <w:szCs w:val="20"/>
          <w:lang w:val="es-ES"/>
        </w:rPr>
      </w:pPr>
    </w:p>
    <w:p w14:paraId="79FF2907" w14:textId="77777777" w:rsidR="007F245B" w:rsidRDefault="007F245B" w:rsidP="007F245B">
      <w:pPr>
        <w:spacing w:after="0" w:line="240" w:lineRule="auto"/>
        <w:jc w:val="center"/>
        <w:rPr>
          <w:rFonts w:ascii="Verdana" w:hAnsi="Verdana"/>
          <w:sz w:val="20"/>
          <w:szCs w:val="20"/>
          <w:lang w:val="pt-BR"/>
        </w:rPr>
      </w:pPr>
      <w:r>
        <w:rPr>
          <w:rFonts w:ascii="Verdana" w:hAnsi="Verdana"/>
          <w:sz w:val="20"/>
          <w:szCs w:val="20"/>
          <w:lang w:val="pt-BR"/>
        </w:rPr>
        <w:t>L. Patricio Pazmiño Freire</w:t>
      </w:r>
    </w:p>
    <w:p w14:paraId="4CD5D918" w14:textId="0852B37F" w:rsidR="007F245B" w:rsidRDefault="007F245B" w:rsidP="007F245B">
      <w:pPr>
        <w:spacing w:after="0" w:line="240" w:lineRule="auto"/>
        <w:jc w:val="center"/>
        <w:rPr>
          <w:rFonts w:ascii="Verdana" w:hAnsi="Verdana"/>
          <w:sz w:val="20"/>
          <w:szCs w:val="20"/>
          <w:lang w:val="pt-BR"/>
        </w:rPr>
      </w:pPr>
      <w:r>
        <w:rPr>
          <w:rFonts w:ascii="Verdana" w:hAnsi="Verdana"/>
          <w:sz w:val="20"/>
          <w:szCs w:val="20"/>
          <w:lang w:val="pt-BR"/>
        </w:rPr>
        <w:t>Presidente en ejercicio</w:t>
      </w:r>
    </w:p>
    <w:p w14:paraId="42F648C2" w14:textId="67BCB6D9" w:rsidR="007F245B" w:rsidRDefault="007F245B" w:rsidP="007F245B">
      <w:pPr>
        <w:spacing w:after="0" w:line="240" w:lineRule="auto"/>
        <w:jc w:val="both"/>
        <w:rPr>
          <w:rFonts w:ascii="Verdana" w:hAnsi="Verdana"/>
          <w:sz w:val="20"/>
          <w:szCs w:val="20"/>
          <w:lang w:val="pt-BR"/>
        </w:rPr>
      </w:pPr>
    </w:p>
    <w:p w14:paraId="7D52088C" w14:textId="77777777" w:rsidR="007F245B" w:rsidRDefault="007F245B" w:rsidP="007F245B">
      <w:pPr>
        <w:spacing w:after="0" w:line="240" w:lineRule="auto"/>
        <w:jc w:val="both"/>
        <w:rPr>
          <w:rFonts w:ascii="Verdana" w:hAnsi="Verdana"/>
          <w:sz w:val="20"/>
          <w:szCs w:val="20"/>
          <w:lang w:val="pt-BR"/>
        </w:rPr>
      </w:pPr>
    </w:p>
    <w:p w14:paraId="4F1EED67" w14:textId="77777777" w:rsidR="007F245B" w:rsidRDefault="007F245B" w:rsidP="007F245B">
      <w:pPr>
        <w:spacing w:after="0" w:line="240" w:lineRule="auto"/>
        <w:jc w:val="both"/>
        <w:rPr>
          <w:rFonts w:ascii="Verdana" w:hAnsi="Verdana"/>
          <w:sz w:val="20"/>
          <w:szCs w:val="20"/>
          <w:lang w:val="pt-BR"/>
        </w:rPr>
      </w:pPr>
    </w:p>
    <w:p w14:paraId="70865CB6" w14:textId="77777777" w:rsidR="007F245B" w:rsidRDefault="007F245B" w:rsidP="007F245B">
      <w:pPr>
        <w:spacing w:after="0" w:line="240" w:lineRule="auto"/>
        <w:jc w:val="both"/>
        <w:rPr>
          <w:rFonts w:ascii="Verdana" w:hAnsi="Verdana"/>
          <w:sz w:val="20"/>
          <w:szCs w:val="20"/>
          <w:lang w:val="pt-BR"/>
        </w:rPr>
      </w:pPr>
    </w:p>
    <w:p w14:paraId="6D9F9937" w14:textId="77777777" w:rsidR="007F245B" w:rsidRDefault="007F245B" w:rsidP="007F245B">
      <w:pPr>
        <w:spacing w:after="0" w:line="240" w:lineRule="auto"/>
        <w:jc w:val="both"/>
        <w:rPr>
          <w:rFonts w:ascii="Verdana" w:hAnsi="Verdana"/>
          <w:sz w:val="20"/>
          <w:szCs w:val="20"/>
          <w:lang w:val="pt-BR"/>
        </w:rPr>
      </w:pPr>
    </w:p>
    <w:p w14:paraId="1EC5D0CA" w14:textId="77777777" w:rsidR="007F245B" w:rsidRDefault="007F245B" w:rsidP="007F245B">
      <w:pPr>
        <w:spacing w:after="0" w:line="240" w:lineRule="auto"/>
        <w:jc w:val="both"/>
        <w:rPr>
          <w:rFonts w:ascii="Verdana" w:hAnsi="Verdana"/>
          <w:sz w:val="20"/>
          <w:szCs w:val="20"/>
          <w:lang w:val="pt-BR"/>
        </w:rPr>
      </w:pPr>
    </w:p>
    <w:p w14:paraId="25E787F6" w14:textId="77777777" w:rsidR="007F245B" w:rsidRDefault="007F245B" w:rsidP="007F245B">
      <w:pPr>
        <w:spacing w:after="0" w:line="240" w:lineRule="auto"/>
        <w:jc w:val="both"/>
        <w:rPr>
          <w:rFonts w:ascii="Verdana" w:hAnsi="Verdana"/>
          <w:sz w:val="20"/>
          <w:szCs w:val="20"/>
          <w:lang w:val="pt-BR"/>
        </w:rPr>
      </w:pPr>
      <w:r>
        <w:rPr>
          <w:rFonts w:ascii="Verdana" w:eastAsia="Times" w:hAnsi="Verdana" w:cs="Times New Roman"/>
          <w:sz w:val="20"/>
          <w:szCs w:val="20"/>
          <w:lang w:val="pt-BR"/>
        </w:rPr>
        <w:t>Humberto Antonio Sierra Porto</w:t>
      </w:r>
      <w:r>
        <w:rPr>
          <w:rFonts w:ascii="Verdana" w:hAnsi="Verdana"/>
          <w:sz w:val="20"/>
          <w:szCs w:val="20"/>
          <w:lang w:val="pt-BR"/>
        </w:rPr>
        <w:t xml:space="preserve">  </w:t>
      </w:r>
      <w:r>
        <w:rPr>
          <w:rFonts w:ascii="Verdana" w:hAnsi="Verdana"/>
          <w:sz w:val="20"/>
          <w:szCs w:val="20"/>
          <w:lang w:val="pt-BR"/>
        </w:rPr>
        <w:tab/>
      </w:r>
      <w:r>
        <w:rPr>
          <w:rFonts w:ascii="Verdana" w:hAnsi="Verdana"/>
          <w:sz w:val="20"/>
          <w:szCs w:val="20"/>
          <w:lang w:val="pt-BR"/>
        </w:rPr>
        <w:tab/>
      </w:r>
      <w:r>
        <w:rPr>
          <w:rFonts w:ascii="Verdana" w:hAnsi="Verdana"/>
          <w:sz w:val="20"/>
          <w:szCs w:val="20"/>
          <w:lang w:val="pt-BR"/>
        </w:rPr>
        <w:tab/>
        <w:t xml:space="preserve">      Eduardo Ferrer Mac-Gregor Poisot</w:t>
      </w:r>
    </w:p>
    <w:p w14:paraId="3E57B325" w14:textId="39A84B04" w:rsidR="007F245B" w:rsidRDefault="007F245B" w:rsidP="007F245B">
      <w:pPr>
        <w:spacing w:after="0" w:line="240" w:lineRule="auto"/>
        <w:jc w:val="both"/>
        <w:rPr>
          <w:rFonts w:ascii="Verdana" w:hAnsi="Verdana"/>
          <w:sz w:val="20"/>
          <w:szCs w:val="20"/>
          <w:lang w:val="pt-BR"/>
        </w:rPr>
      </w:pPr>
    </w:p>
    <w:p w14:paraId="458076EC" w14:textId="702AEBE3" w:rsidR="007F245B" w:rsidRDefault="007F245B" w:rsidP="007F245B">
      <w:pPr>
        <w:spacing w:after="0" w:line="240" w:lineRule="auto"/>
        <w:jc w:val="both"/>
        <w:rPr>
          <w:rFonts w:ascii="Verdana" w:hAnsi="Verdana"/>
          <w:sz w:val="20"/>
          <w:szCs w:val="20"/>
          <w:lang w:val="pt-BR"/>
        </w:rPr>
      </w:pPr>
    </w:p>
    <w:p w14:paraId="6C5F0576" w14:textId="77777777" w:rsidR="007F245B" w:rsidRDefault="007F245B" w:rsidP="007F245B">
      <w:pPr>
        <w:spacing w:after="0" w:line="240" w:lineRule="auto"/>
        <w:jc w:val="both"/>
        <w:rPr>
          <w:rFonts w:ascii="Verdana" w:hAnsi="Verdana"/>
          <w:sz w:val="20"/>
          <w:szCs w:val="20"/>
          <w:lang w:val="pt-BR"/>
        </w:rPr>
      </w:pPr>
    </w:p>
    <w:p w14:paraId="146175E2" w14:textId="77777777" w:rsidR="007F245B" w:rsidRDefault="007F245B" w:rsidP="007F245B">
      <w:pPr>
        <w:spacing w:after="0" w:line="240" w:lineRule="auto"/>
        <w:jc w:val="both"/>
        <w:rPr>
          <w:rFonts w:ascii="Verdana" w:hAnsi="Verdana"/>
          <w:sz w:val="20"/>
          <w:szCs w:val="20"/>
          <w:lang w:val="pt-BR"/>
        </w:rPr>
      </w:pPr>
    </w:p>
    <w:p w14:paraId="79F415DF" w14:textId="77777777" w:rsidR="007F245B" w:rsidRDefault="007F245B" w:rsidP="007F245B">
      <w:pPr>
        <w:spacing w:after="0" w:line="240" w:lineRule="auto"/>
        <w:jc w:val="both"/>
        <w:rPr>
          <w:rFonts w:ascii="Verdana" w:hAnsi="Verdana"/>
          <w:sz w:val="20"/>
          <w:szCs w:val="20"/>
          <w:lang w:val="pt-BR"/>
        </w:rPr>
      </w:pPr>
    </w:p>
    <w:p w14:paraId="23F803C0" w14:textId="1C72837C" w:rsidR="007F245B" w:rsidRDefault="007F245B" w:rsidP="007F245B">
      <w:pPr>
        <w:spacing w:after="0" w:line="240" w:lineRule="auto"/>
        <w:jc w:val="both"/>
        <w:rPr>
          <w:rFonts w:ascii="Verdana" w:hAnsi="Verdana"/>
          <w:sz w:val="20"/>
          <w:szCs w:val="20"/>
          <w:lang w:val="pt-BR"/>
        </w:rPr>
      </w:pPr>
      <w:r>
        <w:rPr>
          <w:rFonts w:ascii="Verdana" w:hAnsi="Verdana"/>
          <w:sz w:val="20"/>
          <w:szCs w:val="20"/>
          <w:lang w:val="pt-BR"/>
        </w:rPr>
        <w:t>Eugenio Raúl Zaffaroni</w:t>
      </w:r>
      <w:r>
        <w:rPr>
          <w:rFonts w:ascii="Verdana" w:hAnsi="Verdana"/>
          <w:sz w:val="20"/>
          <w:szCs w:val="20"/>
          <w:lang w:val="pt-BR"/>
        </w:rPr>
        <w:tab/>
      </w:r>
      <w:r>
        <w:rPr>
          <w:rFonts w:ascii="Verdana" w:hAnsi="Verdana"/>
          <w:sz w:val="20"/>
          <w:szCs w:val="20"/>
          <w:lang w:val="pt-BR"/>
        </w:rPr>
        <w:tab/>
      </w:r>
      <w:r>
        <w:rPr>
          <w:rFonts w:ascii="Verdana" w:hAnsi="Verdana"/>
          <w:sz w:val="20"/>
          <w:szCs w:val="20"/>
          <w:lang w:val="pt-BR"/>
        </w:rPr>
        <w:tab/>
      </w:r>
      <w:r>
        <w:rPr>
          <w:rFonts w:ascii="Verdana" w:hAnsi="Verdana"/>
          <w:sz w:val="20"/>
          <w:szCs w:val="20"/>
          <w:lang w:val="pt-BR"/>
        </w:rPr>
        <w:tab/>
      </w:r>
      <w:r>
        <w:rPr>
          <w:rFonts w:ascii="Verdana" w:hAnsi="Verdana"/>
          <w:sz w:val="20"/>
          <w:szCs w:val="20"/>
          <w:lang w:val="pt-BR"/>
        </w:rPr>
        <w:tab/>
        <w:t xml:space="preserve">       Ricardo C. Pérez Manrique</w:t>
      </w:r>
    </w:p>
    <w:p w14:paraId="7CB49A6A" w14:textId="77777777" w:rsidR="007F245B" w:rsidRDefault="007F245B" w:rsidP="007F245B">
      <w:pPr>
        <w:spacing w:after="0" w:line="240" w:lineRule="auto"/>
        <w:jc w:val="both"/>
        <w:rPr>
          <w:rFonts w:ascii="Verdana" w:hAnsi="Verdana"/>
          <w:sz w:val="20"/>
          <w:szCs w:val="20"/>
          <w:lang w:val="pt-BR"/>
        </w:rPr>
      </w:pPr>
    </w:p>
    <w:p w14:paraId="3794C128" w14:textId="77777777" w:rsidR="007F245B" w:rsidRDefault="007F245B" w:rsidP="007F245B">
      <w:pPr>
        <w:spacing w:after="0" w:line="240" w:lineRule="auto"/>
        <w:jc w:val="both"/>
        <w:rPr>
          <w:rFonts w:ascii="Verdana" w:hAnsi="Verdana"/>
          <w:sz w:val="20"/>
          <w:szCs w:val="20"/>
          <w:lang w:val="pt-BR"/>
        </w:rPr>
      </w:pPr>
    </w:p>
    <w:p w14:paraId="60C2DDB1" w14:textId="77777777" w:rsidR="007F245B" w:rsidRPr="00D95C10" w:rsidRDefault="007F245B" w:rsidP="007F245B">
      <w:pPr>
        <w:spacing w:after="0" w:line="240" w:lineRule="auto"/>
        <w:rPr>
          <w:rFonts w:ascii="Verdana" w:eastAsia="Times" w:hAnsi="Verdana" w:cs="Times New Roman"/>
          <w:sz w:val="20"/>
          <w:szCs w:val="20"/>
          <w:lang w:val="pt-BR"/>
        </w:rPr>
      </w:pPr>
    </w:p>
    <w:p w14:paraId="2EBFB80D" w14:textId="77777777" w:rsidR="007F245B" w:rsidRDefault="007F245B" w:rsidP="007F245B">
      <w:pPr>
        <w:spacing w:after="0" w:line="240" w:lineRule="auto"/>
        <w:jc w:val="both"/>
        <w:rPr>
          <w:rFonts w:ascii="Verdana" w:eastAsia="Times" w:hAnsi="Verdana" w:cs="Times New Roman"/>
          <w:sz w:val="20"/>
          <w:szCs w:val="20"/>
          <w:lang w:val="pt-BR"/>
        </w:rPr>
      </w:pPr>
    </w:p>
    <w:p w14:paraId="0C04A205" w14:textId="77777777" w:rsidR="007F245B" w:rsidRDefault="007F245B" w:rsidP="007F245B">
      <w:pPr>
        <w:spacing w:after="0" w:line="240" w:lineRule="auto"/>
        <w:jc w:val="both"/>
        <w:rPr>
          <w:rFonts w:ascii="Verdana" w:eastAsia="Times" w:hAnsi="Verdana" w:cs="Times New Roman"/>
          <w:sz w:val="20"/>
          <w:szCs w:val="20"/>
          <w:lang w:val="pt-BR"/>
        </w:rPr>
      </w:pPr>
    </w:p>
    <w:p w14:paraId="28C83E62" w14:textId="77777777" w:rsidR="007F245B" w:rsidRDefault="007F245B" w:rsidP="007F245B">
      <w:pPr>
        <w:spacing w:after="0" w:line="240" w:lineRule="auto"/>
        <w:jc w:val="both"/>
        <w:rPr>
          <w:rFonts w:ascii="Verdana" w:eastAsia="Times" w:hAnsi="Verdana" w:cs="Times New Roman"/>
          <w:sz w:val="20"/>
          <w:szCs w:val="20"/>
          <w:lang w:val="pt-BR"/>
        </w:rPr>
      </w:pPr>
    </w:p>
    <w:p w14:paraId="250E01A8" w14:textId="77777777" w:rsidR="007F245B" w:rsidRDefault="007F245B" w:rsidP="007F245B">
      <w:pPr>
        <w:spacing w:after="0" w:line="240" w:lineRule="auto"/>
        <w:jc w:val="center"/>
        <w:rPr>
          <w:rFonts w:ascii="Verdana" w:eastAsia="Times" w:hAnsi="Verdana" w:cs="Times New Roman"/>
          <w:sz w:val="20"/>
          <w:szCs w:val="20"/>
          <w:lang w:val="pt-BR"/>
        </w:rPr>
      </w:pPr>
      <w:r>
        <w:rPr>
          <w:rFonts w:ascii="Verdana" w:eastAsia="Times" w:hAnsi="Verdana" w:cs="Times New Roman"/>
          <w:sz w:val="20"/>
          <w:szCs w:val="20"/>
          <w:lang w:val="pt-BR"/>
        </w:rPr>
        <w:t>Pablo Saavedra Alessandri</w:t>
      </w:r>
    </w:p>
    <w:p w14:paraId="25624B85" w14:textId="77777777" w:rsidR="007F245B" w:rsidRDefault="007F245B" w:rsidP="007F245B">
      <w:pPr>
        <w:spacing w:after="0" w:line="240" w:lineRule="auto"/>
        <w:jc w:val="center"/>
        <w:rPr>
          <w:rFonts w:ascii="Verdana" w:eastAsia="Times" w:hAnsi="Verdana" w:cs="Times New Roman"/>
          <w:sz w:val="20"/>
          <w:szCs w:val="20"/>
          <w:lang w:val="pt-BR"/>
        </w:rPr>
      </w:pPr>
      <w:r>
        <w:rPr>
          <w:rFonts w:ascii="Verdana" w:eastAsia="Times" w:hAnsi="Verdana" w:cs="Times New Roman"/>
          <w:sz w:val="20"/>
          <w:szCs w:val="20"/>
          <w:lang w:val="pt-BR"/>
        </w:rPr>
        <w:t>Secretario</w:t>
      </w:r>
    </w:p>
    <w:p w14:paraId="46F7FDB7" w14:textId="052F470F" w:rsidR="007F245B" w:rsidRPr="00980FAD" w:rsidRDefault="007F245B" w:rsidP="007F245B">
      <w:pPr>
        <w:spacing w:after="0" w:line="240" w:lineRule="auto"/>
        <w:jc w:val="both"/>
        <w:rPr>
          <w:rFonts w:ascii="Verdana" w:eastAsia="Times" w:hAnsi="Verdana" w:cs="Times New Roman"/>
          <w:sz w:val="20"/>
          <w:szCs w:val="20"/>
          <w:lang w:val="pt-BR"/>
        </w:rPr>
      </w:pPr>
    </w:p>
    <w:p w14:paraId="32CD2B80" w14:textId="77777777" w:rsidR="007F245B" w:rsidRPr="00F154FF" w:rsidRDefault="007F245B" w:rsidP="007F245B">
      <w:pPr>
        <w:spacing w:after="0" w:line="240" w:lineRule="auto"/>
        <w:jc w:val="both"/>
        <w:rPr>
          <w:rFonts w:ascii="Verdana" w:eastAsia="Times" w:hAnsi="Verdana" w:cs="Times New Roman"/>
          <w:sz w:val="20"/>
          <w:szCs w:val="20"/>
          <w:lang w:val="pt-BR"/>
        </w:rPr>
      </w:pPr>
      <w:r w:rsidRPr="00F154FF">
        <w:rPr>
          <w:rFonts w:ascii="Verdana" w:eastAsia="Times" w:hAnsi="Verdana" w:cs="Times New Roman"/>
          <w:sz w:val="20"/>
          <w:szCs w:val="20"/>
          <w:lang w:val="pt-BR"/>
        </w:rPr>
        <w:t>Comuníquese y ejecútese,</w:t>
      </w:r>
    </w:p>
    <w:p w14:paraId="040A950F" w14:textId="77777777" w:rsidR="007F245B" w:rsidRPr="00F154FF" w:rsidRDefault="007F245B" w:rsidP="007F245B">
      <w:pPr>
        <w:spacing w:after="0" w:line="240" w:lineRule="auto"/>
        <w:jc w:val="both"/>
        <w:rPr>
          <w:rFonts w:ascii="Verdana" w:eastAsia="Times" w:hAnsi="Verdana" w:cs="Times New Roman"/>
          <w:sz w:val="20"/>
          <w:szCs w:val="20"/>
          <w:lang w:val="pt-BR"/>
        </w:rPr>
      </w:pPr>
    </w:p>
    <w:p w14:paraId="250525D6" w14:textId="77777777" w:rsidR="007F245B" w:rsidRPr="00F154FF" w:rsidRDefault="007F245B" w:rsidP="007F245B">
      <w:pPr>
        <w:spacing w:after="0" w:line="240" w:lineRule="auto"/>
        <w:jc w:val="both"/>
        <w:rPr>
          <w:rFonts w:ascii="Verdana" w:eastAsia="Times" w:hAnsi="Verdana" w:cs="Times New Roman"/>
          <w:sz w:val="20"/>
          <w:szCs w:val="20"/>
          <w:lang w:val="pt-BR"/>
        </w:rPr>
      </w:pPr>
    </w:p>
    <w:p w14:paraId="51893DDC" w14:textId="77777777" w:rsidR="007F245B" w:rsidRPr="00F154FF" w:rsidRDefault="007F245B" w:rsidP="007F245B">
      <w:pPr>
        <w:spacing w:after="0" w:line="240" w:lineRule="auto"/>
        <w:jc w:val="both"/>
        <w:rPr>
          <w:rFonts w:ascii="Verdana" w:eastAsia="Times" w:hAnsi="Verdana" w:cs="Times New Roman"/>
          <w:sz w:val="20"/>
          <w:szCs w:val="20"/>
          <w:lang w:val="pt-BR"/>
        </w:rPr>
      </w:pPr>
    </w:p>
    <w:p w14:paraId="191706D4" w14:textId="77777777" w:rsidR="007F245B" w:rsidRDefault="007F245B" w:rsidP="007F245B">
      <w:pPr>
        <w:spacing w:after="0" w:line="240" w:lineRule="auto"/>
        <w:jc w:val="both"/>
        <w:rPr>
          <w:rFonts w:ascii="Verdana" w:eastAsia="Times" w:hAnsi="Verdana" w:cs="Times New Roman"/>
          <w:sz w:val="20"/>
          <w:szCs w:val="20"/>
          <w:lang w:val="pt-BR"/>
        </w:rPr>
      </w:pPr>
    </w:p>
    <w:p w14:paraId="236DA7B1" w14:textId="01C5CDBD" w:rsidR="007F245B" w:rsidRPr="00F154FF" w:rsidRDefault="007F245B" w:rsidP="007F245B">
      <w:pPr>
        <w:spacing w:after="0" w:line="240" w:lineRule="auto"/>
        <w:jc w:val="both"/>
        <w:rPr>
          <w:rFonts w:ascii="Verdana" w:eastAsia="Times" w:hAnsi="Verdana" w:cs="Times New Roman"/>
          <w:sz w:val="20"/>
          <w:szCs w:val="20"/>
          <w:lang w:val="pt-BR"/>
        </w:rPr>
      </w:pPr>
    </w:p>
    <w:p w14:paraId="40C6FF60" w14:textId="77777777" w:rsidR="007F245B" w:rsidRDefault="007F245B" w:rsidP="007F245B">
      <w:pPr>
        <w:spacing w:after="0" w:line="240" w:lineRule="auto"/>
        <w:ind w:left="5664"/>
        <w:jc w:val="center"/>
        <w:rPr>
          <w:rFonts w:ascii="Verdana" w:hAnsi="Verdana"/>
          <w:sz w:val="20"/>
          <w:szCs w:val="20"/>
          <w:lang w:val="pt-BR"/>
        </w:rPr>
      </w:pPr>
      <w:r>
        <w:rPr>
          <w:rFonts w:ascii="Verdana" w:hAnsi="Verdana"/>
          <w:sz w:val="20"/>
          <w:szCs w:val="20"/>
          <w:lang w:val="pt-BR"/>
        </w:rPr>
        <w:t>L. Patricio Pazmiño Freire</w:t>
      </w:r>
    </w:p>
    <w:p w14:paraId="2D3FEA0E" w14:textId="77777777" w:rsidR="007F245B" w:rsidRDefault="007F245B" w:rsidP="007F245B">
      <w:pPr>
        <w:spacing w:after="0" w:line="240" w:lineRule="auto"/>
        <w:ind w:left="5664"/>
        <w:jc w:val="center"/>
        <w:rPr>
          <w:rFonts w:ascii="Verdana" w:hAnsi="Verdana"/>
          <w:sz w:val="20"/>
          <w:szCs w:val="20"/>
          <w:lang w:val="pt-BR"/>
        </w:rPr>
      </w:pPr>
      <w:r>
        <w:rPr>
          <w:rFonts w:ascii="Verdana" w:hAnsi="Verdana"/>
          <w:sz w:val="20"/>
          <w:szCs w:val="20"/>
          <w:lang w:val="pt-BR"/>
        </w:rPr>
        <w:t>Presidente en ejercicio</w:t>
      </w:r>
    </w:p>
    <w:p w14:paraId="0802EF4F" w14:textId="77777777" w:rsidR="007F245B" w:rsidRPr="00F154FF" w:rsidRDefault="007F245B" w:rsidP="007F245B">
      <w:pPr>
        <w:spacing w:after="0" w:line="240" w:lineRule="auto"/>
        <w:jc w:val="both"/>
        <w:rPr>
          <w:rFonts w:ascii="Verdana" w:eastAsia="Times" w:hAnsi="Verdana" w:cs="Times New Roman"/>
          <w:sz w:val="20"/>
          <w:szCs w:val="20"/>
          <w:lang w:val="pt-BR"/>
        </w:rPr>
      </w:pPr>
    </w:p>
    <w:p w14:paraId="73A36377" w14:textId="77777777" w:rsidR="007F245B" w:rsidRPr="00F154FF" w:rsidRDefault="007F245B" w:rsidP="007F245B">
      <w:pPr>
        <w:spacing w:after="0" w:line="240" w:lineRule="auto"/>
        <w:jc w:val="both"/>
        <w:rPr>
          <w:rFonts w:ascii="Verdana" w:eastAsia="Times" w:hAnsi="Verdana" w:cs="Times New Roman"/>
          <w:sz w:val="20"/>
          <w:szCs w:val="20"/>
          <w:lang w:val="pt-BR"/>
        </w:rPr>
      </w:pPr>
    </w:p>
    <w:p w14:paraId="5E2BCE28" w14:textId="77777777" w:rsidR="007F245B" w:rsidRDefault="007F245B" w:rsidP="007F245B">
      <w:pPr>
        <w:spacing w:after="0" w:line="240" w:lineRule="auto"/>
        <w:jc w:val="both"/>
        <w:rPr>
          <w:rFonts w:ascii="Verdana" w:eastAsia="Times" w:hAnsi="Verdana" w:cs="Times New Roman"/>
          <w:sz w:val="20"/>
          <w:szCs w:val="20"/>
          <w:lang w:val="pt-BR"/>
        </w:rPr>
      </w:pPr>
    </w:p>
    <w:p w14:paraId="5190AD2C" w14:textId="77777777" w:rsidR="007F245B" w:rsidRPr="00F154FF" w:rsidRDefault="007F245B" w:rsidP="007F245B">
      <w:pPr>
        <w:spacing w:after="0" w:line="240" w:lineRule="auto"/>
        <w:jc w:val="both"/>
        <w:rPr>
          <w:rFonts w:ascii="Verdana" w:eastAsia="Times" w:hAnsi="Verdana" w:cs="Times New Roman"/>
          <w:sz w:val="20"/>
          <w:szCs w:val="20"/>
          <w:lang w:val="pt-BR"/>
        </w:rPr>
      </w:pPr>
    </w:p>
    <w:p w14:paraId="36504641" w14:textId="77777777" w:rsidR="007F245B" w:rsidRPr="00F154FF" w:rsidRDefault="007F245B" w:rsidP="007F245B">
      <w:pPr>
        <w:spacing w:after="0" w:line="240" w:lineRule="auto"/>
        <w:jc w:val="both"/>
        <w:rPr>
          <w:rFonts w:ascii="Verdana" w:eastAsia="Times" w:hAnsi="Verdana" w:cs="Times New Roman"/>
          <w:sz w:val="20"/>
          <w:szCs w:val="20"/>
          <w:lang w:val="es-ES"/>
        </w:rPr>
      </w:pPr>
      <w:r w:rsidRPr="00F154FF">
        <w:rPr>
          <w:rFonts w:ascii="Verdana" w:eastAsia="Times" w:hAnsi="Verdana" w:cs="Times New Roman"/>
          <w:sz w:val="20"/>
          <w:szCs w:val="20"/>
          <w:lang w:val="es-ES"/>
        </w:rPr>
        <w:t>Pablo Saavedra Alessandri</w:t>
      </w:r>
    </w:p>
    <w:p w14:paraId="40A3FA37" w14:textId="77777777" w:rsidR="007F245B" w:rsidRPr="00514C91" w:rsidRDefault="007F245B" w:rsidP="007F245B">
      <w:pPr>
        <w:spacing w:after="0" w:line="240" w:lineRule="auto"/>
      </w:pPr>
      <w:r w:rsidRPr="00F154FF">
        <w:rPr>
          <w:rFonts w:ascii="Verdana" w:eastAsia="Times" w:hAnsi="Verdana" w:cs="Times New Roman"/>
          <w:sz w:val="20"/>
          <w:szCs w:val="20"/>
          <w:lang w:val="es-ES"/>
        </w:rPr>
        <w:tab/>
      </w:r>
      <w:r w:rsidRPr="00F154FF">
        <w:rPr>
          <w:rFonts w:ascii="Verdana" w:eastAsia="Times" w:hAnsi="Verdana" w:cs="Times New Roman"/>
          <w:sz w:val="20"/>
          <w:szCs w:val="20"/>
        </w:rPr>
        <w:t>Secretario</w:t>
      </w:r>
    </w:p>
    <w:p w14:paraId="78BEA871" w14:textId="77777777" w:rsidR="006F7956" w:rsidRPr="00FF553B" w:rsidRDefault="006F7956" w:rsidP="001D3FC0">
      <w:pPr>
        <w:spacing w:after="0"/>
        <w:jc w:val="both"/>
        <w:rPr>
          <w:rFonts w:ascii="Verdana" w:hAnsi="Verdana"/>
          <w:color w:val="000000" w:themeColor="text1"/>
          <w:sz w:val="20"/>
          <w:szCs w:val="20"/>
        </w:rPr>
      </w:pPr>
    </w:p>
    <w:sectPr w:rsidR="006F7956" w:rsidRPr="00FF553B" w:rsidSect="00375A21">
      <w:footerReference w:type="default" r:id="rId8"/>
      <w:pgSz w:w="12240" w:h="15840"/>
      <w:pgMar w:top="1440" w:right="1247" w:bottom="1440"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CADBE1" w14:textId="77777777" w:rsidR="001D0605" w:rsidRDefault="001D0605" w:rsidP="00A57ACC">
      <w:pPr>
        <w:spacing w:after="0" w:line="240" w:lineRule="auto"/>
      </w:pPr>
      <w:r>
        <w:separator/>
      </w:r>
    </w:p>
  </w:endnote>
  <w:endnote w:type="continuationSeparator" w:id="0">
    <w:p w14:paraId="1276DDB0" w14:textId="77777777" w:rsidR="001D0605" w:rsidRDefault="001D0605" w:rsidP="00A57A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45481121"/>
      <w:docPartObj>
        <w:docPartGallery w:val="Page Numbers (Bottom of Page)"/>
        <w:docPartUnique/>
      </w:docPartObj>
    </w:sdtPr>
    <w:sdtEndPr>
      <w:rPr>
        <w:noProof/>
      </w:rPr>
    </w:sdtEndPr>
    <w:sdtContent>
      <w:p w14:paraId="5870C9CE" w14:textId="3D1E5204" w:rsidR="00FE70DC" w:rsidRDefault="00FE70DC">
        <w:pPr>
          <w:pStyle w:val="Piedepgina"/>
          <w:jc w:val="center"/>
        </w:pPr>
        <w:r w:rsidRPr="00151723">
          <w:rPr>
            <w:rFonts w:ascii="Verdana" w:hAnsi="Verdana"/>
            <w:sz w:val="20"/>
            <w:szCs w:val="20"/>
          </w:rPr>
          <w:fldChar w:fldCharType="begin"/>
        </w:r>
        <w:r w:rsidRPr="00151723">
          <w:rPr>
            <w:rFonts w:ascii="Verdana" w:hAnsi="Verdana"/>
            <w:sz w:val="20"/>
            <w:szCs w:val="20"/>
          </w:rPr>
          <w:instrText xml:space="preserve"> PAGE   \* MERGEFORMAT </w:instrText>
        </w:r>
        <w:r w:rsidRPr="00151723">
          <w:rPr>
            <w:rFonts w:ascii="Verdana" w:hAnsi="Verdana"/>
            <w:sz w:val="20"/>
            <w:szCs w:val="20"/>
          </w:rPr>
          <w:fldChar w:fldCharType="separate"/>
        </w:r>
        <w:r w:rsidR="00E935A2">
          <w:rPr>
            <w:rFonts w:ascii="Verdana" w:hAnsi="Verdana"/>
            <w:noProof/>
            <w:sz w:val="20"/>
            <w:szCs w:val="20"/>
          </w:rPr>
          <w:t>8</w:t>
        </w:r>
        <w:r w:rsidRPr="00151723">
          <w:rPr>
            <w:rFonts w:ascii="Verdana" w:hAnsi="Verdana"/>
            <w:noProof/>
            <w:sz w:val="20"/>
            <w:szCs w:val="20"/>
          </w:rPr>
          <w:fldChar w:fldCharType="end"/>
        </w:r>
      </w:p>
    </w:sdtContent>
  </w:sdt>
  <w:p w14:paraId="79FADBA5" w14:textId="77777777" w:rsidR="00FE70DC" w:rsidRDefault="00FE70D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ACFA59" w14:textId="77777777" w:rsidR="001D0605" w:rsidRDefault="001D0605" w:rsidP="00A57ACC">
      <w:pPr>
        <w:spacing w:after="0" w:line="240" w:lineRule="auto"/>
      </w:pPr>
      <w:r>
        <w:separator/>
      </w:r>
    </w:p>
  </w:footnote>
  <w:footnote w:type="continuationSeparator" w:id="0">
    <w:p w14:paraId="01BD7ED2" w14:textId="77777777" w:rsidR="001D0605" w:rsidRDefault="001D0605" w:rsidP="00A57ACC">
      <w:pPr>
        <w:spacing w:after="0" w:line="240" w:lineRule="auto"/>
      </w:pPr>
      <w:r>
        <w:continuationSeparator/>
      </w:r>
    </w:p>
  </w:footnote>
  <w:footnote w:id="1">
    <w:p w14:paraId="618408B1" w14:textId="08E154F7" w:rsidR="00CF0B63" w:rsidRPr="00CF0B63" w:rsidRDefault="00CF0B63" w:rsidP="00CF0B63">
      <w:pPr>
        <w:pStyle w:val="Textonotapie"/>
        <w:jc w:val="both"/>
        <w:rPr>
          <w:rFonts w:ascii="Verdana" w:hAnsi="Verdana"/>
          <w:sz w:val="16"/>
          <w:szCs w:val="16"/>
        </w:rPr>
      </w:pPr>
      <w:r w:rsidRPr="00CF0B63">
        <w:rPr>
          <w:rStyle w:val="Refdenotaalpie"/>
          <w:rFonts w:ascii="Verdana" w:hAnsi="Verdana"/>
          <w:sz w:val="16"/>
          <w:szCs w:val="16"/>
        </w:rPr>
        <w:t>*</w:t>
      </w:r>
      <w:r w:rsidRPr="00CF0B63">
        <w:rPr>
          <w:rFonts w:ascii="Verdana" w:hAnsi="Verdana"/>
          <w:sz w:val="16"/>
          <w:szCs w:val="16"/>
        </w:rPr>
        <w:t xml:space="preserve"> </w:t>
      </w:r>
      <w:r w:rsidRPr="00CF0B63">
        <w:rPr>
          <w:rFonts w:ascii="Verdana" w:hAnsi="Verdana"/>
          <w:sz w:val="16"/>
          <w:szCs w:val="16"/>
        </w:rPr>
        <w:tab/>
        <w:t>La presente Sentencia de Interpretación se dicta en el 65° Período Extraordinario de Sesiones de la Corte, el cual se llevó a cabo de forma no presencial utilizando los medios tecnológicos de conformidad con lo establecido en el Reglamento de la Corte. La Jueza Elizabeth Odio Benito y el Juez Eduardo Vio Grossi, por razones de fuerza mayor aceptadas por el Pleno del Tribunal, no participaron en la deliberación y firma de la presente Sentencia de Interpretación.</w:t>
      </w:r>
    </w:p>
  </w:footnote>
  <w:footnote w:id="2">
    <w:p w14:paraId="57CF2D16" w14:textId="5862F654" w:rsidR="00CD6805" w:rsidRPr="00CD6805" w:rsidRDefault="00CD6805" w:rsidP="00CD6805">
      <w:pPr>
        <w:pStyle w:val="Textonotapie"/>
        <w:jc w:val="both"/>
        <w:rPr>
          <w:rFonts w:ascii="Verdana" w:hAnsi="Verdana"/>
          <w:sz w:val="16"/>
          <w:szCs w:val="16"/>
        </w:rPr>
      </w:pPr>
      <w:r w:rsidRPr="00CD6805">
        <w:rPr>
          <w:rStyle w:val="Refdenotaalpie"/>
          <w:rFonts w:ascii="Verdana" w:hAnsi="Verdana"/>
          <w:sz w:val="16"/>
          <w:szCs w:val="16"/>
        </w:rPr>
        <w:footnoteRef/>
      </w:r>
      <w:r w:rsidRPr="00CD6805">
        <w:rPr>
          <w:rFonts w:ascii="Verdana" w:hAnsi="Verdana"/>
          <w:sz w:val="16"/>
          <w:szCs w:val="16"/>
        </w:rPr>
        <w:t xml:space="preserve"> </w:t>
      </w:r>
      <w:r w:rsidRPr="00CD6805">
        <w:rPr>
          <w:rFonts w:ascii="Verdana" w:hAnsi="Verdana"/>
          <w:sz w:val="16"/>
          <w:szCs w:val="16"/>
        </w:rPr>
        <w:tab/>
        <w:t>Las organizaciones que representan a las presuntas víctimas son la Asociación Familiares de Detenidos-Desaparecidos de Guatemala (“FAMDEGUA”) y el Centro por la Justicia y el Derecho Internacional (“CEJIL”).</w:t>
      </w:r>
    </w:p>
  </w:footnote>
  <w:footnote w:id="3">
    <w:p w14:paraId="351C28D4" w14:textId="6AD8836C" w:rsidR="00FE70DC" w:rsidRPr="00CD6805" w:rsidRDefault="00FE70DC" w:rsidP="00400784">
      <w:pPr>
        <w:pStyle w:val="Textonotapie"/>
        <w:spacing w:before="120" w:after="120"/>
        <w:jc w:val="both"/>
        <w:rPr>
          <w:rFonts w:ascii="Verdana" w:hAnsi="Verdana"/>
          <w:sz w:val="16"/>
          <w:szCs w:val="16"/>
        </w:rPr>
      </w:pPr>
      <w:r w:rsidRPr="00CD6805">
        <w:rPr>
          <w:rStyle w:val="Refdenotaalpie"/>
          <w:rFonts w:ascii="Verdana" w:hAnsi="Verdana"/>
          <w:sz w:val="16"/>
          <w:szCs w:val="16"/>
        </w:rPr>
        <w:footnoteRef/>
      </w:r>
      <w:r w:rsidRPr="00CD6805">
        <w:rPr>
          <w:rFonts w:ascii="Verdana" w:hAnsi="Verdana"/>
          <w:sz w:val="16"/>
          <w:szCs w:val="16"/>
        </w:rPr>
        <w:t xml:space="preserve"> </w:t>
      </w:r>
      <w:r w:rsidRPr="00CD6805">
        <w:rPr>
          <w:rFonts w:ascii="Verdana" w:hAnsi="Verdana"/>
          <w:sz w:val="16"/>
          <w:szCs w:val="16"/>
        </w:rPr>
        <w:tab/>
      </w:r>
      <w:r w:rsidRPr="00CD6805">
        <w:rPr>
          <w:rFonts w:ascii="Verdana" w:hAnsi="Verdana"/>
          <w:i/>
          <w:sz w:val="16"/>
          <w:szCs w:val="16"/>
        </w:rPr>
        <w:t>Cfr. Caso Loayza Tamayo Vs. Perú. Interpretación de la Sentencia de Fondo.</w:t>
      </w:r>
      <w:r w:rsidRPr="00CD6805">
        <w:rPr>
          <w:rFonts w:ascii="Verdana" w:hAnsi="Verdana"/>
          <w:sz w:val="16"/>
          <w:szCs w:val="16"/>
        </w:rPr>
        <w:t xml:space="preserve"> Resolución de la Corte Interamericana de Derechos Humanos de 8 de marzo de 1998. Serie C No. 47, párr. 16, y </w:t>
      </w:r>
      <w:r w:rsidR="001E3F2A" w:rsidRPr="00CD6805">
        <w:rPr>
          <w:rFonts w:ascii="Verdana" w:hAnsi="Verdana"/>
          <w:i/>
          <w:sz w:val="16"/>
          <w:szCs w:val="16"/>
        </w:rPr>
        <w:t xml:space="preserve">Caso Casa Nina Vs. Perú. Interpretación de la Sentencia de Excepciones preliminares, Fondo, Reparaciones y Costas. </w:t>
      </w:r>
      <w:r w:rsidR="001E3F2A" w:rsidRPr="00CD6805">
        <w:rPr>
          <w:rFonts w:ascii="Verdana" w:hAnsi="Verdana"/>
          <w:iCs/>
          <w:sz w:val="16"/>
          <w:szCs w:val="16"/>
        </w:rPr>
        <w:t>Sentencia de 1 de septiembre de 2021. Serie C No. 433, párr. 10.</w:t>
      </w:r>
    </w:p>
  </w:footnote>
  <w:footnote w:id="4">
    <w:p w14:paraId="14571B78" w14:textId="2ABD22A9" w:rsidR="00FE70DC" w:rsidRPr="00CD6805" w:rsidRDefault="00FE70DC" w:rsidP="004C1C3B">
      <w:pPr>
        <w:pStyle w:val="Textonotapie"/>
        <w:jc w:val="both"/>
        <w:rPr>
          <w:rFonts w:ascii="Verdana" w:hAnsi="Verdana"/>
          <w:sz w:val="16"/>
          <w:szCs w:val="16"/>
        </w:rPr>
      </w:pPr>
      <w:r w:rsidRPr="00CD6805">
        <w:rPr>
          <w:rStyle w:val="Refdenotaalpie"/>
          <w:rFonts w:ascii="Verdana" w:hAnsi="Verdana"/>
          <w:sz w:val="16"/>
          <w:szCs w:val="16"/>
        </w:rPr>
        <w:footnoteRef/>
      </w:r>
      <w:r w:rsidRPr="00CD6805">
        <w:rPr>
          <w:rFonts w:ascii="Verdana" w:hAnsi="Verdana"/>
          <w:sz w:val="16"/>
          <w:szCs w:val="16"/>
        </w:rPr>
        <w:t xml:space="preserve"> </w:t>
      </w:r>
      <w:r w:rsidRPr="00CD6805">
        <w:rPr>
          <w:rFonts w:ascii="Verdana" w:hAnsi="Verdana"/>
          <w:sz w:val="16"/>
          <w:szCs w:val="16"/>
        </w:rPr>
        <w:tab/>
      </w:r>
      <w:r w:rsidRPr="00CD6805">
        <w:rPr>
          <w:rFonts w:ascii="Verdana" w:hAnsi="Verdana"/>
          <w:i/>
          <w:sz w:val="16"/>
          <w:szCs w:val="16"/>
        </w:rPr>
        <w:t>Cfr. Caso Loayza Tamayo Vs. Perú. Interpretación de la Sentencia de Fondo, supra</w:t>
      </w:r>
      <w:r w:rsidRPr="00CD6805">
        <w:rPr>
          <w:rFonts w:ascii="Verdana" w:hAnsi="Verdana"/>
          <w:sz w:val="16"/>
          <w:szCs w:val="16"/>
        </w:rPr>
        <w:t xml:space="preserve"> nota 1</w:t>
      </w:r>
      <w:r w:rsidRPr="00CD6805">
        <w:rPr>
          <w:rFonts w:ascii="Verdana" w:hAnsi="Verdana"/>
          <w:i/>
          <w:sz w:val="16"/>
          <w:szCs w:val="16"/>
        </w:rPr>
        <w:t>,</w:t>
      </w:r>
      <w:r w:rsidRPr="00CD6805">
        <w:rPr>
          <w:rFonts w:ascii="Verdana" w:hAnsi="Verdana"/>
          <w:sz w:val="16"/>
          <w:szCs w:val="16"/>
        </w:rPr>
        <w:t xml:space="preserve"> párr. 16</w:t>
      </w:r>
      <w:r w:rsidR="001E3F2A" w:rsidRPr="00CD6805">
        <w:rPr>
          <w:rFonts w:ascii="Verdana" w:hAnsi="Verdana"/>
          <w:sz w:val="16"/>
          <w:szCs w:val="16"/>
        </w:rPr>
        <w:t xml:space="preserve">, y </w:t>
      </w:r>
      <w:r w:rsidR="001E3F2A" w:rsidRPr="00CD6805">
        <w:rPr>
          <w:rFonts w:ascii="Verdana" w:hAnsi="Verdana"/>
          <w:i/>
          <w:sz w:val="16"/>
          <w:szCs w:val="16"/>
        </w:rPr>
        <w:t>Caso Casa Nina Vs. Perú, supra</w:t>
      </w:r>
      <w:r w:rsidR="001E3F2A" w:rsidRPr="00CD6805">
        <w:rPr>
          <w:rFonts w:ascii="Verdana" w:hAnsi="Verdana"/>
          <w:iCs/>
          <w:sz w:val="16"/>
          <w:szCs w:val="16"/>
        </w:rPr>
        <w:t>, párr. 10.</w:t>
      </w:r>
    </w:p>
  </w:footnote>
  <w:footnote w:id="5">
    <w:p w14:paraId="2D80245A" w14:textId="6C2B7DB2" w:rsidR="005A46F0" w:rsidRPr="00CD6805" w:rsidRDefault="005A46F0" w:rsidP="004C1C3B">
      <w:pPr>
        <w:pStyle w:val="Textonotapie"/>
        <w:spacing w:before="120" w:after="120"/>
        <w:jc w:val="both"/>
        <w:rPr>
          <w:rFonts w:ascii="Verdana" w:hAnsi="Verdana"/>
          <w:sz w:val="16"/>
          <w:szCs w:val="16"/>
        </w:rPr>
      </w:pPr>
      <w:r w:rsidRPr="00CD6805">
        <w:rPr>
          <w:rStyle w:val="Refdenotaalpie"/>
          <w:rFonts w:ascii="Verdana" w:hAnsi="Verdana"/>
          <w:sz w:val="16"/>
          <w:szCs w:val="16"/>
        </w:rPr>
        <w:footnoteRef/>
      </w:r>
      <w:r w:rsidRPr="00CD6805">
        <w:rPr>
          <w:rFonts w:ascii="Verdana" w:hAnsi="Verdana"/>
          <w:sz w:val="16"/>
          <w:szCs w:val="16"/>
        </w:rPr>
        <w:t xml:space="preserve"> </w:t>
      </w:r>
      <w:r w:rsidRPr="00CD6805">
        <w:rPr>
          <w:rFonts w:ascii="Verdana" w:hAnsi="Verdana"/>
          <w:sz w:val="16"/>
          <w:szCs w:val="16"/>
        </w:rPr>
        <w:tab/>
      </w:r>
      <w:r w:rsidRPr="00CD6805">
        <w:rPr>
          <w:rFonts w:ascii="Verdana" w:hAnsi="Verdana"/>
          <w:i/>
          <w:sz w:val="16"/>
          <w:szCs w:val="16"/>
        </w:rPr>
        <w:t>Cfr. Caso Loayza Tamayo Vs. Perú. Interpretación de la Sentencia de Reparaciones y Costas</w:t>
      </w:r>
      <w:r w:rsidRPr="00CD6805">
        <w:rPr>
          <w:rFonts w:ascii="Verdana" w:hAnsi="Verdana"/>
          <w:sz w:val="16"/>
          <w:szCs w:val="16"/>
        </w:rPr>
        <w:t>,</w:t>
      </w:r>
      <w:r w:rsidRPr="00CD6805">
        <w:rPr>
          <w:rFonts w:ascii="Verdana" w:hAnsi="Verdana"/>
          <w:sz w:val="16"/>
          <w:szCs w:val="16"/>
          <w:lang w:val="es-ES"/>
        </w:rPr>
        <w:t xml:space="preserve"> </w:t>
      </w:r>
      <w:r w:rsidRPr="00CD6805">
        <w:rPr>
          <w:rFonts w:ascii="Verdana" w:hAnsi="Verdana"/>
          <w:i/>
          <w:sz w:val="16"/>
          <w:szCs w:val="16"/>
          <w:lang w:val="es-ES"/>
        </w:rPr>
        <w:t>supra</w:t>
      </w:r>
      <w:r w:rsidRPr="00CD6805">
        <w:rPr>
          <w:rFonts w:ascii="Verdana" w:hAnsi="Verdana"/>
          <w:sz w:val="16"/>
          <w:szCs w:val="16"/>
          <w:lang w:val="es-ES"/>
        </w:rPr>
        <w:t>,</w:t>
      </w:r>
      <w:r w:rsidRPr="00CD6805">
        <w:rPr>
          <w:rFonts w:ascii="Verdana" w:hAnsi="Verdana"/>
          <w:sz w:val="16"/>
          <w:szCs w:val="16"/>
        </w:rPr>
        <w:t xml:space="preserve"> párr. 15</w:t>
      </w:r>
      <w:r w:rsidR="001E3F2A" w:rsidRPr="00CD6805">
        <w:rPr>
          <w:rFonts w:ascii="Verdana" w:hAnsi="Verdana"/>
          <w:sz w:val="16"/>
          <w:szCs w:val="16"/>
        </w:rPr>
        <w:t xml:space="preserve">, y </w:t>
      </w:r>
      <w:r w:rsidR="001E3F2A" w:rsidRPr="00CD6805">
        <w:rPr>
          <w:rFonts w:ascii="Verdana" w:hAnsi="Verdana"/>
          <w:i/>
          <w:sz w:val="16"/>
          <w:szCs w:val="16"/>
        </w:rPr>
        <w:t>Caso Casa Nina Vs. Perú, supra</w:t>
      </w:r>
      <w:r w:rsidR="001E3F2A" w:rsidRPr="00CD6805">
        <w:rPr>
          <w:rFonts w:ascii="Verdana" w:hAnsi="Verdana"/>
          <w:iCs/>
          <w:sz w:val="16"/>
          <w:szCs w:val="16"/>
        </w:rPr>
        <w:t>, párr. 11.</w:t>
      </w:r>
    </w:p>
  </w:footnote>
  <w:footnote w:id="6">
    <w:p w14:paraId="27FF51BC" w14:textId="0285A8F1" w:rsidR="005A46F0" w:rsidRPr="00CD6805" w:rsidRDefault="005A46F0" w:rsidP="00CD6805">
      <w:pPr>
        <w:pStyle w:val="Textonotapie"/>
        <w:spacing w:before="120" w:after="120"/>
        <w:jc w:val="both"/>
        <w:rPr>
          <w:rFonts w:ascii="Verdana" w:hAnsi="Verdana"/>
          <w:sz w:val="16"/>
          <w:szCs w:val="16"/>
        </w:rPr>
      </w:pPr>
      <w:r w:rsidRPr="00CD6805">
        <w:rPr>
          <w:rStyle w:val="Refdenotaalpie"/>
          <w:rFonts w:ascii="Verdana" w:hAnsi="Verdana"/>
          <w:sz w:val="16"/>
          <w:szCs w:val="16"/>
        </w:rPr>
        <w:footnoteRef/>
      </w:r>
      <w:r w:rsidRPr="00CD6805">
        <w:rPr>
          <w:rFonts w:ascii="Verdana" w:hAnsi="Verdana"/>
          <w:sz w:val="16"/>
          <w:szCs w:val="16"/>
        </w:rPr>
        <w:t xml:space="preserve"> </w:t>
      </w:r>
      <w:r w:rsidRPr="00CD6805">
        <w:rPr>
          <w:rFonts w:ascii="Verdana" w:hAnsi="Verdana"/>
          <w:sz w:val="16"/>
          <w:szCs w:val="16"/>
        </w:rPr>
        <w:tab/>
      </w:r>
      <w:r w:rsidRPr="00CD6805">
        <w:rPr>
          <w:rFonts w:ascii="Verdana" w:hAnsi="Verdana"/>
          <w:i/>
          <w:sz w:val="16"/>
          <w:szCs w:val="16"/>
        </w:rPr>
        <w:t xml:space="preserve">Cfr. Caso Salvador Chiriboga Vs. Ecuador. Interpretación de la Sentencia de Reparaciones y Costas. </w:t>
      </w:r>
      <w:r w:rsidRPr="00CD6805">
        <w:rPr>
          <w:rFonts w:ascii="Verdana" w:hAnsi="Verdana"/>
          <w:sz w:val="16"/>
          <w:szCs w:val="16"/>
        </w:rPr>
        <w:t>Sentencia de 29 de agosto de 2011. Serie C No. 230, párr. 30</w:t>
      </w:r>
      <w:r w:rsidR="001E3F2A" w:rsidRPr="00CD6805">
        <w:rPr>
          <w:rFonts w:ascii="Verdana" w:hAnsi="Verdana"/>
          <w:sz w:val="16"/>
          <w:szCs w:val="16"/>
        </w:rPr>
        <w:t xml:space="preserve">, y </w:t>
      </w:r>
      <w:r w:rsidR="001E3F2A" w:rsidRPr="00CD6805">
        <w:rPr>
          <w:rFonts w:ascii="Verdana" w:hAnsi="Verdana"/>
          <w:i/>
          <w:sz w:val="16"/>
          <w:szCs w:val="16"/>
        </w:rPr>
        <w:t>Caso Casa Nina Vs. Perú, supra</w:t>
      </w:r>
      <w:r w:rsidR="001E3F2A" w:rsidRPr="00CD6805">
        <w:rPr>
          <w:rFonts w:ascii="Verdana" w:hAnsi="Verdana"/>
          <w:iCs/>
          <w:sz w:val="16"/>
          <w:szCs w:val="16"/>
        </w:rPr>
        <w:t>, párr. 11.</w:t>
      </w:r>
    </w:p>
  </w:footnote>
  <w:footnote w:id="7">
    <w:p w14:paraId="08EF6640" w14:textId="40980190" w:rsidR="005A46F0" w:rsidRPr="00CD6805" w:rsidRDefault="005A46F0" w:rsidP="00CD6805">
      <w:pPr>
        <w:pStyle w:val="Textonotapie"/>
        <w:spacing w:before="120" w:after="120"/>
        <w:jc w:val="both"/>
        <w:rPr>
          <w:rFonts w:ascii="Verdana" w:hAnsi="Verdana"/>
          <w:sz w:val="16"/>
          <w:szCs w:val="16"/>
        </w:rPr>
      </w:pPr>
      <w:r w:rsidRPr="00CD6805">
        <w:rPr>
          <w:rStyle w:val="Refdenotaalpie"/>
          <w:rFonts w:ascii="Verdana" w:hAnsi="Verdana"/>
          <w:sz w:val="16"/>
          <w:szCs w:val="16"/>
        </w:rPr>
        <w:footnoteRef/>
      </w:r>
      <w:r w:rsidRPr="00CD6805">
        <w:rPr>
          <w:rFonts w:ascii="Verdana" w:hAnsi="Verdana"/>
          <w:sz w:val="16"/>
          <w:szCs w:val="16"/>
        </w:rPr>
        <w:t xml:space="preserve"> </w:t>
      </w:r>
      <w:r w:rsidRPr="00CD6805">
        <w:rPr>
          <w:rFonts w:ascii="Verdana" w:hAnsi="Verdana"/>
          <w:sz w:val="16"/>
          <w:szCs w:val="16"/>
        </w:rPr>
        <w:tab/>
      </w:r>
      <w:r w:rsidRPr="00CD6805">
        <w:rPr>
          <w:rFonts w:ascii="Verdana" w:hAnsi="Verdana"/>
          <w:i/>
          <w:sz w:val="16"/>
          <w:szCs w:val="16"/>
        </w:rPr>
        <w:t>Cfr. Caso Escher y otros Vs. Brasil. Interpretación de la Sentencia de Excepciones Preliminares, Fondo, Reparaciones y Costas</w:t>
      </w:r>
      <w:r w:rsidRPr="00CD6805">
        <w:rPr>
          <w:rFonts w:ascii="Verdana" w:hAnsi="Verdana"/>
          <w:sz w:val="16"/>
          <w:szCs w:val="16"/>
        </w:rPr>
        <w:t>. Sentencia de 20 de noviembre de 2009. Serie C No. 208, párr. 11</w:t>
      </w:r>
      <w:r w:rsidR="001E3F2A" w:rsidRPr="00CD6805">
        <w:rPr>
          <w:rFonts w:ascii="Verdana" w:hAnsi="Verdana"/>
          <w:sz w:val="16"/>
          <w:szCs w:val="16"/>
        </w:rPr>
        <w:t xml:space="preserve">, y </w:t>
      </w:r>
      <w:r w:rsidR="001E3F2A" w:rsidRPr="00CD6805">
        <w:rPr>
          <w:rFonts w:ascii="Verdana" w:hAnsi="Verdana"/>
          <w:i/>
          <w:sz w:val="16"/>
          <w:szCs w:val="16"/>
        </w:rPr>
        <w:t>Caso Casa Nina Vs. Perú, supra</w:t>
      </w:r>
      <w:r w:rsidR="001E3F2A" w:rsidRPr="00CD6805">
        <w:rPr>
          <w:rFonts w:ascii="Verdana" w:hAnsi="Verdana"/>
          <w:iCs/>
          <w:sz w:val="16"/>
          <w:szCs w:val="16"/>
        </w:rPr>
        <w:t>, párr. 11.</w:t>
      </w:r>
    </w:p>
  </w:footnote>
  <w:footnote w:id="8">
    <w:p w14:paraId="27A63F70" w14:textId="77777777" w:rsidR="00CD19D0" w:rsidRPr="00CD6805" w:rsidRDefault="00CD19D0" w:rsidP="00CD6805">
      <w:pPr>
        <w:pStyle w:val="Textonotapie"/>
        <w:jc w:val="both"/>
        <w:rPr>
          <w:rFonts w:ascii="Verdana" w:hAnsi="Verdana"/>
          <w:sz w:val="16"/>
          <w:szCs w:val="16"/>
        </w:rPr>
      </w:pPr>
      <w:r w:rsidRPr="00CD6805">
        <w:rPr>
          <w:rStyle w:val="Refdenotaalpie"/>
          <w:rFonts w:ascii="Verdana" w:hAnsi="Verdana"/>
          <w:sz w:val="16"/>
          <w:szCs w:val="16"/>
        </w:rPr>
        <w:footnoteRef/>
      </w:r>
      <w:r w:rsidRPr="00CD6805">
        <w:rPr>
          <w:rFonts w:ascii="Verdana" w:hAnsi="Verdana"/>
          <w:sz w:val="16"/>
          <w:szCs w:val="16"/>
        </w:rPr>
        <w:t xml:space="preserve"> </w:t>
      </w:r>
      <w:r w:rsidRPr="00CD6805">
        <w:rPr>
          <w:rFonts w:ascii="Verdana" w:hAnsi="Verdana"/>
          <w:sz w:val="16"/>
          <w:szCs w:val="16"/>
        </w:rPr>
        <w:tab/>
      </w:r>
      <w:r w:rsidRPr="00CD6805">
        <w:rPr>
          <w:rFonts w:ascii="Verdana" w:hAnsi="Verdana"/>
          <w:i/>
          <w:sz w:val="16"/>
          <w:szCs w:val="16"/>
        </w:rPr>
        <w:t xml:space="preserve">Cfr. Caso Loayza Tamayo Vs. Perú. Interpretación de la Sentencia de Reparaciones y Costas, supra </w:t>
      </w:r>
      <w:r w:rsidRPr="00CD6805">
        <w:rPr>
          <w:rFonts w:ascii="Verdana" w:hAnsi="Verdana"/>
          <w:sz w:val="16"/>
          <w:szCs w:val="16"/>
        </w:rPr>
        <w:t xml:space="preserve">nota 3, párr. 15, y </w:t>
      </w:r>
      <w:r w:rsidRPr="00CD6805">
        <w:rPr>
          <w:rFonts w:ascii="Verdana" w:hAnsi="Verdana"/>
          <w:i/>
          <w:sz w:val="16"/>
          <w:szCs w:val="16"/>
        </w:rPr>
        <w:t>Caso Vereda La Esperanza Vs. Colombia. Interpretación de la Sentencia de Excepción Preliminar, Fondo, Reparaciones y Costas</w:t>
      </w:r>
      <w:r w:rsidRPr="00CD6805">
        <w:rPr>
          <w:rFonts w:ascii="Verdana" w:hAnsi="Verdana"/>
          <w:sz w:val="16"/>
          <w:szCs w:val="16"/>
        </w:rPr>
        <w:t xml:space="preserve">, </w:t>
      </w:r>
      <w:r w:rsidRPr="00CD6805">
        <w:rPr>
          <w:rFonts w:ascii="Verdana" w:hAnsi="Verdana"/>
          <w:i/>
          <w:sz w:val="16"/>
          <w:szCs w:val="16"/>
        </w:rPr>
        <w:t xml:space="preserve">supra </w:t>
      </w:r>
      <w:r w:rsidRPr="00CD6805">
        <w:rPr>
          <w:rFonts w:ascii="Verdana" w:hAnsi="Verdana"/>
          <w:sz w:val="16"/>
          <w:szCs w:val="16"/>
        </w:rPr>
        <w:t xml:space="preserve">nota 1, párr. 26. </w:t>
      </w:r>
    </w:p>
  </w:footnote>
  <w:footnote w:id="9">
    <w:p w14:paraId="2FDC8288" w14:textId="77777777" w:rsidR="00CD19D0" w:rsidRPr="00CD6805" w:rsidRDefault="00CD19D0" w:rsidP="00CD6805">
      <w:pPr>
        <w:pStyle w:val="Textonotapie"/>
        <w:jc w:val="both"/>
        <w:rPr>
          <w:rFonts w:ascii="Verdana" w:hAnsi="Verdana"/>
          <w:sz w:val="16"/>
          <w:szCs w:val="16"/>
        </w:rPr>
      </w:pPr>
      <w:r w:rsidRPr="00CD6805">
        <w:rPr>
          <w:rStyle w:val="Refdenotaalpie"/>
          <w:rFonts w:ascii="Verdana" w:hAnsi="Verdana"/>
          <w:sz w:val="16"/>
          <w:szCs w:val="16"/>
        </w:rPr>
        <w:footnoteRef/>
      </w:r>
      <w:r w:rsidRPr="00CD6805">
        <w:rPr>
          <w:rFonts w:ascii="Verdana" w:hAnsi="Verdana"/>
          <w:sz w:val="16"/>
          <w:szCs w:val="16"/>
        </w:rPr>
        <w:t xml:space="preserve"> </w:t>
      </w:r>
      <w:r w:rsidRPr="00CD6805">
        <w:rPr>
          <w:rFonts w:ascii="Verdana" w:hAnsi="Verdana"/>
          <w:sz w:val="16"/>
          <w:szCs w:val="16"/>
        </w:rPr>
        <w:tab/>
      </w:r>
      <w:r w:rsidRPr="00CD6805">
        <w:rPr>
          <w:rFonts w:ascii="Verdana" w:hAnsi="Verdana"/>
          <w:i/>
          <w:sz w:val="16"/>
          <w:szCs w:val="16"/>
        </w:rPr>
        <w:t xml:space="preserve">Cfr. Caso Loayza Tamayo Vs. Perú, Interpretación de la Sentencia de Reparaciones y Costas, supra </w:t>
      </w:r>
      <w:r w:rsidRPr="00CD6805">
        <w:rPr>
          <w:rFonts w:ascii="Verdana" w:hAnsi="Verdana"/>
          <w:sz w:val="16"/>
          <w:szCs w:val="16"/>
        </w:rPr>
        <w:t>nota 3</w:t>
      </w:r>
      <w:r w:rsidRPr="00CD6805">
        <w:rPr>
          <w:rFonts w:ascii="Verdana" w:hAnsi="Verdana"/>
          <w:i/>
          <w:sz w:val="16"/>
          <w:szCs w:val="16"/>
        </w:rPr>
        <w:t>,</w:t>
      </w:r>
      <w:r w:rsidRPr="00CD6805">
        <w:rPr>
          <w:rFonts w:ascii="Verdana" w:hAnsi="Verdana"/>
          <w:sz w:val="16"/>
          <w:szCs w:val="16"/>
        </w:rPr>
        <w:t xml:space="preserve"> párr. 16, y </w:t>
      </w:r>
      <w:r w:rsidRPr="00CD6805">
        <w:rPr>
          <w:rFonts w:ascii="Verdana" w:hAnsi="Verdana"/>
          <w:i/>
          <w:sz w:val="16"/>
          <w:szCs w:val="16"/>
        </w:rPr>
        <w:t>Caso Vereda La Esperanza Vs. Colombia. Interpretación de la Sentencia de Excepción Preliminar, Fondo, Reparaciones y Costas</w:t>
      </w:r>
      <w:r w:rsidRPr="00CD6805">
        <w:rPr>
          <w:rFonts w:ascii="Verdana" w:hAnsi="Verdana"/>
          <w:sz w:val="16"/>
          <w:szCs w:val="16"/>
        </w:rPr>
        <w:t xml:space="preserve">, </w:t>
      </w:r>
      <w:r w:rsidRPr="00CD6805">
        <w:rPr>
          <w:rFonts w:ascii="Verdana" w:hAnsi="Verdana"/>
          <w:i/>
          <w:sz w:val="16"/>
          <w:szCs w:val="16"/>
        </w:rPr>
        <w:t xml:space="preserve">supra </w:t>
      </w:r>
      <w:r w:rsidRPr="00CD6805">
        <w:rPr>
          <w:rFonts w:ascii="Verdana" w:hAnsi="Verdana"/>
          <w:sz w:val="16"/>
          <w:szCs w:val="16"/>
        </w:rPr>
        <w:t>nota 1, párr. 26.</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6E3D3A"/>
    <w:multiLevelType w:val="hybridMultilevel"/>
    <w:tmpl w:val="7C400068"/>
    <w:lvl w:ilvl="0" w:tplc="EFD08706">
      <w:start w:val="1"/>
      <w:numFmt w:val="upperLetter"/>
      <w:lvlText w:val="%1."/>
      <w:lvlJc w:val="left"/>
      <w:pPr>
        <w:ind w:left="1068" w:hanging="360"/>
      </w:pPr>
      <w:rPr>
        <w:rFonts w:hint="default"/>
      </w:rPr>
    </w:lvl>
    <w:lvl w:ilvl="1" w:tplc="140A0019" w:tentative="1">
      <w:start w:val="1"/>
      <w:numFmt w:val="lowerLetter"/>
      <w:lvlText w:val="%2."/>
      <w:lvlJc w:val="left"/>
      <w:pPr>
        <w:ind w:left="1788" w:hanging="360"/>
      </w:pPr>
    </w:lvl>
    <w:lvl w:ilvl="2" w:tplc="140A001B" w:tentative="1">
      <w:start w:val="1"/>
      <w:numFmt w:val="lowerRoman"/>
      <w:lvlText w:val="%3."/>
      <w:lvlJc w:val="right"/>
      <w:pPr>
        <w:ind w:left="2508" w:hanging="180"/>
      </w:pPr>
    </w:lvl>
    <w:lvl w:ilvl="3" w:tplc="140A000F" w:tentative="1">
      <w:start w:val="1"/>
      <w:numFmt w:val="decimal"/>
      <w:lvlText w:val="%4."/>
      <w:lvlJc w:val="left"/>
      <w:pPr>
        <w:ind w:left="3228" w:hanging="360"/>
      </w:pPr>
    </w:lvl>
    <w:lvl w:ilvl="4" w:tplc="140A0019" w:tentative="1">
      <w:start w:val="1"/>
      <w:numFmt w:val="lowerLetter"/>
      <w:lvlText w:val="%5."/>
      <w:lvlJc w:val="left"/>
      <w:pPr>
        <w:ind w:left="3948" w:hanging="360"/>
      </w:pPr>
    </w:lvl>
    <w:lvl w:ilvl="5" w:tplc="140A001B" w:tentative="1">
      <w:start w:val="1"/>
      <w:numFmt w:val="lowerRoman"/>
      <w:lvlText w:val="%6."/>
      <w:lvlJc w:val="right"/>
      <w:pPr>
        <w:ind w:left="4668" w:hanging="180"/>
      </w:pPr>
    </w:lvl>
    <w:lvl w:ilvl="6" w:tplc="140A000F" w:tentative="1">
      <w:start w:val="1"/>
      <w:numFmt w:val="decimal"/>
      <w:lvlText w:val="%7."/>
      <w:lvlJc w:val="left"/>
      <w:pPr>
        <w:ind w:left="5388" w:hanging="360"/>
      </w:pPr>
    </w:lvl>
    <w:lvl w:ilvl="7" w:tplc="140A0019" w:tentative="1">
      <w:start w:val="1"/>
      <w:numFmt w:val="lowerLetter"/>
      <w:lvlText w:val="%8."/>
      <w:lvlJc w:val="left"/>
      <w:pPr>
        <w:ind w:left="6108" w:hanging="360"/>
      </w:pPr>
    </w:lvl>
    <w:lvl w:ilvl="8" w:tplc="140A001B" w:tentative="1">
      <w:start w:val="1"/>
      <w:numFmt w:val="lowerRoman"/>
      <w:lvlText w:val="%9."/>
      <w:lvlJc w:val="right"/>
      <w:pPr>
        <w:ind w:left="6828" w:hanging="180"/>
      </w:pPr>
    </w:lvl>
  </w:abstractNum>
  <w:abstractNum w:abstractNumId="1" w15:restartNumberingAfterBreak="0">
    <w:nsid w:val="4CBF02C5"/>
    <w:multiLevelType w:val="hybridMultilevel"/>
    <w:tmpl w:val="20D87998"/>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 w15:restartNumberingAfterBreak="0">
    <w:nsid w:val="6AC42F37"/>
    <w:multiLevelType w:val="hybridMultilevel"/>
    <w:tmpl w:val="A5A06084"/>
    <w:lvl w:ilvl="0" w:tplc="2328138C">
      <w:start w:val="1"/>
      <w:numFmt w:val="decimal"/>
      <w:lvlText w:val="%1."/>
      <w:lvlJc w:val="left"/>
      <w:pPr>
        <w:ind w:left="2771" w:hanging="360"/>
      </w:pPr>
      <w:rPr>
        <w:rFonts w:hint="default"/>
        <w:b w:val="0"/>
        <w:i w:val="0"/>
      </w:rPr>
    </w:lvl>
    <w:lvl w:ilvl="1" w:tplc="140A0019">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 w15:restartNumberingAfterBreak="0">
    <w:nsid w:val="7CE64D32"/>
    <w:multiLevelType w:val="hybridMultilevel"/>
    <w:tmpl w:val="F94C7190"/>
    <w:lvl w:ilvl="0" w:tplc="B49EC3C2">
      <w:start w:val="1"/>
      <w:numFmt w:val="decimal"/>
      <w:lvlText w:val="%1."/>
      <w:lvlJc w:val="left"/>
      <w:pPr>
        <w:tabs>
          <w:tab w:val="num" w:pos="1247"/>
        </w:tabs>
        <w:ind w:left="0" w:firstLine="0"/>
      </w:pPr>
      <w:rPr>
        <w:rFonts w:ascii="Verdana" w:eastAsia="Times" w:hAnsi="Verdana" w:cs="Times New Roman"/>
        <w:b w:val="0"/>
        <w:i w:val="0"/>
        <w:strike w:val="0"/>
        <w:color w:val="auto"/>
        <w:sz w:val="20"/>
        <w:lang w:val="es-CR"/>
      </w:rPr>
    </w:lvl>
    <w:lvl w:ilvl="1" w:tplc="91ECB87E">
      <w:start w:val="1"/>
      <w:numFmt w:val="lowerLetter"/>
      <w:lvlText w:val="%2)"/>
      <w:lvlJc w:val="left"/>
      <w:pPr>
        <w:tabs>
          <w:tab w:val="num" w:pos="1080"/>
        </w:tabs>
        <w:ind w:left="1080" w:hanging="360"/>
      </w:pPr>
      <w:rPr>
        <w:rFonts w:hint="default"/>
        <w:b w:val="0"/>
        <w:i w:val="0"/>
        <w:sz w:val="20"/>
      </w:rPr>
    </w:lvl>
    <w:lvl w:ilvl="2" w:tplc="001B0409">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num w:numId="1" w16cid:durableId="1583639971">
    <w:abstractNumId w:val="2"/>
  </w:num>
  <w:num w:numId="2" w16cid:durableId="1392120266">
    <w:abstractNumId w:val="0"/>
  </w:num>
  <w:num w:numId="3" w16cid:durableId="2119717688">
    <w:abstractNumId w:val="1"/>
  </w:num>
  <w:num w:numId="4" w16cid:durableId="10754717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1AF5"/>
    <w:rsid w:val="00010071"/>
    <w:rsid w:val="00022DDF"/>
    <w:rsid w:val="00032504"/>
    <w:rsid w:val="000400A5"/>
    <w:rsid w:val="00040C34"/>
    <w:rsid w:val="00060A5C"/>
    <w:rsid w:val="00063229"/>
    <w:rsid w:val="00074340"/>
    <w:rsid w:val="00086243"/>
    <w:rsid w:val="00087B2C"/>
    <w:rsid w:val="000931E7"/>
    <w:rsid w:val="00095380"/>
    <w:rsid w:val="000A3CBA"/>
    <w:rsid w:val="000A3FAC"/>
    <w:rsid w:val="000B52DB"/>
    <w:rsid w:val="000E7ADA"/>
    <w:rsid w:val="000F4D31"/>
    <w:rsid w:val="0011054A"/>
    <w:rsid w:val="00110F66"/>
    <w:rsid w:val="0011170C"/>
    <w:rsid w:val="001266A4"/>
    <w:rsid w:val="00133294"/>
    <w:rsid w:val="00133EE6"/>
    <w:rsid w:val="00144B69"/>
    <w:rsid w:val="00145B65"/>
    <w:rsid w:val="00151723"/>
    <w:rsid w:val="00160B33"/>
    <w:rsid w:val="0016672D"/>
    <w:rsid w:val="001708A3"/>
    <w:rsid w:val="00170E42"/>
    <w:rsid w:val="001710CC"/>
    <w:rsid w:val="00180C1E"/>
    <w:rsid w:val="001839D3"/>
    <w:rsid w:val="00185E1C"/>
    <w:rsid w:val="001928E4"/>
    <w:rsid w:val="001A3EFE"/>
    <w:rsid w:val="001A4938"/>
    <w:rsid w:val="001C060F"/>
    <w:rsid w:val="001D0605"/>
    <w:rsid w:val="001D3FC0"/>
    <w:rsid w:val="001D55D9"/>
    <w:rsid w:val="001D6B1C"/>
    <w:rsid w:val="001E2757"/>
    <w:rsid w:val="001E3F2A"/>
    <w:rsid w:val="001F0837"/>
    <w:rsid w:val="001F283B"/>
    <w:rsid w:val="002033CA"/>
    <w:rsid w:val="00226204"/>
    <w:rsid w:val="00236B2C"/>
    <w:rsid w:val="002471A6"/>
    <w:rsid w:val="00261D91"/>
    <w:rsid w:val="002631D9"/>
    <w:rsid w:val="002656AA"/>
    <w:rsid w:val="00265EB7"/>
    <w:rsid w:val="00280381"/>
    <w:rsid w:val="002A5213"/>
    <w:rsid w:val="002A5974"/>
    <w:rsid w:val="002A7B26"/>
    <w:rsid w:val="002B371E"/>
    <w:rsid w:val="002C083D"/>
    <w:rsid w:val="002C624F"/>
    <w:rsid w:val="002D32C9"/>
    <w:rsid w:val="002E5E50"/>
    <w:rsid w:val="002F0927"/>
    <w:rsid w:val="003073E9"/>
    <w:rsid w:val="003170D7"/>
    <w:rsid w:val="00321C2D"/>
    <w:rsid w:val="00324613"/>
    <w:rsid w:val="00324C43"/>
    <w:rsid w:val="00326C79"/>
    <w:rsid w:val="003314C4"/>
    <w:rsid w:val="00332091"/>
    <w:rsid w:val="003402F5"/>
    <w:rsid w:val="00341E9C"/>
    <w:rsid w:val="0035795D"/>
    <w:rsid w:val="00361E2E"/>
    <w:rsid w:val="00373D50"/>
    <w:rsid w:val="00375475"/>
    <w:rsid w:val="00375A21"/>
    <w:rsid w:val="00376282"/>
    <w:rsid w:val="00376909"/>
    <w:rsid w:val="003A4B36"/>
    <w:rsid w:val="003A673A"/>
    <w:rsid w:val="003C0A35"/>
    <w:rsid w:val="003C1385"/>
    <w:rsid w:val="003E11EF"/>
    <w:rsid w:val="003E4FE8"/>
    <w:rsid w:val="00400784"/>
    <w:rsid w:val="00410F7A"/>
    <w:rsid w:val="004204CB"/>
    <w:rsid w:val="00420FF8"/>
    <w:rsid w:val="00427A9E"/>
    <w:rsid w:val="00427E24"/>
    <w:rsid w:val="00434EA5"/>
    <w:rsid w:val="0043503C"/>
    <w:rsid w:val="0046227F"/>
    <w:rsid w:val="00475ABD"/>
    <w:rsid w:val="00481570"/>
    <w:rsid w:val="004A56D9"/>
    <w:rsid w:val="004B3279"/>
    <w:rsid w:val="004B5867"/>
    <w:rsid w:val="004C1C3B"/>
    <w:rsid w:val="004C3C96"/>
    <w:rsid w:val="004C41BC"/>
    <w:rsid w:val="004D6574"/>
    <w:rsid w:val="004F0814"/>
    <w:rsid w:val="004F36A8"/>
    <w:rsid w:val="00503125"/>
    <w:rsid w:val="00522A34"/>
    <w:rsid w:val="00544E1E"/>
    <w:rsid w:val="00581803"/>
    <w:rsid w:val="005A0A84"/>
    <w:rsid w:val="005A26AE"/>
    <w:rsid w:val="005A46F0"/>
    <w:rsid w:val="005A693B"/>
    <w:rsid w:val="005E5674"/>
    <w:rsid w:val="005E758C"/>
    <w:rsid w:val="005F3243"/>
    <w:rsid w:val="0060124A"/>
    <w:rsid w:val="00615705"/>
    <w:rsid w:val="00621CF1"/>
    <w:rsid w:val="00631872"/>
    <w:rsid w:val="0064124E"/>
    <w:rsid w:val="006440E3"/>
    <w:rsid w:val="006522B5"/>
    <w:rsid w:val="006531FA"/>
    <w:rsid w:val="00653764"/>
    <w:rsid w:val="006604DD"/>
    <w:rsid w:val="006A044A"/>
    <w:rsid w:val="006A44D4"/>
    <w:rsid w:val="006A4578"/>
    <w:rsid w:val="006A490F"/>
    <w:rsid w:val="006B1039"/>
    <w:rsid w:val="006B478B"/>
    <w:rsid w:val="006D5D01"/>
    <w:rsid w:val="006E0069"/>
    <w:rsid w:val="006E0CDE"/>
    <w:rsid w:val="006F1078"/>
    <w:rsid w:val="006F14CA"/>
    <w:rsid w:val="006F7956"/>
    <w:rsid w:val="00710618"/>
    <w:rsid w:val="00713644"/>
    <w:rsid w:val="00714A27"/>
    <w:rsid w:val="00722496"/>
    <w:rsid w:val="0072420A"/>
    <w:rsid w:val="00726F1E"/>
    <w:rsid w:val="00746811"/>
    <w:rsid w:val="00755EFA"/>
    <w:rsid w:val="007B00E2"/>
    <w:rsid w:val="007D4DDA"/>
    <w:rsid w:val="007E2281"/>
    <w:rsid w:val="007F245B"/>
    <w:rsid w:val="008002A7"/>
    <w:rsid w:val="008035C9"/>
    <w:rsid w:val="0082431C"/>
    <w:rsid w:val="00844AF2"/>
    <w:rsid w:val="00863220"/>
    <w:rsid w:val="008943BD"/>
    <w:rsid w:val="00896292"/>
    <w:rsid w:val="008976FB"/>
    <w:rsid w:val="008A2975"/>
    <w:rsid w:val="008B7F2D"/>
    <w:rsid w:val="008C46FA"/>
    <w:rsid w:val="008D7E03"/>
    <w:rsid w:val="008E5F15"/>
    <w:rsid w:val="00901C33"/>
    <w:rsid w:val="00901CDD"/>
    <w:rsid w:val="00911BEB"/>
    <w:rsid w:val="00920089"/>
    <w:rsid w:val="009261B6"/>
    <w:rsid w:val="00942BFC"/>
    <w:rsid w:val="00955192"/>
    <w:rsid w:val="00965CDE"/>
    <w:rsid w:val="00970BC9"/>
    <w:rsid w:val="0097477B"/>
    <w:rsid w:val="0097779B"/>
    <w:rsid w:val="00980FAD"/>
    <w:rsid w:val="00991567"/>
    <w:rsid w:val="00997956"/>
    <w:rsid w:val="009C24A3"/>
    <w:rsid w:val="009D0958"/>
    <w:rsid w:val="009D2EFC"/>
    <w:rsid w:val="009D78B6"/>
    <w:rsid w:val="009F529A"/>
    <w:rsid w:val="00A03487"/>
    <w:rsid w:val="00A2244B"/>
    <w:rsid w:val="00A23800"/>
    <w:rsid w:val="00A53C30"/>
    <w:rsid w:val="00A53CCD"/>
    <w:rsid w:val="00A57ACC"/>
    <w:rsid w:val="00A57FD4"/>
    <w:rsid w:val="00A812AD"/>
    <w:rsid w:val="00A9174A"/>
    <w:rsid w:val="00A91FE9"/>
    <w:rsid w:val="00A95CF0"/>
    <w:rsid w:val="00A96F1F"/>
    <w:rsid w:val="00AA3653"/>
    <w:rsid w:val="00AA67ED"/>
    <w:rsid w:val="00AB6287"/>
    <w:rsid w:val="00AC029B"/>
    <w:rsid w:val="00AC4A3F"/>
    <w:rsid w:val="00AD3535"/>
    <w:rsid w:val="00AF1F82"/>
    <w:rsid w:val="00AF3AF1"/>
    <w:rsid w:val="00B0312F"/>
    <w:rsid w:val="00B201EF"/>
    <w:rsid w:val="00B22E3D"/>
    <w:rsid w:val="00B42449"/>
    <w:rsid w:val="00B4304E"/>
    <w:rsid w:val="00B56BD8"/>
    <w:rsid w:val="00B71305"/>
    <w:rsid w:val="00B71D94"/>
    <w:rsid w:val="00B77504"/>
    <w:rsid w:val="00B84743"/>
    <w:rsid w:val="00B84B9D"/>
    <w:rsid w:val="00B93039"/>
    <w:rsid w:val="00B952BD"/>
    <w:rsid w:val="00BA4750"/>
    <w:rsid w:val="00BB2E11"/>
    <w:rsid w:val="00BB324D"/>
    <w:rsid w:val="00BC3CC7"/>
    <w:rsid w:val="00BC7D2C"/>
    <w:rsid w:val="00BD5ECF"/>
    <w:rsid w:val="00BE4C99"/>
    <w:rsid w:val="00BF1009"/>
    <w:rsid w:val="00C04DFF"/>
    <w:rsid w:val="00C16757"/>
    <w:rsid w:val="00C214C5"/>
    <w:rsid w:val="00C46276"/>
    <w:rsid w:val="00C66FA1"/>
    <w:rsid w:val="00C807F4"/>
    <w:rsid w:val="00C92362"/>
    <w:rsid w:val="00C92789"/>
    <w:rsid w:val="00C92D55"/>
    <w:rsid w:val="00CB2E7C"/>
    <w:rsid w:val="00CB4AC8"/>
    <w:rsid w:val="00CB6EA3"/>
    <w:rsid w:val="00CC0CC7"/>
    <w:rsid w:val="00CC22B5"/>
    <w:rsid w:val="00CD19D0"/>
    <w:rsid w:val="00CD6805"/>
    <w:rsid w:val="00CF0B63"/>
    <w:rsid w:val="00CF1F29"/>
    <w:rsid w:val="00D36B82"/>
    <w:rsid w:val="00D67FAA"/>
    <w:rsid w:val="00D86C19"/>
    <w:rsid w:val="00D900B1"/>
    <w:rsid w:val="00D91AF5"/>
    <w:rsid w:val="00D95718"/>
    <w:rsid w:val="00D9704A"/>
    <w:rsid w:val="00DA0F3F"/>
    <w:rsid w:val="00DB3CF0"/>
    <w:rsid w:val="00DB501C"/>
    <w:rsid w:val="00DB6BFC"/>
    <w:rsid w:val="00DC6C13"/>
    <w:rsid w:val="00DD6E9C"/>
    <w:rsid w:val="00DE2817"/>
    <w:rsid w:val="00DF5C3F"/>
    <w:rsid w:val="00E02941"/>
    <w:rsid w:val="00E27624"/>
    <w:rsid w:val="00E50A7F"/>
    <w:rsid w:val="00E537C8"/>
    <w:rsid w:val="00E717CE"/>
    <w:rsid w:val="00E91352"/>
    <w:rsid w:val="00E935A2"/>
    <w:rsid w:val="00EA3055"/>
    <w:rsid w:val="00EA35A6"/>
    <w:rsid w:val="00EB5B4E"/>
    <w:rsid w:val="00EB7379"/>
    <w:rsid w:val="00EC4C5D"/>
    <w:rsid w:val="00EC7CC4"/>
    <w:rsid w:val="00EE2A07"/>
    <w:rsid w:val="00EE3104"/>
    <w:rsid w:val="00EF49F3"/>
    <w:rsid w:val="00EF612F"/>
    <w:rsid w:val="00EF6514"/>
    <w:rsid w:val="00F2129C"/>
    <w:rsid w:val="00F22F09"/>
    <w:rsid w:val="00F331C5"/>
    <w:rsid w:val="00F42B42"/>
    <w:rsid w:val="00F80AA4"/>
    <w:rsid w:val="00F911EA"/>
    <w:rsid w:val="00F964CF"/>
    <w:rsid w:val="00F96DF4"/>
    <w:rsid w:val="00FB66CD"/>
    <w:rsid w:val="00FD541B"/>
    <w:rsid w:val="00FD56E3"/>
    <w:rsid w:val="00FE0809"/>
    <w:rsid w:val="00FE1DB5"/>
    <w:rsid w:val="00FE70DC"/>
    <w:rsid w:val="00FF553B"/>
    <w:rsid w:val="00FF5E48"/>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144627"/>
  <w15:docId w15:val="{CB04CBD7-1B72-494F-B82A-329EB104AA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B2E7C"/>
    <w:pPr>
      <w:ind w:left="720"/>
      <w:contextualSpacing/>
    </w:pPr>
  </w:style>
  <w:style w:type="paragraph" w:styleId="Textonotapie">
    <w:name w:val="footnote text"/>
    <w:aliases w:val="Footnote Text Char Char Char Char Char,Footnote Text Char Char Char Char,Footnote reference,FA Fu,Footnote Text Char Char Char,Footnote Text Cha,FA Fußnotentext,FA Fuﬂnotentext,Footnote Text Char Char,FA Fu?notentext,Ca"/>
    <w:basedOn w:val="Normal"/>
    <w:link w:val="TextonotapieCar"/>
    <w:unhideWhenUsed/>
    <w:qFormat/>
    <w:rsid w:val="00A57ACC"/>
    <w:pPr>
      <w:spacing w:after="0" w:line="240" w:lineRule="auto"/>
    </w:pPr>
    <w:rPr>
      <w:sz w:val="20"/>
      <w:szCs w:val="20"/>
    </w:rPr>
  </w:style>
  <w:style w:type="character" w:customStyle="1" w:styleId="TextonotapieCar">
    <w:name w:val="Texto nota pie Car"/>
    <w:aliases w:val="Footnote Text Char Char Char Char Char Car1,Footnote Text Char Char Char Char Car1,Footnote reference Car1,FA Fu Car1,Footnote Text Char Char Char Car1,Footnote Text Cha Car1,FA Fußnotentext Car1,FA Fuﬂnotentext Car1,Ca Car"/>
    <w:basedOn w:val="Fuentedeprrafopredeter"/>
    <w:link w:val="Textonotapie"/>
    <w:rsid w:val="00A57ACC"/>
    <w:rPr>
      <w:sz w:val="20"/>
      <w:szCs w:val="20"/>
    </w:rPr>
  </w:style>
  <w:style w:type="character" w:styleId="Refdenotaalpie">
    <w:name w:val="footnote reference"/>
    <w:aliases w:val="Texto de nota al pie,Appel note de bas de page,Footnotes refss,Footnote number,referencia nota al pie,BVI fnr,f,4_G,16 Point,Superscript 6 Point,Texto nota al pie,Footnote Reference Char3,Footnote Reference Char1 Char,Ref. de nota al"/>
    <w:basedOn w:val="Fuentedeprrafopredeter"/>
    <w:link w:val="4GChar"/>
    <w:uiPriority w:val="99"/>
    <w:unhideWhenUsed/>
    <w:qFormat/>
    <w:rsid w:val="00A57ACC"/>
    <w:rPr>
      <w:vertAlign w:val="superscript"/>
    </w:rPr>
  </w:style>
  <w:style w:type="character" w:styleId="Nmerodelnea">
    <w:name w:val="line number"/>
    <w:basedOn w:val="Fuentedeprrafopredeter"/>
    <w:uiPriority w:val="99"/>
    <w:semiHidden/>
    <w:unhideWhenUsed/>
    <w:rsid w:val="00FE1DB5"/>
  </w:style>
  <w:style w:type="paragraph" w:styleId="Encabezado">
    <w:name w:val="header"/>
    <w:aliases w:val="encabezado"/>
    <w:basedOn w:val="Normal"/>
    <w:link w:val="EncabezadoCar"/>
    <w:uiPriority w:val="99"/>
    <w:unhideWhenUsed/>
    <w:rsid w:val="00FE1DB5"/>
    <w:pPr>
      <w:tabs>
        <w:tab w:val="center" w:pos="4680"/>
        <w:tab w:val="right" w:pos="9360"/>
      </w:tabs>
      <w:spacing w:after="0" w:line="240" w:lineRule="auto"/>
    </w:pPr>
  </w:style>
  <w:style w:type="character" w:customStyle="1" w:styleId="EncabezadoCar">
    <w:name w:val="Encabezado Car"/>
    <w:aliases w:val="encabezado Car"/>
    <w:basedOn w:val="Fuentedeprrafopredeter"/>
    <w:link w:val="Encabezado"/>
    <w:uiPriority w:val="99"/>
    <w:rsid w:val="00FE1DB5"/>
  </w:style>
  <w:style w:type="paragraph" w:styleId="Piedepgina">
    <w:name w:val="footer"/>
    <w:basedOn w:val="Normal"/>
    <w:link w:val="PiedepginaCar"/>
    <w:uiPriority w:val="99"/>
    <w:unhideWhenUsed/>
    <w:rsid w:val="00FE1DB5"/>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FE1DB5"/>
  </w:style>
  <w:style w:type="paragraph" w:styleId="Textodeglobo">
    <w:name w:val="Balloon Text"/>
    <w:basedOn w:val="Normal"/>
    <w:link w:val="TextodegloboCar"/>
    <w:uiPriority w:val="99"/>
    <w:semiHidden/>
    <w:unhideWhenUsed/>
    <w:rsid w:val="00CB6EA3"/>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B6EA3"/>
    <w:rPr>
      <w:rFonts w:ascii="Tahoma" w:hAnsi="Tahoma" w:cs="Tahoma"/>
      <w:sz w:val="16"/>
      <w:szCs w:val="16"/>
    </w:rPr>
  </w:style>
  <w:style w:type="character" w:styleId="Refdecomentario">
    <w:name w:val="annotation reference"/>
    <w:basedOn w:val="Fuentedeprrafopredeter"/>
    <w:uiPriority w:val="99"/>
    <w:semiHidden/>
    <w:unhideWhenUsed/>
    <w:rsid w:val="005A46F0"/>
    <w:rPr>
      <w:sz w:val="16"/>
      <w:szCs w:val="16"/>
    </w:rPr>
  </w:style>
  <w:style w:type="paragraph" w:styleId="Textocomentario">
    <w:name w:val="annotation text"/>
    <w:basedOn w:val="Normal"/>
    <w:link w:val="TextocomentarioCar"/>
    <w:uiPriority w:val="99"/>
    <w:unhideWhenUsed/>
    <w:rsid w:val="005A46F0"/>
    <w:pPr>
      <w:spacing w:line="240" w:lineRule="auto"/>
    </w:pPr>
    <w:rPr>
      <w:sz w:val="20"/>
      <w:szCs w:val="20"/>
    </w:rPr>
  </w:style>
  <w:style w:type="character" w:customStyle="1" w:styleId="TextocomentarioCar">
    <w:name w:val="Texto comentario Car"/>
    <w:basedOn w:val="Fuentedeprrafopredeter"/>
    <w:link w:val="Textocomentario"/>
    <w:uiPriority w:val="99"/>
    <w:rsid w:val="005A46F0"/>
    <w:rPr>
      <w:sz w:val="20"/>
      <w:szCs w:val="20"/>
    </w:rPr>
  </w:style>
  <w:style w:type="paragraph" w:styleId="Asuntodelcomentario">
    <w:name w:val="annotation subject"/>
    <w:basedOn w:val="Textocomentario"/>
    <w:next w:val="Textocomentario"/>
    <w:link w:val="AsuntodelcomentarioCar"/>
    <w:uiPriority w:val="99"/>
    <w:semiHidden/>
    <w:unhideWhenUsed/>
    <w:rsid w:val="005A46F0"/>
    <w:rPr>
      <w:b/>
      <w:bCs/>
    </w:rPr>
  </w:style>
  <w:style w:type="character" w:customStyle="1" w:styleId="AsuntodelcomentarioCar">
    <w:name w:val="Asunto del comentario Car"/>
    <w:basedOn w:val="TextocomentarioCar"/>
    <w:link w:val="Asuntodelcomentario"/>
    <w:uiPriority w:val="99"/>
    <w:semiHidden/>
    <w:rsid w:val="005A46F0"/>
    <w:rPr>
      <w:b/>
      <w:bCs/>
      <w:sz w:val="20"/>
      <w:szCs w:val="20"/>
    </w:rPr>
  </w:style>
  <w:style w:type="character" w:customStyle="1" w:styleId="TextonotapieCar1">
    <w:name w:val="Texto nota pie Car1"/>
    <w:aliases w:val="Footnote Text Char Char Char Char Char Car,Footnote Text Char Char Char Char Car,Footnote reference Car,FA Fu Car,Footnote Text Char Char Char Car,Footnote Text Cha Car,FA Fußnotentext Car,FA Fuﬂnotentext Car,Texto nota pie Car Car"/>
    <w:basedOn w:val="Fuentedeprrafopredeter"/>
    <w:qFormat/>
    <w:rsid w:val="005A46F0"/>
    <w:rPr>
      <w:rFonts w:ascii="Calibri" w:eastAsia="Calibri" w:hAnsi="Calibri" w:cs="Times New Roman"/>
      <w:sz w:val="20"/>
      <w:szCs w:val="20"/>
      <w:lang w:val="x-none" w:eastAsia="x-none"/>
    </w:r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Refdenotaalpie"/>
    <w:uiPriority w:val="99"/>
    <w:qFormat/>
    <w:rsid w:val="005A46F0"/>
    <w:pPr>
      <w:spacing w:after="0" w:line="240" w:lineRule="auto"/>
      <w:jc w:val="both"/>
    </w:pPr>
    <w:rPr>
      <w:vertAlign w:val="superscript"/>
    </w:rPr>
  </w:style>
  <w:style w:type="paragraph" w:styleId="Revisin">
    <w:name w:val="Revision"/>
    <w:hidden/>
    <w:uiPriority w:val="99"/>
    <w:semiHidden/>
    <w:rsid w:val="00F911E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8789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498E54C-461E-4AE1-9B75-05193B6596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Pages>
  <Words>3328</Words>
  <Characters>18308</Characters>
  <Application>Microsoft Office Word</Application>
  <DocSecurity>0</DocSecurity>
  <Lines>152</Lines>
  <Paragraphs>43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21593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Corte IDH</dc:creator>
  <cp:lastModifiedBy>Alicia Campos</cp:lastModifiedBy>
  <cp:revision>5</cp:revision>
  <cp:lastPrinted>2022-07-28T13:56:00Z</cp:lastPrinted>
  <dcterms:created xsi:type="dcterms:W3CDTF">2022-09-08T18:39:00Z</dcterms:created>
  <dcterms:modified xsi:type="dcterms:W3CDTF">2022-09-09T17:24:00Z</dcterms:modified>
</cp:coreProperties>
</file>