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53965" w14:textId="77777777" w:rsidR="001A0BD0" w:rsidRPr="0095692E" w:rsidRDefault="001A0BD0" w:rsidP="00A80648">
      <w:pPr>
        <w:pStyle w:val="Ttulo"/>
        <w:numPr>
          <w:ilvl w:val="0"/>
          <w:numId w:val="0"/>
        </w:numPr>
        <w:ind w:left="708" w:right="-138" w:hanging="708"/>
        <w:rPr>
          <w:rFonts w:eastAsia="MS Mincho"/>
          <w:b w:val="0"/>
          <w:lang w:val="es-CR"/>
        </w:rPr>
      </w:pPr>
    </w:p>
    <w:p w14:paraId="7F37B13A" w14:textId="77777777" w:rsidR="001A0BD0" w:rsidRPr="0095692E" w:rsidRDefault="001A0BD0" w:rsidP="00A80648">
      <w:pPr>
        <w:pStyle w:val="Ttulo"/>
        <w:numPr>
          <w:ilvl w:val="0"/>
          <w:numId w:val="0"/>
        </w:numPr>
        <w:ind w:right="-138"/>
        <w:rPr>
          <w:rFonts w:eastAsia="MS Mincho"/>
          <w:b w:val="0"/>
          <w:lang w:val="es-CR"/>
        </w:rPr>
      </w:pPr>
    </w:p>
    <w:p w14:paraId="151B6C85" w14:textId="59343896" w:rsidR="001A0BD0" w:rsidRPr="0095692E" w:rsidRDefault="001A0BD0" w:rsidP="00A80648">
      <w:pPr>
        <w:pStyle w:val="Ttulo"/>
        <w:numPr>
          <w:ilvl w:val="0"/>
          <w:numId w:val="0"/>
        </w:numPr>
        <w:ind w:right="-138"/>
        <w:rPr>
          <w:rFonts w:eastAsia="MS Mincho"/>
          <w:b w:val="0"/>
          <w:u w:val="single"/>
          <w:lang w:val="es-CR"/>
        </w:rPr>
      </w:pPr>
    </w:p>
    <w:p w14:paraId="581EF192" w14:textId="77777777" w:rsidR="001A0BD0" w:rsidRPr="0095692E" w:rsidRDefault="001A0BD0" w:rsidP="00A80648">
      <w:pPr>
        <w:pStyle w:val="Ttulo"/>
        <w:numPr>
          <w:ilvl w:val="0"/>
          <w:numId w:val="0"/>
        </w:numPr>
        <w:ind w:right="-138"/>
        <w:rPr>
          <w:rFonts w:eastAsia="MS Mincho"/>
          <w:b w:val="0"/>
          <w:lang w:val="es-CR"/>
        </w:rPr>
      </w:pPr>
    </w:p>
    <w:p w14:paraId="36266447" w14:textId="77777777" w:rsidR="001A0BD0" w:rsidRPr="0095692E" w:rsidRDefault="001A0BD0" w:rsidP="00A80648">
      <w:pPr>
        <w:pStyle w:val="Ttulo"/>
        <w:numPr>
          <w:ilvl w:val="0"/>
          <w:numId w:val="0"/>
        </w:numPr>
        <w:ind w:right="-138"/>
        <w:rPr>
          <w:rFonts w:eastAsia="MS Mincho"/>
          <w:b w:val="0"/>
          <w:lang w:val="es-CR"/>
        </w:rPr>
      </w:pPr>
    </w:p>
    <w:p w14:paraId="79E1C364" w14:textId="77777777" w:rsidR="001A0BD0" w:rsidRPr="0095692E" w:rsidRDefault="001A0BD0" w:rsidP="00A80648">
      <w:pPr>
        <w:pStyle w:val="Ttulo"/>
        <w:numPr>
          <w:ilvl w:val="0"/>
          <w:numId w:val="0"/>
        </w:numPr>
        <w:ind w:right="-138"/>
        <w:jc w:val="center"/>
        <w:rPr>
          <w:rFonts w:eastAsia="MS Mincho"/>
          <w:lang w:val="es-CR"/>
        </w:rPr>
      </w:pPr>
      <w:r w:rsidRPr="0095692E">
        <w:rPr>
          <w:rFonts w:eastAsia="MS Mincho"/>
          <w:lang w:val="es-CR"/>
        </w:rPr>
        <w:t>CORTE INTERAMERICANA DE DERECHOS HUMANOS</w:t>
      </w:r>
    </w:p>
    <w:p w14:paraId="6511DE18" w14:textId="77777777" w:rsidR="001A0BD0" w:rsidRPr="0095692E" w:rsidRDefault="001A0BD0" w:rsidP="00A80648">
      <w:pPr>
        <w:rPr>
          <w:rFonts w:ascii="Verdana" w:hAnsi="Verdana"/>
          <w:sz w:val="20"/>
          <w:szCs w:val="20"/>
        </w:rPr>
      </w:pPr>
    </w:p>
    <w:p w14:paraId="798227D7" w14:textId="4DC220F5" w:rsidR="001A0BD0" w:rsidRPr="0095692E" w:rsidRDefault="001A0BD0" w:rsidP="00A80648">
      <w:pPr>
        <w:autoSpaceDE w:val="0"/>
        <w:autoSpaceDN w:val="0"/>
        <w:adjustRightInd w:val="0"/>
        <w:jc w:val="center"/>
        <w:rPr>
          <w:rFonts w:ascii="Verdana" w:eastAsia="MS Mincho" w:hAnsi="Verdana"/>
          <w:b/>
          <w:sz w:val="20"/>
          <w:szCs w:val="20"/>
          <w:lang w:eastAsia="es-ES" w:bidi="en-US"/>
        </w:rPr>
      </w:pPr>
      <w:r w:rsidRPr="0095692E">
        <w:rPr>
          <w:rFonts w:ascii="Verdana" w:eastAsia="MS Mincho" w:hAnsi="Verdana"/>
          <w:b/>
          <w:sz w:val="20"/>
          <w:szCs w:val="20"/>
          <w:lang w:eastAsia="es-ES" w:bidi="en-US"/>
        </w:rPr>
        <w:t xml:space="preserve">CASO </w:t>
      </w:r>
      <w:r w:rsidR="00AD22FE" w:rsidRPr="0095692E">
        <w:rPr>
          <w:rFonts w:ascii="Verdana" w:eastAsia="MS Mincho" w:hAnsi="Verdana"/>
          <w:b/>
          <w:sz w:val="20"/>
          <w:szCs w:val="20"/>
          <w:lang w:eastAsia="es-ES" w:bidi="en-US"/>
        </w:rPr>
        <w:t>DERAS GARCÍA Y OTROS</w:t>
      </w:r>
      <w:r w:rsidR="004959D6" w:rsidRPr="0095692E">
        <w:rPr>
          <w:rFonts w:ascii="Verdana" w:eastAsia="MS Mincho" w:hAnsi="Verdana"/>
          <w:b/>
          <w:sz w:val="20"/>
          <w:szCs w:val="20"/>
          <w:lang w:eastAsia="es-ES" w:bidi="en-US"/>
        </w:rPr>
        <w:t xml:space="preserve"> VS. </w:t>
      </w:r>
      <w:r w:rsidR="00AD22FE" w:rsidRPr="0095692E">
        <w:rPr>
          <w:rFonts w:ascii="Verdana" w:eastAsia="MS Mincho" w:hAnsi="Verdana"/>
          <w:b/>
          <w:sz w:val="20"/>
          <w:szCs w:val="20"/>
          <w:lang w:eastAsia="es-ES" w:bidi="en-US"/>
        </w:rPr>
        <w:t>HONDURAS</w:t>
      </w:r>
    </w:p>
    <w:p w14:paraId="113F5D3E" w14:textId="77777777" w:rsidR="001A0BD0" w:rsidRPr="0095692E" w:rsidRDefault="001A0BD0" w:rsidP="00A80648">
      <w:pPr>
        <w:autoSpaceDE w:val="0"/>
        <w:autoSpaceDN w:val="0"/>
        <w:adjustRightInd w:val="0"/>
        <w:jc w:val="center"/>
        <w:rPr>
          <w:rFonts w:ascii="Verdana" w:eastAsia="MS Mincho" w:hAnsi="Verdana"/>
          <w:b/>
          <w:sz w:val="20"/>
          <w:szCs w:val="20"/>
          <w:lang w:eastAsia="es-ES" w:bidi="en-US"/>
        </w:rPr>
      </w:pPr>
    </w:p>
    <w:p w14:paraId="46E8C9FF" w14:textId="337B2075" w:rsidR="001A0BD0" w:rsidRPr="0095692E" w:rsidRDefault="001A0BD0" w:rsidP="00A80648">
      <w:pPr>
        <w:pStyle w:val="Ttulo"/>
        <w:numPr>
          <w:ilvl w:val="0"/>
          <w:numId w:val="0"/>
        </w:numPr>
        <w:ind w:right="-138"/>
        <w:jc w:val="center"/>
        <w:rPr>
          <w:rFonts w:eastAsia="MS Mincho"/>
          <w:lang w:val="es-CR"/>
        </w:rPr>
      </w:pPr>
      <w:r w:rsidRPr="0095692E">
        <w:rPr>
          <w:rFonts w:eastAsia="MS Mincho"/>
          <w:lang w:val="es-CR"/>
        </w:rPr>
        <w:t xml:space="preserve">SENTENCIA DE </w:t>
      </w:r>
      <w:r w:rsidR="003866B5" w:rsidRPr="0095692E">
        <w:rPr>
          <w:rFonts w:eastAsia="MS Mincho"/>
          <w:lang w:val="es-CR"/>
        </w:rPr>
        <w:t xml:space="preserve">25 </w:t>
      </w:r>
      <w:r w:rsidRPr="0095692E">
        <w:rPr>
          <w:rFonts w:eastAsia="MS Mincho"/>
          <w:lang w:val="es-CR"/>
        </w:rPr>
        <w:t xml:space="preserve">DE </w:t>
      </w:r>
      <w:r w:rsidR="00AD22FE" w:rsidRPr="0095692E">
        <w:rPr>
          <w:rFonts w:eastAsia="MS Mincho"/>
          <w:lang w:val="es-CR"/>
        </w:rPr>
        <w:t>AGOSTO</w:t>
      </w:r>
      <w:r w:rsidRPr="0095692E">
        <w:rPr>
          <w:rFonts w:eastAsia="MS Mincho"/>
          <w:lang w:val="es-CR"/>
        </w:rPr>
        <w:t xml:space="preserve"> DE 202</w:t>
      </w:r>
      <w:r w:rsidR="004959D6" w:rsidRPr="0095692E">
        <w:rPr>
          <w:rFonts w:eastAsia="MS Mincho"/>
          <w:lang w:val="es-CR"/>
        </w:rPr>
        <w:t>2</w:t>
      </w:r>
    </w:p>
    <w:p w14:paraId="6B9A177F" w14:textId="77777777" w:rsidR="001A0BD0" w:rsidRPr="0095692E" w:rsidRDefault="001A0BD0" w:rsidP="00A80648">
      <w:pPr>
        <w:pStyle w:val="Ttulo"/>
        <w:numPr>
          <w:ilvl w:val="0"/>
          <w:numId w:val="0"/>
        </w:numPr>
        <w:ind w:right="-138"/>
        <w:jc w:val="center"/>
        <w:rPr>
          <w:rFonts w:eastAsia="MS Mincho"/>
          <w:i/>
          <w:lang w:val="es-CR"/>
        </w:rPr>
      </w:pPr>
      <w:r w:rsidRPr="0095692E">
        <w:rPr>
          <w:rFonts w:eastAsia="MS Mincho"/>
          <w:i/>
          <w:lang w:val="es-CR"/>
        </w:rPr>
        <w:t>(Fondo, Reparaciones y Costas)</w:t>
      </w:r>
    </w:p>
    <w:p w14:paraId="11845781" w14:textId="77777777" w:rsidR="001A0BD0" w:rsidRPr="0095692E" w:rsidRDefault="001A0BD0" w:rsidP="00A80648">
      <w:pPr>
        <w:pStyle w:val="Ttulo"/>
        <w:numPr>
          <w:ilvl w:val="0"/>
          <w:numId w:val="0"/>
        </w:numPr>
        <w:ind w:left="-502" w:right="-138"/>
        <w:rPr>
          <w:rFonts w:eastAsia="MS Mincho"/>
          <w:b w:val="0"/>
          <w:lang w:val="es-CR"/>
        </w:rPr>
      </w:pPr>
    </w:p>
    <w:p w14:paraId="1D1DA6CA" w14:textId="77777777" w:rsidR="001A0BD0" w:rsidRPr="0095692E" w:rsidRDefault="001A0BD0" w:rsidP="00A80648">
      <w:pPr>
        <w:jc w:val="both"/>
        <w:rPr>
          <w:rFonts w:ascii="Verdana" w:hAnsi="Verdana"/>
          <w:sz w:val="20"/>
          <w:szCs w:val="20"/>
        </w:rPr>
      </w:pPr>
    </w:p>
    <w:p w14:paraId="15944C55" w14:textId="77777777" w:rsidR="001A0BD0" w:rsidRPr="0095692E" w:rsidRDefault="001A0BD0" w:rsidP="00A80648">
      <w:pPr>
        <w:jc w:val="both"/>
        <w:rPr>
          <w:rFonts w:ascii="Verdana" w:hAnsi="Verdana"/>
          <w:sz w:val="20"/>
          <w:szCs w:val="20"/>
        </w:rPr>
      </w:pPr>
    </w:p>
    <w:p w14:paraId="75410E26" w14:textId="77777777" w:rsidR="001A0BD0" w:rsidRPr="0095692E" w:rsidRDefault="001A0BD0" w:rsidP="00A80648">
      <w:pPr>
        <w:jc w:val="both"/>
        <w:rPr>
          <w:rFonts w:ascii="Verdana" w:hAnsi="Verdana"/>
          <w:sz w:val="20"/>
          <w:szCs w:val="20"/>
        </w:rPr>
      </w:pPr>
    </w:p>
    <w:p w14:paraId="5BC8CDA0" w14:textId="77777777" w:rsidR="001A0BD0" w:rsidRPr="0095692E" w:rsidRDefault="001A0BD0" w:rsidP="00A80648">
      <w:pPr>
        <w:jc w:val="both"/>
        <w:rPr>
          <w:rFonts w:ascii="Verdana" w:hAnsi="Verdana"/>
          <w:sz w:val="20"/>
          <w:szCs w:val="20"/>
        </w:rPr>
      </w:pPr>
    </w:p>
    <w:p w14:paraId="41855CD9" w14:textId="77777777" w:rsidR="001A0BD0" w:rsidRPr="0095692E" w:rsidRDefault="001A0BD0" w:rsidP="00A80648">
      <w:pPr>
        <w:jc w:val="both"/>
        <w:rPr>
          <w:rFonts w:ascii="Verdana" w:hAnsi="Verdana"/>
          <w:sz w:val="20"/>
          <w:szCs w:val="20"/>
        </w:rPr>
      </w:pPr>
    </w:p>
    <w:p w14:paraId="3447D5FC" w14:textId="03B56FD7" w:rsidR="001A0BD0" w:rsidRPr="0095692E" w:rsidRDefault="001A0BD0" w:rsidP="00A80648">
      <w:pPr>
        <w:autoSpaceDE w:val="0"/>
        <w:autoSpaceDN w:val="0"/>
        <w:adjustRightInd w:val="0"/>
        <w:rPr>
          <w:rFonts w:ascii="Verdana" w:eastAsia="MS Mincho" w:hAnsi="Verdana"/>
          <w:b/>
          <w:sz w:val="20"/>
          <w:szCs w:val="20"/>
          <w:lang w:eastAsia="es-ES" w:bidi="en-US"/>
        </w:rPr>
      </w:pPr>
      <w:r w:rsidRPr="0095692E">
        <w:rPr>
          <w:rFonts w:ascii="Verdana" w:hAnsi="Verdana"/>
          <w:sz w:val="20"/>
          <w:szCs w:val="20"/>
        </w:rPr>
        <w:t xml:space="preserve">En el </w:t>
      </w:r>
      <w:r w:rsidRPr="0095692E">
        <w:rPr>
          <w:rFonts w:ascii="Verdana" w:hAnsi="Verdana"/>
          <w:i/>
          <w:sz w:val="20"/>
          <w:szCs w:val="20"/>
        </w:rPr>
        <w:t xml:space="preserve">caso </w:t>
      </w:r>
      <w:r w:rsidR="00E42ABB" w:rsidRPr="0095692E">
        <w:rPr>
          <w:rFonts w:ascii="Verdana" w:hAnsi="Verdana"/>
          <w:i/>
          <w:sz w:val="20"/>
          <w:szCs w:val="20"/>
        </w:rPr>
        <w:t>Deras García</w:t>
      </w:r>
      <w:r w:rsidRPr="0095692E">
        <w:rPr>
          <w:rFonts w:ascii="Verdana" w:hAnsi="Verdana"/>
          <w:i/>
          <w:sz w:val="20"/>
          <w:szCs w:val="20"/>
        </w:rPr>
        <w:t xml:space="preserve"> y otros Vs. </w:t>
      </w:r>
      <w:r w:rsidR="00E42ABB" w:rsidRPr="0095692E">
        <w:rPr>
          <w:rFonts w:ascii="Verdana" w:hAnsi="Verdana"/>
          <w:i/>
          <w:sz w:val="20"/>
          <w:szCs w:val="20"/>
        </w:rPr>
        <w:t>Honduras</w:t>
      </w:r>
      <w:r w:rsidRPr="0095692E">
        <w:rPr>
          <w:rFonts w:ascii="Verdana" w:hAnsi="Verdana"/>
          <w:i/>
          <w:sz w:val="20"/>
          <w:szCs w:val="20"/>
        </w:rPr>
        <w:t>,</w:t>
      </w:r>
      <w:r w:rsidRPr="0095692E">
        <w:rPr>
          <w:rFonts w:ascii="Verdana" w:eastAsia="MS Mincho" w:hAnsi="Verdana"/>
          <w:b/>
          <w:sz w:val="20"/>
          <w:szCs w:val="20"/>
          <w:lang w:eastAsia="es-ES" w:bidi="en-US"/>
        </w:rPr>
        <w:t xml:space="preserve"> </w:t>
      </w:r>
    </w:p>
    <w:p w14:paraId="42E906A1" w14:textId="77777777" w:rsidR="001A0BD0" w:rsidRPr="0095692E" w:rsidRDefault="001A0BD0" w:rsidP="00A80648">
      <w:pPr>
        <w:autoSpaceDE w:val="0"/>
        <w:autoSpaceDN w:val="0"/>
        <w:adjustRightInd w:val="0"/>
        <w:rPr>
          <w:rFonts w:ascii="Verdana" w:hAnsi="Verdana"/>
          <w:sz w:val="20"/>
          <w:szCs w:val="20"/>
        </w:rPr>
      </w:pPr>
    </w:p>
    <w:p w14:paraId="00B01F6A" w14:textId="0E29F85B" w:rsidR="001A0BD0" w:rsidRPr="0095692E" w:rsidRDefault="001A0BD0" w:rsidP="00A80648">
      <w:pPr>
        <w:jc w:val="both"/>
        <w:rPr>
          <w:rFonts w:ascii="Verdana" w:hAnsi="Verdana"/>
          <w:sz w:val="20"/>
          <w:szCs w:val="20"/>
        </w:rPr>
      </w:pPr>
      <w:r w:rsidRPr="0095692E">
        <w:rPr>
          <w:rFonts w:ascii="Verdana" w:hAnsi="Verdana"/>
          <w:sz w:val="20"/>
          <w:szCs w:val="20"/>
        </w:rPr>
        <w:t>la Corte Interamericana de Derechos Humanos (en adelante también “la Corte Interamericana”, “la Corte” o “el Tribunal”), integrada por los siguientes Jueces</w:t>
      </w:r>
      <w:r w:rsidR="002970BF" w:rsidRPr="0095692E">
        <w:rPr>
          <w:rFonts w:ascii="Verdana" w:eastAsia="MS Mincho" w:hAnsi="Verdana"/>
          <w:sz w:val="20"/>
          <w:szCs w:val="20"/>
        </w:rPr>
        <w:t xml:space="preserve"> y Juezas</w:t>
      </w:r>
      <w:r w:rsidRPr="0095692E">
        <w:rPr>
          <w:rFonts w:ascii="Verdana" w:hAnsi="Verdana"/>
          <w:sz w:val="20"/>
          <w:szCs w:val="20"/>
        </w:rPr>
        <w:t>:</w:t>
      </w:r>
    </w:p>
    <w:p w14:paraId="7FB1DF93" w14:textId="77777777" w:rsidR="001A0BD0" w:rsidRPr="0095692E" w:rsidRDefault="001A0BD0" w:rsidP="00A80648">
      <w:pPr>
        <w:jc w:val="both"/>
        <w:rPr>
          <w:rFonts w:ascii="Verdana" w:hAnsi="Verdana"/>
          <w:sz w:val="20"/>
          <w:szCs w:val="20"/>
        </w:rPr>
      </w:pPr>
    </w:p>
    <w:p w14:paraId="3A167B6B" w14:textId="38E45FF1" w:rsidR="004959D6" w:rsidRPr="0095692E" w:rsidRDefault="004959D6" w:rsidP="00931B67">
      <w:pPr>
        <w:pStyle w:val="citaindirecta"/>
        <w:widowControl w:val="0"/>
        <w:ind w:left="0" w:right="-174"/>
        <w:rPr>
          <w:lang w:val="es-CR"/>
        </w:rPr>
      </w:pPr>
      <w:r w:rsidRPr="0095692E">
        <w:rPr>
          <w:rFonts w:cs="Verdana"/>
          <w:lang w:val="es-CR"/>
        </w:rPr>
        <w:t>Ricardo</w:t>
      </w:r>
      <w:r w:rsidR="006F5F3C" w:rsidRPr="0095692E">
        <w:rPr>
          <w:rFonts w:cs="Verdana"/>
          <w:lang w:val="es-CR"/>
        </w:rPr>
        <w:t xml:space="preserve"> C.</w:t>
      </w:r>
      <w:r w:rsidRPr="0095692E">
        <w:rPr>
          <w:rFonts w:cs="Verdana"/>
          <w:lang w:val="es-CR"/>
        </w:rPr>
        <w:t xml:space="preserve"> Pérez Manrique, </w:t>
      </w:r>
      <w:r w:rsidRPr="0095692E">
        <w:rPr>
          <w:lang w:val="es-CR"/>
        </w:rPr>
        <w:t>Presidente;</w:t>
      </w:r>
    </w:p>
    <w:p w14:paraId="0B898D85" w14:textId="1B744E59" w:rsidR="004959D6" w:rsidRPr="0095692E" w:rsidRDefault="004959D6" w:rsidP="00931B67">
      <w:pPr>
        <w:widowControl w:val="0"/>
        <w:tabs>
          <w:tab w:val="left" w:pos="720"/>
        </w:tabs>
        <w:ind w:right="-174"/>
        <w:jc w:val="both"/>
        <w:rPr>
          <w:rFonts w:ascii="Verdana" w:hAnsi="Verdana" w:cs="Verdana"/>
          <w:sz w:val="20"/>
          <w:szCs w:val="20"/>
        </w:rPr>
      </w:pPr>
      <w:r w:rsidRPr="0095692E">
        <w:rPr>
          <w:rFonts w:ascii="Verdana" w:hAnsi="Verdana"/>
          <w:sz w:val="20"/>
          <w:szCs w:val="20"/>
        </w:rPr>
        <w:t>Humberto Antonio Sierra Porto</w:t>
      </w:r>
      <w:r w:rsidRPr="0095692E">
        <w:rPr>
          <w:rFonts w:ascii="Verdana" w:hAnsi="Verdana" w:cs="Verdana"/>
          <w:sz w:val="20"/>
          <w:szCs w:val="20"/>
        </w:rPr>
        <w:t>, Vicepresidente;</w:t>
      </w:r>
    </w:p>
    <w:p w14:paraId="3706CC08" w14:textId="77777777" w:rsidR="004959D6" w:rsidRPr="0095692E" w:rsidRDefault="004959D6" w:rsidP="00931B67">
      <w:pPr>
        <w:pStyle w:val="citaindirecta"/>
        <w:widowControl w:val="0"/>
        <w:tabs>
          <w:tab w:val="left" w:pos="7213"/>
        </w:tabs>
        <w:ind w:left="0" w:right="-174"/>
        <w:rPr>
          <w:lang w:val="es-CR"/>
        </w:rPr>
      </w:pPr>
      <w:r w:rsidRPr="0095692E">
        <w:rPr>
          <w:lang w:val="es-CR"/>
        </w:rPr>
        <w:t>Eduardo Ferrer Mac-Gregor Poisot, Juez;</w:t>
      </w:r>
    </w:p>
    <w:p w14:paraId="3A884190" w14:textId="77777777" w:rsidR="00E42ABB" w:rsidRPr="0095692E" w:rsidRDefault="00E42ABB" w:rsidP="00931B67">
      <w:pPr>
        <w:pStyle w:val="citaindirecta"/>
        <w:ind w:left="0" w:right="-6"/>
        <w:rPr>
          <w:lang w:val="es-CR"/>
        </w:rPr>
      </w:pPr>
      <w:r w:rsidRPr="0095692E">
        <w:rPr>
          <w:lang w:val="es-CR"/>
        </w:rPr>
        <w:t>Nancy Hernández López, Jueza;</w:t>
      </w:r>
    </w:p>
    <w:p w14:paraId="7203B8CC" w14:textId="77777777" w:rsidR="004959D6" w:rsidRPr="0095692E" w:rsidRDefault="004959D6" w:rsidP="00931B67">
      <w:pPr>
        <w:pStyle w:val="citaindirecta"/>
        <w:widowControl w:val="0"/>
        <w:tabs>
          <w:tab w:val="left" w:pos="7213"/>
        </w:tabs>
        <w:ind w:left="0" w:right="-174"/>
        <w:rPr>
          <w:rFonts w:cs="Segoe UI"/>
          <w:shd w:val="clear" w:color="auto" w:fill="FFFFFF"/>
          <w:lang w:val="es-CR"/>
        </w:rPr>
      </w:pPr>
      <w:r w:rsidRPr="0095692E">
        <w:rPr>
          <w:rFonts w:cs="Segoe UI"/>
          <w:shd w:val="clear" w:color="auto" w:fill="FFFFFF"/>
          <w:lang w:val="es-CR"/>
        </w:rPr>
        <w:t>Verónica Gómez, Jueza;</w:t>
      </w:r>
    </w:p>
    <w:p w14:paraId="13D5619F" w14:textId="77777777" w:rsidR="004959D6" w:rsidRPr="0095692E" w:rsidRDefault="004959D6" w:rsidP="00931B67">
      <w:pPr>
        <w:pStyle w:val="citaindirecta"/>
        <w:widowControl w:val="0"/>
        <w:tabs>
          <w:tab w:val="left" w:pos="7213"/>
        </w:tabs>
        <w:ind w:left="0" w:right="-174"/>
        <w:rPr>
          <w:rFonts w:cs="Segoe UI"/>
          <w:shd w:val="clear" w:color="auto" w:fill="FFFFFF"/>
          <w:lang w:val="es-CR"/>
        </w:rPr>
      </w:pPr>
      <w:r w:rsidRPr="0095692E">
        <w:rPr>
          <w:rFonts w:cs="Segoe UI"/>
          <w:shd w:val="clear" w:color="auto" w:fill="FFFFFF"/>
          <w:lang w:val="es-CR"/>
        </w:rPr>
        <w:t>Patricia Pérez Goldberg, Jueza, y</w:t>
      </w:r>
    </w:p>
    <w:p w14:paraId="7C0EDFCF" w14:textId="37A281EB" w:rsidR="004959D6" w:rsidRPr="0095692E" w:rsidRDefault="004959D6" w:rsidP="00931B67">
      <w:pPr>
        <w:pStyle w:val="citaindirecta"/>
        <w:widowControl w:val="0"/>
        <w:tabs>
          <w:tab w:val="left" w:pos="7213"/>
        </w:tabs>
        <w:ind w:left="0" w:right="-174"/>
        <w:rPr>
          <w:lang w:val="es-CR"/>
        </w:rPr>
      </w:pPr>
      <w:r w:rsidRPr="0095692E">
        <w:rPr>
          <w:rFonts w:cs="Segoe UI"/>
          <w:shd w:val="clear" w:color="auto" w:fill="FFFFFF"/>
          <w:lang w:val="es-CR"/>
        </w:rPr>
        <w:t>Rodrigo Mudrovitsch</w:t>
      </w:r>
      <w:r w:rsidRPr="0095692E">
        <w:rPr>
          <w:lang w:val="es-CR"/>
        </w:rPr>
        <w:t>, Juez,</w:t>
      </w:r>
    </w:p>
    <w:p w14:paraId="61ACFA3D" w14:textId="77777777" w:rsidR="004959D6" w:rsidRPr="0095692E" w:rsidRDefault="004959D6" w:rsidP="00285ACA">
      <w:pPr>
        <w:widowControl w:val="0"/>
        <w:tabs>
          <w:tab w:val="left" w:pos="567"/>
          <w:tab w:val="left" w:pos="720"/>
        </w:tabs>
        <w:adjustRightInd w:val="0"/>
        <w:jc w:val="both"/>
        <w:textAlignment w:val="baseline"/>
        <w:rPr>
          <w:rFonts w:ascii="Verdana" w:hAnsi="Verdana" w:cs="Verdana"/>
          <w:sz w:val="20"/>
          <w:szCs w:val="20"/>
          <w:lang w:eastAsia="es-CR"/>
        </w:rPr>
      </w:pPr>
    </w:p>
    <w:p w14:paraId="4408E1AF" w14:textId="77777777" w:rsidR="004959D6" w:rsidRPr="0095692E" w:rsidRDefault="004959D6" w:rsidP="00A80648">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95692E">
        <w:rPr>
          <w:rFonts w:eastAsia="MS Mincho" w:cs="Verdana"/>
          <w:spacing w:val="0"/>
          <w:szCs w:val="20"/>
          <w:lang w:eastAsia="es-CR"/>
        </w:rPr>
        <w:t>presentes, además,</w:t>
      </w:r>
    </w:p>
    <w:p w14:paraId="23C6C327" w14:textId="77777777" w:rsidR="004959D6" w:rsidRPr="0095692E" w:rsidRDefault="004959D6" w:rsidP="00A80648">
      <w:pPr>
        <w:widowControl w:val="0"/>
        <w:tabs>
          <w:tab w:val="left" w:pos="567"/>
          <w:tab w:val="left" w:pos="720"/>
        </w:tabs>
        <w:adjustRightInd w:val="0"/>
        <w:jc w:val="both"/>
        <w:textAlignment w:val="baseline"/>
        <w:rPr>
          <w:rFonts w:ascii="Verdana" w:hAnsi="Verdana" w:cs="Verdana"/>
          <w:sz w:val="20"/>
          <w:szCs w:val="20"/>
          <w:lang w:eastAsia="es-CR"/>
        </w:rPr>
      </w:pPr>
    </w:p>
    <w:p w14:paraId="1B397B13" w14:textId="7032E63E" w:rsidR="004959D6" w:rsidRPr="0095692E" w:rsidRDefault="004959D6" w:rsidP="00285ACA">
      <w:pPr>
        <w:widowControl w:val="0"/>
        <w:tabs>
          <w:tab w:val="left" w:pos="567"/>
          <w:tab w:val="left" w:pos="720"/>
        </w:tabs>
        <w:adjustRightInd w:val="0"/>
        <w:jc w:val="both"/>
        <w:textAlignment w:val="baseline"/>
        <w:rPr>
          <w:rFonts w:ascii="Verdana" w:hAnsi="Verdana" w:cs="Verdana"/>
          <w:sz w:val="20"/>
          <w:szCs w:val="20"/>
          <w:lang w:eastAsia="es-CR"/>
        </w:rPr>
      </w:pPr>
      <w:r w:rsidRPr="0095692E">
        <w:rPr>
          <w:rFonts w:ascii="Verdana" w:hAnsi="Verdana" w:cs="Verdana"/>
          <w:sz w:val="20"/>
          <w:szCs w:val="20"/>
          <w:lang w:eastAsia="es-CR"/>
        </w:rPr>
        <w:t>Pablo Saavedra Alessandri, Secretario, y</w:t>
      </w:r>
    </w:p>
    <w:p w14:paraId="7B4D9545" w14:textId="07333B75" w:rsidR="001A0BD0" w:rsidRPr="0095692E" w:rsidRDefault="004959D6" w:rsidP="00931B67">
      <w:pPr>
        <w:jc w:val="both"/>
        <w:rPr>
          <w:rFonts w:ascii="Verdana" w:hAnsi="Verdana"/>
          <w:sz w:val="20"/>
          <w:szCs w:val="20"/>
        </w:rPr>
      </w:pPr>
      <w:r w:rsidRPr="0095692E">
        <w:rPr>
          <w:rFonts w:ascii="Verdana" w:hAnsi="Verdana"/>
          <w:sz w:val="20"/>
          <w:szCs w:val="20"/>
        </w:rPr>
        <w:t>Romina I. Sijniensky, Secretaria Adjunta,</w:t>
      </w:r>
    </w:p>
    <w:p w14:paraId="6A646EE7" w14:textId="77777777" w:rsidR="001A0BD0" w:rsidRPr="0095692E" w:rsidRDefault="001A0BD0" w:rsidP="00A80648">
      <w:pPr>
        <w:widowControl w:val="0"/>
        <w:tabs>
          <w:tab w:val="left" w:pos="5670"/>
        </w:tabs>
        <w:ind w:right="4630"/>
        <w:rPr>
          <w:rFonts w:ascii="Verdana" w:eastAsia="Verdana" w:hAnsi="Verdana" w:cs="Verdana"/>
          <w:sz w:val="20"/>
          <w:szCs w:val="20"/>
        </w:rPr>
      </w:pPr>
    </w:p>
    <w:p w14:paraId="7874C4EF" w14:textId="3319DEF3" w:rsidR="001A0BD0" w:rsidRPr="0095692E" w:rsidRDefault="001A0BD0" w:rsidP="00A80648">
      <w:pPr>
        <w:jc w:val="both"/>
        <w:rPr>
          <w:rFonts w:ascii="Verdana" w:hAnsi="Verdana"/>
          <w:sz w:val="20"/>
          <w:szCs w:val="20"/>
        </w:rPr>
      </w:pPr>
      <w:r w:rsidRPr="0095692E">
        <w:rPr>
          <w:rFonts w:ascii="Verdana" w:hAnsi="Verdana"/>
          <w:sz w:val="20"/>
          <w:szCs w:val="20"/>
        </w:rPr>
        <w:t xml:space="preserve">de conformidad con los artículos 62.3 y 63.1 de la Convención Americana sobre Derechos Humanos (en adelante también “la Convención Americana” o “la Convención”) y con los artículos 31, 32, 42, </w:t>
      </w:r>
      <w:r w:rsidR="00604AC3" w:rsidRPr="0095692E">
        <w:rPr>
          <w:rFonts w:ascii="Verdana" w:hAnsi="Verdana"/>
          <w:sz w:val="20"/>
          <w:szCs w:val="20"/>
        </w:rPr>
        <w:t xml:space="preserve">62, </w:t>
      </w:r>
      <w:r w:rsidRPr="0095692E">
        <w:rPr>
          <w:rFonts w:ascii="Verdana" w:hAnsi="Verdana"/>
          <w:sz w:val="20"/>
          <w:szCs w:val="20"/>
        </w:rPr>
        <w:t>65 y 67 del Reglamento de la Corte (en adelante “el Reglamento”), dicta la presente Sentencia, que se estructura en el siguiente orden:</w:t>
      </w:r>
    </w:p>
    <w:p w14:paraId="3D9F4165" w14:textId="77777777" w:rsidR="001A0BD0" w:rsidRPr="0095692E" w:rsidRDefault="001A0BD0" w:rsidP="00A80648">
      <w:pPr>
        <w:rPr>
          <w:rFonts w:ascii="Verdana" w:hAnsi="Verdana"/>
          <w:strike/>
          <w:sz w:val="20"/>
          <w:szCs w:val="20"/>
        </w:rPr>
      </w:pPr>
    </w:p>
    <w:p w14:paraId="219CA18D" w14:textId="77777777" w:rsidR="001A0BD0" w:rsidRPr="0095692E" w:rsidRDefault="001A0BD0" w:rsidP="00A80648">
      <w:pPr>
        <w:rPr>
          <w:rFonts w:ascii="Verdana" w:hAnsi="Verdana"/>
          <w:strike/>
          <w:sz w:val="20"/>
          <w:szCs w:val="20"/>
        </w:rPr>
      </w:pPr>
      <w:r w:rsidRPr="0095692E">
        <w:rPr>
          <w:rFonts w:ascii="Verdana" w:hAnsi="Verdana"/>
          <w:strike/>
          <w:sz w:val="20"/>
          <w:szCs w:val="20"/>
        </w:rPr>
        <w:br w:type="page"/>
      </w:r>
    </w:p>
    <w:sdt>
      <w:sdtPr>
        <w:rPr>
          <w:rFonts w:ascii="Verdana" w:eastAsia="Calibri" w:hAnsi="Verdana" w:cs="Times New Roman"/>
          <w:b/>
          <w:bCs/>
          <w:color w:val="auto"/>
          <w:sz w:val="18"/>
          <w:szCs w:val="18"/>
          <w:lang w:val="es-CR" w:eastAsia="en-US"/>
        </w:rPr>
        <w:id w:val="-1155831016"/>
        <w:docPartObj>
          <w:docPartGallery w:val="Table of Contents"/>
          <w:docPartUnique/>
        </w:docPartObj>
      </w:sdtPr>
      <w:sdtEndPr>
        <w:rPr>
          <w:rFonts w:eastAsia="Times New Roman"/>
          <w:lang w:eastAsia="es-MX"/>
        </w:rPr>
      </w:sdtEndPr>
      <w:sdtContent>
        <w:p w14:paraId="10EE5A3E" w14:textId="6D8A6101" w:rsidR="009A45D1" w:rsidRPr="0095692E" w:rsidRDefault="007F7663" w:rsidP="0095692E">
          <w:pPr>
            <w:pStyle w:val="TtuloTDC"/>
            <w:spacing w:before="0" w:after="60" w:line="240" w:lineRule="auto"/>
            <w:jc w:val="center"/>
            <w:rPr>
              <w:rFonts w:ascii="Verdana" w:hAnsi="Verdana"/>
              <w:b/>
              <w:bCs/>
              <w:color w:val="auto"/>
              <w:sz w:val="20"/>
              <w:szCs w:val="20"/>
              <w:lang w:val="es-CR"/>
            </w:rPr>
          </w:pPr>
          <w:r w:rsidRPr="0095692E">
            <w:rPr>
              <w:rFonts w:ascii="Verdana" w:hAnsi="Verdana"/>
              <w:b/>
              <w:bCs/>
              <w:color w:val="auto"/>
              <w:sz w:val="20"/>
              <w:szCs w:val="20"/>
              <w:lang w:val="es-CR"/>
            </w:rPr>
            <w:t>CONTENIDO</w:t>
          </w:r>
        </w:p>
        <w:p w14:paraId="5560FD24" w14:textId="77777777" w:rsidR="00CA43E4" w:rsidRPr="0095692E" w:rsidRDefault="00CA43E4" w:rsidP="0095692E">
          <w:pPr>
            <w:spacing w:after="60"/>
            <w:rPr>
              <w:rFonts w:ascii="Verdana" w:hAnsi="Verdana"/>
              <w:sz w:val="18"/>
              <w:szCs w:val="18"/>
              <w:lang w:eastAsia="es-ES_tradnl"/>
            </w:rPr>
          </w:pPr>
        </w:p>
        <w:p w14:paraId="400BD2BA" w14:textId="3B65F807" w:rsidR="009D27BD" w:rsidRPr="0095692E" w:rsidRDefault="009A45D1" w:rsidP="0095692E">
          <w:pPr>
            <w:pStyle w:val="TDC1"/>
            <w:spacing w:after="60"/>
            <w:rPr>
              <w:rFonts w:eastAsiaTheme="minorEastAsia" w:cstheme="minorBidi"/>
              <w:b w:val="0"/>
              <w:bCs w:val="0"/>
              <w:sz w:val="18"/>
              <w:szCs w:val="18"/>
              <w:lang w:val="es-CR"/>
            </w:rPr>
          </w:pPr>
          <w:r w:rsidRPr="0095692E">
            <w:rPr>
              <w:noProof w:val="0"/>
              <w:sz w:val="18"/>
              <w:szCs w:val="18"/>
              <w:highlight w:val="yellow"/>
              <w:lang w:val="es-CR"/>
            </w:rPr>
            <w:fldChar w:fldCharType="begin"/>
          </w:r>
          <w:r w:rsidRPr="0095692E">
            <w:rPr>
              <w:noProof w:val="0"/>
              <w:sz w:val="18"/>
              <w:szCs w:val="18"/>
              <w:highlight w:val="yellow"/>
              <w:lang w:val="es-CR"/>
            </w:rPr>
            <w:instrText xml:space="preserve"> TOC \o "1-3" \h \z \u </w:instrText>
          </w:r>
          <w:r w:rsidRPr="0095692E">
            <w:rPr>
              <w:noProof w:val="0"/>
              <w:sz w:val="18"/>
              <w:szCs w:val="18"/>
              <w:highlight w:val="yellow"/>
              <w:lang w:val="es-CR"/>
            </w:rPr>
            <w:fldChar w:fldCharType="separate"/>
          </w:r>
          <w:hyperlink w:anchor="_Toc115262468" w:history="1">
            <w:r w:rsidR="009D27BD" w:rsidRPr="0095692E">
              <w:rPr>
                <w:rStyle w:val="Hipervnculo"/>
                <w:sz w:val="18"/>
                <w:szCs w:val="18"/>
                <w:lang w:val="es-CR"/>
              </w:rPr>
              <w:t>I INTRODUCCIÓN DE LA CAUSA Y OBJETO DE LA CONTROVERSIA</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_Toc115262468 \h </w:instrText>
            </w:r>
            <w:r w:rsidR="009D27BD" w:rsidRPr="0095692E">
              <w:rPr>
                <w:webHidden/>
                <w:sz w:val="18"/>
                <w:szCs w:val="18"/>
                <w:lang w:val="es-CR"/>
              </w:rPr>
            </w:r>
            <w:r w:rsidR="009D27BD" w:rsidRPr="0095692E">
              <w:rPr>
                <w:webHidden/>
                <w:sz w:val="18"/>
                <w:szCs w:val="18"/>
                <w:lang w:val="es-CR"/>
              </w:rPr>
              <w:fldChar w:fldCharType="separate"/>
            </w:r>
            <w:r w:rsidR="00146215">
              <w:rPr>
                <w:webHidden/>
                <w:sz w:val="18"/>
                <w:szCs w:val="18"/>
                <w:lang w:val="es-CR"/>
              </w:rPr>
              <w:t>3</w:t>
            </w:r>
            <w:r w:rsidR="009D27BD" w:rsidRPr="0095692E">
              <w:rPr>
                <w:webHidden/>
                <w:sz w:val="18"/>
                <w:szCs w:val="18"/>
                <w:lang w:val="es-CR"/>
              </w:rPr>
              <w:fldChar w:fldCharType="end"/>
            </w:r>
          </w:hyperlink>
        </w:p>
        <w:p w14:paraId="209FF51A" w14:textId="0A5543F0" w:rsidR="009D27BD" w:rsidRPr="0095692E" w:rsidRDefault="00146215" w:rsidP="0095692E">
          <w:pPr>
            <w:pStyle w:val="TDC1"/>
            <w:spacing w:after="60"/>
            <w:rPr>
              <w:rFonts w:eastAsiaTheme="minorEastAsia" w:cstheme="minorBidi"/>
              <w:b w:val="0"/>
              <w:bCs w:val="0"/>
              <w:sz w:val="18"/>
              <w:szCs w:val="18"/>
              <w:lang w:val="es-CR"/>
            </w:rPr>
          </w:pPr>
          <w:hyperlink w:anchor="_Toc115262469" w:history="1">
            <w:r w:rsidR="009D27BD" w:rsidRPr="0095692E">
              <w:rPr>
                <w:rStyle w:val="Hipervnculo"/>
                <w:sz w:val="18"/>
                <w:szCs w:val="18"/>
                <w:lang w:val="es-CR"/>
              </w:rPr>
              <w:t>II PROCEDIMIENTO ANTE LA CORTE</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_Toc115262469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4</w:t>
            </w:r>
            <w:r w:rsidR="009D27BD" w:rsidRPr="0095692E">
              <w:rPr>
                <w:webHidden/>
                <w:sz w:val="18"/>
                <w:szCs w:val="18"/>
                <w:lang w:val="es-CR"/>
              </w:rPr>
              <w:fldChar w:fldCharType="end"/>
            </w:r>
          </w:hyperlink>
        </w:p>
        <w:p w14:paraId="338A9D85" w14:textId="42DD1865" w:rsidR="009D27BD" w:rsidRPr="0095692E" w:rsidRDefault="00146215" w:rsidP="0095692E">
          <w:pPr>
            <w:pStyle w:val="TDC1"/>
            <w:spacing w:after="60"/>
            <w:rPr>
              <w:rFonts w:eastAsiaTheme="minorEastAsia" w:cstheme="minorBidi"/>
              <w:b w:val="0"/>
              <w:bCs w:val="0"/>
              <w:sz w:val="18"/>
              <w:szCs w:val="18"/>
              <w:lang w:val="es-CR"/>
            </w:rPr>
          </w:pPr>
          <w:hyperlink w:anchor="_Toc115262470" w:history="1">
            <w:r w:rsidR="009D27BD" w:rsidRPr="0095692E">
              <w:rPr>
                <w:rStyle w:val="Hipervnculo"/>
                <w:sz w:val="18"/>
                <w:szCs w:val="18"/>
                <w:lang w:val="es-CR"/>
              </w:rPr>
              <w:t>III COMPETENCIA</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_Toc115262470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5</w:t>
            </w:r>
            <w:r w:rsidR="009D27BD" w:rsidRPr="0095692E">
              <w:rPr>
                <w:webHidden/>
                <w:sz w:val="18"/>
                <w:szCs w:val="18"/>
                <w:lang w:val="es-CR"/>
              </w:rPr>
              <w:fldChar w:fldCharType="end"/>
            </w:r>
          </w:hyperlink>
        </w:p>
        <w:p w14:paraId="67C9BE32" w14:textId="3C1AED10" w:rsidR="009D27BD" w:rsidRPr="0095692E" w:rsidRDefault="00146215" w:rsidP="0095692E">
          <w:pPr>
            <w:pStyle w:val="TDC1"/>
            <w:spacing w:after="60"/>
            <w:rPr>
              <w:rFonts w:eastAsiaTheme="minorEastAsia" w:cstheme="minorBidi"/>
              <w:b w:val="0"/>
              <w:bCs w:val="0"/>
              <w:sz w:val="18"/>
              <w:szCs w:val="18"/>
              <w:lang w:val="es-CR"/>
            </w:rPr>
          </w:pPr>
          <w:hyperlink w:anchor="_Toc115262471" w:history="1">
            <w:r w:rsidR="009D27BD" w:rsidRPr="0095692E">
              <w:rPr>
                <w:rStyle w:val="Hipervnculo"/>
                <w:sz w:val="18"/>
                <w:szCs w:val="18"/>
                <w:lang w:val="es-CR"/>
              </w:rPr>
              <w:t>IV RECONOCIMIENTO DE RESPONSABILIDAD</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_Toc115262471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6</w:t>
            </w:r>
            <w:r w:rsidR="009D27BD" w:rsidRPr="0095692E">
              <w:rPr>
                <w:webHidden/>
                <w:sz w:val="18"/>
                <w:szCs w:val="18"/>
                <w:lang w:val="es-CR"/>
              </w:rPr>
              <w:fldChar w:fldCharType="end"/>
            </w:r>
          </w:hyperlink>
        </w:p>
        <w:p w14:paraId="41927DEC" w14:textId="1996BFCA" w:rsidR="009D27BD" w:rsidRPr="0095692E" w:rsidRDefault="00146215" w:rsidP="0095692E">
          <w:pPr>
            <w:pStyle w:val="TDC2"/>
            <w:spacing w:after="60"/>
            <w:rPr>
              <w:rFonts w:eastAsiaTheme="minorEastAsia" w:cstheme="minorBidi"/>
              <w:noProof/>
              <w:sz w:val="18"/>
              <w:szCs w:val="18"/>
              <w:lang w:val="es-CR"/>
            </w:rPr>
          </w:pPr>
          <w:hyperlink w:anchor="_Toc115262472" w:history="1">
            <w:r w:rsidR="009D27BD" w:rsidRPr="0095692E">
              <w:rPr>
                <w:rStyle w:val="Hipervnculo"/>
                <w:noProof/>
                <w:sz w:val="18"/>
                <w:szCs w:val="18"/>
                <w:lang w:val="es-CR"/>
              </w:rPr>
              <w:t>A.</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Reconocimiento de responsabilidad por parte del Estado y observaciones de los representantes y de la Comisión</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_Toc115262472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6</w:t>
            </w:r>
            <w:r w:rsidR="009D27BD" w:rsidRPr="0095692E">
              <w:rPr>
                <w:noProof/>
                <w:webHidden/>
                <w:sz w:val="18"/>
                <w:szCs w:val="18"/>
                <w:lang w:val="es-CR"/>
              </w:rPr>
              <w:fldChar w:fldCharType="end"/>
            </w:r>
          </w:hyperlink>
        </w:p>
        <w:p w14:paraId="2BF5A6F2" w14:textId="3F5D488F" w:rsidR="009D27BD" w:rsidRPr="0095692E" w:rsidRDefault="00146215" w:rsidP="0095692E">
          <w:pPr>
            <w:pStyle w:val="TDC2"/>
            <w:spacing w:after="60"/>
            <w:rPr>
              <w:rFonts w:eastAsiaTheme="minorEastAsia" w:cstheme="minorBidi"/>
              <w:noProof/>
              <w:sz w:val="18"/>
              <w:szCs w:val="18"/>
              <w:lang w:val="es-CR"/>
            </w:rPr>
          </w:pPr>
          <w:hyperlink w:anchor="_Toc115262473" w:history="1">
            <w:r w:rsidR="009D27BD" w:rsidRPr="0095692E">
              <w:rPr>
                <w:rStyle w:val="Hipervnculo"/>
                <w:noProof/>
                <w:sz w:val="18"/>
                <w:szCs w:val="18"/>
                <w:lang w:val="es-CR"/>
              </w:rPr>
              <w:t>B.</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Consideraciones de la Corte</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_Toc115262473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7</w:t>
            </w:r>
            <w:r w:rsidR="009D27BD" w:rsidRPr="0095692E">
              <w:rPr>
                <w:noProof/>
                <w:webHidden/>
                <w:sz w:val="18"/>
                <w:szCs w:val="18"/>
                <w:lang w:val="es-CR"/>
              </w:rPr>
              <w:fldChar w:fldCharType="end"/>
            </w:r>
          </w:hyperlink>
        </w:p>
        <w:p w14:paraId="0A124E16" w14:textId="61A5C00A" w:rsidR="009D27BD" w:rsidRPr="0095692E" w:rsidRDefault="00146215" w:rsidP="0095692E">
          <w:pPr>
            <w:pStyle w:val="TDC3"/>
            <w:spacing w:after="60"/>
            <w:rPr>
              <w:rFonts w:eastAsiaTheme="minorEastAsia" w:cstheme="minorBidi"/>
              <w:noProof/>
              <w:sz w:val="18"/>
              <w:szCs w:val="18"/>
              <w:lang w:val="es-CR"/>
            </w:rPr>
          </w:pPr>
          <w:hyperlink w:anchor="_Toc115262474" w:history="1">
            <w:r w:rsidR="009D27BD" w:rsidRPr="0095692E">
              <w:rPr>
                <w:rStyle w:val="Hipervnculo"/>
                <w:bCs/>
                <w:noProof/>
                <w:sz w:val="18"/>
                <w:szCs w:val="18"/>
                <w:lang w:val="es-CR"/>
              </w:rPr>
              <w:t>B.1.</w:t>
            </w:r>
            <w:r w:rsidR="009D27BD" w:rsidRPr="0095692E">
              <w:rPr>
                <w:rStyle w:val="Hipervnculo"/>
                <w:noProof/>
                <w:sz w:val="18"/>
                <w:szCs w:val="18"/>
                <w:lang w:val="es-CR"/>
              </w:rPr>
              <w:t xml:space="preserve"> </w:t>
            </w:r>
            <w:r w:rsidR="009D27BD" w:rsidRPr="0095692E">
              <w:rPr>
                <w:rStyle w:val="Hipervnculo"/>
                <w:bCs/>
                <w:noProof/>
                <w:sz w:val="18"/>
                <w:szCs w:val="18"/>
                <w:lang w:val="es-CR"/>
              </w:rPr>
              <w:t>En cuanto a los hechos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_Toc115262474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8</w:t>
            </w:r>
            <w:r w:rsidR="009D27BD" w:rsidRPr="0095692E">
              <w:rPr>
                <w:noProof/>
                <w:webHidden/>
                <w:sz w:val="18"/>
                <w:szCs w:val="18"/>
                <w:lang w:val="es-CR"/>
              </w:rPr>
              <w:fldChar w:fldCharType="end"/>
            </w:r>
          </w:hyperlink>
        </w:p>
        <w:p w14:paraId="7B4A4FFF" w14:textId="5BDEF813" w:rsidR="009D27BD" w:rsidRPr="0095692E" w:rsidRDefault="00146215" w:rsidP="0095692E">
          <w:pPr>
            <w:pStyle w:val="TDC3"/>
            <w:spacing w:after="60"/>
            <w:rPr>
              <w:rFonts w:eastAsiaTheme="minorEastAsia" w:cstheme="minorBidi"/>
              <w:noProof/>
              <w:sz w:val="18"/>
              <w:szCs w:val="18"/>
              <w:lang w:val="es-CR"/>
            </w:rPr>
          </w:pPr>
          <w:hyperlink w:anchor="_Toc115262475" w:history="1">
            <w:r w:rsidR="009D27BD" w:rsidRPr="0095692E">
              <w:rPr>
                <w:rStyle w:val="Hipervnculo"/>
                <w:bCs/>
                <w:noProof/>
                <w:sz w:val="18"/>
                <w:szCs w:val="18"/>
                <w:lang w:val="es-CR"/>
              </w:rPr>
              <w:t>B.2. En cuanto a las pretensiones de derecho</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_Toc115262475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8</w:t>
            </w:r>
            <w:r w:rsidR="009D27BD" w:rsidRPr="0095692E">
              <w:rPr>
                <w:noProof/>
                <w:webHidden/>
                <w:sz w:val="18"/>
                <w:szCs w:val="18"/>
                <w:lang w:val="es-CR"/>
              </w:rPr>
              <w:fldChar w:fldCharType="end"/>
            </w:r>
          </w:hyperlink>
        </w:p>
        <w:p w14:paraId="6CEBD7B4" w14:textId="0CD05CEC" w:rsidR="009D27BD" w:rsidRPr="0095692E" w:rsidRDefault="00146215" w:rsidP="0095692E">
          <w:pPr>
            <w:pStyle w:val="TDC3"/>
            <w:spacing w:after="60"/>
            <w:rPr>
              <w:rFonts w:eastAsiaTheme="minorEastAsia" w:cstheme="minorBidi"/>
              <w:noProof/>
              <w:sz w:val="18"/>
              <w:szCs w:val="18"/>
              <w:lang w:val="es-CR"/>
            </w:rPr>
          </w:pPr>
          <w:hyperlink w:anchor="_Toc115262476" w:history="1">
            <w:r w:rsidR="009D27BD" w:rsidRPr="0095692E">
              <w:rPr>
                <w:rStyle w:val="Hipervnculo"/>
                <w:bCs/>
                <w:noProof/>
                <w:sz w:val="18"/>
                <w:szCs w:val="18"/>
                <w:lang w:val="es-CR"/>
              </w:rPr>
              <w:t>B.3. En cuanto a las reparaciones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_Toc115262476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9</w:t>
            </w:r>
            <w:r w:rsidR="009D27BD" w:rsidRPr="0095692E">
              <w:rPr>
                <w:noProof/>
                <w:webHidden/>
                <w:sz w:val="18"/>
                <w:szCs w:val="18"/>
                <w:lang w:val="es-CR"/>
              </w:rPr>
              <w:fldChar w:fldCharType="end"/>
            </w:r>
          </w:hyperlink>
        </w:p>
        <w:p w14:paraId="2EBF0E27" w14:textId="24E8DA0D" w:rsidR="009D27BD" w:rsidRPr="0095692E" w:rsidRDefault="00146215" w:rsidP="0095692E">
          <w:pPr>
            <w:pStyle w:val="TDC3"/>
            <w:spacing w:after="60"/>
            <w:rPr>
              <w:rFonts w:eastAsiaTheme="minorEastAsia" w:cstheme="minorBidi"/>
              <w:noProof/>
              <w:sz w:val="18"/>
              <w:szCs w:val="18"/>
              <w:lang w:val="es-CR"/>
            </w:rPr>
          </w:pPr>
          <w:hyperlink w:anchor="_Toc115262477" w:history="1">
            <w:r w:rsidR="009D27BD" w:rsidRPr="0095692E">
              <w:rPr>
                <w:rStyle w:val="Hipervnculo"/>
                <w:bCs/>
                <w:noProof/>
                <w:sz w:val="18"/>
                <w:szCs w:val="18"/>
                <w:lang w:val="es-CR"/>
              </w:rPr>
              <w:t>B.4. Valoración del reconocimiento de responsabilidad</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_Toc115262477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9</w:t>
            </w:r>
            <w:r w:rsidR="009D27BD" w:rsidRPr="0095692E">
              <w:rPr>
                <w:noProof/>
                <w:webHidden/>
                <w:sz w:val="18"/>
                <w:szCs w:val="18"/>
                <w:lang w:val="es-CR"/>
              </w:rPr>
              <w:fldChar w:fldCharType="end"/>
            </w:r>
          </w:hyperlink>
        </w:p>
        <w:p w14:paraId="728EA816" w14:textId="284E117E" w:rsidR="009D27BD" w:rsidRPr="0095692E" w:rsidRDefault="00146215" w:rsidP="0095692E">
          <w:pPr>
            <w:pStyle w:val="TDC1"/>
            <w:spacing w:after="60"/>
            <w:rPr>
              <w:rFonts w:eastAsiaTheme="minorEastAsia" w:cstheme="minorBidi"/>
              <w:b w:val="0"/>
              <w:bCs w:val="0"/>
              <w:sz w:val="18"/>
              <w:szCs w:val="18"/>
              <w:lang w:val="es-CR"/>
            </w:rPr>
          </w:pPr>
          <w:hyperlink w:anchor="_Toc115262478" w:history="1">
            <w:r w:rsidR="009D27BD" w:rsidRPr="0095692E">
              <w:rPr>
                <w:rStyle w:val="Hipervnculo"/>
                <w:sz w:val="18"/>
                <w:szCs w:val="18"/>
                <w:bdr w:val="nil"/>
                <w:lang w:val="es-CR"/>
              </w:rPr>
              <w:t>V PRUEBA</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_Toc115262478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10</w:t>
            </w:r>
            <w:r w:rsidR="009D27BD" w:rsidRPr="0095692E">
              <w:rPr>
                <w:webHidden/>
                <w:sz w:val="18"/>
                <w:szCs w:val="18"/>
                <w:lang w:val="es-CR"/>
              </w:rPr>
              <w:fldChar w:fldCharType="end"/>
            </w:r>
          </w:hyperlink>
        </w:p>
        <w:p w14:paraId="65D33D7D" w14:textId="1D54D99D" w:rsidR="009D27BD" w:rsidRPr="0095692E" w:rsidRDefault="00146215" w:rsidP="0095692E">
          <w:pPr>
            <w:pStyle w:val="TDC2"/>
            <w:spacing w:after="60"/>
            <w:rPr>
              <w:rFonts w:eastAsiaTheme="minorEastAsia" w:cstheme="minorBidi"/>
              <w:noProof/>
              <w:sz w:val="18"/>
              <w:szCs w:val="18"/>
              <w:lang w:val="es-CR"/>
            </w:rPr>
          </w:pPr>
          <w:hyperlink w:anchor="_Toc115262479" w:history="1">
            <w:r w:rsidR="009D27BD" w:rsidRPr="0095692E">
              <w:rPr>
                <w:rStyle w:val="Hipervnculo"/>
                <w:noProof/>
                <w:sz w:val="18"/>
                <w:szCs w:val="18"/>
                <w:bdr w:val="nil"/>
                <w:lang w:val="es-CR"/>
              </w:rPr>
              <w:t>A.</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Admisibilidad</w:t>
            </w:r>
            <w:r w:rsidR="009D27BD" w:rsidRPr="0095692E">
              <w:rPr>
                <w:rStyle w:val="Hipervnculo"/>
                <w:noProof/>
                <w:sz w:val="18"/>
                <w:szCs w:val="18"/>
                <w:bdr w:val="nil"/>
                <w:lang w:val="es-CR"/>
              </w:rPr>
              <w:t xml:space="preserve"> de prueba documental</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_Toc115262479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10</w:t>
            </w:r>
            <w:r w:rsidR="009D27BD" w:rsidRPr="0095692E">
              <w:rPr>
                <w:noProof/>
                <w:webHidden/>
                <w:sz w:val="18"/>
                <w:szCs w:val="18"/>
                <w:lang w:val="es-CR"/>
              </w:rPr>
              <w:fldChar w:fldCharType="end"/>
            </w:r>
          </w:hyperlink>
        </w:p>
        <w:p w14:paraId="73EADB05" w14:textId="6C2E9572" w:rsidR="009D27BD" w:rsidRPr="0095692E" w:rsidRDefault="00146215" w:rsidP="0095692E">
          <w:pPr>
            <w:pStyle w:val="TDC2"/>
            <w:spacing w:after="60"/>
            <w:rPr>
              <w:rFonts w:eastAsiaTheme="minorEastAsia" w:cstheme="minorBidi"/>
              <w:noProof/>
              <w:sz w:val="18"/>
              <w:szCs w:val="18"/>
              <w:lang w:val="es-CR"/>
            </w:rPr>
          </w:pPr>
          <w:hyperlink w:anchor="_Toc115262480" w:history="1">
            <w:r w:rsidR="009D27BD" w:rsidRPr="0095692E">
              <w:rPr>
                <w:rStyle w:val="Hipervnculo"/>
                <w:noProof/>
                <w:sz w:val="18"/>
                <w:szCs w:val="18"/>
                <w:lang w:val="es-CR"/>
              </w:rPr>
              <w:t>B.</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Admisibilidad de la prueba testimonial y pericial</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_Toc115262480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11</w:t>
            </w:r>
            <w:r w:rsidR="009D27BD" w:rsidRPr="0095692E">
              <w:rPr>
                <w:noProof/>
                <w:webHidden/>
                <w:sz w:val="18"/>
                <w:szCs w:val="18"/>
                <w:lang w:val="es-CR"/>
              </w:rPr>
              <w:fldChar w:fldCharType="end"/>
            </w:r>
          </w:hyperlink>
        </w:p>
        <w:p w14:paraId="13E13D44" w14:textId="6BE69B97" w:rsidR="009D27BD" w:rsidRPr="0095692E" w:rsidRDefault="00146215" w:rsidP="0095692E">
          <w:pPr>
            <w:pStyle w:val="TDC1"/>
            <w:spacing w:after="60"/>
            <w:rPr>
              <w:rFonts w:eastAsiaTheme="minorEastAsia" w:cstheme="minorBidi"/>
              <w:b w:val="0"/>
              <w:bCs w:val="0"/>
              <w:sz w:val="18"/>
              <w:szCs w:val="18"/>
              <w:lang w:val="es-CR"/>
            </w:rPr>
          </w:pPr>
          <w:hyperlink w:anchor="_Toc115262481" w:history="1">
            <w:r w:rsidR="009D27BD" w:rsidRPr="0095692E">
              <w:rPr>
                <w:rStyle w:val="Hipervnculo"/>
                <w:sz w:val="18"/>
                <w:szCs w:val="18"/>
                <w:lang w:val="es-CR"/>
              </w:rPr>
              <w:t>VI HECHOS</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_Toc115262481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11</w:t>
            </w:r>
            <w:r w:rsidR="009D27BD" w:rsidRPr="0095692E">
              <w:rPr>
                <w:webHidden/>
                <w:sz w:val="18"/>
                <w:szCs w:val="18"/>
                <w:lang w:val="es-CR"/>
              </w:rPr>
              <w:fldChar w:fldCharType="end"/>
            </w:r>
          </w:hyperlink>
        </w:p>
        <w:p w14:paraId="42F8034A" w14:textId="5DB5E929" w:rsidR="009D27BD" w:rsidRPr="0095692E" w:rsidRDefault="00146215" w:rsidP="0095692E">
          <w:pPr>
            <w:pStyle w:val="TDC2"/>
            <w:spacing w:after="60"/>
            <w:rPr>
              <w:rFonts w:eastAsiaTheme="minorEastAsia" w:cstheme="minorBidi"/>
              <w:noProof/>
              <w:sz w:val="18"/>
              <w:szCs w:val="18"/>
              <w:lang w:val="es-CR"/>
            </w:rPr>
          </w:pPr>
          <w:hyperlink w:anchor="_Toc115262482" w:history="1">
            <w:r w:rsidR="009D27BD" w:rsidRPr="0095692E">
              <w:rPr>
                <w:rStyle w:val="Hipervnculo"/>
                <w:noProof/>
                <w:sz w:val="18"/>
                <w:szCs w:val="18"/>
                <w:lang w:val="es-CR"/>
              </w:rPr>
              <w:t>A.</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Contexto de graves violaciones de derechos humanos en el marco de la doctrina de la seguridad nacional en Honduras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_Toc115262482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12</w:t>
            </w:r>
            <w:r w:rsidR="009D27BD" w:rsidRPr="0095692E">
              <w:rPr>
                <w:noProof/>
                <w:webHidden/>
                <w:sz w:val="18"/>
                <w:szCs w:val="18"/>
                <w:lang w:val="es-CR"/>
              </w:rPr>
              <w:fldChar w:fldCharType="end"/>
            </w:r>
          </w:hyperlink>
        </w:p>
        <w:p w14:paraId="3FA30074" w14:textId="7A0F5B4D" w:rsidR="009D27BD" w:rsidRPr="0095692E" w:rsidRDefault="00146215" w:rsidP="0095692E">
          <w:pPr>
            <w:pStyle w:val="TDC2"/>
            <w:spacing w:after="60"/>
            <w:rPr>
              <w:rFonts w:eastAsiaTheme="minorEastAsia" w:cstheme="minorBidi"/>
              <w:noProof/>
              <w:sz w:val="18"/>
              <w:szCs w:val="18"/>
              <w:lang w:val="es-CR"/>
            </w:rPr>
          </w:pPr>
          <w:hyperlink w:anchor="_Toc115262483" w:history="1">
            <w:r w:rsidR="009D27BD" w:rsidRPr="0095692E">
              <w:rPr>
                <w:rStyle w:val="Hipervnculo"/>
                <w:noProof/>
                <w:sz w:val="18"/>
                <w:szCs w:val="18"/>
                <w:lang w:val="es-CR"/>
              </w:rPr>
              <w:t>B.</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La muerte de Herminio Deras García</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_Toc115262483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13</w:t>
            </w:r>
            <w:r w:rsidR="009D27BD" w:rsidRPr="0095692E">
              <w:rPr>
                <w:noProof/>
                <w:webHidden/>
                <w:sz w:val="18"/>
                <w:szCs w:val="18"/>
                <w:lang w:val="es-CR"/>
              </w:rPr>
              <w:fldChar w:fldCharType="end"/>
            </w:r>
          </w:hyperlink>
        </w:p>
        <w:p w14:paraId="6B55426C" w14:textId="2A29F457" w:rsidR="009D27BD" w:rsidRPr="0095692E" w:rsidRDefault="00146215" w:rsidP="0095692E">
          <w:pPr>
            <w:pStyle w:val="TDC2"/>
            <w:spacing w:after="60"/>
            <w:rPr>
              <w:rFonts w:eastAsiaTheme="minorEastAsia" w:cstheme="minorBidi"/>
              <w:noProof/>
              <w:sz w:val="18"/>
              <w:szCs w:val="18"/>
              <w:lang w:val="es-CR"/>
            </w:rPr>
          </w:pPr>
          <w:hyperlink w:anchor="_Toc115262484" w:history="1">
            <w:r w:rsidR="009D27BD" w:rsidRPr="0095692E">
              <w:rPr>
                <w:rStyle w:val="Hipervnculo"/>
                <w:noProof/>
                <w:sz w:val="18"/>
                <w:szCs w:val="18"/>
                <w:lang w:val="es-CR"/>
              </w:rPr>
              <w:t>C.</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Los hechos relacionados con la familia de Herminio Deras García</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_Toc115262484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15</w:t>
            </w:r>
            <w:r w:rsidR="009D27BD" w:rsidRPr="0095692E">
              <w:rPr>
                <w:noProof/>
                <w:webHidden/>
                <w:sz w:val="18"/>
                <w:szCs w:val="18"/>
                <w:lang w:val="es-CR"/>
              </w:rPr>
              <w:fldChar w:fldCharType="end"/>
            </w:r>
          </w:hyperlink>
        </w:p>
        <w:p w14:paraId="40E212BC" w14:textId="664CCBA2" w:rsidR="009D27BD" w:rsidRPr="0095692E" w:rsidRDefault="00146215" w:rsidP="0095692E">
          <w:pPr>
            <w:pStyle w:val="TDC2"/>
            <w:spacing w:after="60"/>
            <w:rPr>
              <w:rFonts w:eastAsiaTheme="minorEastAsia" w:cstheme="minorBidi"/>
              <w:noProof/>
              <w:sz w:val="18"/>
              <w:szCs w:val="18"/>
              <w:lang w:val="es-CR"/>
            </w:rPr>
          </w:pPr>
          <w:hyperlink w:anchor="_Toc115262485" w:history="1">
            <w:r w:rsidR="009D27BD" w:rsidRPr="0095692E">
              <w:rPr>
                <w:rStyle w:val="Hipervnculo"/>
                <w:noProof/>
                <w:sz w:val="18"/>
                <w:szCs w:val="18"/>
                <w:lang w:val="es-CR"/>
              </w:rPr>
              <w:t>D.</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El proceso penal</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_Toc115262485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20</w:t>
            </w:r>
            <w:r w:rsidR="009D27BD" w:rsidRPr="0095692E">
              <w:rPr>
                <w:noProof/>
                <w:webHidden/>
                <w:sz w:val="18"/>
                <w:szCs w:val="18"/>
                <w:lang w:val="es-CR"/>
              </w:rPr>
              <w:fldChar w:fldCharType="end"/>
            </w:r>
          </w:hyperlink>
        </w:p>
        <w:p w14:paraId="3BF5868C" w14:textId="781A8698" w:rsidR="009D27BD" w:rsidRPr="0095692E" w:rsidRDefault="00146215" w:rsidP="0095692E">
          <w:pPr>
            <w:pStyle w:val="TDC1"/>
            <w:spacing w:after="60"/>
            <w:rPr>
              <w:rFonts w:eastAsiaTheme="minorEastAsia" w:cstheme="minorBidi"/>
              <w:b w:val="0"/>
              <w:bCs w:val="0"/>
              <w:sz w:val="18"/>
              <w:szCs w:val="18"/>
              <w:lang w:val="es-CR"/>
            </w:rPr>
          </w:pPr>
          <w:hyperlink w:anchor="_Toc115262486" w:history="1">
            <w:r w:rsidR="009D27BD" w:rsidRPr="0095692E">
              <w:rPr>
                <w:rStyle w:val="Hipervnculo"/>
                <w:sz w:val="18"/>
                <w:szCs w:val="18"/>
                <w:lang w:val="es-CR"/>
              </w:rPr>
              <w:t>VII FONDO</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_Toc115262486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22</w:t>
            </w:r>
            <w:r w:rsidR="009D27BD" w:rsidRPr="0095692E">
              <w:rPr>
                <w:webHidden/>
                <w:sz w:val="18"/>
                <w:szCs w:val="18"/>
                <w:lang w:val="es-CR"/>
              </w:rPr>
              <w:fldChar w:fldCharType="end"/>
            </w:r>
          </w:hyperlink>
        </w:p>
        <w:p w14:paraId="553770F0" w14:textId="1F6DC454" w:rsidR="009D27BD" w:rsidRPr="0095692E" w:rsidRDefault="00146215" w:rsidP="0095692E">
          <w:pPr>
            <w:pStyle w:val="TDC1"/>
            <w:spacing w:after="60"/>
            <w:rPr>
              <w:rFonts w:eastAsiaTheme="minorEastAsia" w:cstheme="minorBidi"/>
              <w:b w:val="0"/>
              <w:bCs w:val="0"/>
              <w:sz w:val="18"/>
              <w:szCs w:val="18"/>
              <w:lang w:val="es-CR"/>
            </w:rPr>
          </w:pPr>
          <w:hyperlink w:anchor="_Toc115262487" w:history="1">
            <w:r w:rsidR="009D27BD" w:rsidRPr="0095692E">
              <w:rPr>
                <w:rStyle w:val="Hipervnculo"/>
                <w:sz w:val="18"/>
                <w:szCs w:val="18"/>
                <w:lang w:val="es-CR"/>
              </w:rPr>
              <w:t>VIII REPARACIONES</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_Toc115262487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25</w:t>
            </w:r>
            <w:r w:rsidR="009D27BD" w:rsidRPr="0095692E">
              <w:rPr>
                <w:webHidden/>
                <w:sz w:val="18"/>
                <w:szCs w:val="18"/>
                <w:lang w:val="es-CR"/>
              </w:rPr>
              <w:fldChar w:fldCharType="end"/>
            </w:r>
          </w:hyperlink>
        </w:p>
        <w:p w14:paraId="4AF49D59" w14:textId="2BCFB4C2" w:rsidR="009D27BD" w:rsidRPr="0095692E" w:rsidRDefault="00146215" w:rsidP="0095692E">
          <w:pPr>
            <w:pStyle w:val="TDC2"/>
            <w:spacing w:after="60"/>
            <w:rPr>
              <w:rFonts w:eastAsiaTheme="minorEastAsia" w:cstheme="minorBidi"/>
              <w:noProof/>
              <w:sz w:val="18"/>
              <w:szCs w:val="18"/>
              <w:lang w:val="es-CR"/>
            </w:rPr>
          </w:pPr>
          <w:hyperlink w:anchor="_Toc115262488" w:history="1">
            <w:r w:rsidR="009D27BD" w:rsidRPr="0095692E">
              <w:rPr>
                <w:rStyle w:val="Hipervnculo"/>
                <w:noProof/>
                <w:sz w:val="18"/>
                <w:szCs w:val="18"/>
                <w:lang w:val="es-CR"/>
              </w:rPr>
              <w:t>A.</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Parte Lesionada</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_Toc115262488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26</w:t>
            </w:r>
            <w:r w:rsidR="009D27BD" w:rsidRPr="0095692E">
              <w:rPr>
                <w:noProof/>
                <w:webHidden/>
                <w:sz w:val="18"/>
                <w:szCs w:val="18"/>
                <w:lang w:val="es-CR"/>
              </w:rPr>
              <w:fldChar w:fldCharType="end"/>
            </w:r>
          </w:hyperlink>
        </w:p>
        <w:p w14:paraId="25454A55" w14:textId="3C346685" w:rsidR="009D27BD" w:rsidRPr="0095692E" w:rsidRDefault="00146215" w:rsidP="0095692E">
          <w:pPr>
            <w:pStyle w:val="TDC2"/>
            <w:spacing w:after="60"/>
            <w:rPr>
              <w:rFonts w:eastAsiaTheme="minorEastAsia" w:cstheme="minorBidi"/>
              <w:noProof/>
              <w:sz w:val="18"/>
              <w:szCs w:val="18"/>
              <w:lang w:val="es-CR"/>
            </w:rPr>
          </w:pPr>
          <w:hyperlink w:anchor="_Toc115262489" w:history="1">
            <w:r w:rsidR="009D27BD" w:rsidRPr="0095692E">
              <w:rPr>
                <w:rStyle w:val="Hipervnculo"/>
                <w:noProof/>
                <w:sz w:val="18"/>
                <w:szCs w:val="18"/>
                <w:lang w:val="es-CR"/>
              </w:rPr>
              <w:t>B.</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Obligación de investigar los hechos e identificar, juzgar y, en su caso, sancionar a los responsables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_Toc115262489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26</w:t>
            </w:r>
            <w:r w:rsidR="009D27BD" w:rsidRPr="0095692E">
              <w:rPr>
                <w:noProof/>
                <w:webHidden/>
                <w:sz w:val="18"/>
                <w:szCs w:val="18"/>
                <w:lang w:val="es-CR"/>
              </w:rPr>
              <w:fldChar w:fldCharType="end"/>
            </w:r>
          </w:hyperlink>
        </w:p>
        <w:p w14:paraId="6E41610A" w14:textId="6317A2F3" w:rsidR="009D27BD" w:rsidRPr="0095692E" w:rsidRDefault="00146215" w:rsidP="0095692E">
          <w:pPr>
            <w:pStyle w:val="TDC2"/>
            <w:spacing w:after="60"/>
            <w:rPr>
              <w:rFonts w:eastAsiaTheme="minorEastAsia" w:cstheme="minorBidi"/>
              <w:noProof/>
              <w:sz w:val="18"/>
              <w:szCs w:val="18"/>
              <w:lang w:val="es-CR"/>
            </w:rPr>
          </w:pPr>
          <w:hyperlink w:anchor="_Toc115262490" w:history="1">
            <w:r w:rsidR="009D27BD" w:rsidRPr="0095692E">
              <w:rPr>
                <w:rStyle w:val="Hipervnculo"/>
                <w:noProof/>
                <w:sz w:val="18"/>
                <w:szCs w:val="18"/>
                <w:lang w:val="es-CR"/>
              </w:rPr>
              <w:t>C.</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Medida de restitución</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_Toc115262490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28</w:t>
            </w:r>
            <w:r w:rsidR="009D27BD" w:rsidRPr="0095692E">
              <w:rPr>
                <w:noProof/>
                <w:webHidden/>
                <w:sz w:val="18"/>
                <w:szCs w:val="18"/>
                <w:lang w:val="es-CR"/>
              </w:rPr>
              <w:fldChar w:fldCharType="end"/>
            </w:r>
          </w:hyperlink>
        </w:p>
        <w:p w14:paraId="5D34A562" w14:textId="6DE8EC05" w:rsidR="009D27BD" w:rsidRPr="0095692E" w:rsidRDefault="00146215" w:rsidP="0095692E">
          <w:pPr>
            <w:pStyle w:val="TDC2"/>
            <w:spacing w:after="60"/>
            <w:rPr>
              <w:rFonts w:eastAsiaTheme="minorEastAsia" w:cstheme="minorBidi"/>
              <w:noProof/>
              <w:sz w:val="18"/>
              <w:szCs w:val="18"/>
              <w:lang w:val="es-CR"/>
            </w:rPr>
          </w:pPr>
          <w:hyperlink w:anchor="_Toc115262491" w:history="1">
            <w:r w:rsidR="009D27BD" w:rsidRPr="0095692E">
              <w:rPr>
                <w:rStyle w:val="Hipervnculo"/>
                <w:noProof/>
                <w:sz w:val="18"/>
                <w:szCs w:val="18"/>
                <w:lang w:val="es-CR"/>
              </w:rPr>
              <w:t>D.</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Medidas de rehabilitación</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_Toc115262491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29</w:t>
            </w:r>
            <w:r w:rsidR="009D27BD" w:rsidRPr="0095692E">
              <w:rPr>
                <w:noProof/>
                <w:webHidden/>
                <w:sz w:val="18"/>
                <w:szCs w:val="18"/>
                <w:lang w:val="es-CR"/>
              </w:rPr>
              <w:fldChar w:fldCharType="end"/>
            </w:r>
          </w:hyperlink>
        </w:p>
        <w:p w14:paraId="47B9780B" w14:textId="4DA1550C" w:rsidR="009D27BD" w:rsidRPr="0095692E" w:rsidRDefault="00146215" w:rsidP="0095692E">
          <w:pPr>
            <w:pStyle w:val="TDC2"/>
            <w:spacing w:after="60"/>
            <w:rPr>
              <w:rFonts w:eastAsiaTheme="minorEastAsia" w:cstheme="minorBidi"/>
              <w:noProof/>
              <w:sz w:val="18"/>
              <w:szCs w:val="18"/>
              <w:lang w:val="es-CR"/>
            </w:rPr>
          </w:pPr>
          <w:hyperlink w:anchor="_Toc115262492" w:history="1">
            <w:r w:rsidR="009D27BD" w:rsidRPr="0095692E">
              <w:rPr>
                <w:rStyle w:val="Hipervnculo"/>
                <w:noProof/>
                <w:sz w:val="18"/>
                <w:szCs w:val="18"/>
                <w:lang w:val="es-CR"/>
              </w:rPr>
              <w:t>E.</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Medidas de satisfacción</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_Toc115262492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30</w:t>
            </w:r>
            <w:r w:rsidR="009D27BD" w:rsidRPr="0095692E">
              <w:rPr>
                <w:noProof/>
                <w:webHidden/>
                <w:sz w:val="18"/>
                <w:szCs w:val="18"/>
                <w:lang w:val="es-CR"/>
              </w:rPr>
              <w:fldChar w:fldCharType="end"/>
            </w:r>
          </w:hyperlink>
        </w:p>
        <w:p w14:paraId="313F16DD" w14:textId="1549AEC8" w:rsidR="009D27BD" w:rsidRPr="0095692E" w:rsidRDefault="00146215" w:rsidP="0095692E">
          <w:pPr>
            <w:pStyle w:val="TDC3"/>
            <w:spacing w:after="60"/>
            <w:rPr>
              <w:rFonts w:eastAsiaTheme="minorEastAsia" w:cstheme="minorBidi"/>
              <w:noProof/>
              <w:sz w:val="18"/>
              <w:szCs w:val="18"/>
              <w:lang w:val="es-CR"/>
            </w:rPr>
          </w:pPr>
          <w:hyperlink w:anchor="_Toc115262493" w:history="1">
            <w:r w:rsidR="009D27BD" w:rsidRPr="0095692E">
              <w:rPr>
                <w:rStyle w:val="Hipervnculo"/>
                <w:bCs/>
                <w:noProof/>
                <w:sz w:val="18"/>
                <w:szCs w:val="18"/>
                <w:lang w:val="es-CR"/>
              </w:rPr>
              <w:t>E.1. Publicación y difusión de la Sentencia</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_Toc115262493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30</w:t>
            </w:r>
            <w:r w:rsidR="009D27BD" w:rsidRPr="0095692E">
              <w:rPr>
                <w:noProof/>
                <w:webHidden/>
                <w:sz w:val="18"/>
                <w:szCs w:val="18"/>
                <w:lang w:val="es-CR"/>
              </w:rPr>
              <w:fldChar w:fldCharType="end"/>
            </w:r>
          </w:hyperlink>
        </w:p>
        <w:p w14:paraId="5C5CE018" w14:textId="3EF3D24E" w:rsidR="009D27BD" w:rsidRPr="0095692E" w:rsidRDefault="00146215" w:rsidP="0095692E">
          <w:pPr>
            <w:pStyle w:val="TDC3"/>
            <w:spacing w:after="60"/>
            <w:rPr>
              <w:rFonts w:eastAsiaTheme="minorEastAsia" w:cstheme="minorBidi"/>
              <w:noProof/>
              <w:sz w:val="18"/>
              <w:szCs w:val="18"/>
              <w:lang w:val="es-CR"/>
            </w:rPr>
          </w:pPr>
          <w:hyperlink w:anchor="_Toc115262494" w:history="1">
            <w:r w:rsidR="009D27BD" w:rsidRPr="0095692E">
              <w:rPr>
                <w:rStyle w:val="Hipervnculo"/>
                <w:bCs/>
                <w:noProof/>
                <w:sz w:val="18"/>
                <w:szCs w:val="18"/>
                <w:lang w:val="es-CR"/>
              </w:rPr>
              <w:t>E.2. Acto Público de reconocimiento de la responsabilidad internacional</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_Toc115262494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31</w:t>
            </w:r>
            <w:r w:rsidR="009D27BD" w:rsidRPr="0095692E">
              <w:rPr>
                <w:noProof/>
                <w:webHidden/>
                <w:sz w:val="18"/>
                <w:szCs w:val="18"/>
                <w:lang w:val="es-CR"/>
              </w:rPr>
              <w:fldChar w:fldCharType="end"/>
            </w:r>
          </w:hyperlink>
        </w:p>
        <w:p w14:paraId="720DE151" w14:textId="3683220B" w:rsidR="009D27BD" w:rsidRPr="0095692E" w:rsidRDefault="00146215" w:rsidP="0095692E">
          <w:pPr>
            <w:pStyle w:val="TDC3"/>
            <w:spacing w:after="60"/>
            <w:rPr>
              <w:rFonts w:eastAsiaTheme="minorEastAsia" w:cstheme="minorBidi"/>
              <w:noProof/>
              <w:sz w:val="18"/>
              <w:szCs w:val="18"/>
              <w:lang w:val="es-CR"/>
            </w:rPr>
          </w:pPr>
          <w:hyperlink w:anchor="_Toc115262495" w:history="1">
            <w:r w:rsidR="009D27BD" w:rsidRPr="0095692E">
              <w:rPr>
                <w:rStyle w:val="Hipervnculo"/>
                <w:bCs/>
                <w:noProof/>
                <w:sz w:val="18"/>
                <w:szCs w:val="18"/>
                <w:lang w:val="es-CR"/>
              </w:rPr>
              <w:t>E.3. Construcción de un mausoleo</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_Toc115262495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31</w:t>
            </w:r>
            <w:r w:rsidR="009D27BD" w:rsidRPr="0095692E">
              <w:rPr>
                <w:noProof/>
                <w:webHidden/>
                <w:sz w:val="18"/>
                <w:szCs w:val="18"/>
                <w:lang w:val="es-CR"/>
              </w:rPr>
              <w:fldChar w:fldCharType="end"/>
            </w:r>
          </w:hyperlink>
        </w:p>
        <w:p w14:paraId="1989D026" w14:textId="11AE14AB" w:rsidR="009D27BD" w:rsidRPr="0095692E" w:rsidRDefault="00146215" w:rsidP="0095692E">
          <w:pPr>
            <w:pStyle w:val="TDC2"/>
            <w:spacing w:after="60"/>
            <w:rPr>
              <w:rFonts w:eastAsiaTheme="minorEastAsia" w:cstheme="minorBidi"/>
              <w:noProof/>
              <w:sz w:val="18"/>
              <w:szCs w:val="18"/>
              <w:lang w:val="es-CR"/>
            </w:rPr>
          </w:pPr>
          <w:hyperlink w:anchor="_Toc115262496" w:history="1">
            <w:r w:rsidR="009D27BD" w:rsidRPr="0095692E">
              <w:rPr>
                <w:rStyle w:val="Hipervnculo"/>
                <w:noProof/>
                <w:sz w:val="18"/>
                <w:szCs w:val="18"/>
                <w:lang w:val="es-CR"/>
              </w:rPr>
              <w:t>F.</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Garantías de no repetición</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_Toc115262496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31</w:t>
            </w:r>
            <w:r w:rsidR="009D27BD" w:rsidRPr="0095692E">
              <w:rPr>
                <w:noProof/>
                <w:webHidden/>
                <w:sz w:val="18"/>
                <w:szCs w:val="18"/>
                <w:lang w:val="es-CR"/>
              </w:rPr>
              <w:fldChar w:fldCharType="end"/>
            </w:r>
          </w:hyperlink>
        </w:p>
        <w:p w14:paraId="5702EEB0" w14:textId="7A18C2A8" w:rsidR="009D27BD" w:rsidRPr="0095692E" w:rsidRDefault="00146215" w:rsidP="0095692E">
          <w:pPr>
            <w:pStyle w:val="TDC3"/>
            <w:spacing w:after="60"/>
            <w:rPr>
              <w:rFonts w:eastAsiaTheme="minorEastAsia" w:cstheme="minorBidi"/>
              <w:noProof/>
              <w:sz w:val="18"/>
              <w:szCs w:val="18"/>
              <w:lang w:val="es-CR"/>
            </w:rPr>
          </w:pPr>
          <w:hyperlink w:anchor="_Toc115262497" w:history="1">
            <w:r w:rsidR="009D27BD" w:rsidRPr="0095692E">
              <w:rPr>
                <w:rStyle w:val="Hipervnculo"/>
                <w:bCs/>
                <w:noProof/>
                <w:sz w:val="18"/>
                <w:szCs w:val="18"/>
                <w:lang w:val="es-CR"/>
              </w:rPr>
              <w:t>F.1. Política nacional de memoria histórica</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_Toc115262497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32</w:t>
            </w:r>
            <w:r w:rsidR="009D27BD" w:rsidRPr="0095692E">
              <w:rPr>
                <w:noProof/>
                <w:webHidden/>
                <w:sz w:val="18"/>
                <w:szCs w:val="18"/>
                <w:lang w:val="es-CR"/>
              </w:rPr>
              <w:fldChar w:fldCharType="end"/>
            </w:r>
          </w:hyperlink>
        </w:p>
        <w:p w14:paraId="268BA836" w14:textId="05215C6A" w:rsidR="009D27BD" w:rsidRPr="0095692E" w:rsidRDefault="00146215" w:rsidP="0095692E">
          <w:pPr>
            <w:pStyle w:val="TDC3"/>
            <w:spacing w:after="60"/>
            <w:rPr>
              <w:rFonts w:eastAsiaTheme="minorEastAsia" w:cstheme="minorBidi"/>
              <w:noProof/>
              <w:sz w:val="18"/>
              <w:szCs w:val="18"/>
              <w:lang w:val="es-CR"/>
            </w:rPr>
          </w:pPr>
          <w:hyperlink w:anchor="_Toc115262498" w:history="1">
            <w:r w:rsidR="009D27BD" w:rsidRPr="0095692E">
              <w:rPr>
                <w:rStyle w:val="Hipervnculo"/>
                <w:bCs/>
                <w:noProof/>
                <w:sz w:val="18"/>
                <w:szCs w:val="18"/>
                <w:lang w:val="es-CR"/>
              </w:rPr>
              <w:t>F.2. Adecuación del Código Penal hondureño</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_Toc115262498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33</w:t>
            </w:r>
            <w:r w:rsidR="009D27BD" w:rsidRPr="0095692E">
              <w:rPr>
                <w:noProof/>
                <w:webHidden/>
                <w:sz w:val="18"/>
                <w:szCs w:val="18"/>
                <w:lang w:val="es-CR"/>
              </w:rPr>
              <w:fldChar w:fldCharType="end"/>
            </w:r>
          </w:hyperlink>
        </w:p>
        <w:p w14:paraId="56C0E407" w14:textId="7C82ACBA" w:rsidR="009D27BD" w:rsidRPr="0095692E" w:rsidRDefault="00146215" w:rsidP="0095692E">
          <w:pPr>
            <w:pStyle w:val="TDC3"/>
            <w:spacing w:after="60"/>
            <w:rPr>
              <w:rFonts w:eastAsiaTheme="minorEastAsia" w:cstheme="minorBidi"/>
              <w:noProof/>
              <w:sz w:val="18"/>
              <w:szCs w:val="18"/>
              <w:lang w:val="es-CR"/>
            </w:rPr>
          </w:pPr>
          <w:hyperlink w:anchor="_Toc115262499" w:history="1">
            <w:r w:rsidR="009D27BD" w:rsidRPr="0095692E">
              <w:rPr>
                <w:rStyle w:val="Hipervnculo"/>
                <w:bCs/>
                <w:noProof/>
                <w:sz w:val="18"/>
                <w:szCs w:val="18"/>
                <w:lang w:val="es-CR"/>
              </w:rPr>
              <w:t>F.3. Política de preservación de archivos y sitios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_Toc115262499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33</w:t>
            </w:r>
            <w:r w:rsidR="009D27BD" w:rsidRPr="0095692E">
              <w:rPr>
                <w:noProof/>
                <w:webHidden/>
                <w:sz w:val="18"/>
                <w:szCs w:val="18"/>
                <w:lang w:val="es-CR"/>
              </w:rPr>
              <w:fldChar w:fldCharType="end"/>
            </w:r>
          </w:hyperlink>
        </w:p>
        <w:p w14:paraId="40F8B42A" w14:textId="19C3CBE7" w:rsidR="009D27BD" w:rsidRPr="0095692E" w:rsidRDefault="00146215" w:rsidP="0095692E">
          <w:pPr>
            <w:pStyle w:val="TDC3"/>
            <w:spacing w:after="60"/>
            <w:rPr>
              <w:rFonts w:eastAsiaTheme="minorEastAsia" w:cstheme="minorBidi"/>
              <w:noProof/>
              <w:sz w:val="18"/>
              <w:szCs w:val="18"/>
              <w:lang w:val="es-CR"/>
            </w:rPr>
          </w:pPr>
          <w:hyperlink w:anchor="_Toc115262500" w:history="1">
            <w:r w:rsidR="009D27BD" w:rsidRPr="0095692E">
              <w:rPr>
                <w:rStyle w:val="Hipervnculo"/>
                <w:bCs/>
                <w:noProof/>
                <w:sz w:val="18"/>
                <w:szCs w:val="18"/>
                <w:lang w:val="es-CR"/>
              </w:rPr>
              <w:t>F.4. Educación primaria y secundaria</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_Toc115262500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34</w:t>
            </w:r>
            <w:r w:rsidR="009D27BD" w:rsidRPr="0095692E">
              <w:rPr>
                <w:noProof/>
                <w:webHidden/>
                <w:sz w:val="18"/>
                <w:szCs w:val="18"/>
                <w:lang w:val="es-CR"/>
              </w:rPr>
              <w:fldChar w:fldCharType="end"/>
            </w:r>
          </w:hyperlink>
        </w:p>
        <w:p w14:paraId="20247E02" w14:textId="40F10193" w:rsidR="009D27BD" w:rsidRPr="0095692E" w:rsidRDefault="00146215" w:rsidP="0095692E">
          <w:pPr>
            <w:pStyle w:val="TDC3"/>
            <w:spacing w:after="60"/>
            <w:rPr>
              <w:rFonts w:eastAsiaTheme="minorEastAsia" w:cstheme="minorBidi"/>
              <w:noProof/>
              <w:sz w:val="18"/>
              <w:szCs w:val="18"/>
              <w:lang w:val="es-CR"/>
            </w:rPr>
          </w:pPr>
          <w:hyperlink w:anchor="_Toc115262501" w:history="1">
            <w:r w:rsidR="009D27BD" w:rsidRPr="0095692E">
              <w:rPr>
                <w:rStyle w:val="Hipervnculo"/>
                <w:bCs/>
                <w:noProof/>
                <w:sz w:val="18"/>
                <w:szCs w:val="18"/>
                <w:lang w:val="es-CR"/>
              </w:rPr>
              <w:t>F.5. Otras medidas solicitadas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_Toc115262501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34</w:t>
            </w:r>
            <w:r w:rsidR="009D27BD" w:rsidRPr="0095692E">
              <w:rPr>
                <w:noProof/>
                <w:webHidden/>
                <w:sz w:val="18"/>
                <w:szCs w:val="18"/>
                <w:lang w:val="es-CR"/>
              </w:rPr>
              <w:fldChar w:fldCharType="end"/>
            </w:r>
          </w:hyperlink>
        </w:p>
        <w:p w14:paraId="3302E8E5" w14:textId="4EA5BC1E" w:rsidR="009D27BD" w:rsidRPr="0095692E" w:rsidRDefault="00146215" w:rsidP="0095692E">
          <w:pPr>
            <w:pStyle w:val="TDC2"/>
            <w:spacing w:after="60"/>
            <w:rPr>
              <w:rFonts w:eastAsiaTheme="minorEastAsia" w:cstheme="minorBidi"/>
              <w:noProof/>
              <w:sz w:val="18"/>
              <w:szCs w:val="18"/>
              <w:lang w:val="es-CR"/>
            </w:rPr>
          </w:pPr>
          <w:hyperlink w:anchor="_Toc115262502" w:history="1">
            <w:r w:rsidR="009D27BD" w:rsidRPr="0095692E">
              <w:rPr>
                <w:rStyle w:val="Hipervnculo"/>
                <w:noProof/>
                <w:sz w:val="18"/>
                <w:szCs w:val="18"/>
                <w:lang w:val="es-CR"/>
              </w:rPr>
              <w:t>G.</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Indemnizaciones compensatorias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_Toc115262502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34</w:t>
            </w:r>
            <w:r w:rsidR="009D27BD" w:rsidRPr="0095692E">
              <w:rPr>
                <w:noProof/>
                <w:webHidden/>
                <w:sz w:val="18"/>
                <w:szCs w:val="18"/>
                <w:lang w:val="es-CR"/>
              </w:rPr>
              <w:fldChar w:fldCharType="end"/>
            </w:r>
          </w:hyperlink>
        </w:p>
        <w:p w14:paraId="11AD6EB0" w14:textId="631C7C36" w:rsidR="009D27BD" w:rsidRPr="0095692E" w:rsidRDefault="00146215" w:rsidP="0095692E">
          <w:pPr>
            <w:pStyle w:val="TDC2"/>
            <w:spacing w:after="60"/>
            <w:rPr>
              <w:rFonts w:eastAsiaTheme="minorEastAsia" w:cstheme="minorBidi"/>
              <w:noProof/>
              <w:sz w:val="18"/>
              <w:szCs w:val="18"/>
              <w:lang w:val="es-CR"/>
            </w:rPr>
          </w:pPr>
          <w:hyperlink w:anchor="_Toc115262503" w:history="1">
            <w:r w:rsidR="009D27BD" w:rsidRPr="0095692E">
              <w:rPr>
                <w:rStyle w:val="Hipervnculo"/>
                <w:noProof/>
                <w:sz w:val="18"/>
                <w:szCs w:val="18"/>
                <w:lang w:val="es-CR"/>
              </w:rPr>
              <w:t>H.</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Costas y gastos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_Toc115262503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38</w:t>
            </w:r>
            <w:r w:rsidR="009D27BD" w:rsidRPr="0095692E">
              <w:rPr>
                <w:noProof/>
                <w:webHidden/>
                <w:sz w:val="18"/>
                <w:szCs w:val="18"/>
                <w:lang w:val="es-CR"/>
              </w:rPr>
              <w:fldChar w:fldCharType="end"/>
            </w:r>
          </w:hyperlink>
        </w:p>
        <w:p w14:paraId="457C1314" w14:textId="6B9FB535" w:rsidR="009D27BD" w:rsidRPr="0095692E" w:rsidRDefault="00146215" w:rsidP="0095692E">
          <w:pPr>
            <w:pStyle w:val="TDC2"/>
            <w:spacing w:after="60"/>
            <w:rPr>
              <w:rFonts w:eastAsiaTheme="minorEastAsia" w:cstheme="minorBidi"/>
              <w:noProof/>
              <w:sz w:val="18"/>
              <w:szCs w:val="18"/>
              <w:lang w:val="es-CR"/>
            </w:rPr>
          </w:pPr>
          <w:hyperlink w:anchor="_Toc115262504" w:history="1">
            <w:r w:rsidR="009D27BD" w:rsidRPr="0095692E">
              <w:rPr>
                <w:rStyle w:val="Hipervnculo"/>
                <w:noProof/>
                <w:sz w:val="18"/>
                <w:szCs w:val="18"/>
                <w:lang w:val="es-CR"/>
              </w:rPr>
              <w:t>I.</w:t>
            </w:r>
            <w:r w:rsidR="009D27BD" w:rsidRPr="0095692E">
              <w:rPr>
                <w:rFonts w:eastAsiaTheme="minorEastAsia" w:cstheme="minorBidi"/>
                <w:noProof/>
                <w:sz w:val="18"/>
                <w:szCs w:val="18"/>
                <w:lang w:val="es-CR"/>
              </w:rPr>
              <w:tab/>
            </w:r>
            <w:r w:rsidR="009D27BD" w:rsidRPr="0095692E">
              <w:rPr>
                <w:rStyle w:val="Hipervnculo"/>
                <w:noProof/>
                <w:sz w:val="18"/>
                <w:szCs w:val="18"/>
                <w:lang w:val="es-CR"/>
              </w:rPr>
              <w:t>Modalidad de cumplimiento de los pagos ordenados</w:t>
            </w:r>
            <w:r w:rsidR="009D27BD" w:rsidRPr="0095692E">
              <w:rPr>
                <w:noProof/>
                <w:webHidden/>
                <w:sz w:val="18"/>
                <w:szCs w:val="18"/>
                <w:lang w:val="es-CR"/>
              </w:rPr>
              <w:tab/>
            </w:r>
            <w:r w:rsidR="009D27BD" w:rsidRPr="0095692E">
              <w:rPr>
                <w:noProof/>
                <w:webHidden/>
                <w:sz w:val="18"/>
                <w:szCs w:val="18"/>
                <w:lang w:val="es-CR"/>
              </w:rPr>
              <w:fldChar w:fldCharType="begin"/>
            </w:r>
            <w:r w:rsidR="009D27BD" w:rsidRPr="0095692E">
              <w:rPr>
                <w:noProof/>
                <w:webHidden/>
                <w:sz w:val="18"/>
                <w:szCs w:val="18"/>
                <w:lang w:val="es-CR"/>
              </w:rPr>
              <w:instrText xml:space="preserve"> PAGEREF _Toc115262504 \h </w:instrText>
            </w:r>
            <w:r w:rsidR="009D27BD" w:rsidRPr="0095692E">
              <w:rPr>
                <w:noProof/>
                <w:webHidden/>
                <w:sz w:val="18"/>
                <w:szCs w:val="18"/>
                <w:lang w:val="es-CR"/>
              </w:rPr>
            </w:r>
            <w:r w:rsidR="009D27BD" w:rsidRPr="0095692E">
              <w:rPr>
                <w:noProof/>
                <w:webHidden/>
                <w:sz w:val="18"/>
                <w:szCs w:val="18"/>
                <w:lang w:val="es-CR"/>
              </w:rPr>
              <w:fldChar w:fldCharType="separate"/>
            </w:r>
            <w:r>
              <w:rPr>
                <w:noProof/>
                <w:webHidden/>
                <w:sz w:val="18"/>
                <w:szCs w:val="18"/>
                <w:lang w:val="es-CR"/>
              </w:rPr>
              <w:t>40</w:t>
            </w:r>
            <w:r w:rsidR="009D27BD" w:rsidRPr="0095692E">
              <w:rPr>
                <w:noProof/>
                <w:webHidden/>
                <w:sz w:val="18"/>
                <w:szCs w:val="18"/>
                <w:lang w:val="es-CR"/>
              </w:rPr>
              <w:fldChar w:fldCharType="end"/>
            </w:r>
          </w:hyperlink>
        </w:p>
        <w:p w14:paraId="43F4C87F" w14:textId="7DFF6CDB" w:rsidR="009D27BD" w:rsidRPr="0095692E" w:rsidRDefault="00146215" w:rsidP="0095692E">
          <w:pPr>
            <w:pStyle w:val="TDC1"/>
            <w:spacing w:after="60"/>
            <w:rPr>
              <w:rFonts w:eastAsiaTheme="minorEastAsia" w:cstheme="minorBidi"/>
              <w:b w:val="0"/>
              <w:bCs w:val="0"/>
              <w:sz w:val="18"/>
              <w:szCs w:val="18"/>
              <w:lang w:val="es-CR"/>
            </w:rPr>
          </w:pPr>
          <w:hyperlink w:anchor="_Toc115262505" w:history="1">
            <w:r w:rsidR="009D27BD" w:rsidRPr="0095692E">
              <w:rPr>
                <w:rStyle w:val="Hipervnculo"/>
                <w:sz w:val="18"/>
                <w:szCs w:val="18"/>
                <w:lang w:val="es-CR"/>
              </w:rPr>
              <w:t>IX</w:t>
            </w:r>
            <w:r w:rsidR="009D27BD" w:rsidRPr="0095692E">
              <w:rPr>
                <w:rStyle w:val="Hipervnculo"/>
                <w:sz w:val="18"/>
                <w:szCs w:val="18"/>
                <w:lang w:val="es-CR" w:eastAsia="es-CR"/>
              </w:rPr>
              <w:t xml:space="preserve"> </w:t>
            </w:r>
            <w:r w:rsidR="009D27BD" w:rsidRPr="0095692E">
              <w:rPr>
                <w:rStyle w:val="Hipervnculo"/>
                <w:sz w:val="18"/>
                <w:szCs w:val="18"/>
                <w:lang w:val="es-CR"/>
              </w:rPr>
              <w:t>PUNTOS RESOLUTIVOS</w:t>
            </w:r>
            <w:r w:rsidR="009D27BD" w:rsidRPr="0095692E">
              <w:rPr>
                <w:webHidden/>
                <w:sz w:val="18"/>
                <w:szCs w:val="18"/>
                <w:lang w:val="es-CR"/>
              </w:rPr>
              <w:tab/>
            </w:r>
            <w:r w:rsidR="009D27BD" w:rsidRPr="0095692E">
              <w:rPr>
                <w:webHidden/>
                <w:sz w:val="18"/>
                <w:szCs w:val="18"/>
                <w:lang w:val="es-CR"/>
              </w:rPr>
              <w:fldChar w:fldCharType="begin"/>
            </w:r>
            <w:r w:rsidR="009D27BD" w:rsidRPr="0095692E">
              <w:rPr>
                <w:webHidden/>
                <w:sz w:val="18"/>
                <w:szCs w:val="18"/>
                <w:lang w:val="es-CR"/>
              </w:rPr>
              <w:instrText xml:space="preserve"> PAGEREF _Toc115262505 \h </w:instrText>
            </w:r>
            <w:r w:rsidR="009D27BD" w:rsidRPr="0095692E">
              <w:rPr>
                <w:webHidden/>
                <w:sz w:val="18"/>
                <w:szCs w:val="18"/>
                <w:lang w:val="es-CR"/>
              </w:rPr>
            </w:r>
            <w:r w:rsidR="009D27BD" w:rsidRPr="0095692E">
              <w:rPr>
                <w:webHidden/>
                <w:sz w:val="18"/>
                <w:szCs w:val="18"/>
                <w:lang w:val="es-CR"/>
              </w:rPr>
              <w:fldChar w:fldCharType="separate"/>
            </w:r>
            <w:r>
              <w:rPr>
                <w:webHidden/>
                <w:sz w:val="18"/>
                <w:szCs w:val="18"/>
                <w:lang w:val="es-CR"/>
              </w:rPr>
              <w:t>41</w:t>
            </w:r>
            <w:r w:rsidR="009D27BD" w:rsidRPr="0095692E">
              <w:rPr>
                <w:webHidden/>
                <w:sz w:val="18"/>
                <w:szCs w:val="18"/>
                <w:lang w:val="es-CR"/>
              </w:rPr>
              <w:fldChar w:fldCharType="end"/>
            </w:r>
          </w:hyperlink>
        </w:p>
        <w:p w14:paraId="5EB5C2FE" w14:textId="4A28982A" w:rsidR="001A0BD0" w:rsidRPr="0095692E" w:rsidRDefault="009A45D1" w:rsidP="0095692E">
          <w:pPr>
            <w:spacing w:after="60"/>
            <w:rPr>
              <w:rFonts w:ascii="Verdana" w:hAnsi="Verdana"/>
              <w:sz w:val="18"/>
              <w:szCs w:val="18"/>
            </w:rPr>
          </w:pPr>
          <w:r w:rsidRPr="0095692E">
            <w:rPr>
              <w:rFonts w:ascii="Verdana" w:hAnsi="Verdana"/>
              <w:b/>
              <w:bCs/>
              <w:sz w:val="18"/>
              <w:szCs w:val="18"/>
              <w:highlight w:val="yellow"/>
            </w:rPr>
            <w:fldChar w:fldCharType="end"/>
          </w:r>
        </w:p>
      </w:sdtContent>
    </w:sdt>
    <w:p w14:paraId="7E0684DA" w14:textId="77777777" w:rsidR="001A0BD0" w:rsidRPr="0095692E" w:rsidRDefault="001A0BD0" w:rsidP="005E3ABB">
      <w:pPr>
        <w:spacing w:after="40"/>
        <w:rPr>
          <w:rFonts w:ascii="Verdana" w:hAnsi="Verdana"/>
          <w:strike/>
          <w:sz w:val="18"/>
          <w:szCs w:val="18"/>
        </w:rPr>
      </w:pPr>
      <w:r w:rsidRPr="0095692E">
        <w:rPr>
          <w:rFonts w:ascii="Verdana" w:hAnsi="Verdana"/>
          <w:strike/>
          <w:sz w:val="18"/>
          <w:szCs w:val="18"/>
        </w:rPr>
        <w:br w:type="page"/>
      </w:r>
    </w:p>
    <w:p w14:paraId="5B23A5B1" w14:textId="511FB062" w:rsidR="001A0BD0" w:rsidRPr="0095692E" w:rsidRDefault="001A0BD0" w:rsidP="00A80648">
      <w:pPr>
        <w:pStyle w:val="Ttulo1"/>
        <w:rPr>
          <w:lang w:val="es-CR"/>
        </w:rPr>
      </w:pPr>
      <w:bookmarkStart w:id="0" w:name="_Toc80002603"/>
      <w:bookmarkStart w:id="1" w:name="_Toc42498026"/>
      <w:bookmarkStart w:id="2" w:name="_Toc46937274"/>
      <w:bookmarkStart w:id="3" w:name="_Toc66779185"/>
      <w:bookmarkStart w:id="4" w:name="_Toc115262468"/>
      <w:r w:rsidRPr="0095692E">
        <w:rPr>
          <w:lang w:val="es-CR"/>
        </w:rPr>
        <w:lastRenderedPageBreak/>
        <w:t>I</w:t>
      </w:r>
      <w:r w:rsidRPr="0095692E">
        <w:rPr>
          <w:lang w:val="es-CR"/>
        </w:rPr>
        <w:br/>
      </w:r>
      <w:bookmarkEnd w:id="0"/>
      <w:bookmarkEnd w:id="1"/>
      <w:bookmarkEnd w:id="2"/>
      <w:bookmarkEnd w:id="3"/>
      <w:r w:rsidRPr="0095692E">
        <w:rPr>
          <w:lang w:val="es-CR"/>
        </w:rPr>
        <w:t xml:space="preserve">INTRODUCCIÓN </w:t>
      </w:r>
      <w:r w:rsidR="00AC1D10" w:rsidRPr="0095692E">
        <w:rPr>
          <w:lang w:val="es-CR"/>
        </w:rPr>
        <w:t>DE</w:t>
      </w:r>
      <w:r w:rsidRPr="0095692E">
        <w:rPr>
          <w:lang w:val="es-CR"/>
        </w:rPr>
        <w:t xml:space="preserve"> LA CAUSA Y OBJETO DE LA CONTROVERSIA</w:t>
      </w:r>
      <w:bookmarkEnd w:id="4"/>
      <w:r w:rsidRPr="0095692E">
        <w:rPr>
          <w:lang w:val="es-CR"/>
        </w:rPr>
        <w:t xml:space="preserve"> </w:t>
      </w:r>
    </w:p>
    <w:p w14:paraId="019852F1" w14:textId="77777777" w:rsidR="001A0BD0" w:rsidRPr="0095692E" w:rsidRDefault="001A0BD0" w:rsidP="00A80648">
      <w:pPr>
        <w:rPr>
          <w:rFonts w:ascii="Verdana" w:hAnsi="Verdana"/>
          <w:sz w:val="20"/>
          <w:szCs w:val="20"/>
        </w:rPr>
      </w:pPr>
    </w:p>
    <w:p w14:paraId="42F0A63A" w14:textId="7D597C22" w:rsidR="008C29B6"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El caso sometido a la Corte.</w:t>
      </w:r>
      <w:r w:rsidRPr="0095692E">
        <w:rPr>
          <w:rFonts w:ascii="Verdana" w:hAnsi="Verdana"/>
          <w:sz w:val="20"/>
          <w:szCs w:val="20"/>
        </w:rPr>
        <w:t xml:space="preserve"> – </w:t>
      </w:r>
      <w:r w:rsidR="004959D6" w:rsidRPr="0095692E">
        <w:rPr>
          <w:rFonts w:ascii="Verdana" w:hAnsi="Verdana" w:cs="Times New Roman"/>
          <w:sz w:val="20"/>
          <w:szCs w:val="20"/>
        </w:rPr>
        <w:t>El 2</w:t>
      </w:r>
      <w:r w:rsidR="006C0360" w:rsidRPr="0095692E">
        <w:rPr>
          <w:rFonts w:ascii="Verdana" w:hAnsi="Verdana" w:cs="Times New Roman"/>
          <w:sz w:val="20"/>
          <w:szCs w:val="20"/>
        </w:rPr>
        <w:t>0</w:t>
      </w:r>
      <w:r w:rsidR="004959D6" w:rsidRPr="0095692E">
        <w:rPr>
          <w:rFonts w:ascii="Verdana" w:hAnsi="Verdana" w:cs="Times New Roman"/>
          <w:sz w:val="20"/>
          <w:szCs w:val="20"/>
        </w:rPr>
        <w:t xml:space="preserve"> de </w:t>
      </w:r>
      <w:r w:rsidR="006C0360" w:rsidRPr="0095692E">
        <w:rPr>
          <w:rFonts w:ascii="Verdana" w:hAnsi="Verdana" w:cs="Times New Roman"/>
          <w:sz w:val="20"/>
          <w:szCs w:val="20"/>
        </w:rPr>
        <w:t>agosto</w:t>
      </w:r>
      <w:r w:rsidR="004959D6" w:rsidRPr="0095692E">
        <w:rPr>
          <w:rFonts w:ascii="Verdana" w:hAnsi="Verdana" w:cs="Times New Roman"/>
          <w:sz w:val="20"/>
          <w:szCs w:val="20"/>
        </w:rPr>
        <w:t xml:space="preserve"> de 202</w:t>
      </w:r>
      <w:r w:rsidR="006C0360" w:rsidRPr="0095692E">
        <w:rPr>
          <w:rFonts w:ascii="Verdana" w:hAnsi="Verdana" w:cs="Times New Roman"/>
          <w:sz w:val="20"/>
          <w:szCs w:val="20"/>
        </w:rPr>
        <w:t>0</w:t>
      </w:r>
      <w:r w:rsidR="004959D6" w:rsidRPr="0095692E">
        <w:rPr>
          <w:rFonts w:ascii="Verdana" w:hAnsi="Verdana" w:cs="Times New Roman"/>
          <w:sz w:val="20"/>
          <w:szCs w:val="20"/>
        </w:rPr>
        <w:t>, la Comisión Interamericana de Derechos Humanos (en adelante “la Comisión Interamericana” o “la Comisión”) sometió a la jurisdicción de la Corte el caso “</w:t>
      </w:r>
      <w:r w:rsidR="00B90B89" w:rsidRPr="0095692E">
        <w:rPr>
          <w:rFonts w:ascii="Verdana" w:hAnsi="Verdana" w:cs="Times New Roman"/>
          <w:sz w:val="20"/>
          <w:szCs w:val="20"/>
        </w:rPr>
        <w:t>Herminio Deras García y familia, de la República de Honduras</w:t>
      </w:r>
      <w:r w:rsidR="004959D6" w:rsidRPr="0095692E">
        <w:rPr>
          <w:rFonts w:ascii="Verdana" w:hAnsi="Verdana" w:cs="Times New Roman"/>
          <w:sz w:val="20"/>
          <w:szCs w:val="20"/>
        </w:rPr>
        <w:t xml:space="preserve">” (en adelante “el Estado” </w:t>
      </w:r>
      <w:r w:rsidR="00AC1D10" w:rsidRPr="0095692E">
        <w:rPr>
          <w:rFonts w:ascii="Verdana" w:hAnsi="Verdana" w:cs="Times New Roman"/>
          <w:sz w:val="20"/>
          <w:szCs w:val="20"/>
        </w:rPr>
        <w:t>u</w:t>
      </w:r>
      <w:r w:rsidR="004959D6" w:rsidRPr="0095692E">
        <w:rPr>
          <w:rFonts w:ascii="Verdana" w:hAnsi="Verdana" w:cs="Times New Roman"/>
          <w:sz w:val="20"/>
          <w:szCs w:val="20"/>
        </w:rPr>
        <w:t xml:space="preserve"> “</w:t>
      </w:r>
      <w:r w:rsidR="00B90B89" w:rsidRPr="0095692E">
        <w:rPr>
          <w:rFonts w:ascii="Verdana" w:hAnsi="Verdana" w:cs="Times New Roman"/>
          <w:sz w:val="20"/>
          <w:szCs w:val="20"/>
        </w:rPr>
        <w:t>Honduras</w:t>
      </w:r>
      <w:r w:rsidR="004959D6" w:rsidRPr="0095692E">
        <w:rPr>
          <w:rFonts w:ascii="Verdana" w:hAnsi="Verdana" w:cs="Times New Roman"/>
          <w:sz w:val="20"/>
          <w:szCs w:val="20"/>
        </w:rPr>
        <w:t>”). De acuerdo con lo indicado por la Comisión, el caso se relaciona</w:t>
      </w:r>
      <w:r w:rsidR="005B32DD" w:rsidRPr="0095692E">
        <w:rPr>
          <w:rFonts w:ascii="Verdana" w:hAnsi="Verdana" w:cs="Times New Roman"/>
          <w:sz w:val="20"/>
          <w:szCs w:val="20"/>
        </w:rPr>
        <w:t xml:space="preserve"> con la</w:t>
      </w:r>
      <w:r w:rsidR="004959D6" w:rsidRPr="0095692E">
        <w:rPr>
          <w:rFonts w:ascii="Verdana" w:hAnsi="Verdana" w:cs="Times New Roman"/>
          <w:sz w:val="20"/>
          <w:szCs w:val="20"/>
        </w:rPr>
        <w:t xml:space="preserve"> </w:t>
      </w:r>
      <w:r w:rsidR="00614010" w:rsidRPr="0095692E">
        <w:rPr>
          <w:rFonts w:ascii="Verdana" w:hAnsi="Verdana" w:cs="Times New Roman"/>
          <w:sz w:val="20"/>
          <w:szCs w:val="20"/>
        </w:rPr>
        <w:t>ejecución extrajudicial</w:t>
      </w:r>
      <w:r w:rsidR="005158C1" w:rsidRPr="0095692E">
        <w:rPr>
          <w:rFonts w:ascii="Verdana" w:hAnsi="Verdana" w:cs="Times New Roman"/>
          <w:sz w:val="20"/>
          <w:szCs w:val="20"/>
        </w:rPr>
        <w:t>, en enero de 1983,</w:t>
      </w:r>
      <w:r w:rsidR="00614010" w:rsidRPr="0095692E">
        <w:rPr>
          <w:rFonts w:ascii="Verdana" w:hAnsi="Verdana" w:cs="Times New Roman"/>
          <w:sz w:val="20"/>
          <w:szCs w:val="20"/>
        </w:rPr>
        <w:t xml:space="preserve"> de Herminio Deras García, maestro, dirigente del Partido Comunista de Honduras y asesor de </w:t>
      </w:r>
      <w:r w:rsidR="00B13524" w:rsidRPr="0095692E">
        <w:rPr>
          <w:rFonts w:ascii="Verdana" w:hAnsi="Verdana" w:cs="Times New Roman"/>
          <w:sz w:val="20"/>
          <w:szCs w:val="20"/>
        </w:rPr>
        <w:t>distintos</w:t>
      </w:r>
      <w:r w:rsidR="00614010" w:rsidRPr="0095692E">
        <w:rPr>
          <w:rFonts w:ascii="Verdana" w:hAnsi="Verdana" w:cs="Times New Roman"/>
          <w:sz w:val="20"/>
          <w:szCs w:val="20"/>
        </w:rPr>
        <w:t xml:space="preserve"> sindicatos, así como a las amenazas, detenciones ilegales y actos de tortura en contra de sus familiares. </w:t>
      </w:r>
      <w:r w:rsidR="00E06E37" w:rsidRPr="0095692E">
        <w:rPr>
          <w:rFonts w:ascii="Verdana" w:hAnsi="Verdana" w:cs="Times New Roman"/>
          <w:sz w:val="20"/>
          <w:szCs w:val="20"/>
        </w:rPr>
        <w:t>La Comisión señaló que e</w:t>
      </w:r>
      <w:r w:rsidR="00614010" w:rsidRPr="0095692E">
        <w:rPr>
          <w:rFonts w:ascii="Verdana" w:hAnsi="Verdana" w:cs="Times New Roman"/>
          <w:sz w:val="20"/>
          <w:szCs w:val="20"/>
        </w:rPr>
        <w:t>stos hechos suced</w:t>
      </w:r>
      <w:r w:rsidR="005B32DD" w:rsidRPr="0095692E">
        <w:rPr>
          <w:rFonts w:ascii="Verdana" w:hAnsi="Verdana" w:cs="Times New Roman"/>
          <w:sz w:val="20"/>
          <w:szCs w:val="20"/>
        </w:rPr>
        <w:t>ieron</w:t>
      </w:r>
      <w:r w:rsidR="00614010" w:rsidRPr="0095692E">
        <w:rPr>
          <w:rFonts w:ascii="Verdana" w:hAnsi="Verdana" w:cs="Times New Roman"/>
          <w:sz w:val="20"/>
          <w:szCs w:val="20"/>
        </w:rPr>
        <w:t xml:space="preserve"> en un contexto de graves violaciones a los derechos humanos ocurridas en Honduras durante la década de 1980.</w:t>
      </w:r>
      <w:r w:rsidR="004959D6" w:rsidRPr="0095692E">
        <w:rPr>
          <w:rFonts w:ascii="Verdana" w:hAnsi="Verdana" w:cs="Times New Roman"/>
          <w:sz w:val="20"/>
          <w:szCs w:val="20"/>
        </w:rPr>
        <w:t xml:space="preserve"> </w:t>
      </w:r>
      <w:r w:rsidR="008C29B6" w:rsidRPr="0095692E">
        <w:rPr>
          <w:rFonts w:ascii="Verdana" w:hAnsi="Verdana"/>
          <w:sz w:val="20"/>
          <w:szCs w:val="20"/>
        </w:rPr>
        <w:t xml:space="preserve">Asimismo, la Comisión concluyó que la salida del país del hermano del señor Deras García y la imposibilidad de su hermana de regresar a Honduras, </w:t>
      </w:r>
      <w:r w:rsidR="00AB1AA3" w:rsidRPr="0095692E">
        <w:rPr>
          <w:rFonts w:ascii="Verdana" w:hAnsi="Verdana"/>
          <w:sz w:val="20"/>
          <w:szCs w:val="20"/>
        </w:rPr>
        <w:t>debido</w:t>
      </w:r>
      <w:r w:rsidR="008C29B6" w:rsidRPr="0095692E">
        <w:rPr>
          <w:rFonts w:ascii="Verdana" w:hAnsi="Verdana"/>
          <w:sz w:val="20"/>
          <w:szCs w:val="20"/>
        </w:rPr>
        <w:t xml:space="preserve"> a la supuesta falta de investigación y ausencia de medidas efectivas de protección respecto de los presuntos hechos de violencia, amenazas y hostigamientos contra la familia, resultaron en la violación del derecho de circulación y de residencia. Por último, la Comisión estableció que el Estado de Honduras habría violado los derechos a las garantías judiciales y </w:t>
      </w:r>
      <w:r w:rsidR="00AB1AA3" w:rsidRPr="0095692E">
        <w:rPr>
          <w:rFonts w:ascii="Verdana" w:hAnsi="Verdana"/>
          <w:sz w:val="20"/>
          <w:szCs w:val="20"/>
        </w:rPr>
        <w:t xml:space="preserve">a </w:t>
      </w:r>
      <w:r w:rsidR="008C29B6" w:rsidRPr="0095692E">
        <w:rPr>
          <w:rFonts w:ascii="Verdana" w:hAnsi="Verdana"/>
          <w:sz w:val="20"/>
          <w:szCs w:val="20"/>
        </w:rPr>
        <w:t xml:space="preserve">la protección judicial </w:t>
      </w:r>
      <w:r w:rsidR="00AB1AA3" w:rsidRPr="0095692E">
        <w:rPr>
          <w:rFonts w:ascii="Verdana" w:hAnsi="Verdana"/>
          <w:sz w:val="20"/>
          <w:szCs w:val="20"/>
        </w:rPr>
        <w:t xml:space="preserve">por </w:t>
      </w:r>
      <w:r w:rsidR="008C29B6" w:rsidRPr="0095692E">
        <w:rPr>
          <w:rFonts w:ascii="Verdana" w:hAnsi="Verdana"/>
          <w:sz w:val="20"/>
          <w:szCs w:val="20"/>
        </w:rPr>
        <w:t>la falta de debida diligencia e inobservancia del plazo razonable en el proceso penal iniciado para examinar la supuesta ejecución del señor Deras García.</w:t>
      </w:r>
      <w:r w:rsidR="00861659" w:rsidRPr="0095692E">
        <w:rPr>
          <w:rFonts w:ascii="Verdana" w:hAnsi="Verdana"/>
          <w:sz w:val="20"/>
          <w:szCs w:val="20"/>
        </w:rPr>
        <w:t xml:space="preserve"> </w:t>
      </w:r>
      <w:r w:rsidR="008C29B6" w:rsidRPr="0095692E">
        <w:rPr>
          <w:rFonts w:ascii="Verdana" w:hAnsi="Verdana"/>
          <w:sz w:val="20"/>
          <w:szCs w:val="20"/>
        </w:rPr>
        <w:t xml:space="preserve">En vista de lo anterior, la Comisión </w:t>
      </w:r>
      <w:r w:rsidR="00B92419" w:rsidRPr="0095692E">
        <w:rPr>
          <w:rFonts w:ascii="Verdana" w:hAnsi="Verdana"/>
          <w:sz w:val="20"/>
          <w:szCs w:val="20"/>
        </w:rPr>
        <w:t>determinó</w:t>
      </w:r>
      <w:r w:rsidR="00C2444F" w:rsidRPr="0095692E">
        <w:rPr>
          <w:rFonts w:ascii="Verdana" w:hAnsi="Verdana"/>
          <w:sz w:val="20"/>
          <w:szCs w:val="20"/>
        </w:rPr>
        <w:t xml:space="preserve"> </w:t>
      </w:r>
      <w:r w:rsidR="008C29B6" w:rsidRPr="0095692E">
        <w:rPr>
          <w:rFonts w:ascii="Verdana" w:hAnsi="Verdana"/>
          <w:sz w:val="20"/>
          <w:szCs w:val="20"/>
        </w:rPr>
        <w:t>la violación de los artículos 4.1, 5.1, 5.2, 7.1, 7.2, 7.3, 8.1, 11.2, 13.1, 16.1, 19, 22.1 y 25.1 de la Convención Americana sobre Derechos Humanos, en relación con el artículo 1.1 del mismo instrumento.</w:t>
      </w:r>
    </w:p>
    <w:p w14:paraId="1EC9C385" w14:textId="77777777" w:rsidR="001A0BD0" w:rsidRPr="0095692E" w:rsidRDefault="001A0BD0" w:rsidP="00A80648">
      <w:pPr>
        <w:pStyle w:val="Prrafodelista"/>
        <w:spacing w:after="0" w:line="240" w:lineRule="auto"/>
        <w:ind w:left="0"/>
        <w:contextualSpacing w:val="0"/>
        <w:jc w:val="both"/>
        <w:rPr>
          <w:rFonts w:ascii="Verdana" w:hAnsi="Verdana"/>
          <w:sz w:val="20"/>
          <w:szCs w:val="20"/>
        </w:rPr>
      </w:pPr>
    </w:p>
    <w:p w14:paraId="3D5E81A2" w14:textId="6BC50185" w:rsidR="001A0BD0"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Trámite ante la Comisión</w:t>
      </w:r>
      <w:r w:rsidRPr="0095692E">
        <w:rPr>
          <w:rFonts w:ascii="Verdana" w:hAnsi="Verdana"/>
          <w:sz w:val="20"/>
          <w:szCs w:val="20"/>
        </w:rPr>
        <w:t>. – El trámite ante la Comisión fue el siguiente:</w:t>
      </w:r>
    </w:p>
    <w:p w14:paraId="6DA00628" w14:textId="77777777" w:rsidR="001A0BD0" w:rsidRPr="0095692E" w:rsidRDefault="001A0BD0" w:rsidP="00A80648">
      <w:pPr>
        <w:rPr>
          <w:rFonts w:ascii="Verdana" w:hAnsi="Verdana"/>
          <w:sz w:val="20"/>
          <w:szCs w:val="20"/>
        </w:rPr>
      </w:pPr>
    </w:p>
    <w:p w14:paraId="2F19125C" w14:textId="1E4D01C5" w:rsidR="001A0BD0" w:rsidRPr="0095692E" w:rsidRDefault="001A0BD0" w:rsidP="00A80648">
      <w:pPr>
        <w:pStyle w:val="Prrafodelista"/>
        <w:numPr>
          <w:ilvl w:val="0"/>
          <w:numId w:val="3"/>
        </w:numPr>
        <w:spacing w:after="0" w:line="240" w:lineRule="auto"/>
        <w:contextualSpacing w:val="0"/>
        <w:jc w:val="both"/>
        <w:rPr>
          <w:rFonts w:ascii="Verdana" w:hAnsi="Verdana"/>
          <w:sz w:val="20"/>
          <w:szCs w:val="20"/>
        </w:rPr>
      </w:pPr>
      <w:r w:rsidRPr="0095692E">
        <w:rPr>
          <w:rFonts w:ascii="Verdana" w:hAnsi="Verdana"/>
          <w:i/>
          <w:sz w:val="20"/>
          <w:szCs w:val="20"/>
        </w:rPr>
        <w:t>Petición.</w:t>
      </w:r>
      <w:r w:rsidRPr="0095692E">
        <w:rPr>
          <w:rFonts w:ascii="Verdana" w:hAnsi="Verdana"/>
          <w:sz w:val="20"/>
          <w:szCs w:val="20"/>
        </w:rPr>
        <w:t xml:space="preserve"> – El </w:t>
      </w:r>
      <w:r w:rsidR="007345B4" w:rsidRPr="0095692E">
        <w:rPr>
          <w:rFonts w:ascii="Verdana" w:hAnsi="Verdana"/>
          <w:sz w:val="20"/>
          <w:szCs w:val="20"/>
        </w:rPr>
        <w:t>6</w:t>
      </w:r>
      <w:r w:rsidR="00242636" w:rsidRPr="0095692E">
        <w:rPr>
          <w:rFonts w:ascii="Verdana" w:hAnsi="Verdana"/>
          <w:sz w:val="20"/>
          <w:szCs w:val="20"/>
        </w:rPr>
        <w:t xml:space="preserve"> de </w:t>
      </w:r>
      <w:r w:rsidR="007345B4" w:rsidRPr="0095692E">
        <w:rPr>
          <w:rFonts w:ascii="Verdana" w:hAnsi="Verdana"/>
          <w:sz w:val="20"/>
          <w:szCs w:val="20"/>
        </w:rPr>
        <w:t>febrero</w:t>
      </w:r>
      <w:r w:rsidR="00242636" w:rsidRPr="0095692E">
        <w:rPr>
          <w:rFonts w:ascii="Verdana" w:hAnsi="Verdana"/>
          <w:sz w:val="20"/>
          <w:szCs w:val="20"/>
        </w:rPr>
        <w:t xml:space="preserve"> de 200</w:t>
      </w:r>
      <w:r w:rsidR="007345B4" w:rsidRPr="0095692E">
        <w:rPr>
          <w:rFonts w:ascii="Verdana" w:hAnsi="Verdana"/>
          <w:sz w:val="20"/>
          <w:szCs w:val="20"/>
        </w:rPr>
        <w:t>2</w:t>
      </w:r>
      <w:r w:rsidRPr="0095692E">
        <w:rPr>
          <w:rFonts w:ascii="Verdana" w:hAnsi="Verdana"/>
          <w:sz w:val="20"/>
          <w:szCs w:val="20"/>
        </w:rPr>
        <w:t xml:space="preserve"> </w:t>
      </w:r>
      <w:r w:rsidR="007345B4" w:rsidRPr="0095692E">
        <w:rPr>
          <w:rFonts w:ascii="Verdana" w:hAnsi="Verdana"/>
          <w:sz w:val="20"/>
          <w:szCs w:val="20"/>
        </w:rPr>
        <w:t>Eustaquia García Alvarado</w:t>
      </w:r>
      <w:r w:rsidR="007345B4" w:rsidRPr="0095692E">
        <w:rPr>
          <w:rStyle w:val="Refdenotaalpie"/>
          <w:rFonts w:ascii="Verdana" w:hAnsi="Verdana"/>
          <w:sz w:val="20"/>
          <w:szCs w:val="20"/>
        </w:rPr>
        <w:footnoteReference w:id="2"/>
      </w:r>
      <w:r w:rsidR="007345B4" w:rsidRPr="0095692E">
        <w:rPr>
          <w:rFonts w:ascii="Verdana" w:hAnsi="Verdana"/>
          <w:sz w:val="20"/>
          <w:szCs w:val="20"/>
        </w:rPr>
        <w:t xml:space="preserve"> </w:t>
      </w:r>
      <w:r w:rsidRPr="0095692E">
        <w:rPr>
          <w:rFonts w:ascii="Verdana" w:hAnsi="Verdana"/>
          <w:sz w:val="20"/>
          <w:szCs w:val="20"/>
        </w:rPr>
        <w:t>present</w:t>
      </w:r>
      <w:r w:rsidR="00242636" w:rsidRPr="0095692E">
        <w:rPr>
          <w:rFonts w:ascii="Verdana" w:hAnsi="Verdana"/>
          <w:sz w:val="20"/>
          <w:szCs w:val="20"/>
        </w:rPr>
        <w:t>ó</w:t>
      </w:r>
      <w:r w:rsidR="005C5731" w:rsidRPr="0095692E">
        <w:rPr>
          <w:rFonts w:ascii="Verdana" w:hAnsi="Verdana"/>
          <w:sz w:val="20"/>
          <w:szCs w:val="20"/>
        </w:rPr>
        <w:t xml:space="preserve"> la petición inicial ante la Comisión.</w:t>
      </w:r>
    </w:p>
    <w:p w14:paraId="6FE22790" w14:textId="77777777" w:rsidR="005C5731" w:rsidRPr="0095692E" w:rsidRDefault="005C5731" w:rsidP="00A80648">
      <w:pPr>
        <w:jc w:val="both"/>
        <w:rPr>
          <w:rFonts w:ascii="Verdana" w:hAnsi="Verdana"/>
          <w:sz w:val="20"/>
          <w:szCs w:val="20"/>
        </w:rPr>
      </w:pPr>
    </w:p>
    <w:p w14:paraId="5214BED7" w14:textId="0FF1166C" w:rsidR="001A0BD0" w:rsidRPr="0095692E" w:rsidRDefault="001A0BD0" w:rsidP="00A80648">
      <w:pPr>
        <w:pStyle w:val="Prrafodelista"/>
        <w:numPr>
          <w:ilvl w:val="0"/>
          <w:numId w:val="3"/>
        </w:numPr>
        <w:spacing w:after="0" w:line="240" w:lineRule="auto"/>
        <w:contextualSpacing w:val="0"/>
        <w:jc w:val="both"/>
        <w:rPr>
          <w:rFonts w:ascii="Verdana" w:hAnsi="Verdana"/>
          <w:sz w:val="20"/>
          <w:szCs w:val="20"/>
        </w:rPr>
      </w:pPr>
      <w:r w:rsidRPr="0095692E">
        <w:rPr>
          <w:rFonts w:ascii="Verdana" w:hAnsi="Verdana"/>
          <w:i/>
          <w:sz w:val="20"/>
          <w:szCs w:val="20"/>
        </w:rPr>
        <w:t>Informe de Admisibilidad.</w:t>
      </w:r>
      <w:r w:rsidRPr="0095692E">
        <w:rPr>
          <w:rFonts w:ascii="Verdana" w:hAnsi="Verdana"/>
          <w:sz w:val="20"/>
          <w:szCs w:val="20"/>
        </w:rPr>
        <w:t xml:space="preserve"> – El </w:t>
      </w:r>
      <w:r w:rsidR="00C26FDE" w:rsidRPr="0095692E">
        <w:rPr>
          <w:rFonts w:ascii="Verdana" w:hAnsi="Verdana"/>
          <w:sz w:val="20"/>
          <w:szCs w:val="20"/>
        </w:rPr>
        <w:t>16 de julio de 2013</w:t>
      </w:r>
      <w:r w:rsidRPr="0095692E">
        <w:rPr>
          <w:rFonts w:ascii="Verdana" w:hAnsi="Verdana"/>
          <w:sz w:val="20"/>
          <w:szCs w:val="20"/>
        </w:rPr>
        <w:t xml:space="preserve"> la Comisión aprobó el Informe de Admisibilidad No. </w:t>
      </w:r>
      <w:r w:rsidR="00C26FDE" w:rsidRPr="0095692E">
        <w:rPr>
          <w:rFonts w:ascii="Verdana" w:hAnsi="Verdana"/>
          <w:sz w:val="20"/>
          <w:szCs w:val="20"/>
        </w:rPr>
        <w:t>56</w:t>
      </w:r>
      <w:r w:rsidR="00242636" w:rsidRPr="0095692E">
        <w:rPr>
          <w:rFonts w:ascii="Verdana" w:hAnsi="Verdana"/>
          <w:sz w:val="20"/>
          <w:szCs w:val="20"/>
        </w:rPr>
        <w:t>/1</w:t>
      </w:r>
      <w:r w:rsidR="00C26FDE" w:rsidRPr="0095692E">
        <w:rPr>
          <w:rFonts w:ascii="Verdana" w:hAnsi="Verdana"/>
          <w:sz w:val="20"/>
          <w:szCs w:val="20"/>
        </w:rPr>
        <w:t>3</w:t>
      </w:r>
      <w:r w:rsidRPr="0095692E">
        <w:rPr>
          <w:rFonts w:ascii="Verdana" w:hAnsi="Verdana"/>
          <w:sz w:val="20"/>
          <w:szCs w:val="20"/>
        </w:rPr>
        <w:t xml:space="preserve">, </w:t>
      </w:r>
      <w:r w:rsidR="0079346A" w:rsidRPr="0095692E">
        <w:rPr>
          <w:rFonts w:ascii="Verdana" w:hAnsi="Verdana"/>
          <w:sz w:val="20"/>
          <w:szCs w:val="20"/>
        </w:rPr>
        <w:t>en el que concluyó que la petición era admisible</w:t>
      </w:r>
      <w:r w:rsidR="0079346A" w:rsidRPr="0095692E">
        <w:rPr>
          <w:rStyle w:val="Refdenotaalpie"/>
          <w:rFonts w:ascii="Verdana" w:hAnsi="Verdana"/>
          <w:sz w:val="20"/>
          <w:szCs w:val="20"/>
        </w:rPr>
        <w:footnoteReference w:id="3"/>
      </w:r>
      <w:r w:rsidR="00CC2D9A" w:rsidRPr="0095692E">
        <w:rPr>
          <w:rFonts w:ascii="Verdana" w:hAnsi="Verdana"/>
          <w:sz w:val="20"/>
          <w:szCs w:val="20"/>
        </w:rPr>
        <w:t>,</w:t>
      </w:r>
      <w:r w:rsidR="00C47EEF" w:rsidRPr="0095692E">
        <w:rPr>
          <w:rFonts w:ascii="Verdana" w:hAnsi="Verdana"/>
          <w:sz w:val="20"/>
          <w:szCs w:val="20"/>
        </w:rPr>
        <w:t xml:space="preserve"> y se puso a disposición para llegar a una solución amistosa</w:t>
      </w:r>
      <w:r w:rsidRPr="0095692E">
        <w:rPr>
          <w:rFonts w:ascii="Verdana" w:hAnsi="Verdana"/>
          <w:sz w:val="20"/>
          <w:szCs w:val="20"/>
        </w:rPr>
        <w:t>.</w:t>
      </w:r>
    </w:p>
    <w:p w14:paraId="00EA1DF1" w14:textId="77777777" w:rsidR="005C5731" w:rsidRPr="0095692E" w:rsidRDefault="005C5731" w:rsidP="00A80648">
      <w:pPr>
        <w:jc w:val="both"/>
        <w:rPr>
          <w:rFonts w:ascii="Verdana" w:hAnsi="Verdana"/>
          <w:sz w:val="20"/>
          <w:szCs w:val="20"/>
        </w:rPr>
      </w:pPr>
    </w:p>
    <w:p w14:paraId="308B663E" w14:textId="0EB54845" w:rsidR="00C47EEF" w:rsidRPr="0095692E" w:rsidRDefault="001A0BD0" w:rsidP="00A80648">
      <w:pPr>
        <w:pStyle w:val="Prrafodelista"/>
        <w:numPr>
          <w:ilvl w:val="0"/>
          <w:numId w:val="3"/>
        </w:numPr>
        <w:spacing w:after="0" w:line="240" w:lineRule="auto"/>
        <w:contextualSpacing w:val="0"/>
        <w:jc w:val="both"/>
        <w:rPr>
          <w:rFonts w:ascii="Verdana" w:hAnsi="Verdana"/>
          <w:sz w:val="20"/>
          <w:szCs w:val="20"/>
        </w:rPr>
      </w:pPr>
      <w:r w:rsidRPr="0095692E">
        <w:rPr>
          <w:rFonts w:ascii="Verdana" w:hAnsi="Verdana"/>
          <w:i/>
          <w:sz w:val="20"/>
          <w:szCs w:val="20"/>
        </w:rPr>
        <w:t>Informe de Fondo.</w:t>
      </w:r>
      <w:r w:rsidRPr="0095692E">
        <w:rPr>
          <w:rFonts w:ascii="Verdana" w:hAnsi="Verdana"/>
          <w:sz w:val="20"/>
          <w:szCs w:val="20"/>
        </w:rPr>
        <w:t xml:space="preserve"> – El </w:t>
      </w:r>
      <w:r w:rsidR="00242636" w:rsidRPr="0095692E">
        <w:rPr>
          <w:rFonts w:ascii="Verdana" w:hAnsi="Verdana"/>
          <w:sz w:val="20"/>
          <w:szCs w:val="20"/>
        </w:rPr>
        <w:t>2</w:t>
      </w:r>
      <w:r w:rsidR="00C26FDE" w:rsidRPr="0095692E">
        <w:rPr>
          <w:rFonts w:ascii="Verdana" w:hAnsi="Verdana"/>
          <w:sz w:val="20"/>
          <w:szCs w:val="20"/>
        </w:rPr>
        <w:t>8</w:t>
      </w:r>
      <w:r w:rsidR="00242636" w:rsidRPr="0095692E">
        <w:rPr>
          <w:rFonts w:ascii="Verdana" w:hAnsi="Verdana"/>
          <w:sz w:val="20"/>
          <w:szCs w:val="20"/>
        </w:rPr>
        <w:t xml:space="preserve"> de </w:t>
      </w:r>
      <w:r w:rsidR="00C26FDE" w:rsidRPr="0095692E">
        <w:rPr>
          <w:rFonts w:ascii="Verdana" w:hAnsi="Verdana"/>
          <w:sz w:val="20"/>
          <w:szCs w:val="20"/>
        </w:rPr>
        <w:t>septiembre</w:t>
      </w:r>
      <w:r w:rsidR="00242636" w:rsidRPr="0095692E">
        <w:rPr>
          <w:rFonts w:ascii="Verdana" w:hAnsi="Verdana"/>
          <w:sz w:val="20"/>
          <w:szCs w:val="20"/>
        </w:rPr>
        <w:t xml:space="preserve"> de 20</w:t>
      </w:r>
      <w:r w:rsidR="00C26FDE" w:rsidRPr="0095692E">
        <w:rPr>
          <w:rFonts w:ascii="Verdana" w:hAnsi="Verdana"/>
          <w:sz w:val="20"/>
          <w:szCs w:val="20"/>
        </w:rPr>
        <w:t>19</w:t>
      </w:r>
      <w:r w:rsidRPr="0095692E">
        <w:rPr>
          <w:rFonts w:ascii="Verdana" w:hAnsi="Verdana"/>
          <w:sz w:val="20"/>
          <w:szCs w:val="20"/>
        </w:rPr>
        <w:t xml:space="preserve"> la Comisión aprobó el Informe de Fondo No. </w:t>
      </w:r>
      <w:r w:rsidR="00242636" w:rsidRPr="0095692E">
        <w:rPr>
          <w:rFonts w:ascii="Verdana" w:hAnsi="Verdana"/>
          <w:sz w:val="20"/>
          <w:szCs w:val="20"/>
        </w:rPr>
        <w:t>1</w:t>
      </w:r>
      <w:r w:rsidR="00C26FDE" w:rsidRPr="0095692E">
        <w:rPr>
          <w:rFonts w:ascii="Verdana" w:hAnsi="Verdana"/>
          <w:sz w:val="20"/>
          <w:szCs w:val="20"/>
        </w:rPr>
        <w:t>58</w:t>
      </w:r>
      <w:r w:rsidR="00242636" w:rsidRPr="0095692E">
        <w:rPr>
          <w:rFonts w:ascii="Verdana" w:hAnsi="Verdana"/>
          <w:sz w:val="20"/>
          <w:szCs w:val="20"/>
        </w:rPr>
        <w:t>/</w:t>
      </w:r>
      <w:r w:rsidR="00C26FDE" w:rsidRPr="0095692E">
        <w:rPr>
          <w:rFonts w:ascii="Verdana" w:hAnsi="Verdana"/>
          <w:sz w:val="20"/>
          <w:szCs w:val="20"/>
        </w:rPr>
        <w:t>19</w:t>
      </w:r>
      <w:r w:rsidRPr="0095692E">
        <w:rPr>
          <w:rFonts w:ascii="Verdana" w:hAnsi="Verdana"/>
          <w:sz w:val="20"/>
          <w:szCs w:val="20"/>
        </w:rPr>
        <w:t xml:space="preserve"> (en adelante también “Informe de Fondo”), en el cual llegó a una serie de conclusiones y formuló varias recomendaciones al Estado.</w:t>
      </w:r>
    </w:p>
    <w:p w14:paraId="6EDE1B22" w14:textId="77777777" w:rsidR="00C47EEF" w:rsidRPr="0095692E" w:rsidRDefault="00C47EEF" w:rsidP="00A80648">
      <w:pPr>
        <w:pStyle w:val="Prrafodelista"/>
        <w:spacing w:after="0" w:line="240" w:lineRule="auto"/>
        <w:contextualSpacing w:val="0"/>
        <w:rPr>
          <w:rFonts w:ascii="Verdana" w:hAnsi="Verdana"/>
          <w:i/>
          <w:sz w:val="20"/>
          <w:szCs w:val="20"/>
        </w:rPr>
      </w:pPr>
    </w:p>
    <w:p w14:paraId="59C3DF0C" w14:textId="2798D662" w:rsidR="001A0BD0" w:rsidRPr="0095692E" w:rsidRDefault="001A0BD0" w:rsidP="00A80648">
      <w:pPr>
        <w:pStyle w:val="Prrafodelista"/>
        <w:numPr>
          <w:ilvl w:val="0"/>
          <w:numId w:val="3"/>
        </w:numPr>
        <w:spacing w:after="0" w:line="240" w:lineRule="auto"/>
        <w:contextualSpacing w:val="0"/>
        <w:jc w:val="both"/>
        <w:rPr>
          <w:rFonts w:ascii="Verdana" w:hAnsi="Verdana"/>
          <w:sz w:val="20"/>
          <w:szCs w:val="20"/>
        </w:rPr>
      </w:pPr>
      <w:r w:rsidRPr="0095692E">
        <w:rPr>
          <w:rFonts w:ascii="Verdana" w:hAnsi="Verdana"/>
          <w:i/>
          <w:sz w:val="20"/>
          <w:szCs w:val="20"/>
        </w:rPr>
        <w:t>Notificación al Estado</w:t>
      </w:r>
      <w:r w:rsidRPr="0095692E">
        <w:rPr>
          <w:rFonts w:ascii="Verdana" w:hAnsi="Verdana"/>
          <w:sz w:val="20"/>
          <w:szCs w:val="20"/>
        </w:rPr>
        <w:t xml:space="preserve">. – </w:t>
      </w:r>
      <w:r w:rsidR="005C5731" w:rsidRPr="0095692E">
        <w:rPr>
          <w:rFonts w:ascii="Verdana" w:hAnsi="Verdana"/>
          <w:sz w:val="20"/>
          <w:szCs w:val="20"/>
        </w:rPr>
        <w:t>La Comisión notificó al Estado el I</w:t>
      </w:r>
      <w:r w:rsidR="00C47EEF" w:rsidRPr="0095692E">
        <w:rPr>
          <w:rFonts w:ascii="Verdana" w:hAnsi="Verdana"/>
          <w:sz w:val="20"/>
          <w:szCs w:val="20"/>
        </w:rPr>
        <w:t xml:space="preserve">nforme de Fondo </w:t>
      </w:r>
      <w:r w:rsidRPr="0095692E">
        <w:rPr>
          <w:rFonts w:ascii="Verdana" w:hAnsi="Verdana"/>
          <w:sz w:val="20"/>
          <w:szCs w:val="20"/>
        </w:rPr>
        <w:t xml:space="preserve">mediante comunicación de </w:t>
      </w:r>
      <w:r w:rsidR="00C0199C" w:rsidRPr="0095692E">
        <w:rPr>
          <w:rFonts w:ascii="Verdana" w:hAnsi="Verdana"/>
          <w:sz w:val="20"/>
          <w:szCs w:val="20"/>
        </w:rPr>
        <w:t>20 de noviembre de 2019</w:t>
      </w:r>
      <w:r w:rsidRPr="0095692E">
        <w:rPr>
          <w:rFonts w:ascii="Verdana" w:hAnsi="Verdana"/>
          <w:sz w:val="20"/>
          <w:szCs w:val="20"/>
        </w:rPr>
        <w:t xml:space="preserve">. La Comisión otorgó </w:t>
      </w:r>
      <w:r w:rsidR="00E134C9" w:rsidRPr="0095692E">
        <w:rPr>
          <w:rFonts w:ascii="Verdana" w:hAnsi="Verdana"/>
          <w:sz w:val="20"/>
          <w:szCs w:val="20"/>
        </w:rPr>
        <w:t>al Estado un plazo de dos meses para informar sobre el cumplimiento de las recomendaciones</w:t>
      </w:r>
      <w:r w:rsidR="00BF2234" w:rsidRPr="0095692E">
        <w:rPr>
          <w:rFonts w:ascii="Verdana" w:hAnsi="Verdana"/>
          <w:sz w:val="20"/>
          <w:szCs w:val="20"/>
        </w:rPr>
        <w:t>.</w:t>
      </w:r>
      <w:r w:rsidR="00E134C9" w:rsidRPr="0095692E">
        <w:rPr>
          <w:rFonts w:ascii="Verdana" w:hAnsi="Verdana"/>
          <w:sz w:val="20"/>
          <w:szCs w:val="20"/>
        </w:rPr>
        <w:t xml:space="preserve"> Tras el otorgamiento de </w:t>
      </w:r>
      <w:r w:rsidR="00C0199C" w:rsidRPr="0095692E">
        <w:rPr>
          <w:rFonts w:ascii="Verdana" w:hAnsi="Verdana"/>
          <w:sz w:val="20"/>
          <w:szCs w:val="20"/>
        </w:rPr>
        <w:t>dos prórrogas de tres meses cada una</w:t>
      </w:r>
      <w:r w:rsidR="00E134C9" w:rsidRPr="0095692E">
        <w:rPr>
          <w:rFonts w:ascii="Verdana" w:hAnsi="Verdana"/>
          <w:sz w:val="20"/>
          <w:szCs w:val="20"/>
        </w:rPr>
        <w:t xml:space="preserve">, </w:t>
      </w:r>
      <w:r w:rsidR="00C0199C" w:rsidRPr="0095692E">
        <w:rPr>
          <w:rFonts w:ascii="Verdana" w:hAnsi="Verdana"/>
          <w:sz w:val="20"/>
          <w:szCs w:val="20"/>
        </w:rPr>
        <w:t xml:space="preserve">el 5 de agosto de 2020, el Estado indicó </w:t>
      </w:r>
      <w:r w:rsidR="00766048" w:rsidRPr="0095692E">
        <w:rPr>
          <w:rFonts w:ascii="Verdana" w:hAnsi="Verdana"/>
          <w:sz w:val="20"/>
          <w:szCs w:val="20"/>
        </w:rPr>
        <w:t xml:space="preserve">a la Comisión </w:t>
      </w:r>
      <w:r w:rsidR="00C0199C" w:rsidRPr="0095692E">
        <w:rPr>
          <w:rFonts w:ascii="Verdana" w:hAnsi="Verdana"/>
          <w:sz w:val="20"/>
          <w:szCs w:val="20"/>
        </w:rPr>
        <w:t xml:space="preserve">su intención de llegar a un acuerdo de cumplimiento. </w:t>
      </w:r>
      <w:r w:rsidR="00766048" w:rsidRPr="0095692E">
        <w:rPr>
          <w:rFonts w:ascii="Verdana" w:hAnsi="Verdana"/>
          <w:sz w:val="20"/>
          <w:szCs w:val="20"/>
        </w:rPr>
        <w:t xml:space="preserve">No obstante, </w:t>
      </w:r>
      <w:r w:rsidR="008D7D17" w:rsidRPr="0095692E">
        <w:rPr>
          <w:rFonts w:ascii="Verdana" w:hAnsi="Verdana"/>
          <w:sz w:val="20"/>
          <w:szCs w:val="20"/>
        </w:rPr>
        <w:t>“</w:t>
      </w:r>
      <w:r w:rsidR="00C0199C" w:rsidRPr="0095692E">
        <w:rPr>
          <w:rFonts w:ascii="Verdana" w:hAnsi="Verdana"/>
          <w:sz w:val="20"/>
          <w:szCs w:val="20"/>
        </w:rPr>
        <w:t>no solicitó la suspensión del plazo para el sometimiento del caso a la Corte</w:t>
      </w:r>
      <w:r w:rsidR="008D7D17" w:rsidRPr="0095692E">
        <w:rPr>
          <w:rFonts w:ascii="Verdana" w:hAnsi="Verdana"/>
          <w:sz w:val="20"/>
          <w:szCs w:val="20"/>
        </w:rPr>
        <w:t>”</w:t>
      </w:r>
      <w:r w:rsidR="00E134C9" w:rsidRPr="0095692E">
        <w:rPr>
          <w:rFonts w:ascii="Verdana" w:hAnsi="Verdana"/>
          <w:sz w:val="20"/>
          <w:szCs w:val="20"/>
        </w:rPr>
        <w:t>.</w:t>
      </w:r>
    </w:p>
    <w:p w14:paraId="4A50C2F9" w14:textId="77777777" w:rsidR="001A0BD0" w:rsidRPr="0095692E" w:rsidRDefault="001A0BD0" w:rsidP="00A80648">
      <w:pPr>
        <w:pStyle w:val="Prrafodelista"/>
        <w:spacing w:after="0" w:line="240" w:lineRule="auto"/>
        <w:ind w:left="0"/>
        <w:contextualSpacing w:val="0"/>
        <w:jc w:val="both"/>
        <w:rPr>
          <w:rFonts w:ascii="Verdana" w:hAnsi="Verdana"/>
          <w:sz w:val="20"/>
          <w:szCs w:val="20"/>
        </w:rPr>
      </w:pPr>
    </w:p>
    <w:p w14:paraId="1754AEB7" w14:textId="79D80F4E" w:rsidR="001A0BD0" w:rsidRPr="0095692E" w:rsidRDefault="001A0BD0" w:rsidP="008B2BDF">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lastRenderedPageBreak/>
        <w:t>Sometimiento a la Corte</w:t>
      </w:r>
      <w:r w:rsidRPr="0095692E">
        <w:rPr>
          <w:rFonts w:ascii="Verdana" w:hAnsi="Verdana"/>
          <w:sz w:val="20"/>
          <w:szCs w:val="20"/>
        </w:rPr>
        <w:t xml:space="preserve">. – El </w:t>
      </w:r>
      <w:r w:rsidR="00556A79" w:rsidRPr="0095692E">
        <w:rPr>
          <w:rFonts w:ascii="Verdana" w:hAnsi="Verdana"/>
          <w:sz w:val="20"/>
          <w:szCs w:val="20"/>
        </w:rPr>
        <w:t>2</w:t>
      </w:r>
      <w:r w:rsidR="00F76083" w:rsidRPr="0095692E">
        <w:rPr>
          <w:rFonts w:ascii="Verdana" w:hAnsi="Verdana"/>
          <w:sz w:val="20"/>
          <w:szCs w:val="20"/>
        </w:rPr>
        <w:t>0</w:t>
      </w:r>
      <w:r w:rsidRPr="0095692E">
        <w:rPr>
          <w:rFonts w:ascii="Verdana" w:hAnsi="Verdana"/>
          <w:sz w:val="20"/>
          <w:szCs w:val="20"/>
        </w:rPr>
        <w:t xml:space="preserve"> de </w:t>
      </w:r>
      <w:r w:rsidR="00F76083" w:rsidRPr="0095692E">
        <w:rPr>
          <w:rFonts w:ascii="Verdana" w:hAnsi="Verdana"/>
          <w:sz w:val="20"/>
          <w:szCs w:val="20"/>
        </w:rPr>
        <w:t>agosto</w:t>
      </w:r>
      <w:r w:rsidRPr="0095692E">
        <w:rPr>
          <w:rFonts w:ascii="Verdana" w:hAnsi="Verdana"/>
          <w:sz w:val="20"/>
          <w:szCs w:val="20"/>
        </w:rPr>
        <w:t xml:space="preserve"> de 20</w:t>
      </w:r>
      <w:r w:rsidR="00556A79" w:rsidRPr="0095692E">
        <w:rPr>
          <w:rFonts w:ascii="Verdana" w:hAnsi="Verdana"/>
          <w:sz w:val="20"/>
          <w:szCs w:val="20"/>
        </w:rPr>
        <w:t>2</w:t>
      </w:r>
      <w:r w:rsidR="00F76083" w:rsidRPr="0095692E">
        <w:rPr>
          <w:rFonts w:ascii="Verdana" w:hAnsi="Verdana"/>
          <w:sz w:val="20"/>
          <w:szCs w:val="20"/>
        </w:rPr>
        <w:t>0</w:t>
      </w:r>
      <w:r w:rsidRPr="0095692E">
        <w:rPr>
          <w:rFonts w:ascii="Verdana" w:hAnsi="Verdana"/>
          <w:sz w:val="20"/>
          <w:szCs w:val="20"/>
        </w:rPr>
        <w:t xml:space="preserve"> la Comisión sometió a la Corte la totalidad de los hechos y violaciones </w:t>
      </w:r>
      <w:r w:rsidR="008C341E" w:rsidRPr="0095692E">
        <w:rPr>
          <w:rFonts w:ascii="Verdana" w:hAnsi="Verdana"/>
          <w:sz w:val="20"/>
          <w:szCs w:val="20"/>
        </w:rPr>
        <w:t>de</w:t>
      </w:r>
      <w:r w:rsidRPr="0095692E">
        <w:rPr>
          <w:rFonts w:ascii="Verdana" w:hAnsi="Verdana"/>
          <w:sz w:val="20"/>
          <w:szCs w:val="20"/>
        </w:rPr>
        <w:t xml:space="preserve"> derechos humanos de</w:t>
      </w:r>
      <w:r w:rsidR="009D0849" w:rsidRPr="0095692E">
        <w:rPr>
          <w:rFonts w:ascii="Verdana" w:hAnsi="Verdana"/>
          <w:sz w:val="20"/>
          <w:szCs w:val="20"/>
        </w:rPr>
        <w:t>l caso</w:t>
      </w:r>
      <w:r w:rsidR="00F76083" w:rsidRPr="0095692E">
        <w:rPr>
          <w:rStyle w:val="Refdenotaalpie"/>
          <w:rFonts w:ascii="Verdana" w:hAnsi="Verdana"/>
          <w:sz w:val="20"/>
          <w:szCs w:val="20"/>
        </w:rPr>
        <w:footnoteReference w:id="4"/>
      </w:r>
      <w:r w:rsidR="009D0849" w:rsidRPr="0095692E">
        <w:rPr>
          <w:rFonts w:ascii="Verdana" w:hAnsi="Verdana"/>
          <w:sz w:val="20"/>
          <w:szCs w:val="20"/>
        </w:rPr>
        <w:t xml:space="preserve">. Lo hizo, según indicó, </w:t>
      </w:r>
      <w:r w:rsidRPr="0095692E">
        <w:rPr>
          <w:rFonts w:ascii="Verdana" w:hAnsi="Verdana"/>
          <w:sz w:val="20"/>
          <w:szCs w:val="20"/>
        </w:rPr>
        <w:t xml:space="preserve">por </w:t>
      </w:r>
      <w:r w:rsidR="00F76083" w:rsidRPr="0095692E">
        <w:rPr>
          <w:rFonts w:ascii="Verdana" w:hAnsi="Verdana"/>
          <w:sz w:val="20"/>
          <w:szCs w:val="20"/>
        </w:rPr>
        <w:t>“</w:t>
      </w:r>
      <w:r w:rsidRPr="0095692E">
        <w:rPr>
          <w:rFonts w:ascii="Verdana" w:hAnsi="Verdana"/>
          <w:sz w:val="20"/>
          <w:szCs w:val="20"/>
        </w:rPr>
        <w:t>la necesidad de obtención de justicia y reparaci</w:t>
      </w:r>
      <w:r w:rsidR="009D0849" w:rsidRPr="0095692E">
        <w:rPr>
          <w:rFonts w:ascii="Verdana" w:hAnsi="Verdana"/>
          <w:sz w:val="20"/>
          <w:szCs w:val="20"/>
        </w:rPr>
        <w:t>ón</w:t>
      </w:r>
      <w:r w:rsidR="004942DE" w:rsidRPr="0095692E">
        <w:rPr>
          <w:rFonts w:ascii="Verdana" w:hAnsi="Verdana"/>
          <w:sz w:val="20"/>
          <w:szCs w:val="20"/>
        </w:rPr>
        <w:t xml:space="preserve"> </w:t>
      </w:r>
      <w:r w:rsidR="00F76083" w:rsidRPr="0095692E">
        <w:rPr>
          <w:rFonts w:ascii="Verdana" w:hAnsi="Verdana"/>
          <w:sz w:val="20"/>
          <w:szCs w:val="20"/>
        </w:rPr>
        <w:t>por la falta de cumplimiento de las recomendaciones del Informe de Fondo”</w:t>
      </w:r>
      <w:r w:rsidRPr="0095692E">
        <w:rPr>
          <w:rFonts w:ascii="Verdana" w:hAnsi="Verdana"/>
          <w:sz w:val="20"/>
          <w:szCs w:val="20"/>
        </w:rPr>
        <w:t xml:space="preserve">. </w:t>
      </w:r>
    </w:p>
    <w:p w14:paraId="26BF574F" w14:textId="77777777" w:rsidR="001A0BD0" w:rsidRPr="0095692E" w:rsidRDefault="001A0BD0" w:rsidP="00A80648">
      <w:pPr>
        <w:pStyle w:val="Prrafodelista"/>
        <w:spacing w:after="0" w:line="240" w:lineRule="auto"/>
        <w:contextualSpacing w:val="0"/>
        <w:rPr>
          <w:rFonts w:ascii="Verdana" w:hAnsi="Verdana"/>
          <w:sz w:val="20"/>
          <w:szCs w:val="20"/>
        </w:rPr>
      </w:pPr>
    </w:p>
    <w:p w14:paraId="1585275A" w14:textId="07E5ECFD" w:rsidR="001A0BD0"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Solicitudes de la Comisión.</w:t>
      </w:r>
      <w:r w:rsidRPr="0095692E">
        <w:rPr>
          <w:rFonts w:ascii="Verdana" w:hAnsi="Verdana"/>
          <w:sz w:val="20"/>
          <w:szCs w:val="20"/>
        </w:rPr>
        <w:t xml:space="preserve"> – La Comisión solicitó a este Tribunal que concluya y declar</w:t>
      </w:r>
      <w:r w:rsidR="00DE0575" w:rsidRPr="0095692E">
        <w:rPr>
          <w:rFonts w:ascii="Verdana" w:hAnsi="Verdana"/>
          <w:sz w:val="20"/>
          <w:szCs w:val="20"/>
        </w:rPr>
        <w:t>e</w:t>
      </w:r>
      <w:r w:rsidRPr="0095692E">
        <w:rPr>
          <w:rFonts w:ascii="Verdana" w:hAnsi="Verdana"/>
          <w:sz w:val="20"/>
          <w:szCs w:val="20"/>
        </w:rPr>
        <w:t xml:space="preserve"> la responsabilidad internacional de </w:t>
      </w:r>
      <w:r w:rsidR="002766FB" w:rsidRPr="0095692E">
        <w:rPr>
          <w:rFonts w:ascii="Verdana" w:hAnsi="Verdana"/>
          <w:sz w:val="20"/>
          <w:szCs w:val="20"/>
        </w:rPr>
        <w:t>Honduras</w:t>
      </w:r>
      <w:r w:rsidRPr="0095692E">
        <w:rPr>
          <w:rFonts w:ascii="Verdana" w:hAnsi="Verdana"/>
          <w:sz w:val="20"/>
          <w:szCs w:val="20"/>
        </w:rPr>
        <w:t xml:space="preserve"> por las violaciones contenidas en el Informe </w:t>
      </w:r>
      <w:r w:rsidR="004942DE" w:rsidRPr="0095692E">
        <w:rPr>
          <w:rFonts w:ascii="Verdana" w:hAnsi="Verdana"/>
          <w:sz w:val="20"/>
          <w:szCs w:val="20"/>
        </w:rPr>
        <w:t xml:space="preserve">de Fondo </w:t>
      </w:r>
      <w:r w:rsidR="00E41A33" w:rsidRPr="0095692E">
        <w:rPr>
          <w:rFonts w:ascii="Verdana" w:hAnsi="Verdana"/>
          <w:sz w:val="20"/>
          <w:szCs w:val="20"/>
        </w:rPr>
        <w:t>(</w:t>
      </w:r>
      <w:r w:rsidR="00E41A33" w:rsidRPr="0095692E">
        <w:rPr>
          <w:rFonts w:ascii="Verdana" w:hAnsi="Verdana"/>
          <w:i/>
          <w:iCs/>
          <w:sz w:val="20"/>
          <w:szCs w:val="20"/>
        </w:rPr>
        <w:t>supra</w:t>
      </w:r>
      <w:r w:rsidR="00E41A33" w:rsidRPr="0095692E">
        <w:rPr>
          <w:rFonts w:ascii="Verdana" w:hAnsi="Verdana"/>
          <w:sz w:val="20"/>
          <w:szCs w:val="20"/>
        </w:rPr>
        <w:t xml:space="preserve"> párr. 1) </w:t>
      </w:r>
      <w:r w:rsidRPr="0095692E">
        <w:rPr>
          <w:rFonts w:ascii="Verdana" w:hAnsi="Verdana"/>
          <w:sz w:val="20"/>
          <w:szCs w:val="20"/>
        </w:rPr>
        <w:t>y que orden</w:t>
      </w:r>
      <w:r w:rsidR="00DD172F" w:rsidRPr="0095692E">
        <w:rPr>
          <w:rFonts w:ascii="Verdana" w:hAnsi="Verdana"/>
          <w:sz w:val="20"/>
          <w:szCs w:val="20"/>
        </w:rPr>
        <w:t>e</w:t>
      </w:r>
      <w:r w:rsidRPr="0095692E">
        <w:rPr>
          <w:rFonts w:ascii="Verdana" w:hAnsi="Verdana"/>
          <w:sz w:val="20"/>
          <w:szCs w:val="20"/>
        </w:rPr>
        <w:t xml:space="preserve"> al Estado, como medidas de repa</w:t>
      </w:r>
      <w:r w:rsidR="00442B40" w:rsidRPr="0095692E">
        <w:rPr>
          <w:rFonts w:ascii="Verdana" w:hAnsi="Verdana"/>
          <w:sz w:val="20"/>
          <w:szCs w:val="20"/>
        </w:rPr>
        <w:t>ración, las incluidas en dicho I</w:t>
      </w:r>
      <w:r w:rsidRPr="0095692E">
        <w:rPr>
          <w:rFonts w:ascii="Verdana" w:hAnsi="Verdana"/>
          <w:sz w:val="20"/>
          <w:szCs w:val="20"/>
        </w:rPr>
        <w:t>nforme</w:t>
      </w:r>
      <w:r w:rsidR="00E41A33" w:rsidRPr="0095692E">
        <w:rPr>
          <w:rFonts w:ascii="Verdana" w:hAnsi="Verdana"/>
          <w:sz w:val="20"/>
          <w:szCs w:val="20"/>
        </w:rPr>
        <w:t xml:space="preserve"> (</w:t>
      </w:r>
      <w:r w:rsidR="00E41A33" w:rsidRPr="0095692E">
        <w:rPr>
          <w:rFonts w:ascii="Verdana" w:hAnsi="Verdana"/>
          <w:i/>
          <w:iCs/>
          <w:sz w:val="20"/>
          <w:szCs w:val="20"/>
        </w:rPr>
        <w:t>infra</w:t>
      </w:r>
      <w:r w:rsidR="00E41A33" w:rsidRPr="0095692E">
        <w:rPr>
          <w:rFonts w:ascii="Verdana" w:hAnsi="Verdana"/>
          <w:sz w:val="20"/>
          <w:szCs w:val="20"/>
        </w:rPr>
        <w:t xml:space="preserve"> Capítulo </w:t>
      </w:r>
      <w:r w:rsidR="00703308" w:rsidRPr="0095692E">
        <w:rPr>
          <w:rFonts w:ascii="Verdana" w:hAnsi="Verdana"/>
          <w:sz w:val="20"/>
          <w:szCs w:val="20"/>
        </w:rPr>
        <w:t>VIII</w:t>
      </w:r>
      <w:r w:rsidR="00E41A33" w:rsidRPr="0095692E">
        <w:rPr>
          <w:rFonts w:ascii="Verdana" w:hAnsi="Verdana"/>
          <w:sz w:val="20"/>
          <w:szCs w:val="20"/>
        </w:rPr>
        <w:t>)</w:t>
      </w:r>
      <w:r w:rsidR="00050795" w:rsidRPr="0095692E">
        <w:rPr>
          <w:rFonts w:ascii="Verdana" w:hAnsi="Verdana"/>
          <w:sz w:val="20"/>
          <w:szCs w:val="20"/>
        </w:rPr>
        <w:t>.</w:t>
      </w:r>
      <w:r w:rsidR="001B5291" w:rsidRPr="0095692E">
        <w:rPr>
          <w:rFonts w:ascii="Verdana" w:hAnsi="Verdana"/>
          <w:sz w:val="20"/>
          <w:szCs w:val="20"/>
        </w:rPr>
        <w:t xml:space="preserve"> Este Tribunal nota con preocupación que, entre la presentación de la petición inicial ante la Comisión, y el sometimiento del caso ante la Corte, transcurrieron más de </w:t>
      </w:r>
      <w:r w:rsidR="001B5291" w:rsidRPr="0095692E">
        <w:rPr>
          <w:rFonts w:ascii="Verdana" w:hAnsi="Verdana"/>
          <w:bCs/>
          <w:sz w:val="20"/>
          <w:szCs w:val="20"/>
        </w:rPr>
        <w:t>18 años</w:t>
      </w:r>
      <w:r w:rsidR="001B5291" w:rsidRPr="0095692E">
        <w:rPr>
          <w:rFonts w:ascii="Verdana" w:hAnsi="Verdana"/>
          <w:sz w:val="20"/>
          <w:szCs w:val="20"/>
        </w:rPr>
        <w:t>.</w:t>
      </w:r>
    </w:p>
    <w:p w14:paraId="30435D45" w14:textId="77777777" w:rsidR="001A0BD0" w:rsidRPr="0095692E" w:rsidRDefault="001A0BD0" w:rsidP="00A80648">
      <w:pPr>
        <w:pStyle w:val="Prrafodelista"/>
        <w:spacing w:after="0" w:line="240" w:lineRule="auto"/>
        <w:ind w:left="0"/>
        <w:contextualSpacing w:val="0"/>
        <w:jc w:val="center"/>
        <w:rPr>
          <w:rFonts w:ascii="Verdana" w:hAnsi="Verdana"/>
          <w:sz w:val="20"/>
          <w:szCs w:val="20"/>
        </w:rPr>
      </w:pPr>
    </w:p>
    <w:p w14:paraId="235DF50A" w14:textId="77777777" w:rsidR="00542F96" w:rsidRPr="0095692E" w:rsidRDefault="00542F96" w:rsidP="00A80648">
      <w:pPr>
        <w:pStyle w:val="Ttulo1"/>
        <w:rPr>
          <w:lang w:val="es-CR"/>
        </w:rPr>
      </w:pPr>
      <w:bookmarkStart w:id="5" w:name="_Toc115262469"/>
      <w:r w:rsidRPr="0095692E">
        <w:rPr>
          <w:lang w:val="es-CR"/>
        </w:rPr>
        <w:t>II</w:t>
      </w:r>
      <w:r w:rsidRPr="0095692E">
        <w:rPr>
          <w:lang w:val="es-CR"/>
        </w:rPr>
        <w:br/>
        <w:t>PROCEDIMIENTO ANTE LA CORTE</w:t>
      </w:r>
      <w:bookmarkEnd w:id="5"/>
    </w:p>
    <w:p w14:paraId="668E335B" w14:textId="77777777" w:rsidR="001A0BD0" w:rsidRPr="0095692E" w:rsidRDefault="001A0BD0" w:rsidP="00A80648">
      <w:pPr>
        <w:pStyle w:val="Prrafodelista"/>
        <w:spacing w:after="0" w:line="240" w:lineRule="auto"/>
        <w:ind w:left="0"/>
        <w:contextualSpacing w:val="0"/>
        <w:rPr>
          <w:rFonts w:ascii="Verdana" w:hAnsi="Verdana"/>
          <w:sz w:val="20"/>
          <w:szCs w:val="20"/>
        </w:rPr>
      </w:pPr>
    </w:p>
    <w:p w14:paraId="78552922" w14:textId="0CB5926D" w:rsidR="001A0BD0"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Notificación al Estado y a los representantes.</w:t>
      </w:r>
      <w:r w:rsidRPr="0095692E">
        <w:rPr>
          <w:rFonts w:ascii="Verdana" w:hAnsi="Verdana"/>
          <w:sz w:val="20"/>
          <w:szCs w:val="20"/>
        </w:rPr>
        <w:t xml:space="preserve"> – El sometimiento del caso fue notificado </w:t>
      </w:r>
      <w:r w:rsidR="00496A1D" w:rsidRPr="0095692E">
        <w:rPr>
          <w:rFonts w:ascii="Verdana" w:hAnsi="Verdana"/>
          <w:sz w:val="20"/>
          <w:szCs w:val="20"/>
        </w:rPr>
        <w:t>al Estado</w:t>
      </w:r>
      <w:r w:rsidR="00496A1D" w:rsidRPr="0095692E">
        <w:rPr>
          <w:rStyle w:val="Refdenotaalpie"/>
          <w:rFonts w:ascii="Verdana" w:hAnsi="Verdana"/>
          <w:sz w:val="20"/>
          <w:szCs w:val="20"/>
        </w:rPr>
        <w:footnoteReference w:id="5"/>
      </w:r>
      <w:r w:rsidR="00496A1D" w:rsidRPr="0095692E">
        <w:rPr>
          <w:rFonts w:ascii="Verdana" w:hAnsi="Verdana"/>
          <w:sz w:val="20"/>
          <w:szCs w:val="20"/>
        </w:rPr>
        <w:t xml:space="preserve"> y </w:t>
      </w:r>
      <w:r w:rsidRPr="0095692E">
        <w:rPr>
          <w:rFonts w:ascii="Verdana" w:hAnsi="Verdana"/>
          <w:sz w:val="20"/>
          <w:szCs w:val="20"/>
        </w:rPr>
        <w:t>a la representación de la</w:t>
      </w:r>
      <w:r w:rsidR="006E48A6" w:rsidRPr="0095692E">
        <w:rPr>
          <w:rFonts w:ascii="Verdana" w:hAnsi="Verdana"/>
          <w:sz w:val="20"/>
          <w:szCs w:val="20"/>
        </w:rPr>
        <w:t>s</w:t>
      </w:r>
      <w:r w:rsidRPr="0095692E">
        <w:rPr>
          <w:rFonts w:ascii="Verdana" w:hAnsi="Verdana"/>
          <w:sz w:val="20"/>
          <w:szCs w:val="20"/>
        </w:rPr>
        <w:t xml:space="preserve"> presunta</w:t>
      </w:r>
      <w:r w:rsidR="006E48A6" w:rsidRPr="0095692E">
        <w:rPr>
          <w:rFonts w:ascii="Verdana" w:hAnsi="Verdana"/>
          <w:sz w:val="20"/>
          <w:szCs w:val="20"/>
        </w:rPr>
        <w:t>s</w:t>
      </w:r>
      <w:r w:rsidRPr="0095692E">
        <w:rPr>
          <w:rFonts w:ascii="Verdana" w:hAnsi="Verdana"/>
          <w:sz w:val="20"/>
          <w:szCs w:val="20"/>
        </w:rPr>
        <w:t xml:space="preserve"> víctima</w:t>
      </w:r>
      <w:r w:rsidR="006E48A6" w:rsidRPr="0095692E">
        <w:rPr>
          <w:rFonts w:ascii="Verdana" w:hAnsi="Verdana"/>
          <w:sz w:val="20"/>
          <w:szCs w:val="20"/>
        </w:rPr>
        <w:t>s</w:t>
      </w:r>
      <w:r w:rsidR="00C42677" w:rsidRPr="0095692E">
        <w:rPr>
          <w:rStyle w:val="Refdenotaalpie"/>
          <w:rFonts w:ascii="Verdana" w:hAnsi="Verdana"/>
          <w:sz w:val="20"/>
          <w:szCs w:val="20"/>
        </w:rPr>
        <w:footnoteReference w:id="6"/>
      </w:r>
      <w:r w:rsidRPr="0095692E">
        <w:rPr>
          <w:rFonts w:ascii="Verdana" w:hAnsi="Verdana"/>
          <w:sz w:val="20"/>
          <w:szCs w:val="20"/>
        </w:rPr>
        <w:t xml:space="preserve"> (en adelante “</w:t>
      </w:r>
      <w:r w:rsidR="006E48A6" w:rsidRPr="0095692E">
        <w:rPr>
          <w:rFonts w:ascii="Verdana" w:hAnsi="Verdana"/>
          <w:sz w:val="20"/>
          <w:szCs w:val="20"/>
        </w:rPr>
        <w:t>los representantes</w:t>
      </w:r>
      <w:r w:rsidRPr="0095692E">
        <w:rPr>
          <w:rFonts w:ascii="Verdana" w:hAnsi="Verdana"/>
          <w:sz w:val="20"/>
          <w:szCs w:val="20"/>
        </w:rPr>
        <w:t xml:space="preserve">”) el </w:t>
      </w:r>
      <w:r w:rsidR="006E48A6" w:rsidRPr="0095692E">
        <w:rPr>
          <w:rFonts w:ascii="Verdana" w:hAnsi="Verdana"/>
          <w:sz w:val="20"/>
          <w:szCs w:val="20"/>
        </w:rPr>
        <w:t>7</w:t>
      </w:r>
      <w:r w:rsidRPr="0095692E">
        <w:rPr>
          <w:rFonts w:ascii="Verdana" w:hAnsi="Verdana"/>
          <w:sz w:val="20"/>
          <w:szCs w:val="20"/>
        </w:rPr>
        <w:t xml:space="preserve"> de </w:t>
      </w:r>
      <w:r w:rsidR="006E48A6" w:rsidRPr="0095692E">
        <w:rPr>
          <w:rFonts w:ascii="Verdana" w:hAnsi="Verdana"/>
          <w:sz w:val="20"/>
          <w:szCs w:val="20"/>
        </w:rPr>
        <w:t>octubre</w:t>
      </w:r>
      <w:r w:rsidRPr="0095692E">
        <w:rPr>
          <w:rFonts w:ascii="Verdana" w:hAnsi="Verdana"/>
          <w:sz w:val="20"/>
          <w:szCs w:val="20"/>
        </w:rPr>
        <w:t xml:space="preserve"> de </w:t>
      </w:r>
      <w:r w:rsidR="003527EA" w:rsidRPr="0095692E">
        <w:rPr>
          <w:rFonts w:ascii="Verdana" w:hAnsi="Verdana"/>
          <w:sz w:val="20"/>
          <w:szCs w:val="20"/>
        </w:rPr>
        <w:t>202</w:t>
      </w:r>
      <w:r w:rsidR="006E48A6" w:rsidRPr="0095692E">
        <w:rPr>
          <w:rFonts w:ascii="Verdana" w:hAnsi="Verdana"/>
          <w:sz w:val="20"/>
          <w:szCs w:val="20"/>
        </w:rPr>
        <w:t>0</w:t>
      </w:r>
      <w:r w:rsidRPr="0095692E">
        <w:rPr>
          <w:rFonts w:ascii="Verdana" w:hAnsi="Verdana"/>
          <w:sz w:val="20"/>
          <w:szCs w:val="20"/>
        </w:rPr>
        <w:t>.</w:t>
      </w:r>
    </w:p>
    <w:p w14:paraId="7617FFF3" w14:textId="77777777" w:rsidR="001A0BD0" w:rsidRPr="0095692E" w:rsidRDefault="001A0BD0" w:rsidP="00A80648">
      <w:pPr>
        <w:pStyle w:val="Prrafodelista"/>
        <w:spacing w:after="0" w:line="240" w:lineRule="auto"/>
        <w:ind w:left="0"/>
        <w:contextualSpacing w:val="0"/>
        <w:jc w:val="both"/>
        <w:rPr>
          <w:rFonts w:ascii="Verdana" w:hAnsi="Verdana"/>
          <w:sz w:val="20"/>
          <w:szCs w:val="20"/>
        </w:rPr>
      </w:pPr>
    </w:p>
    <w:p w14:paraId="11C2FE33" w14:textId="4EB4E913" w:rsidR="001A0BD0"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Escrito de solicitudes, argumentos y pruebas.</w:t>
      </w:r>
      <w:r w:rsidRPr="0095692E">
        <w:rPr>
          <w:rFonts w:ascii="Verdana" w:hAnsi="Verdana"/>
          <w:sz w:val="20"/>
          <w:szCs w:val="20"/>
        </w:rPr>
        <w:t xml:space="preserve"> – </w:t>
      </w:r>
      <w:r w:rsidR="00394106" w:rsidRPr="0095692E">
        <w:rPr>
          <w:rFonts w:ascii="Verdana" w:hAnsi="Verdana"/>
          <w:sz w:val="20"/>
          <w:szCs w:val="20"/>
        </w:rPr>
        <w:t>E</w:t>
      </w:r>
      <w:r w:rsidRPr="0095692E">
        <w:rPr>
          <w:rFonts w:ascii="Verdana" w:hAnsi="Verdana"/>
          <w:sz w:val="20"/>
          <w:szCs w:val="20"/>
        </w:rPr>
        <w:t xml:space="preserve">l </w:t>
      </w:r>
      <w:r w:rsidR="007567E0" w:rsidRPr="0095692E">
        <w:rPr>
          <w:rFonts w:ascii="Verdana" w:hAnsi="Verdana"/>
          <w:sz w:val="20"/>
          <w:szCs w:val="20"/>
        </w:rPr>
        <w:t>8 de diciembre</w:t>
      </w:r>
      <w:r w:rsidRPr="0095692E">
        <w:rPr>
          <w:rFonts w:ascii="Verdana" w:hAnsi="Verdana"/>
          <w:sz w:val="20"/>
          <w:szCs w:val="20"/>
        </w:rPr>
        <w:t xml:space="preserve"> de 202</w:t>
      </w:r>
      <w:r w:rsidR="007567E0" w:rsidRPr="0095692E">
        <w:rPr>
          <w:rFonts w:ascii="Verdana" w:hAnsi="Verdana"/>
          <w:sz w:val="20"/>
          <w:szCs w:val="20"/>
        </w:rPr>
        <w:t>0</w:t>
      </w:r>
      <w:r w:rsidRPr="0095692E">
        <w:rPr>
          <w:rFonts w:ascii="Verdana" w:hAnsi="Verdana"/>
          <w:sz w:val="20"/>
          <w:szCs w:val="20"/>
        </w:rPr>
        <w:t xml:space="preserve"> </w:t>
      </w:r>
      <w:r w:rsidR="006E48A6" w:rsidRPr="0095692E">
        <w:rPr>
          <w:rFonts w:ascii="Verdana" w:hAnsi="Verdana"/>
          <w:sz w:val="20"/>
          <w:szCs w:val="20"/>
        </w:rPr>
        <w:t>los</w:t>
      </w:r>
      <w:r w:rsidR="00394106" w:rsidRPr="0095692E">
        <w:rPr>
          <w:rFonts w:ascii="Verdana" w:hAnsi="Verdana"/>
          <w:sz w:val="20"/>
          <w:szCs w:val="20"/>
        </w:rPr>
        <w:t xml:space="preserve"> representante</w:t>
      </w:r>
      <w:r w:rsidR="006E48A6" w:rsidRPr="0095692E">
        <w:rPr>
          <w:rFonts w:ascii="Verdana" w:hAnsi="Verdana"/>
          <w:sz w:val="20"/>
          <w:szCs w:val="20"/>
        </w:rPr>
        <w:t>s</w:t>
      </w:r>
      <w:r w:rsidR="00394106" w:rsidRPr="0095692E">
        <w:rPr>
          <w:rFonts w:ascii="Verdana" w:hAnsi="Verdana"/>
          <w:sz w:val="20"/>
          <w:szCs w:val="20"/>
        </w:rPr>
        <w:t xml:space="preserve"> present</w:t>
      </w:r>
      <w:r w:rsidR="006E48A6" w:rsidRPr="0095692E">
        <w:rPr>
          <w:rFonts w:ascii="Verdana" w:hAnsi="Verdana"/>
          <w:sz w:val="20"/>
          <w:szCs w:val="20"/>
        </w:rPr>
        <w:t>aron</w:t>
      </w:r>
      <w:r w:rsidRPr="0095692E">
        <w:rPr>
          <w:rFonts w:ascii="Verdana" w:hAnsi="Verdana"/>
          <w:sz w:val="20"/>
          <w:szCs w:val="20"/>
        </w:rPr>
        <w:t xml:space="preserve"> su escrito de solicitudes, argumentos y pruebas (en adelante “escrito de solicitudes y argumentos”), conforme a los artículos 25 y 40 del Reglamento. </w:t>
      </w:r>
      <w:r w:rsidR="007567E0" w:rsidRPr="0095692E">
        <w:rPr>
          <w:rFonts w:ascii="Verdana" w:hAnsi="Verdana"/>
          <w:sz w:val="20"/>
          <w:szCs w:val="20"/>
        </w:rPr>
        <w:t xml:space="preserve">Los representantes </w:t>
      </w:r>
      <w:r w:rsidR="00A5799B" w:rsidRPr="0095692E">
        <w:rPr>
          <w:rFonts w:ascii="Verdana" w:hAnsi="Verdana"/>
          <w:sz w:val="20"/>
          <w:szCs w:val="20"/>
        </w:rPr>
        <w:t>c</w:t>
      </w:r>
      <w:r w:rsidRPr="0095692E">
        <w:rPr>
          <w:rFonts w:ascii="Verdana" w:hAnsi="Verdana"/>
          <w:sz w:val="20"/>
          <w:szCs w:val="20"/>
        </w:rPr>
        <w:t>oincidi</w:t>
      </w:r>
      <w:r w:rsidR="007567E0" w:rsidRPr="0095692E">
        <w:rPr>
          <w:rFonts w:ascii="Verdana" w:hAnsi="Verdana"/>
          <w:sz w:val="20"/>
          <w:szCs w:val="20"/>
        </w:rPr>
        <w:t xml:space="preserve">eron </w:t>
      </w:r>
      <w:r w:rsidRPr="0095692E">
        <w:rPr>
          <w:rFonts w:ascii="Verdana" w:hAnsi="Verdana"/>
          <w:sz w:val="20"/>
          <w:szCs w:val="20"/>
        </w:rPr>
        <w:t>sustancialmente con la Comisión</w:t>
      </w:r>
      <w:r w:rsidR="00D33A71" w:rsidRPr="0095692E">
        <w:rPr>
          <w:rFonts w:ascii="Verdana" w:hAnsi="Verdana"/>
          <w:sz w:val="20"/>
          <w:szCs w:val="20"/>
        </w:rPr>
        <w:t xml:space="preserve">, y </w:t>
      </w:r>
      <w:r w:rsidR="00394106" w:rsidRPr="0095692E">
        <w:rPr>
          <w:rFonts w:ascii="Verdana" w:hAnsi="Verdana"/>
          <w:sz w:val="20"/>
          <w:szCs w:val="20"/>
        </w:rPr>
        <w:t>realiz</w:t>
      </w:r>
      <w:r w:rsidR="007567E0" w:rsidRPr="0095692E">
        <w:rPr>
          <w:rFonts w:ascii="Verdana" w:hAnsi="Verdana"/>
          <w:sz w:val="20"/>
          <w:szCs w:val="20"/>
        </w:rPr>
        <w:t>aron</w:t>
      </w:r>
      <w:r w:rsidR="00D33A71" w:rsidRPr="0095692E">
        <w:rPr>
          <w:rFonts w:ascii="Verdana" w:hAnsi="Verdana"/>
          <w:sz w:val="20"/>
          <w:szCs w:val="20"/>
        </w:rPr>
        <w:t xml:space="preserve"> alegatos adicionales respecto al fondo</w:t>
      </w:r>
      <w:r w:rsidRPr="0095692E">
        <w:rPr>
          <w:rFonts w:ascii="Verdana" w:hAnsi="Verdana"/>
          <w:sz w:val="20"/>
          <w:szCs w:val="20"/>
        </w:rPr>
        <w:t xml:space="preserve">. </w:t>
      </w:r>
      <w:r w:rsidR="00D33A71" w:rsidRPr="0095692E">
        <w:rPr>
          <w:rFonts w:ascii="Verdana" w:hAnsi="Verdana"/>
          <w:sz w:val="20"/>
          <w:szCs w:val="20"/>
        </w:rPr>
        <w:t>Asimismo, s</w:t>
      </w:r>
      <w:r w:rsidRPr="0095692E">
        <w:rPr>
          <w:rFonts w:ascii="Verdana" w:hAnsi="Verdana"/>
          <w:sz w:val="20"/>
          <w:szCs w:val="20"/>
        </w:rPr>
        <w:t>olicit</w:t>
      </w:r>
      <w:r w:rsidR="007567E0" w:rsidRPr="0095692E">
        <w:rPr>
          <w:rFonts w:ascii="Verdana" w:hAnsi="Verdana"/>
          <w:sz w:val="20"/>
          <w:szCs w:val="20"/>
        </w:rPr>
        <w:t xml:space="preserve">aron </w:t>
      </w:r>
      <w:r w:rsidRPr="0095692E">
        <w:rPr>
          <w:rFonts w:ascii="Verdana" w:hAnsi="Verdana"/>
          <w:sz w:val="20"/>
          <w:szCs w:val="20"/>
        </w:rPr>
        <w:t xml:space="preserve">que se ordenara a </w:t>
      </w:r>
      <w:r w:rsidR="007567E0" w:rsidRPr="0095692E">
        <w:rPr>
          <w:rFonts w:ascii="Verdana" w:hAnsi="Verdana"/>
          <w:sz w:val="20"/>
          <w:szCs w:val="20"/>
        </w:rPr>
        <w:t>Honduras la adopción de</w:t>
      </w:r>
      <w:r w:rsidRPr="0095692E">
        <w:rPr>
          <w:rFonts w:ascii="Verdana" w:hAnsi="Verdana"/>
          <w:sz w:val="20"/>
          <w:szCs w:val="20"/>
        </w:rPr>
        <w:t xml:space="preserve"> diversas medidas de reparación </w:t>
      </w:r>
      <w:r w:rsidR="00CD14B3" w:rsidRPr="0095692E">
        <w:rPr>
          <w:rFonts w:ascii="Verdana" w:hAnsi="Verdana"/>
          <w:sz w:val="20"/>
          <w:szCs w:val="20"/>
        </w:rPr>
        <w:t>complementarias a las solicitadas por la Comisión</w:t>
      </w:r>
      <w:r w:rsidRPr="0095692E">
        <w:rPr>
          <w:rFonts w:ascii="Verdana" w:hAnsi="Verdana"/>
          <w:sz w:val="20"/>
          <w:szCs w:val="20"/>
        </w:rPr>
        <w:t>.</w:t>
      </w:r>
    </w:p>
    <w:p w14:paraId="009E93D1" w14:textId="77777777" w:rsidR="001A0BD0" w:rsidRPr="0095692E" w:rsidRDefault="001A0BD0" w:rsidP="00A80648">
      <w:pPr>
        <w:pStyle w:val="Prrafodelista"/>
        <w:spacing w:after="0" w:line="240" w:lineRule="auto"/>
        <w:ind w:left="0"/>
        <w:contextualSpacing w:val="0"/>
        <w:rPr>
          <w:rFonts w:ascii="Verdana" w:hAnsi="Verdana"/>
          <w:sz w:val="20"/>
          <w:szCs w:val="20"/>
        </w:rPr>
      </w:pPr>
    </w:p>
    <w:p w14:paraId="2BADD0B9" w14:textId="4B6676B7" w:rsidR="00EA2AB7"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 xml:space="preserve">Escrito </w:t>
      </w:r>
      <w:r w:rsidR="002665E9" w:rsidRPr="0095692E">
        <w:rPr>
          <w:rFonts w:ascii="Verdana" w:hAnsi="Verdana"/>
          <w:i/>
          <w:sz w:val="20"/>
          <w:szCs w:val="20"/>
        </w:rPr>
        <w:t>de excepciones preliminares y de contestación</w:t>
      </w:r>
      <w:r w:rsidRPr="0095692E">
        <w:rPr>
          <w:rFonts w:ascii="Verdana" w:hAnsi="Verdana"/>
          <w:i/>
          <w:sz w:val="20"/>
          <w:szCs w:val="20"/>
        </w:rPr>
        <w:t xml:space="preserve">. </w:t>
      </w:r>
      <w:r w:rsidRPr="0095692E">
        <w:rPr>
          <w:rFonts w:ascii="Verdana" w:hAnsi="Verdana"/>
          <w:sz w:val="20"/>
          <w:szCs w:val="20"/>
        </w:rPr>
        <w:t>–</w:t>
      </w:r>
      <w:r w:rsidR="002665E9" w:rsidRPr="0095692E">
        <w:rPr>
          <w:rFonts w:ascii="Verdana" w:hAnsi="Verdana"/>
          <w:sz w:val="20"/>
          <w:szCs w:val="20"/>
        </w:rPr>
        <w:t xml:space="preserve"> El </w:t>
      </w:r>
      <w:r w:rsidR="00C56575" w:rsidRPr="0095692E">
        <w:rPr>
          <w:rFonts w:ascii="Verdana" w:hAnsi="Verdana"/>
          <w:sz w:val="20"/>
          <w:szCs w:val="20"/>
        </w:rPr>
        <w:t xml:space="preserve">15 de marzo de 2021 </w:t>
      </w:r>
      <w:r w:rsidR="008E423E" w:rsidRPr="0095692E">
        <w:rPr>
          <w:rFonts w:ascii="Verdana" w:hAnsi="Verdana"/>
          <w:sz w:val="20"/>
          <w:szCs w:val="20"/>
        </w:rPr>
        <w:t xml:space="preserve">el </w:t>
      </w:r>
      <w:r w:rsidR="002665E9" w:rsidRPr="0095692E">
        <w:rPr>
          <w:rFonts w:ascii="Verdana" w:hAnsi="Verdana"/>
          <w:sz w:val="20"/>
          <w:szCs w:val="20"/>
        </w:rPr>
        <w:t xml:space="preserve">Estado presentó su escrito de contestación al sometimiento e Informe de Fondo de la Comisión y al escrito de solicitudes y argumentos (en adelante “escrito de contestación”). En dicho escrito, Honduras planteó </w:t>
      </w:r>
      <w:r w:rsidR="009571E0" w:rsidRPr="0095692E">
        <w:rPr>
          <w:rFonts w:ascii="Verdana" w:hAnsi="Verdana"/>
          <w:sz w:val="20"/>
          <w:szCs w:val="20"/>
        </w:rPr>
        <w:t>dos</w:t>
      </w:r>
      <w:r w:rsidR="002665E9" w:rsidRPr="0095692E">
        <w:rPr>
          <w:rFonts w:ascii="Verdana" w:hAnsi="Verdana"/>
          <w:sz w:val="20"/>
          <w:szCs w:val="20"/>
        </w:rPr>
        <w:t xml:space="preserve"> excepciones preliminares y se opuso a las violaciones alegadas. Por otra parte, indicó que </w:t>
      </w:r>
      <w:r w:rsidR="00245013" w:rsidRPr="0095692E">
        <w:rPr>
          <w:rFonts w:ascii="Verdana" w:hAnsi="Verdana"/>
          <w:sz w:val="20"/>
          <w:szCs w:val="20"/>
        </w:rPr>
        <w:t>“se abst[endría] de pronunciarse individualmente sobre las medidas de reparación aplicables, ya que las mismas, eventualmente se abordarían en una eventual solución amistosa”</w:t>
      </w:r>
      <w:r w:rsidR="002665E9" w:rsidRPr="0095692E">
        <w:rPr>
          <w:rFonts w:ascii="Verdana" w:hAnsi="Verdana"/>
          <w:sz w:val="20"/>
          <w:szCs w:val="20"/>
        </w:rPr>
        <w:t xml:space="preserve">. </w:t>
      </w:r>
    </w:p>
    <w:p w14:paraId="462D017A" w14:textId="77777777" w:rsidR="00EA2AB7" w:rsidRPr="0095692E" w:rsidRDefault="00EA2AB7" w:rsidP="00A80648">
      <w:pPr>
        <w:pStyle w:val="Prrafodelista"/>
        <w:spacing w:after="0" w:line="240" w:lineRule="auto"/>
        <w:contextualSpacing w:val="0"/>
        <w:rPr>
          <w:rFonts w:ascii="Verdana" w:hAnsi="Verdana"/>
          <w:i/>
          <w:sz w:val="20"/>
          <w:szCs w:val="20"/>
        </w:rPr>
      </w:pPr>
    </w:p>
    <w:p w14:paraId="4A95510C" w14:textId="0D8E674A" w:rsidR="00161044" w:rsidRPr="0095692E" w:rsidRDefault="001A0BD0" w:rsidP="00161044">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Audiencia pública</w:t>
      </w:r>
      <w:r w:rsidRPr="0095692E">
        <w:rPr>
          <w:rFonts w:ascii="Verdana" w:hAnsi="Verdana"/>
          <w:sz w:val="20"/>
          <w:szCs w:val="20"/>
        </w:rPr>
        <w:t xml:space="preserve">. – </w:t>
      </w:r>
      <w:r w:rsidR="00F55376" w:rsidRPr="0095692E">
        <w:rPr>
          <w:rFonts w:ascii="Verdana" w:hAnsi="Verdana"/>
          <w:sz w:val="20"/>
          <w:szCs w:val="20"/>
        </w:rPr>
        <w:t>Mediante Resolución de</w:t>
      </w:r>
      <w:r w:rsidRPr="0095692E">
        <w:rPr>
          <w:rFonts w:ascii="Verdana" w:hAnsi="Verdana"/>
          <w:sz w:val="20"/>
          <w:szCs w:val="20"/>
        </w:rPr>
        <w:t xml:space="preserve"> </w:t>
      </w:r>
      <w:r w:rsidR="008E5D9E" w:rsidRPr="0095692E">
        <w:rPr>
          <w:rFonts w:ascii="Verdana" w:hAnsi="Verdana"/>
          <w:sz w:val="20"/>
          <w:szCs w:val="20"/>
        </w:rPr>
        <w:t>3</w:t>
      </w:r>
      <w:r w:rsidR="00A15362" w:rsidRPr="0095692E">
        <w:rPr>
          <w:rFonts w:ascii="Verdana" w:hAnsi="Verdana"/>
          <w:sz w:val="20"/>
          <w:szCs w:val="20"/>
        </w:rPr>
        <w:t xml:space="preserve">1 de </w:t>
      </w:r>
      <w:r w:rsidR="008E5D9E" w:rsidRPr="0095692E">
        <w:rPr>
          <w:rFonts w:ascii="Verdana" w:hAnsi="Verdana"/>
          <w:sz w:val="20"/>
          <w:szCs w:val="20"/>
        </w:rPr>
        <w:t>marz</w:t>
      </w:r>
      <w:r w:rsidR="00A15362" w:rsidRPr="0095692E">
        <w:rPr>
          <w:rFonts w:ascii="Verdana" w:hAnsi="Verdana"/>
          <w:sz w:val="20"/>
          <w:szCs w:val="20"/>
        </w:rPr>
        <w:t>o de 2022</w:t>
      </w:r>
      <w:r w:rsidR="007E779B" w:rsidRPr="0095692E">
        <w:rPr>
          <w:rStyle w:val="Refdenotaalpie"/>
          <w:rFonts w:ascii="Verdana" w:hAnsi="Verdana"/>
          <w:sz w:val="20"/>
          <w:szCs w:val="20"/>
        </w:rPr>
        <w:footnoteReference w:id="7"/>
      </w:r>
      <w:r w:rsidRPr="0095692E">
        <w:rPr>
          <w:rFonts w:ascii="Verdana" w:hAnsi="Verdana"/>
          <w:sz w:val="20"/>
          <w:szCs w:val="20"/>
        </w:rPr>
        <w:t xml:space="preserve">, </w:t>
      </w:r>
      <w:r w:rsidR="00F2646D" w:rsidRPr="0095692E">
        <w:rPr>
          <w:rFonts w:ascii="Verdana" w:hAnsi="Verdana"/>
          <w:sz w:val="20"/>
          <w:szCs w:val="20"/>
        </w:rPr>
        <w:t>la</w:t>
      </w:r>
      <w:r w:rsidR="00A15362" w:rsidRPr="0095692E">
        <w:rPr>
          <w:rFonts w:ascii="Verdana" w:hAnsi="Verdana"/>
          <w:sz w:val="20"/>
          <w:szCs w:val="20"/>
        </w:rPr>
        <w:t xml:space="preserve"> Presiden</w:t>
      </w:r>
      <w:r w:rsidR="00F2646D" w:rsidRPr="0095692E">
        <w:rPr>
          <w:rFonts w:ascii="Verdana" w:hAnsi="Verdana"/>
          <w:sz w:val="20"/>
          <w:szCs w:val="20"/>
        </w:rPr>
        <w:t>cia</w:t>
      </w:r>
      <w:r w:rsidRPr="0095692E">
        <w:rPr>
          <w:rFonts w:ascii="Verdana" w:hAnsi="Verdana"/>
          <w:sz w:val="20"/>
          <w:szCs w:val="20"/>
        </w:rPr>
        <w:t xml:space="preserve"> de la Corte convocó a las partes y a la Comisión a una audiencia pública</w:t>
      </w:r>
      <w:r w:rsidR="008A6233" w:rsidRPr="0095692E">
        <w:rPr>
          <w:rFonts w:ascii="Verdana" w:hAnsi="Verdana"/>
          <w:sz w:val="20"/>
          <w:szCs w:val="20"/>
        </w:rPr>
        <w:t xml:space="preserve"> </w:t>
      </w:r>
      <w:r w:rsidR="008A6233" w:rsidRPr="0095692E">
        <w:rPr>
          <w:rFonts w:ascii="Verdana" w:eastAsia="Verdana" w:hAnsi="Verdana" w:cs="Verdana"/>
          <w:spacing w:val="-1"/>
          <w:sz w:val="20"/>
          <w:szCs w:val="20"/>
        </w:rPr>
        <w:t xml:space="preserve">sobre </w:t>
      </w:r>
      <w:r w:rsidR="008E5D9E" w:rsidRPr="0095692E">
        <w:rPr>
          <w:rFonts w:ascii="Verdana" w:eastAsia="Verdana" w:hAnsi="Verdana" w:cs="Verdana"/>
          <w:spacing w:val="-1"/>
          <w:sz w:val="20"/>
          <w:szCs w:val="20"/>
        </w:rPr>
        <w:t xml:space="preserve">las excepciones preliminares y </w:t>
      </w:r>
      <w:r w:rsidR="008A6233" w:rsidRPr="0095692E">
        <w:rPr>
          <w:rFonts w:ascii="Verdana" w:eastAsia="Verdana" w:hAnsi="Verdana" w:cs="Verdana"/>
          <w:spacing w:val="-1"/>
          <w:sz w:val="20"/>
          <w:szCs w:val="20"/>
        </w:rPr>
        <w:t>eventuales fondo, reparaciones y costas</w:t>
      </w:r>
      <w:r w:rsidR="00C41CA1" w:rsidRPr="0095692E">
        <w:rPr>
          <w:rFonts w:ascii="Verdana" w:eastAsia="Verdana" w:hAnsi="Verdana" w:cs="Verdana"/>
          <w:spacing w:val="-1"/>
          <w:sz w:val="20"/>
          <w:szCs w:val="20"/>
        </w:rPr>
        <w:t xml:space="preserve">, que se llevó a cabo </w:t>
      </w:r>
      <w:r w:rsidR="00C41CA1" w:rsidRPr="0095692E">
        <w:rPr>
          <w:rFonts w:ascii="Verdana" w:eastAsia="Verdana" w:hAnsi="Verdana" w:cs="Verdana"/>
          <w:spacing w:val="-1"/>
          <w:sz w:val="20"/>
          <w:szCs w:val="20"/>
        </w:rPr>
        <w:lastRenderedPageBreak/>
        <w:t>en la sede de la Corte en Costa Rica</w:t>
      </w:r>
      <w:r w:rsidR="008A6233" w:rsidRPr="0095692E">
        <w:rPr>
          <w:rFonts w:ascii="Verdana" w:eastAsia="Verdana" w:hAnsi="Verdana" w:cs="Verdana"/>
          <w:spacing w:val="-1"/>
          <w:sz w:val="20"/>
          <w:szCs w:val="20"/>
        </w:rPr>
        <w:t xml:space="preserve">, </w:t>
      </w:r>
      <w:r w:rsidR="0027119F" w:rsidRPr="0095692E">
        <w:rPr>
          <w:rFonts w:ascii="Verdana" w:hAnsi="Verdana"/>
          <w:sz w:val="20"/>
          <w:szCs w:val="20"/>
        </w:rPr>
        <w:t xml:space="preserve">los </w:t>
      </w:r>
      <w:r w:rsidR="00A15362" w:rsidRPr="0095692E">
        <w:rPr>
          <w:rFonts w:ascii="Verdana" w:hAnsi="Verdana"/>
          <w:sz w:val="20"/>
          <w:szCs w:val="20"/>
        </w:rPr>
        <w:t>día</w:t>
      </w:r>
      <w:r w:rsidR="0027119F" w:rsidRPr="0095692E">
        <w:rPr>
          <w:rFonts w:ascii="Verdana" w:hAnsi="Verdana"/>
          <w:sz w:val="20"/>
          <w:szCs w:val="20"/>
        </w:rPr>
        <w:t>s</w:t>
      </w:r>
      <w:r w:rsidRPr="0095692E">
        <w:rPr>
          <w:rFonts w:ascii="Verdana" w:hAnsi="Verdana"/>
          <w:sz w:val="20"/>
          <w:szCs w:val="20"/>
        </w:rPr>
        <w:t xml:space="preserve"> </w:t>
      </w:r>
      <w:r w:rsidR="00EA2AB7" w:rsidRPr="0095692E">
        <w:rPr>
          <w:rFonts w:ascii="Verdana" w:eastAsia="Verdana" w:hAnsi="Verdana" w:cs="Verdana"/>
          <w:iCs/>
          <w:spacing w:val="-1"/>
          <w:sz w:val="20"/>
          <w:szCs w:val="20"/>
        </w:rPr>
        <w:t>10</w:t>
      </w:r>
      <w:r w:rsidR="0027119F" w:rsidRPr="0095692E">
        <w:rPr>
          <w:rFonts w:ascii="Verdana" w:eastAsia="Verdana" w:hAnsi="Verdana" w:cs="Verdana"/>
          <w:iCs/>
          <w:spacing w:val="-1"/>
          <w:sz w:val="20"/>
          <w:szCs w:val="20"/>
        </w:rPr>
        <w:t xml:space="preserve"> y 11</w:t>
      </w:r>
      <w:r w:rsidR="00EA2AB7" w:rsidRPr="0095692E">
        <w:rPr>
          <w:rFonts w:ascii="Verdana" w:eastAsia="Verdana" w:hAnsi="Verdana" w:cs="Verdana"/>
          <w:iCs/>
          <w:spacing w:val="-1"/>
          <w:sz w:val="20"/>
          <w:szCs w:val="20"/>
        </w:rPr>
        <w:t xml:space="preserve"> de mayo de 2022, durante el 148° Período Ordinario de Sesiones</w:t>
      </w:r>
      <w:r w:rsidRPr="0095692E">
        <w:rPr>
          <w:rStyle w:val="Refdenotaalpie"/>
          <w:rFonts w:ascii="Verdana" w:hAnsi="Verdana"/>
          <w:sz w:val="20"/>
          <w:szCs w:val="20"/>
        </w:rPr>
        <w:footnoteReference w:id="8"/>
      </w:r>
      <w:r w:rsidRPr="0095692E">
        <w:rPr>
          <w:rFonts w:ascii="Verdana" w:hAnsi="Verdana"/>
          <w:sz w:val="20"/>
          <w:szCs w:val="20"/>
        </w:rPr>
        <w:t>.</w:t>
      </w:r>
      <w:r w:rsidR="00DE13CE" w:rsidRPr="0095692E">
        <w:rPr>
          <w:rFonts w:ascii="Verdana" w:hAnsi="Verdana"/>
          <w:sz w:val="20"/>
          <w:szCs w:val="20"/>
        </w:rPr>
        <w:t xml:space="preserve"> Durante dicha audiencia, el Estado </w:t>
      </w:r>
      <w:r w:rsidR="00AD53B1" w:rsidRPr="0095692E">
        <w:rPr>
          <w:rFonts w:ascii="Verdana" w:hAnsi="Verdana"/>
          <w:sz w:val="20"/>
          <w:szCs w:val="20"/>
        </w:rPr>
        <w:t>presentó un</w:t>
      </w:r>
      <w:r w:rsidR="00DE13CE" w:rsidRPr="0095692E">
        <w:rPr>
          <w:rFonts w:ascii="Verdana" w:hAnsi="Verdana"/>
          <w:sz w:val="20"/>
          <w:szCs w:val="20"/>
        </w:rPr>
        <w:t xml:space="preserve"> re</w:t>
      </w:r>
      <w:r w:rsidR="00AD53B1" w:rsidRPr="0095692E">
        <w:rPr>
          <w:rFonts w:ascii="Verdana" w:hAnsi="Verdana"/>
          <w:sz w:val="20"/>
          <w:szCs w:val="20"/>
        </w:rPr>
        <w:t>conocimiento de re</w:t>
      </w:r>
      <w:r w:rsidR="00DE13CE" w:rsidRPr="0095692E">
        <w:rPr>
          <w:rFonts w:ascii="Verdana" w:hAnsi="Verdana"/>
          <w:sz w:val="20"/>
          <w:szCs w:val="20"/>
        </w:rPr>
        <w:t>sponsabilidad</w:t>
      </w:r>
      <w:r w:rsidR="00AD53B1" w:rsidRPr="0095692E">
        <w:rPr>
          <w:rFonts w:ascii="Verdana" w:hAnsi="Verdana"/>
          <w:sz w:val="20"/>
          <w:szCs w:val="20"/>
        </w:rPr>
        <w:t xml:space="preserve"> (</w:t>
      </w:r>
      <w:r w:rsidR="00AD53B1" w:rsidRPr="0095692E">
        <w:rPr>
          <w:rFonts w:ascii="Verdana" w:hAnsi="Verdana"/>
          <w:i/>
          <w:iCs/>
          <w:sz w:val="20"/>
          <w:szCs w:val="20"/>
        </w:rPr>
        <w:t>infra</w:t>
      </w:r>
      <w:r w:rsidR="00AD53B1" w:rsidRPr="0095692E">
        <w:rPr>
          <w:rFonts w:ascii="Verdana" w:hAnsi="Verdana"/>
          <w:sz w:val="20"/>
          <w:szCs w:val="20"/>
        </w:rPr>
        <w:t xml:space="preserve"> capítulo IV).</w:t>
      </w:r>
      <w:r w:rsidR="00DE13CE" w:rsidRPr="0095692E">
        <w:rPr>
          <w:rFonts w:ascii="Verdana" w:hAnsi="Verdana"/>
          <w:sz w:val="20"/>
          <w:szCs w:val="20"/>
        </w:rPr>
        <w:t xml:space="preserve"> </w:t>
      </w:r>
    </w:p>
    <w:p w14:paraId="5D531080" w14:textId="77777777" w:rsidR="00161044" w:rsidRPr="0095692E" w:rsidRDefault="00161044" w:rsidP="00BC6863">
      <w:pPr>
        <w:pStyle w:val="Prrafodelista"/>
        <w:rPr>
          <w:rFonts w:ascii="Verdana" w:hAnsi="Verdana"/>
          <w:sz w:val="20"/>
          <w:szCs w:val="20"/>
        </w:rPr>
      </w:pPr>
    </w:p>
    <w:p w14:paraId="636A5169" w14:textId="06EAE132" w:rsidR="002B63DF" w:rsidRPr="0095692E" w:rsidRDefault="00AD53B1" w:rsidP="00BC6863">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iCs/>
          <w:sz w:val="20"/>
          <w:szCs w:val="20"/>
        </w:rPr>
        <w:t xml:space="preserve">Escrito complementario al </w:t>
      </w:r>
      <w:r w:rsidR="003026A1" w:rsidRPr="0095692E">
        <w:rPr>
          <w:rFonts w:ascii="Verdana" w:hAnsi="Verdana"/>
          <w:i/>
          <w:iCs/>
          <w:sz w:val="20"/>
          <w:szCs w:val="20"/>
        </w:rPr>
        <w:t>reconocimiento de responsabilidad</w:t>
      </w:r>
      <w:r w:rsidRPr="0095692E">
        <w:rPr>
          <w:rFonts w:ascii="Verdana" w:hAnsi="Verdana"/>
          <w:sz w:val="20"/>
          <w:szCs w:val="20"/>
        </w:rPr>
        <w:t xml:space="preserve">. – El </w:t>
      </w:r>
      <w:r w:rsidR="00526509" w:rsidRPr="0095692E">
        <w:rPr>
          <w:rFonts w:ascii="Verdana" w:hAnsi="Verdana"/>
          <w:sz w:val="20"/>
          <w:szCs w:val="20"/>
        </w:rPr>
        <w:t>20</w:t>
      </w:r>
      <w:r w:rsidRPr="0095692E">
        <w:rPr>
          <w:rFonts w:ascii="Verdana" w:hAnsi="Verdana"/>
          <w:sz w:val="20"/>
          <w:szCs w:val="20"/>
        </w:rPr>
        <w:t xml:space="preserve"> de mayo de 2022 el Estado presentó un escrito ampliando el alcance de su reconocimiento de responsabilidad</w:t>
      </w:r>
      <w:r w:rsidR="00161044" w:rsidRPr="0095692E">
        <w:rPr>
          <w:rFonts w:ascii="Verdana" w:hAnsi="Verdana"/>
          <w:sz w:val="20"/>
          <w:szCs w:val="20"/>
        </w:rPr>
        <w:t xml:space="preserve"> (</w:t>
      </w:r>
      <w:r w:rsidR="00161044" w:rsidRPr="0095692E">
        <w:rPr>
          <w:rFonts w:ascii="Verdana" w:hAnsi="Verdana"/>
          <w:i/>
          <w:iCs/>
          <w:sz w:val="20"/>
          <w:szCs w:val="20"/>
        </w:rPr>
        <w:t>infra</w:t>
      </w:r>
      <w:r w:rsidR="00161044" w:rsidRPr="0095692E">
        <w:rPr>
          <w:rFonts w:ascii="Verdana" w:hAnsi="Verdana"/>
          <w:sz w:val="20"/>
          <w:szCs w:val="20"/>
        </w:rPr>
        <w:t xml:space="preserve"> párr. </w:t>
      </w:r>
      <w:r w:rsidR="008134EF" w:rsidRPr="0095692E">
        <w:rPr>
          <w:rFonts w:ascii="Verdana" w:hAnsi="Verdana"/>
          <w:sz w:val="20"/>
          <w:szCs w:val="20"/>
        </w:rPr>
        <w:t>18</w:t>
      </w:r>
      <w:r w:rsidR="00161044" w:rsidRPr="0095692E">
        <w:rPr>
          <w:rFonts w:ascii="Verdana" w:hAnsi="Verdana"/>
          <w:sz w:val="20"/>
          <w:szCs w:val="20"/>
        </w:rPr>
        <w:t>)</w:t>
      </w:r>
      <w:r w:rsidR="00B34C1F" w:rsidRPr="0095692E">
        <w:rPr>
          <w:rFonts w:ascii="Verdana" w:hAnsi="Verdana"/>
          <w:sz w:val="20"/>
          <w:szCs w:val="20"/>
        </w:rPr>
        <w:t>.</w:t>
      </w:r>
    </w:p>
    <w:p w14:paraId="37D9C3F3" w14:textId="77777777" w:rsidR="00EA2AB7" w:rsidRPr="0095692E" w:rsidRDefault="00EA2AB7" w:rsidP="00A80648">
      <w:pPr>
        <w:rPr>
          <w:rFonts w:ascii="Verdana" w:eastAsia="Verdana" w:hAnsi="Verdana" w:cs="Verdana"/>
          <w:iCs/>
          <w:spacing w:val="-1"/>
          <w:sz w:val="20"/>
          <w:szCs w:val="20"/>
        </w:rPr>
      </w:pPr>
    </w:p>
    <w:p w14:paraId="2FCF4A24" w14:textId="5CBCE7CC" w:rsidR="001A0BD0"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Alegatos y observaciones finales escritos.</w:t>
      </w:r>
      <w:r w:rsidRPr="0095692E">
        <w:rPr>
          <w:rFonts w:ascii="Verdana" w:hAnsi="Verdana"/>
          <w:sz w:val="20"/>
          <w:szCs w:val="20"/>
        </w:rPr>
        <w:t xml:space="preserve"> – El </w:t>
      </w:r>
      <w:r w:rsidR="001D3B95" w:rsidRPr="0095692E">
        <w:rPr>
          <w:rFonts w:ascii="Verdana" w:hAnsi="Verdana"/>
          <w:sz w:val="20"/>
          <w:szCs w:val="20"/>
        </w:rPr>
        <w:t xml:space="preserve">22 y el </w:t>
      </w:r>
      <w:r w:rsidR="00D21594" w:rsidRPr="0095692E">
        <w:rPr>
          <w:rFonts w:ascii="Verdana" w:hAnsi="Verdana"/>
          <w:sz w:val="20"/>
          <w:szCs w:val="20"/>
        </w:rPr>
        <w:t>2</w:t>
      </w:r>
      <w:r w:rsidR="001D3B95" w:rsidRPr="0095692E">
        <w:rPr>
          <w:rFonts w:ascii="Verdana" w:hAnsi="Verdana"/>
          <w:sz w:val="20"/>
          <w:szCs w:val="20"/>
        </w:rPr>
        <w:t>3</w:t>
      </w:r>
      <w:r w:rsidR="0033789D" w:rsidRPr="0095692E">
        <w:rPr>
          <w:rFonts w:ascii="Verdana" w:hAnsi="Verdana"/>
          <w:sz w:val="20"/>
          <w:szCs w:val="20"/>
        </w:rPr>
        <w:t xml:space="preserve"> </w:t>
      </w:r>
      <w:r w:rsidRPr="0095692E">
        <w:rPr>
          <w:rFonts w:ascii="Verdana" w:hAnsi="Verdana"/>
          <w:sz w:val="20"/>
          <w:szCs w:val="20"/>
        </w:rPr>
        <w:t xml:space="preserve">de </w:t>
      </w:r>
      <w:r w:rsidR="00D21594" w:rsidRPr="0095692E">
        <w:rPr>
          <w:rFonts w:ascii="Verdana" w:hAnsi="Verdana"/>
          <w:sz w:val="20"/>
          <w:szCs w:val="20"/>
        </w:rPr>
        <w:t>mayo</w:t>
      </w:r>
      <w:r w:rsidRPr="0095692E">
        <w:rPr>
          <w:rFonts w:ascii="Verdana" w:hAnsi="Verdana"/>
          <w:sz w:val="20"/>
          <w:szCs w:val="20"/>
        </w:rPr>
        <w:t xml:space="preserve"> de 202</w:t>
      </w:r>
      <w:r w:rsidR="000D1761" w:rsidRPr="0095692E">
        <w:rPr>
          <w:rFonts w:ascii="Verdana" w:hAnsi="Verdana"/>
          <w:sz w:val="20"/>
          <w:szCs w:val="20"/>
        </w:rPr>
        <w:t>2</w:t>
      </w:r>
      <w:r w:rsidRPr="0095692E">
        <w:rPr>
          <w:rFonts w:ascii="Verdana" w:hAnsi="Verdana"/>
          <w:sz w:val="20"/>
          <w:szCs w:val="20"/>
        </w:rPr>
        <w:t xml:space="preserve"> </w:t>
      </w:r>
      <w:r w:rsidR="00D21594" w:rsidRPr="0095692E">
        <w:rPr>
          <w:rFonts w:ascii="Verdana" w:hAnsi="Verdana"/>
          <w:sz w:val="20"/>
          <w:szCs w:val="20"/>
        </w:rPr>
        <w:t xml:space="preserve">los </w:t>
      </w:r>
      <w:r w:rsidR="00D27227" w:rsidRPr="0095692E">
        <w:rPr>
          <w:rFonts w:ascii="Verdana" w:hAnsi="Verdana"/>
          <w:sz w:val="20"/>
          <w:szCs w:val="20"/>
        </w:rPr>
        <w:t xml:space="preserve">representantes </w:t>
      </w:r>
      <w:r w:rsidR="0033789D" w:rsidRPr="0095692E">
        <w:rPr>
          <w:rFonts w:ascii="Verdana" w:hAnsi="Verdana"/>
          <w:sz w:val="20"/>
          <w:szCs w:val="20"/>
        </w:rPr>
        <w:t>present</w:t>
      </w:r>
      <w:r w:rsidR="001D3B95" w:rsidRPr="0095692E">
        <w:rPr>
          <w:rFonts w:ascii="Verdana" w:hAnsi="Verdana"/>
          <w:sz w:val="20"/>
          <w:szCs w:val="20"/>
        </w:rPr>
        <w:t xml:space="preserve">aron </w:t>
      </w:r>
      <w:r w:rsidRPr="0095692E">
        <w:rPr>
          <w:rFonts w:ascii="Verdana" w:hAnsi="Verdana"/>
          <w:sz w:val="20"/>
          <w:szCs w:val="20"/>
        </w:rPr>
        <w:t>sus alegatos finales escrito</w:t>
      </w:r>
      <w:r w:rsidR="00166A0A" w:rsidRPr="0095692E">
        <w:rPr>
          <w:rFonts w:ascii="Verdana" w:hAnsi="Verdana"/>
          <w:sz w:val="20"/>
          <w:szCs w:val="20"/>
        </w:rPr>
        <w:t>s</w:t>
      </w:r>
      <w:r w:rsidR="00542F96" w:rsidRPr="0095692E">
        <w:rPr>
          <w:rFonts w:ascii="Verdana" w:hAnsi="Verdana"/>
          <w:sz w:val="20"/>
          <w:szCs w:val="20"/>
        </w:rPr>
        <w:t>, junt</w:t>
      </w:r>
      <w:r w:rsidR="006127F3" w:rsidRPr="0095692E">
        <w:rPr>
          <w:rFonts w:ascii="Verdana" w:hAnsi="Verdana"/>
          <w:sz w:val="20"/>
          <w:szCs w:val="20"/>
        </w:rPr>
        <w:t>amente</w:t>
      </w:r>
      <w:r w:rsidR="00542F96" w:rsidRPr="0095692E">
        <w:rPr>
          <w:rFonts w:ascii="Verdana" w:hAnsi="Verdana"/>
          <w:sz w:val="20"/>
          <w:szCs w:val="20"/>
        </w:rPr>
        <w:t xml:space="preserve"> con documentación anexa</w:t>
      </w:r>
      <w:r w:rsidRPr="0095692E">
        <w:rPr>
          <w:rFonts w:ascii="Verdana" w:hAnsi="Verdana"/>
          <w:sz w:val="20"/>
          <w:szCs w:val="20"/>
        </w:rPr>
        <w:t>.</w:t>
      </w:r>
      <w:r w:rsidR="0033789D" w:rsidRPr="0095692E">
        <w:rPr>
          <w:rFonts w:ascii="Verdana" w:hAnsi="Verdana"/>
          <w:sz w:val="20"/>
          <w:szCs w:val="20"/>
        </w:rPr>
        <w:t xml:space="preserve"> El 2</w:t>
      </w:r>
      <w:r w:rsidR="001D3B95" w:rsidRPr="0095692E">
        <w:rPr>
          <w:rFonts w:ascii="Verdana" w:hAnsi="Verdana"/>
          <w:sz w:val="20"/>
          <w:szCs w:val="20"/>
        </w:rPr>
        <w:t>3</w:t>
      </w:r>
      <w:r w:rsidR="0033789D" w:rsidRPr="0095692E">
        <w:rPr>
          <w:rFonts w:ascii="Verdana" w:hAnsi="Verdana"/>
          <w:sz w:val="20"/>
          <w:szCs w:val="20"/>
        </w:rPr>
        <w:t xml:space="preserve"> de </w:t>
      </w:r>
      <w:r w:rsidR="001D3B95" w:rsidRPr="0095692E">
        <w:rPr>
          <w:rFonts w:ascii="Verdana" w:hAnsi="Verdana"/>
          <w:sz w:val="20"/>
          <w:szCs w:val="20"/>
        </w:rPr>
        <w:t>mayo</w:t>
      </w:r>
      <w:r w:rsidR="0033789D" w:rsidRPr="0095692E">
        <w:rPr>
          <w:rFonts w:ascii="Verdana" w:hAnsi="Verdana"/>
          <w:sz w:val="20"/>
          <w:szCs w:val="20"/>
        </w:rPr>
        <w:t xml:space="preserve"> de 2022 la Comisión present</w:t>
      </w:r>
      <w:r w:rsidR="001D3B95" w:rsidRPr="0095692E">
        <w:rPr>
          <w:rFonts w:ascii="Verdana" w:hAnsi="Verdana"/>
          <w:sz w:val="20"/>
          <w:szCs w:val="20"/>
        </w:rPr>
        <w:t>ó</w:t>
      </w:r>
      <w:r w:rsidR="0033789D" w:rsidRPr="0095692E">
        <w:rPr>
          <w:rFonts w:ascii="Verdana" w:hAnsi="Verdana"/>
          <w:sz w:val="20"/>
          <w:szCs w:val="20"/>
        </w:rPr>
        <w:t xml:space="preserve"> sus</w:t>
      </w:r>
      <w:r w:rsidR="006266DE" w:rsidRPr="0095692E">
        <w:rPr>
          <w:rFonts w:ascii="Verdana" w:hAnsi="Verdana"/>
          <w:sz w:val="20"/>
          <w:szCs w:val="20"/>
        </w:rPr>
        <w:t xml:space="preserve"> </w:t>
      </w:r>
      <w:r w:rsidR="0033789D" w:rsidRPr="0095692E">
        <w:rPr>
          <w:rFonts w:ascii="Verdana" w:hAnsi="Verdana"/>
          <w:sz w:val="20"/>
          <w:szCs w:val="20"/>
        </w:rPr>
        <w:t>observaciones finales escritas.</w:t>
      </w:r>
      <w:r w:rsidR="00FD1270" w:rsidRPr="0095692E">
        <w:rPr>
          <w:rFonts w:ascii="Verdana" w:hAnsi="Verdana"/>
          <w:sz w:val="20"/>
          <w:szCs w:val="20"/>
        </w:rPr>
        <w:t xml:space="preserve"> El Estado no presentó </w:t>
      </w:r>
      <w:r w:rsidR="00B34C1F" w:rsidRPr="0095692E">
        <w:rPr>
          <w:rFonts w:ascii="Verdana" w:hAnsi="Verdana"/>
          <w:sz w:val="20"/>
          <w:szCs w:val="20"/>
        </w:rPr>
        <w:t xml:space="preserve">sus </w:t>
      </w:r>
      <w:r w:rsidR="00FD1270" w:rsidRPr="0095692E">
        <w:rPr>
          <w:rFonts w:ascii="Verdana" w:hAnsi="Verdana"/>
          <w:sz w:val="20"/>
          <w:szCs w:val="20"/>
        </w:rPr>
        <w:t>alegatos finales escritos.</w:t>
      </w:r>
    </w:p>
    <w:p w14:paraId="3E5C1CA6" w14:textId="77777777" w:rsidR="00542F96" w:rsidRPr="0095692E" w:rsidRDefault="00542F96" w:rsidP="00A80648">
      <w:pPr>
        <w:rPr>
          <w:rFonts w:ascii="Verdana" w:hAnsi="Verdana"/>
          <w:sz w:val="20"/>
          <w:szCs w:val="20"/>
        </w:rPr>
      </w:pPr>
    </w:p>
    <w:p w14:paraId="6EC3D069" w14:textId="1C7E0DBF" w:rsidR="00542F96" w:rsidRPr="0095692E" w:rsidRDefault="003C5B37"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Observaciones a los anexos a los alegatos finales. -</w:t>
      </w:r>
      <w:r w:rsidRPr="0095692E">
        <w:rPr>
          <w:rFonts w:ascii="Verdana" w:hAnsi="Verdana"/>
          <w:bCs/>
          <w:sz w:val="20"/>
          <w:szCs w:val="20"/>
        </w:rPr>
        <w:t xml:space="preserve"> </w:t>
      </w:r>
      <w:r w:rsidRPr="0095692E">
        <w:rPr>
          <w:rFonts w:ascii="Verdana" w:hAnsi="Verdana"/>
          <w:sz w:val="20"/>
          <w:szCs w:val="20"/>
        </w:rPr>
        <w:t xml:space="preserve">El </w:t>
      </w:r>
      <w:r w:rsidR="004030BB" w:rsidRPr="0095692E">
        <w:rPr>
          <w:rFonts w:ascii="Verdana" w:hAnsi="Verdana"/>
          <w:sz w:val="20"/>
          <w:szCs w:val="20"/>
        </w:rPr>
        <w:t>3</w:t>
      </w:r>
      <w:r w:rsidR="006122B3" w:rsidRPr="0095692E">
        <w:rPr>
          <w:rFonts w:ascii="Verdana" w:hAnsi="Verdana"/>
          <w:sz w:val="20"/>
          <w:szCs w:val="20"/>
        </w:rPr>
        <w:t xml:space="preserve"> </w:t>
      </w:r>
      <w:r w:rsidR="009A3A8E" w:rsidRPr="0095692E">
        <w:rPr>
          <w:rFonts w:ascii="Verdana" w:hAnsi="Verdana"/>
          <w:sz w:val="20"/>
          <w:szCs w:val="20"/>
        </w:rPr>
        <w:t xml:space="preserve">y el 6 </w:t>
      </w:r>
      <w:r w:rsidR="00DD25B2" w:rsidRPr="0095692E">
        <w:rPr>
          <w:rFonts w:ascii="Verdana" w:hAnsi="Verdana"/>
          <w:sz w:val="20"/>
          <w:szCs w:val="20"/>
        </w:rPr>
        <w:t xml:space="preserve">de </w:t>
      </w:r>
      <w:r w:rsidR="004030BB" w:rsidRPr="0095692E">
        <w:rPr>
          <w:rFonts w:ascii="Verdana" w:hAnsi="Verdana"/>
          <w:sz w:val="20"/>
          <w:szCs w:val="20"/>
        </w:rPr>
        <w:t>juni</w:t>
      </w:r>
      <w:r w:rsidR="000D1761" w:rsidRPr="0095692E">
        <w:rPr>
          <w:rFonts w:ascii="Verdana" w:hAnsi="Verdana"/>
          <w:sz w:val="20"/>
          <w:szCs w:val="20"/>
        </w:rPr>
        <w:t>o</w:t>
      </w:r>
      <w:r w:rsidRPr="0095692E">
        <w:rPr>
          <w:rFonts w:ascii="Verdana" w:hAnsi="Verdana"/>
          <w:sz w:val="20"/>
          <w:szCs w:val="20"/>
        </w:rPr>
        <w:t xml:space="preserve"> de 202</w:t>
      </w:r>
      <w:r w:rsidR="000D1761" w:rsidRPr="0095692E">
        <w:rPr>
          <w:rFonts w:ascii="Verdana" w:hAnsi="Verdana"/>
          <w:sz w:val="20"/>
          <w:szCs w:val="20"/>
        </w:rPr>
        <w:t>2</w:t>
      </w:r>
      <w:r w:rsidR="00CD59A9" w:rsidRPr="0095692E">
        <w:rPr>
          <w:rFonts w:ascii="Verdana" w:hAnsi="Verdana"/>
          <w:sz w:val="20"/>
          <w:szCs w:val="20"/>
        </w:rPr>
        <w:t xml:space="preserve"> </w:t>
      </w:r>
      <w:r w:rsidR="004030BB" w:rsidRPr="0095692E">
        <w:rPr>
          <w:rFonts w:ascii="Verdana" w:hAnsi="Verdana"/>
          <w:sz w:val="20"/>
          <w:szCs w:val="20"/>
        </w:rPr>
        <w:t>e</w:t>
      </w:r>
      <w:r w:rsidRPr="0095692E">
        <w:rPr>
          <w:rFonts w:ascii="Verdana" w:hAnsi="Verdana"/>
          <w:sz w:val="20"/>
          <w:szCs w:val="20"/>
        </w:rPr>
        <w:t>l</w:t>
      </w:r>
      <w:r w:rsidR="004030BB" w:rsidRPr="0095692E">
        <w:rPr>
          <w:rFonts w:ascii="Verdana" w:hAnsi="Verdana"/>
          <w:sz w:val="20"/>
          <w:szCs w:val="20"/>
        </w:rPr>
        <w:t xml:space="preserve"> Estado </w:t>
      </w:r>
      <w:r w:rsidR="00CD59A9" w:rsidRPr="0095692E">
        <w:rPr>
          <w:rFonts w:ascii="Verdana" w:hAnsi="Verdana"/>
          <w:sz w:val="20"/>
          <w:szCs w:val="20"/>
        </w:rPr>
        <w:t>y l</w:t>
      </w:r>
      <w:r w:rsidRPr="0095692E">
        <w:rPr>
          <w:rFonts w:ascii="Verdana" w:hAnsi="Verdana"/>
          <w:sz w:val="20"/>
          <w:szCs w:val="20"/>
        </w:rPr>
        <w:t>a Comisión</w:t>
      </w:r>
      <w:r w:rsidR="00CD59A9" w:rsidRPr="0095692E">
        <w:rPr>
          <w:rFonts w:ascii="Verdana" w:hAnsi="Verdana"/>
          <w:sz w:val="20"/>
          <w:szCs w:val="20"/>
        </w:rPr>
        <w:t xml:space="preserve">, respectivamente, </w:t>
      </w:r>
      <w:r w:rsidRPr="0095692E">
        <w:rPr>
          <w:rFonts w:ascii="Verdana" w:hAnsi="Verdana"/>
          <w:sz w:val="20"/>
          <w:szCs w:val="20"/>
        </w:rPr>
        <w:t>inform</w:t>
      </w:r>
      <w:r w:rsidR="00CD59A9" w:rsidRPr="0095692E">
        <w:rPr>
          <w:rFonts w:ascii="Verdana" w:hAnsi="Verdana"/>
          <w:sz w:val="20"/>
          <w:szCs w:val="20"/>
        </w:rPr>
        <w:t>aron</w:t>
      </w:r>
      <w:r w:rsidRPr="0095692E">
        <w:rPr>
          <w:rFonts w:ascii="Verdana" w:hAnsi="Verdana"/>
          <w:sz w:val="20"/>
          <w:szCs w:val="20"/>
        </w:rPr>
        <w:t xml:space="preserve"> que no tenía</w:t>
      </w:r>
      <w:r w:rsidR="009C1693" w:rsidRPr="0095692E">
        <w:rPr>
          <w:rFonts w:ascii="Verdana" w:hAnsi="Verdana"/>
          <w:sz w:val="20"/>
          <w:szCs w:val="20"/>
        </w:rPr>
        <w:t>n</w:t>
      </w:r>
      <w:r w:rsidRPr="0095692E">
        <w:rPr>
          <w:rFonts w:ascii="Verdana" w:hAnsi="Verdana"/>
          <w:sz w:val="20"/>
          <w:szCs w:val="20"/>
        </w:rPr>
        <w:t xml:space="preserve"> observaciones que formular respecto de los </w:t>
      </w:r>
      <w:r w:rsidR="004030BB" w:rsidRPr="0095692E">
        <w:rPr>
          <w:rFonts w:ascii="Verdana" w:hAnsi="Verdana"/>
          <w:sz w:val="20"/>
          <w:szCs w:val="20"/>
        </w:rPr>
        <w:t>anexos a los alegatos finales escritos de los representantes</w:t>
      </w:r>
      <w:r w:rsidR="00CA5D96" w:rsidRPr="0095692E">
        <w:rPr>
          <w:rFonts w:ascii="Verdana" w:eastAsia="Verdana" w:hAnsi="Verdana" w:cs="Verdana"/>
          <w:spacing w:val="-1"/>
          <w:sz w:val="20"/>
          <w:szCs w:val="20"/>
        </w:rPr>
        <w:t>.</w:t>
      </w:r>
      <w:r w:rsidR="005D6871" w:rsidRPr="0095692E">
        <w:rPr>
          <w:rFonts w:ascii="Verdana" w:eastAsia="Verdana" w:hAnsi="Verdana" w:cs="Verdana"/>
          <w:spacing w:val="-1"/>
          <w:sz w:val="20"/>
          <w:szCs w:val="20"/>
        </w:rPr>
        <w:t xml:space="preserve"> </w:t>
      </w:r>
    </w:p>
    <w:p w14:paraId="37D2A95B" w14:textId="77777777" w:rsidR="0082057E" w:rsidRPr="0095692E" w:rsidRDefault="0082057E" w:rsidP="00CB23D7">
      <w:pPr>
        <w:pStyle w:val="Prrafodelista"/>
        <w:rPr>
          <w:rFonts w:ascii="Verdana" w:hAnsi="Verdana"/>
          <w:sz w:val="20"/>
          <w:szCs w:val="20"/>
        </w:rPr>
      </w:pPr>
    </w:p>
    <w:p w14:paraId="40E2F634" w14:textId="76A4ECEB" w:rsidR="0082057E" w:rsidRPr="0095692E" w:rsidRDefault="0082057E"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iCs/>
          <w:sz w:val="20"/>
          <w:szCs w:val="20"/>
        </w:rPr>
        <w:t>Prueba para mejor resolver.</w:t>
      </w:r>
      <w:r w:rsidRPr="0095692E">
        <w:rPr>
          <w:rFonts w:ascii="Verdana" w:hAnsi="Verdana"/>
          <w:sz w:val="20"/>
          <w:szCs w:val="20"/>
        </w:rPr>
        <w:t xml:space="preserve"> – El 1</w:t>
      </w:r>
      <w:r w:rsidR="00105E2F" w:rsidRPr="0095692E">
        <w:rPr>
          <w:rFonts w:ascii="Verdana" w:hAnsi="Verdana"/>
          <w:sz w:val="20"/>
          <w:szCs w:val="20"/>
        </w:rPr>
        <w:t>0</w:t>
      </w:r>
      <w:r w:rsidRPr="0095692E">
        <w:rPr>
          <w:rFonts w:ascii="Verdana" w:hAnsi="Verdana"/>
          <w:sz w:val="20"/>
          <w:szCs w:val="20"/>
        </w:rPr>
        <w:t xml:space="preserve"> de agosto de 202</w:t>
      </w:r>
      <w:r w:rsidR="00105E2F" w:rsidRPr="0095692E">
        <w:rPr>
          <w:rFonts w:ascii="Verdana" w:hAnsi="Verdana"/>
          <w:sz w:val="20"/>
          <w:szCs w:val="20"/>
        </w:rPr>
        <w:t>2</w:t>
      </w:r>
      <w:r w:rsidRPr="0095692E">
        <w:rPr>
          <w:rFonts w:ascii="Verdana" w:hAnsi="Verdana"/>
          <w:sz w:val="20"/>
          <w:szCs w:val="20"/>
        </w:rPr>
        <w:t xml:space="preserve"> se solicitó al Estado </w:t>
      </w:r>
      <w:r w:rsidR="008A4AA4" w:rsidRPr="0095692E">
        <w:rPr>
          <w:rFonts w:ascii="Verdana" w:hAnsi="Verdana"/>
          <w:sz w:val="20"/>
          <w:szCs w:val="20"/>
        </w:rPr>
        <w:t>la remisión de determinada documentación</w:t>
      </w:r>
      <w:r w:rsidR="003E49B9" w:rsidRPr="0095692E">
        <w:rPr>
          <w:rStyle w:val="Refdenotaalpie"/>
          <w:rFonts w:ascii="Verdana" w:hAnsi="Verdana"/>
          <w:sz w:val="20"/>
          <w:szCs w:val="20"/>
        </w:rPr>
        <w:footnoteReference w:id="9"/>
      </w:r>
      <w:r w:rsidR="008A4AA4" w:rsidRPr="0095692E">
        <w:rPr>
          <w:rFonts w:ascii="Verdana" w:hAnsi="Verdana"/>
          <w:sz w:val="20"/>
          <w:szCs w:val="20"/>
        </w:rPr>
        <w:t xml:space="preserve"> como prueba para mejor resolver, de conformidad con el artículo 58.b) del Reglamento de la Corte. El </w:t>
      </w:r>
      <w:r w:rsidR="00470556" w:rsidRPr="0095692E">
        <w:rPr>
          <w:rFonts w:ascii="Verdana" w:hAnsi="Verdana"/>
          <w:sz w:val="20"/>
          <w:szCs w:val="20"/>
        </w:rPr>
        <w:t>1</w:t>
      </w:r>
      <w:r w:rsidR="008A4AA4" w:rsidRPr="0095692E">
        <w:rPr>
          <w:rFonts w:ascii="Verdana" w:hAnsi="Verdana"/>
          <w:sz w:val="20"/>
          <w:szCs w:val="20"/>
        </w:rPr>
        <w:t>2 de agosto de 202</w:t>
      </w:r>
      <w:r w:rsidR="00470556" w:rsidRPr="0095692E">
        <w:rPr>
          <w:rFonts w:ascii="Verdana" w:hAnsi="Verdana"/>
          <w:sz w:val="20"/>
          <w:szCs w:val="20"/>
        </w:rPr>
        <w:t>2</w:t>
      </w:r>
      <w:r w:rsidR="008A4AA4" w:rsidRPr="0095692E">
        <w:rPr>
          <w:rFonts w:ascii="Verdana" w:hAnsi="Verdana"/>
          <w:sz w:val="20"/>
          <w:szCs w:val="20"/>
        </w:rPr>
        <w:t xml:space="preserve"> el Estado present</w:t>
      </w:r>
      <w:r w:rsidR="00470556" w:rsidRPr="0095692E">
        <w:rPr>
          <w:rFonts w:ascii="Verdana" w:hAnsi="Verdana"/>
          <w:sz w:val="20"/>
          <w:szCs w:val="20"/>
        </w:rPr>
        <w:t>ó</w:t>
      </w:r>
      <w:r w:rsidR="008A4AA4" w:rsidRPr="0095692E">
        <w:rPr>
          <w:rFonts w:ascii="Verdana" w:hAnsi="Verdana"/>
          <w:sz w:val="20"/>
          <w:szCs w:val="20"/>
        </w:rPr>
        <w:t xml:space="preserve"> la documentación solicitada. El </w:t>
      </w:r>
      <w:r w:rsidR="00470556" w:rsidRPr="0095692E">
        <w:rPr>
          <w:rFonts w:ascii="Verdana" w:hAnsi="Verdana"/>
          <w:sz w:val="20"/>
          <w:szCs w:val="20"/>
        </w:rPr>
        <w:t>22</w:t>
      </w:r>
      <w:r w:rsidR="008A4AA4" w:rsidRPr="0095692E">
        <w:rPr>
          <w:rFonts w:ascii="Verdana" w:hAnsi="Verdana"/>
          <w:sz w:val="20"/>
          <w:szCs w:val="20"/>
        </w:rPr>
        <w:t xml:space="preserve"> de </w:t>
      </w:r>
      <w:r w:rsidR="00470556" w:rsidRPr="0095692E">
        <w:rPr>
          <w:rFonts w:ascii="Verdana" w:hAnsi="Verdana"/>
          <w:sz w:val="20"/>
          <w:szCs w:val="20"/>
        </w:rPr>
        <w:t>agosto</w:t>
      </w:r>
      <w:r w:rsidR="008A4AA4" w:rsidRPr="0095692E">
        <w:rPr>
          <w:rFonts w:ascii="Verdana" w:hAnsi="Verdana"/>
          <w:sz w:val="20"/>
          <w:szCs w:val="20"/>
        </w:rPr>
        <w:t xml:space="preserve"> de 202</w:t>
      </w:r>
      <w:r w:rsidR="00470556" w:rsidRPr="0095692E">
        <w:rPr>
          <w:rFonts w:ascii="Verdana" w:hAnsi="Verdana"/>
          <w:sz w:val="20"/>
          <w:szCs w:val="20"/>
        </w:rPr>
        <w:t>2</w:t>
      </w:r>
      <w:r w:rsidR="008A4AA4" w:rsidRPr="0095692E">
        <w:rPr>
          <w:rFonts w:ascii="Verdana" w:hAnsi="Verdana"/>
          <w:sz w:val="20"/>
          <w:szCs w:val="20"/>
        </w:rPr>
        <w:t xml:space="preserve"> los representantes remitieron observaciones </w:t>
      </w:r>
      <w:r w:rsidR="0074286F" w:rsidRPr="0095692E">
        <w:rPr>
          <w:rFonts w:ascii="Verdana" w:hAnsi="Verdana"/>
          <w:sz w:val="20"/>
          <w:szCs w:val="20"/>
        </w:rPr>
        <w:t>en cuanto</w:t>
      </w:r>
      <w:r w:rsidR="008A4AA4" w:rsidRPr="0095692E">
        <w:rPr>
          <w:rFonts w:ascii="Verdana" w:hAnsi="Verdana"/>
          <w:sz w:val="20"/>
          <w:szCs w:val="20"/>
        </w:rPr>
        <w:t xml:space="preserve"> al </w:t>
      </w:r>
      <w:r w:rsidR="0074286F" w:rsidRPr="0095692E">
        <w:rPr>
          <w:rFonts w:ascii="Verdana" w:hAnsi="Verdana"/>
          <w:sz w:val="20"/>
          <w:szCs w:val="20"/>
        </w:rPr>
        <w:t xml:space="preserve">documento aportado por el Estado </w:t>
      </w:r>
      <w:r w:rsidR="008A4AA4" w:rsidRPr="0095692E">
        <w:rPr>
          <w:rFonts w:ascii="Verdana" w:hAnsi="Verdana"/>
          <w:sz w:val="20"/>
          <w:szCs w:val="20"/>
        </w:rPr>
        <w:t>y la Comisión informó que no tenía observaciones al respecto.</w:t>
      </w:r>
    </w:p>
    <w:p w14:paraId="691F509E" w14:textId="77777777" w:rsidR="00542F96" w:rsidRPr="0095692E" w:rsidRDefault="00542F96" w:rsidP="00A80648">
      <w:pPr>
        <w:rPr>
          <w:rFonts w:ascii="Verdana" w:hAnsi="Verdana"/>
          <w:sz w:val="20"/>
          <w:szCs w:val="20"/>
        </w:rPr>
      </w:pPr>
    </w:p>
    <w:p w14:paraId="2CC81D0C" w14:textId="3CFC4E50" w:rsidR="001A0BD0" w:rsidRPr="0095692E" w:rsidRDefault="001A0BD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i/>
          <w:sz w:val="20"/>
          <w:szCs w:val="20"/>
        </w:rPr>
        <w:t>Deliberación del presente caso</w:t>
      </w:r>
      <w:r w:rsidRPr="0095692E">
        <w:rPr>
          <w:rFonts w:ascii="Verdana" w:hAnsi="Verdana"/>
          <w:sz w:val="20"/>
          <w:szCs w:val="20"/>
        </w:rPr>
        <w:t>. - La Corte deliberó la presente Sentencia e</w:t>
      </w:r>
      <w:r w:rsidR="006653A6" w:rsidRPr="0095692E">
        <w:rPr>
          <w:rFonts w:ascii="Verdana" w:hAnsi="Verdana"/>
          <w:sz w:val="20"/>
          <w:szCs w:val="20"/>
        </w:rPr>
        <w:t>l</w:t>
      </w:r>
      <w:r w:rsidRPr="0095692E">
        <w:rPr>
          <w:rFonts w:ascii="Verdana" w:hAnsi="Verdana"/>
          <w:sz w:val="20"/>
          <w:szCs w:val="20"/>
        </w:rPr>
        <w:t xml:space="preserve"> día </w:t>
      </w:r>
      <w:r w:rsidR="006653A6" w:rsidRPr="0095692E">
        <w:rPr>
          <w:rFonts w:ascii="Verdana" w:hAnsi="Verdana"/>
          <w:sz w:val="20"/>
          <w:szCs w:val="20"/>
        </w:rPr>
        <w:t>25</w:t>
      </w:r>
      <w:r w:rsidRPr="0095692E">
        <w:rPr>
          <w:rFonts w:ascii="Verdana" w:hAnsi="Verdana"/>
          <w:sz w:val="20"/>
          <w:szCs w:val="20"/>
        </w:rPr>
        <w:t xml:space="preserve"> de</w:t>
      </w:r>
      <w:r w:rsidR="00542F96" w:rsidRPr="0095692E">
        <w:rPr>
          <w:rFonts w:ascii="Verdana" w:hAnsi="Verdana"/>
          <w:sz w:val="20"/>
          <w:szCs w:val="20"/>
        </w:rPr>
        <w:t xml:space="preserve"> </w:t>
      </w:r>
      <w:r w:rsidR="00CD59A9" w:rsidRPr="0095692E">
        <w:rPr>
          <w:rFonts w:ascii="Verdana" w:hAnsi="Verdana"/>
          <w:sz w:val="20"/>
          <w:szCs w:val="20"/>
        </w:rPr>
        <w:t>agosto</w:t>
      </w:r>
      <w:r w:rsidR="00542F96" w:rsidRPr="0095692E">
        <w:rPr>
          <w:rFonts w:ascii="Verdana" w:hAnsi="Verdana"/>
          <w:sz w:val="20"/>
          <w:szCs w:val="20"/>
        </w:rPr>
        <w:t xml:space="preserve"> de</w:t>
      </w:r>
      <w:r w:rsidRPr="0095692E">
        <w:rPr>
          <w:rFonts w:ascii="Verdana" w:hAnsi="Verdana"/>
          <w:sz w:val="20"/>
          <w:szCs w:val="20"/>
        </w:rPr>
        <w:t xml:space="preserve"> 202</w:t>
      </w:r>
      <w:r w:rsidR="000D1761" w:rsidRPr="0095692E">
        <w:rPr>
          <w:rFonts w:ascii="Verdana" w:hAnsi="Verdana"/>
          <w:sz w:val="20"/>
          <w:szCs w:val="20"/>
        </w:rPr>
        <w:t>2</w:t>
      </w:r>
      <w:r w:rsidR="006653A6" w:rsidRPr="0095692E">
        <w:rPr>
          <w:rFonts w:ascii="Verdana" w:hAnsi="Verdana"/>
          <w:sz w:val="20"/>
          <w:szCs w:val="20"/>
        </w:rPr>
        <w:t>, en Brasilia, Brasil</w:t>
      </w:r>
      <w:r w:rsidR="00613B9B" w:rsidRPr="0095692E">
        <w:rPr>
          <w:rFonts w:ascii="Verdana" w:hAnsi="Verdana"/>
          <w:sz w:val="20"/>
          <w:szCs w:val="20"/>
        </w:rPr>
        <w:t>, d</w:t>
      </w:r>
      <w:r w:rsidR="003E4FE2" w:rsidRPr="0095692E">
        <w:rPr>
          <w:rFonts w:ascii="Verdana" w:hAnsi="Verdana"/>
          <w:sz w:val="20"/>
          <w:szCs w:val="20"/>
        </w:rPr>
        <w:t>urante el 150</w:t>
      </w:r>
      <w:r w:rsidR="000D459C" w:rsidRPr="0095692E">
        <w:rPr>
          <w:rFonts w:ascii="Verdana" w:hAnsi="Verdana"/>
          <w:sz w:val="20"/>
          <w:szCs w:val="20"/>
        </w:rPr>
        <w:t>°</w:t>
      </w:r>
      <w:r w:rsidR="00613B9B" w:rsidRPr="0095692E">
        <w:rPr>
          <w:rFonts w:ascii="Verdana" w:hAnsi="Verdana"/>
          <w:sz w:val="20"/>
          <w:szCs w:val="20"/>
        </w:rPr>
        <w:t xml:space="preserve"> </w:t>
      </w:r>
      <w:r w:rsidR="000D459C" w:rsidRPr="0095692E">
        <w:rPr>
          <w:rFonts w:ascii="Verdana" w:hAnsi="Verdana"/>
          <w:sz w:val="20"/>
          <w:szCs w:val="20"/>
        </w:rPr>
        <w:t>P</w:t>
      </w:r>
      <w:r w:rsidR="003E4FE2" w:rsidRPr="0095692E">
        <w:rPr>
          <w:rFonts w:ascii="Verdana" w:hAnsi="Verdana"/>
          <w:sz w:val="20"/>
          <w:szCs w:val="20"/>
        </w:rPr>
        <w:t xml:space="preserve">eriodo </w:t>
      </w:r>
      <w:r w:rsidR="000D459C" w:rsidRPr="0095692E">
        <w:rPr>
          <w:rFonts w:ascii="Verdana" w:hAnsi="Verdana"/>
          <w:sz w:val="20"/>
          <w:szCs w:val="20"/>
        </w:rPr>
        <w:t xml:space="preserve">Ordinario </w:t>
      </w:r>
      <w:r w:rsidR="003E4FE2" w:rsidRPr="0095692E">
        <w:rPr>
          <w:rFonts w:ascii="Verdana" w:hAnsi="Verdana"/>
          <w:sz w:val="20"/>
          <w:szCs w:val="20"/>
        </w:rPr>
        <w:t xml:space="preserve">de </w:t>
      </w:r>
      <w:r w:rsidR="000D459C" w:rsidRPr="0095692E">
        <w:rPr>
          <w:rFonts w:ascii="Verdana" w:hAnsi="Verdana"/>
          <w:sz w:val="20"/>
          <w:szCs w:val="20"/>
        </w:rPr>
        <w:t>S</w:t>
      </w:r>
      <w:r w:rsidR="003E4FE2" w:rsidRPr="0095692E">
        <w:rPr>
          <w:rFonts w:ascii="Verdana" w:hAnsi="Verdana"/>
          <w:sz w:val="20"/>
          <w:szCs w:val="20"/>
        </w:rPr>
        <w:t>esiones</w:t>
      </w:r>
      <w:r w:rsidR="00613B9B" w:rsidRPr="0095692E">
        <w:rPr>
          <w:rFonts w:ascii="Verdana" w:hAnsi="Verdana"/>
          <w:sz w:val="20"/>
          <w:szCs w:val="20"/>
        </w:rPr>
        <w:t>.</w:t>
      </w:r>
    </w:p>
    <w:p w14:paraId="140F2623" w14:textId="77777777" w:rsidR="001A0BD0" w:rsidRPr="0095692E" w:rsidRDefault="001A0BD0" w:rsidP="00A80648">
      <w:pPr>
        <w:rPr>
          <w:rFonts w:ascii="Verdana" w:hAnsi="Verdana"/>
          <w:sz w:val="20"/>
          <w:szCs w:val="20"/>
        </w:rPr>
      </w:pPr>
    </w:p>
    <w:p w14:paraId="2436B8DA" w14:textId="77777777" w:rsidR="00542F96" w:rsidRPr="0095692E" w:rsidRDefault="00542F96" w:rsidP="00A80648">
      <w:pPr>
        <w:pStyle w:val="Ttulo1"/>
        <w:rPr>
          <w:lang w:val="es-CR"/>
        </w:rPr>
      </w:pPr>
      <w:bookmarkStart w:id="7" w:name="_Toc115262470"/>
      <w:r w:rsidRPr="0095692E">
        <w:rPr>
          <w:lang w:val="es-CR"/>
        </w:rPr>
        <w:t>III</w:t>
      </w:r>
      <w:r w:rsidRPr="0095692E">
        <w:rPr>
          <w:lang w:val="es-CR"/>
        </w:rPr>
        <w:br/>
        <w:t>COMPETENCIA</w:t>
      </w:r>
      <w:bookmarkEnd w:id="7"/>
    </w:p>
    <w:p w14:paraId="625E3625" w14:textId="77777777" w:rsidR="00542F96" w:rsidRPr="0095692E" w:rsidRDefault="00542F96" w:rsidP="00A80648">
      <w:pPr>
        <w:rPr>
          <w:rFonts w:ascii="Verdana" w:hAnsi="Verdana"/>
          <w:sz w:val="20"/>
          <w:szCs w:val="20"/>
        </w:rPr>
      </w:pPr>
    </w:p>
    <w:p w14:paraId="298D808E" w14:textId="673C7966" w:rsidR="000F0500" w:rsidRPr="0095692E" w:rsidRDefault="009A4555"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Corte es competente para conocer el presente caso, en los términos del artículo 62.3 de la Convención, </w:t>
      </w:r>
      <w:r w:rsidR="006F5F3C" w:rsidRPr="0095692E">
        <w:rPr>
          <w:rFonts w:ascii="Verdana" w:hAnsi="Verdana"/>
          <w:sz w:val="20"/>
          <w:szCs w:val="20"/>
        </w:rPr>
        <w:t>debido a</w:t>
      </w:r>
      <w:r w:rsidRPr="0095692E">
        <w:rPr>
          <w:rFonts w:ascii="Verdana" w:hAnsi="Verdana"/>
          <w:sz w:val="20"/>
          <w:szCs w:val="20"/>
        </w:rPr>
        <w:t xml:space="preserve"> que </w:t>
      </w:r>
      <w:r w:rsidR="002A18D6" w:rsidRPr="0095692E">
        <w:rPr>
          <w:rFonts w:ascii="Verdana" w:hAnsi="Verdana"/>
          <w:sz w:val="20"/>
          <w:szCs w:val="20"/>
        </w:rPr>
        <w:t>Honduras</w:t>
      </w:r>
      <w:r w:rsidRPr="0095692E">
        <w:rPr>
          <w:rFonts w:ascii="Verdana" w:hAnsi="Verdana"/>
          <w:sz w:val="20"/>
          <w:szCs w:val="20"/>
        </w:rPr>
        <w:t xml:space="preserve"> es Estado Parte en la Convención Americana desde </w:t>
      </w:r>
      <w:r w:rsidR="002A18D6" w:rsidRPr="0095692E">
        <w:rPr>
          <w:rFonts w:ascii="Verdana" w:hAnsi="Verdana"/>
          <w:sz w:val="20"/>
          <w:szCs w:val="20"/>
        </w:rPr>
        <w:t>el 8 de septiembre de 1977 y reconoció la competencia contenciosa del Tribunal el 9 de septiembre de 1981</w:t>
      </w:r>
      <w:r w:rsidRPr="0095692E">
        <w:rPr>
          <w:rFonts w:ascii="Verdana" w:hAnsi="Verdana"/>
          <w:sz w:val="20"/>
          <w:szCs w:val="20"/>
        </w:rPr>
        <w:t>.</w:t>
      </w:r>
      <w:r w:rsidR="000F0500" w:rsidRPr="0095692E">
        <w:rPr>
          <w:rFonts w:ascii="Verdana" w:hAnsi="Verdana"/>
          <w:sz w:val="20"/>
          <w:szCs w:val="20"/>
        </w:rPr>
        <w:t xml:space="preserve"> </w:t>
      </w:r>
    </w:p>
    <w:p w14:paraId="0CF648A4" w14:textId="77777777" w:rsidR="00AB57D5" w:rsidRPr="0095692E" w:rsidRDefault="00AB57D5" w:rsidP="00A80648">
      <w:pPr>
        <w:pStyle w:val="Prrafodelista"/>
        <w:spacing w:after="0" w:line="240" w:lineRule="auto"/>
        <w:ind w:left="0"/>
        <w:contextualSpacing w:val="0"/>
        <w:jc w:val="both"/>
        <w:rPr>
          <w:rFonts w:ascii="Verdana" w:hAnsi="Verdana"/>
          <w:sz w:val="20"/>
          <w:szCs w:val="20"/>
        </w:rPr>
      </w:pPr>
    </w:p>
    <w:p w14:paraId="65687B8A" w14:textId="1104E26B" w:rsidR="00167C87" w:rsidRPr="0095692E" w:rsidRDefault="00CA43E4" w:rsidP="00A80648">
      <w:pPr>
        <w:pStyle w:val="Ttulo1"/>
        <w:rPr>
          <w:lang w:val="es-CR"/>
        </w:rPr>
      </w:pPr>
      <w:bookmarkStart w:id="8" w:name="_Toc66779184"/>
      <w:bookmarkStart w:id="9" w:name="_Toc115262471"/>
      <w:r w:rsidRPr="0095692E">
        <w:rPr>
          <w:lang w:val="es-CR"/>
        </w:rPr>
        <w:lastRenderedPageBreak/>
        <w:t>I</w:t>
      </w:r>
      <w:r w:rsidR="00167C87" w:rsidRPr="0095692E">
        <w:rPr>
          <w:lang w:val="es-CR"/>
        </w:rPr>
        <w:t>V</w:t>
      </w:r>
      <w:bookmarkEnd w:id="8"/>
      <w:r w:rsidR="00167C87" w:rsidRPr="0095692E">
        <w:rPr>
          <w:lang w:val="es-CR"/>
        </w:rPr>
        <w:br/>
        <w:t>RECONOCIMIENTO DE RESPONSABILIDAD</w:t>
      </w:r>
      <w:bookmarkEnd w:id="9"/>
      <w:r w:rsidR="00167C87" w:rsidRPr="0095692E">
        <w:rPr>
          <w:lang w:val="es-CR"/>
        </w:rPr>
        <w:t xml:space="preserve"> </w:t>
      </w:r>
    </w:p>
    <w:p w14:paraId="74584189" w14:textId="77777777" w:rsidR="00167C87" w:rsidRPr="0095692E" w:rsidRDefault="00167C87" w:rsidP="00A80648">
      <w:pPr>
        <w:pStyle w:val="Default"/>
        <w:jc w:val="center"/>
        <w:rPr>
          <w:color w:val="auto"/>
          <w:sz w:val="20"/>
          <w:szCs w:val="20"/>
          <w:lang w:val="es-CR"/>
        </w:rPr>
      </w:pPr>
    </w:p>
    <w:p w14:paraId="78D70DE4" w14:textId="187088A4" w:rsidR="00167C87" w:rsidRPr="0095692E" w:rsidRDefault="00167C87" w:rsidP="00A80648">
      <w:pPr>
        <w:pStyle w:val="Ttulo2"/>
        <w:rPr>
          <w:lang w:val="es-CR"/>
        </w:rPr>
      </w:pPr>
      <w:bookmarkStart w:id="10" w:name="_Toc42498027"/>
      <w:bookmarkStart w:id="11" w:name="_Toc46937275"/>
      <w:bookmarkStart w:id="12" w:name="_Toc66779186"/>
      <w:bookmarkStart w:id="13" w:name="_Toc80002604"/>
      <w:bookmarkStart w:id="14" w:name="_Toc115262472"/>
      <w:r w:rsidRPr="0095692E">
        <w:rPr>
          <w:lang w:val="es-CR"/>
        </w:rPr>
        <w:t xml:space="preserve">Reconocimiento de responsabilidad </w:t>
      </w:r>
      <w:r w:rsidR="0041380C" w:rsidRPr="0095692E">
        <w:rPr>
          <w:lang w:val="es-CR"/>
        </w:rPr>
        <w:t xml:space="preserve">por parte </w:t>
      </w:r>
      <w:r w:rsidRPr="0095692E">
        <w:rPr>
          <w:lang w:val="es-CR"/>
        </w:rPr>
        <w:t xml:space="preserve">del Estado y observaciones </w:t>
      </w:r>
      <w:r w:rsidR="00A36351" w:rsidRPr="0095692E">
        <w:rPr>
          <w:lang w:val="es-CR"/>
        </w:rPr>
        <w:t>de</w:t>
      </w:r>
      <w:r w:rsidR="0041380C" w:rsidRPr="0095692E">
        <w:rPr>
          <w:lang w:val="es-CR"/>
        </w:rPr>
        <w:t xml:space="preserve"> </w:t>
      </w:r>
      <w:r w:rsidR="00A36351" w:rsidRPr="0095692E">
        <w:rPr>
          <w:lang w:val="es-CR"/>
        </w:rPr>
        <w:t>l</w:t>
      </w:r>
      <w:r w:rsidR="0041380C" w:rsidRPr="0095692E">
        <w:rPr>
          <w:lang w:val="es-CR"/>
        </w:rPr>
        <w:t>os</w:t>
      </w:r>
      <w:r w:rsidR="00A36351" w:rsidRPr="0095692E">
        <w:rPr>
          <w:lang w:val="es-CR"/>
        </w:rPr>
        <w:t xml:space="preserve"> representante</w:t>
      </w:r>
      <w:r w:rsidR="0041380C" w:rsidRPr="0095692E">
        <w:rPr>
          <w:lang w:val="es-CR"/>
        </w:rPr>
        <w:t>s</w:t>
      </w:r>
      <w:r w:rsidRPr="0095692E">
        <w:rPr>
          <w:lang w:val="es-CR"/>
        </w:rPr>
        <w:t xml:space="preserve"> y de la Comisión</w:t>
      </w:r>
      <w:bookmarkEnd w:id="10"/>
      <w:bookmarkEnd w:id="11"/>
      <w:bookmarkEnd w:id="12"/>
      <w:bookmarkEnd w:id="13"/>
      <w:bookmarkEnd w:id="14"/>
    </w:p>
    <w:p w14:paraId="6D3CDE09" w14:textId="77777777" w:rsidR="00167C87" w:rsidRPr="0095692E" w:rsidRDefault="00167C87" w:rsidP="00A80648">
      <w:pPr>
        <w:pBdr>
          <w:top w:val="nil"/>
        </w:pBdr>
        <w:jc w:val="both"/>
        <w:rPr>
          <w:rFonts w:ascii="Verdana" w:hAnsi="Verdana"/>
          <w:snapToGrid w:val="0"/>
          <w:spacing w:val="-2"/>
          <w:sz w:val="20"/>
          <w:szCs w:val="20"/>
          <w:lang w:eastAsia="es-ES"/>
        </w:rPr>
      </w:pPr>
    </w:p>
    <w:p w14:paraId="27829211" w14:textId="6787D5B6" w:rsidR="008966A5" w:rsidRPr="0095692E" w:rsidRDefault="003260D1"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bCs/>
          <w:iCs/>
          <w:sz w:val="20"/>
          <w:szCs w:val="20"/>
        </w:rPr>
        <w:t xml:space="preserve">Durante la audiencia pública </w:t>
      </w:r>
      <w:r w:rsidR="0066372A" w:rsidRPr="0095692E">
        <w:rPr>
          <w:rFonts w:ascii="Verdana" w:hAnsi="Verdana"/>
          <w:bCs/>
          <w:iCs/>
          <w:sz w:val="20"/>
          <w:szCs w:val="20"/>
        </w:rPr>
        <w:t>celebrada los días 10 y 11 de mayo de 2022</w:t>
      </w:r>
      <w:r w:rsidRPr="0095692E">
        <w:rPr>
          <w:rFonts w:ascii="Verdana" w:hAnsi="Verdana"/>
          <w:bCs/>
          <w:iCs/>
          <w:sz w:val="20"/>
          <w:szCs w:val="20"/>
        </w:rPr>
        <w:t>, e</w:t>
      </w:r>
      <w:r w:rsidR="00167C87" w:rsidRPr="0095692E">
        <w:rPr>
          <w:rFonts w:ascii="Verdana" w:hAnsi="Verdana"/>
          <w:sz w:val="20"/>
          <w:szCs w:val="20"/>
        </w:rPr>
        <w:t xml:space="preserve">l </w:t>
      </w:r>
      <w:r w:rsidR="00167C87" w:rsidRPr="0095692E">
        <w:rPr>
          <w:rFonts w:ascii="Verdana" w:hAnsi="Verdana"/>
          <w:b/>
          <w:bCs/>
          <w:i/>
          <w:iCs/>
          <w:sz w:val="20"/>
          <w:szCs w:val="20"/>
        </w:rPr>
        <w:t>Estado</w:t>
      </w:r>
      <w:r w:rsidR="00167C87" w:rsidRPr="0095692E">
        <w:rPr>
          <w:rFonts w:ascii="Verdana" w:hAnsi="Verdana"/>
          <w:bCs/>
          <w:iCs/>
          <w:sz w:val="20"/>
          <w:szCs w:val="20"/>
        </w:rPr>
        <w:t xml:space="preserve"> </w:t>
      </w:r>
      <w:r w:rsidR="00911394" w:rsidRPr="0095692E">
        <w:rPr>
          <w:rFonts w:ascii="Verdana" w:hAnsi="Verdana"/>
          <w:bCs/>
          <w:iCs/>
          <w:sz w:val="20"/>
          <w:szCs w:val="20"/>
        </w:rPr>
        <w:t>indicó</w:t>
      </w:r>
      <w:r w:rsidR="0014142D" w:rsidRPr="0095692E">
        <w:rPr>
          <w:rFonts w:ascii="Verdana" w:hAnsi="Verdana"/>
          <w:bCs/>
          <w:iCs/>
          <w:sz w:val="20"/>
          <w:szCs w:val="20"/>
        </w:rPr>
        <w:t xml:space="preserve"> “</w:t>
      </w:r>
      <w:r w:rsidR="007B7E03" w:rsidRPr="0095692E">
        <w:rPr>
          <w:rFonts w:ascii="Verdana" w:hAnsi="Verdana"/>
          <w:bCs/>
          <w:iCs/>
          <w:sz w:val="20"/>
          <w:szCs w:val="20"/>
        </w:rPr>
        <w:t xml:space="preserve">la aceptación de los hechos y de los derechos vulnerados conforme a lo establecido por la </w:t>
      </w:r>
      <w:r w:rsidR="00F63E08" w:rsidRPr="0095692E">
        <w:rPr>
          <w:rFonts w:ascii="Verdana" w:hAnsi="Verdana"/>
          <w:bCs/>
          <w:iCs/>
          <w:sz w:val="20"/>
          <w:szCs w:val="20"/>
        </w:rPr>
        <w:t>[</w:t>
      </w:r>
      <w:r w:rsidR="00DC4145" w:rsidRPr="0095692E">
        <w:rPr>
          <w:rFonts w:ascii="Verdana" w:hAnsi="Verdana"/>
          <w:bCs/>
          <w:iCs/>
          <w:sz w:val="20"/>
          <w:szCs w:val="20"/>
        </w:rPr>
        <w:t>C</w:t>
      </w:r>
      <w:r w:rsidR="00F7256A" w:rsidRPr="0095692E">
        <w:rPr>
          <w:rFonts w:ascii="Verdana" w:hAnsi="Verdana"/>
          <w:bCs/>
          <w:iCs/>
          <w:sz w:val="20"/>
          <w:szCs w:val="20"/>
        </w:rPr>
        <w:t xml:space="preserve">omisión] </w:t>
      </w:r>
      <w:r w:rsidR="007B7E03" w:rsidRPr="0095692E">
        <w:rPr>
          <w:rFonts w:ascii="Verdana" w:hAnsi="Verdana"/>
          <w:bCs/>
          <w:iCs/>
          <w:sz w:val="20"/>
          <w:szCs w:val="20"/>
        </w:rPr>
        <w:t xml:space="preserve">en su </w:t>
      </w:r>
      <w:r w:rsidR="00DC4145" w:rsidRPr="0095692E">
        <w:rPr>
          <w:rFonts w:ascii="Verdana" w:hAnsi="Verdana"/>
          <w:bCs/>
          <w:iCs/>
          <w:sz w:val="20"/>
          <w:szCs w:val="20"/>
        </w:rPr>
        <w:t>I</w:t>
      </w:r>
      <w:r w:rsidR="007B7E03" w:rsidRPr="0095692E">
        <w:rPr>
          <w:rFonts w:ascii="Verdana" w:hAnsi="Verdana"/>
          <w:bCs/>
          <w:iCs/>
          <w:sz w:val="20"/>
          <w:szCs w:val="20"/>
        </w:rPr>
        <w:t xml:space="preserve">nforme de </w:t>
      </w:r>
      <w:r w:rsidR="00DC4145" w:rsidRPr="0095692E">
        <w:rPr>
          <w:rFonts w:ascii="Verdana" w:hAnsi="Verdana"/>
          <w:bCs/>
          <w:iCs/>
          <w:sz w:val="20"/>
          <w:szCs w:val="20"/>
        </w:rPr>
        <w:t>F</w:t>
      </w:r>
      <w:r w:rsidR="007B7E03" w:rsidRPr="0095692E">
        <w:rPr>
          <w:rFonts w:ascii="Verdana" w:hAnsi="Verdana"/>
          <w:bCs/>
          <w:iCs/>
          <w:sz w:val="20"/>
          <w:szCs w:val="20"/>
        </w:rPr>
        <w:t xml:space="preserve">ondo y de los representantes en su </w:t>
      </w:r>
      <w:r w:rsidR="00DC4145" w:rsidRPr="0095692E">
        <w:rPr>
          <w:rFonts w:ascii="Verdana" w:hAnsi="Verdana"/>
          <w:bCs/>
          <w:iCs/>
          <w:sz w:val="20"/>
          <w:szCs w:val="20"/>
        </w:rPr>
        <w:t>[</w:t>
      </w:r>
      <w:bookmarkStart w:id="15" w:name="_Hlk113958365"/>
      <w:r w:rsidR="00DC4145" w:rsidRPr="0095692E">
        <w:rPr>
          <w:rFonts w:ascii="Verdana" w:hAnsi="Verdana"/>
          <w:bCs/>
          <w:iCs/>
          <w:sz w:val="20"/>
          <w:szCs w:val="20"/>
        </w:rPr>
        <w:t>escrito de</w:t>
      </w:r>
      <w:r w:rsidR="00F176EF" w:rsidRPr="0095692E">
        <w:rPr>
          <w:rFonts w:ascii="Verdana" w:hAnsi="Verdana"/>
          <w:sz w:val="20"/>
          <w:szCs w:val="20"/>
        </w:rPr>
        <w:t xml:space="preserve"> solicitudes y argumentos</w:t>
      </w:r>
      <w:bookmarkEnd w:id="15"/>
      <w:r w:rsidR="00F176EF" w:rsidRPr="0095692E">
        <w:rPr>
          <w:rFonts w:ascii="Verdana" w:hAnsi="Verdana"/>
          <w:sz w:val="20"/>
          <w:szCs w:val="20"/>
        </w:rPr>
        <w:t>]</w:t>
      </w:r>
      <w:r w:rsidR="00911394" w:rsidRPr="0095692E">
        <w:rPr>
          <w:rFonts w:ascii="Verdana" w:hAnsi="Verdana"/>
          <w:bCs/>
          <w:iCs/>
          <w:sz w:val="20"/>
          <w:szCs w:val="20"/>
        </w:rPr>
        <w:t>”.</w:t>
      </w:r>
      <w:r w:rsidR="004324B5" w:rsidRPr="0095692E">
        <w:rPr>
          <w:rFonts w:ascii="Verdana" w:hAnsi="Verdana"/>
          <w:bCs/>
          <w:iCs/>
          <w:sz w:val="20"/>
          <w:szCs w:val="20"/>
        </w:rPr>
        <w:t xml:space="preserve"> Sobre el particular, señalaron:</w:t>
      </w:r>
    </w:p>
    <w:p w14:paraId="34A2660B" w14:textId="064AC684" w:rsidR="004324B5" w:rsidRPr="0095692E" w:rsidRDefault="004324B5" w:rsidP="00A80648">
      <w:pPr>
        <w:jc w:val="both"/>
        <w:rPr>
          <w:rFonts w:ascii="Verdana" w:hAnsi="Verdana"/>
          <w:sz w:val="20"/>
          <w:szCs w:val="20"/>
        </w:rPr>
      </w:pPr>
    </w:p>
    <w:p w14:paraId="4D40432A" w14:textId="4C63FF1D" w:rsidR="00270C55" w:rsidRPr="0095692E" w:rsidRDefault="004324B5" w:rsidP="00270C55">
      <w:pPr>
        <w:ind w:left="1080" w:right="918"/>
        <w:jc w:val="both"/>
        <w:rPr>
          <w:rFonts w:ascii="Verdana" w:hAnsi="Verdana"/>
          <w:sz w:val="16"/>
          <w:szCs w:val="16"/>
        </w:rPr>
      </w:pPr>
      <w:r w:rsidRPr="0095692E">
        <w:rPr>
          <w:rFonts w:ascii="Verdana" w:hAnsi="Verdana"/>
          <w:sz w:val="16"/>
          <w:szCs w:val="16"/>
        </w:rPr>
        <w:t xml:space="preserve">[R]econocemos que las situaciones denunciadas respecto de hechos en el presente caso, constituyen actos de tortura, tratos crueles, inhumanos y degradantes, de conformidad al </w:t>
      </w:r>
      <w:r w:rsidR="00F7256A" w:rsidRPr="0095692E">
        <w:rPr>
          <w:rFonts w:ascii="Verdana" w:hAnsi="Verdana"/>
          <w:sz w:val="16"/>
          <w:szCs w:val="16"/>
        </w:rPr>
        <w:t>I</w:t>
      </w:r>
      <w:r w:rsidRPr="0095692E">
        <w:rPr>
          <w:rFonts w:ascii="Verdana" w:hAnsi="Verdana"/>
          <w:sz w:val="16"/>
          <w:szCs w:val="16"/>
        </w:rPr>
        <w:t xml:space="preserve">nforme de </w:t>
      </w:r>
      <w:r w:rsidR="00F7256A" w:rsidRPr="0095692E">
        <w:rPr>
          <w:rFonts w:ascii="Verdana" w:hAnsi="Verdana"/>
          <w:sz w:val="16"/>
          <w:szCs w:val="16"/>
        </w:rPr>
        <w:t>F</w:t>
      </w:r>
      <w:r w:rsidRPr="0095692E">
        <w:rPr>
          <w:rFonts w:ascii="Verdana" w:hAnsi="Verdana"/>
          <w:sz w:val="16"/>
          <w:szCs w:val="16"/>
        </w:rPr>
        <w:t xml:space="preserve">ondo y al escrito de solicitudes, argumentos y pruebas, </w:t>
      </w:r>
      <w:r w:rsidR="00F7256A" w:rsidRPr="0095692E">
        <w:rPr>
          <w:rFonts w:ascii="Verdana" w:hAnsi="Verdana"/>
          <w:sz w:val="16"/>
          <w:szCs w:val="16"/>
        </w:rPr>
        <w:t>[…]</w:t>
      </w:r>
      <w:r w:rsidRPr="0095692E">
        <w:rPr>
          <w:rFonts w:ascii="Verdana" w:hAnsi="Verdana"/>
          <w:sz w:val="16"/>
          <w:szCs w:val="16"/>
        </w:rPr>
        <w:t xml:space="preserve"> acciones continuadas de persecución que, persistieron y dieron lugar a la lamentable ejecución extrajudicial en perjuicio de Hermin</w:t>
      </w:r>
      <w:r w:rsidR="00270C55" w:rsidRPr="0095692E">
        <w:rPr>
          <w:rFonts w:ascii="Verdana" w:hAnsi="Verdana"/>
          <w:sz w:val="16"/>
          <w:szCs w:val="16"/>
        </w:rPr>
        <w:t>i</w:t>
      </w:r>
      <w:r w:rsidRPr="0095692E">
        <w:rPr>
          <w:rFonts w:ascii="Verdana" w:hAnsi="Verdana"/>
          <w:sz w:val="16"/>
          <w:szCs w:val="16"/>
        </w:rPr>
        <w:t>o Deras García el 29 de enero de 1983, actos que se extendieron con la descalificación y exilio forzado, llevadas a cabo con posterioridad a su muerte, en perjuicio de su familia.</w:t>
      </w:r>
      <w:r w:rsidR="00270C55" w:rsidRPr="0095692E">
        <w:rPr>
          <w:rFonts w:ascii="Verdana" w:hAnsi="Verdana"/>
          <w:sz w:val="16"/>
          <w:szCs w:val="16"/>
        </w:rPr>
        <w:t xml:space="preserve"> […]</w:t>
      </w:r>
    </w:p>
    <w:p w14:paraId="1EDDA214" w14:textId="379F9CB4" w:rsidR="006E6203" w:rsidRPr="0095692E" w:rsidRDefault="006E6203" w:rsidP="00A80648">
      <w:pPr>
        <w:ind w:left="1080" w:right="918"/>
        <w:jc w:val="both"/>
        <w:rPr>
          <w:rFonts w:ascii="Verdana" w:hAnsi="Verdana"/>
          <w:sz w:val="16"/>
          <w:szCs w:val="16"/>
        </w:rPr>
      </w:pPr>
    </w:p>
    <w:p w14:paraId="014B6B27" w14:textId="6CE0EA5A" w:rsidR="006E6203" w:rsidRPr="0095692E" w:rsidRDefault="006E6203" w:rsidP="00A80648">
      <w:pPr>
        <w:ind w:left="1080" w:right="918"/>
        <w:jc w:val="both"/>
        <w:rPr>
          <w:rFonts w:ascii="Verdana" w:hAnsi="Verdana"/>
          <w:sz w:val="16"/>
          <w:szCs w:val="16"/>
        </w:rPr>
      </w:pPr>
      <w:r w:rsidRPr="0095692E">
        <w:rPr>
          <w:rFonts w:ascii="Verdana" w:hAnsi="Verdana"/>
          <w:sz w:val="16"/>
          <w:szCs w:val="16"/>
        </w:rPr>
        <w:t xml:space="preserve">[E]l Estado comunica […] la aceptación de los hechos y de los derechos vulnerados conforme a lo establecido por la </w:t>
      </w:r>
      <w:r w:rsidR="00122292" w:rsidRPr="0095692E">
        <w:rPr>
          <w:rFonts w:ascii="Verdana" w:hAnsi="Verdana"/>
          <w:sz w:val="16"/>
          <w:szCs w:val="16"/>
        </w:rPr>
        <w:t>[</w:t>
      </w:r>
      <w:r w:rsidRPr="0095692E">
        <w:rPr>
          <w:rFonts w:ascii="Verdana" w:hAnsi="Verdana"/>
          <w:sz w:val="16"/>
          <w:szCs w:val="16"/>
        </w:rPr>
        <w:t>C</w:t>
      </w:r>
      <w:r w:rsidR="00F7256A" w:rsidRPr="0095692E">
        <w:rPr>
          <w:rFonts w:ascii="Verdana" w:hAnsi="Verdana"/>
          <w:sz w:val="16"/>
          <w:szCs w:val="16"/>
        </w:rPr>
        <w:t>omisión]</w:t>
      </w:r>
      <w:r w:rsidRPr="0095692E">
        <w:rPr>
          <w:rFonts w:ascii="Verdana" w:hAnsi="Verdana"/>
          <w:sz w:val="16"/>
          <w:szCs w:val="16"/>
        </w:rPr>
        <w:t xml:space="preserve">, en su </w:t>
      </w:r>
      <w:r w:rsidR="00122292" w:rsidRPr="0095692E">
        <w:rPr>
          <w:rFonts w:ascii="Verdana" w:hAnsi="Verdana"/>
          <w:sz w:val="16"/>
          <w:szCs w:val="16"/>
        </w:rPr>
        <w:t>[I]</w:t>
      </w:r>
      <w:r w:rsidRPr="0095692E">
        <w:rPr>
          <w:rFonts w:ascii="Verdana" w:hAnsi="Verdana"/>
          <w:sz w:val="16"/>
          <w:szCs w:val="16"/>
        </w:rPr>
        <w:t xml:space="preserve">nforme de </w:t>
      </w:r>
      <w:r w:rsidR="00122292" w:rsidRPr="0095692E">
        <w:rPr>
          <w:rFonts w:ascii="Verdana" w:hAnsi="Verdana"/>
          <w:sz w:val="16"/>
          <w:szCs w:val="16"/>
        </w:rPr>
        <w:t>[F]</w:t>
      </w:r>
      <w:r w:rsidRPr="0095692E">
        <w:rPr>
          <w:rFonts w:ascii="Verdana" w:hAnsi="Verdana"/>
          <w:sz w:val="16"/>
          <w:szCs w:val="16"/>
        </w:rPr>
        <w:t xml:space="preserve">ondo y de los representantes en su </w:t>
      </w:r>
      <w:r w:rsidR="00F7256A" w:rsidRPr="0095692E">
        <w:rPr>
          <w:rFonts w:ascii="Verdana" w:hAnsi="Verdana"/>
          <w:sz w:val="16"/>
          <w:szCs w:val="16"/>
        </w:rPr>
        <w:t>[</w:t>
      </w:r>
      <w:r w:rsidR="00F7256A" w:rsidRPr="0095692E">
        <w:rPr>
          <w:rFonts w:ascii="Verdana" w:hAnsi="Verdana"/>
          <w:bCs/>
          <w:iCs/>
          <w:sz w:val="16"/>
          <w:szCs w:val="16"/>
        </w:rPr>
        <w:t>escrito de</w:t>
      </w:r>
      <w:r w:rsidR="00F7256A" w:rsidRPr="0095692E">
        <w:rPr>
          <w:rFonts w:ascii="Verdana" w:hAnsi="Verdana"/>
          <w:sz w:val="16"/>
          <w:szCs w:val="16"/>
        </w:rPr>
        <w:t xml:space="preserve"> solicitudes y argumentos]</w:t>
      </w:r>
      <w:r w:rsidRPr="0095692E">
        <w:rPr>
          <w:rFonts w:ascii="Verdana" w:hAnsi="Verdana"/>
          <w:sz w:val="16"/>
          <w:szCs w:val="16"/>
        </w:rPr>
        <w:t>, lo cual, se presenta por escrito en este acto.</w:t>
      </w:r>
      <w:r w:rsidR="00BB3CE5" w:rsidRPr="0095692E">
        <w:rPr>
          <w:rFonts w:ascii="Verdana" w:hAnsi="Verdana"/>
          <w:sz w:val="16"/>
          <w:szCs w:val="16"/>
        </w:rPr>
        <w:t xml:space="preserve"> […]</w:t>
      </w:r>
    </w:p>
    <w:p w14:paraId="236E0F93" w14:textId="50584B79" w:rsidR="00BB3CE5" w:rsidRPr="0095692E" w:rsidRDefault="00BB3CE5" w:rsidP="00A80648">
      <w:pPr>
        <w:ind w:left="1080" w:right="918"/>
        <w:jc w:val="both"/>
        <w:rPr>
          <w:rFonts w:ascii="Verdana" w:hAnsi="Verdana"/>
          <w:sz w:val="16"/>
          <w:szCs w:val="16"/>
        </w:rPr>
      </w:pPr>
    </w:p>
    <w:p w14:paraId="66544F53" w14:textId="57A123F9" w:rsidR="00BB3CE5" w:rsidRPr="0095692E" w:rsidRDefault="00BB3CE5" w:rsidP="00A80648">
      <w:pPr>
        <w:ind w:left="1080" w:right="918"/>
        <w:jc w:val="both"/>
        <w:rPr>
          <w:rFonts w:ascii="Verdana" w:hAnsi="Verdana"/>
          <w:sz w:val="16"/>
          <w:szCs w:val="16"/>
        </w:rPr>
      </w:pPr>
      <w:r w:rsidRPr="0095692E">
        <w:rPr>
          <w:rFonts w:ascii="Verdana" w:hAnsi="Verdana"/>
          <w:sz w:val="16"/>
          <w:szCs w:val="16"/>
        </w:rPr>
        <w:t>En cuanto a la reparación integral del daño, el Estado, considerando la jurisprudencia de la Corte Interamericana de Derechos Humanos y con base en las recomendaciones realizadas por la Comisión Interamericana, se allana la reparación integral de las víctimas y sus familiares, a efectos de resarcir los daños causados por las violaciones a los derechos humanos.</w:t>
      </w:r>
    </w:p>
    <w:p w14:paraId="319B503F" w14:textId="25BC8B7C" w:rsidR="0066372A" w:rsidRPr="0095692E" w:rsidRDefault="0066372A" w:rsidP="00A80648">
      <w:pPr>
        <w:pStyle w:val="Prrafodelista"/>
        <w:spacing w:after="0" w:line="240" w:lineRule="auto"/>
        <w:ind w:left="0"/>
        <w:contextualSpacing w:val="0"/>
        <w:jc w:val="both"/>
        <w:rPr>
          <w:rFonts w:ascii="Verdana" w:hAnsi="Verdana"/>
          <w:sz w:val="20"/>
          <w:szCs w:val="20"/>
        </w:rPr>
      </w:pPr>
    </w:p>
    <w:p w14:paraId="65C445AA" w14:textId="56156B54" w:rsidR="003B5804" w:rsidRPr="0095692E" w:rsidRDefault="0066372A"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Asimismo, en el documento titulado </w:t>
      </w:r>
      <w:bookmarkStart w:id="16" w:name="_Hlk108808782"/>
      <w:r w:rsidRPr="0095692E">
        <w:rPr>
          <w:rFonts w:ascii="Verdana" w:hAnsi="Verdana"/>
          <w:sz w:val="20"/>
          <w:szCs w:val="20"/>
        </w:rPr>
        <w:t>“Allanamiento Total del Caso CDH-16-202</w:t>
      </w:r>
      <w:r w:rsidR="0095153F" w:rsidRPr="0095692E">
        <w:rPr>
          <w:rFonts w:ascii="Verdana" w:hAnsi="Verdana"/>
          <w:sz w:val="20"/>
          <w:szCs w:val="20"/>
        </w:rPr>
        <w:t>0</w:t>
      </w:r>
      <w:r w:rsidRPr="0095692E">
        <w:rPr>
          <w:rFonts w:ascii="Verdana" w:hAnsi="Verdana"/>
          <w:sz w:val="20"/>
          <w:szCs w:val="20"/>
        </w:rPr>
        <w:t xml:space="preserve"> Deras García y </w:t>
      </w:r>
      <w:r w:rsidR="0095153F" w:rsidRPr="0095692E">
        <w:rPr>
          <w:rFonts w:ascii="Verdana" w:hAnsi="Verdana"/>
          <w:sz w:val="20"/>
          <w:szCs w:val="20"/>
        </w:rPr>
        <w:t>o</w:t>
      </w:r>
      <w:r w:rsidRPr="0095692E">
        <w:rPr>
          <w:rFonts w:ascii="Verdana" w:hAnsi="Verdana"/>
          <w:sz w:val="20"/>
          <w:szCs w:val="20"/>
        </w:rPr>
        <w:t>tros [Vs.] Honduras”</w:t>
      </w:r>
      <w:bookmarkEnd w:id="16"/>
      <w:r w:rsidRPr="0095692E">
        <w:rPr>
          <w:rStyle w:val="Refdenotaalpie"/>
          <w:rFonts w:ascii="Verdana" w:hAnsi="Verdana"/>
          <w:sz w:val="20"/>
          <w:szCs w:val="20"/>
        </w:rPr>
        <w:footnoteReference w:id="10"/>
      </w:r>
      <w:r w:rsidRPr="0095692E">
        <w:rPr>
          <w:rFonts w:ascii="Verdana" w:hAnsi="Verdana"/>
          <w:sz w:val="20"/>
          <w:szCs w:val="20"/>
        </w:rPr>
        <w:t xml:space="preserve">, presentado por el Estado </w:t>
      </w:r>
      <w:r w:rsidR="003B5804" w:rsidRPr="0095692E">
        <w:rPr>
          <w:rFonts w:ascii="Verdana" w:hAnsi="Verdana"/>
          <w:sz w:val="20"/>
          <w:szCs w:val="20"/>
        </w:rPr>
        <w:t xml:space="preserve">el </w:t>
      </w:r>
      <w:r w:rsidR="003B5804" w:rsidRPr="0095692E">
        <w:rPr>
          <w:rFonts w:ascii="Verdana" w:hAnsi="Verdana"/>
          <w:bCs/>
          <w:iCs/>
          <w:sz w:val="20"/>
          <w:szCs w:val="20"/>
        </w:rPr>
        <w:t>11 de mayo de 2</w:t>
      </w:r>
      <w:r w:rsidR="00737008" w:rsidRPr="0095692E">
        <w:rPr>
          <w:rFonts w:ascii="Verdana" w:hAnsi="Verdana"/>
          <w:bCs/>
          <w:iCs/>
          <w:sz w:val="20"/>
          <w:szCs w:val="20"/>
        </w:rPr>
        <w:t>02</w:t>
      </w:r>
      <w:r w:rsidR="003B5804" w:rsidRPr="0095692E">
        <w:rPr>
          <w:rFonts w:ascii="Verdana" w:hAnsi="Verdana"/>
          <w:bCs/>
          <w:iCs/>
          <w:sz w:val="20"/>
          <w:szCs w:val="20"/>
        </w:rPr>
        <w:t>2</w:t>
      </w:r>
      <w:r w:rsidR="00207CD1" w:rsidRPr="0095692E">
        <w:rPr>
          <w:rFonts w:ascii="Verdana" w:hAnsi="Verdana"/>
          <w:bCs/>
          <w:iCs/>
          <w:sz w:val="20"/>
          <w:szCs w:val="20"/>
        </w:rPr>
        <w:t xml:space="preserve">, en el marco de la audiencia pública </w:t>
      </w:r>
      <w:r w:rsidR="00207CD1" w:rsidRPr="0095692E">
        <w:rPr>
          <w:rFonts w:ascii="Verdana" w:hAnsi="Verdana"/>
          <w:bCs/>
          <w:i/>
          <w:sz w:val="20"/>
          <w:szCs w:val="20"/>
        </w:rPr>
        <w:t>supra</w:t>
      </w:r>
      <w:r w:rsidR="00207CD1" w:rsidRPr="0095692E">
        <w:rPr>
          <w:rFonts w:ascii="Verdana" w:hAnsi="Verdana"/>
          <w:bCs/>
          <w:iCs/>
          <w:sz w:val="20"/>
          <w:szCs w:val="20"/>
        </w:rPr>
        <w:t xml:space="preserve"> referida</w:t>
      </w:r>
      <w:r w:rsidR="003B5804" w:rsidRPr="0095692E">
        <w:rPr>
          <w:rFonts w:ascii="Verdana" w:hAnsi="Verdana"/>
          <w:bCs/>
          <w:iCs/>
          <w:sz w:val="20"/>
          <w:szCs w:val="20"/>
        </w:rPr>
        <w:t xml:space="preserve">, </w:t>
      </w:r>
      <w:r w:rsidRPr="0095692E">
        <w:rPr>
          <w:rFonts w:ascii="Verdana" w:hAnsi="Verdana"/>
          <w:sz w:val="20"/>
          <w:szCs w:val="20"/>
        </w:rPr>
        <w:t>el Estado reiteró esta posición y manifestó lo siguiente:</w:t>
      </w:r>
    </w:p>
    <w:p w14:paraId="35B17814" w14:textId="77777777" w:rsidR="003B5804" w:rsidRPr="0095692E" w:rsidRDefault="003B5804" w:rsidP="00A80648">
      <w:pPr>
        <w:pStyle w:val="Prrafodelista"/>
        <w:spacing w:after="0" w:line="240" w:lineRule="auto"/>
        <w:contextualSpacing w:val="0"/>
        <w:rPr>
          <w:rFonts w:ascii="Verdana" w:hAnsi="Verdana"/>
          <w:bCs/>
          <w:iCs/>
          <w:sz w:val="20"/>
          <w:szCs w:val="20"/>
        </w:rPr>
      </w:pPr>
    </w:p>
    <w:p w14:paraId="1252B8E1" w14:textId="6B286B09" w:rsidR="0066372A" w:rsidRPr="0095692E" w:rsidRDefault="00FB13AB" w:rsidP="00A80648">
      <w:pPr>
        <w:pStyle w:val="Prrafodelista"/>
        <w:spacing w:after="0" w:line="240" w:lineRule="auto"/>
        <w:ind w:left="1080" w:right="918"/>
        <w:contextualSpacing w:val="0"/>
        <w:jc w:val="both"/>
        <w:rPr>
          <w:rFonts w:ascii="Verdana" w:hAnsi="Verdana"/>
          <w:b/>
          <w:iCs/>
          <w:sz w:val="16"/>
          <w:szCs w:val="16"/>
        </w:rPr>
      </w:pPr>
      <w:r w:rsidRPr="0095692E">
        <w:rPr>
          <w:rFonts w:ascii="Verdana" w:hAnsi="Verdana"/>
          <w:bCs/>
          <w:iCs/>
          <w:sz w:val="16"/>
          <w:szCs w:val="16"/>
        </w:rPr>
        <w:t>El presente documento tiene por objeto el allanamiento total del caso</w:t>
      </w:r>
      <w:r w:rsidR="00743CDA" w:rsidRPr="0095692E">
        <w:rPr>
          <w:rFonts w:ascii="Verdana" w:hAnsi="Verdana"/>
          <w:bCs/>
          <w:iCs/>
          <w:sz w:val="16"/>
          <w:szCs w:val="16"/>
        </w:rPr>
        <w:t>.</w:t>
      </w:r>
      <w:r w:rsidRPr="0095692E">
        <w:rPr>
          <w:rFonts w:ascii="Verdana" w:hAnsi="Verdana"/>
          <w:bCs/>
          <w:iCs/>
          <w:sz w:val="16"/>
          <w:szCs w:val="16"/>
        </w:rPr>
        <w:t xml:space="preserve"> […]</w:t>
      </w:r>
      <w:r w:rsidR="0066372A" w:rsidRPr="0095692E">
        <w:rPr>
          <w:rFonts w:ascii="Verdana" w:hAnsi="Verdana"/>
          <w:bCs/>
          <w:iCs/>
          <w:sz w:val="16"/>
          <w:szCs w:val="16"/>
        </w:rPr>
        <w:t xml:space="preserve"> </w:t>
      </w:r>
    </w:p>
    <w:p w14:paraId="1A2B702D" w14:textId="77777777" w:rsidR="00653D54" w:rsidRPr="0095692E" w:rsidRDefault="00653D54" w:rsidP="00A80648">
      <w:pPr>
        <w:pStyle w:val="Prrafodelista"/>
        <w:spacing w:after="0" w:line="240" w:lineRule="auto"/>
        <w:ind w:left="1080" w:right="918"/>
        <w:contextualSpacing w:val="0"/>
        <w:jc w:val="both"/>
        <w:rPr>
          <w:rFonts w:ascii="Verdana" w:hAnsi="Verdana"/>
          <w:bCs/>
          <w:iCs/>
          <w:sz w:val="16"/>
          <w:szCs w:val="16"/>
        </w:rPr>
      </w:pPr>
    </w:p>
    <w:p w14:paraId="2B8B5245" w14:textId="54724B87" w:rsidR="00653D54" w:rsidRPr="0095692E" w:rsidRDefault="006A33D2" w:rsidP="00A80648">
      <w:pPr>
        <w:pStyle w:val="Prrafodelista"/>
        <w:spacing w:after="0" w:line="240" w:lineRule="auto"/>
        <w:ind w:left="1080" w:right="918"/>
        <w:contextualSpacing w:val="0"/>
        <w:jc w:val="both"/>
        <w:rPr>
          <w:rFonts w:ascii="Verdana" w:hAnsi="Verdana"/>
          <w:b/>
          <w:iCs/>
          <w:sz w:val="16"/>
          <w:szCs w:val="16"/>
        </w:rPr>
      </w:pPr>
      <w:r w:rsidRPr="0095692E">
        <w:rPr>
          <w:rFonts w:ascii="Verdana" w:hAnsi="Verdana"/>
          <w:bCs/>
          <w:iCs/>
          <w:sz w:val="16"/>
          <w:szCs w:val="16"/>
        </w:rPr>
        <w:t>[E]</w:t>
      </w:r>
      <w:r w:rsidR="00725569" w:rsidRPr="0095692E">
        <w:rPr>
          <w:rFonts w:ascii="Verdana" w:hAnsi="Verdana"/>
          <w:bCs/>
          <w:iCs/>
          <w:sz w:val="16"/>
          <w:szCs w:val="16"/>
        </w:rPr>
        <w:t xml:space="preserve">l Estado hondureño expresamente reconoce que es responsable por la violación de los siguientes derechos contenidos en la </w:t>
      </w:r>
      <w:r w:rsidR="00AC4671" w:rsidRPr="0095692E">
        <w:rPr>
          <w:rFonts w:ascii="Verdana" w:hAnsi="Verdana"/>
          <w:bCs/>
          <w:iCs/>
          <w:sz w:val="16"/>
          <w:szCs w:val="16"/>
        </w:rPr>
        <w:t xml:space="preserve">[Convención Americana] </w:t>
      </w:r>
      <w:r w:rsidR="00725569" w:rsidRPr="0095692E">
        <w:rPr>
          <w:rFonts w:ascii="Verdana" w:hAnsi="Verdana"/>
          <w:bCs/>
          <w:iCs/>
          <w:sz w:val="16"/>
          <w:szCs w:val="16"/>
        </w:rPr>
        <w:t xml:space="preserve">: 1) Derecho a la vida establecido en el artículo 4.1; 2) Derecho a la integridad personal contenido en el artículo 5.1.2; 3) Derecho a la libertad personal señalado en el artículo 7.1.2.3; 4) Derecho a las garantías judiciales y a la protección judicial efectiva, consagrados en los artículos 8.1 y 25.1; 5) Protección de la honra y de la dignidad instituido en el artículo 11.2; 6) Libertad de pensamiento y de expresión contenido en el artículo 13.1; 7) Libertad de asociación establecido en el artículo 16.1; 8) Protección de la familia consignado en el artículo 17; 9) Derecho a la especial protección de la niñez establecido en el artículo 19; 10) Derecho a la Propiedad Privada contenido en el artículo 21; 11) Derecho de circulación y residencia establecido en el artículo 22.1, y 12) Derechos Políticos señalado en el artículo 23, todo ello en relación con el incumplimiento de las obligaciones generales contenidas en el artículo 1.1. del mismo instrumento internacional, en perjuicio de las víctimas y sus familiares. </w:t>
      </w:r>
      <w:r w:rsidR="00653D54" w:rsidRPr="0095692E">
        <w:rPr>
          <w:rFonts w:ascii="Verdana" w:hAnsi="Verdana"/>
          <w:bCs/>
          <w:iCs/>
          <w:sz w:val="16"/>
          <w:szCs w:val="16"/>
        </w:rPr>
        <w:t>[…]</w:t>
      </w:r>
    </w:p>
    <w:p w14:paraId="36F6BEF0" w14:textId="3307DDB2" w:rsidR="006A33D2" w:rsidRPr="0095692E" w:rsidRDefault="006A33D2" w:rsidP="00A80648">
      <w:pPr>
        <w:pStyle w:val="Prrafodelista"/>
        <w:spacing w:after="0" w:line="240" w:lineRule="auto"/>
        <w:ind w:left="1080" w:right="918"/>
        <w:contextualSpacing w:val="0"/>
        <w:jc w:val="both"/>
        <w:rPr>
          <w:rFonts w:ascii="Verdana" w:hAnsi="Verdana"/>
          <w:b/>
          <w:iCs/>
          <w:sz w:val="16"/>
          <w:szCs w:val="16"/>
        </w:rPr>
      </w:pPr>
    </w:p>
    <w:p w14:paraId="4FD0CDB4" w14:textId="30EA4CFD" w:rsidR="006A33D2" w:rsidRPr="0095692E" w:rsidRDefault="006A33D2" w:rsidP="00DB1A02">
      <w:pPr>
        <w:pStyle w:val="Prrafodelista"/>
        <w:spacing w:after="0" w:line="240" w:lineRule="auto"/>
        <w:ind w:left="1080" w:right="918"/>
        <w:contextualSpacing w:val="0"/>
        <w:jc w:val="both"/>
        <w:rPr>
          <w:rFonts w:ascii="Verdana" w:hAnsi="Verdana"/>
          <w:sz w:val="16"/>
          <w:szCs w:val="16"/>
        </w:rPr>
      </w:pPr>
      <w:r w:rsidRPr="0095692E">
        <w:rPr>
          <w:rFonts w:ascii="Verdana" w:hAnsi="Verdana"/>
          <w:sz w:val="16"/>
          <w:szCs w:val="16"/>
        </w:rPr>
        <w:t xml:space="preserve">Se reconocen como víctimas del presente caso a las personas determinadas en el </w:t>
      </w:r>
      <w:r w:rsidR="00DB1A02" w:rsidRPr="0095692E">
        <w:rPr>
          <w:rFonts w:ascii="Verdana" w:hAnsi="Verdana"/>
          <w:sz w:val="16"/>
          <w:szCs w:val="16"/>
        </w:rPr>
        <w:t>[I]</w:t>
      </w:r>
      <w:r w:rsidRPr="0095692E">
        <w:rPr>
          <w:rFonts w:ascii="Verdana" w:hAnsi="Verdana"/>
          <w:sz w:val="16"/>
          <w:szCs w:val="16"/>
        </w:rPr>
        <w:t xml:space="preserve">nforme de </w:t>
      </w:r>
      <w:r w:rsidR="00DB1A02" w:rsidRPr="0095692E">
        <w:rPr>
          <w:rFonts w:ascii="Verdana" w:hAnsi="Verdana"/>
          <w:sz w:val="16"/>
          <w:szCs w:val="16"/>
        </w:rPr>
        <w:t>[F]</w:t>
      </w:r>
      <w:r w:rsidRPr="0095692E">
        <w:rPr>
          <w:rFonts w:ascii="Verdana" w:hAnsi="Verdana"/>
          <w:sz w:val="16"/>
          <w:szCs w:val="16"/>
        </w:rPr>
        <w:t>ondo No. 158/19, mismas que se detallan a continuación: 1. Herminio Deras García (QEPD)</w:t>
      </w:r>
      <w:r w:rsidR="009C28F7" w:rsidRPr="0095692E">
        <w:rPr>
          <w:rFonts w:ascii="Verdana" w:hAnsi="Verdana"/>
          <w:sz w:val="16"/>
          <w:szCs w:val="16"/>
        </w:rPr>
        <w:t>;</w:t>
      </w:r>
      <w:r w:rsidRPr="0095692E">
        <w:rPr>
          <w:rFonts w:ascii="Verdana" w:hAnsi="Verdana"/>
          <w:sz w:val="16"/>
          <w:szCs w:val="16"/>
        </w:rPr>
        <w:t xml:space="preserve"> 2. Otilia Flores Ortiz, viuda del Sr. Deras García</w:t>
      </w:r>
      <w:r w:rsidR="009C28F7" w:rsidRPr="0095692E">
        <w:rPr>
          <w:rFonts w:ascii="Verdana" w:hAnsi="Verdana"/>
          <w:sz w:val="16"/>
          <w:szCs w:val="16"/>
        </w:rPr>
        <w:t>;</w:t>
      </w:r>
      <w:r w:rsidRPr="0095692E">
        <w:rPr>
          <w:rFonts w:ascii="Verdana" w:hAnsi="Verdana"/>
          <w:sz w:val="16"/>
          <w:szCs w:val="16"/>
        </w:rPr>
        <w:t xml:space="preserve"> 3. Herminio Deras Flores, hijo</w:t>
      </w:r>
      <w:r w:rsidR="009C28F7" w:rsidRPr="0095692E">
        <w:rPr>
          <w:rFonts w:ascii="Verdana" w:hAnsi="Verdana"/>
          <w:sz w:val="16"/>
          <w:szCs w:val="16"/>
        </w:rPr>
        <w:t>;</w:t>
      </w:r>
      <w:r w:rsidRPr="0095692E">
        <w:rPr>
          <w:rFonts w:ascii="Verdana" w:hAnsi="Verdana"/>
          <w:sz w:val="16"/>
          <w:szCs w:val="16"/>
        </w:rPr>
        <w:t xml:space="preserve"> 4. Lorena Deras Flores, hija</w:t>
      </w:r>
      <w:r w:rsidR="009C28F7" w:rsidRPr="0095692E">
        <w:rPr>
          <w:rFonts w:ascii="Verdana" w:hAnsi="Verdana"/>
          <w:sz w:val="16"/>
          <w:szCs w:val="16"/>
        </w:rPr>
        <w:t>;</w:t>
      </w:r>
      <w:r w:rsidRPr="0095692E">
        <w:rPr>
          <w:rFonts w:ascii="Verdana" w:hAnsi="Verdana"/>
          <w:sz w:val="16"/>
          <w:szCs w:val="16"/>
        </w:rPr>
        <w:t xml:space="preserve"> 5. María Eustaquía García, madre (QEPD)</w:t>
      </w:r>
      <w:r w:rsidR="009C28F7" w:rsidRPr="0095692E">
        <w:rPr>
          <w:rFonts w:ascii="Verdana" w:hAnsi="Verdana"/>
          <w:sz w:val="16"/>
          <w:szCs w:val="16"/>
        </w:rPr>
        <w:t>;</w:t>
      </w:r>
      <w:r w:rsidRPr="0095692E">
        <w:rPr>
          <w:rFonts w:ascii="Verdana" w:hAnsi="Verdana"/>
          <w:sz w:val="16"/>
          <w:szCs w:val="16"/>
        </w:rPr>
        <w:t xml:space="preserve"> 6. Domingo Deras, padre (QEPD)</w:t>
      </w:r>
      <w:r w:rsidR="009C28F7" w:rsidRPr="0095692E">
        <w:rPr>
          <w:rFonts w:ascii="Verdana" w:hAnsi="Verdana"/>
          <w:sz w:val="16"/>
          <w:szCs w:val="16"/>
        </w:rPr>
        <w:t>;</w:t>
      </w:r>
      <w:r w:rsidRPr="0095692E">
        <w:rPr>
          <w:rFonts w:ascii="Verdana" w:hAnsi="Verdana"/>
          <w:sz w:val="16"/>
          <w:szCs w:val="16"/>
        </w:rPr>
        <w:t xml:space="preserve"> 7. Irma Isabel Deras García, hermana</w:t>
      </w:r>
      <w:r w:rsidR="009C28F7" w:rsidRPr="0095692E">
        <w:rPr>
          <w:rFonts w:ascii="Verdana" w:hAnsi="Verdana"/>
          <w:sz w:val="16"/>
          <w:szCs w:val="16"/>
        </w:rPr>
        <w:t>;</w:t>
      </w:r>
      <w:r w:rsidRPr="0095692E">
        <w:rPr>
          <w:rFonts w:ascii="Verdana" w:hAnsi="Verdana"/>
          <w:sz w:val="16"/>
          <w:szCs w:val="16"/>
        </w:rPr>
        <w:t xml:space="preserve"> 8. Luis Rolando Deras García, hermano</w:t>
      </w:r>
      <w:r w:rsidR="009C28F7" w:rsidRPr="0095692E">
        <w:rPr>
          <w:rFonts w:ascii="Verdana" w:hAnsi="Verdana"/>
          <w:sz w:val="16"/>
          <w:szCs w:val="16"/>
        </w:rPr>
        <w:t xml:space="preserve">; </w:t>
      </w:r>
      <w:r w:rsidRPr="0095692E">
        <w:rPr>
          <w:rFonts w:ascii="Verdana" w:hAnsi="Verdana"/>
          <w:sz w:val="16"/>
          <w:szCs w:val="16"/>
        </w:rPr>
        <w:t>9. Consuelo Deras García, hermana (QEPD)</w:t>
      </w:r>
      <w:r w:rsidR="009C28F7" w:rsidRPr="0095692E">
        <w:rPr>
          <w:rFonts w:ascii="Verdana" w:hAnsi="Verdana"/>
          <w:sz w:val="16"/>
          <w:szCs w:val="16"/>
        </w:rPr>
        <w:t>;</w:t>
      </w:r>
      <w:r w:rsidRPr="0095692E">
        <w:rPr>
          <w:rFonts w:ascii="Verdana" w:hAnsi="Verdana"/>
          <w:sz w:val="16"/>
          <w:szCs w:val="16"/>
        </w:rPr>
        <w:t xml:space="preserve"> 10. Alba Luz Deras García, hermana</w:t>
      </w:r>
      <w:r w:rsidR="009C28F7" w:rsidRPr="0095692E">
        <w:rPr>
          <w:rFonts w:ascii="Verdana" w:hAnsi="Verdana"/>
          <w:sz w:val="16"/>
          <w:szCs w:val="16"/>
        </w:rPr>
        <w:t>;</w:t>
      </w:r>
      <w:r w:rsidRPr="0095692E">
        <w:rPr>
          <w:rFonts w:ascii="Verdana" w:hAnsi="Verdana"/>
          <w:sz w:val="16"/>
          <w:szCs w:val="16"/>
        </w:rPr>
        <w:t xml:space="preserve"> 11. Héctor Deras García, hermano (QEPD)</w:t>
      </w:r>
      <w:r w:rsidR="009C28F7" w:rsidRPr="0095692E">
        <w:rPr>
          <w:rFonts w:ascii="Verdana" w:hAnsi="Verdana"/>
          <w:sz w:val="16"/>
          <w:szCs w:val="16"/>
        </w:rPr>
        <w:t xml:space="preserve">; </w:t>
      </w:r>
      <w:r w:rsidRPr="0095692E">
        <w:rPr>
          <w:rFonts w:ascii="Verdana" w:hAnsi="Verdana"/>
          <w:sz w:val="16"/>
          <w:szCs w:val="16"/>
        </w:rPr>
        <w:t xml:space="preserve">12. </w:t>
      </w:r>
      <w:r w:rsidRPr="0095692E">
        <w:rPr>
          <w:rFonts w:ascii="Verdana" w:hAnsi="Verdana"/>
          <w:sz w:val="16"/>
          <w:szCs w:val="16"/>
        </w:rPr>
        <w:lastRenderedPageBreak/>
        <w:t>José Herminio García, sobrino</w:t>
      </w:r>
      <w:r w:rsidR="009C28F7" w:rsidRPr="0095692E">
        <w:rPr>
          <w:rFonts w:ascii="Verdana" w:hAnsi="Verdana"/>
          <w:sz w:val="16"/>
          <w:szCs w:val="16"/>
        </w:rPr>
        <w:t>;</w:t>
      </w:r>
      <w:r w:rsidRPr="0095692E">
        <w:rPr>
          <w:rFonts w:ascii="Verdana" w:hAnsi="Verdana"/>
          <w:sz w:val="16"/>
          <w:szCs w:val="16"/>
        </w:rPr>
        <w:t xml:space="preserve"> 13. Sandra Ivonne Hernández Deras, sobrina</w:t>
      </w:r>
      <w:r w:rsidR="009C28F7" w:rsidRPr="0095692E">
        <w:rPr>
          <w:rFonts w:ascii="Verdana" w:hAnsi="Verdana"/>
          <w:sz w:val="16"/>
          <w:szCs w:val="16"/>
        </w:rPr>
        <w:t>;</w:t>
      </w:r>
      <w:r w:rsidRPr="0095692E">
        <w:rPr>
          <w:rFonts w:ascii="Verdana" w:hAnsi="Verdana"/>
          <w:sz w:val="16"/>
          <w:szCs w:val="16"/>
        </w:rPr>
        <w:t xml:space="preserve"> 14. Marlon Javier García Barahona, sobrino</w:t>
      </w:r>
      <w:r w:rsidR="009C28F7" w:rsidRPr="0095692E">
        <w:rPr>
          <w:rFonts w:ascii="Verdana" w:hAnsi="Verdana"/>
          <w:sz w:val="16"/>
          <w:szCs w:val="16"/>
        </w:rPr>
        <w:t xml:space="preserve">; </w:t>
      </w:r>
      <w:r w:rsidRPr="0095692E">
        <w:rPr>
          <w:rFonts w:ascii="Verdana" w:hAnsi="Verdana"/>
          <w:sz w:val="16"/>
          <w:szCs w:val="16"/>
        </w:rPr>
        <w:t>15. Marlen García Pineda, prima</w:t>
      </w:r>
      <w:r w:rsidR="009C28F7" w:rsidRPr="0095692E">
        <w:rPr>
          <w:rFonts w:ascii="Verdana" w:hAnsi="Verdana"/>
          <w:sz w:val="16"/>
          <w:szCs w:val="16"/>
        </w:rPr>
        <w:t>;</w:t>
      </w:r>
      <w:r w:rsidRPr="0095692E">
        <w:rPr>
          <w:rFonts w:ascii="Verdana" w:hAnsi="Verdana"/>
          <w:sz w:val="16"/>
          <w:szCs w:val="16"/>
        </w:rPr>
        <w:t xml:space="preserve"> 16. Julio César Chavarría Benegas, cuñado</w:t>
      </w:r>
      <w:r w:rsidR="009C28F7" w:rsidRPr="0095692E">
        <w:rPr>
          <w:rFonts w:ascii="Verdana" w:hAnsi="Verdana"/>
          <w:sz w:val="16"/>
          <w:szCs w:val="16"/>
        </w:rPr>
        <w:t>;</w:t>
      </w:r>
      <w:r w:rsidRPr="0095692E">
        <w:rPr>
          <w:rFonts w:ascii="Verdana" w:hAnsi="Verdana"/>
          <w:sz w:val="16"/>
          <w:szCs w:val="16"/>
        </w:rPr>
        <w:t xml:space="preserve"> 17. Cristóbal Rufino Hernández, cuñado, mejor conocido como H Pérez (QEPD)</w:t>
      </w:r>
      <w:r w:rsidR="009C28F7" w:rsidRPr="0095692E">
        <w:rPr>
          <w:rFonts w:ascii="Verdana" w:hAnsi="Verdana"/>
          <w:sz w:val="16"/>
          <w:szCs w:val="16"/>
        </w:rPr>
        <w:t xml:space="preserve">, y </w:t>
      </w:r>
      <w:r w:rsidRPr="0095692E">
        <w:rPr>
          <w:rFonts w:ascii="Verdana" w:hAnsi="Verdana"/>
          <w:sz w:val="16"/>
          <w:szCs w:val="16"/>
        </w:rPr>
        <w:t>18. Elba Flores Ortiz, cuñada.</w:t>
      </w:r>
    </w:p>
    <w:p w14:paraId="3A961AB5" w14:textId="77777777" w:rsidR="00653D54" w:rsidRPr="0095692E" w:rsidRDefault="00653D54" w:rsidP="00A80648">
      <w:pPr>
        <w:pStyle w:val="Prrafodelista"/>
        <w:spacing w:after="0" w:line="240" w:lineRule="auto"/>
        <w:ind w:left="1080" w:right="918"/>
        <w:contextualSpacing w:val="0"/>
        <w:jc w:val="both"/>
        <w:rPr>
          <w:rFonts w:ascii="Verdana" w:hAnsi="Verdana"/>
          <w:sz w:val="16"/>
          <w:szCs w:val="16"/>
        </w:rPr>
      </w:pPr>
    </w:p>
    <w:p w14:paraId="501DDDD9" w14:textId="123D1CEB" w:rsidR="00817C38" w:rsidRPr="0095692E" w:rsidRDefault="00320A9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Adicionalmente, el Estado </w:t>
      </w:r>
      <w:r w:rsidR="00DB2E63" w:rsidRPr="0095692E">
        <w:rPr>
          <w:rFonts w:ascii="Verdana" w:hAnsi="Verdana"/>
          <w:sz w:val="20"/>
          <w:szCs w:val="20"/>
        </w:rPr>
        <w:t xml:space="preserve">indicó “su plena disposición para resolver el presente asunto y para cumplir las reparaciones establecidas en </w:t>
      </w:r>
      <w:r w:rsidR="00990D86" w:rsidRPr="0095692E">
        <w:rPr>
          <w:rFonts w:ascii="Verdana" w:hAnsi="Verdana"/>
          <w:sz w:val="20"/>
          <w:szCs w:val="20"/>
        </w:rPr>
        <w:t>[el documento de allanamiento]</w:t>
      </w:r>
      <w:r w:rsidR="00DB2E63" w:rsidRPr="0095692E">
        <w:rPr>
          <w:rFonts w:ascii="Verdana" w:hAnsi="Verdana"/>
          <w:sz w:val="20"/>
          <w:szCs w:val="20"/>
        </w:rPr>
        <w:t xml:space="preserve"> y en la sentencia que, en el momento procesal oportuno dicte la Corte”. </w:t>
      </w:r>
      <w:r w:rsidR="00990D86" w:rsidRPr="0095692E">
        <w:rPr>
          <w:rFonts w:ascii="Verdana" w:hAnsi="Verdana"/>
          <w:sz w:val="20"/>
          <w:szCs w:val="20"/>
        </w:rPr>
        <w:t xml:space="preserve">En esta línea, manifestó su compromiso con </w:t>
      </w:r>
      <w:r w:rsidR="0094271A" w:rsidRPr="0095692E">
        <w:rPr>
          <w:rFonts w:ascii="Verdana" w:hAnsi="Verdana"/>
          <w:sz w:val="20"/>
          <w:szCs w:val="20"/>
        </w:rPr>
        <w:t>“</w:t>
      </w:r>
      <w:r w:rsidR="00990D86" w:rsidRPr="0095692E">
        <w:rPr>
          <w:rFonts w:ascii="Verdana" w:hAnsi="Verdana"/>
          <w:sz w:val="20"/>
          <w:szCs w:val="20"/>
        </w:rPr>
        <w:t>la reparación integral de las víctimas y sus familiares</w:t>
      </w:r>
      <w:r w:rsidR="0094271A" w:rsidRPr="0095692E">
        <w:rPr>
          <w:rFonts w:ascii="Verdana" w:hAnsi="Verdana"/>
          <w:sz w:val="20"/>
          <w:szCs w:val="20"/>
        </w:rPr>
        <w:t>”</w:t>
      </w:r>
      <w:r w:rsidR="00990D86" w:rsidRPr="0095692E">
        <w:rPr>
          <w:rFonts w:ascii="Verdana" w:hAnsi="Verdana"/>
          <w:sz w:val="20"/>
          <w:szCs w:val="20"/>
        </w:rPr>
        <w:t>, de acuerdo con los términos que precisó en su allanamiento</w:t>
      </w:r>
      <w:r w:rsidR="00FC10B6" w:rsidRPr="0095692E">
        <w:rPr>
          <w:rFonts w:ascii="Verdana" w:hAnsi="Verdana"/>
          <w:sz w:val="20"/>
          <w:szCs w:val="20"/>
        </w:rPr>
        <w:t xml:space="preserve">. En </w:t>
      </w:r>
      <w:r w:rsidR="00B22281" w:rsidRPr="0095692E">
        <w:rPr>
          <w:rFonts w:ascii="Verdana" w:hAnsi="Verdana"/>
          <w:sz w:val="20"/>
          <w:szCs w:val="20"/>
        </w:rPr>
        <w:t>este sentido</w:t>
      </w:r>
      <w:r w:rsidR="00FC10B6" w:rsidRPr="0095692E">
        <w:rPr>
          <w:rFonts w:ascii="Verdana" w:hAnsi="Verdana"/>
          <w:sz w:val="20"/>
          <w:szCs w:val="20"/>
        </w:rPr>
        <w:t>, el Estado</w:t>
      </w:r>
      <w:r w:rsidR="00B22281" w:rsidRPr="0095692E">
        <w:rPr>
          <w:rFonts w:ascii="Verdana" w:hAnsi="Verdana"/>
          <w:sz w:val="20"/>
          <w:szCs w:val="20"/>
        </w:rPr>
        <w:t xml:space="preserve"> se comprometió a ejecutar las siguientes medidas:</w:t>
      </w:r>
      <w:r w:rsidR="00FC10B6" w:rsidRPr="0095692E">
        <w:rPr>
          <w:rFonts w:ascii="Verdana" w:hAnsi="Verdana"/>
          <w:sz w:val="20"/>
          <w:szCs w:val="20"/>
        </w:rPr>
        <w:t xml:space="preserve"> a) </w:t>
      </w:r>
      <w:r w:rsidR="007A4AD2" w:rsidRPr="0095692E">
        <w:rPr>
          <w:rFonts w:ascii="Verdana" w:hAnsi="Verdana"/>
          <w:sz w:val="20"/>
          <w:szCs w:val="20"/>
        </w:rPr>
        <w:t>el cierre de los expedientes policiales y judiciales instaurados contra los familiares de Herminio Deras García</w:t>
      </w:r>
      <w:r w:rsidR="00385C12" w:rsidRPr="0095692E">
        <w:rPr>
          <w:rFonts w:ascii="Verdana" w:hAnsi="Verdana"/>
          <w:sz w:val="20"/>
          <w:szCs w:val="20"/>
        </w:rPr>
        <w:t>;</w:t>
      </w:r>
      <w:r w:rsidR="007A4AD2" w:rsidRPr="0095692E">
        <w:rPr>
          <w:rFonts w:ascii="Verdana" w:hAnsi="Verdana"/>
          <w:sz w:val="20"/>
          <w:szCs w:val="20"/>
        </w:rPr>
        <w:t xml:space="preserve"> </w:t>
      </w:r>
      <w:r w:rsidR="00FC10B6" w:rsidRPr="0095692E">
        <w:rPr>
          <w:rFonts w:ascii="Verdana" w:hAnsi="Verdana"/>
          <w:sz w:val="20"/>
          <w:szCs w:val="20"/>
        </w:rPr>
        <w:t xml:space="preserve">b) </w:t>
      </w:r>
      <w:r w:rsidR="00AF2D5F" w:rsidRPr="0095692E">
        <w:rPr>
          <w:rFonts w:ascii="Verdana" w:hAnsi="Verdana"/>
          <w:sz w:val="20"/>
          <w:szCs w:val="20"/>
        </w:rPr>
        <w:t>atención médica y psicológica</w:t>
      </w:r>
      <w:r w:rsidR="00FC10B6" w:rsidRPr="0095692E">
        <w:rPr>
          <w:rFonts w:ascii="Verdana" w:hAnsi="Verdana"/>
          <w:sz w:val="20"/>
          <w:szCs w:val="20"/>
        </w:rPr>
        <w:t xml:space="preserve">; c) </w:t>
      </w:r>
      <w:r w:rsidR="003B14D0" w:rsidRPr="0095692E">
        <w:rPr>
          <w:rFonts w:ascii="Verdana" w:hAnsi="Verdana"/>
          <w:sz w:val="20"/>
          <w:szCs w:val="20"/>
        </w:rPr>
        <w:t>indemnizaciones compensatorias que la Corte establezca</w:t>
      </w:r>
      <w:r w:rsidR="00FC10B6" w:rsidRPr="0095692E">
        <w:rPr>
          <w:rFonts w:ascii="Verdana" w:hAnsi="Verdana"/>
          <w:sz w:val="20"/>
          <w:szCs w:val="20"/>
        </w:rPr>
        <w:t xml:space="preserve">; d) </w:t>
      </w:r>
      <w:r w:rsidR="003B14D0" w:rsidRPr="0095692E">
        <w:rPr>
          <w:rFonts w:ascii="Verdana" w:hAnsi="Verdana"/>
          <w:sz w:val="20"/>
          <w:szCs w:val="20"/>
        </w:rPr>
        <w:t xml:space="preserve">publicación y difusión de la </w:t>
      </w:r>
      <w:r w:rsidR="00DB1A02" w:rsidRPr="0095692E">
        <w:rPr>
          <w:rFonts w:ascii="Verdana" w:hAnsi="Verdana"/>
          <w:sz w:val="20"/>
          <w:szCs w:val="20"/>
        </w:rPr>
        <w:t>S</w:t>
      </w:r>
      <w:r w:rsidR="003B14D0" w:rsidRPr="0095692E">
        <w:rPr>
          <w:rFonts w:ascii="Verdana" w:hAnsi="Verdana"/>
          <w:sz w:val="20"/>
          <w:szCs w:val="20"/>
        </w:rPr>
        <w:t>entencia</w:t>
      </w:r>
      <w:r w:rsidR="00FC10B6" w:rsidRPr="0095692E">
        <w:rPr>
          <w:rFonts w:ascii="Verdana" w:hAnsi="Verdana"/>
          <w:sz w:val="20"/>
          <w:szCs w:val="20"/>
        </w:rPr>
        <w:t xml:space="preserve">; e) </w:t>
      </w:r>
      <w:r w:rsidR="00C21AC8" w:rsidRPr="0095692E">
        <w:rPr>
          <w:rFonts w:ascii="Verdana" w:hAnsi="Verdana"/>
          <w:sz w:val="20"/>
          <w:szCs w:val="20"/>
        </w:rPr>
        <w:t>acto público de reconocimiento de responsabilidad</w:t>
      </w:r>
      <w:r w:rsidR="00385C12" w:rsidRPr="0095692E">
        <w:rPr>
          <w:rFonts w:ascii="Verdana" w:hAnsi="Verdana"/>
          <w:sz w:val="20"/>
          <w:szCs w:val="20"/>
        </w:rPr>
        <w:t xml:space="preserve"> internacional</w:t>
      </w:r>
      <w:r w:rsidR="003B14D0" w:rsidRPr="0095692E">
        <w:rPr>
          <w:rFonts w:ascii="Verdana" w:hAnsi="Verdana"/>
          <w:sz w:val="20"/>
          <w:szCs w:val="20"/>
        </w:rPr>
        <w:t>;</w:t>
      </w:r>
      <w:r w:rsidR="00FC10B6" w:rsidRPr="0095692E">
        <w:rPr>
          <w:rFonts w:ascii="Verdana" w:hAnsi="Verdana"/>
          <w:sz w:val="20"/>
          <w:szCs w:val="20"/>
        </w:rPr>
        <w:t xml:space="preserve"> f) </w:t>
      </w:r>
      <w:r w:rsidR="002A578D" w:rsidRPr="0095692E">
        <w:rPr>
          <w:rFonts w:ascii="Verdana" w:hAnsi="Verdana"/>
          <w:sz w:val="20"/>
          <w:szCs w:val="20"/>
        </w:rPr>
        <w:t>construcción de un mausoleo en memoria del señor Herminio Deras García</w:t>
      </w:r>
      <w:r w:rsidR="003B14D0" w:rsidRPr="0095692E">
        <w:rPr>
          <w:rFonts w:ascii="Verdana" w:hAnsi="Verdana"/>
          <w:sz w:val="20"/>
          <w:szCs w:val="20"/>
        </w:rPr>
        <w:t xml:space="preserve">; g) </w:t>
      </w:r>
      <w:r w:rsidR="001A50D3" w:rsidRPr="0095692E">
        <w:rPr>
          <w:rFonts w:ascii="Verdana" w:hAnsi="Verdana"/>
          <w:sz w:val="20"/>
          <w:szCs w:val="20"/>
        </w:rPr>
        <w:t xml:space="preserve">realización de una </w:t>
      </w:r>
      <w:r w:rsidR="00590829" w:rsidRPr="0095692E">
        <w:rPr>
          <w:rFonts w:ascii="Verdana" w:hAnsi="Verdana"/>
          <w:sz w:val="20"/>
          <w:szCs w:val="20"/>
        </w:rPr>
        <w:t>“</w:t>
      </w:r>
      <w:r w:rsidR="001A50D3" w:rsidRPr="0095692E">
        <w:rPr>
          <w:rFonts w:ascii="Verdana" w:hAnsi="Verdana"/>
          <w:sz w:val="20"/>
          <w:szCs w:val="20"/>
        </w:rPr>
        <w:t xml:space="preserve">investigación completa y efectiva de las violaciones de derechos humanos declaradas en el </w:t>
      </w:r>
      <w:r w:rsidR="00590829" w:rsidRPr="0095692E">
        <w:rPr>
          <w:rFonts w:ascii="Verdana" w:hAnsi="Verdana"/>
          <w:sz w:val="20"/>
          <w:szCs w:val="20"/>
        </w:rPr>
        <w:t>[</w:t>
      </w:r>
      <w:r w:rsidR="00DB1A02" w:rsidRPr="0095692E">
        <w:rPr>
          <w:rFonts w:ascii="Verdana" w:hAnsi="Verdana"/>
          <w:sz w:val="20"/>
          <w:szCs w:val="20"/>
        </w:rPr>
        <w:t>I</w:t>
      </w:r>
      <w:r w:rsidR="00590829" w:rsidRPr="0095692E">
        <w:rPr>
          <w:rFonts w:ascii="Verdana" w:hAnsi="Verdana"/>
          <w:sz w:val="20"/>
          <w:szCs w:val="20"/>
        </w:rPr>
        <w:t>]</w:t>
      </w:r>
      <w:r w:rsidR="001A50D3" w:rsidRPr="0095692E">
        <w:rPr>
          <w:rFonts w:ascii="Verdana" w:hAnsi="Verdana"/>
          <w:sz w:val="20"/>
          <w:szCs w:val="20"/>
        </w:rPr>
        <w:t xml:space="preserve">nforme de </w:t>
      </w:r>
      <w:r w:rsidR="00590829" w:rsidRPr="0095692E">
        <w:rPr>
          <w:rFonts w:ascii="Verdana" w:hAnsi="Verdana"/>
          <w:sz w:val="20"/>
          <w:szCs w:val="20"/>
        </w:rPr>
        <w:t>[</w:t>
      </w:r>
      <w:r w:rsidR="00DB1A02" w:rsidRPr="0095692E">
        <w:rPr>
          <w:rFonts w:ascii="Verdana" w:hAnsi="Verdana"/>
          <w:sz w:val="20"/>
          <w:szCs w:val="20"/>
        </w:rPr>
        <w:t>F</w:t>
      </w:r>
      <w:r w:rsidR="00590829" w:rsidRPr="0095692E">
        <w:rPr>
          <w:rFonts w:ascii="Verdana" w:hAnsi="Verdana"/>
          <w:sz w:val="20"/>
          <w:szCs w:val="20"/>
        </w:rPr>
        <w:t>]</w:t>
      </w:r>
      <w:r w:rsidR="001A50D3" w:rsidRPr="0095692E">
        <w:rPr>
          <w:rFonts w:ascii="Verdana" w:hAnsi="Verdana"/>
          <w:sz w:val="20"/>
          <w:szCs w:val="20"/>
        </w:rPr>
        <w:t>ondo</w:t>
      </w:r>
      <w:r w:rsidR="00590829" w:rsidRPr="0095692E">
        <w:rPr>
          <w:rFonts w:ascii="Verdana" w:hAnsi="Verdana"/>
          <w:sz w:val="20"/>
          <w:szCs w:val="20"/>
        </w:rPr>
        <w:t>”</w:t>
      </w:r>
      <w:r w:rsidR="003B14D0" w:rsidRPr="0095692E">
        <w:rPr>
          <w:rFonts w:ascii="Verdana" w:hAnsi="Verdana"/>
          <w:sz w:val="20"/>
          <w:szCs w:val="20"/>
        </w:rPr>
        <w:t xml:space="preserve">; h) </w:t>
      </w:r>
      <w:r w:rsidR="004C0CFF" w:rsidRPr="0095692E">
        <w:rPr>
          <w:rFonts w:ascii="Verdana" w:hAnsi="Verdana"/>
          <w:sz w:val="20"/>
          <w:szCs w:val="20"/>
        </w:rPr>
        <w:t>pago de costas y gastos que determine la Corte</w:t>
      </w:r>
      <w:r w:rsidR="003B14D0" w:rsidRPr="0095692E">
        <w:rPr>
          <w:rFonts w:ascii="Verdana" w:hAnsi="Verdana"/>
          <w:sz w:val="20"/>
          <w:szCs w:val="20"/>
        </w:rPr>
        <w:t xml:space="preserve">; i) </w:t>
      </w:r>
      <w:r w:rsidR="00850295" w:rsidRPr="0095692E">
        <w:rPr>
          <w:rFonts w:ascii="Verdana" w:hAnsi="Verdana"/>
          <w:sz w:val="20"/>
          <w:szCs w:val="20"/>
        </w:rPr>
        <w:t>“</w:t>
      </w:r>
      <w:r w:rsidR="00590829" w:rsidRPr="0095692E">
        <w:rPr>
          <w:rFonts w:ascii="Verdana" w:hAnsi="Verdana"/>
          <w:sz w:val="20"/>
          <w:szCs w:val="20"/>
        </w:rPr>
        <w:t>[</w:t>
      </w:r>
      <w:r w:rsidR="004C0CFF" w:rsidRPr="0095692E">
        <w:rPr>
          <w:rFonts w:ascii="Verdana" w:hAnsi="Verdana"/>
          <w:sz w:val="20"/>
          <w:szCs w:val="20"/>
        </w:rPr>
        <w:t>e</w:t>
      </w:r>
      <w:r w:rsidR="00590829" w:rsidRPr="0095692E">
        <w:rPr>
          <w:rFonts w:ascii="Verdana" w:hAnsi="Verdana"/>
          <w:sz w:val="20"/>
          <w:szCs w:val="20"/>
        </w:rPr>
        <w:t>]</w:t>
      </w:r>
      <w:r w:rsidR="004C0CFF" w:rsidRPr="0095692E">
        <w:rPr>
          <w:rFonts w:ascii="Verdana" w:hAnsi="Verdana"/>
          <w:sz w:val="20"/>
          <w:szCs w:val="20"/>
        </w:rPr>
        <w:t>misión de una Ley de Memoria Histórica</w:t>
      </w:r>
      <w:r w:rsidR="00850295" w:rsidRPr="0095692E">
        <w:rPr>
          <w:rFonts w:ascii="Verdana" w:hAnsi="Verdana"/>
          <w:sz w:val="20"/>
          <w:szCs w:val="20"/>
        </w:rPr>
        <w:t>”</w:t>
      </w:r>
      <w:r w:rsidR="003B14D0" w:rsidRPr="0095692E">
        <w:rPr>
          <w:rFonts w:ascii="Verdana" w:hAnsi="Verdana"/>
          <w:sz w:val="20"/>
          <w:szCs w:val="20"/>
        </w:rPr>
        <w:t xml:space="preserve">; j) </w:t>
      </w:r>
      <w:r w:rsidR="00850295" w:rsidRPr="0095692E">
        <w:rPr>
          <w:rFonts w:ascii="Verdana" w:hAnsi="Verdana"/>
          <w:sz w:val="20"/>
          <w:szCs w:val="20"/>
        </w:rPr>
        <w:t>“</w:t>
      </w:r>
      <w:r w:rsidR="00590829" w:rsidRPr="0095692E">
        <w:rPr>
          <w:rFonts w:ascii="Verdana" w:hAnsi="Verdana"/>
          <w:sz w:val="20"/>
          <w:szCs w:val="20"/>
        </w:rPr>
        <w:t>[</w:t>
      </w:r>
      <w:r w:rsidR="00850295" w:rsidRPr="0095692E">
        <w:rPr>
          <w:rFonts w:ascii="Verdana" w:hAnsi="Verdana"/>
          <w:sz w:val="20"/>
          <w:szCs w:val="20"/>
        </w:rPr>
        <w:t>e</w:t>
      </w:r>
      <w:r w:rsidR="00590829" w:rsidRPr="0095692E">
        <w:rPr>
          <w:rFonts w:ascii="Verdana" w:hAnsi="Verdana"/>
          <w:sz w:val="20"/>
          <w:szCs w:val="20"/>
        </w:rPr>
        <w:t>]</w:t>
      </w:r>
      <w:r w:rsidR="00850295" w:rsidRPr="0095692E">
        <w:rPr>
          <w:rFonts w:ascii="Verdana" w:hAnsi="Verdana"/>
          <w:sz w:val="20"/>
          <w:szCs w:val="20"/>
        </w:rPr>
        <w:t>misión de una Ley para la Investigación de la Responsabilidad de toda la Cadena de Mando”</w:t>
      </w:r>
      <w:r w:rsidR="003B14D0" w:rsidRPr="0095692E">
        <w:rPr>
          <w:rFonts w:ascii="Verdana" w:hAnsi="Verdana"/>
          <w:sz w:val="20"/>
          <w:szCs w:val="20"/>
        </w:rPr>
        <w:t xml:space="preserve">; k) </w:t>
      </w:r>
      <w:r w:rsidR="008C3195" w:rsidRPr="0095692E">
        <w:rPr>
          <w:rFonts w:ascii="Verdana" w:hAnsi="Verdana"/>
          <w:sz w:val="20"/>
          <w:szCs w:val="20"/>
        </w:rPr>
        <w:t>“</w:t>
      </w:r>
      <w:r w:rsidR="007550FC" w:rsidRPr="0095692E">
        <w:rPr>
          <w:rFonts w:ascii="Verdana" w:hAnsi="Verdana"/>
          <w:sz w:val="20"/>
          <w:szCs w:val="20"/>
        </w:rPr>
        <w:t>[</w:t>
      </w:r>
      <w:r w:rsidR="008C3195" w:rsidRPr="0095692E">
        <w:rPr>
          <w:rFonts w:ascii="Verdana" w:hAnsi="Verdana"/>
          <w:sz w:val="20"/>
          <w:szCs w:val="20"/>
        </w:rPr>
        <w:t>a</w:t>
      </w:r>
      <w:r w:rsidR="007550FC" w:rsidRPr="0095692E">
        <w:rPr>
          <w:rFonts w:ascii="Verdana" w:hAnsi="Verdana"/>
          <w:sz w:val="20"/>
          <w:szCs w:val="20"/>
        </w:rPr>
        <w:t>]</w:t>
      </w:r>
      <w:r w:rsidR="008C3195" w:rsidRPr="0095692E">
        <w:rPr>
          <w:rFonts w:ascii="Verdana" w:hAnsi="Verdana"/>
          <w:sz w:val="20"/>
          <w:szCs w:val="20"/>
        </w:rPr>
        <w:t xml:space="preserve">decuación de la legislación </w:t>
      </w:r>
      <w:r w:rsidR="007550FC" w:rsidRPr="0095692E">
        <w:rPr>
          <w:rFonts w:ascii="Verdana" w:hAnsi="Verdana"/>
          <w:sz w:val="20"/>
          <w:szCs w:val="20"/>
        </w:rPr>
        <w:t>[i]</w:t>
      </w:r>
      <w:r w:rsidR="008C3195" w:rsidRPr="0095692E">
        <w:rPr>
          <w:rFonts w:ascii="Verdana" w:hAnsi="Verdana"/>
          <w:sz w:val="20"/>
          <w:szCs w:val="20"/>
        </w:rPr>
        <w:t xml:space="preserve">nterna </w:t>
      </w:r>
      <w:r w:rsidR="007550FC" w:rsidRPr="0095692E">
        <w:rPr>
          <w:rFonts w:ascii="Verdana" w:hAnsi="Verdana"/>
          <w:sz w:val="20"/>
          <w:szCs w:val="20"/>
        </w:rPr>
        <w:t>[r]</w:t>
      </w:r>
      <w:r w:rsidR="008C3195" w:rsidRPr="0095692E">
        <w:rPr>
          <w:rFonts w:ascii="Verdana" w:hAnsi="Verdana"/>
          <w:sz w:val="20"/>
          <w:szCs w:val="20"/>
        </w:rPr>
        <w:t xml:space="preserve">especto a la </w:t>
      </w:r>
      <w:r w:rsidR="007550FC" w:rsidRPr="0095692E">
        <w:rPr>
          <w:rFonts w:ascii="Verdana" w:hAnsi="Verdana"/>
          <w:sz w:val="20"/>
          <w:szCs w:val="20"/>
        </w:rPr>
        <w:t>[t]</w:t>
      </w:r>
      <w:r w:rsidR="008C3195" w:rsidRPr="0095692E">
        <w:rPr>
          <w:rFonts w:ascii="Verdana" w:hAnsi="Verdana"/>
          <w:sz w:val="20"/>
          <w:szCs w:val="20"/>
        </w:rPr>
        <w:t xml:space="preserve">ortura”; </w:t>
      </w:r>
      <w:r w:rsidR="003B14D0" w:rsidRPr="0095692E">
        <w:rPr>
          <w:rFonts w:ascii="Verdana" w:hAnsi="Verdana"/>
          <w:sz w:val="20"/>
          <w:szCs w:val="20"/>
        </w:rPr>
        <w:t>l)</w:t>
      </w:r>
      <w:r w:rsidR="008C3195" w:rsidRPr="0095692E">
        <w:rPr>
          <w:rFonts w:ascii="Verdana" w:hAnsi="Verdana"/>
          <w:sz w:val="20"/>
          <w:szCs w:val="20"/>
        </w:rPr>
        <w:t xml:space="preserve"> formulación de</w:t>
      </w:r>
      <w:r w:rsidR="003B14D0" w:rsidRPr="0095692E">
        <w:rPr>
          <w:rFonts w:ascii="Verdana" w:hAnsi="Verdana"/>
          <w:sz w:val="20"/>
          <w:szCs w:val="20"/>
        </w:rPr>
        <w:t xml:space="preserve"> </w:t>
      </w:r>
      <w:r w:rsidR="008C3195" w:rsidRPr="0095692E">
        <w:rPr>
          <w:rFonts w:ascii="Verdana" w:hAnsi="Verdana"/>
          <w:sz w:val="20"/>
          <w:szCs w:val="20"/>
        </w:rPr>
        <w:t>“</w:t>
      </w:r>
      <w:r w:rsidR="007550FC" w:rsidRPr="0095692E">
        <w:rPr>
          <w:rFonts w:ascii="Verdana" w:hAnsi="Verdana"/>
          <w:sz w:val="20"/>
          <w:szCs w:val="20"/>
        </w:rPr>
        <w:t>[</w:t>
      </w:r>
      <w:r w:rsidR="008C3195" w:rsidRPr="0095692E">
        <w:rPr>
          <w:rFonts w:ascii="Verdana" w:hAnsi="Verdana"/>
          <w:sz w:val="20"/>
          <w:szCs w:val="20"/>
        </w:rPr>
        <w:t>p</w:t>
      </w:r>
      <w:r w:rsidR="007550FC" w:rsidRPr="0095692E">
        <w:rPr>
          <w:rFonts w:ascii="Verdana" w:hAnsi="Verdana"/>
          <w:sz w:val="20"/>
          <w:szCs w:val="20"/>
        </w:rPr>
        <w:t>]</w:t>
      </w:r>
      <w:r w:rsidR="008C3195" w:rsidRPr="0095692E">
        <w:rPr>
          <w:rFonts w:ascii="Verdana" w:hAnsi="Verdana"/>
          <w:sz w:val="20"/>
          <w:szCs w:val="20"/>
        </w:rPr>
        <w:t>olíticas de preservación de archivos y sitios de conciencia”</w:t>
      </w:r>
      <w:r w:rsidR="001768F0" w:rsidRPr="0095692E">
        <w:rPr>
          <w:rFonts w:ascii="Verdana" w:hAnsi="Verdana"/>
          <w:sz w:val="20"/>
          <w:szCs w:val="20"/>
        </w:rPr>
        <w:t>, y</w:t>
      </w:r>
      <w:r w:rsidR="008C3195" w:rsidRPr="0095692E">
        <w:rPr>
          <w:rFonts w:ascii="Verdana" w:hAnsi="Verdana"/>
          <w:sz w:val="20"/>
          <w:szCs w:val="20"/>
        </w:rPr>
        <w:t xml:space="preserve"> m) </w:t>
      </w:r>
      <w:r w:rsidR="00B233AB" w:rsidRPr="0095692E">
        <w:rPr>
          <w:rFonts w:ascii="Verdana" w:hAnsi="Verdana"/>
          <w:sz w:val="20"/>
          <w:szCs w:val="20"/>
        </w:rPr>
        <w:t>formulación de “</w:t>
      </w:r>
      <w:r w:rsidR="007550FC" w:rsidRPr="0095692E">
        <w:rPr>
          <w:rFonts w:ascii="Verdana" w:hAnsi="Verdana"/>
          <w:sz w:val="20"/>
          <w:szCs w:val="20"/>
        </w:rPr>
        <w:t>[</w:t>
      </w:r>
      <w:r w:rsidR="00B233AB" w:rsidRPr="0095692E">
        <w:rPr>
          <w:rFonts w:ascii="Verdana" w:hAnsi="Verdana"/>
          <w:sz w:val="20"/>
          <w:szCs w:val="20"/>
        </w:rPr>
        <w:t>p</w:t>
      </w:r>
      <w:r w:rsidR="007550FC" w:rsidRPr="0095692E">
        <w:rPr>
          <w:rFonts w:ascii="Verdana" w:hAnsi="Verdana"/>
          <w:sz w:val="20"/>
          <w:szCs w:val="20"/>
        </w:rPr>
        <w:t>]</w:t>
      </w:r>
      <w:r w:rsidR="00B233AB" w:rsidRPr="0095692E">
        <w:rPr>
          <w:rFonts w:ascii="Verdana" w:hAnsi="Verdana"/>
          <w:sz w:val="20"/>
          <w:szCs w:val="20"/>
        </w:rPr>
        <w:t xml:space="preserve">olíticas de educación en memoria” </w:t>
      </w:r>
      <w:r w:rsidR="00AF2D5F" w:rsidRPr="0095692E">
        <w:rPr>
          <w:rFonts w:ascii="Verdana" w:hAnsi="Verdana"/>
          <w:sz w:val="20"/>
          <w:szCs w:val="20"/>
        </w:rPr>
        <w:t>(</w:t>
      </w:r>
      <w:r w:rsidR="00AF2D5F" w:rsidRPr="0095692E">
        <w:rPr>
          <w:rFonts w:ascii="Verdana" w:hAnsi="Verdana"/>
          <w:i/>
          <w:iCs/>
          <w:sz w:val="20"/>
          <w:szCs w:val="20"/>
        </w:rPr>
        <w:t>infra</w:t>
      </w:r>
      <w:r w:rsidR="00AF2D5F" w:rsidRPr="0095692E">
        <w:rPr>
          <w:rFonts w:ascii="Verdana" w:hAnsi="Verdana"/>
          <w:sz w:val="20"/>
          <w:szCs w:val="20"/>
        </w:rPr>
        <w:t xml:space="preserve"> Capítulo </w:t>
      </w:r>
      <w:r w:rsidR="007550FC" w:rsidRPr="0095692E">
        <w:rPr>
          <w:rFonts w:ascii="Verdana" w:hAnsi="Verdana"/>
          <w:sz w:val="20"/>
          <w:szCs w:val="20"/>
        </w:rPr>
        <w:t>VIII</w:t>
      </w:r>
      <w:r w:rsidR="00AF2D5F" w:rsidRPr="0095692E">
        <w:rPr>
          <w:rFonts w:ascii="Verdana" w:hAnsi="Verdana"/>
          <w:sz w:val="20"/>
          <w:szCs w:val="20"/>
        </w:rPr>
        <w:t>)</w:t>
      </w:r>
      <w:r w:rsidR="003B14D0" w:rsidRPr="0095692E">
        <w:rPr>
          <w:rFonts w:ascii="Verdana" w:hAnsi="Verdana"/>
          <w:sz w:val="20"/>
          <w:szCs w:val="20"/>
        </w:rPr>
        <w:t>.</w:t>
      </w:r>
      <w:r w:rsidR="00EC39F7" w:rsidRPr="0095692E">
        <w:rPr>
          <w:rFonts w:ascii="Verdana" w:hAnsi="Verdana"/>
          <w:sz w:val="20"/>
          <w:szCs w:val="20"/>
        </w:rPr>
        <w:t xml:space="preserve"> </w:t>
      </w:r>
    </w:p>
    <w:p w14:paraId="3318FA4F" w14:textId="2B267B34" w:rsidR="003454D6" w:rsidRPr="0095692E" w:rsidRDefault="00B233AB" w:rsidP="00BC6863">
      <w:pPr>
        <w:jc w:val="both"/>
        <w:rPr>
          <w:rFonts w:ascii="Verdana" w:hAnsi="Verdana"/>
          <w:sz w:val="20"/>
          <w:szCs w:val="20"/>
        </w:rPr>
      </w:pPr>
      <w:r w:rsidRPr="0095692E">
        <w:rPr>
          <w:rFonts w:ascii="Verdana" w:hAnsi="Verdana"/>
          <w:sz w:val="20"/>
          <w:szCs w:val="20"/>
        </w:rPr>
        <w:t xml:space="preserve"> </w:t>
      </w:r>
    </w:p>
    <w:p w14:paraId="33AC2DF3" w14:textId="70D67E7D" w:rsidR="003454D6" w:rsidRPr="0095692E" w:rsidRDefault="003454D6"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Por último, e</w:t>
      </w:r>
      <w:r w:rsidR="006F5F3C" w:rsidRPr="0095692E">
        <w:rPr>
          <w:rFonts w:ascii="Verdana" w:hAnsi="Verdana"/>
          <w:sz w:val="20"/>
          <w:szCs w:val="20"/>
        </w:rPr>
        <w:t>n</w:t>
      </w:r>
      <w:r w:rsidRPr="0095692E">
        <w:rPr>
          <w:rFonts w:ascii="Verdana" w:hAnsi="Verdana"/>
          <w:sz w:val="20"/>
          <w:szCs w:val="20"/>
        </w:rPr>
        <w:t xml:space="preserve"> su escrito de </w:t>
      </w:r>
      <w:r w:rsidR="007550FC" w:rsidRPr="0095692E">
        <w:rPr>
          <w:rFonts w:ascii="Verdana" w:hAnsi="Verdana"/>
          <w:sz w:val="20"/>
          <w:szCs w:val="20"/>
        </w:rPr>
        <w:t>20</w:t>
      </w:r>
      <w:r w:rsidRPr="0095692E">
        <w:rPr>
          <w:rFonts w:ascii="Verdana" w:hAnsi="Verdana"/>
          <w:sz w:val="20"/>
          <w:szCs w:val="20"/>
        </w:rPr>
        <w:t xml:space="preserve"> de mayo de 2022, el Estado señaló que consideraba necesario informar expresamente al Tribunal que el “artículo sobre el Deber de Adoptar Disposiciones de Derecho Interno se añade al conjunto de derechos a los que el Estado se allana y acepta su responsabilidad”. </w:t>
      </w:r>
    </w:p>
    <w:p w14:paraId="0C70ABD3" w14:textId="77777777" w:rsidR="00817C38" w:rsidRPr="0095692E" w:rsidRDefault="00817C38" w:rsidP="00A80648">
      <w:pPr>
        <w:rPr>
          <w:rFonts w:ascii="Verdana" w:hAnsi="Verdana"/>
          <w:sz w:val="20"/>
          <w:szCs w:val="20"/>
        </w:rPr>
      </w:pPr>
    </w:p>
    <w:p w14:paraId="4C06789F" w14:textId="1916D85A" w:rsidR="000A6F5D" w:rsidRPr="0095692E" w:rsidRDefault="00167C87" w:rsidP="00484DBE">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w:t>
      </w:r>
      <w:r w:rsidRPr="0095692E">
        <w:rPr>
          <w:rFonts w:ascii="Verdana" w:hAnsi="Verdana"/>
          <w:b/>
          <w:bCs/>
          <w:i/>
          <w:iCs/>
          <w:sz w:val="20"/>
          <w:szCs w:val="20"/>
        </w:rPr>
        <w:t xml:space="preserve">Comisión </w:t>
      </w:r>
      <w:r w:rsidRPr="0095692E">
        <w:rPr>
          <w:rFonts w:ascii="Verdana" w:hAnsi="Verdana"/>
          <w:sz w:val="20"/>
          <w:szCs w:val="20"/>
        </w:rPr>
        <w:t xml:space="preserve">valoró el reconocimiento </w:t>
      </w:r>
      <w:r w:rsidR="001F50AB" w:rsidRPr="0095692E">
        <w:rPr>
          <w:rFonts w:ascii="Verdana" w:hAnsi="Verdana"/>
          <w:sz w:val="20"/>
          <w:szCs w:val="20"/>
        </w:rPr>
        <w:t>realizado</w:t>
      </w:r>
      <w:r w:rsidRPr="0095692E">
        <w:rPr>
          <w:rFonts w:ascii="Verdana" w:hAnsi="Verdana"/>
          <w:sz w:val="20"/>
          <w:szCs w:val="20"/>
        </w:rPr>
        <w:t xml:space="preserve"> por el Estado</w:t>
      </w:r>
      <w:r w:rsidR="001F50AB" w:rsidRPr="0095692E">
        <w:rPr>
          <w:rFonts w:ascii="Verdana" w:hAnsi="Verdana"/>
          <w:sz w:val="20"/>
          <w:szCs w:val="20"/>
        </w:rPr>
        <w:t xml:space="preserve"> en la audiencia pública y resaltó que dicho reconocimiento abarcó todos los aspectos de hecho y </w:t>
      </w:r>
      <w:r w:rsidR="00C83638" w:rsidRPr="0095692E">
        <w:rPr>
          <w:rFonts w:ascii="Verdana" w:hAnsi="Verdana"/>
          <w:sz w:val="20"/>
          <w:szCs w:val="20"/>
        </w:rPr>
        <w:t>derechos establecidos</w:t>
      </w:r>
      <w:r w:rsidR="001F50AB" w:rsidRPr="0095692E">
        <w:rPr>
          <w:rFonts w:ascii="Verdana" w:hAnsi="Verdana"/>
          <w:sz w:val="20"/>
          <w:szCs w:val="20"/>
        </w:rPr>
        <w:t xml:space="preserve"> por la Comisión en su Informe de Fondo, así como del escrito de solicitudes y argumentos de los representantes</w:t>
      </w:r>
      <w:r w:rsidR="0097519F" w:rsidRPr="0095692E">
        <w:rPr>
          <w:rFonts w:ascii="Verdana" w:hAnsi="Verdana"/>
          <w:sz w:val="20"/>
          <w:szCs w:val="20"/>
        </w:rPr>
        <w:t>.</w:t>
      </w:r>
      <w:r w:rsidR="00891409" w:rsidRPr="0095692E">
        <w:rPr>
          <w:rFonts w:ascii="Verdana" w:hAnsi="Verdana"/>
          <w:sz w:val="20"/>
          <w:szCs w:val="20"/>
        </w:rPr>
        <w:t xml:space="preserve"> </w:t>
      </w:r>
      <w:r w:rsidR="00C83638" w:rsidRPr="0095692E">
        <w:rPr>
          <w:rFonts w:ascii="Verdana" w:hAnsi="Verdana"/>
          <w:sz w:val="20"/>
          <w:szCs w:val="20"/>
        </w:rPr>
        <w:t xml:space="preserve">Por otra parte, solicitó a la Corte emitir una sentencia en la cual determine los hechos, las violaciones ocurridas y las medidas de reparación que el Estado debería adoptar. </w:t>
      </w:r>
    </w:p>
    <w:p w14:paraId="2F4E4C6C" w14:textId="77777777" w:rsidR="000A6F5D" w:rsidRPr="0095692E" w:rsidRDefault="000A6F5D" w:rsidP="00484DBE">
      <w:pPr>
        <w:pStyle w:val="Prrafodelista"/>
        <w:spacing w:after="0" w:line="240" w:lineRule="auto"/>
        <w:ind w:left="0"/>
        <w:contextualSpacing w:val="0"/>
        <w:rPr>
          <w:rFonts w:ascii="Verdana" w:hAnsi="Verdana"/>
          <w:sz w:val="20"/>
          <w:szCs w:val="20"/>
        </w:rPr>
      </w:pPr>
    </w:p>
    <w:p w14:paraId="6CD40A15" w14:textId="372EC0B2" w:rsidR="00986528" w:rsidRPr="0095692E" w:rsidRDefault="00327638" w:rsidP="00175049">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Los</w:t>
      </w:r>
      <w:r w:rsidR="0097519F" w:rsidRPr="0095692E">
        <w:rPr>
          <w:rFonts w:ascii="Verdana" w:hAnsi="Verdana"/>
          <w:sz w:val="20"/>
          <w:szCs w:val="20"/>
        </w:rPr>
        <w:t xml:space="preserve"> </w:t>
      </w:r>
      <w:r w:rsidR="0097519F" w:rsidRPr="0095692E">
        <w:rPr>
          <w:rFonts w:ascii="Verdana" w:hAnsi="Verdana"/>
          <w:b/>
          <w:bCs/>
          <w:i/>
          <w:iCs/>
          <w:sz w:val="20"/>
          <w:szCs w:val="20"/>
        </w:rPr>
        <w:t>representante</w:t>
      </w:r>
      <w:r w:rsidRPr="0095692E">
        <w:rPr>
          <w:rFonts w:ascii="Verdana" w:hAnsi="Verdana"/>
          <w:b/>
          <w:bCs/>
          <w:i/>
          <w:iCs/>
          <w:sz w:val="20"/>
          <w:szCs w:val="20"/>
        </w:rPr>
        <w:t>s</w:t>
      </w:r>
      <w:r w:rsidR="008F1EE9" w:rsidRPr="0095692E">
        <w:rPr>
          <w:rFonts w:ascii="Verdana" w:hAnsi="Verdana"/>
          <w:bCs/>
          <w:iCs/>
          <w:sz w:val="20"/>
          <w:szCs w:val="20"/>
        </w:rPr>
        <w:t xml:space="preserve"> </w:t>
      </w:r>
      <w:r w:rsidR="00F41A32" w:rsidRPr="0095692E">
        <w:rPr>
          <w:rFonts w:ascii="Verdana" w:hAnsi="Verdana"/>
          <w:bCs/>
          <w:iCs/>
          <w:sz w:val="20"/>
          <w:szCs w:val="20"/>
        </w:rPr>
        <w:t>valoraron el reconocimiento de responsabilidad que efectuó Honduras</w:t>
      </w:r>
      <w:r w:rsidR="000116B1" w:rsidRPr="0095692E">
        <w:rPr>
          <w:rFonts w:ascii="Verdana" w:hAnsi="Verdana"/>
          <w:bCs/>
          <w:iCs/>
          <w:sz w:val="20"/>
          <w:szCs w:val="20"/>
        </w:rPr>
        <w:t>.</w:t>
      </w:r>
      <w:r w:rsidR="00007419" w:rsidRPr="0095692E">
        <w:rPr>
          <w:rFonts w:ascii="Verdana" w:hAnsi="Verdana"/>
          <w:bCs/>
          <w:iCs/>
          <w:sz w:val="20"/>
          <w:szCs w:val="20"/>
        </w:rPr>
        <w:t xml:space="preserve"> </w:t>
      </w:r>
      <w:r w:rsidR="000116B1" w:rsidRPr="0095692E">
        <w:rPr>
          <w:rFonts w:ascii="Verdana" w:hAnsi="Verdana"/>
          <w:bCs/>
          <w:iCs/>
          <w:sz w:val="20"/>
          <w:szCs w:val="20"/>
        </w:rPr>
        <w:t>R</w:t>
      </w:r>
      <w:r w:rsidR="00007419" w:rsidRPr="0095692E">
        <w:rPr>
          <w:rFonts w:ascii="Verdana" w:hAnsi="Verdana"/>
          <w:bCs/>
          <w:iCs/>
          <w:sz w:val="20"/>
          <w:szCs w:val="20"/>
        </w:rPr>
        <w:t xml:space="preserve">econocieron “el valor moral del Estado […] y su actitud frente a las víctimas durante la audiencia pública” y reiteraron que “era el inicio de la reparación y la sanación”. Por otro lado, </w:t>
      </w:r>
      <w:r w:rsidR="00A47F02" w:rsidRPr="0095692E">
        <w:rPr>
          <w:rFonts w:ascii="Verdana" w:hAnsi="Verdana"/>
          <w:sz w:val="20"/>
          <w:szCs w:val="20"/>
        </w:rPr>
        <w:t>s</w:t>
      </w:r>
      <w:r w:rsidR="008F1EE9" w:rsidRPr="0095692E">
        <w:rPr>
          <w:rFonts w:ascii="Verdana" w:hAnsi="Verdana"/>
          <w:sz w:val="20"/>
          <w:szCs w:val="20"/>
        </w:rPr>
        <w:t>olicita</w:t>
      </w:r>
      <w:r w:rsidR="00A47F02" w:rsidRPr="0095692E">
        <w:rPr>
          <w:rFonts w:ascii="Verdana" w:hAnsi="Verdana"/>
          <w:sz w:val="20"/>
          <w:szCs w:val="20"/>
        </w:rPr>
        <w:t xml:space="preserve">ron </w:t>
      </w:r>
      <w:r w:rsidR="008F1EE9" w:rsidRPr="0095692E">
        <w:rPr>
          <w:rFonts w:ascii="Verdana" w:hAnsi="Verdana"/>
          <w:sz w:val="20"/>
          <w:szCs w:val="20"/>
        </w:rPr>
        <w:t xml:space="preserve">a la Corte que </w:t>
      </w:r>
      <w:r w:rsidR="00A47F02" w:rsidRPr="0095692E">
        <w:rPr>
          <w:rFonts w:ascii="Verdana" w:hAnsi="Verdana"/>
          <w:sz w:val="20"/>
          <w:szCs w:val="20"/>
        </w:rPr>
        <w:t>“</w:t>
      </w:r>
      <w:r w:rsidR="00484DBE" w:rsidRPr="0095692E">
        <w:rPr>
          <w:rFonts w:ascii="Verdana" w:hAnsi="Verdana"/>
          <w:sz w:val="20"/>
          <w:szCs w:val="20"/>
        </w:rPr>
        <w:t>esclarezca los hechos teniendo presente los testimonios de los familiares, testigos y peritos ofrecidos en el marco de la audiencia pública</w:t>
      </w:r>
      <w:r w:rsidR="00A47F02" w:rsidRPr="0095692E">
        <w:rPr>
          <w:rFonts w:ascii="Verdana" w:hAnsi="Verdana"/>
          <w:sz w:val="20"/>
          <w:szCs w:val="20"/>
        </w:rPr>
        <w:t>”.</w:t>
      </w:r>
      <w:r w:rsidR="006B505C" w:rsidRPr="0095692E">
        <w:rPr>
          <w:rFonts w:ascii="Verdana" w:hAnsi="Verdana"/>
          <w:sz w:val="20"/>
          <w:szCs w:val="20"/>
        </w:rPr>
        <w:t xml:space="preserve"> Fundamentaron tal solicitud </w:t>
      </w:r>
      <w:r w:rsidR="00986528" w:rsidRPr="0095692E">
        <w:rPr>
          <w:rFonts w:ascii="Verdana" w:hAnsi="Verdana"/>
          <w:sz w:val="20"/>
          <w:szCs w:val="20"/>
        </w:rPr>
        <w:t xml:space="preserve">en el hecho de que “el presente caso [sería] paradigmático en Honduras no solo por la figura político-sindical, periodística de Herminio Deras, sino porque resulta[ría] evidente la existencia de un móvil político detrás de su muerte y el interés de la política estatal para que la ejecución de un oponente político como era Herminio quedara impune”. Adicionalmente, señalaron que una </w:t>
      </w:r>
      <w:r w:rsidR="00F41A32" w:rsidRPr="0095692E">
        <w:rPr>
          <w:rFonts w:ascii="Verdana" w:hAnsi="Verdana"/>
          <w:sz w:val="20"/>
          <w:szCs w:val="20"/>
        </w:rPr>
        <w:t>sentencia de fondo sería importante para el “fortalecimiento del estado de derecho y a la búsqueda de la justicia y la verdad</w:t>
      </w:r>
      <w:r w:rsidR="000A6F5D" w:rsidRPr="0095692E">
        <w:rPr>
          <w:rFonts w:ascii="Verdana" w:hAnsi="Verdana"/>
          <w:sz w:val="20"/>
          <w:szCs w:val="20"/>
        </w:rPr>
        <w:t xml:space="preserve">”, así como “del alcance político que tiene el reconocimiento de responsabilidad </w:t>
      </w:r>
      <w:r w:rsidR="005A55F5" w:rsidRPr="0095692E">
        <w:rPr>
          <w:rFonts w:ascii="Verdana" w:hAnsi="Verdana"/>
          <w:sz w:val="20"/>
          <w:szCs w:val="20"/>
        </w:rPr>
        <w:t xml:space="preserve">efectuado por </w:t>
      </w:r>
      <w:r w:rsidR="000A6F5D" w:rsidRPr="0095692E">
        <w:rPr>
          <w:rFonts w:ascii="Verdana" w:hAnsi="Verdana"/>
          <w:sz w:val="20"/>
          <w:szCs w:val="20"/>
        </w:rPr>
        <w:t>el Estado”.</w:t>
      </w:r>
    </w:p>
    <w:p w14:paraId="457DB522" w14:textId="77777777" w:rsidR="00986528" w:rsidRPr="0095692E" w:rsidRDefault="00986528" w:rsidP="00A80648">
      <w:pPr>
        <w:pStyle w:val="Prrafodelista"/>
        <w:spacing w:after="0" w:line="240" w:lineRule="auto"/>
        <w:ind w:left="0"/>
        <w:contextualSpacing w:val="0"/>
        <w:jc w:val="both"/>
        <w:rPr>
          <w:rFonts w:ascii="Verdana" w:hAnsi="Verdana"/>
          <w:sz w:val="20"/>
          <w:szCs w:val="20"/>
        </w:rPr>
      </w:pPr>
    </w:p>
    <w:p w14:paraId="4146178C" w14:textId="77777777" w:rsidR="00167C87" w:rsidRPr="0095692E" w:rsidRDefault="00167C87" w:rsidP="00A80648">
      <w:pPr>
        <w:pStyle w:val="Ttulo2"/>
        <w:rPr>
          <w:lang w:val="es-CR"/>
        </w:rPr>
      </w:pPr>
      <w:bookmarkStart w:id="17" w:name="_Toc42498028"/>
      <w:bookmarkStart w:id="18" w:name="_Toc46937276"/>
      <w:bookmarkStart w:id="19" w:name="_Toc66779187"/>
      <w:bookmarkStart w:id="20" w:name="_Toc80002605"/>
      <w:bookmarkStart w:id="21" w:name="_Toc115262473"/>
      <w:r w:rsidRPr="0095692E">
        <w:rPr>
          <w:lang w:val="es-CR"/>
        </w:rPr>
        <w:t>Consideraciones de la Corte</w:t>
      </w:r>
      <w:bookmarkEnd w:id="17"/>
      <w:bookmarkEnd w:id="18"/>
      <w:bookmarkEnd w:id="19"/>
      <w:bookmarkEnd w:id="20"/>
      <w:bookmarkEnd w:id="21"/>
    </w:p>
    <w:p w14:paraId="390231C2" w14:textId="77777777" w:rsidR="00167C87" w:rsidRPr="0095692E" w:rsidRDefault="00167C87" w:rsidP="00A80648">
      <w:pPr>
        <w:rPr>
          <w:rFonts w:ascii="Verdana" w:hAnsi="Verdana"/>
          <w:sz w:val="20"/>
          <w:szCs w:val="20"/>
        </w:rPr>
      </w:pPr>
    </w:p>
    <w:p w14:paraId="34179352" w14:textId="077B7C2C" w:rsidR="00D25179" w:rsidRPr="0095692E" w:rsidRDefault="00167C87"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D</w:t>
      </w:r>
      <w:r w:rsidRPr="0095692E">
        <w:rPr>
          <w:rFonts w:ascii="Verdana" w:hAnsi="Verdana"/>
          <w:spacing w:val="-2"/>
          <w:sz w:val="20"/>
          <w:szCs w:val="20"/>
        </w:rPr>
        <w:t xml:space="preserve">e conformidad con los artículos 62 y 64 del Reglamento, y en ejercicio de sus poderes de tutela judicial internacional de derechos humanos, cuestión de orden público internacional, incumbe a este Tribunal velar porque los actos de reconocimiento de </w:t>
      </w:r>
      <w:r w:rsidRPr="0095692E">
        <w:rPr>
          <w:rFonts w:ascii="Verdana" w:hAnsi="Verdana"/>
          <w:spacing w:val="-2"/>
          <w:sz w:val="20"/>
          <w:szCs w:val="20"/>
        </w:rPr>
        <w:lastRenderedPageBreak/>
        <w:t>responsabilidad resulten aceptables para los fines que busca cumplir el sistema interamericano</w:t>
      </w:r>
      <w:r w:rsidRPr="0095692E">
        <w:rPr>
          <w:rFonts w:ascii="Verdana" w:hAnsi="Verdana"/>
          <w:sz w:val="20"/>
          <w:szCs w:val="20"/>
          <w:vertAlign w:val="superscript"/>
        </w:rPr>
        <w:footnoteReference w:id="11"/>
      </w:r>
      <w:r w:rsidRPr="0095692E">
        <w:rPr>
          <w:rFonts w:ascii="Verdana" w:hAnsi="Verdana"/>
          <w:spacing w:val="-2"/>
          <w:sz w:val="20"/>
          <w:szCs w:val="20"/>
        </w:rPr>
        <w:t>.</w:t>
      </w:r>
    </w:p>
    <w:p w14:paraId="5B366D62" w14:textId="77777777" w:rsidR="00D25179" w:rsidRPr="0095692E" w:rsidRDefault="00D25179" w:rsidP="00A80648">
      <w:pPr>
        <w:pStyle w:val="Prrafodelista"/>
        <w:spacing w:after="0" w:line="240" w:lineRule="auto"/>
        <w:ind w:left="0"/>
        <w:contextualSpacing w:val="0"/>
        <w:jc w:val="both"/>
        <w:rPr>
          <w:rFonts w:ascii="Verdana" w:hAnsi="Verdana"/>
          <w:sz w:val="20"/>
          <w:szCs w:val="20"/>
        </w:rPr>
      </w:pPr>
    </w:p>
    <w:p w14:paraId="7788B1AD" w14:textId="2506F905" w:rsidR="00DC70A9" w:rsidRPr="0095692E" w:rsidRDefault="00DC70A9" w:rsidP="00E63D0E">
      <w:pPr>
        <w:pStyle w:val="Ttulo3"/>
        <w:jc w:val="both"/>
        <w:rPr>
          <w:b w:val="0"/>
          <w:bCs/>
          <w:lang w:val="es-CR"/>
        </w:rPr>
      </w:pPr>
      <w:bookmarkStart w:id="22" w:name="_Toc115262474"/>
      <w:r w:rsidRPr="0095692E">
        <w:rPr>
          <w:b w:val="0"/>
          <w:bCs/>
          <w:lang w:val="es-CR"/>
        </w:rPr>
        <w:t>B.1.</w:t>
      </w:r>
      <w:r w:rsidRPr="0095692E">
        <w:rPr>
          <w:lang w:val="es-CR"/>
        </w:rPr>
        <w:t xml:space="preserve"> </w:t>
      </w:r>
      <w:r w:rsidRPr="0095692E">
        <w:rPr>
          <w:b w:val="0"/>
          <w:bCs/>
          <w:lang w:val="es-CR"/>
        </w:rPr>
        <w:t>En cuanto a los hechos</w:t>
      </w:r>
      <w:bookmarkEnd w:id="22"/>
      <w:r w:rsidRPr="0095692E">
        <w:rPr>
          <w:b w:val="0"/>
          <w:bCs/>
          <w:lang w:val="es-CR"/>
        </w:rPr>
        <w:t xml:space="preserve"> </w:t>
      </w:r>
    </w:p>
    <w:p w14:paraId="10C314AE" w14:textId="77777777" w:rsidR="00DC70A9" w:rsidRPr="0095692E" w:rsidRDefault="00DC70A9" w:rsidP="00A80648">
      <w:pPr>
        <w:pStyle w:val="Prrafodelista"/>
        <w:spacing w:after="0" w:line="240" w:lineRule="auto"/>
        <w:ind w:left="0"/>
        <w:contextualSpacing w:val="0"/>
        <w:jc w:val="both"/>
        <w:rPr>
          <w:rFonts w:ascii="Verdana" w:hAnsi="Verdana"/>
          <w:sz w:val="20"/>
          <w:szCs w:val="20"/>
        </w:rPr>
      </w:pPr>
    </w:p>
    <w:p w14:paraId="757C7B78" w14:textId="5CE5D1FA" w:rsidR="00B03586" w:rsidRPr="0095692E" w:rsidRDefault="00D25179"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el presente caso, la Corte considera que, de las afirmaciones del Estado durante la audiencia pública </w:t>
      </w:r>
      <w:r w:rsidR="00EF5F11" w:rsidRPr="0095692E">
        <w:rPr>
          <w:rFonts w:ascii="Verdana" w:hAnsi="Verdana"/>
          <w:sz w:val="20"/>
          <w:szCs w:val="20"/>
        </w:rPr>
        <w:t>celebrada los días 10 y 11 de mayo de 2022, y de su escrito de “allanamiento total” presentado al Tribunal en aquella ocasión</w:t>
      </w:r>
      <w:r w:rsidRPr="0095692E">
        <w:rPr>
          <w:rFonts w:ascii="Verdana" w:hAnsi="Verdana"/>
          <w:sz w:val="20"/>
          <w:szCs w:val="20"/>
        </w:rPr>
        <w:t>, se desprende con cl</w:t>
      </w:r>
      <w:r w:rsidR="00707203" w:rsidRPr="0095692E">
        <w:rPr>
          <w:rFonts w:ascii="Verdana" w:hAnsi="Verdana"/>
          <w:sz w:val="20"/>
          <w:szCs w:val="20"/>
        </w:rPr>
        <w:t xml:space="preserve">aridad que </w:t>
      </w:r>
      <w:r w:rsidR="00F31C4A" w:rsidRPr="0095692E">
        <w:rPr>
          <w:rFonts w:ascii="Verdana" w:hAnsi="Verdana"/>
          <w:sz w:val="20"/>
          <w:szCs w:val="20"/>
        </w:rPr>
        <w:t xml:space="preserve">Honduras </w:t>
      </w:r>
      <w:r w:rsidR="00707203" w:rsidRPr="0095692E">
        <w:rPr>
          <w:rFonts w:ascii="Verdana" w:hAnsi="Verdana"/>
          <w:sz w:val="20"/>
          <w:szCs w:val="20"/>
        </w:rPr>
        <w:t xml:space="preserve">ha </w:t>
      </w:r>
      <w:r w:rsidR="00944820" w:rsidRPr="0095692E">
        <w:rPr>
          <w:rFonts w:ascii="Verdana" w:hAnsi="Verdana"/>
          <w:sz w:val="20"/>
          <w:szCs w:val="20"/>
        </w:rPr>
        <w:t>realizado un</w:t>
      </w:r>
      <w:r w:rsidR="00341E9B" w:rsidRPr="0095692E">
        <w:rPr>
          <w:rFonts w:ascii="Verdana" w:hAnsi="Verdana"/>
          <w:sz w:val="20"/>
          <w:szCs w:val="20"/>
        </w:rPr>
        <w:t>a</w:t>
      </w:r>
      <w:r w:rsidR="00944820" w:rsidRPr="0095692E">
        <w:rPr>
          <w:rFonts w:ascii="Verdana" w:hAnsi="Verdana"/>
          <w:sz w:val="20"/>
          <w:szCs w:val="20"/>
        </w:rPr>
        <w:t xml:space="preserve"> </w:t>
      </w:r>
      <w:r w:rsidR="00341E9B" w:rsidRPr="0095692E">
        <w:rPr>
          <w:rFonts w:ascii="Verdana" w:hAnsi="Verdana"/>
          <w:sz w:val="20"/>
          <w:szCs w:val="20"/>
        </w:rPr>
        <w:t xml:space="preserve">aceptación </w:t>
      </w:r>
      <w:r w:rsidR="0047060B" w:rsidRPr="0095692E">
        <w:rPr>
          <w:rFonts w:ascii="Verdana" w:hAnsi="Verdana"/>
          <w:sz w:val="20"/>
          <w:szCs w:val="20"/>
        </w:rPr>
        <w:t xml:space="preserve">total de los hechos </w:t>
      </w:r>
      <w:r w:rsidR="00DD50F6" w:rsidRPr="0095692E">
        <w:rPr>
          <w:rFonts w:ascii="Verdana" w:hAnsi="Verdana"/>
          <w:sz w:val="20"/>
          <w:szCs w:val="20"/>
        </w:rPr>
        <w:t>establecidos</w:t>
      </w:r>
      <w:r w:rsidR="00D32868" w:rsidRPr="0095692E">
        <w:rPr>
          <w:rFonts w:ascii="Verdana" w:hAnsi="Verdana"/>
          <w:sz w:val="20"/>
          <w:szCs w:val="20"/>
        </w:rPr>
        <w:t xml:space="preserve"> por la Comisión en su Informe de Fondo</w:t>
      </w:r>
      <w:r w:rsidR="00731441" w:rsidRPr="0095692E">
        <w:rPr>
          <w:rFonts w:ascii="Verdana" w:hAnsi="Verdana"/>
          <w:sz w:val="20"/>
          <w:szCs w:val="20"/>
        </w:rPr>
        <w:t xml:space="preserve"> y por los representantes en </w:t>
      </w:r>
      <w:r w:rsidR="007F2BB6" w:rsidRPr="0095692E">
        <w:rPr>
          <w:rFonts w:ascii="Verdana" w:hAnsi="Verdana"/>
          <w:sz w:val="20"/>
          <w:szCs w:val="20"/>
        </w:rPr>
        <w:t>su</w:t>
      </w:r>
      <w:r w:rsidR="00731441" w:rsidRPr="0095692E">
        <w:rPr>
          <w:rFonts w:ascii="Verdana" w:hAnsi="Verdana"/>
          <w:sz w:val="20"/>
          <w:szCs w:val="20"/>
        </w:rPr>
        <w:t xml:space="preserve"> escrito de solicitudes</w:t>
      </w:r>
      <w:r w:rsidR="00303BE7" w:rsidRPr="0095692E">
        <w:rPr>
          <w:rFonts w:ascii="Verdana" w:hAnsi="Verdana"/>
          <w:sz w:val="20"/>
          <w:szCs w:val="20"/>
        </w:rPr>
        <w:t xml:space="preserve"> y</w:t>
      </w:r>
      <w:r w:rsidR="00731441" w:rsidRPr="0095692E">
        <w:rPr>
          <w:rFonts w:ascii="Verdana" w:hAnsi="Verdana"/>
          <w:sz w:val="20"/>
          <w:szCs w:val="20"/>
        </w:rPr>
        <w:t xml:space="preserve"> argumentos</w:t>
      </w:r>
      <w:r w:rsidR="00EE6DDA" w:rsidRPr="0095692E">
        <w:rPr>
          <w:rStyle w:val="Refdenotaalpie"/>
          <w:rFonts w:ascii="Verdana" w:hAnsi="Verdana"/>
          <w:sz w:val="20"/>
          <w:szCs w:val="20"/>
        </w:rPr>
        <w:footnoteReference w:id="12"/>
      </w:r>
      <w:r w:rsidR="00B17BCA" w:rsidRPr="0095692E">
        <w:rPr>
          <w:rFonts w:ascii="Verdana" w:hAnsi="Verdana"/>
          <w:sz w:val="20"/>
          <w:szCs w:val="20"/>
        </w:rPr>
        <w:t xml:space="preserve">. En consecuencia, la Corte considera que ha cesado la controversia respecto de </w:t>
      </w:r>
      <w:r w:rsidR="00B03586" w:rsidRPr="0095692E">
        <w:rPr>
          <w:rFonts w:ascii="Verdana" w:hAnsi="Verdana"/>
          <w:sz w:val="20"/>
          <w:szCs w:val="20"/>
        </w:rPr>
        <w:t>l</w:t>
      </w:r>
      <w:r w:rsidR="00731441" w:rsidRPr="0095692E">
        <w:rPr>
          <w:rFonts w:ascii="Verdana" w:hAnsi="Verdana"/>
          <w:sz w:val="20"/>
          <w:szCs w:val="20"/>
        </w:rPr>
        <w:t>a totalidad de los hechos que conforman el marco fáctico del presente caso</w:t>
      </w:r>
      <w:r w:rsidR="00353546" w:rsidRPr="0095692E">
        <w:rPr>
          <w:rFonts w:ascii="Verdana" w:hAnsi="Verdana"/>
          <w:sz w:val="20"/>
          <w:szCs w:val="20"/>
        </w:rPr>
        <w:t>, es decir</w:t>
      </w:r>
      <w:r w:rsidR="00E339AA" w:rsidRPr="0095692E">
        <w:rPr>
          <w:rFonts w:ascii="Verdana" w:hAnsi="Verdana"/>
          <w:sz w:val="20"/>
          <w:szCs w:val="20"/>
        </w:rPr>
        <w:t>,</w:t>
      </w:r>
      <w:r w:rsidR="00353546" w:rsidRPr="0095692E">
        <w:rPr>
          <w:rFonts w:ascii="Verdana" w:hAnsi="Verdana"/>
          <w:sz w:val="20"/>
          <w:szCs w:val="20"/>
        </w:rPr>
        <w:t xml:space="preserve"> de los hechos relacionados con: a) </w:t>
      </w:r>
      <w:r w:rsidR="00C73BF7" w:rsidRPr="0095692E">
        <w:rPr>
          <w:rFonts w:ascii="Verdana" w:hAnsi="Verdana"/>
          <w:sz w:val="20"/>
          <w:szCs w:val="20"/>
        </w:rPr>
        <w:t xml:space="preserve">el contexto de graves violaciones de derechos humanos </w:t>
      </w:r>
      <w:r w:rsidR="00827246" w:rsidRPr="0095692E">
        <w:rPr>
          <w:rFonts w:ascii="Verdana" w:hAnsi="Verdana"/>
          <w:sz w:val="20"/>
          <w:szCs w:val="20"/>
        </w:rPr>
        <w:t xml:space="preserve">en el marco de la doctrina de </w:t>
      </w:r>
      <w:r w:rsidR="006709D5" w:rsidRPr="0095692E">
        <w:rPr>
          <w:rFonts w:ascii="Verdana" w:hAnsi="Verdana"/>
          <w:sz w:val="20"/>
          <w:szCs w:val="20"/>
        </w:rPr>
        <w:t xml:space="preserve">la </w:t>
      </w:r>
      <w:r w:rsidR="00827246" w:rsidRPr="0095692E">
        <w:rPr>
          <w:rFonts w:ascii="Verdana" w:hAnsi="Verdana"/>
          <w:sz w:val="20"/>
          <w:szCs w:val="20"/>
        </w:rPr>
        <w:t>seguridad nacional</w:t>
      </w:r>
      <w:r w:rsidR="00C73BF7" w:rsidRPr="0095692E">
        <w:rPr>
          <w:rFonts w:ascii="Verdana" w:hAnsi="Verdana"/>
          <w:sz w:val="20"/>
          <w:szCs w:val="20"/>
        </w:rPr>
        <w:t xml:space="preserve"> </w:t>
      </w:r>
      <w:r w:rsidR="00827246" w:rsidRPr="0095692E">
        <w:rPr>
          <w:rFonts w:ascii="Verdana" w:hAnsi="Verdana"/>
          <w:sz w:val="20"/>
          <w:szCs w:val="20"/>
        </w:rPr>
        <w:t>en Honduras</w:t>
      </w:r>
      <w:r w:rsidR="00353546" w:rsidRPr="0095692E">
        <w:rPr>
          <w:rFonts w:ascii="Verdana" w:hAnsi="Verdana"/>
          <w:sz w:val="20"/>
          <w:szCs w:val="20"/>
        </w:rPr>
        <w:t xml:space="preserve">; b) </w:t>
      </w:r>
      <w:r w:rsidR="00896AE1" w:rsidRPr="0095692E">
        <w:rPr>
          <w:rFonts w:ascii="Verdana" w:hAnsi="Verdana"/>
          <w:sz w:val="20"/>
          <w:szCs w:val="20"/>
        </w:rPr>
        <w:t>la muerte de Herminio Deras García</w:t>
      </w:r>
      <w:r w:rsidR="00353546" w:rsidRPr="0095692E">
        <w:rPr>
          <w:rFonts w:ascii="Verdana" w:hAnsi="Verdana"/>
          <w:sz w:val="20"/>
          <w:szCs w:val="20"/>
        </w:rPr>
        <w:t xml:space="preserve">; c) </w:t>
      </w:r>
      <w:r w:rsidR="00896AE1" w:rsidRPr="0095692E">
        <w:rPr>
          <w:rFonts w:ascii="Verdana" w:hAnsi="Verdana"/>
          <w:sz w:val="20"/>
          <w:szCs w:val="20"/>
        </w:rPr>
        <w:t>los hechos relacionados con la familia de Herminio Deras García</w:t>
      </w:r>
      <w:r w:rsidR="007F2BB6" w:rsidRPr="0095692E">
        <w:rPr>
          <w:rFonts w:ascii="Verdana" w:hAnsi="Verdana"/>
          <w:sz w:val="20"/>
          <w:szCs w:val="20"/>
        </w:rPr>
        <w:t>,</w:t>
      </w:r>
      <w:r w:rsidR="00353546" w:rsidRPr="0095692E">
        <w:rPr>
          <w:rFonts w:ascii="Verdana" w:hAnsi="Verdana"/>
          <w:sz w:val="20"/>
          <w:szCs w:val="20"/>
        </w:rPr>
        <w:t xml:space="preserve"> y d) </w:t>
      </w:r>
      <w:r w:rsidR="00896AE1" w:rsidRPr="0095692E">
        <w:rPr>
          <w:rFonts w:ascii="Verdana" w:hAnsi="Verdana"/>
          <w:sz w:val="20"/>
          <w:szCs w:val="20"/>
        </w:rPr>
        <w:t>el proceso penal iniciado en razón de la muerte de Herminio Deras García</w:t>
      </w:r>
      <w:r w:rsidR="00731441" w:rsidRPr="0095692E">
        <w:rPr>
          <w:rFonts w:ascii="Verdana" w:hAnsi="Verdana"/>
          <w:sz w:val="20"/>
          <w:szCs w:val="20"/>
        </w:rPr>
        <w:t>.</w:t>
      </w:r>
    </w:p>
    <w:p w14:paraId="78B20CDD" w14:textId="0A66B30D" w:rsidR="00DD50F6" w:rsidRPr="0095692E" w:rsidRDefault="00DD50F6" w:rsidP="00A80648">
      <w:pPr>
        <w:pStyle w:val="Prrafodelista"/>
        <w:spacing w:after="0" w:line="240" w:lineRule="auto"/>
        <w:ind w:left="0"/>
        <w:contextualSpacing w:val="0"/>
        <w:jc w:val="both"/>
        <w:rPr>
          <w:rFonts w:ascii="Verdana" w:hAnsi="Verdana"/>
          <w:sz w:val="20"/>
          <w:szCs w:val="20"/>
        </w:rPr>
      </w:pPr>
    </w:p>
    <w:p w14:paraId="4AAF90D3" w14:textId="21D840D5" w:rsidR="00806598" w:rsidRPr="0095692E" w:rsidRDefault="00806598" w:rsidP="00A80648">
      <w:pPr>
        <w:pStyle w:val="Ttulo3"/>
        <w:rPr>
          <w:b w:val="0"/>
          <w:bCs/>
          <w:lang w:val="es-CR"/>
        </w:rPr>
      </w:pPr>
      <w:bookmarkStart w:id="23" w:name="_Toc115262475"/>
      <w:r w:rsidRPr="0095692E">
        <w:rPr>
          <w:b w:val="0"/>
          <w:bCs/>
          <w:lang w:val="es-CR"/>
        </w:rPr>
        <w:t>B.2. En cuanto a las pretensiones de derecho</w:t>
      </w:r>
      <w:bookmarkEnd w:id="23"/>
      <w:r w:rsidRPr="0095692E">
        <w:rPr>
          <w:b w:val="0"/>
          <w:bCs/>
          <w:lang w:val="es-CR"/>
        </w:rPr>
        <w:t xml:space="preserve"> </w:t>
      </w:r>
    </w:p>
    <w:p w14:paraId="470C6BEE" w14:textId="77777777" w:rsidR="00806598" w:rsidRPr="0095692E" w:rsidRDefault="00806598" w:rsidP="00A80648">
      <w:pPr>
        <w:pStyle w:val="Prrafodelista"/>
        <w:spacing w:after="0" w:line="240" w:lineRule="auto"/>
        <w:ind w:left="0"/>
        <w:contextualSpacing w:val="0"/>
        <w:jc w:val="both"/>
        <w:rPr>
          <w:rFonts w:ascii="Verdana" w:hAnsi="Verdana"/>
          <w:sz w:val="20"/>
          <w:szCs w:val="20"/>
        </w:rPr>
      </w:pPr>
    </w:p>
    <w:p w14:paraId="54B1F737" w14:textId="038C7576" w:rsidR="00DD50F6" w:rsidRPr="0095692E" w:rsidRDefault="0080659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L</w:t>
      </w:r>
      <w:r w:rsidR="00DD50F6" w:rsidRPr="0095692E">
        <w:rPr>
          <w:rFonts w:ascii="Verdana" w:hAnsi="Verdana"/>
          <w:sz w:val="20"/>
          <w:szCs w:val="20"/>
        </w:rPr>
        <w:t>a Corte considera que</w:t>
      </w:r>
      <w:r w:rsidR="00D04C80" w:rsidRPr="0095692E">
        <w:rPr>
          <w:rFonts w:ascii="Verdana" w:hAnsi="Verdana"/>
          <w:sz w:val="20"/>
          <w:szCs w:val="20"/>
        </w:rPr>
        <w:t>,</w:t>
      </w:r>
      <w:r w:rsidR="00BF3E3F" w:rsidRPr="0095692E">
        <w:rPr>
          <w:rFonts w:ascii="Verdana" w:hAnsi="Verdana"/>
          <w:sz w:val="20"/>
          <w:szCs w:val="20"/>
        </w:rPr>
        <w:t xml:space="preserve"> </w:t>
      </w:r>
      <w:r w:rsidR="00F31C4A" w:rsidRPr="0095692E">
        <w:rPr>
          <w:rFonts w:ascii="Verdana" w:hAnsi="Verdana"/>
          <w:sz w:val="20"/>
          <w:szCs w:val="20"/>
        </w:rPr>
        <w:t xml:space="preserve">de las afirmaciones del Estado durante la audiencia pública celebrada los días 10 y 11 de mayo de 2022, de su escrito de “allanamiento total” presentado al Tribunal en aquella ocasión y de su escrito de </w:t>
      </w:r>
      <w:r w:rsidR="007F2BB6" w:rsidRPr="0095692E">
        <w:rPr>
          <w:rFonts w:ascii="Verdana" w:hAnsi="Verdana"/>
          <w:sz w:val="20"/>
          <w:szCs w:val="20"/>
        </w:rPr>
        <w:t>20</w:t>
      </w:r>
      <w:r w:rsidR="00F31C4A" w:rsidRPr="0095692E">
        <w:rPr>
          <w:rFonts w:ascii="Verdana" w:hAnsi="Verdana"/>
          <w:sz w:val="20"/>
          <w:szCs w:val="20"/>
        </w:rPr>
        <w:t xml:space="preserve"> de mayo de 2022</w:t>
      </w:r>
      <w:r w:rsidR="00DD50F6" w:rsidRPr="0095692E">
        <w:rPr>
          <w:rFonts w:ascii="Verdana" w:hAnsi="Verdana"/>
          <w:sz w:val="20"/>
          <w:szCs w:val="20"/>
        </w:rPr>
        <w:t xml:space="preserve">, se desprende con claridad que </w:t>
      </w:r>
      <w:r w:rsidR="00F31C4A" w:rsidRPr="0095692E">
        <w:rPr>
          <w:rFonts w:ascii="Verdana" w:hAnsi="Verdana"/>
          <w:sz w:val="20"/>
          <w:szCs w:val="20"/>
        </w:rPr>
        <w:t>Honduras</w:t>
      </w:r>
      <w:r w:rsidR="00DD50F6" w:rsidRPr="0095692E">
        <w:rPr>
          <w:rFonts w:ascii="Verdana" w:hAnsi="Verdana"/>
          <w:sz w:val="20"/>
          <w:szCs w:val="20"/>
        </w:rPr>
        <w:t xml:space="preserve"> ha realizado un reconocimiento total de responsabilidad respecto de </w:t>
      </w:r>
      <w:r w:rsidR="00BF3E3F" w:rsidRPr="0095692E">
        <w:rPr>
          <w:rFonts w:ascii="Verdana" w:hAnsi="Verdana"/>
          <w:sz w:val="20"/>
          <w:szCs w:val="20"/>
        </w:rPr>
        <w:t xml:space="preserve">las </w:t>
      </w:r>
      <w:r w:rsidR="00DD50F6" w:rsidRPr="0095692E">
        <w:rPr>
          <w:rFonts w:ascii="Verdana" w:hAnsi="Verdana"/>
          <w:sz w:val="20"/>
          <w:szCs w:val="20"/>
        </w:rPr>
        <w:t>alegadas violaciones a los derechos humanos en los términos planteados por la Comisión en su Informe de Fondo</w:t>
      </w:r>
      <w:r w:rsidR="00F31C4A" w:rsidRPr="0095692E">
        <w:rPr>
          <w:rFonts w:ascii="Verdana" w:hAnsi="Verdana"/>
          <w:sz w:val="20"/>
          <w:szCs w:val="20"/>
        </w:rPr>
        <w:t xml:space="preserve">, así como por los representantes en </w:t>
      </w:r>
      <w:r w:rsidR="001E2AED" w:rsidRPr="0095692E">
        <w:rPr>
          <w:rFonts w:ascii="Verdana" w:hAnsi="Verdana"/>
          <w:sz w:val="20"/>
          <w:szCs w:val="20"/>
        </w:rPr>
        <w:t>su</w:t>
      </w:r>
      <w:r w:rsidR="00F31C4A" w:rsidRPr="0095692E">
        <w:rPr>
          <w:rFonts w:ascii="Verdana" w:hAnsi="Verdana"/>
          <w:sz w:val="20"/>
          <w:szCs w:val="20"/>
        </w:rPr>
        <w:t xml:space="preserve"> escrito de solicitudes y argumentos</w:t>
      </w:r>
      <w:r w:rsidR="001E2AED" w:rsidRPr="0095692E">
        <w:rPr>
          <w:rFonts w:ascii="Verdana" w:hAnsi="Verdana"/>
          <w:sz w:val="20"/>
          <w:szCs w:val="20"/>
        </w:rPr>
        <w:t>,</w:t>
      </w:r>
      <w:r w:rsidR="00F31C4A" w:rsidRPr="0095692E">
        <w:rPr>
          <w:rFonts w:ascii="Verdana" w:hAnsi="Verdana"/>
          <w:sz w:val="20"/>
          <w:szCs w:val="20"/>
        </w:rPr>
        <w:t xml:space="preserve"> y</w:t>
      </w:r>
      <w:r w:rsidR="00DD50F6" w:rsidRPr="0095692E">
        <w:rPr>
          <w:rFonts w:ascii="Verdana" w:hAnsi="Verdana"/>
          <w:sz w:val="20"/>
          <w:szCs w:val="20"/>
        </w:rPr>
        <w:t xml:space="preserve"> ha reconocido la necesidad de adoptar medidas de reparación. En consecuencia, la Corte considera que ha cesado la controversia respecto de l</w:t>
      </w:r>
      <w:r w:rsidR="0088170F" w:rsidRPr="0095692E">
        <w:rPr>
          <w:rFonts w:ascii="Verdana" w:hAnsi="Verdana"/>
          <w:sz w:val="20"/>
          <w:szCs w:val="20"/>
        </w:rPr>
        <w:t xml:space="preserve">a totalidad de las violaciones alegadas, las cuales </w:t>
      </w:r>
      <w:r w:rsidR="009D1B44" w:rsidRPr="0095692E">
        <w:rPr>
          <w:rFonts w:ascii="Verdana" w:hAnsi="Verdana"/>
          <w:sz w:val="20"/>
          <w:szCs w:val="20"/>
        </w:rPr>
        <w:t>cita a continuación</w:t>
      </w:r>
      <w:r w:rsidR="00DD50F6" w:rsidRPr="0095692E">
        <w:rPr>
          <w:rFonts w:ascii="Verdana" w:hAnsi="Verdana"/>
          <w:sz w:val="20"/>
          <w:szCs w:val="20"/>
        </w:rPr>
        <w:t xml:space="preserve">: </w:t>
      </w:r>
    </w:p>
    <w:p w14:paraId="1FC460CD" w14:textId="4E503E3D" w:rsidR="00B03586" w:rsidRPr="0095692E" w:rsidRDefault="00B03586" w:rsidP="00A80648">
      <w:pPr>
        <w:pStyle w:val="Prrafodelista"/>
        <w:spacing w:after="0" w:line="240" w:lineRule="auto"/>
        <w:ind w:left="0"/>
        <w:contextualSpacing w:val="0"/>
        <w:jc w:val="both"/>
        <w:rPr>
          <w:rFonts w:ascii="Verdana" w:hAnsi="Verdana"/>
          <w:sz w:val="20"/>
          <w:szCs w:val="20"/>
        </w:rPr>
      </w:pPr>
    </w:p>
    <w:p w14:paraId="10DF52FB" w14:textId="13F41AFB" w:rsidR="00B03586" w:rsidRPr="0095692E" w:rsidRDefault="00B03586" w:rsidP="00A80648">
      <w:pPr>
        <w:pStyle w:val="Prrafodelista"/>
        <w:numPr>
          <w:ilvl w:val="0"/>
          <w:numId w:val="32"/>
        </w:numPr>
        <w:spacing w:after="0" w:line="240" w:lineRule="auto"/>
        <w:contextualSpacing w:val="0"/>
        <w:jc w:val="both"/>
        <w:rPr>
          <w:rFonts w:ascii="Verdana" w:hAnsi="Verdana"/>
          <w:sz w:val="20"/>
          <w:szCs w:val="20"/>
        </w:rPr>
      </w:pPr>
      <w:bookmarkStart w:id="24" w:name="_Hlk109642285"/>
      <w:r w:rsidRPr="0095692E">
        <w:rPr>
          <w:rFonts w:ascii="Verdana" w:hAnsi="Verdana"/>
          <w:sz w:val="20"/>
          <w:szCs w:val="20"/>
        </w:rPr>
        <w:t xml:space="preserve">La violación a los derechos a </w:t>
      </w:r>
      <w:r w:rsidR="00A25D5E" w:rsidRPr="0095692E">
        <w:rPr>
          <w:rFonts w:ascii="Verdana" w:hAnsi="Verdana"/>
          <w:sz w:val="20"/>
          <w:szCs w:val="20"/>
        </w:rPr>
        <w:t xml:space="preserve">la vida, la integridad personal, </w:t>
      </w:r>
      <w:r w:rsidR="005A5936" w:rsidRPr="0095692E">
        <w:rPr>
          <w:rFonts w:ascii="Verdana" w:hAnsi="Verdana"/>
          <w:sz w:val="20"/>
          <w:szCs w:val="20"/>
        </w:rPr>
        <w:t xml:space="preserve">la </w:t>
      </w:r>
      <w:r w:rsidR="00A25D5E" w:rsidRPr="0095692E">
        <w:rPr>
          <w:rFonts w:ascii="Verdana" w:hAnsi="Verdana"/>
          <w:sz w:val="20"/>
          <w:szCs w:val="20"/>
        </w:rPr>
        <w:t xml:space="preserve">libertad de pensamiento y de expresión, </w:t>
      </w:r>
      <w:r w:rsidR="0035638F" w:rsidRPr="0095692E">
        <w:rPr>
          <w:rFonts w:ascii="Verdana" w:hAnsi="Verdana"/>
          <w:sz w:val="20"/>
          <w:szCs w:val="20"/>
        </w:rPr>
        <w:t xml:space="preserve">la </w:t>
      </w:r>
      <w:r w:rsidR="00A25D5E" w:rsidRPr="0095692E">
        <w:rPr>
          <w:rFonts w:ascii="Verdana" w:hAnsi="Verdana"/>
          <w:sz w:val="20"/>
          <w:szCs w:val="20"/>
        </w:rPr>
        <w:t xml:space="preserve">libertad de asociación y </w:t>
      </w:r>
      <w:r w:rsidR="0035638F" w:rsidRPr="0095692E">
        <w:rPr>
          <w:rFonts w:ascii="Verdana" w:hAnsi="Verdana"/>
          <w:sz w:val="20"/>
          <w:szCs w:val="20"/>
        </w:rPr>
        <w:t xml:space="preserve">a los </w:t>
      </w:r>
      <w:r w:rsidR="00A25D5E" w:rsidRPr="0095692E">
        <w:rPr>
          <w:rFonts w:ascii="Verdana" w:hAnsi="Verdana"/>
          <w:sz w:val="20"/>
          <w:szCs w:val="20"/>
        </w:rPr>
        <w:t>derechos políticos</w:t>
      </w:r>
      <w:r w:rsidRPr="0095692E">
        <w:rPr>
          <w:rFonts w:ascii="Verdana" w:hAnsi="Verdana"/>
          <w:sz w:val="20"/>
          <w:szCs w:val="20"/>
        </w:rPr>
        <w:t xml:space="preserve">, contenidos en los artículos </w:t>
      </w:r>
      <w:r w:rsidR="00CC3EC0" w:rsidRPr="0095692E">
        <w:rPr>
          <w:rFonts w:ascii="Verdana" w:hAnsi="Verdana"/>
          <w:sz w:val="20"/>
          <w:szCs w:val="20"/>
        </w:rPr>
        <w:t>4.1, 5.1, 13.1, 16.1 y 23</w:t>
      </w:r>
      <w:r w:rsidR="00AC19BE" w:rsidRPr="0095692E">
        <w:rPr>
          <w:rFonts w:ascii="Verdana" w:hAnsi="Verdana"/>
          <w:sz w:val="20"/>
          <w:szCs w:val="20"/>
        </w:rPr>
        <w:t>.1</w:t>
      </w:r>
      <w:r w:rsidR="00CC3EC0" w:rsidRPr="0095692E">
        <w:rPr>
          <w:rFonts w:ascii="Verdana" w:hAnsi="Verdana"/>
          <w:sz w:val="20"/>
          <w:szCs w:val="20"/>
        </w:rPr>
        <w:t xml:space="preserve"> de la Convención Americana en relación con el artículo 1.1 y 2 del mismo instrumento</w:t>
      </w:r>
      <w:r w:rsidRPr="0095692E">
        <w:rPr>
          <w:rFonts w:ascii="Verdana" w:hAnsi="Verdana"/>
          <w:sz w:val="20"/>
          <w:szCs w:val="20"/>
        </w:rPr>
        <w:t xml:space="preserve">, como resultado de la </w:t>
      </w:r>
      <w:r w:rsidR="00CC3EC0" w:rsidRPr="0095692E">
        <w:rPr>
          <w:rFonts w:ascii="Verdana" w:hAnsi="Verdana"/>
          <w:sz w:val="20"/>
          <w:szCs w:val="20"/>
        </w:rPr>
        <w:t xml:space="preserve">persecución y la ejecución extrajudicial de Herminio Deras García por agentes estatales, en el marco de la aplicación de la doctrina de </w:t>
      </w:r>
      <w:r w:rsidR="006709D5" w:rsidRPr="0095692E">
        <w:rPr>
          <w:rFonts w:ascii="Verdana" w:hAnsi="Verdana"/>
          <w:sz w:val="20"/>
          <w:szCs w:val="20"/>
        </w:rPr>
        <w:t xml:space="preserve">la </w:t>
      </w:r>
      <w:r w:rsidR="00CC3EC0" w:rsidRPr="0095692E">
        <w:rPr>
          <w:rFonts w:ascii="Verdana" w:hAnsi="Verdana"/>
          <w:sz w:val="20"/>
          <w:szCs w:val="20"/>
        </w:rPr>
        <w:t>seguridad nacional en Honduras.</w:t>
      </w:r>
      <w:r w:rsidR="00A25D5E" w:rsidRPr="0095692E">
        <w:rPr>
          <w:rFonts w:ascii="Verdana" w:hAnsi="Verdana"/>
          <w:sz w:val="20"/>
          <w:szCs w:val="20"/>
        </w:rPr>
        <w:t xml:space="preserve"> </w:t>
      </w:r>
    </w:p>
    <w:p w14:paraId="79FF9F15" w14:textId="77777777" w:rsidR="009D1B44" w:rsidRPr="0095692E" w:rsidRDefault="009D1B44" w:rsidP="00A80648">
      <w:pPr>
        <w:pStyle w:val="Prrafodelista"/>
        <w:spacing w:after="0" w:line="240" w:lineRule="auto"/>
        <w:contextualSpacing w:val="0"/>
        <w:jc w:val="both"/>
        <w:rPr>
          <w:rFonts w:ascii="Verdana" w:hAnsi="Verdana"/>
          <w:sz w:val="20"/>
          <w:szCs w:val="20"/>
        </w:rPr>
      </w:pPr>
    </w:p>
    <w:p w14:paraId="627F1FC1" w14:textId="3E82CFDD" w:rsidR="00B03586" w:rsidRPr="0095692E" w:rsidRDefault="00B03586" w:rsidP="00A80648">
      <w:pPr>
        <w:pStyle w:val="Prrafodelista"/>
        <w:numPr>
          <w:ilvl w:val="0"/>
          <w:numId w:val="32"/>
        </w:numPr>
        <w:spacing w:after="0" w:line="240" w:lineRule="auto"/>
        <w:contextualSpacing w:val="0"/>
        <w:jc w:val="both"/>
        <w:rPr>
          <w:rFonts w:ascii="Verdana" w:hAnsi="Verdana"/>
          <w:sz w:val="20"/>
          <w:szCs w:val="20"/>
        </w:rPr>
      </w:pPr>
      <w:r w:rsidRPr="0095692E">
        <w:rPr>
          <w:rFonts w:ascii="Verdana" w:hAnsi="Verdana"/>
          <w:sz w:val="20"/>
          <w:szCs w:val="20"/>
        </w:rPr>
        <w:t xml:space="preserve">La violación a los derechos a </w:t>
      </w:r>
      <w:r w:rsidR="0035638F" w:rsidRPr="0095692E">
        <w:rPr>
          <w:rFonts w:ascii="Verdana" w:hAnsi="Verdana"/>
          <w:sz w:val="20"/>
          <w:szCs w:val="20"/>
        </w:rPr>
        <w:t>la integridad personal, la libertad personal, la protección a la honra, la dignidad y la vida privada, la protección de la familia, la propiedad privada y de circulación y residencia y los derechos del niño</w:t>
      </w:r>
      <w:r w:rsidRPr="0095692E">
        <w:rPr>
          <w:rFonts w:ascii="Verdana" w:hAnsi="Verdana"/>
          <w:sz w:val="20"/>
          <w:szCs w:val="20"/>
        </w:rPr>
        <w:t xml:space="preserve">, contenidos en los artículos </w:t>
      </w:r>
      <w:r w:rsidR="0035638F" w:rsidRPr="0095692E">
        <w:rPr>
          <w:rFonts w:ascii="Verdana" w:hAnsi="Verdana"/>
          <w:sz w:val="20"/>
          <w:szCs w:val="20"/>
        </w:rPr>
        <w:t>5.1, 5.2, 7.1, 7.2, 7.3, 11.1, 11.2, 17, 21, 22</w:t>
      </w:r>
      <w:r w:rsidR="009E389A" w:rsidRPr="0095692E">
        <w:rPr>
          <w:rFonts w:ascii="Verdana" w:hAnsi="Verdana"/>
          <w:sz w:val="20"/>
          <w:szCs w:val="20"/>
        </w:rPr>
        <w:t>.1</w:t>
      </w:r>
      <w:r w:rsidR="0035638F" w:rsidRPr="0095692E">
        <w:rPr>
          <w:rFonts w:ascii="Verdana" w:hAnsi="Verdana"/>
          <w:sz w:val="20"/>
          <w:szCs w:val="20"/>
        </w:rPr>
        <w:t xml:space="preserve"> y 19 </w:t>
      </w:r>
      <w:r w:rsidRPr="0095692E">
        <w:rPr>
          <w:rFonts w:ascii="Verdana" w:hAnsi="Verdana"/>
          <w:sz w:val="20"/>
          <w:szCs w:val="20"/>
        </w:rPr>
        <w:t>de la Convención Americana, en relación con el artículo 1.1 del mismo instrumento, como resultado de la</w:t>
      </w:r>
      <w:r w:rsidR="0035638F" w:rsidRPr="0095692E">
        <w:rPr>
          <w:rFonts w:ascii="Verdana" w:hAnsi="Verdana"/>
          <w:sz w:val="20"/>
          <w:szCs w:val="20"/>
        </w:rPr>
        <w:t>s persecuciones, amenazas, hostigamientos, detenciones arbitrarias, malos tratos y torturas perpetrados contra diversos miembros de la familia del señor Deras García</w:t>
      </w:r>
      <w:r w:rsidR="00697205" w:rsidRPr="0095692E">
        <w:rPr>
          <w:rFonts w:ascii="Verdana" w:hAnsi="Verdana"/>
          <w:sz w:val="20"/>
          <w:szCs w:val="20"/>
        </w:rPr>
        <w:t xml:space="preserve">, algunos de los cuales eran niños y niñas </w:t>
      </w:r>
      <w:r w:rsidR="00D03576" w:rsidRPr="0095692E">
        <w:rPr>
          <w:rFonts w:ascii="Verdana" w:hAnsi="Verdana"/>
          <w:sz w:val="20"/>
          <w:szCs w:val="20"/>
        </w:rPr>
        <w:t>en</w:t>
      </w:r>
      <w:r w:rsidR="00697205" w:rsidRPr="0095692E">
        <w:rPr>
          <w:rFonts w:ascii="Verdana" w:hAnsi="Verdana"/>
          <w:sz w:val="20"/>
          <w:szCs w:val="20"/>
        </w:rPr>
        <w:t xml:space="preserve"> la época de los hechos</w:t>
      </w:r>
      <w:r w:rsidR="00B565FC" w:rsidRPr="0095692E">
        <w:rPr>
          <w:rFonts w:ascii="Verdana" w:hAnsi="Verdana"/>
          <w:sz w:val="20"/>
          <w:szCs w:val="20"/>
        </w:rPr>
        <w:t>, los</w:t>
      </w:r>
      <w:r w:rsidR="00D91FF1" w:rsidRPr="0095692E">
        <w:rPr>
          <w:rFonts w:ascii="Verdana" w:hAnsi="Verdana"/>
          <w:sz w:val="20"/>
          <w:szCs w:val="20"/>
        </w:rPr>
        <w:t xml:space="preserve"> allanamientos ilegales y actos de destrucción a sus </w:t>
      </w:r>
      <w:r w:rsidR="00D91FF1" w:rsidRPr="0095692E">
        <w:rPr>
          <w:rFonts w:ascii="Verdana" w:hAnsi="Verdana"/>
          <w:sz w:val="20"/>
          <w:szCs w:val="20"/>
        </w:rPr>
        <w:lastRenderedPageBreak/>
        <w:t>viviendas y pertenencias</w:t>
      </w:r>
      <w:r w:rsidR="00D03576" w:rsidRPr="0095692E">
        <w:rPr>
          <w:rFonts w:ascii="Verdana" w:hAnsi="Verdana"/>
          <w:sz w:val="20"/>
          <w:szCs w:val="20"/>
        </w:rPr>
        <w:t>,</w:t>
      </w:r>
      <w:r w:rsidR="00B565FC" w:rsidRPr="0095692E">
        <w:rPr>
          <w:rFonts w:ascii="Verdana" w:hAnsi="Verdana"/>
          <w:sz w:val="20"/>
          <w:szCs w:val="20"/>
        </w:rPr>
        <w:t xml:space="preserve"> y la “situación de exilio forzado” de Héctor García y Alba Luz Deras García</w:t>
      </w:r>
      <w:r w:rsidR="0035638F" w:rsidRPr="0095692E">
        <w:rPr>
          <w:rFonts w:ascii="Verdana" w:hAnsi="Verdana"/>
          <w:sz w:val="20"/>
          <w:szCs w:val="20"/>
        </w:rPr>
        <w:t>.</w:t>
      </w:r>
    </w:p>
    <w:p w14:paraId="145555B6" w14:textId="77777777" w:rsidR="005A5936" w:rsidRPr="0095692E" w:rsidRDefault="005A5936" w:rsidP="00A80648">
      <w:pPr>
        <w:rPr>
          <w:rFonts w:ascii="Verdana" w:hAnsi="Verdana"/>
          <w:sz w:val="20"/>
          <w:szCs w:val="20"/>
        </w:rPr>
      </w:pPr>
    </w:p>
    <w:p w14:paraId="78402977" w14:textId="70BB58DB" w:rsidR="009D1B44" w:rsidRPr="0095692E" w:rsidRDefault="00087FE1" w:rsidP="00A80648">
      <w:pPr>
        <w:pStyle w:val="Prrafodelista"/>
        <w:numPr>
          <w:ilvl w:val="0"/>
          <w:numId w:val="32"/>
        </w:numPr>
        <w:spacing w:after="0" w:line="240" w:lineRule="auto"/>
        <w:contextualSpacing w:val="0"/>
        <w:jc w:val="both"/>
        <w:rPr>
          <w:rFonts w:ascii="Verdana" w:hAnsi="Verdana"/>
          <w:sz w:val="20"/>
          <w:szCs w:val="20"/>
        </w:rPr>
      </w:pPr>
      <w:r w:rsidRPr="0095692E">
        <w:rPr>
          <w:rFonts w:ascii="Verdana" w:hAnsi="Verdana"/>
          <w:sz w:val="20"/>
          <w:szCs w:val="20"/>
        </w:rPr>
        <w:t xml:space="preserve">La violación a los derechos a las garantías judiciales y la protección judicial, contenidos en los artículos 8.1 y 25 de la Convención Americana, en relación con el artículo 1.1 del mismo instrumento, como resultado de </w:t>
      </w:r>
      <w:r w:rsidR="00FD0F4F" w:rsidRPr="0095692E">
        <w:rPr>
          <w:rFonts w:ascii="Verdana" w:hAnsi="Verdana"/>
          <w:sz w:val="20"/>
          <w:szCs w:val="20"/>
        </w:rPr>
        <w:t>las omisiones e irregularidades en las diligencias realizadas en razón de la muerte del señor de Deras García,</w:t>
      </w:r>
      <w:r w:rsidR="00991F7A" w:rsidRPr="0095692E">
        <w:rPr>
          <w:rFonts w:ascii="Verdana" w:hAnsi="Verdana"/>
          <w:sz w:val="20"/>
          <w:szCs w:val="20"/>
        </w:rPr>
        <w:t xml:space="preserve"> y la existencia de una situación de impunidad hasta la fecha por la falta de esclarecimiento total de los hechos y de la determinación de todas las responsabilidades por la ejecución de Herminio Deras García</w:t>
      </w:r>
      <w:r w:rsidR="0098339F" w:rsidRPr="0095692E">
        <w:rPr>
          <w:rFonts w:ascii="Verdana" w:hAnsi="Verdana"/>
          <w:sz w:val="20"/>
          <w:szCs w:val="20"/>
        </w:rPr>
        <w:t>. Adicionalmente la citada violación deriva de</w:t>
      </w:r>
      <w:r w:rsidR="00EE1FF9" w:rsidRPr="0095692E">
        <w:rPr>
          <w:rFonts w:ascii="Verdana" w:hAnsi="Verdana"/>
          <w:sz w:val="20"/>
          <w:szCs w:val="20"/>
        </w:rPr>
        <w:t>l</w:t>
      </w:r>
      <w:r w:rsidR="0098339F" w:rsidRPr="0095692E">
        <w:rPr>
          <w:rFonts w:ascii="Verdana" w:hAnsi="Verdana"/>
          <w:sz w:val="20"/>
          <w:szCs w:val="20"/>
        </w:rPr>
        <w:t xml:space="preserve"> </w:t>
      </w:r>
      <w:r w:rsidR="00EE1FF9" w:rsidRPr="0095692E">
        <w:rPr>
          <w:rFonts w:ascii="Verdana" w:hAnsi="Verdana"/>
          <w:sz w:val="20"/>
          <w:szCs w:val="20"/>
        </w:rPr>
        <w:t>incumplimiento del deber de garantizar una adecuada investigación a efectos de identificar, y en su caso, sancionar a todos los responsables de los actos contra la integridad personal, las detenciones ilegales y arbitrarias, los allanamientos, entre otros, en perjuicio de los familiares del señor Deras García.</w:t>
      </w:r>
    </w:p>
    <w:p w14:paraId="30F364FE" w14:textId="77777777" w:rsidR="009D1B44" w:rsidRPr="0095692E" w:rsidRDefault="009D1B44" w:rsidP="00A80648">
      <w:pPr>
        <w:pStyle w:val="Prrafodelista"/>
        <w:spacing w:after="0" w:line="240" w:lineRule="auto"/>
        <w:contextualSpacing w:val="0"/>
        <w:rPr>
          <w:rFonts w:ascii="Verdana" w:hAnsi="Verdana"/>
          <w:sz w:val="20"/>
          <w:szCs w:val="20"/>
        </w:rPr>
      </w:pPr>
    </w:p>
    <w:p w14:paraId="6C6E51A4" w14:textId="2FBEF5D8" w:rsidR="009D1B44" w:rsidRPr="0095692E" w:rsidRDefault="00FC09F5" w:rsidP="00A80648">
      <w:pPr>
        <w:pStyle w:val="Prrafodelista"/>
        <w:numPr>
          <w:ilvl w:val="0"/>
          <w:numId w:val="32"/>
        </w:numPr>
        <w:spacing w:after="0" w:line="240" w:lineRule="auto"/>
        <w:contextualSpacing w:val="0"/>
        <w:jc w:val="both"/>
        <w:rPr>
          <w:rFonts w:ascii="Verdana" w:hAnsi="Verdana"/>
          <w:sz w:val="20"/>
          <w:szCs w:val="20"/>
        </w:rPr>
      </w:pPr>
      <w:r w:rsidRPr="0095692E">
        <w:rPr>
          <w:rFonts w:ascii="Verdana" w:hAnsi="Verdana"/>
          <w:sz w:val="20"/>
          <w:szCs w:val="20"/>
        </w:rPr>
        <w:t>La violación a los derechos a la integridad personal</w:t>
      </w:r>
      <w:r w:rsidR="003815B6" w:rsidRPr="0095692E">
        <w:rPr>
          <w:rFonts w:ascii="Verdana" w:hAnsi="Verdana"/>
          <w:sz w:val="20"/>
          <w:szCs w:val="20"/>
        </w:rPr>
        <w:t xml:space="preserve"> y</w:t>
      </w:r>
      <w:r w:rsidRPr="0095692E">
        <w:rPr>
          <w:rFonts w:ascii="Verdana" w:hAnsi="Verdana"/>
          <w:sz w:val="20"/>
          <w:szCs w:val="20"/>
        </w:rPr>
        <w:t xml:space="preserve"> la protección de la familia, contenidos en los artículos 5.1</w:t>
      </w:r>
      <w:r w:rsidR="003815B6" w:rsidRPr="0095692E">
        <w:rPr>
          <w:rFonts w:ascii="Verdana" w:hAnsi="Verdana"/>
          <w:sz w:val="20"/>
          <w:szCs w:val="20"/>
        </w:rPr>
        <w:t xml:space="preserve"> y</w:t>
      </w:r>
      <w:r w:rsidRPr="0095692E">
        <w:rPr>
          <w:rFonts w:ascii="Verdana" w:hAnsi="Verdana"/>
          <w:sz w:val="20"/>
          <w:szCs w:val="20"/>
        </w:rPr>
        <w:t xml:space="preserve"> 17.1 de la Convención Americana, en relación con el artículo 1.1 del mismo instrumento, como resultado de</w:t>
      </w:r>
      <w:r w:rsidR="00162CFC" w:rsidRPr="0095692E">
        <w:rPr>
          <w:rFonts w:ascii="Verdana" w:hAnsi="Verdana"/>
          <w:sz w:val="20"/>
          <w:szCs w:val="20"/>
        </w:rPr>
        <w:t xml:space="preserve">l sufrimiento causado </w:t>
      </w:r>
      <w:r w:rsidR="008F6514" w:rsidRPr="0095692E">
        <w:rPr>
          <w:rFonts w:ascii="Verdana" w:hAnsi="Verdana"/>
          <w:sz w:val="20"/>
          <w:szCs w:val="20"/>
        </w:rPr>
        <w:t>a</w:t>
      </w:r>
      <w:r w:rsidR="00162CFC" w:rsidRPr="0095692E">
        <w:rPr>
          <w:rFonts w:ascii="Verdana" w:hAnsi="Verdana"/>
          <w:sz w:val="20"/>
          <w:szCs w:val="20"/>
        </w:rPr>
        <w:t xml:space="preserve"> los familiares de Herminio Deras García</w:t>
      </w:r>
      <w:r w:rsidR="003815B6" w:rsidRPr="0095692E">
        <w:rPr>
          <w:rFonts w:ascii="Verdana" w:hAnsi="Verdana"/>
          <w:sz w:val="20"/>
          <w:szCs w:val="20"/>
        </w:rPr>
        <w:t xml:space="preserve"> y la “desintegración” y “quiebre familiar”.</w:t>
      </w:r>
      <w:bookmarkEnd w:id="24"/>
      <w:r w:rsidR="003815B6" w:rsidRPr="0095692E">
        <w:rPr>
          <w:rFonts w:ascii="Verdana" w:hAnsi="Verdana"/>
          <w:sz w:val="20"/>
          <w:szCs w:val="20"/>
        </w:rPr>
        <w:t xml:space="preserve"> </w:t>
      </w:r>
      <w:r w:rsidRPr="0095692E">
        <w:rPr>
          <w:rFonts w:ascii="Verdana" w:hAnsi="Verdana"/>
          <w:sz w:val="20"/>
          <w:szCs w:val="20"/>
        </w:rPr>
        <w:t xml:space="preserve"> </w:t>
      </w:r>
    </w:p>
    <w:p w14:paraId="64D428D8" w14:textId="77777777" w:rsidR="0088170F" w:rsidRPr="0095692E" w:rsidRDefault="0088170F" w:rsidP="00A80648">
      <w:pPr>
        <w:pStyle w:val="Prrafodelista"/>
        <w:spacing w:after="0" w:line="240" w:lineRule="auto"/>
        <w:ind w:left="0"/>
        <w:contextualSpacing w:val="0"/>
        <w:jc w:val="both"/>
        <w:rPr>
          <w:rFonts w:ascii="Verdana" w:hAnsi="Verdana"/>
          <w:sz w:val="20"/>
          <w:szCs w:val="20"/>
        </w:rPr>
      </w:pPr>
    </w:p>
    <w:p w14:paraId="241D56EB" w14:textId="7D45943C" w:rsidR="00D915B9" w:rsidRPr="0095692E" w:rsidRDefault="00D915B9" w:rsidP="00A80648">
      <w:pPr>
        <w:pStyle w:val="Ttulo3"/>
        <w:rPr>
          <w:b w:val="0"/>
          <w:bCs/>
          <w:lang w:val="es-CR"/>
        </w:rPr>
      </w:pPr>
      <w:bookmarkStart w:id="25" w:name="_Toc115262476"/>
      <w:r w:rsidRPr="0095692E">
        <w:rPr>
          <w:b w:val="0"/>
          <w:bCs/>
          <w:lang w:val="es-CR"/>
        </w:rPr>
        <w:t>B.</w:t>
      </w:r>
      <w:r w:rsidR="00AA665A" w:rsidRPr="0095692E">
        <w:rPr>
          <w:b w:val="0"/>
          <w:bCs/>
          <w:lang w:val="es-CR"/>
        </w:rPr>
        <w:t>3</w:t>
      </w:r>
      <w:r w:rsidRPr="0095692E">
        <w:rPr>
          <w:b w:val="0"/>
          <w:bCs/>
          <w:lang w:val="es-CR"/>
        </w:rPr>
        <w:t>. En cuanto a las reparaciones</w:t>
      </w:r>
      <w:bookmarkEnd w:id="25"/>
    </w:p>
    <w:p w14:paraId="45E35DFD" w14:textId="77777777" w:rsidR="00D915B9" w:rsidRPr="0095692E" w:rsidRDefault="00D915B9" w:rsidP="00A80648">
      <w:pPr>
        <w:pStyle w:val="Prrafodelista"/>
        <w:spacing w:after="0" w:line="240" w:lineRule="auto"/>
        <w:ind w:left="0"/>
        <w:contextualSpacing w:val="0"/>
        <w:jc w:val="both"/>
        <w:rPr>
          <w:rFonts w:ascii="Verdana" w:hAnsi="Verdana"/>
          <w:sz w:val="20"/>
          <w:szCs w:val="20"/>
        </w:rPr>
      </w:pPr>
    </w:p>
    <w:p w14:paraId="407D3D9A" w14:textId="540E11EE" w:rsidR="00167C87" w:rsidRPr="0095692E" w:rsidRDefault="0065131C" w:rsidP="00A80648">
      <w:pPr>
        <w:pStyle w:val="Prrafodelista"/>
        <w:numPr>
          <w:ilvl w:val="0"/>
          <w:numId w:val="2"/>
        </w:numPr>
        <w:spacing w:after="0" w:line="240" w:lineRule="auto"/>
        <w:ind w:left="0" w:firstLine="0"/>
        <w:contextualSpacing w:val="0"/>
        <w:jc w:val="both"/>
        <w:rPr>
          <w:rFonts w:ascii="Verdana" w:eastAsia="Times New Roman" w:hAnsi="Verdana"/>
          <w:sz w:val="20"/>
          <w:szCs w:val="20"/>
          <w:lang w:eastAsia="es-ES" w:bidi="es-ES"/>
        </w:rPr>
      </w:pPr>
      <w:r w:rsidRPr="0095692E">
        <w:rPr>
          <w:rFonts w:ascii="Verdana" w:hAnsi="Verdana"/>
          <w:sz w:val="20"/>
          <w:szCs w:val="20"/>
        </w:rPr>
        <w:t xml:space="preserve">La Corte </w:t>
      </w:r>
      <w:r w:rsidR="00991A64" w:rsidRPr="0095692E">
        <w:rPr>
          <w:rFonts w:ascii="Verdana" w:hAnsi="Verdana"/>
          <w:sz w:val="20"/>
          <w:szCs w:val="20"/>
        </w:rPr>
        <w:t xml:space="preserve">nota que </w:t>
      </w:r>
      <w:r w:rsidR="00A562C7" w:rsidRPr="0095692E">
        <w:rPr>
          <w:rFonts w:ascii="Verdana" w:hAnsi="Verdana"/>
          <w:sz w:val="20"/>
          <w:szCs w:val="20"/>
        </w:rPr>
        <w:t xml:space="preserve">el reconocimiento de responsabilidad realizado por el Estado abarca “las medidas de reparación integral del daño”. </w:t>
      </w:r>
      <w:r w:rsidR="0057575A" w:rsidRPr="0095692E">
        <w:rPr>
          <w:rFonts w:ascii="Verdana" w:hAnsi="Verdana"/>
          <w:sz w:val="20"/>
          <w:szCs w:val="20"/>
        </w:rPr>
        <w:t>No obstante</w:t>
      </w:r>
      <w:r w:rsidR="000C17DA" w:rsidRPr="0095692E">
        <w:rPr>
          <w:rFonts w:ascii="Verdana" w:hAnsi="Verdana"/>
          <w:sz w:val="20"/>
          <w:szCs w:val="20"/>
        </w:rPr>
        <w:t>,</w:t>
      </w:r>
      <w:r w:rsidR="00A562C7" w:rsidRPr="0095692E">
        <w:rPr>
          <w:rFonts w:ascii="Verdana" w:hAnsi="Verdana"/>
          <w:sz w:val="20"/>
          <w:szCs w:val="20"/>
        </w:rPr>
        <w:t xml:space="preserve"> </w:t>
      </w:r>
      <w:r w:rsidRPr="0095692E">
        <w:rPr>
          <w:rFonts w:ascii="Verdana" w:hAnsi="Verdana"/>
          <w:sz w:val="20"/>
          <w:szCs w:val="20"/>
        </w:rPr>
        <w:t>advierte que</w:t>
      </w:r>
      <w:r w:rsidR="00A8494B" w:rsidRPr="0095692E">
        <w:rPr>
          <w:rFonts w:ascii="Verdana" w:hAnsi="Verdana"/>
          <w:sz w:val="20"/>
          <w:szCs w:val="20"/>
        </w:rPr>
        <w:t xml:space="preserve">, si bien el Estado </w:t>
      </w:r>
      <w:r w:rsidR="00A562C7" w:rsidRPr="0095692E">
        <w:rPr>
          <w:rFonts w:ascii="Verdana" w:hAnsi="Verdana"/>
          <w:sz w:val="20"/>
          <w:szCs w:val="20"/>
        </w:rPr>
        <w:t xml:space="preserve">se comprometió durante la audiencia pública, así como en el documento de allanamiento, a una serie de medidas de reparación específicas planteadas por la Comisión y por los representantes </w:t>
      </w:r>
      <w:r w:rsidR="00287303" w:rsidRPr="0095692E">
        <w:rPr>
          <w:rFonts w:ascii="Verdana" w:hAnsi="Verdana"/>
          <w:sz w:val="20"/>
          <w:szCs w:val="20"/>
        </w:rPr>
        <w:t>(</w:t>
      </w:r>
      <w:r w:rsidR="00287303" w:rsidRPr="0095692E">
        <w:rPr>
          <w:rFonts w:ascii="Verdana" w:hAnsi="Verdana"/>
          <w:i/>
          <w:iCs/>
          <w:sz w:val="20"/>
          <w:szCs w:val="20"/>
        </w:rPr>
        <w:t>supra</w:t>
      </w:r>
      <w:r w:rsidR="00287303" w:rsidRPr="0095692E">
        <w:rPr>
          <w:rFonts w:ascii="Verdana" w:hAnsi="Verdana"/>
          <w:sz w:val="20"/>
          <w:szCs w:val="20"/>
        </w:rPr>
        <w:t xml:space="preserve"> p</w:t>
      </w:r>
      <w:r w:rsidR="00391133" w:rsidRPr="0095692E">
        <w:rPr>
          <w:rFonts w:ascii="Verdana" w:hAnsi="Verdana"/>
          <w:sz w:val="20"/>
          <w:szCs w:val="20"/>
        </w:rPr>
        <w:t>á</w:t>
      </w:r>
      <w:r w:rsidR="00287303" w:rsidRPr="0095692E">
        <w:rPr>
          <w:rFonts w:ascii="Verdana" w:hAnsi="Verdana"/>
          <w:sz w:val="20"/>
          <w:szCs w:val="20"/>
        </w:rPr>
        <w:t>r</w:t>
      </w:r>
      <w:r w:rsidR="009E30F7" w:rsidRPr="0095692E">
        <w:rPr>
          <w:rFonts w:ascii="Verdana" w:hAnsi="Verdana"/>
          <w:sz w:val="20"/>
          <w:szCs w:val="20"/>
        </w:rPr>
        <w:t>r</w:t>
      </w:r>
      <w:r w:rsidR="00287303" w:rsidRPr="0095692E">
        <w:rPr>
          <w:rFonts w:ascii="Verdana" w:hAnsi="Verdana"/>
          <w:sz w:val="20"/>
          <w:szCs w:val="20"/>
        </w:rPr>
        <w:t xml:space="preserve">. </w:t>
      </w:r>
      <w:r w:rsidR="00806B56" w:rsidRPr="0095692E">
        <w:rPr>
          <w:rFonts w:ascii="Verdana" w:hAnsi="Verdana"/>
          <w:sz w:val="20"/>
          <w:szCs w:val="20"/>
        </w:rPr>
        <w:t>17</w:t>
      </w:r>
      <w:r w:rsidR="00287303" w:rsidRPr="0095692E">
        <w:rPr>
          <w:rFonts w:ascii="Verdana" w:hAnsi="Verdana"/>
          <w:sz w:val="20"/>
          <w:szCs w:val="20"/>
        </w:rPr>
        <w:t>)</w:t>
      </w:r>
      <w:r w:rsidR="007D06F0" w:rsidRPr="0095692E">
        <w:rPr>
          <w:rFonts w:ascii="Verdana" w:hAnsi="Verdana"/>
          <w:sz w:val="20"/>
          <w:szCs w:val="20"/>
        </w:rPr>
        <w:t xml:space="preserve">, </w:t>
      </w:r>
      <w:r w:rsidR="002C77BF" w:rsidRPr="0095692E">
        <w:rPr>
          <w:rFonts w:ascii="Verdana" w:hAnsi="Verdana"/>
          <w:sz w:val="20"/>
          <w:szCs w:val="20"/>
        </w:rPr>
        <w:t xml:space="preserve">es necesario precisar </w:t>
      </w:r>
      <w:r w:rsidR="00FE5871" w:rsidRPr="0095692E">
        <w:rPr>
          <w:rFonts w:ascii="Verdana" w:hAnsi="Verdana"/>
          <w:sz w:val="20"/>
          <w:szCs w:val="20"/>
        </w:rPr>
        <w:t>parte de</w:t>
      </w:r>
      <w:r w:rsidR="007D06F0" w:rsidRPr="0095692E">
        <w:rPr>
          <w:rFonts w:ascii="Verdana" w:hAnsi="Verdana"/>
          <w:sz w:val="20"/>
          <w:szCs w:val="20"/>
        </w:rPr>
        <w:t xml:space="preserve">l contenido de </w:t>
      </w:r>
      <w:r w:rsidR="006B1726" w:rsidRPr="0095692E">
        <w:rPr>
          <w:rFonts w:ascii="Verdana" w:hAnsi="Verdana"/>
          <w:sz w:val="20"/>
          <w:szCs w:val="20"/>
        </w:rPr>
        <w:t>algunas</w:t>
      </w:r>
      <w:r w:rsidR="007D06F0" w:rsidRPr="0095692E">
        <w:rPr>
          <w:rFonts w:ascii="Verdana" w:hAnsi="Verdana"/>
          <w:sz w:val="20"/>
          <w:szCs w:val="20"/>
        </w:rPr>
        <w:t xml:space="preserve"> </w:t>
      </w:r>
      <w:r w:rsidR="0057575A" w:rsidRPr="0095692E">
        <w:rPr>
          <w:rFonts w:ascii="Verdana" w:hAnsi="Verdana"/>
          <w:sz w:val="20"/>
          <w:szCs w:val="20"/>
        </w:rPr>
        <w:t xml:space="preserve">de las </w:t>
      </w:r>
      <w:r w:rsidR="007D06F0" w:rsidRPr="0095692E">
        <w:rPr>
          <w:rFonts w:ascii="Verdana" w:hAnsi="Verdana"/>
          <w:sz w:val="20"/>
          <w:szCs w:val="20"/>
        </w:rPr>
        <w:t>medidas</w:t>
      </w:r>
      <w:r w:rsidR="0057575A" w:rsidRPr="0095692E">
        <w:rPr>
          <w:rFonts w:ascii="Verdana" w:hAnsi="Verdana"/>
          <w:sz w:val="20"/>
          <w:szCs w:val="20"/>
        </w:rPr>
        <w:t xml:space="preserve"> requeridas por los representantes</w:t>
      </w:r>
      <w:r w:rsidR="00287303" w:rsidRPr="0095692E">
        <w:rPr>
          <w:rFonts w:ascii="Verdana" w:hAnsi="Verdana"/>
          <w:sz w:val="20"/>
          <w:szCs w:val="20"/>
        </w:rPr>
        <w:t>, así como los montos relativos a las indemnizaciones compensatorias</w:t>
      </w:r>
      <w:r w:rsidR="0057575A" w:rsidRPr="0095692E">
        <w:rPr>
          <w:rFonts w:ascii="Verdana" w:hAnsi="Verdana"/>
          <w:sz w:val="20"/>
          <w:szCs w:val="20"/>
        </w:rPr>
        <w:t xml:space="preserve"> y las costas y gastos</w:t>
      </w:r>
      <w:r w:rsidR="00167C87" w:rsidRPr="0095692E">
        <w:rPr>
          <w:rFonts w:ascii="Verdana" w:hAnsi="Verdana"/>
          <w:sz w:val="20"/>
          <w:szCs w:val="20"/>
        </w:rPr>
        <w:t>, por lo que le corresponderá a la Corte examinarlas</w:t>
      </w:r>
      <w:r w:rsidR="0057575A" w:rsidRPr="0095692E">
        <w:rPr>
          <w:rFonts w:ascii="Verdana" w:hAnsi="Verdana"/>
          <w:sz w:val="20"/>
          <w:szCs w:val="20"/>
        </w:rPr>
        <w:t xml:space="preserve"> en el capítulo correspondiente (</w:t>
      </w:r>
      <w:r w:rsidR="0057575A" w:rsidRPr="0095692E">
        <w:rPr>
          <w:rFonts w:ascii="Verdana" w:hAnsi="Verdana"/>
          <w:i/>
          <w:iCs/>
          <w:sz w:val="20"/>
          <w:szCs w:val="20"/>
        </w:rPr>
        <w:t>infra</w:t>
      </w:r>
      <w:r w:rsidR="0057575A" w:rsidRPr="0095692E">
        <w:rPr>
          <w:rFonts w:ascii="Verdana" w:hAnsi="Verdana"/>
          <w:sz w:val="20"/>
          <w:szCs w:val="20"/>
        </w:rPr>
        <w:t xml:space="preserve"> Capítulo </w:t>
      </w:r>
      <w:r w:rsidR="009E30F7" w:rsidRPr="0095692E">
        <w:rPr>
          <w:rFonts w:ascii="Verdana" w:hAnsi="Verdana"/>
          <w:sz w:val="20"/>
          <w:szCs w:val="20"/>
        </w:rPr>
        <w:t>VIII</w:t>
      </w:r>
      <w:r w:rsidR="0057575A" w:rsidRPr="0095692E">
        <w:rPr>
          <w:rFonts w:ascii="Verdana" w:hAnsi="Verdana"/>
          <w:sz w:val="20"/>
          <w:szCs w:val="20"/>
        </w:rPr>
        <w:t>)</w:t>
      </w:r>
      <w:r w:rsidR="00167C87" w:rsidRPr="0095692E">
        <w:rPr>
          <w:rFonts w:ascii="Verdana" w:eastAsia="Times New Roman" w:hAnsi="Verdana"/>
          <w:sz w:val="20"/>
          <w:szCs w:val="20"/>
          <w:lang w:eastAsia="es-ES" w:bidi="es-ES"/>
        </w:rPr>
        <w:t>.</w:t>
      </w:r>
    </w:p>
    <w:p w14:paraId="7BDEDEF2" w14:textId="77777777" w:rsidR="00167C87" w:rsidRPr="0095692E" w:rsidRDefault="00167C87" w:rsidP="00A80648">
      <w:pPr>
        <w:rPr>
          <w:rFonts w:ascii="Verdana" w:hAnsi="Verdana"/>
          <w:sz w:val="20"/>
          <w:szCs w:val="20"/>
          <w:lang w:eastAsia="es-ES" w:bidi="es-ES"/>
        </w:rPr>
      </w:pPr>
    </w:p>
    <w:p w14:paraId="13B5731C" w14:textId="4DCE7956" w:rsidR="00D915B9" w:rsidRPr="0095692E" w:rsidRDefault="00D915B9" w:rsidP="00A80648">
      <w:pPr>
        <w:pStyle w:val="Ttulo3"/>
        <w:rPr>
          <w:b w:val="0"/>
          <w:bCs/>
          <w:lang w:val="es-CR"/>
        </w:rPr>
      </w:pPr>
      <w:bookmarkStart w:id="26" w:name="_Toc115262477"/>
      <w:r w:rsidRPr="0095692E">
        <w:rPr>
          <w:b w:val="0"/>
          <w:bCs/>
          <w:lang w:val="es-CR"/>
        </w:rPr>
        <w:t>B.</w:t>
      </w:r>
      <w:r w:rsidR="007E7D44" w:rsidRPr="0095692E">
        <w:rPr>
          <w:b w:val="0"/>
          <w:bCs/>
          <w:lang w:val="es-CR"/>
        </w:rPr>
        <w:t>4</w:t>
      </w:r>
      <w:r w:rsidRPr="0095692E">
        <w:rPr>
          <w:b w:val="0"/>
          <w:bCs/>
          <w:lang w:val="es-CR"/>
        </w:rPr>
        <w:t xml:space="preserve">. Valoración del reconocimiento </w:t>
      </w:r>
      <w:r w:rsidR="008851A0" w:rsidRPr="0095692E">
        <w:rPr>
          <w:b w:val="0"/>
          <w:bCs/>
          <w:lang w:val="es-CR"/>
        </w:rPr>
        <w:t>de responsabilidad</w:t>
      </w:r>
      <w:bookmarkEnd w:id="26"/>
    </w:p>
    <w:p w14:paraId="43ED2A0C" w14:textId="77777777" w:rsidR="009D2FA2" w:rsidRPr="0095692E" w:rsidRDefault="009D2FA2" w:rsidP="00A80648">
      <w:pPr>
        <w:jc w:val="both"/>
        <w:rPr>
          <w:rFonts w:ascii="Verdana" w:hAnsi="Verdana"/>
          <w:sz w:val="20"/>
          <w:szCs w:val="20"/>
          <w:lang w:eastAsia="es-ES" w:bidi="es-ES"/>
        </w:rPr>
      </w:pPr>
    </w:p>
    <w:p w14:paraId="4D0A9351" w14:textId="062EF8A7" w:rsidR="00493B59" w:rsidRPr="0095692E" w:rsidRDefault="00167C87" w:rsidP="00A80648">
      <w:pPr>
        <w:pStyle w:val="PrrafodeSentencia"/>
        <w:numPr>
          <w:ilvl w:val="0"/>
          <w:numId w:val="2"/>
        </w:numPr>
        <w:ind w:left="0" w:firstLine="0"/>
        <w:rPr>
          <w:spacing w:val="0"/>
          <w:szCs w:val="20"/>
        </w:rPr>
      </w:pPr>
      <w:r w:rsidRPr="0095692E">
        <w:rPr>
          <w:spacing w:val="0"/>
          <w:szCs w:val="20"/>
        </w:rPr>
        <w:t>El reconocimiento efectuado por el Estado constituye un</w:t>
      </w:r>
      <w:r w:rsidR="00793251" w:rsidRPr="0095692E">
        <w:rPr>
          <w:spacing w:val="0"/>
          <w:szCs w:val="20"/>
        </w:rPr>
        <w:t xml:space="preserve"> allanamiento a tod</w:t>
      </w:r>
      <w:r w:rsidR="0028191E" w:rsidRPr="0095692E">
        <w:rPr>
          <w:spacing w:val="0"/>
          <w:szCs w:val="20"/>
        </w:rPr>
        <w:t xml:space="preserve">os </w:t>
      </w:r>
      <w:r w:rsidRPr="0095692E">
        <w:rPr>
          <w:spacing w:val="0"/>
          <w:szCs w:val="20"/>
        </w:rPr>
        <w:t>los hechos</w:t>
      </w:r>
      <w:r w:rsidR="00493B59" w:rsidRPr="0095692E">
        <w:rPr>
          <w:spacing w:val="0"/>
          <w:szCs w:val="20"/>
        </w:rPr>
        <w:t>,</w:t>
      </w:r>
      <w:r w:rsidRPr="0095692E">
        <w:rPr>
          <w:spacing w:val="0"/>
          <w:szCs w:val="20"/>
        </w:rPr>
        <w:t xml:space="preserve"> las violaciones alegadas</w:t>
      </w:r>
      <w:r w:rsidR="00493B59" w:rsidRPr="0095692E">
        <w:rPr>
          <w:spacing w:val="0"/>
          <w:szCs w:val="20"/>
        </w:rPr>
        <w:t xml:space="preserve"> y </w:t>
      </w:r>
      <w:r w:rsidR="009E30F7" w:rsidRPr="0095692E">
        <w:rPr>
          <w:spacing w:val="0"/>
          <w:szCs w:val="20"/>
        </w:rPr>
        <w:t>a</w:t>
      </w:r>
      <w:r w:rsidR="00493B59" w:rsidRPr="0095692E">
        <w:rPr>
          <w:spacing w:val="0"/>
          <w:szCs w:val="20"/>
        </w:rPr>
        <w:t xml:space="preserve"> la mayor parte de las reparaciones solicitadas,</w:t>
      </w:r>
      <w:r w:rsidR="000C6626" w:rsidRPr="0095692E">
        <w:rPr>
          <w:spacing w:val="0"/>
          <w:szCs w:val="20"/>
        </w:rPr>
        <w:t xml:space="preserve"> tanto por la Comisión Interamericana en su Informe de Fondo, como por los representantes en su escrito de solicitudes</w:t>
      </w:r>
      <w:r w:rsidR="009E30F7" w:rsidRPr="0095692E">
        <w:rPr>
          <w:spacing w:val="0"/>
          <w:szCs w:val="20"/>
        </w:rPr>
        <w:t xml:space="preserve"> y </w:t>
      </w:r>
      <w:r w:rsidR="000C6626" w:rsidRPr="0095692E">
        <w:rPr>
          <w:spacing w:val="0"/>
          <w:szCs w:val="20"/>
        </w:rPr>
        <w:t>argumentos</w:t>
      </w:r>
      <w:r w:rsidRPr="0095692E">
        <w:rPr>
          <w:spacing w:val="0"/>
          <w:szCs w:val="20"/>
        </w:rPr>
        <w:t xml:space="preserve">. </w:t>
      </w:r>
    </w:p>
    <w:p w14:paraId="1F992CE1" w14:textId="77777777" w:rsidR="00493B59" w:rsidRPr="0095692E" w:rsidRDefault="00493B59" w:rsidP="00A80648">
      <w:pPr>
        <w:pStyle w:val="PrrafodeSentencia"/>
        <w:numPr>
          <w:ilvl w:val="0"/>
          <w:numId w:val="0"/>
        </w:numPr>
        <w:rPr>
          <w:spacing w:val="0"/>
          <w:szCs w:val="20"/>
        </w:rPr>
      </w:pPr>
    </w:p>
    <w:p w14:paraId="63451499" w14:textId="5305DC42" w:rsidR="004243A6" w:rsidRPr="0095692E" w:rsidRDefault="00167C87" w:rsidP="00A80648">
      <w:pPr>
        <w:pStyle w:val="PrrafodeSentencia"/>
        <w:numPr>
          <w:ilvl w:val="0"/>
          <w:numId w:val="2"/>
        </w:numPr>
        <w:ind w:left="0" w:firstLine="0"/>
        <w:rPr>
          <w:spacing w:val="0"/>
          <w:szCs w:val="20"/>
        </w:rPr>
      </w:pPr>
      <w:r w:rsidRPr="0095692E">
        <w:rPr>
          <w:spacing w:val="0"/>
          <w:szCs w:val="20"/>
        </w:rPr>
        <w:t xml:space="preserve">Este Tribunal </w:t>
      </w:r>
      <w:r w:rsidR="00493B59" w:rsidRPr="0095692E">
        <w:rPr>
          <w:spacing w:val="0"/>
          <w:szCs w:val="20"/>
        </w:rPr>
        <w:t xml:space="preserve">valora muy positivamente este amplio reconocimiento de responsabilidad realizado por Honduras y </w:t>
      </w:r>
      <w:r w:rsidR="003A5EFA" w:rsidRPr="0095692E">
        <w:rPr>
          <w:spacing w:val="0"/>
          <w:szCs w:val="20"/>
        </w:rPr>
        <w:t xml:space="preserve">la buena voluntad y compromiso que manifestó para reparar integralmente </w:t>
      </w:r>
      <w:r w:rsidR="009E30F7" w:rsidRPr="0095692E">
        <w:rPr>
          <w:spacing w:val="0"/>
          <w:szCs w:val="20"/>
        </w:rPr>
        <w:t xml:space="preserve">a </w:t>
      </w:r>
      <w:r w:rsidR="003A5EFA" w:rsidRPr="0095692E">
        <w:rPr>
          <w:spacing w:val="0"/>
          <w:szCs w:val="20"/>
        </w:rPr>
        <w:t xml:space="preserve">las víctimas de las violaciones del presente caso. La Corte </w:t>
      </w:r>
      <w:r w:rsidR="001068A9" w:rsidRPr="0095692E">
        <w:rPr>
          <w:spacing w:val="0"/>
          <w:szCs w:val="20"/>
        </w:rPr>
        <w:t xml:space="preserve">considera </w:t>
      </w:r>
      <w:r w:rsidRPr="0095692E">
        <w:rPr>
          <w:spacing w:val="0"/>
          <w:szCs w:val="20"/>
        </w:rPr>
        <w:t xml:space="preserve">que el reconocimiento de responsabilidad internacional constituye una contribución positiva </w:t>
      </w:r>
      <w:r w:rsidR="00764FB0" w:rsidRPr="0095692E">
        <w:rPr>
          <w:spacing w:val="0"/>
          <w:szCs w:val="20"/>
        </w:rPr>
        <w:t xml:space="preserve">fundamental </w:t>
      </w:r>
      <w:r w:rsidRPr="0095692E">
        <w:rPr>
          <w:spacing w:val="0"/>
          <w:szCs w:val="20"/>
        </w:rPr>
        <w:t xml:space="preserve">al desarrollo de este proceso y a la vigencia de los principios que inspiran la Convención, así como a las necesidades de reparación de </w:t>
      </w:r>
      <w:r w:rsidR="00C31A00" w:rsidRPr="0095692E">
        <w:rPr>
          <w:spacing w:val="0"/>
          <w:szCs w:val="20"/>
        </w:rPr>
        <w:t>la</w:t>
      </w:r>
      <w:r w:rsidR="003A5EFA" w:rsidRPr="0095692E">
        <w:rPr>
          <w:spacing w:val="0"/>
          <w:szCs w:val="20"/>
        </w:rPr>
        <w:t>s</w:t>
      </w:r>
      <w:r w:rsidR="00C31A00" w:rsidRPr="0095692E">
        <w:rPr>
          <w:spacing w:val="0"/>
          <w:szCs w:val="20"/>
        </w:rPr>
        <w:t xml:space="preserve"> víctima</w:t>
      </w:r>
      <w:r w:rsidR="003A5EFA" w:rsidRPr="0095692E">
        <w:rPr>
          <w:spacing w:val="0"/>
          <w:szCs w:val="20"/>
        </w:rPr>
        <w:t>s</w:t>
      </w:r>
      <w:r w:rsidRPr="0095692E">
        <w:rPr>
          <w:szCs w:val="20"/>
          <w:vertAlign w:val="superscript"/>
        </w:rPr>
        <w:footnoteReference w:id="13"/>
      </w:r>
      <w:r w:rsidRPr="0095692E">
        <w:rPr>
          <w:spacing w:val="0"/>
          <w:szCs w:val="20"/>
        </w:rPr>
        <w:t xml:space="preserve">. El reconocimiento efectuado por el Estado produce plenos efectos jurídicos </w:t>
      </w:r>
      <w:r w:rsidR="006F5F3C" w:rsidRPr="0095692E">
        <w:rPr>
          <w:spacing w:val="0"/>
          <w:szCs w:val="20"/>
        </w:rPr>
        <w:t>de acuerdo con</w:t>
      </w:r>
      <w:r w:rsidRPr="0095692E">
        <w:rPr>
          <w:spacing w:val="0"/>
          <w:szCs w:val="20"/>
        </w:rPr>
        <w:t xml:space="preserve"> los artículos 62 y 64 del Reglam</w:t>
      </w:r>
      <w:r w:rsidR="00405FF0" w:rsidRPr="0095692E">
        <w:rPr>
          <w:spacing w:val="0"/>
          <w:szCs w:val="20"/>
        </w:rPr>
        <w:t>ento de la Corte</w:t>
      </w:r>
      <w:r w:rsidR="007C6704" w:rsidRPr="0095692E">
        <w:rPr>
          <w:spacing w:val="0"/>
          <w:szCs w:val="20"/>
        </w:rPr>
        <w:t xml:space="preserve"> </w:t>
      </w:r>
      <w:r w:rsidR="007C6704" w:rsidRPr="0095692E">
        <w:rPr>
          <w:szCs w:val="20"/>
        </w:rPr>
        <w:t xml:space="preserve">y tiene un alto valor simbólico en relación con la no repetición de hechos similares, especialmente </w:t>
      </w:r>
      <w:r w:rsidR="00072CE4" w:rsidRPr="0095692E">
        <w:rPr>
          <w:szCs w:val="20"/>
        </w:rPr>
        <w:t>en</w:t>
      </w:r>
      <w:r w:rsidR="007C6704" w:rsidRPr="0095692E">
        <w:rPr>
          <w:szCs w:val="20"/>
        </w:rPr>
        <w:t xml:space="preserve"> vista del </w:t>
      </w:r>
      <w:r w:rsidR="007C6704" w:rsidRPr="0095692E">
        <w:rPr>
          <w:szCs w:val="20"/>
        </w:rPr>
        <w:lastRenderedPageBreak/>
        <w:t>contexto en que estuvieron enmarcados</w:t>
      </w:r>
      <w:r w:rsidR="00405FF0" w:rsidRPr="0095692E">
        <w:rPr>
          <w:spacing w:val="0"/>
          <w:szCs w:val="20"/>
        </w:rPr>
        <w:t xml:space="preserve">. </w:t>
      </w:r>
      <w:bookmarkStart w:id="27" w:name="_Ref43209151"/>
      <w:r w:rsidR="00A301A5" w:rsidRPr="0095692E">
        <w:rPr>
          <w:spacing w:val="0"/>
          <w:szCs w:val="20"/>
        </w:rPr>
        <w:t xml:space="preserve">En virtud del amplio reconocimiento </w:t>
      </w:r>
      <w:r w:rsidR="009C676E" w:rsidRPr="0095692E">
        <w:rPr>
          <w:spacing w:val="0"/>
          <w:szCs w:val="20"/>
        </w:rPr>
        <w:t>realizado por parte del Estado, el Tribunal considera que ha cesado la controversia jurídica del caso respecto a los hechos, el derecho, y la necesidad de adoptar medidas de reparación.</w:t>
      </w:r>
    </w:p>
    <w:p w14:paraId="22F2AE9A" w14:textId="77777777" w:rsidR="004243A6" w:rsidRPr="0095692E" w:rsidRDefault="004243A6" w:rsidP="00A80648">
      <w:pPr>
        <w:rPr>
          <w:rFonts w:ascii="Verdana" w:hAnsi="Verdana"/>
          <w:sz w:val="20"/>
          <w:szCs w:val="20"/>
          <w:highlight w:val="yellow"/>
        </w:rPr>
      </w:pPr>
    </w:p>
    <w:p w14:paraId="335720FE" w14:textId="22DFB5A8" w:rsidR="00A576B3" w:rsidRPr="0095692E" w:rsidRDefault="00074A0B" w:rsidP="00A80648">
      <w:pPr>
        <w:pStyle w:val="PrrafodeSentencia"/>
        <w:numPr>
          <w:ilvl w:val="0"/>
          <w:numId w:val="2"/>
        </w:numPr>
        <w:ind w:left="0" w:firstLine="0"/>
        <w:rPr>
          <w:szCs w:val="20"/>
        </w:rPr>
      </w:pPr>
      <w:r w:rsidRPr="0095692E">
        <w:rPr>
          <w:spacing w:val="0"/>
          <w:szCs w:val="20"/>
        </w:rPr>
        <w:t xml:space="preserve">En consideración </w:t>
      </w:r>
      <w:r w:rsidR="00EB74E4" w:rsidRPr="0095692E">
        <w:rPr>
          <w:spacing w:val="0"/>
          <w:szCs w:val="20"/>
        </w:rPr>
        <w:t>a</w:t>
      </w:r>
      <w:r w:rsidRPr="0095692E">
        <w:rPr>
          <w:spacing w:val="0"/>
          <w:szCs w:val="20"/>
        </w:rPr>
        <w:t xml:space="preserve"> la gravedad de los hechos y de las violaciones</w:t>
      </w:r>
      <w:r w:rsidR="00494EBE" w:rsidRPr="0095692E">
        <w:rPr>
          <w:spacing w:val="0"/>
          <w:szCs w:val="20"/>
        </w:rPr>
        <w:t xml:space="preserve"> reconocidas por el Estado</w:t>
      </w:r>
      <w:r w:rsidRPr="0095692E">
        <w:rPr>
          <w:spacing w:val="0"/>
          <w:szCs w:val="20"/>
        </w:rPr>
        <w:t xml:space="preserve"> </w:t>
      </w:r>
      <w:r w:rsidR="00494EBE" w:rsidRPr="0095692E">
        <w:rPr>
          <w:szCs w:val="20"/>
        </w:rPr>
        <w:t>y de la solicitud de los representantes y la Comisión</w:t>
      </w:r>
      <w:r w:rsidR="00167C87" w:rsidRPr="0095692E">
        <w:rPr>
          <w:spacing w:val="0"/>
          <w:szCs w:val="20"/>
        </w:rPr>
        <w:t xml:space="preserve">, </w:t>
      </w:r>
      <w:bookmarkEnd w:id="27"/>
      <w:r w:rsidR="00167C87" w:rsidRPr="0095692E">
        <w:rPr>
          <w:rFonts w:eastAsia="Times New Roman"/>
          <w:szCs w:val="20"/>
          <w:lang w:eastAsia="es-ES" w:bidi="es-ES"/>
        </w:rPr>
        <w:t xml:space="preserve">la Corte </w:t>
      </w:r>
      <w:r w:rsidR="00494EBE" w:rsidRPr="0095692E">
        <w:rPr>
          <w:rFonts w:eastAsia="Times New Roman"/>
          <w:szCs w:val="20"/>
          <w:lang w:eastAsia="es-ES" w:bidi="es-ES"/>
        </w:rPr>
        <w:t>estima necesario</w:t>
      </w:r>
      <w:r w:rsidR="00112636" w:rsidRPr="0095692E">
        <w:rPr>
          <w:rFonts w:eastAsia="Times New Roman"/>
          <w:szCs w:val="20"/>
          <w:lang w:eastAsia="es-ES" w:bidi="es-ES"/>
        </w:rPr>
        <w:t xml:space="preserve"> dictar una S</w:t>
      </w:r>
      <w:r w:rsidR="00167C87" w:rsidRPr="0095692E">
        <w:rPr>
          <w:rFonts w:eastAsia="Times New Roman"/>
          <w:szCs w:val="20"/>
          <w:lang w:eastAsia="es-ES" w:bidi="es-ES"/>
        </w:rPr>
        <w:t>entencia en la cual se determinen los hechos acaecidos</w:t>
      </w:r>
      <w:r w:rsidR="00F45BBC" w:rsidRPr="0095692E">
        <w:rPr>
          <w:szCs w:val="20"/>
        </w:rPr>
        <w:t>,</w:t>
      </w:r>
      <w:r w:rsidR="00F45BBC" w:rsidRPr="0095692E">
        <w:rPr>
          <w:rFonts w:eastAsia="Times New Roman"/>
          <w:szCs w:val="20"/>
          <w:lang w:eastAsia="es-ES" w:bidi="es-ES"/>
        </w:rPr>
        <w:t xml:space="preserve"> </w:t>
      </w:r>
      <w:r w:rsidR="00167C87" w:rsidRPr="0095692E">
        <w:rPr>
          <w:rFonts w:eastAsia="Times New Roman"/>
          <w:szCs w:val="20"/>
          <w:lang w:eastAsia="es-ES" w:bidi="es-ES"/>
        </w:rPr>
        <w:t xml:space="preserve">de acuerdo a la prueba recabada durante el proceso ante este Tribunal y </w:t>
      </w:r>
      <w:r w:rsidR="00F45BBC" w:rsidRPr="0095692E">
        <w:rPr>
          <w:szCs w:val="20"/>
        </w:rPr>
        <w:t>el reconocimiento de los mismos por parte del Estado</w:t>
      </w:r>
      <w:r w:rsidR="00167C87" w:rsidRPr="0095692E">
        <w:rPr>
          <w:rFonts w:eastAsia="Times New Roman"/>
          <w:szCs w:val="20"/>
          <w:lang w:eastAsia="es-ES" w:bidi="es-ES"/>
        </w:rPr>
        <w:t xml:space="preserve">, </w:t>
      </w:r>
      <w:r w:rsidR="00494EBE" w:rsidRPr="0095692E">
        <w:rPr>
          <w:szCs w:val="20"/>
        </w:rPr>
        <w:t>toda vez que ello contribuye a la reparación de las víctimas, a evitar que se repitan hechos similares y a satisfacer, en suma, los fines de la jurisdicción interamericana sob</w:t>
      </w:r>
      <w:r w:rsidR="00EB74E4" w:rsidRPr="0095692E">
        <w:rPr>
          <w:szCs w:val="20"/>
        </w:rPr>
        <w:t>r</w:t>
      </w:r>
      <w:r w:rsidR="00494EBE" w:rsidRPr="0095692E">
        <w:rPr>
          <w:szCs w:val="20"/>
        </w:rPr>
        <w:t>e derechos humanos</w:t>
      </w:r>
      <w:bookmarkStart w:id="28" w:name="_Hlk111144554"/>
      <w:r w:rsidR="007C6704" w:rsidRPr="0095692E">
        <w:rPr>
          <w:rStyle w:val="Refdenotaalpie"/>
          <w:szCs w:val="20"/>
        </w:rPr>
        <w:footnoteReference w:id="14"/>
      </w:r>
      <w:bookmarkEnd w:id="28"/>
      <w:r w:rsidR="00494EBE" w:rsidRPr="0095692E">
        <w:rPr>
          <w:szCs w:val="20"/>
        </w:rPr>
        <w:t>.</w:t>
      </w:r>
    </w:p>
    <w:p w14:paraId="0E94D37B" w14:textId="77777777" w:rsidR="00A576B3" w:rsidRPr="0095692E" w:rsidRDefault="00A576B3" w:rsidP="00A80648">
      <w:pPr>
        <w:rPr>
          <w:rFonts w:ascii="Verdana" w:hAnsi="Verdana"/>
        </w:rPr>
      </w:pPr>
    </w:p>
    <w:p w14:paraId="29EAB201" w14:textId="7C9E24DC" w:rsidR="00167C87" w:rsidRPr="0095692E" w:rsidRDefault="006B3F83" w:rsidP="00A80648">
      <w:pPr>
        <w:pStyle w:val="PrrafodeSentencia"/>
        <w:numPr>
          <w:ilvl w:val="0"/>
          <w:numId w:val="2"/>
        </w:numPr>
        <w:ind w:left="0" w:firstLine="0"/>
        <w:rPr>
          <w:szCs w:val="20"/>
        </w:rPr>
      </w:pPr>
      <w:r w:rsidRPr="0095692E">
        <w:rPr>
          <w:szCs w:val="20"/>
        </w:rPr>
        <w:t>Por otra parte, la Corte</w:t>
      </w:r>
      <w:r w:rsidR="00A07AFD" w:rsidRPr="0095692E">
        <w:rPr>
          <w:szCs w:val="20"/>
        </w:rPr>
        <w:t xml:space="preserve"> no </w:t>
      </w:r>
      <w:r w:rsidRPr="0095692E">
        <w:rPr>
          <w:szCs w:val="20"/>
        </w:rPr>
        <w:t xml:space="preserve">considera </w:t>
      </w:r>
      <w:r w:rsidR="00D05382" w:rsidRPr="0095692E">
        <w:rPr>
          <w:szCs w:val="20"/>
        </w:rPr>
        <w:t xml:space="preserve">pertinente, en esta oportunidad, </w:t>
      </w:r>
      <w:r w:rsidR="00C8194B" w:rsidRPr="0095692E">
        <w:rPr>
          <w:szCs w:val="20"/>
        </w:rPr>
        <w:t>examinar</w:t>
      </w:r>
      <w:r w:rsidR="00DF329B" w:rsidRPr="0095692E">
        <w:rPr>
          <w:szCs w:val="20"/>
        </w:rPr>
        <w:t xml:space="preserve"> </w:t>
      </w:r>
      <w:r w:rsidR="00D05382" w:rsidRPr="0095692E">
        <w:rPr>
          <w:szCs w:val="20"/>
        </w:rPr>
        <w:t xml:space="preserve">de forma detallada </w:t>
      </w:r>
      <w:r w:rsidR="00C82A8F" w:rsidRPr="0095692E">
        <w:rPr>
          <w:szCs w:val="20"/>
        </w:rPr>
        <w:t xml:space="preserve">las violaciones </w:t>
      </w:r>
      <w:r w:rsidR="00C51E86" w:rsidRPr="0095692E">
        <w:rPr>
          <w:szCs w:val="20"/>
        </w:rPr>
        <w:t xml:space="preserve">a los derechos humanos </w:t>
      </w:r>
      <w:r w:rsidR="00C82A8F" w:rsidRPr="0095692E">
        <w:rPr>
          <w:szCs w:val="20"/>
        </w:rPr>
        <w:t>que ocurrieron</w:t>
      </w:r>
      <w:r w:rsidR="006770A0" w:rsidRPr="0095692E">
        <w:rPr>
          <w:szCs w:val="20"/>
        </w:rPr>
        <w:t xml:space="preserve"> en perjuicio del señor </w:t>
      </w:r>
      <w:r w:rsidR="00D05382" w:rsidRPr="0095692E">
        <w:rPr>
          <w:szCs w:val="20"/>
        </w:rPr>
        <w:t>Deras García y sus familiares</w:t>
      </w:r>
      <w:r w:rsidR="003E395B" w:rsidRPr="0095692E">
        <w:rPr>
          <w:szCs w:val="20"/>
        </w:rPr>
        <w:t xml:space="preserve">, </w:t>
      </w:r>
      <w:r w:rsidR="008E5E58" w:rsidRPr="0095692E">
        <w:rPr>
          <w:szCs w:val="20"/>
        </w:rPr>
        <w:t xml:space="preserve">debido a </w:t>
      </w:r>
      <w:r w:rsidR="00661296" w:rsidRPr="0095692E">
        <w:rPr>
          <w:szCs w:val="20"/>
        </w:rPr>
        <w:t xml:space="preserve">que estas fueron expresamente aceptadas por el Estado en su </w:t>
      </w:r>
      <w:r w:rsidR="008E5E58" w:rsidRPr="0095692E">
        <w:rPr>
          <w:szCs w:val="20"/>
        </w:rPr>
        <w:t xml:space="preserve">amplio </w:t>
      </w:r>
      <w:r w:rsidR="00661296" w:rsidRPr="0095692E">
        <w:rPr>
          <w:szCs w:val="20"/>
        </w:rPr>
        <w:t>reconocimiento de responsabilidad internacional, y</w:t>
      </w:r>
      <w:r w:rsidR="008E5E58" w:rsidRPr="0095692E">
        <w:rPr>
          <w:szCs w:val="20"/>
        </w:rPr>
        <w:t xml:space="preserve"> en razón de que </w:t>
      </w:r>
      <w:r w:rsidR="00900714" w:rsidRPr="0095692E">
        <w:rPr>
          <w:szCs w:val="20"/>
        </w:rPr>
        <w:t xml:space="preserve">las pretensiones de derechos alegadas y reconocidas en el presente caso ya han sido </w:t>
      </w:r>
      <w:r w:rsidR="00661296" w:rsidRPr="0095692E">
        <w:rPr>
          <w:szCs w:val="20"/>
        </w:rPr>
        <w:t>ampliamente desarrollada</w:t>
      </w:r>
      <w:r w:rsidR="00900714" w:rsidRPr="0095692E">
        <w:rPr>
          <w:szCs w:val="20"/>
        </w:rPr>
        <w:t>s</w:t>
      </w:r>
      <w:r w:rsidR="008175EA" w:rsidRPr="0095692E">
        <w:rPr>
          <w:szCs w:val="20"/>
        </w:rPr>
        <w:t xml:space="preserve"> </w:t>
      </w:r>
      <w:r w:rsidR="00661296" w:rsidRPr="0095692E">
        <w:rPr>
          <w:szCs w:val="20"/>
        </w:rPr>
        <w:t>en la jurisprudencia de la Corte Interamericana</w:t>
      </w:r>
      <w:r w:rsidRPr="0095692E">
        <w:rPr>
          <w:szCs w:val="20"/>
        </w:rPr>
        <w:t>.</w:t>
      </w:r>
      <w:r w:rsidR="00D05382" w:rsidRPr="0095692E">
        <w:rPr>
          <w:szCs w:val="20"/>
        </w:rPr>
        <w:t xml:space="preserve"> Sin embargo, en vista de la solicitud de los representantes y de la Comisión</w:t>
      </w:r>
      <w:r w:rsidR="00000449" w:rsidRPr="0095692E">
        <w:rPr>
          <w:szCs w:val="20"/>
        </w:rPr>
        <w:t xml:space="preserve"> y del carácter reparador que puede tener </w:t>
      </w:r>
      <w:r w:rsidR="00900714" w:rsidRPr="0095692E">
        <w:rPr>
          <w:szCs w:val="20"/>
        </w:rPr>
        <w:t>esta</w:t>
      </w:r>
      <w:r w:rsidR="00000449" w:rsidRPr="0095692E">
        <w:rPr>
          <w:szCs w:val="20"/>
        </w:rPr>
        <w:t xml:space="preserve"> Sentencia</w:t>
      </w:r>
      <w:r w:rsidR="00D05382" w:rsidRPr="0095692E">
        <w:rPr>
          <w:szCs w:val="20"/>
        </w:rPr>
        <w:t xml:space="preserve">, el Tribunal estima necesario </w:t>
      </w:r>
      <w:r w:rsidR="00000449" w:rsidRPr="0095692E">
        <w:rPr>
          <w:szCs w:val="20"/>
        </w:rPr>
        <w:t>exponer sus conclusiones respecto a las violaciones alegadas y reconocidas, a la luz de los hechos del caso.</w:t>
      </w:r>
    </w:p>
    <w:p w14:paraId="1D5DFE93" w14:textId="39FC005B" w:rsidR="00CF76D2" w:rsidRPr="0095692E" w:rsidRDefault="00CF76D2" w:rsidP="00A80648">
      <w:pPr>
        <w:jc w:val="both"/>
        <w:rPr>
          <w:rFonts w:ascii="Verdana" w:hAnsi="Verdana"/>
          <w:sz w:val="20"/>
          <w:szCs w:val="20"/>
        </w:rPr>
      </w:pPr>
    </w:p>
    <w:p w14:paraId="2FC1A1F2" w14:textId="5DC6D0B1" w:rsidR="003923EB" w:rsidRPr="0095692E" w:rsidRDefault="00CF76D2" w:rsidP="003923EB">
      <w:pPr>
        <w:pStyle w:val="PrrafodeSentencia"/>
        <w:numPr>
          <w:ilvl w:val="0"/>
          <w:numId w:val="2"/>
        </w:numPr>
        <w:ind w:left="0" w:firstLine="0"/>
        <w:rPr>
          <w:szCs w:val="20"/>
        </w:rPr>
      </w:pPr>
      <w:r w:rsidRPr="0095692E">
        <w:rPr>
          <w:szCs w:val="20"/>
        </w:rPr>
        <w:t xml:space="preserve">En cuanto a las medidas de reparación, la Corte estima necesario pronunciarse sobre cada una de ellas, teniendo </w:t>
      </w:r>
      <w:r w:rsidR="009F5612" w:rsidRPr="0095692E">
        <w:rPr>
          <w:szCs w:val="20"/>
        </w:rPr>
        <w:t>como</w:t>
      </w:r>
      <w:r w:rsidRPr="0095692E">
        <w:rPr>
          <w:szCs w:val="20"/>
        </w:rPr>
        <w:t xml:space="preserve"> base el reconocimiento de responsabilidad del Estado.</w:t>
      </w:r>
    </w:p>
    <w:p w14:paraId="6334046C" w14:textId="77777777" w:rsidR="003923EB" w:rsidRPr="0095692E" w:rsidRDefault="003923EB" w:rsidP="00BC6863">
      <w:pPr>
        <w:pStyle w:val="PrrafodeSentencia"/>
        <w:numPr>
          <w:ilvl w:val="0"/>
          <w:numId w:val="0"/>
        </w:numPr>
        <w:rPr>
          <w:szCs w:val="20"/>
        </w:rPr>
      </w:pPr>
    </w:p>
    <w:p w14:paraId="483ED5DD" w14:textId="2F410233" w:rsidR="003923EB" w:rsidRPr="0095692E" w:rsidRDefault="003923EB" w:rsidP="003923EB">
      <w:pPr>
        <w:pStyle w:val="PrrafodeSentencia"/>
        <w:numPr>
          <w:ilvl w:val="0"/>
          <w:numId w:val="2"/>
        </w:numPr>
        <w:ind w:left="0" w:firstLine="0"/>
        <w:rPr>
          <w:szCs w:val="20"/>
        </w:rPr>
      </w:pPr>
      <w:r w:rsidRPr="0095692E">
        <w:rPr>
          <w:szCs w:val="20"/>
        </w:rPr>
        <w:t xml:space="preserve">Por último, la Corte considera pertinente recordar que, en su escrito contestación, el </w:t>
      </w:r>
      <w:r w:rsidRPr="0095692E">
        <w:rPr>
          <w:i/>
          <w:iCs/>
          <w:szCs w:val="20"/>
        </w:rPr>
        <w:t>Estado</w:t>
      </w:r>
      <w:r w:rsidRPr="0095692E">
        <w:rPr>
          <w:szCs w:val="20"/>
        </w:rPr>
        <w:t xml:space="preserve"> opuso dos excepciones preliminares</w:t>
      </w:r>
      <w:r w:rsidRPr="0095692E">
        <w:rPr>
          <w:rStyle w:val="Refdenotaalpie"/>
          <w:szCs w:val="20"/>
        </w:rPr>
        <w:footnoteReference w:id="15"/>
      </w:r>
      <w:r w:rsidRPr="0095692E">
        <w:rPr>
          <w:szCs w:val="20"/>
        </w:rPr>
        <w:t>. No obstante, teniendo en cuenta el alcance del reconocimiento de responsabilidad realizado por el Estado en el presente caso, el Tribunal</w:t>
      </w:r>
      <w:r w:rsidRPr="0095692E">
        <w:rPr>
          <w:i/>
          <w:iCs/>
          <w:szCs w:val="20"/>
        </w:rPr>
        <w:t xml:space="preserve"> </w:t>
      </w:r>
      <w:r w:rsidRPr="0095692E">
        <w:rPr>
          <w:szCs w:val="20"/>
        </w:rPr>
        <w:t>considera que Honduras ha desistido de dichas excepciones, razón por la cual no se pronunciar</w:t>
      </w:r>
      <w:r w:rsidR="003623BE" w:rsidRPr="0095692E">
        <w:rPr>
          <w:szCs w:val="20"/>
        </w:rPr>
        <w:t>á</w:t>
      </w:r>
      <w:r w:rsidRPr="0095692E">
        <w:rPr>
          <w:szCs w:val="20"/>
        </w:rPr>
        <w:t xml:space="preserve"> al respecto.</w:t>
      </w:r>
    </w:p>
    <w:p w14:paraId="79AC63AE" w14:textId="77777777" w:rsidR="003C01BA" w:rsidRPr="0095692E" w:rsidRDefault="003C01BA" w:rsidP="00F41BC0"/>
    <w:p w14:paraId="2BBB92E7" w14:textId="22F8FCA7" w:rsidR="00167C87" w:rsidRPr="0095692E" w:rsidRDefault="00167C87" w:rsidP="00A80648">
      <w:pPr>
        <w:pStyle w:val="Ttulo1"/>
        <w:ind w:firstLine="0"/>
        <w:rPr>
          <w:bdr w:val="nil"/>
          <w:lang w:val="es-CR"/>
        </w:rPr>
      </w:pPr>
      <w:bookmarkStart w:id="29" w:name="_Toc66779192"/>
      <w:bookmarkStart w:id="30" w:name="_Toc80002610"/>
      <w:bookmarkStart w:id="31" w:name="_Toc115262478"/>
      <w:r w:rsidRPr="0095692E">
        <w:rPr>
          <w:bdr w:val="nil"/>
          <w:lang w:val="es-CR"/>
        </w:rPr>
        <w:t>V</w:t>
      </w:r>
      <w:bookmarkStart w:id="32" w:name="_Toc66779193"/>
      <w:bookmarkEnd w:id="29"/>
      <w:r w:rsidRPr="0095692E">
        <w:rPr>
          <w:bdr w:val="nil"/>
          <w:lang w:val="es-CR"/>
        </w:rPr>
        <w:br/>
        <w:t>PRUEBA</w:t>
      </w:r>
      <w:bookmarkEnd w:id="30"/>
      <w:bookmarkEnd w:id="31"/>
      <w:bookmarkEnd w:id="32"/>
    </w:p>
    <w:p w14:paraId="55FF66C8" w14:textId="66E9CA89" w:rsidR="00167C87" w:rsidRPr="0095692E" w:rsidRDefault="00167C87" w:rsidP="00A80648">
      <w:pPr>
        <w:pStyle w:val="Prrafodelista"/>
        <w:spacing w:after="0" w:line="240" w:lineRule="auto"/>
        <w:ind w:left="0"/>
        <w:contextualSpacing w:val="0"/>
        <w:rPr>
          <w:rFonts w:ascii="Verdana" w:hAnsi="Verdana"/>
          <w:bCs/>
          <w:sz w:val="20"/>
          <w:szCs w:val="20"/>
          <w:bdr w:val="nil"/>
        </w:rPr>
      </w:pPr>
    </w:p>
    <w:p w14:paraId="4216EFB5" w14:textId="264843DA" w:rsidR="00167C87" w:rsidRPr="0095692E" w:rsidRDefault="00B574F2" w:rsidP="00A80648">
      <w:pPr>
        <w:pStyle w:val="Ttulo2"/>
        <w:numPr>
          <w:ilvl w:val="0"/>
          <w:numId w:val="7"/>
        </w:numPr>
        <w:rPr>
          <w:bdr w:val="nil"/>
          <w:lang w:val="es-CR"/>
        </w:rPr>
      </w:pPr>
      <w:bookmarkStart w:id="33" w:name="_Toc42498035"/>
      <w:bookmarkStart w:id="34" w:name="_Toc46937283"/>
      <w:bookmarkStart w:id="35" w:name="_Toc66779194"/>
      <w:bookmarkStart w:id="36" w:name="_Toc80002611"/>
      <w:bookmarkStart w:id="37" w:name="_Toc115262479"/>
      <w:r w:rsidRPr="0095692E">
        <w:rPr>
          <w:lang w:val="es-CR"/>
        </w:rPr>
        <w:t>Admisibilidad</w:t>
      </w:r>
      <w:r w:rsidR="00167C87" w:rsidRPr="0095692E">
        <w:rPr>
          <w:bdr w:val="nil"/>
          <w:lang w:val="es-CR"/>
        </w:rPr>
        <w:t xml:space="preserve"> de prueba documental</w:t>
      </w:r>
      <w:bookmarkEnd w:id="33"/>
      <w:bookmarkEnd w:id="34"/>
      <w:bookmarkEnd w:id="35"/>
      <w:bookmarkEnd w:id="36"/>
      <w:bookmarkEnd w:id="37"/>
    </w:p>
    <w:p w14:paraId="04F6BF8F" w14:textId="77777777" w:rsidR="00167C87" w:rsidRPr="0095692E" w:rsidRDefault="00167C87" w:rsidP="00A80648">
      <w:pPr>
        <w:pStyle w:val="Prrafodelista"/>
        <w:spacing w:after="0" w:line="240" w:lineRule="auto"/>
        <w:ind w:left="0"/>
        <w:contextualSpacing w:val="0"/>
        <w:jc w:val="both"/>
        <w:rPr>
          <w:rFonts w:ascii="Verdana" w:hAnsi="Verdana"/>
          <w:sz w:val="20"/>
          <w:szCs w:val="20"/>
        </w:rPr>
      </w:pPr>
    </w:p>
    <w:p w14:paraId="2F36E134" w14:textId="08E757C3" w:rsidR="00167C87" w:rsidRPr="0095692E" w:rsidRDefault="00167C87" w:rsidP="00A80648">
      <w:pPr>
        <w:pStyle w:val="PrrafodeSentencia"/>
        <w:numPr>
          <w:ilvl w:val="0"/>
          <w:numId w:val="2"/>
        </w:numPr>
        <w:ind w:left="0" w:firstLine="0"/>
        <w:rPr>
          <w:rStyle w:val="None"/>
          <w:szCs w:val="20"/>
        </w:rPr>
      </w:pPr>
      <w:r w:rsidRPr="0095692E">
        <w:rPr>
          <w:szCs w:val="20"/>
        </w:rPr>
        <w:t>La Corte recibió diversos documentos present</w:t>
      </w:r>
      <w:r w:rsidRPr="0095692E">
        <w:rPr>
          <w:rFonts w:eastAsia="Calibri" w:cs="Verdana"/>
          <w:spacing w:val="-2"/>
          <w:szCs w:val="20"/>
        </w:rPr>
        <w:t>ados como pru</w:t>
      </w:r>
      <w:r w:rsidRPr="0095692E">
        <w:rPr>
          <w:szCs w:val="20"/>
        </w:rPr>
        <w:t>eba por la Comisión</w:t>
      </w:r>
      <w:r w:rsidR="003828C8" w:rsidRPr="0095692E">
        <w:rPr>
          <w:szCs w:val="20"/>
        </w:rPr>
        <w:t>,</w:t>
      </w:r>
      <w:r w:rsidR="006D1B13" w:rsidRPr="0095692E">
        <w:rPr>
          <w:szCs w:val="20"/>
        </w:rPr>
        <w:t xml:space="preserve"> </w:t>
      </w:r>
      <w:r w:rsidR="003828C8" w:rsidRPr="0095692E">
        <w:rPr>
          <w:szCs w:val="20"/>
        </w:rPr>
        <w:t>los</w:t>
      </w:r>
      <w:r w:rsidRPr="0095692E">
        <w:rPr>
          <w:szCs w:val="20"/>
        </w:rPr>
        <w:t xml:space="preserve"> </w:t>
      </w:r>
      <w:r w:rsidR="00A36351" w:rsidRPr="0095692E">
        <w:rPr>
          <w:szCs w:val="20"/>
        </w:rPr>
        <w:t>representante</w:t>
      </w:r>
      <w:r w:rsidR="003828C8" w:rsidRPr="0095692E">
        <w:rPr>
          <w:szCs w:val="20"/>
        </w:rPr>
        <w:t>s y el Estado</w:t>
      </w:r>
      <w:r w:rsidRPr="0095692E">
        <w:rPr>
          <w:szCs w:val="20"/>
        </w:rPr>
        <w:t>, adjuntos a sus escritos principales (</w:t>
      </w:r>
      <w:r w:rsidRPr="0095692E">
        <w:rPr>
          <w:i/>
          <w:szCs w:val="20"/>
        </w:rPr>
        <w:t xml:space="preserve">supra </w:t>
      </w:r>
      <w:r w:rsidRPr="0095692E">
        <w:rPr>
          <w:szCs w:val="20"/>
        </w:rPr>
        <w:t xml:space="preserve">párrs. </w:t>
      </w:r>
      <w:r w:rsidR="00A962AD" w:rsidRPr="0095692E">
        <w:rPr>
          <w:szCs w:val="20"/>
        </w:rPr>
        <w:t>5</w:t>
      </w:r>
      <w:r w:rsidR="00CA7DC4" w:rsidRPr="0095692E">
        <w:rPr>
          <w:szCs w:val="20"/>
        </w:rPr>
        <w:t xml:space="preserve"> a</w:t>
      </w:r>
      <w:r w:rsidR="00A962AD" w:rsidRPr="0095692E">
        <w:rPr>
          <w:szCs w:val="20"/>
        </w:rPr>
        <w:t xml:space="preserve"> 7</w:t>
      </w:r>
      <w:r w:rsidRPr="0095692E">
        <w:rPr>
          <w:szCs w:val="20"/>
        </w:rPr>
        <w:t>). Como en otros casos, este Tribunal admite aquellos documentos presentados oportunamente (artículo 57 del Reglamento)</w:t>
      </w:r>
      <w:r w:rsidR="009C229F" w:rsidRPr="0095692E">
        <w:rPr>
          <w:rStyle w:val="Refdenotaalpie"/>
          <w:szCs w:val="20"/>
        </w:rPr>
        <w:footnoteReference w:id="16"/>
      </w:r>
      <w:r w:rsidRPr="0095692E">
        <w:rPr>
          <w:szCs w:val="20"/>
        </w:rPr>
        <w:t xml:space="preserve"> </w:t>
      </w:r>
      <w:r w:rsidRPr="0095692E">
        <w:rPr>
          <w:rStyle w:val="None"/>
          <w:szCs w:val="20"/>
        </w:rPr>
        <w:t>por las partes y la Comisión</w:t>
      </w:r>
      <w:r w:rsidR="00E9543B" w:rsidRPr="0095692E">
        <w:rPr>
          <w:szCs w:val="20"/>
        </w:rPr>
        <w:t xml:space="preserve"> en</w:t>
      </w:r>
      <w:r w:rsidR="00E9543B" w:rsidRPr="0095692E">
        <w:rPr>
          <w:spacing w:val="-9"/>
          <w:szCs w:val="20"/>
        </w:rPr>
        <w:t xml:space="preserve"> </w:t>
      </w:r>
      <w:r w:rsidR="00E9543B" w:rsidRPr="0095692E">
        <w:rPr>
          <w:szCs w:val="20"/>
        </w:rPr>
        <w:t>la</w:t>
      </w:r>
      <w:r w:rsidR="00E9543B" w:rsidRPr="0095692E">
        <w:rPr>
          <w:spacing w:val="-10"/>
          <w:szCs w:val="20"/>
        </w:rPr>
        <w:t xml:space="preserve"> </w:t>
      </w:r>
      <w:r w:rsidR="00E9543B" w:rsidRPr="0095692E">
        <w:rPr>
          <w:szCs w:val="20"/>
        </w:rPr>
        <w:t>debida</w:t>
      </w:r>
      <w:r w:rsidR="00E9543B" w:rsidRPr="0095692E">
        <w:rPr>
          <w:spacing w:val="-10"/>
          <w:szCs w:val="20"/>
        </w:rPr>
        <w:t xml:space="preserve"> </w:t>
      </w:r>
      <w:r w:rsidR="00E9543B" w:rsidRPr="0095692E">
        <w:rPr>
          <w:szCs w:val="20"/>
        </w:rPr>
        <w:t>oportunidad</w:t>
      </w:r>
      <w:r w:rsidR="00E9543B" w:rsidRPr="0095692E">
        <w:rPr>
          <w:spacing w:val="-9"/>
          <w:szCs w:val="20"/>
        </w:rPr>
        <w:t xml:space="preserve"> </w:t>
      </w:r>
      <w:r w:rsidR="00E9543B" w:rsidRPr="0095692E">
        <w:rPr>
          <w:szCs w:val="20"/>
        </w:rPr>
        <w:lastRenderedPageBreak/>
        <w:t>procesal</w:t>
      </w:r>
      <w:hyperlink w:anchor="_bookmark50" w:history="1"/>
      <w:r w:rsidRPr="0095692E">
        <w:rPr>
          <w:rStyle w:val="None"/>
          <w:szCs w:val="20"/>
        </w:rPr>
        <w:t>, cuya admisibilidad no fue controvertida ni objetada, y cuya autenticidad no fue puesta en duda</w:t>
      </w:r>
      <w:r w:rsidRPr="0095692E">
        <w:rPr>
          <w:rStyle w:val="None"/>
          <w:szCs w:val="20"/>
          <w:vertAlign w:val="superscript"/>
        </w:rPr>
        <w:footnoteReference w:id="17"/>
      </w:r>
      <w:r w:rsidRPr="0095692E">
        <w:rPr>
          <w:rStyle w:val="None"/>
          <w:szCs w:val="20"/>
        </w:rPr>
        <w:t>.</w:t>
      </w:r>
    </w:p>
    <w:p w14:paraId="105E2BB7" w14:textId="07BFC840" w:rsidR="00B867D9" w:rsidRPr="0095692E" w:rsidRDefault="00B867D9" w:rsidP="00A80648">
      <w:pPr>
        <w:jc w:val="both"/>
        <w:rPr>
          <w:rFonts w:ascii="Verdana" w:hAnsi="Verdana"/>
          <w:sz w:val="20"/>
          <w:szCs w:val="20"/>
        </w:rPr>
      </w:pPr>
    </w:p>
    <w:p w14:paraId="329B4534" w14:textId="53CC8C74" w:rsidR="009A0994" w:rsidRPr="0095692E" w:rsidRDefault="00B867D9" w:rsidP="009A0994">
      <w:pPr>
        <w:pStyle w:val="Prrafodelista"/>
        <w:numPr>
          <w:ilvl w:val="0"/>
          <w:numId w:val="2"/>
        </w:numPr>
        <w:spacing w:after="0" w:line="240" w:lineRule="auto"/>
        <w:ind w:left="0" w:firstLine="0"/>
        <w:contextualSpacing w:val="0"/>
        <w:jc w:val="both"/>
        <w:rPr>
          <w:rFonts w:ascii="Verdana" w:hAnsi="Verdana"/>
          <w:b/>
          <w:bCs/>
          <w:sz w:val="20"/>
          <w:szCs w:val="20"/>
        </w:rPr>
      </w:pPr>
      <w:r w:rsidRPr="0095692E">
        <w:rPr>
          <w:rFonts w:ascii="Verdana" w:hAnsi="Verdana"/>
          <w:iCs/>
          <w:sz w:val="20"/>
          <w:szCs w:val="20"/>
        </w:rPr>
        <w:t>Por otra parte, la Corte nota que</w:t>
      </w:r>
      <w:r w:rsidR="00223E00" w:rsidRPr="0095692E">
        <w:rPr>
          <w:rFonts w:ascii="Verdana" w:hAnsi="Verdana"/>
          <w:iCs/>
          <w:sz w:val="20"/>
          <w:szCs w:val="20"/>
        </w:rPr>
        <w:t xml:space="preserve"> los </w:t>
      </w:r>
      <w:r w:rsidR="00223E00" w:rsidRPr="0095692E">
        <w:rPr>
          <w:rFonts w:ascii="Verdana" w:hAnsi="Verdana"/>
          <w:b/>
          <w:bCs/>
          <w:i/>
          <w:sz w:val="20"/>
          <w:szCs w:val="20"/>
        </w:rPr>
        <w:t>representantes</w:t>
      </w:r>
      <w:r w:rsidR="00223E00" w:rsidRPr="0095692E">
        <w:rPr>
          <w:rFonts w:ascii="Verdana" w:hAnsi="Verdana"/>
          <w:iCs/>
          <w:sz w:val="20"/>
          <w:szCs w:val="20"/>
        </w:rPr>
        <w:t xml:space="preserve"> remitieron </w:t>
      </w:r>
      <w:r w:rsidR="00CF667B" w:rsidRPr="0095692E">
        <w:rPr>
          <w:rFonts w:ascii="Verdana" w:hAnsi="Verdana"/>
          <w:iCs/>
          <w:sz w:val="20"/>
          <w:szCs w:val="20"/>
        </w:rPr>
        <w:t>tres</w:t>
      </w:r>
      <w:r w:rsidR="004975BD" w:rsidRPr="0095692E">
        <w:rPr>
          <w:rFonts w:ascii="Verdana" w:hAnsi="Verdana"/>
          <w:iCs/>
          <w:sz w:val="20"/>
          <w:szCs w:val="20"/>
        </w:rPr>
        <w:t xml:space="preserve"> </w:t>
      </w:r>
      <w:r w:rsidR="00223E00" w:rsidRPr="0095692E">
        <w:rPr>
          <w:rFonts w:ascii="Verdana" w:hAnsi="Verdana"/>
          <w:iCs/>
          <w:sz w:val="20"/>
          <w:szCs w:val="20"/>
        </w:rPr>
        <w:t>anexos</w:t>
      </w:r>
      <w:r w:rsidR="00223E00" w:rsidRPr="0095692E">
        <w:rPr>
          <w:rFonts w:ascii="Verdana" w:hAnsi="Verdana"/>
          <w:iCs/>
          <w:sz w:val="20"/>
          <w:szCs w:val="20"/>
          <w:vertAlign w:val="superscript"/>
        </w:rPr>
        <w:footnoteReference w:id="18"/>
      </w:r>
      <w:r w:rsidR="00223E00" w:rsidRPr="0095692E">
        <w:rPr>
          <w:rFonts w:ascii="Verdana" w:hAnsi="Verdana"/>
          <w:iCs/>
          <w:sz w:val="20"/>
          <w:szCs w:val="20"/>
        </w:rPr>
        <w:t xml:space="preserve"> conjuntamente con sus alegatos finales escritos</w:t>
      </w:r>
      <w:r w:rsidRPr="0095692E">
        <w:rPr>
          <w:rFonts w:ascii="Verdana" w:hAnsi="Verdana"/>
          <w:sz w:val="20"/>
          <w:szCs w:val="20"/>
        </w:rPr>
        <w:t>.</w:t>
      </w:r>
      <w:r w:rsidR="004975BD" w:rsidRPr="0095692E">
        <w:rPr>
          <w:rFonts w:ascii="Verdana" w:hAnsi="Verdana"/>
          <w:sz w:val="20"/>
          <w:szCs w:val="20"/>
        </w:rPr>
        <w:t xml:space="preserve"> Al respecto, el </w:t>
      </w:r>
      <w:r w:rsidR="004975BD" w:rsidRPr="0095692E">
        <w:rPr>
          <w:rFonts w:ascii="Verdana" w:hAnsi="Verdana"/>
          <w:b/>
          <w:bCs/>
          <w:i/>
          <w:iCs/>
          <w:sz w:val="20"/>
          <w:szCs w:val="20"/>
        </w:rPr>
        <w:t>Estado</w:t>
      </w:r>
      <w:r w:rsidR="004975BD" w:rsidRPr="0095692E">
        <w:rPr>
          <w:rFonts w:ascii="Verdana" w:hAnsi="Verdana"/>
          <w:sz w:val="20"/>
          <w:szCs w:val="20"/>
        </w:rPr>
        <w:t xml:space="preserve"> y la </w:t>
      </w:r>
      <w:r w:rsidR="004975BD" w:rsidRPr="0095692E">
        <w:rPr>
          <w:rFonts w:ascii="Verdana" w:hAnsi="Verdana"/>
          <w:b/>
          <w:bCs/>
          <w:i/>
          <w:iCs/>
          <w:sz w:val="20"/>
          <w:szCs w:val="20"/>
        </w:rPr>
        <w:t>Comisión</w:t>
      </w:r>
      <w:r w:rsidR="004975BD" w:rsidRPr="0095692E">
        <w:rPr>
          <w:rFonts w:ascii="Verdana" w:hAnsi="Verdana"/>
          <w:sz w:val="20"/>
          <w:szCs w:val="20"/>
        </w:rPr>
        <w:t xml:space="preserve"> indicaron no tener observaciones a los referidos documentos. </w:t>
      </w:r>
      <w:r w:rsidR="004975BD" w:rsidRPr="0095692E">
        <w:rPr>
          <w:rFonts w:ascii="Verdana" w:hAnsi="Verdana"/>
          <w:iCs/>
          <w:sz w:val="20"/>
          <w:szCs w:val="20"/>
        </w:rPr>
        <w:t xml:space="preserve">En consecuencia, la </w:t>
      </w:r>
      <w:r w:rsidR="004975BD" w:rsidRPr="0095692E">
        <w:rPr>
          <w:rFonts w:ascii="Verdana" w:hAnsi="Verdana"/>
          <w:b/>
          <w:bCs/>
          <w:i/>
          <w:sz w:val="20"/>
          <w:szCs w:val="20"/>
        </w:rPr>
        <w:t xml:space="preserve">Corte </w:t>
      </w:r>
      <w:r w:rsidR="00B918BE" w:rsidRPr="0095692E">
        <w:rPr>
          <w:rFonts w:ascii="Verdana" w:hAnsi="Verdana"/>
          <w:iCs/>
          <w:sz w:val="20"/>
          <w:szCs w:val="20"/>
        </w:rPr>
        <w:t>los a</w:t>
      </w:r>
      <w:r w:rsidR="004975BD" w:rsidRPr="0095692E">
        <w:rPr>
          <w:rFonts w:ascii="Verdana" w:hAnsi="Verdana"/>
          <w:iCs/>
          <w:sz w:val="20"/>
          <w:szCs w:val="20"/>
        </w:rPr>
        <w:t xml:space="preserve">dmite en tanto que </w:t>
      </w:r>
      <w:r w:rsidR="00B918BE" w:rsidRPr="0095692E">
        <w:rPr>
          <w:rFonts w:ascii="Verdana" w:hAnsi="Verdana"/>
          <w:iCs/>
          <w:sz w:val="20"/>
          <w:szCs w:val="20"/>
        </w:rPr>
        <w:t xml:space="preserve">todos los anexos se refieren a </w:t>
      </w:r>
      <w:r w:rsidR="004975BD" w:rsidRPr="0095692E">
        <w:rPr>
          <w:rFonts w:ascii="Verdana" w:hAnsi="Verdana"/>
          <w:iCs/>
          <w:sz w:val="20"/>
          <w:szCs w:val="20"/>
        </w:rPr>
        <w:t>documentos aportados como prueba de los gastos incurridos por los representantes en el litigio del presente caso.</w:t>
      </w:r>
    </w:p>
    <w:p w14:paraId="09BAA300" w14:textId="77777777" w:rsidR="009A0994" w:rsidRPr="0095692E" w:rsidRDefault="009A0994" w:rsidP="009A0994">
      <w:pPr>
        <w:pStyle w:val="Prrafodelista"/>
        <w:rPr>
          <w:rFonts w:ascii="Verdana" w:hAnsi="Verdana"/>
          <w:sz w:val="20"/>
          <w:szCs w:val="20"/>
          <w:highlight w:val="yellow"/>
        </w:rPr>
      </w:pPr>
    </w:p>
    <w:p w14:paraId="70E4499D" w14:textId="239F5562" w:rsidR="00B61AE0" w:rsidRPr="0095692E" w:rsidRDefault="00B61AE0" w:rsidP="009A0994">
      <w:pPr>
        <w:pStyle w:val="Prrafodelista"/>
        <w:numPr>
          <w:ilvl w:val="0"/>
          <w:numId w:val="2"/>
        </w:numPr>
        <w:spacing w:after="0" w:line="240" w:lineRule="auto"/>
        <w:ind w:left="0" w:firstLine="0"/>
        <w:contextualSpacing w:val="0"/>
        <w:jc w:val="both"/>
        <w:rPr>
          <w:rFonts w:ascii="Verdana" w:hAnsi="Verdana"/>
          <w:b/>
          <w:bCs/>
          <w:sz w:val="20"/>
          <w:szCs w:val="20"/>
        </w:rPr>
      </w:pPr>
      <w:r w:rsidRPr="0095692E">
        <w:rPr>
          <w:rFonts w:ascii="Verdana" w:hAnsi="Verdana"/>
          <w:sz w:val="20"/>
          <w:szCs w:val="20"/>
        </w:rPr>
        <w:t xml:space="preserve">Finalmente, mediante nota de Secretaría de </w:t>
      </w:r>
      <w:r w:rsidR="004578FC" w:rsidRPr="0095692E">
        <w:rPr>
          <w:rFonts w:ascii="Verdana" w:hAnsi="Verdana"/>
          <w:sz w:val="20"/>
          <w:szCs w:val="20"/>
        </w:rPr>
        <w:t>10 de agosto de 2022</w:t>
      </w:r>
      <w:r w:rsidRPr="0095692E">
        <w:rPr>
          <w:rFonts w:ascii="Verdana" w:hAnsi="Verdana"/>
          <w:sz w:val="20"/>
          <w:szCs w:val="20"/>
        </w:rPr>
        <w:t>, la Corte solicitó como prueba para mejor resolver al Estado el “</w:t>
      </w:r>
      <w:r w:rsidR="004578FC" w:rsidRPr="0095692E">
        <w:rPr>
          <w:rFonts w:ascii="Verdana" w:hAnsi="Verdana"/>
          <w:sz w:val="20"/>
          <w:szCs w:val="20"/>
        </w:rPr>
        <w:t xml:space="preserve">registro oficial de </w:t>
      </w:r>
      <w:r w:rsidR="00124025" w:rsidRPr="0095692E">
        <w:rPr>
          <w:rFonts w:ascii="Verdana" w:hAnsi="Verdana"/>
          <w:sz w:val="20"/>
          <w:szCs w:val="20"/>
        </w:rPr>
        <w:t xml:space="preserve">la </w:t>
      </w:r>
      <w:r w:rsidR="004578FC" w:rsidRPr="0095692E">
        <w:rPr>
          <w:rFonts w:ascii="Verdana" w:hAnsi="Verdana"/>
          <w:sz w:val="20"/>
          <w:szCs w:val="20"/>
        </w:rPr>
        <w:t>detención del señor Marco Tulio Regalado, donde se contempl</w:t>
      </w:r>
      <w:r w:rsidR="00A14020" w:rsidRPr="0095692E">
        <w:rPr>
          <w:rFonts w:ascii="Verdana" w:hAnsi="Verdana"/>
          <w:sz w:val="20"/>
          <w:szCs w:val="20"/>
        </w:rPr>
        <w:t>e</w:t>
      </w:r>
      <w:r w:rsidR="004578FC" w:rsidRPr="0095692E">
        <w:rPr>
          <w:rFonts w:ascii="Verdana" w:hAnsi="Verdana"/>
          <w:sz w:val="20"/>
          <w:szCs w:val="20"/>
        </w:rPr>
        <w:t xml:space="preserve"> la fecha de su detención, el nombre del centro de privación de libertad en que se encuentra y la fecha de su ingreso al referido centro</w:t>
      </w:r>
      <w:r w:rsidRPr="0095692E">
        <w:rPr>
          <w:rFonts w:ascii="Verdana" w:hAnsi="Verdana"/>
          <w:sz w:val="20"/>
          <w:szCs w:val="20"/>
        </w:rPr>
        <w:t xml:space="preserve">”. El </w:t>
      </w:r>
      <w:r w:rsidR="006876FE" w:rsidRPr="0095692E">
        <w:rPr>
          <w:rFonts w:ascii="Verdana" w:hAnsi="Verdana"/>
          <w:sz w:val="20"/>
          <w:szCs w:val="20"/>
        </w:rPr>
        <w:t xml:space="preserve">12 de agosto de 2022 </w:t>
      </w:r>
      <w:r w:rsidRPr="0095692E">
        <w:rPr>
          <w:rFonts w:ascii="Verdana" w:hAnsi="Verdana"/>
          <w:sz w:val="20"/>
          <w:szCs w:val="20"/>
        </w:rPr>
        <w:t xml:space="preserve">el Estado </w:t>
      </w:r>
      <w:r w:rsidR="006876FE" w:rsidRPr="0095692E">
        <w:rPr>
          <w:rFonts w:ascii="Verdana" w:hAnsi="Verdana"/>
          <w:sz w:val="20"/>
          <w:szCs w:val="20"/>
        </w:rPr>
        <w:t xml:space="preserve">presentó la documentación </w:t>
      </w:r>
      <w:r w:rsidRPr="0095692E">
        <w:rPr>
          <w:rFonts w:ascii="Verdana" w:hAnsi="Verdana"/>
          <w:sz w:val="20"/>
          <w:szCs w:val="20"/>
        </w:rPr>
        <w:t xml:space="preserve">requerida. De conformidad con lo estipulado en el artículo 58 del Reglamento, dicha </w:t>
      </w:r>
      <w:r w:rsidR="006876FE" w:rsidRPr="0095692E">
        <w:rPr>
          <w:rFonts w:ascii="Verdana" w:hAnsi="Verdana"/>
          <w:sz w:val="20"/>
          <w:szCs w:val="20"/>
        </w:rPr>
        <w:t xml:space="preserve">prueba </w:t>
      </w:r>
      <w:r w:rsidRPr="0095692E">
        <w:rPr>
          <w:rFonts w:ascii="Verdana" w:hAnsi="Verdana"/>
          <w:sz w:val="20"/>
          <w:szCs w:val="20"/>
        </w:rPr>
        <w:t>documental resulta admisible.</w:t>
      </w:r>
      <w:r w:rsidR="004578FC" w:rsidRPr="0095692E">
        <w:rPr>
          <w:rFonts w:ascii="Verdana" w:hAnsi="Verdana"/>
          <w:sz w:val="20"/>
          <w:szCs w:val="20"/>
        </w:rPr>
        <w:t xml:space="preserve"> </w:t>
      </w:r>
    </w:p>
    <w:p w14:paraId="676A4D7F" w14:textId="77777777" w:rsidR="00167C87" w:rsidRPr="0095692E" w:rsidRDefault="00167C87" w:rsidP="00A80648">
      <w:pPr>
        <w:pStyle w:val="Prrafodelista"/>
        <w:spacing w:after="0" w:line="240" w:lineRule="auto"/>
        <w:ind w:left="0"/>
        <w:contextualSpacing w:val="0"/>
        <w:jc w:val="both"/>
        <w:rPr>
          <w:rFonts w:ascii="Verdana" w:hAnsi="Verdana"/>
          <w:sz w:val="20"/>
          <w:szCs w:val="20"/>
        </w:rPr>
      </w:pPr>
    </w:p>
    <w:p w14:paraId="742BF785" w14:textId="739E7F12" w:rsidR="00167C87" w:rsidRPr="0095692E" w:rsidRDefault="00B574F2" w:rsidP="00A80648">
      <w:pPr>
        <w:pStyle w:val="Ttulo2"/>
        <w:rPr>
          <w:lang w:val="es-CR"/>
        </w:rPr>
      </w:pPr>
      <w:bookmarkStart w:id="38" w:name="_Toc115262480"/>
      <w:r w:rsidRPr="0095692E">
        <w:rPr>
          <w:lang w:val="es-CR"/>
        </w:rPr>
        <w:t>Admisibilidad de la prueba testimonial y pericial</w:t>
      </w:r>
      <w:bookmarkEnd w:id="38"/>
    </w:p>
    <w:p w14:paraId="5E327A04" w14:textId="0326374F" w:rsidR="00A5462E" w:rsidRPr="0095692E" w:rsidRDefault="00A5462E" w:rsidP="00A80648">
      <w:pPr>
        <w:jc w:val="both"/>
        <w:rPr>
          <w:rFonts w:ascii="Verdana" w:hAnsi="Verdana"/>
          <w:sz w:val="20"/>
          <w:szCs w:val="20"/>
        </w:rPr>
      </w:pPr>
    </w:p>
    <w:p w14:paraId="72257BF1" w14:textId="0AC69919" w:rsidR="0065190E" w:rsidRPr="0095692E" w:rsidRDefault="0065190E" w:rsidP="00A80648">
      <w:pPr>
        <w:pStyle w:val="Prrafodelista"/>
        <w:widowControl w:val="0"/>
        <w:numPr>
          <w:ilvl w:val="0"/>
          <w:numId w:val="2"/>
        </w:numPr>
        <w:spacing w:after="0" w:line="240" w:lineRule="auto"/>
        <w:ind w:left="0" w:firstLine="0"/>
        <w:contextualSpacing w:val="0"/>
        <w:jc w:val="both"/>
        <w:rPr>
          <w:rFonts w:ascii="Verdana" w:eastAsia="Verdana" w:hAnsi="Verdana" w:cs="Verdana"/>
          <w:sz w:val="20"/>
          <w:szCs w:val="20"/>
        </w:rPr>
      </w:pPr>
      <w:r w:rsidRPr="0095692E">
        <w:rPr>
          <w:rFonts w:ascii="Verdana" w:hAnsi="Verdana"/>
          <w:sz w:val="20"/>
          <w:szCs w:val="20"/>
        </w:rPr>
        <w:t>Este Tribunal estima pertinente admitir las declaraciones rendidas ante fedatario público</w:t>
      </w:r>
      <w:r w:rsidRPr="0095692E">
        <w:rPr>
          <w:rFonts w:ascii="Verdana" w:hAnsi="Verdana"/>
          <w:iCs/>
          <w:sz w:val="20"/>
          <w:szCs w:val="20"/>
          <w:vertAlign w:val="superscript"/>
        </w:rPr>
        <w:footnoteReference w:id="19"/>
      </w:r>
      <w:r w:rsidRPr="0095692E">
        <w:rPr>
          <w:rFonts w:ascii="Verdana" w:hAnsi="Verdana"/>
          <w:sz w:val="20"/>
          <w:szCs w:val="20"/>
        </w:rPr>
        <w:t xml:space="preserve"> y en audiencia pública</w:t>
      </w:r>
      <w:r w:rsidRPr="0095692E">
        <w:rPr>
          <w:rFonts w:ascii="Verdana" w:hAnsi="Verdana"/>
          <w:iCs/>
          <w:sz w:val="20"/>
          <w:szCs w:val="20"/>
          <w:vertAlign w:val="superscript"/>
        </w:rPr>
        <w:footnoteReference w:id="20"/>
      </w:r>
      <w:r w:rsidRPr="0095692E">
        <w:rPr>
          <w:rFonts w:ascii="Verdana" w:hAnsi="Verdana"/>
          <w:sz w:val="20"/>
          <w:szCs w:val="20"/>
        </w:rPr>
        <w:t>, en la medida en que se ajustan al objeto que fue definido por la Presidencia en la Resolución mediante la cual se ordenó recibirlos y al objeto del presente caso</w:t>
      </w:r>
      <w:r w:rsidRPr="0095692E">
        <w:rPr>
          <w:rFonts w:ascii="Verdana" w:hAnsi="Verdana"/>
          <w:iCs/>
          <w:sz w:val="20"/>
          <w:szCs w:val="20"/>
          <w:vertAlign w:val="superscript"/>
        </w:rPr>
        <w:footnoteReference w:id="21"/>
      </w:r>
      <w:r w:rsidRPr="0095692E">
        <w:rPr>
          <w:rFonts w:ascii="Verdana" w:hAnsi="Verdana"/>
          <w:sz w:val="20"/>
          <w:szCs w:val="20"/>
        </w:rPr>
        <w:t>.</w:t>
      </w:r>
    </w:p>
    <w:p w14:paraId="291F063B" w14:textId="77777777" w:rsidR="0065190E" w:rsidRPr="0095692E" w:rsidRDefault="0065190E" w:rsidP="00A80648">
      <w:pPr>
        <w:pStyle w:val="Prrafodelista"/>
        <w:widowControl w:val="0"/>
        <w:spacing w:after="0" w:line="240" w:lineRule="auto"/>
        <w:ind w:left="0"/>
        <w:contextualSpacing w:val="0"/>
        <w:jc w:val="both"/>
        <w:rPr>
          <w:rFonts w:ascii="Verdana" w:eastAsia="Verdana" w:hAnsi="Verdana" w:cs="Verdana"/>
          <w:sz w:val="20"/>
          <w:szCs w:val="20"/>
        </w:rPr>
      </w:pPr>
    </w:p>
    <w:p w14:paraId="35239C47" w14:textId="08068639" w:rsidR="00167C87" w:rsidRPr="0095692E" w:rsidRDefault="00167C87" w:rsidP="00A80648">
      <w:pPr>
        <w:pStyle w:val="Ttulo1"/>
        <w:ind w:firstLine="0"/>
        <w:rPr>
          <w:lang w:val="es-CR"/>
        </w:rPr>
      </w:pPr>
      <w:bookmarkStart w:id="39" w:name="_Toc115262481"/>
      <w:r w:rsidRPr="0095692E">
        <w:rPr>
          <w:lang w:val="es-CR"/>
        </w:rPr>
        <w:t>V</w:t>
      </w:r>
      <w:r w:rsidR="00BB1155" w:rsidRPr="0095692E">
        <w:rPr>
          <w:lang w:val="es-CR"/>
        </w:rPr>
        <w:t>I</w:t>
      </w:r>
      <w:r w:rsidRPr="0095692E">
        <w:rPr>
          <w:lang w:val="es-CR"/>
        </w:rPr>
        <w:br/>
        <w:t>HECHOS</w:t>
      </w:r>
      <w:bookmarkEnd w:id="39"/>
    </w:p>
    <w:p w14:paraId="322F2A15" w14:textId="4620EA4D" w:rsidR="00167C87" w:rsidRPr="0095692E" w:rsidRDefault="00167C87" w:rsidP="00A80648">
      <w:pPr>
        <w:pStyle w:val="Prrafodelista"/>
        <w:spacing w:after="0" w:line="240" w:lineRule="auto"/>
        <w:ind w:left="0"/>
        <w:contextualSpacing w:val="0"/>
        <w:rPr>
          <w:rFonts w:ascii="Verdana" w:hAnsi="Verdana"/>
          <w:b/>
          <w:bCs/>
          <w:sz w:val="20"/>
          <w:szCs w:val="20"/>
        </w:rPr>
      </w:pPr>
    </w:p>
    <w:p w14:paraId="77C96F53" w14:textId="17496C86" w:rsidR="00AC629A" w:rsidRPr="0095692E" w:rsidRDefault="00CF367A" w:rsidP="00A80648">
      <w:pPr>
        <w:pStyle w:val="Prrafodelista"/>
        <w:numPr>
          <w:ilvl w:val="0"/>
          <w:numId w:val="2"/>
        </w:numPr>
        <w:spacing w:after="0" w:line="240" w:lineRule="auto"/>
        <w:ind w:left="0" w:firstLine="0"/>
        <w:contextualSpacing w:val="0"/>
        <w:jc w:val="both"/>
        <w:rPr>
          <w:rFonts w:ascii="Verdana" w:hAnsi="Verdana"/>
          <w:b/>
          <w:bCs/>
          <w:sz w:val="20"/>
          <w:szCs w:val="20"/>
        </w:rPr>
      </w:pPr>
      <w:r w:rsidRPr="0095692E">
        <w:rPr>
          <w:rFonts w:ascii="Verdana" w:hAnsi="Verdana"/>
          <w:sz w:val="20"/>
          <w:szCs w:val="20"/>
        </w:rPr>
        <w:t xml:space="preserve">Tomando en consideración el </w:t>
      </w:r>
      <w:r w:rsidR="001F3D3A" w:rsidRPr="0095692E">
        <w:rPr>
          <w:rFonts w:ascii="Verdana" w:hAnsi="Verdana"/>
          <w:sz w:val="20"/>
          <w:szCs w:val="20"/>
        </w:rPr>
        <w:t xml:space="preserve">amplio </w:t>
      </w:r>
      <w:r w:rsidRPr="0095692E">
        <w:rPr>
          <w:rFonts w:ascii="Verdana" w:hAnsi="Verdana"/>
          <w:sz w:val="20"/>
          <w:szCs w:val="20"/>
        </w:rPr>
        <w:t>alcance de</w:t>
      </w:r>
      <w:r w:rsidR="00D71A60" w:rsidRPr="0095692E">
        <w:rPr>
          <w:rFonts w:ascii="Verdana" w:hAnsi="Verdana"/>
          <w:sz w:val="20"/>
          <w:szCs w:val="20"/>
        </w:rPr>
        <w:t>l reconocimiento de</w:t>
      </w:r>
      <w:r w:rsidRPr="0095692E">
        <w:rPr>
          <w:rFonts w:ascii="Verdana" w:hAnsi="Verdana"/>
          <w:sz w:val="20"/>
          <w:szCs w:val="20"/>
        </w:rPr>
        <w:t xml:space="preserve"> responsabilidad del Estado, la Corte expondrá </w:t>
      </w:r>
      <w:r w:rsidR="00F21CAD" w:rsidRPr="0095692E">
        <w:rPr>
          <w:rFonts w:ascii="Verdana" w:hAnsi="Verdana"/>
          <w:sz w:val="20"/>
          <w:szCs w:val="20"/>
        </w:rPr>
        <w:t xml:space="preserve">a continuación </w:t>
      </w:r>
      <w:r w:rsidRPr="0095692E">
        <w:rPr>
          <w:rFonts w:ascii="Verdana" w:hAnsi="Verdana"/>
          <w:sz w:val="20"/>
          <w:szCs w:val="20"/>
        </w:rPr>
        <w:t>los hechos del caso</w:t>
      </w:r>
      <w:r w:rsidR="00236BA5" w:rsidRPr="0095692E">
        <w:rPr>
          <w:rFonts w:ascii="Verdana" w:hAnsi="Verdana"/>
          <w:sz w:val="20"/>
          <w:szCs w:val="20"/>
        </w:rPr>
        <w:t>, con base en el marco fáctico establecido en el Informe de Fondo de la Comisión</w:t>
      </w:r>
      <w:r w:rsidR="006445D1" w:rsidRPr="0095692E">
        <w:rPr>
          <w:rFonts w:ascii="Verdana" w:hAnsi="Verdana"/>
          <w:sz w:val="20"/>
          <w:szCs w:val="20"/>
        </w:rPr>
        <w:t>,</w:t>
      </w:r>
      <w:r w:rsidR="00236BA5" w:rsidRPr="0095692E">
        <w:rPr>
          <w:rFonts w:ascii="Verdana" w:hAnsi="Verdana"/>
          <w:sz w:val="20"/>
          <w:szCs w:val="20"/>
        </w:rPr>
        <w:t xml:space="preserve"> los hechos complementarios </w:t>
      </w:r>
      <w:r w:rsidR="006445D1" w:rsidRPr="0095692E">
        <w:rPr>
          <w:rFonts w:ascii="Verdana" w:hAnsi="Verdana"/>
          <w:sz w:val="20"/>
          <w:szCs w:val="20"/>
        </w:rPr>
        <w:t xml:space="preserve">relatados por </w:t>
      </w:r>
      <w:r w:rsidR="00236BA5" w:rsidRPr="0095692E">
        <w:rPr>
          <w:rFonts w:ascii="Verdana" w:hAnsi="Verdana"/>
          <w:sz w:val="20"/>
          <w:szCs w:val="20"/>
        </w:rPr>
        <w:t>los representantes</w:t>
      </w:r>
      <w:r w:rsidR="006445D1" w:rsidRPr="0095692E">
        <w:rPr>
          <w:rFonts w:ascii="Verdana" w:hAnsi="Verdana"/>
          <w:sz w:val="20"/>
          <w:szCs w:val="20"/>
        </w:rPr>
        <w:t xml:space="preserve"> en su escrito de solicitudes y argumentos y las pruebas que obran en el expediente</w:t>
      </w:r>
      <w:r w:rsidR="00C63B0B" w:rsidRPr="0095692E">
        <w:rPr>
          <w:rStyle w:val="Refdenotaalpie"/>
          <w:rFonts w:ascii="Verdana" w:hAnsi="Verdana"/>
          <w:bCs/>
          <w:sz w:val="20"/>
          <w:szCs w:val="20"/>
          <w:shd w:val="clear" w:color="auto" w:fill="FFFFFF"/>
        </w:rPr>
        <w:footnoteReference w:id="22"/>
      </w:r>
      <w:r w:rsidR="006445D1" w:rsidRPr="0095692E">
        <w:rPr>
          <w:rFonts w:ascii="Verdana" w:hAnsi="Verdana"/>
          <w:sz w:val="20"/>
          <w:szCs w:val="20"/>
        </w:rPr>
        <w:t>,</w:t>
      </w:r>
      <w:r w:rsidRPr="0095692E">
        <w:rPr>
          <w:rFonts w:ascii="Verdana" w:hAnsi="Verdana"/>
          <w:sz w:val="20"/>
          <w:szCs w:val="20"/>
        </w:rPr>
        <w:t xml:space="preserve"> en el siguiente</w:t>
      </w:r>
      <w:r w:rsidR="00B7598E" w:rsidRPr="0095692E">
        <w:rPr>
          <w:rFonts w:ascii="Verdana" w:hAnsi="Verdana"/>
          <w:sz w:val="20"/>
          <w:szCs w:val="20"/>
        </w:rPr>
        <w:t xml:space="preserve"> orden</w:t>
      </w:r>
      <w:r w:rsidRPr="0095692E">
        <w:rPr>
          <w:rFonts w:ascii="Verdana" w:hAnsi="Verdana"/>
          <w:sz w:val="20"/>
          <w:szCs w:val="20"/>
        </w:rPr>
        <w:t xml:space="preserve">: a) </w:t>
      </w:r>
      <w:r w:rsidR="005E498D" w:rsidRPr="0095692E">
        <w:rPr>
          <w:rFonts w:ascii="Verdana" w:hAnsi="Verdana"/>
          <w:sz w:val="20"/>
          <w:szCs w:val="20"/>
        </w:rPr>
        <w:t>el contexto de graves violaciones de derechos humanos en el marco de la doctrina de la seguridad nacional en Honduras</w:t>
      </w:r>
      <w:r w:rsidR="00564310" w:rsidRPr="0095692E">
        <w:rPr>
          <w:rFonts w:ascii="Verdana" w:hAnsi="Verdana"/>
          <w:sz w:val="20"/>
          <w:szCs w:val="20"/>
        </w:rPr>
        <w:t xml:space="preserve">; b) </w:t>
      </w:r>
      <w:r w:rsidR="00F263CB" w:rsidRPr="0095692E">
        <w:rPr>
          <w:rFonts w:ascii="Verdana" w:hAnsi="Verdana"/>
          <w:sz w:val="20"/>
          <w:szCs w:val="20"/>
        </w:rPr>
        <w:t xml:space="preserve">la muerte de </w:t>
      </w:r>
      <w:r w:rsidR="00EF4EBE" w:rsidRPr="0095692E">
        <w:rPr>
          <w:rFonts w:ascii="Verdana" w:hAnsi="Verdana"/>
          <w:sz w:val="20"/>
          <w:szCs w:val="20"/>
        </w:rPr>
        <w:t>Herminio Deras García</w:t>
      </w:r>
      <w:r w:rsidR="00564310" w:rsidRPr="0095692E">
        <w:rPr>
          <w:rFonts w:ascii="Verdana" w:hAnsi="Verdana"/>
          <w:sz w:val="20"/>
          <w:szCs w:val="20"/>
        </w:rPr>
        <w:t>; c)</w:t>
      </w:r>
      <w:r w:rsidR="008D63D8" w:rsidRPr="0095692E">
        <w:rPr>
          <w:rFonts w:ascii="Verdana" w:hAnsi="Verdana"/>
          <w:sz w:val="20"/>
          <w:szCs w:val="20"/>
        </w:rPr>
        <w:t xml:space="preserve"> </w:t>
      </w:r>
      <w:r w:rsidR="00F424C8" w:rsidRPr="0095692E">
        <w:rPr>
          <w:rFonts w:ascii="Verdana" w:hAnsi="Verdana"/>
          <w:sz w:val="20"/>
          <w:szCs w:val="20"/>
        </w:rPr>
        <w:t>l</w:t>
      </w:r>
      <w:r w:rsidR="00F263CB" w:rsidRPr="0095692E">
        <w:rPr>
          <w:rFonts w:ascii="Verdana" w:hAnsi="Verdana"/>
          <w:sz w:val="20"/>
          <w:szCs w:val="20"/>
        </w:rPr>
        <w:t>os hechos relacionados con la</w:t>
      </w:r>
      <w:r w:rsidR="00F424C8" w:rsidRPr="0095692E">
        <w:rPr>
          <w:rFonts w:ascii="Verdana" w:hAnsi="Verdana"/>
          <w:sz w:val="20"/>
          <w:szCs w:val="20"/>
        </w:rPr>
        <w:t xml:space="preserve"> familia de Herminio Deras García</w:t>
      </w:r>
      <w:r w:rsidR="00F263CB" w:rsidRPr="0095692E">
        <w:rPr>
          <w:rFonts w:ascii="Verdana" w:hAnsi="Verdana"/>
          <w:sz w:val="20"/>
          <w:szCs w:val="20"/>
        </w:rPr>
        <w:t>, y</w:t>
      </w:r>
      <w:r w:rsidR="00564310" w:rsidRPr="0095692E">
        <w:rPr>
          <w:rFonts w:ascii="Verdana" w:hAnsi="Verdana"/>
          <w:sz w:val="20"/>
          <w:szCs w:val="20"/>
        </w:rPr>
        <w:t xml:space="preserve"> d) </w:t>
      </w:r>
      <w:r w:rsidR="008D63D8" w:rsidRPr="0095692E">
        <w:rPr>
          <w:rFonts w:ascii="Verdana" w:hAnsi="Verdana"/>
          <w:sz w:val="20"/>
          <w:szCs w:val="20"/>
        </w:rPr>
        <w:t xml:space="preserve">el </w:t>
      </w:r>
      <w:r w:rsidR="00564310" w:rsidRPr="0095692E">
        <w:rPr>
          <w:rFonts w:ascii="Verdana" w:hAnsi="Verdana"/>
          <w:sz w:val="20"/>
          <w:szCs w:val="20"/>
        </w:rPr>
        <w:t xml:space="preserve">proceso </w:t>
      </w:r>
      <w:r w:rsidR="00F263CB" w:rsidRPr="0095692E">
        <w:rPr>
          <w:rFonts w:ascii="Verdana" w:hAnsi="Verdana"/>
          <w:sz w:val="20"/>
          <w:szCs w:val="20"/>
        </w:rPr>
        <w:t>penal</w:t>
      </w:r>
      <w:r w:rsidRPr="0095692E">
        <w:rPr>
          <w:rFonts w:ascii="Verdana" w:hAnsi="Verdana"/>
          <w:sz w:val="20"/>
          <w:szCs w:val="20"/>
        </w:rPr>
        <w:t>.</w:t>
      </w:r>
      <w:r w:rsidR="00C63B0B" w:rsidRPr="0095692E">
        <w:rPr>
          <w:rFonts w:ascii="Verdana" w:hAnsi="Verdana"/>
          <w:sz w:val="20"/>
          <w:szCs w:val="20"/>
        </w:rPr>
        <w:t xml:space="preserve"> </w:t>
      </w:r>
      <w:r w:rsidR="00CC4105" w:rsidRPr="0095692E">
        <w:rPr>
          <w:rFonts w:ascii="Verdana" w:hAnsi="Verdana"/>
          <w:sz w:val="20"/>
          <w:szCs w:val="20"/>
        </w:rPr>
        <w:t>Los hechos ocurridos con anterioridad al reconocimiento de la competencia contenciosa de la Corte se narran con el carácter de antecedentes.</w:t>
      </w:r>
    </w:p>
    <w:p w14:paraId="1FBE64FC" w14:textId="77777777" w:rsidR="00504DFB" w:rsidRPr="0095692E" w:rsidRDefault="00504DFB" w:rsidP="00A80648">
      <w:pPr>
        <w:pStyle w:val="Prrafodelista"/>
        <w:spacing w:after="0" w:line="240" w:lineRule="auto"/>
        <w:ind w:left="0"/>
        <w:contextualSpacing w:val="0"/>
        <w:rPr>
          <w:rFonts w:ascii="Verdana" w:hAnsi="Verdana"/>
          <w:b/>
          <w:bCs/>
          <w:sz w:val="20"/>
          <w:szCs w:val="20"/>
        </w:rPr>
      </w:pPr>
    </w:p>
    <w:p w14:paraId="36DD4378" w14:textId="6E9CDEF9" w:rsidR="002D6445" w:rsidRPr="0095692E" w:rsidRDefault="00F71355" w:rsidP="00A80648">
      <w:pPr>
        <w:pStyle w:val="Ttulo2"/>
        <w:numPr>
          <w:ilvl w:val="0"/>
          <w:numId w:val="22"/>
        </w:numPr>
        <w:rPr>
          <w:lang w:val="es-CR"/>
        </w:rPr>
      </w:pPr>
      <w:bookmarkStart w:id="40" w:name="_Toc115262482"/>
      <w:r w:rsidRPr="0095692E">
        <w:rPr>
          <w:lang w:val="es-CR"/>
        </w:rPr>
        <w:t xml:space="preserve">Contexto </w:t>
      </w:r>
      <w:r w:rsidR="005E498D" w:rsidRPr="0095692E">
        <w:rPr>
          <w:lang w:val="es-CR"/>
        </w:rPr>
        <w:t>de graves violaciones de derechos humanos en el marco de la doctrina de la seguridad nacional en Honduras</w:t>
      </w:r>
      <w:bookmarkEnd w:id="40"/>
    </w:p>
    <w:p w14:paraId="61721C9F" w14:textId="77777777" w:rsidR="002D6445" w:rsidRPr="0095692E" w:rsidRDefault="002D6445" w:rsidP="00A80648">
      <w:pPr>
        <w:pStyle w:val="Prrafodelista"/>
        <w:spacing w:after="0" w:line="240" w:lineRule="auto"/>
        <w:ind w:left="0"/>
        <w:contextualSpacing w:val="0"/>
        <w:rPr>
          <w:rFonts w:ascii="Verdana" w:hAnsi="Verdana"/>
          <w:sz w:val="20"/>
          <w:szCs w:val="20"/>
        </w:rPr>
      </w:pPr>
    </w:p>
    <w:p w14:paraId="399021C2" w14:textId="5D9A2B4F" w:rsidR="00D05E8A" w:rsidRPr="0095692E" w:rsidRDefault="00D05E8A" w:rsidP="00A80648">
      <w:pPr>
        <w:pStyle w:val="Prrafodelista"/>
        <w:numPr>
          <w:ilvl w:val="0"/>
          <w:numId w:val="2"/>
        </w:numPr>
        <w:tabs>
          <w:tab w:val="left" w:pos="567"/>
        </w:tabs>
        <w:spacing w:after="0" w:line="240" w:lineRule="auto"/>
        <w:ind w:left="0" w:firstLine="0"/>
        <w:contextualSpacing w:val="0"/>
        <w:jc w:val="both"/>
        <w:rPr>
          <w:rFonts w:ascii="Verdana" w:hAnsi="Verdana"/>
          <w:sz w:val="20"/>
          <w:szCs w:val="20"/>
        </w:rPr>
      </w:pPr>
      <w:r w:rsidRPr="0095692E">
        <w:rPr>
          <w:rFonts w:ascii="Verdana" w:hAnsi="Verdana"/>
          <w:sz w:val="20"/>
          <w:szCs w:val="20"/>
        </w:rPr>
        <w:t>La Corte ya se ha pronunciado en casos anteriores</w:t>
      </w:r>
      <w:r w:rsidRPr="0095692E">
        <w:rPr>
          <w:rStyle w:val="Refdenotaalpie"/>
          <w:rFonts w:ascii="Verdana" w:hAnsi="Verdana"/>
          <w:bCs/>
          <w:sz w:val="20"/>
          <w:szCs w:val="20"/>
          <w:shd w:val="clear" w:color="auto" w:fill="FFFFFF"/>
        </w:rPr>
        <w:footnoteReference w:id="23"/>
      </w:r>
      <w:r w:rsidRPr="0095692E">
        <w:rPr>
          <w:rFonts w:ascii="Verdana" w:hAnsi="Verdana"/>
          <w:sz w:val="20"/>
          <w:szCs w:val="20"/>
        </w:rPr>
        <w:t xml:space="preserve"> sobre el contexto de graves violaciones de derechos humanos en la década de 1980 en Honduras, en el marco del cual sucedieron los hechos del presente caso. En efecto, ha considerado que:</w:t>
      </w:r>
    </w:p>
    <w:p w14:paraId="696BF18E" w14:textId="77777777" w:rsidR="00D05E8A" w:rsidRPr="0095692E" w:rsidRDefault="00D05E8A" w:rsidP="00A80648">
      <w:pPr>
        <w:pStyle w:val="Prrafodelista"/>
        <w:spacing w:after="0" w:line="240" w:lineRule="auto"/>
        <w:ind w:left="0"/>
        <w:contextualSpacing w:val="0"/>
        <w:jc w:val="both"/>
        <w:rPr>
          <w:rFonts w:ascii="Verdana" w:hAnsi="Verdana"/>
          <w:sz w:val="20"/>
          <w:szCs w:val="20"/>
        </w:rPr>
      </w:pPr>
    </w:p>
    <w:p w14:paraId="6D1ECBDF" w14:textId="77777777" w:rsidR="00D05E8A" w:rsidRPr="0095692E" w:rsidRDefault="00D05E8A" w:rsidP="005C4FCD">
      <w:pPr>
        <w:pStyle w:val="Prrafodelista"/>
        <w:spacing w:after="0" w:line="240" w:lineRule="auto"/>
        <w:ind w:left="1080" w:right="918"/>
        <w:contextualSpacing w:val="0"/>
        <w:jc w:val="both"/>
        <w:rPr>
          <w:rFonts w:ascii="Verdana" w:hAnsi="Verdana"/>
          <w:sz w:val="16"/>
          <w:szCs w:val="16"/>
        </w:rPr>
      </w:pPr>
      <w:r w:rsidRPr="0095692E">
        <w:rPr>
          <w:rFonts w:ascii="Verdana" w:hAnsi="Verdana"/>
          <w:sz w:val="16"/>
          <w:szCs w:val="16"/>
        </w:rPr>
        <w:t>durante la década de los 80 y hasta inicios de los 90, en Honduras existía un patrón de desapariciones forzadas y ejecuciones extrajudiciales cometidas por las fuerzas militares. Éstas tenían un estatus especial de autonomía y actuaban bajo cierta doctrina de seguridad nacional, en razón de la cual éstas capturaban a las personas “peligrosas” o “sospechosas” de ser presuntos subversivos hondureños, simpatizantes de la guerrilla salvadoreña o de los sandinistas. Usualmente estas personas eran detenidas en horas de la noche, interrogadas, torturadas y se les daba un tiro de gracia, y se les enterraba en cementerios clandestinos o en sitios no autorizados. A su vez, las fuerzas militares controlaban a las fuerzas policíacas y los jueces se sentían intimidados de investigar efectivamente las causas penales, donde se denunciaban violaciones de derechos humanos por parte de las fuerzas armadas, creándose un clima de impunidad</w:t>
      </w:r>
      <w:r w:rsidRPr="0095692E">
        <w:rPr>
          <w:rStyle w:val="Refdenotaalpie"/>
          <w:rFonts w:ascii="Verdana" w:hAnsi="Verdana"/>
          <w:bCs/>
          <w:sz w:val="16"/>
          <w:szCs w:val="16"/>
          <w:shd w:val="clear" w:color="auto" w:fill="FFFFFF"/>
        </w:rPr>
        <w:footnoteReference w:id="24"/>
      </w:r>
      <w:r w:rsidRPr="0095692E">
        <w:rPr>
          <w:rFonts w:ascii="Verdana" w:hAnsi="Verdana"/>
          <w:sz w:val="16"/>
          <w:szCs w:val="16"/>
        </w:rPr>
        <w:t>.</w:t>
      </w:r>
    </w:p>
    <w:p w14:paraId="35C33593" w14:textId="1CEB2637" w:rsidR="00D05E8A" w:rsidRPr="0095692E" w:rsidRDefault="00D05E8A" w:rsidP="00A80648">
      <w:pPr>
        <w:tabs>
          <w:tab w:val="left" w:pos="567"/>
        </w:tabs>
        <w:jc w:val="both"/>
        <w:rPr>
          <w:rFonts w:ascii="Verdana" w:hAnsi="Verdana"/>
          <w:sz w:val="20"/>
          <w:szCs w:val="20"/>
        </w:rPr>
      </w:pPr>
    </w:p>
    <w:p w14:paraId="720AE02F" w14:textId="51627590" w:rsidR="00B56510" w:rsidRPr="0095692E" w:rsidRDefault="000A5A3E" w:rsidP="00A80648">
      <w:pPr>
        <w:pStyle w:val="Prrafodelista"/>
        <w:numPr>
          <w:ilvl w:val="0"/>
          <w:numId w:val="2"/>
        </w:numPr>
        <w:tabs>
          <w:tab w:val="left" w:pos="567"/>
        </w:tabs>
        <w:spacing w:after="0" w:line="240" w:lineRule="auto"/>
        <w:ind w:left="0" w:firstLine="0"/>
        <w:contextualSpacing w:val="0"/>
        <w:jc w:val="both"/>
        <w:rPr>
          <w:rFonts w:ascii="Verdana" w:hAnsi="Verdana"/>
          <w:sz w:val="20"/>
          <w:szCs w:val="20"/>
        </w:rPr>
      </w:pPr>
      <w:r w:rsidRPr="0095692E">
        <w:rPr>
          <w:rFonts w:ascii="Verdana" w:hAnsi="Verdana"/>
          <w:sz w:val="20"/>
          <w:szCs w:val="20"/>
        </w:rPr>
        <w:t>En el mismo sentido, Honduras señaló durante la audiencia pública celebrada en este caso, que los hechos alegados por la Comisión y los representantes habían</w:t>
      </w:r>
      <w:r w:rsidR="00B56510" w:rsidRPr="0095692E">
        <w:rPr>
          <w:rFonts w:ascii="Verdana" w:hAnsi="Verdana"/>
          <w:sz w:val="20"/>
          <w:szCs w:val="20"/>
        </w:rPr>
        <w:t xml:space="preserve"> sucedido en “</w:t>
      </w:r>
      <w:r w:rsidRPr="0095692E">
        <w:rPr>
          <w:rFonts w:ascii="Verdana" w:hAnsi="Verdana"/>
          <w:sz w:val="20"/>
          <w:szCs w:val="20"/>
        </w:rPr>
        <w:t>el marco de la aplicación de la nefasta doctrina de la seguridad nacional en los años ochenta en la República de Honduras</w:t>
      </w:r>
      <w:r w:rsidR="00B56510" w:rsidRPr="0095692E">
        <w:rPr>
          <w:rFonts w:ascii="Verdana" w:hAnsi="Verdana"/>
          <w:sz w:val="20"/>
          <w:szCs w:val="20"/>
        </w:rPr>
        <w:t>”.</w:t>
      </w:r>
      <w:r w:rsidR="00F074E3" w:rsidRPr="0095692E">
        <w:rPr>
          <w:rFonts w:ascii="Verdana" w:hAnsi="Verdana"/>
          <w:sz w:val="20"/>
          <w:szCs w:val="20"/>
        </w:rPr>
        <w:t xml:space="preserve"> Sobre el particular, la Comisión de la Verdad y la Reconciliación (CVR) de Honduras ha indicado que muchas de las víctimas de la</w:t>
      </w:r>
      <w:r w:rsidR="003C107D" w:rsidRPr="0095692E">
        <w:rPr>
          <w:rFonts w:ascii="Verdana" w:hAnsi="Verdana"/>
          <w:sz w:val="20"/>
          <w:szCs w:val="20"/>
        </w:rPr>
        <w:t xml:space="preserve"> aplicación de la</w:t>
      </w:r>
      <w:r w:rsidR="00F074E3" w:rsidRPr="0095692E">
        <w:rPr>
          <w:rFonts w:ascii="Verdana" w:hAnsi="Verdana"/>
          <w:sz w:val="20"/>
          <w:szCs w:val="20"/>
        </w:rPr>
        <w:t xml:space="preserve"> doctrina de la seguridad nacional eran políticos sindicalistas y profesores, tal como el señor Deras García (</w:t>
      </w:r>
      <w:r w:rsidR="00F074E3" w:rsidRPr="0095692E">
        <w:rPr>
          <w:rFonts w:ascii="Verdana" w:hAnsi="Verdana"/>
          <w:i/>
          <w:iCs/>
          <w:sz w:val="20"/>
          <w:szCs w:val="20"/>
        </w:rPr>
        <w:t>infra</w:t>
      </w:r>
      <w:r w:rsidR="00F074E3" w:rsidRPr="0095692E">
        <w:rPr>
          <w:rFonts w:ascii="Verdana" w:hAnsi="Verdana"/>
          <w:sz w:val="20"/>
          <w:szCs w:val="20"/>
        </w:rPr>
        <w:t xml:space="preserve">, párr. </w:t>
      </w:r>
      <w:r w:rsidR="00BB6CAF" w:rsidRPr="0095692E">
        <w:rPr>
          <w:rFonts w:ascii="Verdana" w:hAnsi="Verdana"/>
          <w:sz w:val="20"/>
          <w:szCs w:val="20"/>
        </w:rPr>
        <w:t>41</w:t>
      </w:r>
      <w:r w:rsidR="00F074E3" w:rsidRPr="0095692E">
        <w:rPr>
          <w:rFonts w:ascii="Verdana" w:hAnsi="Verdana"/>
          <w:sz w:val="20"/>
          <w:szCs w:val="20"/>
        </w:rPr>
        <w:t>).</w:t>
      </w:r>
      <w:r w:rsidR="00A15CF7" w:rsidRPr="0095692E">
        <w:rPr>
          <w:rFonts w:ascii="Verdana" w:hAnsi="Verdana"/>
          <w:sz w:val="20"/>
          <w:szCs w:val="20"/>
        </w:rPr>
        <w:t xml:space="preserve"> En esta línea, </w:t>
      </w:r>
      <w:r w:rsidR="00776C71" w:rsidRPr="0095692E">
        <w:rPr>
          <w:rFonts w:ascii="Verdana" w:hAnsi="Verdana"/>
          <w:sz w:val="20"/>
          <w:szCs w:val="20"/>
        </w:rPr>
        <w:t>la perita Camargo sostuvo que:</w:t>
      </w:r>
    </w:p>
    <w:p w14:paraId="1C24FD8A" w14:textId="5DA0C686" w:rsidR="00B56510" w:rsidRPr="0095692E" w:rsidRDefault="00B56510" w:rsidP="00A80648">
      <w:pPr>
        <w:pStyle w:val="Prrafodelista"/>
        <w:tabs>
          <w:tab w:val="left" w:pos="567"/>
        </w:tabs>
        <w:spacing w:after="0" w:line="240" w:lineRule="auto"/>
        <w:ind w:left="0"/>
        <w:contextualSpacing w:val="0"/>
        <w:jc w:val="both"/>
        <w:rPr>
          <w:rFonts w:ascii="Verdana" w:hAnsi="Verdana"/>
          <w:sz w:val="20"/>
          <w:szCs w:val="20"/>
        </w:rPr>
      </w:pPr>
    </w:p>
    <w:p w14:paraId="7BECE847" w14:textId="310E19EE" w:rsidR="00776C71" w:rsidRPr="0095692E" w:rsidRDefault="00EB033D" w:rsidP="00140094">
      <w:pPr>
        <w:pStyle w:val="Prrafodelista"/>
        <w:spacing w:after="0" w:line="240" w:lineRule="auto"/>
        <w:ind w:left="1080" w:right="918"/>
        <w:contextualSpacing w:val="0"/>
        <w:jc w:val="both"/>
        <w:rPr>
          <w:rFonts w:ascii="Verdana" w:hAnsi="Verdana"/>
          <w:sz w:val="16"/>
          <w:szCs w:val="16"/>
        </w:rPr>
      </w:pPr>
      <w:r w:rsidRPr="0095692E">
        <w:rPr>
          <w:rFonts w:ascii="Verdana" w:hAnsi="Verdana"/>
          <w:sz w:val="16"/>
          <w:szCs w:val="16"/>
        </w:rPr>
        <w:t>l</w:t>
      </w:r>
      <w:r w:rsidR="00776C71" w:rsidRPr="0095692E">
        <w:rPr>
          <w:rFonts w:ascii="Verdana" w:hAnsi="Verdana"/>
          <w:sz w:val="16"/>
          <w:szCs w:val="16"/>
        </w:rPr>
        <w:t xml:space="preserve">a violencia sistémica vivida en los países del denominado triángulo norte Centroamericano -Guatemala, El Salvador y Honduras- durante las décadas de 1980 y 1990, en donde la aplicación de la doctrina de la seguridad nacional por parte de las fuerzas de seguridad del Estado condujo a la persecución de líderes sociales, campesinos e indígenas, integrantes de sindicatos y asociaciones estudiantiles, personas que militaban de partidos políticos de centro izquierda, socialistas o comunistas, sospechosos de ser ‘guerrilleros’, acusados de </w:t>
      </w:r>
      <w:r w:rsidR="005B3784" w:rsidRPr="0095692E">
        <w:rPr>
          <w:rFonts w:ascii="Verdana" w:hAnsi="Verdana"/>
          <w:sz w:val="16"/>
          <w:szCs w:val="16"/>
        </w:rPr>
        <w:t>’</w:t>
      </w:r>
      <w:r w:rsidR="00776C71" w:rsidRPr="0095692E">
        <w:rPr>
          <w:rFonts w:ascii="Verdana" w:hAnsi="Verdana"/>
          <w:sz w:val="16"/>
          <w:szCs w:val="16"/>
        </w:rPr>
        <w:t>enemigos internos del Estados’, quienes fueron molestados en su persona y en sus familias, en su intimidad, detenidos arbitrariamente, torturados, desplazados, desaparecidos y hasta ejecutados extrajudicialmente</w:t>
      </w:r>
      <w:r w:rsidR="00776C71" w:rsidRPr="0095692E">
        <w:rPr>
          <w:rStyle w:val="Refdenotaalpie"/>
          <w:rFonts w:ascii="Verdana" w:hAnsi="Verdana"/>
          <w:bCs/>
          <w:sz w:val="16"/>
          <w:szCs w:val="16"/>
          <w:shd w:val="clear" w:color="auto" w:fill="FFFFFF"/>
        </w:rPr>
        <w:footnoteReference w:id="25"/>
      </w:r>
      <w:r w:rsidR="00776C71" w:rsidRPr="0095692E">
        <w:rPr>
          <w:rFonts w:ascii="Verdana" w:hAnsi="Verdana"/>
          <w:sz w:val="16"/>
          <w:szCs w:val="16"/>
        </w:rPr>
        <w:t>.</w:t>
      </w:r>
    </w:p>
    <w:p w14:paraId="40A84F5A" w14:textId="5B717D7A" w:rsidR="00776C71" w:rsidRPr="0095692E" w:rsidRDefault="00776C71" w:rsidP="00A80648">
      <w:pPr>
        <w:pStyle w:val="Prrafodelista"/>
        <w:tabs>
          <w:tab w:val="left" w:pos="567"/>
        </w:tabs>
        <w:spacing w:after="0" w:line="240" w:lineRule="auto"/>
        <w:ind w:left="0"/>
        <w:contextualSpacing w:val="0"/>
        <w:jc w:val="both"/>
        <w:rPr>
          <w:rFonts w:ascii="Verdana" w:hAnsi="Verdana"/>
          <w:sz w:val="20"/>
          <w:szCs w:val="20"/>
        </w:rPr>
      </w:pPr>
    </w:p>
    <w:p w14:paraId="25B9603C" w14:textId="688EB4AF" w:rsidR="009B00C7" w:rsidRPr="0095692E" w:rsidRDefault="009B00C7" w:rsidP="00A80648">
      <w:pPr>
        <w:pStyle w:val="Prrafodelista"/>
        <w:numPr>
          <w:ilvl w:val="0"/>
          <w:numId w:val="2"/>
        </w:numPr>
        <w:tabs>
          <w:tab w:val="left" w:pos="567"/>
        </w:tabs>
        <w:spacing w:after="0" w:line="240" w:lineRule="auto"/>
        <w:ind w:left="0" w:firstLine="0"/>
        <w:contextualSpacing w:val="0"/>
        <w:jc w:val="both"/>
        <w:rPr>
          <w:rFonts w:ascii="Verdana" w:hAnsi="Verdana"/>
          <w:sz w:val="20"/>
          <w:szCs w:val="20"/>
        </w:rPr>
      </w:pPr>
      <w:r w:rsidRPr="0095692E">
        <w:rPr>
          <w:rFonts w:ascii="Verdana" w:hAnsi="Verdana"/>
          <w:sz w:val="20"/>
          <w:szCs w:val="20"/>
        </w:rPr>
        <w:t>Asimismo, el perito Sosa Iglesias señaló que</w:t>
      </w:r>
      <w:r w:rsidR="00EB033D" w:rsidRPr="0095692E">
        <w:rPr>
          <w:rFonts w:ascii="Verdana" w:hAnsi="Verdana"/>
          <w:sz w:val="20"/>
          <w:szCs w:val="20"/>
        </w:rPr>
        <w:t>:</w:t>
      </w:r>
      <w:r w:rsidRPr="0095692E">
        <w:rPr>
          <w:rFonts w:ascii="Verdana" w:hAnsi="Verdana"/>
          <w:sz w:val="20"/>
          <w:szCs w:val="20"/>
        </w:rPr>
        <w:t xml:space="preserve"> </w:t>
      </w:r>
    </w:p>
    <w:p w14:paraId="5C46D7AA" w14:textId="77777777" w:rsidR="009B00C7" w:rsidRPr="0095692E" w:rsidRDefault="009B00C7" w:rsidP="009B00C7">
      <w:pPr>
        <w:pStyle w:val="Prrafodelista"/>
        <w:spacing w:after="0" w:line="240" w:lineRule="auto"/>
        <w:ind w:left="1080" w:right="738"/>
        <w:contextualSpacing w:val="0"/>
        <w:jc w:val="both"/>
        <w:rPr>
          <w:rFonts w:ascii="Verdana" w:hAnsi="Verdana"/>
          <w:sz w:val="16"/>
          <w:szCs w:val="16"/>
        </w:rPr>
      </w:pPr>
    </w:p>
    <w:p w14:paraId="04603F26" w14:textId="05058D9D" w:rsidR="0073330C" w:rsidRPr="0095692E" w:rsidRDefault="009B00C7" w:rsidP="00140094">
      <w:pPr>
        <w:pStyle w:val="Prrafodelista"/>
        <w:spacing w:after="0" w:line="240" w:lineRule="auto"/>
        <w:ind w:left="1080" w:right="918"/>
        <w:contextualSpacing w:val="0"/>
        <w:jc w:val="both"/>
        <w:rPr>
          <w:rFonts w:ascii="Verdana" w:hAnsi="Verdana"/>
          <w:sz w:val="16"/>
          <w:szCs w:val="16"/>
        </w:rPr>
      </w:pPr>
      <w:r w:rsidRPr="0095692E">
        <w:rPr>
          <w:rFonts w:ascii="Verdana" w:hAnsi="Verdana"/>
          <w:sz w:val="16"/>
          <w:szCs w:val="16"/>
        </w:rPr>
        <w:t>[e]n las prisiones clandestinas a los detenidos se les sometía a […] toques eléctricos, privación de alimentos y agua, aislamiento, vendas cegantes, aplicación de capucha, violaciones sexuales, utilización de perros amaestrados para torturas, inmersión en aguas con heces fecales, aspiración forzada de líquidos por la nariz, colgamientos, desnudez prolongada, torturar a otros detenidos, simulación de ejecución con arma de fuego, amenazas con secuestrar a la familia</w:t>
      </w:r>
      <w:r w:rsidRPr="0095692E">
        <w:rPr>
          <w:rStyle w:val="Refdenotaalpie"/>
          <w:rFonts w:ascii="Verdana" w:hAnsi="Verdana"/>
          <w:bCs/>
          <w:sz w:val="16"/>
          <w:szCs w:val="16"/>
          <w:shd w:val="clear" w:color="auto" w:fill="FFFFFF"/>
        </w:rPr>
        <w:footnoteReference w:id="26"/>
      </w:r>
      <w:r w:rsidRPr="0095692E">
        <w:rPr>
          <w:rFonts w:ascii="Verdana" w:hAnsi="Verdana"/>
          <w:sz w:val="16"/>
          <w:szCs w:val="16"/>
        </w:rPr>
        <w:t xml:space="preserve">. </w:t>
      </w:r>
    </w:p>
    <w:p w14:paraId="545BA712" w14:textId="77777777" w:rsidR="009B00C7" w:rsidRPr="0095692E" w:rsidRDefault="009B00C7" w:rsidP="00BC6863">
      <w:pPr>
        <w:pStyle w:val="Prrafodelista"/>
        <w:spacing w:after="0" w:line="240" w:lineRule="auto"/>
        <w:ind w:left="1080" w:right="738"/>
        <w:contextualSpacing w:val="0"/>
        <w:jc w:val="both"/>
        <w:rPr>
          <w:rFonts w:ascii="Verdana" w:hAnsi="Verdana"/>
          <w:sz w:val="16"/>
          <w:szCs w:val="16"/>
        </w:rPr>
      </w:pPr>
    </w:p>
    <w:p w14:paraId="27C6D4D0" w14:textId="17F23C64" w:rsidR="00792A12" w:rsidRPr="0095692E" w:rsidRDefault="00792A12" w:rsidP="00A80648">
      <w:pPr>
        <w:pStyle w:val="Prrafodelista"/>
        <w:numPr>
          <w:ilvl w:val="0"/>
          <w:numId w:val="2"/>
        </w:numPr>
        <w:tabs>
          <w:tab w:val="left" w:pos="567"/>
        </w:tabs>
        <w:spacing w:after="0" w:line="240" w:lineRule="auto"/>
        <w:ind w:left="0" w:firstLine="0"/>
        <w:contextualSpacing w:val="0"/>
        <w:jc w:val="both"/>
        <w:rPr>
          <w:rFonts w:ascii="Verdana" w:hAnsi="Verdana"/>
          <w:sz w:val="20"/>
          <w:szCs w:val="20"/>
        </w:rPr>
      </w:pPr>
      <w:r w:rsidRPr="0095692E">
        <w:rPr>
          <w:rFonts w:ascii="Verdana" w:hAnsi="Verdana"/>
          <w:sz w:val="20"/>
          <w:szCs w:val="20"/>
        </w:rPr>
        <w:lastRenderedPageBreak/>
        <w:t>Según el “Informe Preliminar de Personas Desaparecidas en Honduras</w:t>
      </w:r>
      <w:r w:rsidR="00E06A3E" w:rsidRPr="0095692E">
        <w:rPr>
          <w:rFonts w:ascii="Verdana" w:hAnsi="Verdana"/>
          <w:sz w:val="20"/>
          <w:szCs w:val="20"/>
        </w:rPr>
        <w:t>”</w:t>
      </w:r>
      <w:r w:rsidR="00794D12" w:rsidRPr="0095692E">
        <w:rPr>
          <w:rFonts w:ascii="Verdana" w:hAnsi="Verdana"/>
          <w:sz w:val="20"/>
          <w:szCs w:val="20"/>
        </w:rPr>
        <w:t xml:space="preserve"> del Comisionado Nacional de los Derechos Humanos,</w:t>
      </w:r>
      <w:r w:rsidRPr="0095692E">
        <w:rPr>
          <w:rFonts w:ascii="Verdana" w:hAnsi="Verdana"/>
          <w:sz w:val="20"/>
          <w:szCs w:val="20"/>
        </w:rPr>
        <w:t xml:space="preserve"> las desapariciones forzadas y ejecuciones extrajudiciales</w:t>
      </w:r>
      <w:r w:rsidR="00794D12" w:rsidRPr="0095692E">
        <w:rPr>
          <w:rFonts w:ascii="Verdana" w:hAnsi="Verdana"/>
          <w:sz w:val="20"/>
          <w:szCs w:val="20"/>
        </w:rPr>
        <w:t xml:space="preserve"> entre 1980 a 1993</w:t>
      </w:r>
      <w:r w:rsidRPr="0095692E">
        <w:rPr>
          <w:rFonts w:ascii="Verdana" w:hAnsi="Verdana"/>
          <w:sz w:val="20"/>
          <w:szCs w:val="20"/>
        </w:rPr>
        <w:t xml:space="preserve"> fueron perpetradas por las unidades de inteligencia de las Fuerzas Armadas, en particular, por el Batallón de Inteligencia 3-16 (en adelante “Batallón 3-16”), conocido como uno de los “escuadrones de la muerte”. Los integrantes de dicho cuerpo de seguridad estaban entrenados en actividades de contrainsurgencia, para luchar contra una supuesta “amenaza comunista”.</w:t>
      </w:r>
    </w:p>
    <w:p w14:paraId="11DEE67E" w14:textId="77777777" w:rsidR="00792A12" w:rsidRPr="0095692E" w:rsidRDefault="00792A12" w:rsidP="00A80648">
      <w:pPr>
        <w:pStyle w:val="Prrafodelista"/>
        <w:spacing w:after="0" w:line="240" w:lineRule="auto"/>
        <w:contextualSpacing w:val="0"/>
        <w:rPr>
          <w:rFonts w:ascii="Verdana" w:hAnsi="Verdana"/>
          <w:sz w:val="20"/>
          <w:szCs w:val="20"/>
        </w:rPr>
      </w:pPr>
    </w:p>
    <w:p w14:paraId="3C0C51FF" w14:textId="5F9BE5A9" w:rsidR="00F71355" w:rsidRPr="0095692E" w:rsidRDefault="005631B4" w:rsidP="00A80648">
      <w:pPr>
        <w:pStyle w:val="Prrafodelista"/>
        <w:numPr>
          <w:ilvl w:val="0"/>
          <w:numId w:val="2"/>
        </w:numPr>
        <w:tabs>
          <w:tab w:val="left" w:pos="567"/>
        </w:tabs>
        <w:spacing w:after="0" w:line="240" w:lineRule="auto"/>
        <w:ind w:left="0" w:firstLine="0"/>
        <w:contextualSpacing w:val="0"/>
        <w:jc w:val="both"/>
        <w:rPr>
          <w:rFonts w:ascii="Verdana" w:hAnsi="Verdana"/>
          <w:sz w:val="20"/>
          <w:szCs w:val="20"/>
        </w:rPr>
      </w:pPr>
      <w:r w:rsidRPr="0095692E">
        <w:rPr>
          <w:rFonts w:ascii="Verdana" w:hAnsi="Verdana"/>
          <w:sz w:val="20"/>
          <w:szCs w:val="20"/>
        </w:rPr>
        <w:t>D</w:t>
      </w:r>
      <w:r w:rsidR="00531580" w:rsidRPr="0095692E">
        <w:rPr>
          <w:rFonts w:ascii="Verdana" w:hAnsi="Verdana"/>
          <w:sz w:val="20"/>
          <w:szCs w:val="20"/>
        </w:rPr>
        <w:t xml:space="preserve">ebido a que </w:t>
      </w:r>
      <w:r w:rsidR="00F71355" w:rsidRPr="0095692E">
        <w:rPr>
          <w:rFonts w:ascii="Verdana" w:hAnsi="Verdana"/>
          <w:sz w:val="20"/>
          <w:szCs w:val="20"/>
        </w:rPr>
        <w:t xml:space="preserve">las fuerzas militares </w:t>
      </w:r>
      <w:r w:rsidR="00531580" w:rsidRPr="0095692E">
        <w:rPr>
          <w:rFonts w:ascii="Verdana" w:hAnsi="Verdana"/>
          <w:sz w:val="20"/>
          <w:szCs w:val="20"/>
        </w:rPr>
        <w:t xml:space="preserve">ejercían un gran </w:t>
      </w:r>
      <w:r w:rsidR="00F71355" w:rsidRPr="0095692E">
        <w:rPr>
          <w:rFonts w:ascii="Verdana" w:hAnsi="Verdana"/>
          <w:sz w:val="20"/>
          <w:szCs w:val="20"/>
        </w:rPr>
        <w:t>control</w:t>
      </w:r>
      <w:r w:rsidR="00531580" w:rsidRPr="0095692E">
        <w:rPr>
          <w:rFonts w:ascii="Verdana" w:hAnsi="Verdana"/>
          <w:sz w:val="20"/>
          <w:szCs w:val="20"/>
        </w:rPr>
        <w:t xml:space="preserve"> sobre </w:t>
      </w:r>
      <w:r w:rsidR="00F71355" w:rsidRPr="0095692E">
        <w:rPr>
          <w:rFonts w:ascii="Verdana" w:hAnsi="Verdana"/>
          <w:sz w:val="20"/>
          <w:szCs w:val="20"/>
        </w:rPr>
        <w:t>las fuerzas policiales</w:t>
      </w:r>
      <w:r w:rsidR="00D51922" w:rsidRPr="0095692E">
        <w:rPr>
          <w:rFonts w:ascii="Verdana" w:hAnsi="Verdana"/>
          <w:sz w:val="20"/>
          <w:szCs w:val="20"/>
        </w:rPr>
        <w:t xml:space="preserve"> </w:t>
      </w:r>
      <w:r w:rsidR="00F71355" w:rsidRPr="0095692E">
        <w:rPr>
          <w:rFonts w:ascii="Verdana" w:hAnsi="Verdana"/>
          <w:sz w:val="20"/>
          <w:szCs w:val="20"/>
        </w:rPr>
        <w:t>y</w:t>
      </w:r>
      <w:r w:rsidR="00CC4105" w:rsidRPr="0095692E">
        <w:rPr>
          <w:rFonts w:ascii="Verdana" w:hAnsi="Verdana"/>
          <w:sz w:val="20"/>
          <w:szCs w:val="20"/>
        </w:rPr>
        <w:t xml:space="preserve"> el poder judicial</w:t>
      </w:r>
      <w:r w:rsidR="00F71355" w:rsidRPr="0095692E">
        <w:rPr>
          <w:rFonts w:ascii="Verdana" w:hAnsi="Verdana"/>
          <w:sz w:val="20"/>
          <w:szCs w:val="20"/>
        </w:rPr>
        <w:t xml:space="preserve">, </w:t>
      </w:r>
      <w:r w:rsidRPr="0095692E">
        <w:rPr>
          <w:rFonts w:ascii="Verdana" w:hAnsi="Verdana"/>
          <w:sz w:val="20"/>
          <w:szCs w:val="20"/>
        </w:rPr>
        <w:t xml:space="preserve">existía </w:t>
      </w:r>
      <w:r w:rsidR="00F71355" w:rsidRPr="0095692E">
        <w:rPr>
          <w:rFonts w:ascii="Verdana" w:hAnsi="Verdana"/>
          <w:sz w:val="20"/>
          <w:szCs w:val="20"/>
        </w:rPr>
        <w:t xml:space="preserve">un clima de impunidad </w:t>
      </w:r>
      <w:r w:rsidR="00531580" w:rsidRPr="0095692E">
        <w:rPr>
          <w:rFonts w:ascii="Verdana" w:hAnsi="Verdana"/>
          <w:sz w:val="20"/>
          <w:szCs w:val="20"/>
        </w:rPr>
        <w:t xml:space="preserve">generalizado </w:t>
      </w:r>
      <w:r w:rsidR="00F71355" w:rsidRPr="0095692E">
        <w:rPr>
          <w:rFonts w:ascii="Verdana" w:hAnsi="Verdana"/>
          <w:sz w:val="20"/>
          <w:szCs w:val="20"/>
        </w:rPr>
        <w:t xml:space="preserve">ante las violaciones de derechos humanos que eran denunciadas. </w:t>
      </w:r>
      <w:r w:rsidR="00092A9D" w:rsidRPr="0095692E">
        <w:rPr>
          <w:rFonts w:ascii="Verdana" w:hAnsi="Verdana"/>
          <w:sz w:val="20"/>
          <w:szCs w:val="20"/>
        </w:rPr>
        <w:t xml:space="preserve">No hay noticia de que, en </w:t>
      </w:r>
      <w:r w:rsidRPr="0095692E">
        <w:rPr>
          <w:rFonts w:ascii="Verdana" w:hAnsi="Verdana"/>
          <w:sz w:val="20"/>
          <w:szCs w:val="20"/>
        </w:rPr>
        <w:t>esa</w:t>
      </w:r>
      <w:r w:rsidR="00092A9D" w:rsidRPr="0095692E">
        <w:rPr>
          <w:rFonts w:ascii="Verdana" w:hAnsi="Verdana"/>
          <w:sz w:val="20"/>
          <w:szCs w:val="20"/>
        </w:rPr>
        <w:t xml:space="preserve"> época, la Fiscalía de la Procuraduría General de la República haya iniciado procesamiento alguno contra el personal militar o policial por tales hechos.</w:t>
      </w:r>
    </w:p>
    <w:p w14:paraId="410BBEF4" w14:textId="77777777" w:rsidR="00F71355" w:rsidRPr="0095692E" w:rsidRDefault="00F71355" w:rsidP="00A80648">
      <w:pPr>
        <w:pStyle w:val="Textoindependiente"/>
        <w:kinsoku w:val="0"/>
        <w:overflowPunct w:val="0"/>
        <w:jc w:val="both"/>
        <w:rPr>
          <w:lang w:val="es-CR"/>
        </w:rPr>
      </w:pPr>
    </w:p>
    <w:p w14:paraId="329ED8DE" w14:textId="26BD6E2B" w:rsidR="002D6445" w:rsidRPr="0095692E" w:rsidRDefault="00F263CB" w:rsidP="00A80648">
      <w:pPr>
        <w:pStyle w:val="Ttulo2"/>
        <w:numPr>
          <w:ilvl w:val="0"/>
          <w:numId w:val="7"/>
        </w:numPr>
        <w:ind w:left="993" w:hanging="426"/>
        <w:rPr>
          <w:lang w:val="es-CR"/>
        </w:rPr>
      </w:pPr>
      <w:bookmarkStart w:id="41" w:name="_Toc115262483"/>
      <w:r w:rsidRPr="0095692E">
        <w:rPr>
          <w:lang w:val="es-CR"/>
        </w:rPr>
        <w:t>La muerte de Herminio Deras García</w:t>
      </w:r>
      <w:bookmarkEnd w:id="41"/>
      <w:r w:rsidRPr="0095692E">
        <w:rPr>
          <w:lang w:val="es-CR"/>
        </w:rPr>
        <w:t xml:space="preserve"> </w:t>
      </w:r>
    </w:p>
    <w:p w14:paraId="12F28DCD" w14:textId="77777777" w:rsidR="002D6445" w:rsidRPr="0095692E" w:rsidRDefault="002D6445" w:rsidP="00A80648">
      <w:pPr>
        <w:jc w:val="both"/>
        <w:rPr>
          <w:rFonts w:ascii="Verdana" w:hAnsi="Verdana"/>
          <w:sz w:val="20"/>
          <w:szCs w:val="20"/>
        </w:rPr>
      </w:pPr>
    </w:p>
    <w:p w14:paraId="61449260" w14:textId="1179F6C3" w:rsidR="00E60077" w:rsidRPr="0095692E" w:rsidRDefault="00636071" w:rsidP="00A80648">
      <w:pPr>
        <w:pStyle w:val="Prrafodelista"/>
        <w:numPr>
          <w:ilvl w:val="0"/>
          <w:numId w:val="2"/>
        </w:numPr>
        <w:spacing w:after="0" w:line="240" w:lineRule="auto"/>
        <w:ind w:left="0" w:firstLine="0"/>
        <w:contextualSpacing w:val="0"/>
        <w:jc w:val="both"/>
        <w:rPr>
          <w:rFonts w:ascii="Verdana" w:hAnsi="Verdana"/>
          <w:bCs/>
          <w:w w:val="99"/>
          <w:sz w:val="20"/>
          <w:szCs w:val="20"/>
        </w:rPr>
      </w:pPr>
      <w:r w:rsidRPr="0095692E">
        <w:rPr>
          <w:rFonts w:ascii="Verdana" w:hAnsi="Verdana"/>
          <w:sz w:val="20"/>
          <w:szCs w:val="20"/>
        </w:rPr>
        <w:t>Herminio Deras García</w:t>
      </w:r>
      <w:r w:rsidR="00762D23" w:rsidRPr="0095692E">
        <w:rPr>
          <w:rFonts w:ascii="Verdana" w:hAnsi="Verdana"/>
          <w:sz w:val="20"/>
          <w:szCs w:val="20"/>
        </w:rPr>
        <w:t>, nacido en septiembre de 1941</w:t>
      </w:r>
      <w:r w:rsidRPr="0095692E">
        <w:rPr>
          <w:rFonts w:ascii="Verdana" w:hAnsi="Verdana"/>
          <w:sz w:val="20"/>
          <w:szCs w:val="20"/>
        </w:rPr>
        <w:t xml:space="preserve">, vivía en la ciudad de San Pedro Sula, </w:t>
      </w:r>
      <w:r w:rsidR="000E1CBA" w:rsidRPr="0095692E">
        <w:rPr>
          <w:rFonts w:ascii="Verdana" w:hAnsi="Verdana"/>
          <w:sz w:val="20"/>
          <w:szCs w:val="20"/>
        </w:rPr>
        <w:t>d</w:t>
      </w:r>
      <w:r w:rsidRPr="0095692E">
        <w:rPr>
          <w:rFonts w:ascii="Verdana" w:hAnsi="Verdana"/>
          <w:sz w:val="20"/>
          <w:szCs w:val="20"/>
        </w:rPr>
        <w:t>epartamento de Cortés, en Honduras</w:t>
      </w:r>
      <w:r w:rsidR="000E7054" w:rsidRPr="0095692E">
        <w:rPr>
          <w:rFonts w:ascii="Verdana" w:hAnsi="Verdana"/>
          <w:sz w:val="20"/>
          <w:szCs w:val="20"/>
        </w:rPr>
        <w:t>. E</w:t>
      </w:r>
      <w:r w:rsidRPr="0095692E">
        <w:rPr>
          <w:rFonts w:ascii="Verdana" w:hAnsi="Verdana"/>
          <w:sz w:val="20"/>
          <w:szCs w:val="20"/>
        </w:rPr>
        <w:t xml:space="preserve">ra maestro de profesión, dirigente político del Partido Comunista de Honduras y asesor de </w:t>
      </w:r>
      <w:r w:rsidR="009B7BB1" w:rsidRPr="0095692E">
        <w:rPr>
          <w:rFonts w:ascii="Verdana" w:hAnsi="Verdana"/>
          <w:sz w:val="20"/>
          <w:szCs w:val="20"/>
        </w:rPr>
        <w:t>distintos</w:t>
      </w:r>
      <w:r w:rsidRPr="0095692E">
        <w:rPr>
          <w:rFonts w:ascii="Verdana" w:hAnsi="Verdana"/>
          <w:sz w:val="20"/>
          <w:szCs w:val="20"/>
        </w:rPr>
        <w:t xml:space="preserve"> sindicatos</w:t>
      </w:r>
      <w:r w:rsidR="00825DB0" w:rsidRPr="0095692E">
        <w:rPr>
          <w:rStyle w:val="Refdenotaalpie"/>
          <w:rFonts w:ascii="Verdana" w:hAnsi="Verdana"/>
          <w:sz w:val="20"/>
          <w:szCs w:val="20"/>
        </w:rPr>
        <w:footnoteReference w:id="27"/>
      </w:r>
      <w:r w:rsidRPr="0095692E">
        <w:rPr>
          <w:rFonts w:ascii="Verdana" w:hAnsi="Verdana"/>
          <w:sz w:val="20"/>
          <w:szCs w:val="20"/>
        </w:rPr>
        <w:t xml:space="preserve"> de la costa norte de</w:t>
      </w:r>
      <w:r w:rsidR="000E7054" w:rsidRPr="0095692E">
        <w:rPr>
          <w:rFonts w:ascii="Verdana" w:hAnsi="Verdana"/>
          <w:sz w:val="20"/>
          <w:szCs w:val="20"/>
        </w:rPr>
        <w:t>l país</w:t>
      </w:r>
      <w:r w:rsidR="00A00950" w:rsidRPr="0095692E">
        <w:rPr>
          <w:rStyle w:val="Refdenotaalpie"/>
          <w:rFonts w:ascii="Verdana" w:hAnsi="Verdana"/>
          <w:bCs/>
          <w:sz w:val="20"/>
          <w:szCs w:val="20"/>
        </w:rPr>
        <w:footnoteReference w:id="28"/>
      </w:r>
      <w:r w:rsidRPr="0095692E">
        <w:rPr>
          <w:rFonts w:ascii="Verdana" w:hAnsi="Verdana"/>
          <w:bCs/>
          <w:sz w:val="20"/>
          <w:szCs w:val="20"/>
        </w:rPr>
        <w:t>.</w:t>
      </w:r>
      <w:r w:rsidRPr="0095692E">
        <w:rPr>
          <w:rFonts w:ascii="Verdana" w:hAnsi="Verdana"/>
          <w:sz w:val="20"/>
          <w:szCs w:val="20"/>
        </w:rPr>
        <w:t xml:space="preserve"> </w:t>
      </w:r>
      <w:r w:rsidR="00065C6A" w:rsidRPr="0095692E">
        <w:rPr>
          <w:rFonts w:ascii="Verdana" w:hAnsi="Verdana"/>
          <w:bCs/>
          <w:sz w:val="20"/>
          <w:szCs w:val="20"/>
        </w:rPr>
        <w:t xml:space="preserve">Herminio </w:t>
      </w:r>
      <w:r w:rsidR="007F2766" w:rsidRPr="0095692E">
        <w:rPr>
          <w:rFonts w:ascii="Verdana" w:hAnsi="Verdana"/>
          <w:bCs/>
          <w:sz w:val="20"/>
          <w:szCs w:val="20"/>
        </w:rPr>
        <w:t xml:space="preserve">Deras García </w:t>
      </w:r>
      <w:r w:rsidR="00065C6A" w:rsidRPr="0095692E">
        <w:rPr>
          <w:rFonts w:ascii="Verdana" w:hAnsi="Verdana"/>
          <w:bCs/>
          <w:sz w:val="20"/>
          <w:szCs w:val="20"/>
        </w:rPr>
        <w:t xml:space="preserve">también escribía en </w:t>
      </w:r>
      <w:r w:rsidR="00ED7195" w:rsidRPr="0095692E">
        <w:rPr>
          <w:rFonts w:ascii="Verdana" w:hAnsi="Verdana"/>
          <w:bCs/>
          <w:sz w:val="20"/>
          <w:szCs w:val="20"/>
        </w:rPr>
        <w:t xml:space="preserve">el periódico del referido partido, </w:t>
      </w:r>
      <w:r w:rsidR="00065C6A" w:rsidRPr="0095692E">
        <w:rPr>
          <w:rFonts w:ascii="Verdana" w:hAnsi="Verdana"/>
          <w:bCs/>
          <w:sz w:val="20"/>
          <w:szCs w:val="20"/>
        </w:rPr>
        <w:t xml:space="preserve">el </w:t>
      </w:r>
      <w:r w:rsidR="002704B0" w:rsidRPr="0095692E">
        <w:rPr>
          <w:rFonts w:ascii="Verdana" w:hAnsi="Verdana"/>
          <w:bCs/>
          <w:sz w:val="20"/>
          <w:szCs w:val="20"/>
        </w:rPr>
        <w:t>p</w:t>
      </w:r>
      <w:r w:rsidR="00065C6A" w:rsidRPr="0095692E">
        <w:rPr>
          <w:rFonts w:ascii="Verdana" w:hAnsi="Verdana"/>
          <w:bCs/>
          <w:sz w:val="20"/>
          <w:szCs w:val="20"/>
        </w:rPr>
        <w:t xml:space="preserve">eriódico </w:t>
      </w:r>
      <w:r w:rsidR="002704B0" w:rsidRPr="0095692E">
        <w:rPr>
          <w:rFonts w:ascii="Verdana" w:hAnsi="Verdana"/>
          <w:bCs/>
          <w:sz w:val="20"/>
          <w:szCs w:val="20"/>
        </w:rPr>
        <w:t>“</w:t>
      </w:r>
      <w:r w:rsidR="00065C6A" w:rsidRPr="0095692E">
        <w:rPr>
          <w:rFonts w:ascii="Verdana" w:hAnsi="Verdana"/>
          <w:bCs/>
          <w:sz w:val="20"/>
          <w:szCs w:val="20"/>
        </w:rPr>
        <w:t>Vanguardia Revolucionaria</w:t>
      </w:r>
      <w:r w:rsidR="00D55D9C" w:rsidRPr="0095692E">
        <w:rPr>
          <w:rFonts w:ascii="Verdana" w:hAnsi="Verdana"/>
          <w:bCs/>
          <w:sz w:val="20"/>
          <w:szCs w:val="20"/>
        </w:rPr>
        <w:t>”</w:t>
      </w:r>
      <w:r w:rsidR="00065C6A" w:rsidRPr="0095692E">
        <w:rPr>
          <w:rStyle w:val="Refdenotaalpie"/>
          <w:rFonts w:ascii="Verdana" w:hAnsi="Verdana"/>
          <w:bCs/>
          <w:sz w:val="20"/>
          <w:szCs w:val="20"/>
        </w:rPr>
        <w:footnoteReference w:id="29"/>
      </w:r>
      <w:r w:rsidR="00065C6A" w:rsidRPr="0095692E">
        <w:rPr>
          <w:rFonts w:ascii="Verdana" w:hAnsi="Verdana"/>
          <w:bCs/>
          <w:sz w:val="20"/>
          <w:szCs w:val="20"/>
        </w:rPr>
        <w:t xml:space="preserve">. </w:t>
      </w:r>
      <w:r w:rsidRPr="0095692E">
        <w:rPr>
          <w:rFonts w:ascii="Verdana" w:hAnsi="Verdana"/>
          <w:sz w:val="20"/>
          <w:szCs w:val="20"/>
        </w:rPr>
        <w:t xml:space="preserve">Al momento de su muerte, </w:t>
      </w:r>
      <w:r w:rsidR="00584329" w:rsidRPr="0095692E">
        <w:rPr>
          <w:rFonts w:ascii="Verdana" w:hAnsi="Verdana"/>
          <w:sz w:val="20"/>
          <w:szCs w:val="20"/>
        </w:rPr>
        <w:t>el señor</w:t>
      </w:r>
      <w:r w:rsidRPr="0095692E">
        <w:rPr>
          <w:rFonts w:ascii="Verdana" w:hAnsi="Verdana"/>
          <w:sz w:val="20"/>
          <w:szCs w:val="20"/>
        </w:rPr>
        <w:t xml:space="preserve"> Deras</w:t>
      </w:r>
      <w:r w:rsidR="00584329" w:rsidRPr="0095692E">
        <w:rPr>
          <w:rFonts w:ascii="Verdana" w:hAnsi="Verdana"/>
          <w:sz w:val="20"/>
          <w:szCs w:val="20"/>
        </w:rPr>
        <w:t xml:space="preserve"> García</w:t>
      </w:r>
      <w:r w:rsidRPr="0095692E">
        <w:rPr>
          <w:rFonts w:ascii="Verdana" w:hAnsi="Verdana"/>
          <w:sz w:val="20"/>
          <w:szCs w:val="20"/>
        </w:rPr>
        <w:t xml:space="preserve"> era el Segundo Secretario General del Partido Comunista y, entre los pseudónimos </w:t>
      </w:r>
      <w:r w:rsidR="007A187E" w:rsidRPr="0095692E">
        <w:rPr>
          <w:rFonts w:ascii="Verdana" w:hAnsi="Verdana"/>
          <w:sz w:val="20"/>
          <w:szCs w:val="20"/>
        </w:rPr>
        <w:t xml:space="preserve">que usaba </w:t>
      </w:r>
      <w:r w:rsidRPr="0095692E">
        <w:rPr>
          <w:rFonts w:ascii="Verdana" w:hAnsi="Verdana"/>
          <w:sz w:val="20"/>
          <w:szCs w:val="20"/>
        </w:rPr>
        <w:t>para evadir la represión</w:t>
      </w:r>
      <w:r w:rsidR="00584329" w:rsidRPr="0095692E">
        <w:rPr>
          <w:rFonts w:ascii="Verdana" w:hAnsi="Verdana"/>
          <w:sz w:val="20"/>
          <w:szCs w:val="20"/>
        </w:rPr>
        <w:t xml:space="preserve"> (</w:t>
      </w:r>
      <w:r w:rsidR="00584329" w:rsidRPr="0095692E">
        <w:rPr>
          <w:rFonts w:ascii="Verdana" w:hAnsi="Verdana"/>
          <w:i/>
          <w:iCs/>
          <w:sz w:val="20"/>
          <w:szCs w:val="20"/>
        </w:rPr>
        <w:t>supra</w:t>
      </w:r>
      <w:r w:rsidR="00584329" w:rsidRPr="0095692E">
        <w:rPr>
          <w:rFonts w:ascii="Verdana" w:hAnsi="Verdana"/>
          <w:sz w:val="20"/>
          <w:szCs w:val="20"/>
        </w:rPr>
        <w:t xml:space="preserve"> párrs. </w:t>
      </w:r>
      <w:r w:rsidR="00D76DC9" w:rsidRPr="0095692E">
        <w:rPr>
          <w:rFonts w:ascii="Verdana" w:hAnsi="Verdana"/>
          <w:sz w:val="20"/>
          <w:szCs w:val="20"/>
        </w:rPr>
        <w:t>37</w:t>
      </w:r>
      <w:r w:rsidR="00584329" w:rsidRPr="0095692E">
        <w:rPr>
          <w:rFonts w:ascii="Verdana" w:hAnsi="Verdana"/>
          <w:sz w:val="20"/>
          <w:szCs w:val="20"/>
        </w:rPr>
        <w:t xml:space="preserve"> a </w:t>
      </w:r>
      <w:r w:rsidR="00D76DC9" w:rsidRPr="0095692E">
        <w:rPr>
          <w:rFonts w:ascii="Verdana" w:hAnsi="Verdana"/>
          <w:sz w:val="20"/>
          <w:szCs w:val="20"/>
        </w:rPr>
        <w:t>40</w:t>
      </w:r>
      <w:r w:rsidR="00584329" w:rsidRPr="0095692E">
        <w:rPr>
          <w:rFonts w:ascii="Verdana" w:hAnsi="Verdana"/>
          <w:sz w:val="20"/>
          <w:szCs w:val="20"/>
        </w:rPr>
        <w:t>)</w:t>
      </w:r>
      <w:r w:rsidR="00DD3E0B" w:rsidRPr="0095692E">
        <w:rPr>
          <w:rFonts w:ascii="Verdana" w:hAnsi="Verdana"/>
          <w:sz w:val="20"/>
          <w:szCs w:val="20"/>
        </w:rPr>
        <w:t>,</w:t>
      </w:r>
      <w:r w:rsidRPr="0095692E">
        <w:rPr>
          <w:rFonts w:ascii="Verdana" w:hAnsi="Verdana"/>
          <w:sz w:val="20"/>
          <w:szCs w:val="20"/>
        </w:rPr>
        <w:t xml:space="preserve"> estaban “Diego” y “la liebre”. </w:t>
      </w:r>
    </w:p>
    <w:p w14:paraId="6F334282" w14:textId="77777777" w:rsidR="00E60077" w:rsidRPr="0095692E" w:rsidRDefault="00E60077" w:rsidP="00A80648">
      <w:pPr>
        <w:pStyle w:val="Prrafodelista"/>
        <w:spacing w:after="0" w:line="240" w:lineRule="auto"/>
        <w:ind w:left="0"/>
        <w:contextualSpacing w:val="0"/>
        <w:jc w:val="both"/>
        <w:rPr>
          <w:rFonts w:ascii="Verdana" w:hAnsi="Verdana"/>
          <w:w w:val="99"/>
          <w:sz w:val="20"/>
          <w:szCs w:val="20"/>
        </w:rPr>
      </w:pPr>
    </w:p>
    <w:p w14:paraId="4489EF87" w14:textId="640CC3BF" w:rsidR="00F90B07" w:rsidRPr="0095692E" w:rsidRDefault="00636071" w:rsidP="00A80648">
      <w:pPr>
        <w:pStyle w:val="Prrafodelista"/>
        <w:numPr>
          <w:ilvl w:val="0"/>
          <w:numId w:val="2"/>
        </w:numPr>
        <w:spacing w:after="0" w:line="240" w:lineRule="auto"/>
        <w:ind w:left="0" w:firstLine="0"/>
        <w:contextualSpacing w:val="0"/>
        <w:jc w:val="both"/>
        <w:rPr>
          <w:rFonts w:ascii="Verdana" w:hAnsi="Verdana"/>
          <w:w w:val="99"/>
          <w:sz w:val="20"/>
          <w:szCs w:val="20"/>
        </w:rPr>
      </w:pPr>
      <w:r w:rsidRPr="0095692E">
        <w:rPr>
          <w:rFonts w:ascii="Verdana" w:hAnsi="Verdana"/>
          <w:sz w:val="20"/>
          <w:szCs w:val="20"/>
        </w:rPr>
        <w:t xml:space="preserve">En la mañana del 26 de noviembre de 1981 </w:t>
      </w:r>
      <w:r w:rsidR="00DF20AE" w:rsidRPr="0095692E">
        <w:rPr>
          <w:rFonts w:ascii="Verdana" w:hAnsi="Verdana"/>
          <w:sz w:val="20"/>
          <w:szCs w:val="20"/>
        </w:rPr>
        <w:t>el Tercer Batallón de Infantería y agentes de la Dirección Nacional de Investigación (en adelante “DNI”) allan</w:t>
      </w:r>
      <w:r w:rsidR="0002142B" w:rsidRPr="0095692E">
        <w:rPr>
          <w:rFonts w:ascii="Verdana" w:hAnsi="Verdana"/>
          <w:sz w:val="20"/>
          <w:szCs w:val="20"/>
        </w:rPr>
        <w:t>aron</w:t>
      </w:r>
      <w:r w:rsidR="00DF20AE" w:rsidRPr="0095692E">
        <w:rPr>
          <w:rFonts w:ascii="Verdana" w:hAnsi="Verdana"/>
          <w:sz w:val="20"/>
          <w:szCs w:val="20"/>
        </w:rPr>
        <w:t xml:space="preserve"> </w:t>
      </w:r>
      <w:r w:rsidRPr="0095692E">
        <w:rPr>
          <w:rFonts w:ascii="Verdana" w:hAnsi="Verdana"/>
          <w:sz w:val="20"/>
          <w:szCs w:val="20"/>
        </w:rPr>
        <w:t>el domicilio de Herminio Deras García</w:t>
      </w:r>
      <w:r w:rsidR="00EB009D" w:rsidRPr="0095692E">
        <w:rPr>
          <w:rFonts w:ascii="Verdana" w:hAnsi="Verdana"/>
          <w:sz w:val="20"/>
          <w:szCs w:val="20"/>
        </w:rPr>
        <w:t xml:space="preserve"> y </w:t>
      </w:r>
      <w:r w:rsidR="00813428" w:rsidRPr="0095692E">
        <w:rPr>
          <w:rFonts w:ascii="Verdana" w:hAnsi="Verdana"/>
          <w:sz w:val="20"/>
          <w:szCs w:val="20"/>
        </w:rPr>
        <w:t xml:space="preserve">su esposa </w:t>
      </w:r>
      <w:r w:rsidR="00EB009D" w:rsidRPr="0095692E">
        <w:rPr>
          <w:rFonts w:ascii="Verdana" w:hAnsi="Verdana"/>
          <w:sz w:val="20"/>
          <w:szCs w:val="20"/>
        </w:rPr>
        <w:t>Otilia Flores Ortiz</w:t>
      </w:r>
      <w:r w:rsidR="00256AC4" w:rsidRPr="0095692E">
        <w:rPr>
          <w:rStyle w:val="Refdenotaalpie"/>
          <w:rFonts w:ascii="Verdana" w:hAnsi="Verdana"/>
          <w:sz w:val="20"/>
          <w:szCs w:val="20"/>
        </w:rPr>
        <w:footnoteReference w:id="30"/>
      </w:r>
      <w:r w:rsidR="00DF20AE" w:rsidRPr="0095692E">
        <w:rPr>
          <w:rFonts w:ascii="Verdana" w:hAnsi="Verdana"/>
          <w:sz w:val="20"/>
          <w:szCs w:val="20"/>
        </w:rPr>
        <w:t xml:space="preserve">, </w:t>
      </w:r>
      <w:r w:rsidRPr="0095692E">
        <w:rPr>
          <w:rFonts w:ascii="Verdana" w:hAnsi="Verdana"/>
          <w:sz w:val="20"/>
          <w:szCs w:val="20"/>
        </w:rPr>
        <w:t>destru</w:t>
      </w:r>
      <w:r w:rsidR="00A359FF" w:rsidRPr="0095692E">
        <w:rPr>
          <w:rFonts w:ascii="Verdana" w:hAnsi="Verdana"/>
          <w:sz w:val="20"/>
          <w:szCs w:val="20"/>
        </w:rPr>
        <w:t>y</w:t>
      </w:r>
      <w:r w:rsidR="0002142B" w:rsidRPr="0095692E">
        <w:rPr>
          <w:rFonts w:ascii="Verdana" w:hAnsi="Verdana"/>
          <w:sz w:val="20"/>
          <w:szCs w:val="20"/>
        </w:rPr>
        <w:t>eron</w:t>
      </w:r>
      <w:r w:rsidRPr="0095692E">
        <w:rPr>
          <w:rFonts w:ascii="Verdana" w:hAnsi="Verdana"/>
          <w:sz w:val="20"/>
          <w:szCs w:val="20"/>
        </w:rPr>
        <w:t xml:space="preserve"> </w:t>
      </w:r>
      <w:r w:rsidR="00F90B07" w:rsidRPr="0095692E">
        <w:rPr>
          <w:rFonts w:ascii="Verdana" w:hAnsi="Verdana"/>
          <w:sz w:val="20"/>
          <w:szCs w:val="20"/>
        </w:rPr>
        <w:t>el candado del portón de acceso a la residencia, rompi</w:t>
      </w:r>
      <w:r w:rsidR="0002142B" w:rsidRPr="0095692E">
        <w:rPr>
          <w:rFonts w:ascii="Verdana" w:hAnsi="Verdana"/>
          <w:sz w:val="20"/>
          <w:szCs w:val="20"/>
        </w:rPr>
        <w:t>eron</w:t>
      </w:r>
      <w:r w:rsidR="00F90B07" w:rsidRPr="0095692E">
        <w:rPr>
          <w:rFonts w:ascii="Verdana" w:hAnsi="Verdana"/>
          <w:sz w:val="20"/>
          <w:szCs w:val="20"/>
        </w:rPr>
        <w:t xml:space="preserve"> los muebles y cielo </w:t>
      </w:r>
      <w:r w:rsidR="000B2287" w:rsidRPr="0095692E">
        <w:rPr>
          <w:rFonts w:ascii="Verdana" w:hAnsi="Verdana"/>
          <w:sz w:val="20"/>
          <w:szCs w:val="20"/>
        </w:rPr>
        <w:t>ras</w:t>
      </w:r>
      <w:r w:rsidR="00F90B07" w:rsidRPr="0095692E">
        <w:rPr>
          <w:rFonts w:ascii="Verdana" w:hAnsi="Verdana"/>
          <w:sz w:val="20"/>
          <w:szCs w:val="20"/>
        </w:rPr>
        <w:t xml:space="preserve">o de la vivienda </w:t>
      </w:r>
      <w:r w:rsidRPr="0095692E">
        <w:rPr>
          <w:rFonts w:ascii="Verdana" w:hAnsi="Verdana"/>
          <w:sz w:val="20"/>
          <w:szCs w:val="20"/>
        </w:rPr>
        <w:t xml:space="preserve">y </w:t>
      </w:r>
      <w:r w:rsidR="0002142B" w:rsidRPr="0095692E">
        <w:rPr>
          <w:rFonts w:ascii="Verdana" w:hAnsi="Verdana"/>
          <w:sz w:val="20"/>
          <w:szCs w:val="20"/>
        </w:rPr>
        <w:t xml:space="preserve">se </w:t>
      </w:r>
      <w:r w:rsidRPr="0095692E">
        <w:rPr>
          <w:rFonts w:ascii="Verdana" w:hAnsi="Verdana"/>
          <w:sz w:val="20"/>
          <w:szCs w:val="20"/>
        </w:rPr>
        <w:t>llev</w:t>
      </w:r>
      <w:r w:rsidR="0002142B" w:rsidRPr="0095692E">
        <w:rPr>
          <w:rFonts w:ascii="Verdana" w:hAnsi="Verdana"/>
          <w:sz w:val="20"/>
          <w:szCs w:val="20"/>
        </w:rPr>
        <w:t>aron</w:t>
      </w:r>
      <w:r w:rsidRPr="0095692E">
        <w:rPr>
          <w:rFonts w:ascii="Verdana" w:hAnsi="Verdana"/>
          <w:sz w:val="20"/>
          <w:szCs w:val="20"/>
        </w:rPr>
        <w:t xml:space="preserve"> diversos objetos</w:t>
      </w:r>
      <w:r w:rsidR="00A359FF" w:rsidRPr="0095692E">
        <w:rPr>
          <w:rFonts w:ascii="Verdana" w:hAnsi="Verdana"/>
          <w:sz w:val="20"/>
          <w:szCs w:val="20"/>
        </w:rPr>
        <w:t xml:space="preserve"> personales</w:t>
      </w:r>
      <w:r w:rsidRPr="0095692E">
        <w:rPr>
          <w:rFonts w:ascii="Verdana" w:hAnsi="Verdana"/>
          <w:sz w:val="20"/>
          <w:szCs w:val="20"/>
        </w:rPr>
        <w:t xml:space="preserve"> sin haber presentado una orden de allanamiento</w:t>
      </w:r>
      <w:r w:rsidR="00F122A6" w:rsidRPr="0095692E">
        <w:rPr>
          <w:rStyle w:val="Refdenotaalpie"/>
          <w:rFonts w:ascii="Verdana" w:hAnsi="Verdana"/>
          <w:sz w:val="20"/>
          <w:szCs w:val="20"/>
        </w:rPr>
        <w:footnoteReference w:id="31"/>
      </w:r>
      <w:r w:rsidRPr="0095692E">
        <w:rPr>
          <w:rFonts w:ascii="Verdana" w:hAnsi="Verdana"/>
          <w:sz w:val="20"/>
          <w:szCs w:val="20"/>
        </w:rPr>
        <w:t xml:space="preserve">. </w:t>
      </w:r>
      <w:r w:rsidR="00A359FF" w:rsidRPr="0095692E">
        <w:rPr>
          <w:rFonts w:ascii="Verdana" w:hAnsi="Verdana"/>
          <w:sz w:val="20"/>
          <w:szCs w:val="20"/>
        </w:rPr>
        <w:t>A</w:t>
      </w:r>
      <w:r w:rsidRPr="0095692E">
        <w:rPr>
          <w:rFonts w:ascii="Verdana" w:hAnsi="Verdana"/>
          <w:sz w:val="20"/>
          <w:szCs w:val="20"/>
        </w:rPr>
        <w:t>l momento del ingreso de los agentes, se encontraba</w:t>
      </w:r>
      <w:r w:rsidR="001D6D2B" w:rsidRPr="0095692E">
        <w:rPr>
          <w:rFonts w:ascii="Verdana" w:hAnsi="Verdana"/>
          <w:sz w:val="20"/>
          <w:szCs w:val="20"/>
        </w:rPr>
        <w:t>n</w:t>
      </w:r>
      <w:r w:rsidRPr="0095692E">
        <w:rPr>
          <w:rFonts w:ascii="Verdana" w:hAnsi="Verdana"/>
          <w:sz w:val="20"/>
          <w:szCs w:val="20"/>
        </w:rPr>
        <w:t xml:space="preserve"> en la casa </w:t>
      </w:r>
      <w:r w:rsidR="00543F48" w:rsidRPr="0095692E">
        <w:rPr>
          <w:rFonts w:ascii="Verdana" w:hAnsi="Verdana"/>
          <w:sz w:val="20"/>
          <w:szCs w:val="20"/>
        </w:rPr>
        <w:t xml:space="preserve">Maria del Carmen Gonzales, sobrina de Otilia Flores Ortiz, la trabajadora doméstica y su hija, </w:t>
      </w:r>
      <w:r w:rsidR="00543F48" w:rsidRPr="0095692E">
        <w:rPr>
          <w:rFonts w:ascii="Verdana" w:hAnsi="Verdana"/>
          <w:sz w:val="20"/>
          <w:szCs w:val="20"/>
        </w:rPr>
        <w:lastRenderedPageBreak/>
        <w:t xml:space="preserve">y </w:t>
      </w:r>
      <w:r w:rsidRPr="0095692E">
        <w:rPr>
          <w:rFonts w:ascii="Verdana" w:hAnsi="Verdana"/>
          <w:sz w:val="20"/>
          <w:szCs w:val="20"/>
        </w:rPr>
        <w:t>la cuñada del señor Deras García, Elba Flores</w:t>
      </w:r>
      <w:r w:rsidR="00762D23" w:rsidRPr="0095692E">
        <w:rPr>
          <w:rFonts w:ascii="Verdana" w:hAnsi="Verdana"/>
          <w:sz w:val="20"/>
          <w:szCs w:val="20"/>
        </w:rPr>
        <w:t xml:space="preserve"> Ortiz</w:t>
      </w:r>
      <w:r w:rsidRPr="0095692E">
        <w:rPr>
          <w:rStyle w:val="Refdenotaalpie"/>
          <w:rFonts w:ascii="Verdana" w:hAnsi="Verdana"/>
          <w:sz w:val="20"/>
          <w:szCs w:val="20"/>
        </w:rPr>
        <w:footnoteReference w:id="32"/>
      </w:r>
      <w:r w:rsidRPr="0095692E">
        <w:rPr>
          <w:rFonts w:ascii="Verdana" w:hAnsi="Verdana"/>
          <w:sz w:val="20"/>
          <w:szCs w:val="20"/>
        </w:rPr>
        <w:t xml:space="preserve">, a quien se le indicó que buscaban armas y el paradero del señor Deras García. </w:t>
      </w:r>
      <w:r w:rsidR="007A187E" w:rsidRPr="0095692E">
        <w:rPr>
          <w:rFonts w:ascii="Verdana" w:hAnsi="Verdana"/>
          <w:sz w:val="20"/>
          <w:szCs w:val="20"/>
        </w:rPr>
        <w:t>Durante el allanamiento</w:t>
      </w:r>
      <w:r w:rsidRPr="0095692E">
        <w:rPr>
          <w:rFonts w:ascii="Verdana" w:hAnsi="Verdana"/>
          <w:sz w:val="20"/>
          <w:szCs w:val="20"/>
        </w:rPr>
        <w:t xml:space="preserve"> llega</w:t>
      </w:r>
      <w:r w:rsidR="00466C2F" w:rsidRPr="0095692E">
        <w:rPr>
          <w:rFonts w:ascii="Verdana" w:hAnsi="Verdana"/>
          <w:sz w:val="20"/>
          <w:szCs w:val="20"/>
        </w:rPr>
        <w:t>ron</w:t>
      </w:r>
      <w:r w:rsidR="009D69D0" w:rsidRPr="0095692E">
        <w:rPr>
          <w:rFonts w:ascii="Verdana" w:hAnsi="Verdana"/>
          <w:sz w:val="20"/>
          <w:szCs w:val="20"/>
        </w:rPr>
        <w:t xml:space="preserve"> a la casa</w:t>
      </w:r>
      <w:r w:rsidRPr="0095692E">
        <w:rPr>
          <w:rFonts w:ascii="Verdana" w:hAnsi="Verdana"/>
          <w:sz w:val="20"/>
          <w:szCs w:val="20"/>
        </w:rPr>
        <w:t xml:space="preserve"> </w:t>
      </w:r>
      <w:r w:rsidR="009D69D0" w:rsidRPr="0095692E">
        <w:rPr>
          <w:rFonts w:ascii="Verdana" w:hAnsi="Verdana"/>
          <w:sz w:val="20"/>
          <w:szCs w:val="20"/>
        </w:rPr>
        <w:t>Herminio</w:t>
      </w:r>
      <w:r w:rsidRPr="0095692E">
        <w:rPr>
          <w:rFonts w:ascii="Verdana" w:hAnsi="Verdana"/>
          <w:sz w:val="20"/>
          <w:szCs w:val="20"/>
        </w:rPr>
        <w:t xml:space="preserve"> Deras García, </w:t>
      </w:r>
      <w:r w:rsidR="005631B4" w:rsidRPr="0095692E">
        <w:rPr>
          <w:rFonts w:ascii="Verdana" w:hAnsi="Verdana"/>
          <w:sz w:val="20"/>
          <w:szCs w:val="20"/>
        </w:rPr>
        <w:t xml:space="preserve">su esposa </w:t>
      </w:r>
      <w:r w:rsidRPr="0095692E">
        <w:rPr>
          <w:rFonts w:ascii="Verdana" w:hAnsi="Verdana"/>
          <w:sz w:val="20"/>
          <w:szCs w:val="20"/>
        </w:rPr>
        <w:t>y sus dos hijos</w:t>
      </w:r>
      <w:r w:rsidR="00D6427C" w:rsidRPr="0095692E">
        <w:rPr>
          <w:rFonts w:ascii="Verdana" w:hAnsi="Verdana"/>
          <w:sz w:val="20"/>
          <w:szCs w:val="20"/>
        </w:rPr>
        <w:t>,</w:t>
      </w:r>
      <w:r w:rsidRPr="0095692E">
        <w:rPr>
          <w:rFonts w:ascii="Verdana" w:hAnsi="Verdana"/>
          <w:sz w:val="20"/>
          <w:szCs w:val="20"/>
        </w:rPr>
        <w:t xml:space="preserve"> Lorena</w:t>
      </w:r>
      <w:r w:rsidR="00762D23" w:rsidRPr="0095692E">
        <w:rPr>
          <w:rFonts w:ascii="Verdana" w:hAnsi="Verdana"/>
          <w:sz w:val="20"/>
          <w:szCs w:val="20"/>
        </w:rPr>
        <w:t xml:space="preserve"> Deras Flores</w:t>
      </w:r>
      <w:r w:rsidRPr="0095692E">
        <w:rPr>
          <w:rStyle w:val="Refdenotaalpie"/>
          <w:rFonts w:ascii="Verdana" w:hAnsi="Verdana"/>
          <w:sz w:val="20"/>
          <w:szCs w:val="20"/>
        </w:rPr>
        <w:footnoteReference w:id="33"/>
      </w:r>
      <w:r w:rsidRPr="0095692E">
        <w:rPr>
          <w:rFonts w:ascii="Verdana" w:hAnsi="Verdana"/>
          <w:sz w:val="20"/>
          <w:szCs w:val="20"/>
        </w:rPr>
        <w:t xml:space="preserve"> y Herminio Deras</w:t>
      </w:r>
      <w:r w:rsidR="00762D23" w:rsidRPr="0095692E">
        <w:rPr>
          <w:rFonts w:ascii="Verdana" w:hAnsi="Verdana"/>
          <w:sz w:val="20"/>
          <w:szCs w:val="20"/>
        </w:rPr>
        <w:t xml:space="preserve"> Flores</w:t>
      </w:r>
      <w:r w:rsidRPr="0095692E">
        <w:rPr>
          <w:rStyle w:val="Refdenotaalpie"/>
          <w:rFonts w:ascii="Verdana" w:hAnsi="Verdana"/>
          <w:sz w:val="20"/>
          <w:szCs w:val="20"/>
        </w:rPr>
        <w:footnoteReference w:id="34"/>
      </w:r>
      <w:r w:rsidRPr="0095692E">
        <w:rPr>
          <w:rFonts w:ascii="Verdana" w:hAnsi="Verdana"/>
          <w:sz w:val="20"/>
          <w:szCs w:val="20"/>
        </w:rPr>
        <w:t xml:space="preserve">. Tras </w:t>
      </w:r>
      <w:r w:rsidR="00AA37BE" w:rsidRPr="0095692E">
        <w:rPr>
          <w:rFonts w:ascii="Verdana" w:hAnsi="Verdana"/>
          <w:sz w:val="20"/>
          <w:szCs w:val="20"/>
        </w:rPr>
        <w:t xml:space="preserve">su </w:t>
      </w:r>
      <w:r w:rsidRPr="0095692E">
        <w:rPr>
          <w:rFonts w:ascii="Verdana" w:hAnsi="Verdana"/>
          <w:sz w:val="20"/>
          <w:szCs w:val="20"/>
        </w:rPr>
        <w:t xml:space="preserve">ingreso, </w:t>
      </w:r>
      <w:r w:rsidR="00AA37BE" w:rsidRPr="0095692E">
        <w:rPr>
          <w:rFonts w:ascii="Verdana" w:hAnsi="Verdana"/>
          <w:sz w:val="20"/>
          <w:szCs w:val="20"/>
        </w:rPr>
        <w:t>el señor Deras García</w:t>
      </w:r>
      <w:r w:rsidRPr="0095692E">
        <w:rPr>
          <w:rFonts w:ascii="Verdana" w:hAnsi="Verdana"/>
          <w:sz w:val="20"/>
          <w:szCs w:val="20"/>
        </w:rPr>
        <w:t xml:space="preserve"> fue encañonado y amenazado de muerte. </w:t>
      </w:r>
      <w:r w:rsidR="007A187E" w:rsidRPr="0095692E">
        <w:rPr>
          <w:rFonts w:ascii="Verdana" w:hAnsi="Verdana"/>
          <w:sz w:val="20"/>
          <w:szCs w:val="20"/>
        </w:rPr>
        <w:t>L</w:t>
      </w:r>
      <w:r w:rsidRPr="0095692E">
        <w:rPr>
          <w:rFonts w:ascii="Verdana" w:hAnsi="Verdana"/>
          <w:sz w:val="20"/>
          <w:szCs w:val="20"/>
        </w:rPr>
        <w:t>ogró escapar</w:t>
      </w:r>
      <w:r w:rsidR="00EB009D" w:rsidRPr="0095692E">
        <w:rPr>
          <w:rStyle w:val="Refdenotaalpie"/>
          <w:rFonts w:ascii="Verdana" w:hAnsi="Verdana"/>
          <w:sz w:val="20"/>
          <w:szCs w:val="20"/>
        </w:rPr>
        <w:footnoteReference w:id="35"/>
      </w:r>
      <w:r w:rsidRPr="0095692E">
        <w:rPr>
          <w:rFonts w:ascii="Verdana" w:hAnsi="Verdana"/>
          <w:sz w:val="20"/>
          <w:szCs w:val="20"/>
        </w:rPr>
        <w:t xml:space="preserve"> al saltar el muro perimetral de su vivienda y fue, posteriormente, perseguido por ocho vehículos de </w:t>
      </w:r>
      <w:r w:rsidR="00256AC4" w:rsidRPr="0095692E">
        <w:rPr>
          <w:rFonts w:ascii="Verdana" w:hAnsi="Verdana"/>
          <w:sz w:val="20"/>
          <w:szCs w:val="20"/>
        </w:rPr>
        <w:t>la fuerza pública</w:t>
      </w:r>
      <w:r w:rsidRPr="0095692E">
        <w:rPr>
          <w:rFonts w:ascii="Verdana" w:hAnsi="Verdana"/>
          <w:sz w:val="20"/>
          <w:szCs w:val="20"/>
        </w:rPr>
        <w:t>.</w:t>
      </w:r>
      <w:r w:rsidRPr="0095692E">
        <w:rPr>
          <w:rFonts w:ascii="Verdana" w:hAnsi="Verdana"/>
          <w:bCs/>
          <w:sz w:val="20"/>
          <w:szCs w:val="20"/>
        </w:rPr>
        <w:t xml:space="preserve"> </w:t>
      </w:r>
      <w:r w:rsidR="00256AC4" w:rsidRPr="0095692E">
        <w:rPr>
          <w:rFonts w:ascii="Verdana" w:hAnsi="Verdana"/>
          <w:bCs/>
          <w:sz w:val="20"/>
          <w:szCs w:val="20"/>
        </w:rPr>
        <w:t>S</w:t>
      </w:r>
      <w:r w:rsidRPr="0095692E">
        <w:rPr>
          <w:rFonts w:ascii="Verdana" w:hAnsi="Verdana"/>
          <w:bCs/>
          <w:sz w:val="20"/>
          <w:szCs w:val="20"/>
        </w:rPr>
        <w:t xml:space="preserve">u esposa </w:t>
      </w:r>
      <w:r w:rsidR="005631B4" w:rsidRPr="0095692E">
        <w:rPr>
          <w:rFonts w:ascii="Verdana" w:hAnsi="Verdana"/>
          <w:bCs/>
          <w:sz w:val="20"/>
          <w:szCs w:val="20"/>
        </w:rPr>
        <w:t xml:space="preserve">y su cuñada </w:t>
      </w:r>
      <w:r w:rsidRPr="0095692E">
        <w:rPr>
          <w:rFonts w:ascii="Verdana" w:hAnsi="Verdana"/>
          <w:sz w:val="20"/>
          <w:szCs w:val="20"/>
        </w:rPr>
        <w:t>fueron llevadas a las instalaciones de la DNI</w:t>
      </w:r>
      <w:r w:rsidR="009D69D0" w:rsidRPr="0095692E">
        <w:rPr>
          <w:rFonts w:ascii="Verdana" w:hAnsi="Verdana"/>
          <w:sz w:val="20"/>
          <w:szCs w:val="20"/>
        </w:rPr>
        <w:t xml:space="preserve"> </w:t>
      </w:r>
      <w:r w:rsidRPr="0095692E">
        <w:rPr>
          <w:rFonts w:ascii="Verdana" w:hAnsi="Verdana"/>
          <w:sz w:val="20"/>
          <w:szCs w:val="20"/>
        </w:rPr>
        <w:t>(</w:t>
      </w:r>
      <w:r w:rsidRPr="0095692E">
        <w:rPr>
          <w:rFonts w:ascii="Verdana" w:hAnsi="Verdana"/>
          <w:i/>
          <w:sz w:val="20"/>
          <w:szCs w:val="20"/>
        </w:rPr>
        <w:t xml:space="preserve">infra </w:t>
      </w:r>
      <w:r w:rsidRPr="0095692E">
        <w:rPr>
          <w:rFonts w:ascii="Verdana" w:hAnsi="Verdana"/>
          <w:sz w:val="20"/>
          <w:szCs w:val="20"/>
        </w:rPr>
        <w:t>párrs.</w:t>
      </w:r>
      <w:r w:rsidR="005E5948" w:rsidRPr="0095692E">
        <w:rPr>
          <w:rFonts w:ascii="Verdana" w:hAnsi="Verdana"/>
          <w:sz w:val="20"/>
          <w:szCs w:val="20"/>
        </w:rPr>
        <w:t xml:space="preserve"> 53 y 54</w:t>
      </w:r>
      <w:r w:rsidRPr="0095692E">
        <w:rPr>
          <w:rFonts w:ascii="Verdana" w:hAnsi="Verdana"/>
          <w:sz w:val="20"/>
          <w:szCs w:val="20"/>
        </w:rPr>
        <w:t>).</w:t>
      </w:r>
    </w:p>
    <w:p w14:paraId="53C87358" w14:textId="77777777" w:rsidR="00F90B07" w:rsidRPr="0095692E" w:rsidRDefault="00F90B07" w:rsidP="00A80648">
      <w:pPr>
        <w:pStyle w:val="Prrafodelista"/>
        <w:spacing w:after="0" w:line="240" w:lineRule="auto"/>
        <w:ind w:left="0"/>
        <w:contextualSpacing w:val="0"/>
        <w:jc w:val="both"/>
        <w:rPr>
          <w:rFonts w:ascii="Verdana" w:hAnsi="Verdana"/>
          <w:w w:val="99"/>
          <w:sz w:val="20"/>
          <w:szCs w:val="20"/>
        </w:rPr>
      </w:pPr>
    </w:p>
    <w:p w14:paraId="4AE255BC" w14:textId="2F65FE59" w:rsidR="00E60077" w:rsidRPr="0095692E" w:rsidRDefault="00636071" w:rsidP="00A80648">
      <w:pPr>
        <w:pStyle w:val="Prrafodelista"/>
        <w:numPr>
          <w:ilvl w:val="0"/>
          <w:numId w:val="2"/>
        </w:numPr>
        <w:spacing w:after="0" w:line="240" w:lineRule="auto"/>
        <w:ind w:left="0" w:firstLine="0"/>
        <w:contextualSpacing w:val="0"/>
        <w:jc w:val="both"/>
        <w:rPr>
          <w:rFonts w:ascii="Verdana" w:hAnsi="Verdana"/>
          <w:w w:val="99"/>
          <w:sz w:val="20"/>
          <w:szCs w:val="20"/>
        </w:rPr>
      </w:pPr>
      <w:r w:rsidRPr="0095692E">
        <w:rPr>
          <w:rFonts w:ascii="Verdana" w:hAnsi="Verdana"/>
          <w:sz w:val="20"/>
          <w:szCs w:val="20"/>
        </w:rPr>
        <w:t>El 1 de enero de 1982 la vivienda de</w:t>
      </w:r>
      <w:r w:rsidR="00D9639D" w:rsidRPr="0095692E">
        <w:rPr>
          <w:rFonts w:ascii="Verdana" w:hAnsi="Verdana"/>
          <w:sz w:val="20"/>
          <w:szCs w:val="20"/>
        </w:rPr>
        <w:t xml:space="preserve"> Herminio</w:t>
      </w:r>
      <w:r w:rsidRPr="0095692E">
        <w:rPr>
          <w:rFonts w:ascii="Verdana" w:hAnsi="Verdana"/>
          <w:sz w:val="20"/>
          <w:szCs w:val="20"/>
        </w:rPr>
        <w:t xml:space="preserve"> Deras García fue “ametrallada” por personas desconocidas, con un resultado de 18 impactos de bala. La noche anterior las líneas telefónicas </w:t>
      </w:r>
      <w:r w:rsidR="00740831" w:rsidRPr="0095692E">
        <w:rPr>
          <w:rFonts w:ascii="Verdana" w:hAnsi="Verdana"/>
          <w:sz w:val="20"/>
          <w:szCs w:val="20"/>
        </w:rPr>
        <w:t>habían sido</w:t>
      </w:r>
      <w:r w:rsidRPr="0095692E">
        <w:rPr>
          <w:rFonts w:ascii="Verdana" w:hAnsi="Verdana"/>
          <w:sz w:val="20"/>
          <w:szCs w:val="20"/>
        </w:rPr>
        <w:t xml:space="preserve"> averiadas. </w:t>
      </w:r>
      <w:r w:rsidR="0040527D" w:rsidRPr="0095692E">
        <w:rPr>
          <w:rFonts w:ascii="Verdana" w:hAnsi="Verdana"/>
          <w:sz w:val="20"/>
          <w:szCs w:val="20"/>
        </w:rPr>
        <w:t xml:space="preserve">Desde </w:t>
      </w:r>
      <w:r w:rsidR="00D9639D" w:rsidRPr="0095692E">
        <w:rPr>
          <w:rFonts w:ascii="Verdana" w:hAnsi="Verdana"/>
          <w:sz w:val="20"/>
          <w:szCs w:val="20"/>
        </w:rPr>
        <w:t>e</w:t>
      </w:r>
      <w:r w:rsidRPr="0095692E">
        <w:rPr>
          <w:rFonts w:ascii="Verdana" w:hAnsi="Verdana"/>
          <w:sz w:val="20"/>
          <w:szCs w:val="20"/>
        </w:rPr>
        <w:t xml:space="preserve">l 23 de septiembre de 1982, </w:t>
      </w:r>
      <w:r w:rsidR="00D9639D" w:rsidRPr="0095692E">
        <w:rPr>
          <w:rFonts w:ascii="Verdana" w:hAnsi="Verdana"/>
          <w:sz w:val="20"/>
          <w:szCs w:val="20"/>
        </w:rPr>
        <w:t>su</w:t>
      </w:r>
      <w:r w:rsidRPr="0095692E">
        <w:rPr>
          <w:rFonts w:ascii="Verdana" w:hAnsi="Verdana"/>
          <w:sz w:val="20"/>
          <w:szCs w:val="20"/>
        </w:rPr>
        <w:t xml:space="preserve"> residencia </w:t>
      </w:r>
      <w:r w:rsidR="0040527D" w:rsidRPr="0095692E">
        <w:rPr>
          <w:rFonts w:ascii="Verdana" w:hAnsi="Verdana"/>
          <w:sz w:val="20"/>
          <w:szCs w:val="20"/>
        </w:rPr>
        <w:t>estuvo</w:t>
      </w:r>
      <w:r w:rsidRPr="0095692E">
        <w:rPr>
          <w:rFonts w:ascii="Verdana" w:hAnsi="Verdana"/>
          <w:sz w:val="20"/>
          <w:szCs w:val="20"/>
        </w:rPr>
        <w:t xml:space="preserve"> vigilada por agentes </w:t>
      </w:r>
      <w:r w:rsidR="00D9639D" w:rsidRPr="0095692E">
        <w:rPr>
          <w:rFonts w:ascii="Verdana" w:hAnsi="Verdana"/>
          <w:sz w:val="20"/>
          <w:szCs w:val="20"/>
        </w:rPr>
        <w:t xml:space="preserve">de seguridad del Estado que se </w:t>
      </w:r>
      <w:r w:rsidR="00740831" w:rsidRPr="0095692E">
        <w:rPr>
          <w:rFonts w:ascii="Verdana" w:hAnsi="Verdana"/>
          <w:sz w:val="20"/>
          <w:szCs w:val="20"/>
        </w:rPr>
        <w:t>habían instalado</w:t>
      </w:r>
      <w:r w:rsidR="00D9639D" w:rsidRPr="0095692E">
        <w:rPr>
          <w:rFonts w:ascii="Verdana" w:hAnsi="Verdana"/>
          <w:sz w:val="20"/>
          <w:szCs w:val="20"/>
        </w:rPr>
        <w:t xml:space="preserve"> en una casa desocupada cercana a la suya</w:t>
      </w:r>
      <w:r w:rsidRPr="0095692E">
        <w:rPr>
          <w:rFonts w:ascii="Verdana" w:hAnsi="Verdana"/>
          <w:sz w:val="20"/>
          <w:szCs w:val="20"/>
        </w:rPr>
        <w:t>.</w:t>
      </w:r>
    </w:p>
    <w:p w14:paraId="67FFE3C3" w14:textId="77777777" w:rsidR="00E60077" w:rsidRPr="0095692E" w:rsidRDefault="00E60077" w:rsidP="00A80648">
      <w:pPr>
        <w:pStyle w:val="Prrafodelista"/>
        <w:spacing w:after="0" w:line="240" w:lineRule="auto"/>
        <w:ind w:left="0"/>
        <w:contextualSpacing w:val="0"/>
        <w:jc w:val="both"/>
        <w:rPr>
          <w:rFonts w:ascii="Verdana" w:hAnsi="Verdana"/>
          <w:sz w:val="20"/>
          <w:szCs w:val="20"/>
        </w:rPr>
      </w:pPr>
    </w:p>
    <w:p w14:paraId="00461FF0" w14:textId="1A37DA4D" w:rsidR="00E60077" w:rsidRPr="0095692E" w:rsidRDefault="00636071" w:rsidP="00A80648">
      <w:pPr>
        <w:pStyle w:val="Prrafodelista"/>
        <w:numPr>
          <w:ilvl w:val="0"/>
          <w:numId w:val="2"/>
        </w:numPr>
        <w:spacing w:after="0" w:line="240" w:lineRule="auto"/>
        <w:ind w:left="0" w:firstLine="0"/>
        <w:contextualSpacing w:val="0"/>
        <w:jc w:val="both"/>
        <w:rPr>
          <w:rFonts w:ascii="Verdana" w:hAnsi="Verdana"/>
          <w:w w:val="99"/>
          <w:sz w:val="20"/>
          <w:szCs w:val="20"/>
        </w:rPr>
      </w:pPr>
      <w:r w:rsidRPr="0095692E">
        <w:rPr>
          <w:rFonts w:ascii="Verdana" w:hAnsi="Verdana"/>
          <w:sz w:val="20"/>
          <w:szCs w:val="20"/>
        </w:rPr>
        <w:t>El 26 de enero de 1983 el señor Deras García informó a su padre, Domingo Deras</w:t>
      </w:r>
      <w:r w:rsidRPr="0095692E">
        <w:rPr>
          <w:rStyle w:val="Refdenotaalpie"/>
          <w:rFonts w:ascii="Verdana" w:hAnsi="Verdana"/>
          <w:sz w:val="20"/>
          <w:szCs w:val="20"/>
        </w:rPr>
        <w:footnoteReference w:id="36"/>
      </w:r>
      <w:r w:rsidRPr="0095692E">
        <w:rPr>
          <w:rFonts w:ascii="Verdana" w:hAnsi="Verdana"/>
          <w:sz w:val="20"/>
          <w:szCs w:val="20"/>
        </w:rPr>
        <w:t xml:space="preserve">, que agentes de tránsito lo </w:t>
      </w:r>
      <w:r w:rsidR="0040527D" w:rsidRPr="0095692E">
        <w:rPr>
          <w:rFonts w:ascii="Verdana" w:hAnsi="Verdana"/>
          <w:sz w:val="20"/>
          <w:szCs w:val="20"/>
        </w:rPr>
        <w:t>había</w:t>
      </w:r>
      <w:r w:rsidR="00D6427C" w:rsidRPr="0095692E">
        <w:rPr>
          <w:rFonts w:ascii="Verdana" w:hAnsi="Verdana"/>
          <w:sz w:val="20"/>
          <w:szCs w:val="20"/>
        </w:rPr>
        <w:t>n</w:t>
      </w:r>
      <w:r w:rsidR="0040527D" w:rsidRPr="0095692E">
        <w:rPr>
          <w:rFonts w:ascii="Verdana" w:hAnsi="Verdana"/>
          <w:sz w:val="20"/>
          <w:szCs w:val="20"/>
        </w:rPr>
        <w:t xml:space="preserve"> </w:t>
      </w:r>
      <w:r w:rsidRPr="0095692E">
        <w:rPr>
          <w:rFonts w:ascii="Verdana" w:hAnsi="Verdana"/>
          <w:sz w:val="20"/>
          <w:szCs w:val="20"/>
        </w:rPr>
        <w:t>det</w:t>
      </w:r>
      <w:r w:rsidR="0040527D" w:rsidRPr="0095692E">
        <w:rPr>
          <w:rFonts w:ascii="Verdana" w:hAnsi="Verdana"/>
          <w:sz w:val="20"/>
          <w:szCs w:val="20"/>
        </w:rPr>
        <w:t>enido</w:t>
      </w:r>
      <w:r w:rsidRPr="0095692E">
        <w:rPr>
          <w:rFonts w:ascii="Verdana" w:hAnsi="Verdana"/>
          <w:sz w:val="20"/>
          <w:szCs w:val="20"/>
        </w:rPr>
        <w:t xml:space="preserve"> y anota</w:t>
      </w:r>
      <w:r w:rsidR="0040527D" w:rsidRPr="0095692E">
        <w:rPr>
          <w:rFonts w:ascii="Verdana" w:hAnsi="Verdana"/>
          <w:sz w:val="20"/>
          <w:szCs w:val="20"/>
        </w:rPr>
        <w:t>do</w:t>
      </w:r>
      <w:r w:rsidRPr="0095692E">
        <w:rPr>
          <w:rFonts w:ascii="Verdana" w:hAnsi="Verdana"/>
          <w:sz w:val="20"/>
          <w:szCs w:val="20"/>
        </w:rPr>
        <w:t xml:space="preserve"> el número de placa de su vehículo. Posteriormente, el 28 de enero de 1983, </w:t>
      </w:r>
      <w:r w:rsidR="00BA1A1C" w:rsidRPr="0095692E">
        <w:rPr>
          <w:rFonts w:ascii="Verdana" w:hAnsi="Verdana"/>
          <w:sz w:val="20"/>
          <w:szCs w:val="20"/>
        </w:rPr>
        <w:t xml:space="preserve">mientras se encontraba en la casa de un conocido sindicalista, </w:t>
      </w:r>
      <w:r w:rsidR="0040527D" w:rsidRPr="0095692E">
        <w:rPr>
          <w:rFonts w:ascii="Verdana" w:hAnsi="Verdana"/>
          <w:sz w:val="20"/>
          <w:szCs w:val="20"/>
        </w:rPr>
        <w:t>su</w:t>
      </w:r>
      <w:r w:rsidRPr="0095692E">
        <w:rPr>
          <w:rFonts w:ascii="Verdana" w:hAnsi="Verdana"/>
          <w:sz w:val="20"/>
          <w:szCs w:val="20"/>
        </w:rPr>
        <w:t xml:space="preserve"> vehículo fue revisado por</w:t>
      </w:r>
      <w:r w:rsidR="00862C94" w:rsidRPr="0095692E">
        <w:rPr>
          <w:rFonts w:ascii="Verdana" w:hAnsi="Verdana"/>
          <w:sz w:val="20"/>
          <w:szCs w:val="20"/>
        </w:rPr>
        <w:t>, entre otros,</w:t>
      </w:r>
      <w:r w:rsidRPr="0095692E">
        <w:rPr>
          <w:rFonts w:ascii="Verdana" w:hAnsi="Verdana"/>
          <w:sz w:val="20"/>
          <w:szCs w:val="20"/>
        </w:rPr>
        <w:t xml:space="preserve"> el entonces oficial Marco Tulio Regalado</w:t>
      </w:r>
      <w:r w:rsidR="003B40DC" w:rsidRPr="0095692E">
        <w:rPr>
          <w:rFonts w:ascii="Verdana" w:hAnsi="Verdana"/>
          <w:sz w:val="20"/>
          <w:szCs w:val="20"/>
        </w:rPr>
        <w:t xml:space="preserve"> Hernández</w:t>
      </w:r>
      <w:r w:rsidRPr="0095692E">
        <w:rPr>
          <w:rFonts w:ascii="Verdana" w:hAnsi="Verdana"/>
          <w:sz w:val="20"/>
          <w:szCs w:val="20"/>
        </w:rPr>
        <w:t>.</w:t>
      </w:r>
      <w:r w:rsidRPr="0095692E">
        <w:rPr>
          <w:rFonts w:ascii="Verdana" w:hAnsi="Verdana"/>
          <w:b/>
          <w:i/>
          <w:sz w:val="20"/>
          <w:szCs w:val="20"/>
        </w:rPr>
        <w:t xml:space="preserve"> </w:t>
      </w:r>
    </w:p>
    <w:p w14:paraId="1D43E978" w14:textId="77777777" w:rsidR="00E60077" w:rsidRPr="0095692E" w:rsidRDefault="00E60077" w:rsidP="00A80648">
      <w:pPr>
        <w:pStyle w:val="Prrafodelista"/>
        <w:spacing w:after="0" w:line="240" w:lineRule="auto"/>
        <w:contextualSpacing w:val="0"/>
        <w:rPr>
          <w:rFonts w:ascii="Verdana" w:hAnsi="Verdana"/>
          <w:sz w:val="20"/>
          <w:szCs w:val="20"/>
        </w:rPr>
      </w:pPr>
    </w:p>
    <w:p w14:paraId="55C49161" w14:textId="05162356" w:rsidR="00E42473" w:rsidRPr="0095692E" w:rsidRDefault="00BE1674" w:rsidP="00A80648">
      <w:pPr>
        <w:pStyle w:val="Prrafodelista"/>
        <w:numPr>
          <w:ilvl w:val="0"/>
          <w:numId w:val="2"/>
        </w:numPr>
        <w:spacing w:after="0" w:line="240" w:lineRule="auto"/>
        <w:ind w:left="0" w:firstLine="0"/>
        <w:contextualSpacing w:val="0"/>
        <w:jc w:val="both"/>
        <w:rPr>
          <w:rFonts w:ascii="Verdana" w:hAnsi="Verdana"/>
          <w:w w:val="99"/>
          <w:sz w:val="20"/>
          <w:szCs w:val="20"/>
        </w:rPr>
      </w:pPr>
      <w:r w:rsidRPr="0095692E">
        <w:rPr>
          <w:rFonts w:ascii="Verdana" w:hAnsi="Verdana"/>
          <w:sz w:val="20"/>
          <w:szCs w:val="20"/>
        </w:rPr>
        <w:t>E</w:t>
      </w:r>
      <w:r w:rsidR="00636071" w:rsidRPr="0095692E">
        <w:rPr>
          <w:rFonts w:ascii="Verdana" w:hAnsi="Verdana"/>
          <w:sz w:val="20"/>
          <w:szCs w:val="20"/>
        </w:rPr>
        <w:t>n la madrugada de</w:t>
      </w:r>
      <w:r w:rsidR="0040527D" w:rsidRPr="0095692E">
        <w:rPr>
          <w:rFonts w:ascii="Verdana" w:hAnsi="Verdana"/>
          <w:sz w:val="20"/>
          <w:szCs w:val="20"/>
        </w:rPr>
        <w:t>l</w:t>
      </w:r>
      <w:r w:rsidR="00636071" w:rsidRPr="0095692E">
        <w:rPr>
          <w:rFonts w:ascii="Verdana" w:hAnsi="Verdana"/>
          <w:sz w:val="20"/>
          <w:szCs w:val="20"/>
        </w:rPr>
        <w:t xml:space="preserve"> 29 de enero de 1983, mientras </w:t>
      </w:r>
      <w:r w:rsidR="0040527D" w:rsidRPr="0095692E">
        <w:rPr>
          <w:rFonts w:ascii="Verdana" w:hAnsi="Verdana"/>
          <w:sz w:val="20"/>
          <w:szCs w:val="20"/>
        </w:rPr>
        <w:t>Herminio</w:t>
      </w:r>
      <w:r w:rsidR="00636071" w:rsidRPr="0095692E">
        <w:rPr>
          <w:rFonts w:ascii="Verdana" w:hAnsi="Verdana"/>
          <w:sz w:val="20"/>
          <w:szCs w:val="20"/>
        </w:rPr>
        <w:t xml:space="preserve"> Deras García se encontraba conduciendo su vehículo por el barrio Las Flores </w:t>
      </w:r>
      <w:r w:rsidR="00862C94" w:rsidRPr="0095692E">
        <w:rPr>
          <w:rFonts w:ascii="Verdana" w:hAnsi="Verdana"/>
          <w:sz w:val="20"/>
          <w:szCs w:val="20"/>
        </w:rPr>
        <w:t>en</w:t>
      </w:r>
      <w:r w:rsidR="00636071" w:rsidRPr="0095692E">
        <w:rPr>
          <w:rFonts w:ascii="Verdana" w:hAnsi="Verdana"/>
          <w:sz w:val="20"/>
          <w:szCs w:val="20"/>
        </w:rPr>
        <w:t xml:space="preserve"> San Pedro Sula, fue interceptado y requisado por </w:t>
      </w:r>
      <w:r w:rsidR="008B73B9" w:rsidRPr="0095692E">
        <w:rPr>
          <w:rFonts w:ascii="Verdana" w:hAnsi="Verdana"/>
          <w:sz w:val="20"/>
          <w:szCs w:val="20"/>
        </w:rPr>
        <w:t>un</w:t>
      </w:r>
      <w:r w:rsidR="00636071" w:rsidRPr="0095692E">
        <w:rPr>
          <w:rFonts w:ascii="Verdana" w:hAnsi="Verdana"/>
          <w:sz w:val="20"/>
          <w:szCs w:val="20"/>
        </w:rPr>
        <w:t xml:space="preserve"> oficial de tránsito, quien había sido instruido por el capitán</w:t>
      </w:r>
      <w:r w:rsidR="008B73B9" w:rsidRPr="0095692E">
        <w:rPr>
          <w:rFonts w:ascii="Verdana" w:hAnsi="Verdana"/>
          <w:sz w:val="20"/>
          <w:szCs w:val="20"/>
        </w:rPr>
        <w:t xml:space="preserve"> R</w:t>
      </w:r>
      <w:r w:rsidR="00EE03C7" w:rsidRPr="0095692E">
        <w:rPr>
          <w:rFonts w:ascii="Verdana" w:hAnsi="Verdana"/>
          <w:sz w:val="20"/>
          <w:szCs w:val="20"/>
        </w:rPr>
        <w:t>.</w:t>
      </w:r>
      <w:r w:rsidR="008B73B9" w:rsidRPr="0095692E">
        <w:rPr>
          <w:rFonts w:ascii="Verdana" w:hAnsi="Verdana"/>
          <w:sz w:val="20"/>
          <w:szCs w:val="20"/>
        </w:rPr>
        <w:t>C</w:t>
      </w:r>
      <w:r w:rsidR="00EE03C7" w:rsidRPr="0095692E">
        <w:rPr>
          <w:rFonts w:ascii="Verdana" w:hAnsi="Verdana"/>
          <w:sz w:val="20"/>
          <w:szCs w:val="20"/>
        </w:rPr>
        <w:t>.</w:t>
      </w:r>
      <w:r w:rsidR="008B73B9" w:rsidRPr="0095692E">
        <w:rPr>
          <w:rFonts w:ascii="Verdana" w:hAnsi="Verdana"/>
          <w:sz w:val="20"/>
          <w:szCs w:val="20"/>
        </w:rPr>
        <w:t>N</w:t>
      </w:r>
      <w:r w:rsidR="00EE03C7" w:rsidRPr="0095692E">
        <w:rPr>
          <w:rFonts w:ascii="Verdana" w:hAnsi="Verdana"/>
          <w:sz w:val="20"/>
          <w:szCs w:val="20"/>
        </w:rPr>
        <w:t>.</w:t>
      </w:r>
      <w:r w:rsidR="00636071" w:rsidRPr="0095692E">
        <w:rPr>
          <w:rFonts w:ascii="Verdana" w:hAnsi="Verdana"/>
          <w:sz w:val="20"/>
          <w:szCs w:val="20"/>
        </w:rPr>
        <w:t xml:space="preserve">, a cargo del Batallón 3-16, </w:t>
      </w:r>
      <w:r w:rsidR="008B73B9" w:rsidRPr="0095692E">
        <w:rPr>
          <w:rFonts w:ascii="Verdana" w:hAnsi="Verdana"/>
          <w:sz w:val="20"/>
          <w:szCs w:val="20"/>
        </w:rPr>
        <w:t>p</w:t>
      </w:r>
      <w:r w:rsidR="00636071" w:rsidRPr="0095692E">
        <w:rPr>
          <w:rFonts w:ascii="Verdana" w:hAnsi="Verdana"/>
          <w:sz w:val="20"/>
          <w:szCs w:val="20"/>
        </w:rPr>
        <w:t>a</w:t>
      </w:r>
      <w:r w:rsidR="008B73B9" w:rsidRPr="0095692E">
        <w:rPr>
          <w:rFonts w:ascii="Verdana" w:hAnsi="Verdana"/>
          <w:sz w:val="20"/>
          <w:szCs w:val="20"/>
        </w:rPr>
        <w:t>ra</w:t>
      </w:r>
      <w:r w:rsidR="00636071" w:rsidRPr="0095692E">
        <w:rPr>
          <w:rFonts w:ascii="Verdana" w:hAnsi="Verdana"/>
          <w:sz w:val="20"/>
          <w:szCs w:val="20"/>
        </w:rPr>
        <w:t xml:space="preserve"> realizar un operativo de registro de documentos a fin de “</w:t>
      </w:r>
      <w:r w:rsidR="00862C94" w:rsidRPr="0095692E">
        <w:rPr>
          <w:rFonts w:ascii="Verdana" w:hAnsi="Verdana"/>
          <w:sz w:val="20"/>
          <w:szCs w:val="20"/>
        </w:rPr>
        <w:t>’</w:t>
      </w:r>
      <w:r w:rsidR="00636071" w:rsidRPr="0095692E">
        <w:rPr>
          <w:rFonts w:ascii="Verdana" w:hAnsi="Verdana"/>
          <w:sz w:val="20"/>
          <w:szCs w:val="20"/>
        </w:rPr>
        <w:t>detener y poner bajo disposición de la Fuerza de Seguridad a un terrorista</w:t>
      </w:r>
      <w:r w:rsidR="00862C94" w:rsidRPr="0095692E">
        <w:rPr>
          <w:rFonts w:ascii="Verdana" w:hAnsi="Verdana"/>
          <w:sz w:val="20"/>
          <w:szCs w:val="20"/>
        </w:rPr>
        <w:t>’</w:t>
      </w:r>
      <w:r w:rsidR="00636071" w:rsidRPr="0095692E">
        <w:rPr>
          <w:rFonts w:ascii="Verdana" w:hAnsi="Verdana"/>
          <w:sz w:val="20"/>
          <w:szCs w:val="20"/>
        </w:rPr>
        <w:t xml:space="preserve">”. </w:t>
      </w:r>
      <w:r w:rsidR="00DE7B3A" w:rsidRPr="0095692E">
        <w:rPr>
          <w:rFonts w:ascii="Verdana" w:hAnsi="Verdana"/>
          <w:sz w:val="20"/>
          <w:szCs w:val="20"/>
        </w:rPr>
        <w:t>M</w:t>
      </w:r>
      <w:r w:rsidR="00636071" w:rsidRPr="0095692E">
        <w:rPr>
          <w:rFonts w:ascii="Verdana" w:hAnsi="Verdana"/>
          <w:sz w:val="20"/>
          <w:szCs w:val="20"/>
        </w:rPr>
        <w:t xml:space="preserve">ientras se requisaba el vehículo del señor Deras García, dos miembros del Batallón 3-16, incluido el </w:t>
      </w:r>
      <w:r w:rsidR="004924CE" w:rsidRPr="0095692E">
        <w:rPr>
          <w:rFonts w:ascii="Verdana" w:hAnsi="Verdana"/>
          <w:sz w:val="20"/>
          <w:szCs w:val="20"/>
        </w:rPr>
        <w:t xml:space="preserve">entonces </w:t>
      </w:r>
      <w:r w:rsidR="00636071" w:rsidRPr="0095692E">
        <w:rPr>
          <w:rFonts w:ascii="Verdana" w:hAnsi="Verdana"/>
          <w:sz w:val="20"/>
          <w:szCs w:val="20"/>
        </w:rPr>
        <w:t>oficial Marco Tulio Rega</w:t>
      </w:r>
      <w:r w:rsidR="001823B5" w:rsidRPr="0095692E">
        <w:rPr>
          <w:rFonts w:ascii="Verdana" w:hAnsi="Verdana"/>
          <w:sz w:val="20"/>
          <w:szCs w:val="20"/>
        </w:rPr>
        <w:t>la</w:t>
      </w:r>
      <w:r w:rsidR="00636071" w:rsidRPr="0095692E">
        <w:rPr>
          <w:rFonts w:ascii="Verdana" w:hAnsi="Verdana"/>
          <w:sz w:val="20"/>
          <w:szCs w:val="20"/>
        </w:rPr>
        <w:t>do</w:t>
      </w:r>
      <w:r w:rsidR="003B40DC" w:rsidRPr="0095692E">
        <w:rPr>
          <w:rFonts w:ascii="Verdana" w:hAnsi="Verdana"/>
          <w:sz w:val="20"/>
          <w:szCs w:val="20"/>
        </w:rPr>
        <w:t xml:space="preserve"> Hernández</w:t>
      </w:r>
      <w:r w:rsidR="00636071" w:rsidRPr="0095692E">
        <w:rPr>
          <w:rFonts w:ascii="Verdana" w:hAnsi="Verdana"/>
          <w:sz w:val="20"/>
          <w:szCs w:val="20"/>
        </w:rPr>
        <w:t>, ingresaron a</w:t>
      </w:r>
      <w:r w:rsidR="0040527D" w:rsidRPr="0095692E">
        <w:rPr>
          <w:rFonts w:ascii="Verdana" w:hAnsi="Verdana"/>
          <w:sz w:val="20"/>
          <w:szCs w:val="20"/>
        </w:rPr>
        <w:t xml:space="preserve"> su</w:t>
      </w:r>
      <w:r w:rsidR="00636071" w:rsidRPr="0095692E">
        <w:rPr>
          <w:rFonts w:ascii="Verdana" w:hAnsi="Verdana"/>
          <w:sz w:val="20"/>
          <w:szCs w:val="20"/>
        </w:rPr>
        <w:t xml:space="preserve"> </w:t>
      </w:r>
      <w:r w:rsidR="00EB2D4D" w:rsidRPr="0095692E">
        <w:rPr>
          <w:rFonts w:ascii="Verdana" w:hAnsi="Verdana"/>
          <w:sz w:val="20"/>
          <w:szCs w:val="20"/>
        </w:rPr>
        <w:t>automóvil</w:t>
      </w:r>
      <w:r w:rsidR="00636071" w:rsidRPr="0095692E">
        <w:rPr>
          <w:rFonts w:ascii="Verdana" w:hAnsi="Verdana"/>
          <w:sz w:val="20"/>
          <w:szCs w:val="20"/>
        </w:rPr>
        <w:t xml:space="preserve">. </w:t>
      </w:r>
    </w:p>
    <w:p w14:paraId="710A1A57" w14:textId="77777777" w:rsidR="00E42473" w:rsidRPr="0095692E" w:rsidRDefault="00E42473" w:rsidP="00A80648">
      <w:pPr>
        <w:pStyle w:val="Prrafodelista"/>
        <w:spacing w:after="0" w:line="240" w:lineRule="auto"/>
        <w:contextualSpacing w:val="0"/>
        <w:rPr>
          <w:rFonts w:ascii="Verdana" w:hAnsi="Verdana"/>
          <w:sz w:val="20"/>
          <w:szCs w:val="20"/>
        </w:rPr>
      </w:pPr>
    </w:p>
    <w:p w14:paraId="23BAE8C4" w14:textId="77ABD0F5" w:rsidR="00E60077" w:rsidRPr="0095692E" w:rsidRDefault="00636071" w:rsidP="00A80648">
      <w:pPr>
        <w:pStyle w:val="Prrafodelista"/>
        <w:numPr>
          <w:ilvl w:val="0"/>
          <w:numId w:val="2"/>
        </w:numPr>
        <w:spacing w:after="0" w:line="240" w:lineRule="auto"/>
        <w:ind w:left="0" w:firstLine="0"/>
        <w:contextualSpacing w:val="0"/>
        <w:jc w:val="both"/>
        <w:rPr>
          <w:rFonts w:ascii="Verdana" w:hAnsi="Verdana"/>
          <w:w w:val="99"/>
          <w:sz w:val="20"/>
          <w:szCs w:val="20"/>
        </w:rPr>
      </w:pPr>
      <w:r w:rsidRPr="0095692E">
        <w:rPr>
          <w:rFonts w:ascii="Verdana" w:hAnsi="Verdana"/>
          <w:sz w:val="20"/>
          <w:szCs w:val="20"/>
        </w:rPr>
        <w:t xml:space="preserve">Posteriormente, el </w:t>
      </w:r>
      <w:r w:rsidR="008B73B9" w:rsidRPr="0095692E">
        <w:rPr>
          <w:rFonts w:ascii="Verdana" w:hAnsi="Verdana"/>
          <w:sz w:val="20"/>
          <w:szCs w:val="20"/>
        </w:rPr>
        <w:t xml:space="preserve">mismo </w:t>
      </w:r>
      <w:r w:rsidRPr="0095692E">
        <w:rPr>
          <w:rFonts w:ascii="Verdana" w:hAnsi="Verdana"/>
          <w:sz w:val="20"/>
          <w:szCs w:val="20"/>
        </w:rPr>
        <w:t xml:space="preserve">oficial </w:t>
      </w:r>
      <w:r w:rsidR="008B73B9" w:rsidRPr="0095692E">
        <w:rPr>
          <w:rFonts w:ascii="Verdana" w:hAnsi="Verdana"/>
          <w:sz w:val="20"/>
          <w:szCs w:val="20"/>
        </w:rPr>
        <w:t xml:space="preserve">de tránsito </w:t>
      </w:r>
      <w:r w:rsidRPr="0095692E">
        <w:rPr>
          <w:rFonts w:ascii="Verdana" w:hAnsi="Verdana"/>
          <w:sz w:val="20"/>
          <w:szCs w:val="20"/>
        </w:rPr>
        <w:t xml:space="preserve">habría visto al señor Deras García conducir su vehículo junto a los dos miembros del Batallón 3-16, y, momentos después, mientras se encontraba comprando un café en un mercado cercano, el </w:t>
      </w:r>
      <w:r w:rsidR="008B73B9" w:rsidRPr="0095692E">
        <w:rPr>
          <w:rFonts w:ascii="Verdana" w:hAnsi="Verdana"/>
          <w:sz w:val="20"/>
          <w:szCs w:val="20"/>
        </w:rPr>
        <w:t>oficial de tránsito</w:t>
      </w:r>
      <w:r w:rsidRPr="0095692E">
        <w:rPr>
          <w:rFonts w:ascii="Verdana" w:hAnsi="Verdana"/>
          <w:sz w:val="20"/>
          <w:szCs w:val="20"/>
        </w:rPr>
        <w:t xml:space="preserve"> oyó un disparo de bala. Al llegar al lugar de los hechos, encontró a</w:t>
      </w:r>
      <w:r w:rsidR="00E92BD4" w:rsidRPr="0095692E">
        <w:rPr>
          <w:rFonts w:ascii="Verdana" w:hAnsi="Verdana"/>
          <w:sz w:val="20"/>
          <w:szCs w:val="20"/>
        </w:rPr>
        <w:t xml:space="preserve"> Herminio</w:t>
      </w:r>
      <w:r w:rsidRPr="0095692E">
        <w:rPr>
          <w:rFonts w:ascii="Verdana" w:hAnsi="Verdana"/>
          <w:sz w:val="20"/>
          <w:szCs w:val="20"/>
        </w:rPr>
        <w:t xml:space="preserve"> Deras García sin vida dentro del vehículo. </w:t>
      </w:r>
      <w:r w:rsidR="00D56589" w:rsidRPr="0095692E">
        <w:rPr>
          <w:rFonts w:ascii="Verdana" w:hAnsi="Verdana"/>
          <w:sz w:val="20"/>
          <w:szCs w:val="20"/>
        </w:rPr>
        <w:t>S</w:t>
      </w:r>
      <w:r w:rsidRPr="0095692E">
        <w:rPr>
          <w:rFonts w:ascii="Verdana" w:hAnsi="Verdana"/>
          <w:sz w:val="20"/>
          <w:szCs w:val="20"/>
        </w:rPr>
        <w:t>egún testigos oculares, uno de los individuos le dijo al señor Deras García: “</w:t>
      </w:r>
      <w:r w:rsidR="002B2C7B" w:rsidRPr="0095692E">
        <w:rPr>
          <w:rFonts w:ascii="Verdana" w:hAnsi="Verdana"/>
          <w:sz w:val="20"/>
          <w:szCs w:val="20"/>
        </w:rPr>
        <w:t>`</w:t>
      </w:r>
      <w:r w:rsidRPr="0095692E">
        <w:rPr>
          <w:rFonts w:ascii="Verdana" w:hAnsi="Verdana"/>
          <w:sz w:val="20"/>
          <w:szCs w:val="20"/>
        </w:rPr>
        <w:t>vos sos el maleante que andamos buscando</w:t>
      </w:r>
      <w:r w:rsidR="00D335E2" w:rsidRPr="0095692E">
        <w:rPr>
          <w:rFonts w:ascii="Verdana" w:hAnsi="Verdana"/>
          <w:sz w:val="20"/>
          <w:szCs w:val="20"/>
        </w:rPr>
        <w:t>’</w:t>
      </w:r>
      <w:r w:rsidRPr="0095692E">
        <w:rPr>
          <w:rFonts w:ascii="Verdana" w:hAnsi="Verdana"/>
          <w:sz w:val="20"/>
          <w:szCs w:val="20"/>
        </w:rPr>
        <w:t xml:space="preserve">”, momento en el cual </w:t>
      </w:r>
      <w:r w:rsidR="008B73B9" w:rsidRPr="0095692E">
        <w:rPr>
          <w:rFonts w:ascii="Verdana" w:hAnsi="Verdana"/>
          <w:sz w:val="20"/>
          <w:szCs w:val="20"/>
        </w:rPr>
        <w:t xml:space="preserve">se </w:t>
      </w:r>
      <w:r w:rsidRPr="0095692E">
        <w:rPr>
          <w:rFonts w:ascii="Verdana" w:hAnsi="Verdana"/>
          <w:sz w:val="20"/>
          <w:szCs w:val="20"/>
        </w:rPr>
        <w:t xml:space="preserve">habría iniciado una lucha cuerpo a cuerpo </w:t>
      </w:r>
      <w:r w:rsidR="008B73B9" w:rsidRPr="0095692E">
        <w:rPr>
          <w:rFonts w:ascii="Verdana" w:hAnsi="Verdana"/>
          <w:sz w:val="20"/>
          <w:szCs w:val="20"/>
        </w:rPr>
        <w:t>entre</w:t>
      </w:r>
      <w:r w:rsidRPr="0095692E">
        <w:rPr>
          <w:rFonts w:ascii="Verdana" w:hAnsi="Verdana"/>
          <w:sz w:val="20"/>
          <w:szCs w:val="20"/>
        </w:rPr>
        <w:t xml:space="preserve"> el señor Deras García </w:t>
      </w:r>
      <w:r w:rsidR="008B73B9" w:rsidRPr="0095692E">
        <w:rPr>
          <w:rFonts w:ascii="Verdana" w:hAnsi="Verdana"/>
          <w:sz w:val="20"/>
          <w:szCs w:val="20"/>
        </w:rPr>
        <w:t xml:space="preserve">y </w:t>
      </w:r>
      <w:r w:rsidRPr="0095692E">
        <w:rPr>
          <w:rFonts w:ascii="Verdana" w:hAnsi="Verdana"/>
          <w:sz w:val="20"/>
          <w:szCs w:val="20"/>
        </w:rPr>
        <w:t xml:space="preserve">sus captores, quienes querían introducirlo a otro vehículo, y al no lograrlo, le </w:t>
      </w:r>
      <w:r w:rsidR="00D335E2" w:rsidRPr="0095692E">
        <w:rPr>
          <w:rFonts w:ascii="Verdana" w:hAnsi="Verdana"/>
          <w:sz w:val="20"/>
          <w:szCs w:val="20"/>
        </w:rPr>
        <w:t xml:space="preserve">habrían </w:t>
      </w:r>
      <w:r w:rsidRPr="0095692E">
        <w:rPr>
          <w:rFonts w:ascii="Verdana" w:hAnsi="Verdana"/>
          <w:sz w:val="20"/>
          <w:szCs w:val="20"/>
        </w:rPr>
        <w:t>dispara</w:t>
      </w:r>
      <w:r w:rsidR="00D335E2" w:rsidRPr="0095692E">
        <w:rPr>
          <w:rFonts w:ascii="Verdana" w:hAnsi="Verdana"/>
          <w:sz w:val="20"/>
          <w:szCs w:val="20"/>
        </w:rPr>
        <w:t>do</w:t>
      </w:r>
      <w:r w:rsidRPr="0095692E">
        <w:rPr>
          <w:rFonts w:ascii="Verdana" w:hAnsi="Verdana"/>
          <w:sz w:val="20"/>
          <w:szCs w:val="20"/>
        </w:rPr>
        <w:t xml:space="preserve"> en múltiples ocasiones causándole la muerte.</w:t>
      </w:r>
    </w:p>
    <w:p w14:paraId="5B5FF42A" w14:textId="77777777" w:rsidR="00E60077" w:rsidRPr="0095692E" w:rsidRDefault="00E60077" w:rsidP="00A80648">
      <w:pPr>
        <w:pStyle w:val="Prrafodelista"/>
        <w:spacing w:after="0" w:line="240" w:lineRule="auto"/>
        <w:ind w:left="0"/>
        <w:contextualSpacing w:val="0"/>
        <w:jc w:val="both"/>
        <w:rPr>
          <w:rFonts w:ascii="Verdana" w:hAnsi="Verdana"/>
          <w:w w:val="99"/>
          <w:sz w:val="20"/>
          <w:szCs w:val="20"/>
        </w:rPr>
      </w:pPr>
    </w:p>
    <w:p w14:paraId="3BF1AC89" w14:textId="0FC2C779" w:rsidR="00EF4EBE" w:rsidRPr="0095692E" w:rsidRDefault="005568B5" w:rsidP="00A80648">
      <w:pPr>
        <w:pStyle w:val="Prrafodelista"/>
        <w:numPr>
          <w:ilvl w:val="0"/>
          <w:numId w:val="2"/>
        </w:numPr>
        <w:spacing w:after="0" w:line="240" w:lineRule="auto"/>
        <w:ind w:left="0" w:firstLine="0"/>
        <w:contextualSpacing w:val="0"/>
        <w:jc w:val="both"/>
        <w:rPr>
          <w:rFonts w:ascii="Verdana" w:hAnsi="Verdana"/>
          <w:w w:val="99"/>
          <w:sz w:val="20"/>
          <w:szCs w:val="20"/>
        </w:rPr>
      </w:pPr>
      <w:r w:rsidRPr="0095692E">
        <w:rPr>
          <w:rFonts w:ascii="Verdana" w:hAnsi="Verdana"/>
          <w:sz w:val="20"/>
          <w:szCs w:val="20"/>
        </w:rPr>
        <w:t>E</w:t>
      </w:r>
      <w:r w:rsidR="00636071" w:rsidRPr="0095692E">
        <w:rPr>
          <w:rFonts w:ascii="Verdana" w:hAnsi="Verdana"/>
          <w:sz w:val="20"/>
          <w:szCs w:val="20"/>
        </w:rPr>
        <w:t>l comandante de la Tercera Estación Policial del barrio Las Flores</w:t>
      </w:r>
      <w:r w:rsidR="00162925" w:rsidRPr="0095692E">
        <w:rPr>
          <w:rFonts w:ascii="Verdana" w:hAnsi="Verdana"/>
          <w:sz w:val="20"/>
          <w:szCs w:val="20"/>
        </w:rPr>
        <w:t xml:space="preserve"> compareció a las inmediaciones del suceso</w:t>
      </w:r>
      <w:r w:rsidR="00D10C66" w:rsidRPr="0095692E">
        <w:rPr>
          <w:rFonts w:ascii="Verdana" w:hAnsi="Verdana"/>
          <w:sz w:val="20"/>
          <w:szCs w:val="20"/>
        </w:rPr>
        <w:t xml:space="preserve">. Se trasladó </w:t>
      </w:r>
      <w:r w:rsidR="00636071" w:rsidRPr="0095692E">
        <w:rPr>
          <w:rFonts w:ascii="Verdana" w:hAnsi="Verdana"/>
          <w:sz w:val="20"/>
          <w:szCs w:val="20"/>
        </w:rPr>
        <w:t>el cuerpo de</w:t>
      </w:r>
      <w:r w:rsidR="006066CC" w:rsidRPr="0095692E">
        <w:rPr>
          <w:rFonts w:ascii="Verdana" w:hAnsi="Verdana"/>
          <w:sz w:val="20"/>
          <w:szCs w:val="20"/>
        </w:rPr>
        <w:t xml:space="preserve"> Herminio</w:t>
      </w:r>
      <w:r w:rsidR="00636071" w:rsidRPr="0095692E">
        <w:rPr>
          <w:rFonts w:ascii="Verdana" w:hAnsi="Verdana"/>
          <w:sz w:val="20"/>
          <w:szCs w:val="20"/>
        </w:rPr>
        <w:t xml:space="preserve"> Deras García a la morgue del Hospital Leonardo Martínez</w:t>
      </w:r>
      <w:r w:rsidR="005C4D5C" w:rsidRPr="0095692E">
        <w:rPr>
          <w:rFonts w:ascii="Verdana" w:hAnsi="Verdana"/>
          <w:sz w:val="20"/>
          <w:szCs w:val="20"/>
        </w:rPr>
        <w:t xml:space="preserve">, pero sin ingresarlo. Con </w:t>
      </w:r>
      <w:r w:rsidR="00636071" w:rsidRPr="0095692E">
        <w:rPr>
          <w:rFonts w:ascii="Verdana" w:hAnsi="Verdana"/>
          <w:sz w:val="20"/>
          <w:szCs w:val="20"/>
        </w:rPr>
        <w:t>posterior</w:t>
      </w:r>
      <w:r w:rsidR="005C4D5C" w:rsidRPr="0095692E">
        <w:rPr>
          <w:rFonts w:ascii="Verdana" w:hAnsi="Verdana"/>
          <w:sz w:val="20"/>
          <w:szCs w:val="20"/>
        </w:rPr>
        <w:t>idad</w:t>
      </w:r>
      <w:r w:rsidR="00636071" w:rsidRPr="0095692E">
        <w:rPr>
          <w:rFonts w:ascii="Verdana" w:hAnsi="Verdana"/>
          <w:sz w:val="20"/>
          <w:szCs w:val="20"/>
        </w:rPr>
        <w:t xml:space="preserve"> al reconocimiento del cuerpo por parte del médico forense, </w:t>
      </w:r>
      <w:r w:rsidR="00D10C66" w:rsidRPr="0095692E">
        <w:rPr>
          <w:rFonts w:ascii="Verdana" w:hAnsi="Verdana"/>
          <w:sz w:val="20"/>
          <w:szCs w:val="20"/>
        </w:rPr>
        <w:t>el mencionado</w:t>
      </w:r>
      <w:r w:rsidR="00C9045E" w:rsidRPr="0095692E">
        <w:rPr>
          <w:rFonts w:ascii="Verdana" w:hAnsi="Verdana"/>
          <w:sz w:val="20"/>
          <w:szCs w:val="20"/>
        </w:rPr>
        <w:t xml:space="preserve"> comandante </w:t>
      </w:r>
      <w:r w:rsidR="00636071" w:rsidRPr="0095692E">
        <w:rPr>
          <w:rFonts w:ascii="Verdana" w:hAnsi="Verdana"/>
          <w:sz w:val="20"/>
          <w:szCs w:val="20"/>
        </w:rPr>
        <w:t>indicó a los medios de prensa que frente a su estación habría pasado el vehículo de los “criminales”</w:t>
      </w:r>
      <w:r w:rsidR="00554423" w:rsidRPr="0095692E">
        <w:rPr>
          <w:rFonts w:ascii="Verdana" w:hAnsi="Verdana"/>
          <w:sz w:val="20"/>
          <w:szCs w:val="20"/>
        </w:rPr>
        <w:t>.</w:t>
      </w:r>
      <w:r w:rsidR="00636071" w:rsidRPr="0095692E">
        <w:rPr>
          <w:rFonts w:ascii="Verdana" w:hAnsi="Verdana"/>
          <w:b/>
          <w:sz w:val="20"/>
          <w:szCs w:val="20"/>
        </w:rPr>
        <w:t xml:space="preserve"> </w:t>
      </w:r>
      <w:r w:rsidR="00636071" w:rsidRPr="0095692E">
        <w:rPr>
          <w:rFonts w:ascii="Verdana" w:hAnsi="Verdana"/>
          <w:sz w:val="20"/>
          <w:szCs w:val="20"/>
        </w:rPr>
        <w:t>Por su parte</w:t>
      </w:r>
      <w:r w:rsidR="00636071" w:rsidRPr="0095692E">
        <w:rPr>
          <w:rFonts w:ascii="Verdana" w:hAnsi="Verdana"/>
          <w:bCs/>
          <w:sz w:val="20"/>
          <w:szCs w:val="20"/>
        </w:rPr>
        <w:t xml:space="preserve">, </w:t>
      </w:r>
      <w:r w:rsidR="00636071" w:rsidRPr="0095692E">
        <w:rPr>
          <w:rFonts w:ascii="Verdana" w:hAnsi="Verdana"/>
          <w:sz w:val="20"/>
          <w:szCs w:val="20"/>
        </w:rPr>
        <w:t>Otilia Flores</w:t>
      </w:r>
      <w:r w:rsidR="00D10C66" w:rsidRPr="0095692E">
        <w:rPr>
          <w:rFonts w:ascii="Verdana" w:hAnsi="Verdana"/>
          <w:sz w:val="20"/>
          <w:szCs w:val="20"/>
        </w:rPr>
        <w:t xml:space="preserve"> Ortiz</w:t>
      </w:r>
      <w:r w:rsidR="00636071" w:rsidRPr="0095692E">
        <w:rPr>
          <w:rFonts w:ascii="Verdana" w:hAnsi="Verdana"/>
          <w:sz w:val="20"/>
          <w:szCs w:val="20"/>
        </w:rPr>
        <w:t xml:space="preserve"> llegó a la morgue a reclamar el cuerpo de </w:t>
      </w:r>
      <w:r w:rsidR="00636071" w:rsidRPr="0095692E">
        <w:rPr>
          <w:rFonts w:ascii="Verdana" w:hAnsi="Verdana"/>
          <w:sz w:val="20"/>
          <w:szCs w:val="20"/>
        </w:rPr>
        <w:lastRenderedPageBreak/>
        <w:t>su esposo</w:t>
      </w:r>
      <w:r w:rsidR="00982ACE" w:rsidRPr="0095692E">
        <w:rPr>
          <w:rStyle w:val="Refdenotaalpie"/>
          <w:rFonts w:ascii="Verdana" w:hAnsi="Verdana"/>
          <w:sz w:val="20"/>
          <w:szCs w:val="20"/>
        </w:rPr>
        <w:footnoteReference w:id="37"/>
      </w:r>
      <w:r w:rsidR="00636071" w:rsidRPr="0095692E">
        <w:rPr>
          <w:rFonts w:ascii="Verdana" w:hAnsi="Verdana"/>
          <w:sz w:val="20"/>
          <w:szCs w:val="20"/>
        </w:rPr>
        <w:t>, donde se habría percatado que no le realizaron autopsia, por lo que, con posterioridad, solicitó los servicios del doctor Turcios. Además, cuando</w:t>
      </w:r>
      <w:r w:rsidR="008B1217" w:rsidRPr="0095692E">
        <w:rPr>
          <w:rFonts w:ascii="Verdana" w:hAnsi="Verdana"/>
          <w:sz w:val="20"/>
          <w:szCs w:val="20"/>
        </w:rPr>
        <w:t xml:space="preserve"> la señora </w:t>
      </w:r>
      <w:r w:rsidR="00636071" w:rsidRPr="0095692E">
        <w:rPr>
          <w:rFonts w:ascii="Verdana" w:hAnsi="Verdana"/>
          <w:sz w:val="20"/>
          <w:szCs w:val="20"/>
        </w:rPr>
        <w:t>Flores</w:t>
      </w:r>
      <w:r w:rsidR="008B1217" w:rsidRPr="0095692E">
        <w:rPr>
          <w:rFonts w:ascii="Verdana" w:hAnsi="Verdana"/>
          <w:sz w:val="20"/>
          <w:szCs w:val="20"/>
        </w:rPr>
        <w:t xml:space="preserve"> Ortiz</w:t>
      </w:r>
      <w:r w:rsidR="00636071" w:rsidRPr="0095692E">
        <w:rPr>
          <w:rFonts w:ascii="Verdana" w:hAnsi="Verdana"/>
          <w:sz w:val="20"/>
          <w:szCs w:val="20"/>
        </w:rPr>
        <w:t xml:space="preserve"> llegó a la morgue a reclamar el cuerpo</w:t>
      </w:r>
      <w:r w:rsidR="005B7792" w:rsidRPr="0095692E">
        <w:rPr>
          <w:rFonts w:ascii="Verdana" w:hAnsi="Verdana"/>
          <w:sz w:val="20"/>
          <w:szCs w:val="20"/>
        </w:rPr>
        <w:t>,</w:t>
      </w:r>
      <w:r w:rsidR="00636071" w:rsidRPr="0095692E">
        <w:rPr>
          <w:rFonts w:ascii="Verdana" w:hAnsi="Verdana"/>
          <w:sz w:val="20"/>
          <w:szCs w:val="20"/>
        </w:rPr>
        <w:t xml:space="preserve"> los militares</w:t>
      </w:r>
      <w:r w:rsidR="004055A0" w:rsidRPr="0095692E">
        <w:rPr>
          <w:rStyle w:val="Refdenotaalpie"/>
          <w:rFonts w:ascii="Verdana" w:hAnsi="Verdana"/>
          <w:sz w:val="20"/>
          <w:szCs w:val="20"/>
        </w:rPr>
        <w:footnoteReference w:id="38"/>
      </w:r>
      <w:r w:rsidR="00636071" w:rsidRPr="0095692E">
        <w:rPr>
          <w:rFonts w:ascii="Verdana" w:hAnsi="Verdana"/>
          <w:sz w:val="20"/>
          <w:szCs w:val="20"/>
        </w:rPr>
        <w:t xml:space="preserve"> le dijeron que se llevara a “ese maldito”</w:t>
      </w:r>
      <w:r w:rsidR="00DC7187" w:rsidRPr="0095692E">
        <w:rPr>
          <w:rStyle w:val="Refdenotaalpie"/>
          <w:rFonts w:ascii="Verdana" w:hAnsi="Verdana"/>
          <w:sz w:val="20"/>
          <w:szCs w:val="20"/>
        </w:rPr>
        <w:footnoteReference w:id="39"/>
      </w:r>
      <w:r w:rsidR="00636071" w:rsidRPr="0095692E">
        <w:rPr>
          <w:rFonts w:ascii="Verdana" w:hAnsi="Verdana"/>
          <w:sz w:val="20"/>
          <w:szCs w:val="20"/>
        </w:rPr>
        <w:t>.</w:t>
      </w:r>
      <w:r w:rsidR="004055A0" w:rsidRPr="0095692E">
        <w:rPr>
          <w:rFonts w:ascii="Verdana" w:hAnsi="Verdana"/>
          <w:sz w:val="20"/>
          <w:szCs w:val="20"/>
        </w:rPr>
        <w:t xml:space="preserve"> </w:t>
      </w:r>
    </w:p>
    <w:p w14:paraId="289E6D4A" w14:textId="77777777" w:rsidR="002D6445" w:rsidRPr="0095692E" w:rsidRDefault="002D6445" w:rsidP="00A80648">
      <w:pPr>
        <w:pStyle w:val="Textoindependiente"/>
        <w:kinsoku w:val="0"/>
        <w:overflowPunct w:val="0"/>
        <w:ind w:right="1143"/>
        <w:jc w:val="both"/>
        <w:rPr>
          <w:lang w:val="es-CR"/>
        </w:rPr>
      </w:pPr>
    </w:p>
    <w:p w14:paraId="60D370EB" w14:textId="4F2DCDE7" w:rsidR="002D6445" w:rsidRPr="0095692E" w:rsidRDefault="00F263CB" w:rsidP="00A80648">
      <w:pPr>
        <w:pStyle w:val="Ttulo2"/>
        <w:numPr>
          <w:ilvl w:val="0"/>
          <w:numId w:val="7"/>
        </w:numPr>
        <w:ind w:left="1428"/>
        <w:rPr>
          <w:lang w:val="es-CR"/>
        </w:rPr>
      </w:pPr>
      <w:bookmarkStart w:id="42" w:name="_Toc115262484"/>
      <w:r w:rsidRPr="0095692E">
        <w:rPr>
          <w:lang w:val="es-CR"/>
        </w:rPr>
        <w:t>Los hechos relacionados con la familia de Herminio Deras García</w:t>
      </w:r>
      <w:bookmarkEnd w:id="42"/>
      <w:r w:rsidRPr="0095692E">
        <w:rPr>
          <w:lang w:val="es-CR"/>
        </w:rPr>
        <w:t xml:space="preserve">  </w:t>
      </w:r>
    </w:p>
    <w:p w14:paraId="2A9FDAB0" w14:textId="77777777" w:rsidR="002D6445" w:rsidRPr="0095692E" w:rsidRDefault="002D6445" w:rsidP="00A80648">
      <w:pPr>
        <w:pStyle w:val="Textoindependiente"/>
        <w:kinsoku w:val="0"/>
        <w:overflowPunct w:val="0"/>
        <w:jc w:val="both"/>
        <w:rPr>
          <w:b/>
          <w:bCs/>
          <w:lang w:val="es-CR"/>
        </w:rPr>
      </w:pPr>
    </w:p>
    <w:p w14:paraId="255D7364" w14:textId="164DFCDB" w:rsidR="005707B0" w:rsidRPr="0095692E" w:rsidRDefault="00EF199F"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n la época de l</w:t>
      </w:r>
      <w:r w:rsidR="00406723" w:rsidRPr="0095692E">
        <w:rPr>
          <w:rFonts w:ascii="Verdana" w:hAnsi="Verdana"/>
          <w:sz w:val="20"/>
          <w:szCs w:val="20"/>
        </w:rPr>
        <w:t>a muerte del señor Deras García</w:t>
      </w:r>
      <w:r w:rsidR="00AB10D8" w:rsidRPr="0095692E">
        <w:rPr>
          <w:rFonts w:ascii="Verdana" w:hAnsi="Verdana"/>
          <w:sz w:val="20"/>
          <w:szCs w:val="20"/>
        </w:rPr>
        <w:t xml:space="preserve">, </w:t>
      </w:r>
      <w:r w:rsidR="00406723" w:rsidRPr="0095692E">
        <w:rPr>
          <w:rFonts w:ascii="Verdana" w:hAnsi="Verdana"/>
          <w:sz w:val="20"/>
          <w:szCs w:val="20"/>
        </w:rPr>
        <w:t>su</w:t>
      </w:r>
      <w:r w:rsidR="00AB10D8" w:rsidRPr="0095692E">
        <w:rPr>
          <w:rFonts w:ascii="Verdana" w:hAnsi="Verdana"/>
          <w:sz w:val="20"/>
          <w:szCs w:val="20"/>
        </w:rPr>
        <w:t xml:space="preserve"> familia estaba integrada por: i) su esposa</w:t>
      </w:r>
      <w:r w:rsidR="00406723" w:rsidRPr="0095692E">
        <w:rPr>
          <w:rFonts w:ascii="Verdana" w:hAnsi="Verdana"/>
          <w:sz w:val="20"/>
          <w:szCs w:val="20"/>
        </w:rPr>
        <w:t>,</w:t>
      </w:r>
      <w:r w:rsidR="00AB10D8" w:rsidRPr="0095692E">
        <w:rPr>
          <w:rFonts w:ascii="Verdana" w:hAnsi="Verdana"/>
          <w:sz w:val="20"/>
          <w:szCs w:val="20"/>
        </w:rPr>
        <w:t xml:space="preserve"> Otilia Flores Ortiz</w:t>
      </w:r>
      <w:r w:rsidR="00BB3E76" w:rsidRPr="0095692E">
        <w:rPr>
          <w:rStyle w:val="Refdenotaalpie"/>
          <w:rFonts w:ascii="Verdana" w:hAnsi="Verdana"/>
          <w:sz w:val="20"/>
          <w:szCs w:val="20"/>
        </w:rPr>
        <w:footnoteReference w:id="40"/>
      </w:r>
      <w:r w:rsidR="00AB10D8" w:rsidRPr="0095692E">
        <w:rPr>
          <w:rFonts w:ascii="Verdana" w:hAnsi="Verdana"/>
          <w:sz w:val="20"/>
          <w:szCs w:val="20"/>
        </w:rPr>
        <w:t>; ii) sus hijos</w:t>
      </w:r>
      <w:r w:rsidR="00406723" w:rsidRPr="0095692E">
        <w:rPr>
          <w:rFonts w:ascii="Verdana" w:hAnsi="Verdana"/>
          <w:sz w:val="20"/>
          <w:szCs w:val="20"/>
        </w:rPr>
        <w:t>,</w:t>
      </w:r>
      <w:r w:rsidR="00AB10D8" w:rsidRPr="0095692E">
        <w:rPr>
          <w:rFonts w:ascii="Verdana" w:hAnsi="Verdana"/>
          <w:sz w:val="20"/>
          <w:szCs w:val="20"/>
        </w:rPr>
        <w:t xml:space="preserve"> Herminio y Lorena Deras Flores; iii) sus padres Eustaquia García </w:t>
      </w:r>
      <w:r w:rsidR="00BB3E76" w:rsidRPr="0095692E">
        <w:rPr>
          <w:rFonts w:ascii="Verdana" w:hAnsi="Verdana"/>
          <w:sz w:val="20"/>
          <w:szCs w:val="20"/>
        </w:rPr>
        <w:t>Alvarado</w:t>
      </w:r>
      <w:r w:rsidR="00BB3E76" w:rsidRPr="0095692E">
        <w:rPr>
          <w:rStyle w:val="Refdenotaalpie"/>
          <w:rFonts w:ascii="Verdana" w:hAnsi="Verdana"/>
          <w:sz w:val="20"/>
          <w:szCs w:val="20"/>
        </w:rPr>
        <w:footnoteReference w:id="41"/>
      </w:r>
      <w:r w:rsidR="00BB3E76" w:rsidRPr="0095692E">
        <w:rPr>
          <w:rFonts w:ascii="Verdana" w:hAnsi="Verdana"/>
          <w:sz w:val="20"/>
          <w:szCs w:val="20"/>
        </w:rPr>
        <w:t xml:space="preserve"> </w:t>
      </w:r>
      <w:r w:rsidR="00AB10D8" w:rsidRPr="0095692E">
        <w:rPr>
          <w:rFonts w:ascii="Verdana" w:hAnsi="Verdana"/>
          <w:sz w:val="20"/>
          <w:szCs w:val="20"/>
        </w:rPr>
        <w:t>y Domingo Deras</w:t>
      </w:r>
      <w:r w:rsidR="00BB3E76" w:rsidRPr="0095692E">
        <w:rPr>
          <w:rFonts w:ascii="Verdana" w:hAnsi="Verdana"/>
          <w:sz w:val="20"/>
          <w:szCs w:val="20"/>
        </w:rPr>
        <w:t xml:space="preserve"> Henríquez</w:t>
      </w:r>
      <w:r w:rsidR="00BB3E76" w:rsidRPr="0095692E">
        <w:rPr>
          <w:rStyle w:val="Refdenotaalpie"/>
          <w:rFonts w:ascii="Verdana" w:hAnsi="Verdana"/>
          <w:sz w:val="20"/>
          <w:szCs w:val="20"/>
        </w:rPr>
        <w:footnoteReference w:id="42"/>
      </w:r>
      <w:r w:rsidR="00AB10D8" w:rsidRPr="0095692E">
        <w:rPr>
          <w:rFonts w:ascii="Verdana" w:hAnsi="Verdana"/>
          <w:sz w:val="20"/>
          <w:szCs w:val="20"/>
        </w:rPr>
        <w:t>; iv) sus herman</w:t>
      </w:r>
      <w:r w:rsidR="005E23F6" w:rsidRPr="0095692E">
        <w:rPr>
          <w:rFonts w:ascii="Verdana" w:hAnsi="Verdana"/>
          <w:sz w:val="20"/>
          <w:szCs w:val="20"/>
        </w:rPr>
        <w:t>a</w:t>
      </w:r>
      <w:r w:rsidR="00AB10D8" w:rsidRPr="0095692E">
        <w:rPr>
          <w:rFonts w:ascii="Verdana" w:hAnsi="Verdana"/>
          <w:sz w:val="20"/>
          <w:szCs w:val="20"/>
        </w:rPr>
        <w:t>s/</w:t>
      </w:r>
      <w:r w:rsidR="005E23F6" w:rsidRPr="0095692E">
        <w:rPr>
          <w:rFonts w:ascii="Verdana" w:hAnsi="Verdana"/>
          <w:sz w:val="20"/>
          <w:szCs w:val="20"/>
        </w:rPr>
        <w:t>os</w:t>
      </w:r>
      <w:r w:rsidR="00AB10D8" w:rsidRPr="0095692E">
        <w:rPr>
          <w:rFonts w:ascii="Verdana" w:hAnsi="Verdana"/>
          <w:sz w:val="20"/>
          <w:szCs w:val="20"/>
        </w:rPr>
        <w:t xml:space="preserve"> Alba Luz</w:t>
      </w:r>
      <w:r w:rsidR="005707B0" w:rsidRPr="0095692E">
        <w:rPr>
          <w:rFonts w:ascii="Verdana" w:hAnsi="Verdana"/>
          <w:sz w:val="20"/>
          <w:szCs w:val="20"/>
        </w:rPr>
        <w:t xml:space="preserve"> Deras García</w:t>
      </w:r>
      <w:r w:rsidR="00AB10D8" w:rsidRPr="0095692E">
        <w:rPr>
          <w:rFonts w:ascii="Verdana" w:hAnsi="Verdana"/>
          <w:sz w:val="20"/>
          <w:szCs w:val="20"/>
        </w:rPr>
        <w:t>, Irma Isabel</w:t>
      </w:r>
      <w:r w:rsidR="005707B0" w:rsidRPr="0095692E">
        <w:rPr>
          <w:rFonts w:ascii="Verdana" w:hAnsi="Verdana"/>
          <w:sz w:val="20"/>
          <w:szCs w:val="20"/>
        </w:rPr>
        <w:t xml:space="preserve"> Deras García</w:t>
      </w:r>
      <w:r w:rsidR="00AB10D8" w:rsidRPr="0095692E">
        <w:rPr>
          <w:rFonts w:ascii="Verdana" w:hAnsi="Verdana"/>
          <w:sz w:val="20"/>
          <w:szCs w:val="20"/>
        </w:rPr>
        <w:t>, Consuelo</w:t>
      </w:r>
      <w:r w:rsidR="005707B0" w:rsidRPr="0095692E">
        <w:rPr>
          <w:rFonts w:ascii="Verdana" w:hAnsi="Verdana"/>
          <w:sz w:val="20"/>
          <w:szCs w:val="20"/>
        </w:rPr>
        <w:t xml:space="preserve"> Deras García</w:t>
      </w:r>
      <w:r w:rsidR="00AB10D8" w:rsidRPr="0095692E">
        <w:rPr>
          <w:rFonts w:ascii="Verdana" w:hAnsi="Verdana"/>
          <w:sz w:val="20"/>
          <w:szCs w:val="20"/>
        </w:rPr>
        <w:t>, Héctor</w:t>
      </w:r>
      <w:r w:rsidR="005707B0" w:rsidRPr="0095692E">
        <w:rPr>
          <w:rFonts w:ascii="Verdana" w:hAnsi="Verdana"/>
          <w:sz w:val="20"/>
          <w:szCs w:val="20"/>
        </w:rPr>
        <w:t xml:space="preserve"> García</w:t>
      </w:r>
      <w:r w:rsidR="00F35137" w:rsidRPr="0095692E">
        <w:rPr>
          <w:rStyle w:val="Refdenotaalpie"/>
          <w:rFonts w:ascii="Verdana" w:hAnsi="Verdana"/>
          <w:sz w:val="20"/>
          <w:szCs w:val="20"/>
        </w:rPr>
        <w:footnoteReference w:id="43"/>
      </w:r>
      <w:r w:rsidR="00AB10D8" w:rsidRPr="0095692E">
        <w:rPr>
          <w:rFonts w:ascii="Verdana" w:hAnsi="Verdana"/>
          <w:sz w:val="20"/>
          <w:szCs w:val="20"/>
        </w:rPr>
        <w:t xml:space="preserve"> y Luis Rolando Deras García, y v) sus sobrinos/as, prima y cuñados/a José Herminio </w:t>
      </w:r>
      <w:r w:rsidR="00AD5D0E" w:rsidRPr="0095692E">
        <w:rPr>
          <w:rFonts w:ascii="Verdana" w:hAnsi="Verdana"/>
          <w:sz w:val="20"/>
          <w:szCs w:val="20"/>
        </w:rPr>
        <w:t>García</w:t>
      </w:r>
      <w:r w:rsidR="000448FF" w:rsidRPr="0095692E">
        <w:rPr>
          <w:rStyle w:val="Refdenotaalpie"/>
          <w:rFonts w:ascii="Verdana" w:hAnsi="Verdana"/>
          <w:sz w:val="20"/>
          <w:szCs w:val="20"/>
        </w:rPr>
        <w:footnoteReference w:id="44"/>
      </w:r>
      <w:r w:rsidR="00AB10D8" w:rsidRPr="0095692E">
        <w:rPr>
          <w:rFonts w:ascii="Verdana" w:hAnsi="Verdana"/>
          <w:sz w:val="20"/>
          <w:szCs w:val="20"/>
        </w:rPr>
        <w:t xml:space="preserve">, Sandra Ivón Hernández Deras, </w:t>
      </w:r>
      <w:r w:rsidR="005707B0" w:rsidRPr="0095692E">
        <w:rPr>
          <w:rFonts w:ascii="Verdana" w:hAnsi="Verdana"/>
          <w:sz w:val="20"/>
          <w:szCs w:val="20"/>
        </w:rPr>
        <w:t>Marlon Javier García Barahona</w:t>
      </w:r>
      <w:r w:rsidR="00AB10D8" w:rsidRPr="0095692E">
        <w:rPr>
          <w:rFonts w:ascii="Verdana" w:hAnsi="Verdana"/>
          <w:sz w:val="20"/>
          <w:szCs w:val="20"/>
        </w:rPr>
        <w:t>,</w:t>
      </w:r>
      <w:r w:rsidR="000448FF" w:rsidRPr="0095692E">
        <w:rPr>
          <w:rFonts w:ascii="Times New Roman" w:eastAsia="Times New Roman" w:hAnsi="Times New Roman" w:cs="Times New Roman"/>
          <w:sz w:val="24"/>
          <w:szCs w:val="20"/>
          <w:lang w:eastAsia="es-MX"/>
        </w:rPr>
        <w:t xml:space="preserve"> </w:t>
      </w:r>
      <w:r w:rsidR="000448FF" w:rsidRPr="0095692E">
        <w:rPr>
          <w:rFonts w:ascii="Verdana" w:hAnsi="Verdana"/>
          <w:sz w:val="20"/>
          <w:szCs w:val="20"/>
        </w:rPr>
        <w:t>Marlen García Pineda</w:t>
      </w:r>
      <w:r w:rsidR="000448FF" w:rsidRPr="0095692E">
        <w:rPr>
          <w:rFonts w:ascii="Verdana" w:hAnsi="Verdana"/>
          <w:sz w:val="20"/>
          <w:szCs w:val="20"/>
          <w:vertAlign w:val="superscript"/>
        </w:rPr>
        <w:footnoteReference w:id="45"/>
      </w:r>
      <w:r w:rsidR="000448FF" w:rsidRPr="0095692E">
        <w:rPr>
          <w:rFonts w:ascii="Verdana" w:hAnsi="Verdana"/>
          <w:sz w:val="20"/>
          <w:szCs w:val="20"/>
        </w:rPr>
        <w:t>,</w:t>
      </w:r>
      <w:r w:rsidR="00AB10D8" w:rsidRPr="0095692E">
        <w:rPr>
          <w:rFonts w:ascii="Verdana" w:hAnsi="Verdana"/>
          <w:sz w:val="20"/>
          <w:szCs w:val="20"/>
        </w:rPr>
        <w:t xml:space="preserve"> Julio Cesar Chavarría Banegas</w:t>
      </w:r>
      <w:r w:rsidR="000448FF" w:rsidRPr="0095692E">
        <w:rPr>
          <w:rStyle w:val="Refdenotaalpie"/>
          <w:rFonts w:ascii="Verdana" w:hAnsi="Verdana"/>
          <w:sz w:val="20"/>
          <w:szCs w:val="20"/>
        </w:rPr>
        <w:footnoteReference w:id="46"/>
      </w:r>
      <w:r w:rsidR="00AB10D8" w:rsidRPr="0095692E">
        <w:rPr>
          <w:rFonts w:ascii="Verdana" w:hAnsi="Verdana"/>
          <w:sz w:val="20"/>
          <w:szCs w:val="20"/>
        </w:rPr>
        <w:t>, Elba Flores Ortiz y Cristóbal Hernández Pérez.</w:t>
      </w:r>
    </w:p>
    <w:p w14:paraId="34FE4608" w14:textId="77777777" w:rsidR="005707B0" w:rsidRPr="0095692E" w:rsidRDefault="005707B0" w:rsidP="00A80648">
      <w:pPr>
        <w:pStyle w:val="Prrafodelista"/>
        <w:spacing w:after="0" w:line="240" w:lineRule="auto"/>
        <w:ind w:left="0"/>
        <w:contextualSpacing w:val="0"/>
        <w:jc w:val="both"/>
        <w:rPr>
          <w:rFonts w:ascii="Verdana" w:hAnsi="Verdana"/>
          <w:sz w:val="20"/>
          <w:szCs w:val="20"/>
        </w:rPr>
      </w:pPr>
    </w:p>
    <w:p w14:paraId="27BD52F2" w14:textId="6BBE89BF"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w:t>
      </w:r>
      <w:r w:rsidR="00671E15" w:rsidRPr="0095692E">
        <w:rPr>
          <w:rFonts w:ascii="Verdana" w:hAnsi="Verdana"/>
          <w:sz w:val="20"/>
          <w:szCs w:val="20"/>
        </w:rPr>
        <w:t>el año</w:t>
      </w:r>
      <w:r w:rsidR="001C4745" w:rsidRPr="0095692E">
        <w:rPr>
          <w:rFonts w:ascii="Verdana" w:hAnsi="Verdana"/>
          <w:sz w:val="20"/>
          <w:szCs w:val="20"/>
        </w:rPr>
        <w:t xml:space="preserve"> </w:t>
      </w:r>
      <w:r w:rsidRPr="0095692E">
        <w:rPr>
          <w:rFonts w:ascii="Verdana" w:hAnsi="Verdana"/>
          <w:sz w:val="20"/>
          <w:szCs w:val="20"/>
        </w:rPr>
        <w:t>1975</w:t>
      </w:r>
      <w:r w:rsidR="00EF199F" w:rsidRPr="0095692E">
        <w:rPr>
          <w:rFonts w:ascii="Verdana" w:hAnsi="Verdana"/>
          <w:sz w:val="20"/>
          <w:szCs w:val="20"/>
        </w:rPr>
        <w:t xml:space="preserve"> </w:t>
      </w:r>
      <w:r w:rsidRPr="0095692E">
        <w:rPr>
          <w:rFonts w:ascii="Verdana" w:hAnsi="Verdana"/>
          <w:sz w:val="20"/>
          <w:szCs w:val="20"/>
        </w:rPr>
        <w:t>Alba Deras García había viajado a realizar estudios a Rumania. Cuando finalizó dichos estudios, no pudo regresar a Honduras debido a la situación política imperante en el país y por la persecución de la cual era objeto su familia, por lo que radicó en Cuba hasta 1993, año en el que regresó a Honduras</w:t>
      </w:r>
      <w:r w:rsidR="00914142" w:rsidRPr="0095692E">
        <w:rPr>
          <w:rStyle w:val="Refdenotaalpie"/>
          <w:rFonts w:ascii="Verdana" w:hAnsi="Verdana"/>
          <w:sz w:val="20"/>
          <w:szCs w:val="20"/>
        </w:rPr>
        <w:footnoteReference w:id="47"/>
      </w:r>
      <w:r w:rsidRPr="0095692E">
        <w:rPr>
          <w:rFonts w:ascii="Verdana" w:hAnsi="Verdana"/>
          <w:sz w:val="20"/>
          <w:szCs w:val="20"/>
        </w:rPr>
        <w:t xml:space="preserve">. </w:t>
      </w:r>
      <w:r w:rsidR="00D32D74" w:rsidRPr="0095692E">
        <w:rPr>
          <w:rFonts w:ascii="Verdana" w:hAnsi="Verdana"/>
          <w:sz w:val="20"/>
          <w:szCs w:val="20"/>
        </w:rPr>
        <w:t>C</w:t>
      </w:r>
      <w:r w:rsidRPr="0095692E">
        <w:rPr>
          <w:rFonts w:ascii="Verdana" w:hAnsi="Verdana"/>
          <w:sz w:val="20"/>
          <w:szCs w:val="20"/>
        </w:rPr>
        <w:t>on motivo de la intolerancia política que aún persistía en Hondura</w:t>
      </w:r>
      <w:r w:rsidR="006F0963" w:rsidRPr="0095692E">
        <w:rPr>
          <w:rFonts w:ascii="Verdana" w:hAnsi="Verdana"/>
          <w:sz w:val="20"/>
          <w:szCs w:val="20"/>
        </w:rPr>
        <w:t>s</w:t>
      </w:r>
      <w:r w:rsidRPr="0095692E">
        <w:rPr>
          <w:rFonts w:ascii="Verdana" w:hAnsi="Verdana"/>
          <w:sz w:val="20"/>
          <w:szCs w:val="20"/>
        </w:rPr>
        <w:t xml:space="preserve">, tuvo que salir </w:t>
      </w:r>
      <w:r w:rsidR="006758F3" w:rsidRPr="0095692E">
        <w:rPr>
          <w:rFonts w:ascii="Verdana" w:hAnsi="Verdana"/>
          <w:sz w:val="20"/>
          <w:szCs w:val="20"/>
        </w:rPr>
        <w:t xml:space="preserve">nuevamente </w:t>
      </w:r>
      <w:r w:rsidRPr="0095692E">
        <w:rPr>
          <w:rFonts w:ascii="Verdana" w:hAnsi="Verdana"/>
          <w:sz w:val="20"/>
          <w:szCs w:val="20"/>
        </w:rPr>
        <w:t xml:space="preserve">del país. </w:t>
      </w:r>
      <w:r w:rsidR="00122022" w:rsidRPr="0095692E">
        <w:rPr>
          <w:rFonts w:ascii="Verdana" w:hAnsi="Verdana"/>
          <w:bCs/>
          <w:sz w:val="20"/>
          <w:szCs w:val="20"/>
        </w:rPr>
        <w:t>E</w:t>
      </w:r>
      <w:r w:rsidRPr="0095692E">
        <w:rPr>
          <w:rFonts w:ascii="Verdana" w:hAnsi="Verdana"/>
          <w:sz w:val="20"/>
          <w:szCs w:val="20"/>
        </w:rPr>
        <w:t>n el año 2000 Alba Deras García tomó la decisión de regresar</w:t>
      </w:r>
      <w:r w:rsidR="006758F3" w:rsidRPr="0095692E">
        <w:rPr>
          <w:rFonts w:ascii="Verdana" w:hAnsi="Verdana"/>
          <w:sz w:val="20"/>
          <w:szCs w:val="20"/>
        </w:rPr>
        <w:t xml:space="preserve"> a Honduras</w:t>
      </w:r>
      <w:r w:rsidRPr="0095692E">
        <w:rPr>
          <w:rFonts w:ascii="Verdana" w:hAnsi="Verdana"/>
          <w:sz w:val="20"/>
          <w:szCs w:val="20"/>
        </w:rPr>
        <w:t>, instalándose en zonas donde su perfil e</w:t>
      </w:r>
      <w:r w:rsidR="00D32D74" w:rsidRPr="0095692E">
        <w:rPr>
          <w:rFonts w:ascii="Verdana" w:hAnsi="Verdana"/>
          <w:sz w:val="20"/>
          <w:szCs w:val="20"/>
        </w:rPr>
        <w:t xml:space="preserve">ra </w:t>
      </w:r>
      <w:r w:rsidRPr="0095692E">
        <w:rPr>
          <w:rFonts w:ascii="Verdana" w:hAnsi="Verdana"/>
          <w:sz w:val="20"/>
          <w:szCs w:val="20"/>
        </w:rPr>
        <w:t xml:space="preserve">bajo, en Tegucigalpa y La Esperanza. En el año 2008, trasladó su residencia a El Progreso, y trabajó con el Equipo de Reflexión de la Iglesia Católica (en adelante “ERIC”). En el </w:t>
      </w:r>
      <w:r w:rsidR="00671E15" w:rsidRPr="0095692E">
        <w:rPr>
          <w:rFonts w:ascii="Verdana" w:hAnsi="Verdana"/>
          <w:sz w:val="20"/>
          <w:szCs w:val="20"/>
        </w:rPr>
        <w:t xml:space="preserve">año </w:t>
      </w:r>
      <w:r w:rsidRPr="0095692E">
        <w:rPr>
          <w:rFonts w:ascii="Verdana" w:hAnsi="Verdana"/>
          <w:sz w:val="20"/>
          <w:szCs w:val="20"/>
        </w:rPr>
        <w:t>2009, en el marco de la violencia política fue fotografiada y amenazada cuando acompañó el proceso de resistencia junto al ERIC</w:t>
      </w:r>
      <w:r w:rsidR="007C2092" w:rsidRPr="0095692E">
        <w:rPr>
          <w:rStyle w:val="Refdenotaalpie"/>
          <w:rFonts w:ascii="Verdana" w:hAnsi="Verdana"/>
          <w:sz w:val="20"/>
          <w:szCs w:val="20"/>
        </w:rPr>
        <w:footnoteReference w:id="48"/>
      </w:r>
      <w:r w:rsidRPr="0095692E">
        <w:rPr>
          <w:rFonts w:ascii="Verdana" w:hAnsi="Verdana"/>
          <w:sz w:val="20"/>
          <w:szCs w:val="20"/>
        </w:rPr>
        <w:t>.</w:t>
      </w:r>
    </w:p>
    <w:p w14:paraId="700EF42E" w14:textId="77777777" w:rsidR="00666BA7" w:rsidRPr="0095692E" w:rsidRDefault="00666BA7" w:rsidP="00BC6863">
      <w:pPr>
        <w:pStyle w:val="Prrafodelista"/>
        <w:rPr>
          <w:rFonts w:ascii="Verdana" w:hAnsi="Verdana"/>
          <w:sz w:val="20"/>
          <w:szCs w:val="20"/>
        </w:rPr>
      </w:pPr>
    </w:p>
    <w:p w14:paraId="1E194ABE" w14:textId="1AFE2970" w:rsidR="00666BA7" w:rsidRPr="0095692E" w:rsidRDefault="00BB0B6D"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666BA7" w:rsidRPr="0095692E">
        <w:rPr>
          <w:rFonts w:ascii="Verdana" w:hAnsi="Verdana"/>
          <w:sz w:val="20"/>
          <w:szCs w:val="20"/>
        </w:rPr>
        <w:t xml:space="preserve">n </w:t>
      </w:r>
      <w:r w:rsidR="00671E15" w:rsidRPr="0095692E">
        <w:rPr>
          <w:rFonts w:ascii="Verdana" w:hAnsi="Verdana"/>
          <w:sz w:val="20"/>
          <w:szCs w:val="20"/>
        </w:rPr>
        <w:t xml:space="preserve">el año </w:t>
      </w:r>
      <w:r w:rsidR="00666BA7" w:rsidRPr="0095692E">
        <w:rPr>
          <w:rFonts w:ascii="Verdana" w:hAnsi="Verdana"/>
          <w:sz w:val="20"/>
          <w:szCs w:val="20"/>
        </w:rPr>
        <w:t>1977 agentes militares allanaron la casa de Eustaquia García</w:t>
      </w:r>
      <w:r w:rsidR="00325A58" w:rsidRPr="0095692E">
        <w:rPr>
          <w:rFonts w:ascii="Verdana" w:hAnsi="Verdana"/>
          <w:sz w:val="20"/>
          <w:szCs w:val="20"/>
        </w:rPr>
        <w:t xml:space="preserve"> Alvarado</w:t>
      </w:r>
      <w:r w:rsidR="00666BA7" w:rsidRPr="0095692E">
        <w:rPr>
          <w:rFonts w:ascii="Verdana" w:hAnsi="Verdana"/>
          <w:sz w:val="20"/>
          <w:szCs w:val="20"/>
        </w:rPr>
        <w:t xml:space="preserve"> y Domingo Deras </w:t>
      </w:r>
      <w:r w:rsidR="00325A58" w:rsidRPr="0095692E">
        <w:rPr>
          <w:rFonts w:ascii="Verdana" w:hAnsi="Verdana"/>
          <w:sz w:val="20"/>
          <w:szCs w:val="20"/>
        </w:rPr>
        <w:t>Henríquez</w:t>
      </w:r>
      <w:r w:rsidR="00666BA7" w:rsidRPr="0095692E">
        <w:rPr>
          <w:rFonts w:ascii="Verdana" w:hAnsi="Verdana"/>
          <w:sz w:val="20"/>
          <w:szCs w:val="20"/>
        </w:rPr>
        <w:t xml:space="preserve"> en búsqueda de </w:t>
      </w:r>
      <w:r w:rsidR="0096075B" w:rsidRPr="0095692E">
        <w:rPr>
          <w:rFonts w:ascii="Verdana" w:hAnsi="Verdana"/>
          <w:sz w:val="20"/>
          <w:szCs w:val="20"/>
        </w:rPr>
        <w:t xml:space="preserve">su hijo </w:t>
      </w:r>
      <w:r w:rsidR="00666BA7" w:rsidRPr="0095692E">
        <w:rPr>
          <w:rFonts w:ascii="Verdana" w:hAnsi="Verdana"/>
          <w:sz w:val="20"/>
          <w:szCs w:val="20"/>
        </w:rPr>
        <w:t>Herminio Deras García y de un mimeógrafo que supuestamente le pertenecía a su hermano mayor</w:t>
      </w:r>
      <w:r w:rsidR="0096075B" w:rsidRPr="0095692E">
        <w:rPr>
          <w:rFonts w:ascii="Verdana" w:hAnsi="Verdana"/>
          <w:sz w:val="20"/>
          <w:szCs w:val="20"/>
        </w:rPr>
        <w:t>,</w:t>
      </w:r>
      <w:r w:rsidR="00666BA7" w:rsidRPr="0095692E">
        <w:rPr>
          <w:rFonts w:ascii="Verdana" w:hAnsi="Verdana"/>
          <w:sz w:val="20"/>
          <w:szCs w:val="20"/>
        </w:rPr>
        <w:t xml:space="preserve"> Héctor García</w:t>
      </w:r>
      <w:r w:rsidR="00EA0ADE" w:rsidRPr="0095692E">
        <w:rPr>
          <w:rStyle w:val="Refdenotaalpie"/>
          <w:rFonts w:ascii="Verdana" w:hAnsi="Verdana"/>
          <w:sz w:val="20"/>
          <w:szCs w:val="20"/>
        </w:rPr>
        <w:footnoteReference w:id="49"/>
      </w:r>
      <w:r w:rsidR="00EA0ADE" w:rsidRPr="0095692E">
        <w:rPr>
          <w:rFonts w:ascii="Verdana" w:hAnsi="Verdana"/>
          <w:sz w:val="20"/>
          <w:szCs w:val="20"/>
        </w:rPr>
        <w:t>.</w:t>
      </w:r>
      <w:r w:rsidR="00666BA7" w:rsidRPr="0095692E">
        <w:rPr>
          <w:rFonts w:ascii="Verdana" w:hAnsi="Verdana"/>
          <w:sz w:val="20"/>
          <w:szCs w:val="20"/>
        </w:rPr>
        <w:t xml:space="preserve"> </w:t>
      </w:r>
      <w:r w:rsidR="00F64263" w:rsidRPr="0095692E">
        <w:rPr>
          <w:rFonts w:ascii="Verdana" w:hAnsi="Verdana"/>
          <w:sz w:val="20"/>
          <w:szCs w:val="20"/>
        </w:rPr>
        <w:t>Al no encontrar el mimeógrafo, los agentes militares decomisaron libros y revistas que evidencia</w:t>
      </w:r>
      <w:r w:rsidR="005732CE" w:rsidRPr="0095692E">
        <w:rPr>
          <w:rFonts w:ascii="Verdana" w:hAnsi="Verdana"/>
          <w:sz w:val="20"/>
          <w:szCs w:val="20"/>
        </w:rPr>
        <w:t>rían</w:t>
      </w:r>
      <w:r w:rsidR="00F64263" w:rsidRPr="0095692E">
        <w:rPr>
          <w:rFonts w:ascii="Verdana" w:hAnsi="Verdana"/>
          <w:sz w:val="20"/>
          <w:szCs w:val="20"/>
        </w:rPr>
        <w:t xml:space="preserve"> la militancia política de Herminio Deras Garcia y</w:t>
      </w:r>
      <w:r w:rsidR="005732CE" w:rsidRPr="0095692E">
        <w:rPr>
          <w:rFonts w:ascii="Verdana" w:hAnsi="Verdana"/>
          <w:sz w:val="20"/>
          <w:szCs w:val="20"/>
        </w:rPr>
        <w:t xml:space="preserve"> Héctor Garcia.</w:t>
      </w:r>
      <w:r w:rsidR="00F64263" w:rsidRPr="0095692E">
        <w:rPr>
          <w:rFonts w:ascii="Verdana" w:hAnsi="Verdana"/>
          <w:sz w:val="20"/>
          <w:szCs w:val="20"/>
        </w:rPr>
        <w:t xml:space="preserve"> </w:t>
      </w:r>
      <w:r w:rsidR="005732CE" w:rsidRPr="0095692E">
        <w:rPr>
          <w:rFonts w:ascii="Verdana" w:hAnsi="Verdana"/>
          <w:sz w:val="20"/>
          <w:szCs w:val="20"/>
        </w:rPr>
        <w:t xml:space="preserve">Durante el allanamiento, </w:t>
      </w:r>
      <w:r w:rsidR="00666BA7" w:rsidRPr="0095692E">
        <w:rPr>
          <w:rFonts w:ascii="Verdana" w:hAnsi="Verdana"/>
          <w:sz w:val="20"/>
          <w:szCs w:val="20"/>
        </w:rPr>
        <w:t>Eustaquia García</w:t>
      </w:r>
      <w:r w:rsidR="00325A58" w:rsidRPr="0095692E">
        <w:rPr>
          <w:rFonts w:ascii="Verdana" w:hAnsi="Verdana"/>
          <w:sz w:val="20"/>
          <w:szCs w:val="20"/>
        </w:rPr>
        <w:t xml:space="preserve"> Alvarado</w:t>
      </w:r>
      <w:r w:rsidR="00666BA7" w:rsidRPr="0095692E">
        <w:rPr>
          <w:rFonts w:ascii="Verdana" w:hAnsi="Verdana"/>
          <w:sz w:val="20"/>
          <w:szCs w:val="20"/>
        </w:rPr>
        <w:t xml:space="preserve"> fue llevada al patio de su casa donde la golpearon en la cabeza con las cachas de sus pistolas</w:t>
      </w:r>
      <w:r w:rsidR="0096075B" w:rsidRPr="0095692E">
        <w:rPr>
          <w:rFonts w:ascii="Verdana" w:hAnsi="Verdana"/>
          <w:sz w:val="20"/>
          <w:szCs w:val="20"/>
        </w:rPr>
        <w:t xml:space="preserve"> y</w:t>
      </w:r>
      <w:r w:rsidR="00666BA7" w:rsidRPr="0095692E">
        <w:rPr>
          <w:rFonts w:ascii="Verdana" w:hAnsi="Verdana"/>
          <w:sz w:val="20"/>
          <w:szCs w:val="20"/>
        </w:rPr>
        <w:t xml:space="preserve"> la amenaza</w:t>
      </w:r>
      <w:r w:rsidR="009D2F3D" w:rsidRPr="0095692E">
        <w:rPr>
          <w:rFonts w:ascii="Verdana" w:hAnsi="Verdana"/>
          <w:sz w:val="20"/>
          <w:szCs w:val="20"/>
        </w:rPr>
        <w:t>ron</w:t>
      </w:r>
      <w:r w:rsidR="00666BA7" w:rsidRPr="0095692E">
        <w:rPr>
          <w:rFonts w:ascii="Verdana" w:hAnsi="Verdana"/>
          <w:sz w:val="20"/>
          <w:szCs w:val="20"/>
        </w:rPr>
        <w:t xml:space="preserve"> con matar a Herminio Deras García si el mimeógrafo no aparecía. </w:t>
      </w:r>
      <w:r w:rsidR="00F159D1" w:rsidRPr="0095692E">
        <w:rPr>
          <w:rFonts w:ascii="Verdana" w:hAnsi="Verdana"/>
          <w:sz w:val="20"/>
          <w:szCs w:val="20"/>
        </w:rPr>
        <w:t>Mientras tanto</w:t>
      </w:r>
      <w:r w:rsidR="00325A58" w:rsidRPr="0095692E">
        <w:rPr>
          <w:rFonts w:ascii="Verdana" w:hAnsi="Verdana"/>
          <w:sz w:val="20"/>
          <w:szCs w:val="20"/>
        </w:rPr>
        <w:t xml:space="preserve"> </w:t>
      </w:r>
      <w:r w:rsidR="00666BA7" w:rsidRPr="0095692E">
        <w:rPr>
          <w:rFonts w:ascii="Verdana" w:hAnsi="Verdana"/>
          <w:sz w:val="20"/>
          <w:szCs w:val="20"/>
        </w:rPr>
        <w:t xml:space="preserve">Irma Deras García, de 15 años, lloraba y temblaba abrazada a las piernas de su madre. </w:t>
      </w:r>
      <w:r w:rsidR="005732CE" w:rsidRPr="0095692E">
        <w:rPr>
          <w:rFonts w:ascii="Verdana" w:hAnsi="Verdana"/>
          <w:sz w:val="20"/>
          <w:szCs w:val="20"/>
        </w:rPr>
        <w:t xml:space="preserve">Por su parte, </w:t>
      </w:r>
      <w:r w:rsidR="00666BA7" w:rsidRPr="0095692E">
        <w:rPr>
          <w:rFonts w:ascii="Verdana" w:hAnsi="Verdana"/>
          <w:sz w:val="20"/>
          <w:szCs w:val="20"/>
        </w:rPr>
        <w:t>el señor Domingo Deras fue sacado de su casa mientras era golpeado por los militares</w:t>
      </w:r>
      <w:r w:rsidR="00F159D1" w:rsidRPr="0095692E">
        <w:rPr>
          <w:rFonts w:ascii="Verdana" w:hAnsi="Verdana"/>
          <w:sz w:val="20"/>
          <w:szCs w:val="20"/>
        </w:rPr>
        <w:t>,</w:t>
      </w:r>
      <w:r w:rsidR="00666BA7" w:rsidRPr="0095692E">
        <w:rPr>
          <w:rFonts w:ascii="Verdana" w:hAnsi="Verdana"/>
          <w:sz w:val="20"/>
          <w:szCs w:val="20"/>
        </w:rPr>
        <w:t xml:space="preserve"> quienes lo acusaban de poseer una radio clandestina en su residencia. Tales hechos fueron presenciados por Irma Deras</w:t>
      </w:r>
      <w:r w:rsidR="0081652F" w:rsidRPr="0095692E">
        <w:rPr>
          <w:rFonts w:ascii="Verdana" w:hAnsi="Verdana"/>
          <w:sz w:val="20"/>
          <w:szCs w:val="20"/>
        </w:rPr>
        <w:t xml:space="preserve"> García</w:t>
      </w:r>
      <w:r w:rsidR="00666BA7" w:rsidRPr="0095692E">
        <w:rPr>
          <w:rFonts w:ascii="Verdana" w:hAnsi="Verdana"/>
          <w:sz w:val="20"/>
          <w:szCs w:val="20"/>
        </w:rPr>
        <w:t>. El mismo año de 1977, Irma Deras</w:t>
      </w:r>
      <w:r w:rsidR="00671E15" w:rsidRPr="0095692E">
        <w:rPr>
          <w:rFonts w:ascii="Verdana" w:hAnsi="Verdana"/>
          <w:sz w:val="20"/>
          <w:szCs w:val="20"/>
        </w:rPr>
        <w:t xml:space="preserve"> García</w:t>
      </w:r>
      <w:r w:rsidR="00666BA7" w:rsidRPr="0095692E">
        <w:rPr>
          <w:rFonts w:ascii="Verdana" w:hAnsi="Verdana"/>
          <w:sz w:val="20"/>
          <w:szCs w:val="20"/>
        </w:rPr>
        <w:t xml:space="preserve"> fue detenida por </w:t>
      </w:r>
      <w:r w:rsidR="002704B0" w:rsidRPr="0095692E">
        <w:rPr>
          <w:rFonts w:ascii="Verdana" w:hAnsi="Verdana"/>
          <w:sz w:val="20"/>
          <w:szCs w:val="20"/>
        </w:rPr>
        <w:t>miembros del ejército</w:t>
      </w:r>
      <w:r w:rsidR="00666BA7" w:rsidRPr="0095692E">
        <w:rPr>
          <w:rFonts w:ascii="Verdana" w:hAnsi="Verdana"/>
          <w:sz w:val="20"/>
          <w:szCs w:val="20"/>
        </w:rPr>
        <w:t xml:space="preserve"> junto a dos compañeros, por presuntamente distribuir el periódico Vanguardia</w:t>
      </w:r>
      <w:r w:rsidR="007F3E95" w:rsidRPr="0095692E">
        <w:rPr>
          <w:rFonts w:ascii="Verdana" w:hAnsi="Verdana"/>
          <w:sz w:val="20"/>
          <w:szCs w:val="20"/>
        </w:rPr>
        <w:t xml:space="preserve"> </w:t>
      </w:r>
      <w:r w:rsidR="007F3E95" w:rsidRPr="0095692E">
        <w:rPr>
          <w:rFonts w:ascii="Verdana" w:hAnsi="Verdana"/>
          <w:bCs/>
          <w:sz w:val="20"/>
          <w:szCs w:val="20"/>
        </w:rPr>
        <w:t>Revolucionaria</w:t>
      </w:r>
      <w:r w:rsidR="007400AF" w:rsidRPr="0095692E">
        <w:rPr>
          <w:rFonts w:ascii="Verdana" w:hAnsi="Verdana"/>
          <w:sz w:val="20"/>
          <w:szCs w:val="20"/>
        </w:rPr>
        <w:t>.</w:t>
      </w:r>
      <w:r w:rsidR="00666BA7" w:rsidRPr="0095692E">
        <w:rPr>
          <w:rFonts w:ascii="Verdana" w:hAnsi="Verdana"/>
          <w:sz w:val="20"/>
          <w:szCs w:val="20"/>
        </w:rPr>
        <w:t xml:space="preserve"> </w:t>
      </w:r>
      <w:r w:rsidR="007400AF" w:rsidRPr="0095692E">
        <w:rPr>
          <w:rFonts w:ascii="Verdana" w:hAnsi="Verdana"/>
          <w:sz w:val="20"/>
          <w:szCs w:val="20"/>
        </w:rPr>
        <w:t>P</w:t>
      </w:r>
      <w:r w:rsidR="00666BA7" w:rsidRPr="0095692E">
        <w:rPr>
          <w:rFonts w:ascii="Verdana" w:hAnsi="Verdana"/>
          <w:sz w:val="20"/>
          <w:szCs w:val="20"/>
        </w:rPr>
        <w:t xml:space="preserve">osteriormente, fue trasladada a las </w:t>
      </w:r>
      <w:r w:rsidR="002704B0" w:rsidRPr="0095692E">
        <w:rPr>
          <w:rFonts w:ascii="Verdana" w:hAnsi="Verdana"/>
          <w:sz w:val="20"/>
          <w:szCs w:val="20"/>
        </w:rPr>
        <w:t>c</w:t>
      </w:r>
      <w:r w:rsidR="00666BA7" w:rsidRPr="0095692E">
        <w:rPr>
          <w:rFonts w:ascii="Verdana" w:hAnsi="Verdana"/>
          <w:sz w:val="20"/>
          <w:szCs w:val="20"/>
        </w:rPr>
        <w:t>eldas de la</w:t>
      </w:r>
      <w:r w:rsidR="007400AF" w:rsidRPr="0095692E">
        <w:rPr>
          <w:rFonts w:ascii="Verdana" w:hAnsi="Verdana"/>
          <w:sz w:val="20"/>
          <w:szCs w:val="20"/>
        </w:rPr>
        <w:t xml:space="preserve"> Fuerza de Seguridad Pública y</w:t>
      </w:r>
      <w:r w:rsidR="00720B61" w:rsidRPr="0095692E">
        <w:rPr>
          <w:rFonts w:ascii="Verdana" w:hAnsi="Verdana"/>
          <w:sz w:val="20"/>
          <w:szCs w:val="20"/>
        </w:rPr>
        <w:t xml:space="preserve"> luego</w:t>
      </w:r>
      <w:r w:rsidR="007400AF" w:rsidRPr="0095692E">
        <w:rPr>
          <w:rFonts w:ascii="Verdana" w:hAnsi="Verdana"/>
          <w:sz w:val="20"/>
          <w:szCs w:val="20"/>
        </w:rPr>
        <w:t xml:space="preserve"> a las celdas de la </w:t>
      </w:r>
      <w:r w:rsidR="00666BA7" w:rsidRPr="0095692E">
        <w:rPr>
          <w:rFonts w:ascii="Verdana" w:hAnsi="Verdana"/>
          <w:sz w:val="20"/>
          <w:szCs w:val="20"/>
        </w:rPr>
        <w:t>DNI, en donde fue vendada, amarrada de manos a pies y amenazada con “sacarl[e] el periódico del estómago sino entregab[a] un ejemplar”</w:t>
      </w:r>
      <w:r w:rsidR="00A013C1" w:rsidRPr="0095692E">
        <w:rPr>
          <w:rFonts w:ascii="Verdana" w:hAnsi="Verdana"/>
          <w:sz w:val="20"/>
          <w:szCs w:val="20"/>
        </w:rPr>
        <w:t xml:space="preserve"> </w:t>
      </w:r>
      <w:r w:rsidR="00720B61" w:rsidRPr="0095692E">
        <w:rPr>
          <w:rFonts w:ascii="Verdana" w:hAnsi="Verdana"/>
          <w:sz w:val="20"/>
          <w:szCs w:val="20"/>
        </w:rPr>
        <w:t>y</w:t>
      </w:r>
      <w:r w:rsidR="00666BA7" w:rsidRPr="0095692E">
        <w:rPr>
          <w:rFonts w:ascii="Verdana" w:hAnsi="Verdana"/>
          <w:sz w:val="20"/>
          <w:szCs w:val="20"/>
        </w:rPr>
        <w:t xml:space="preserve"> ser llevada a la</w:t>
      </w:r>
      <w:r w:rsidR="006F1C25" w:rsidRPr="0095692E">
        <w:rPr>
          <w:rFonts w:ascii="Verdana" w:hAnsi="Verdana"/>
          <w:sz w:val="20"/>
          <w:szCs w:val="20"/>
        </w:rPr>
        <w:t>s</w:t>
      </w:r>
      <w:r w:rsidR="00666BA7" w:rsidRPr="0095692E">
        <w:rPr>
          <w:rFonts w:ascii="Verdana" w:hAnsi="Verdana"/>
          <w:sz w:val="20"/>
          <w:szCs w:val="20"/>
        </w:rPr>
        <w:t xml:space="preserve"> “cañeras”. </w:t>
      </w:r>
    </w:p>
    <w:p w14:paraId="2523DE3D" w14:textId="77777777" w:rsidR="00AB10D8" w:rsidRPr="0095692E" w:rsidRDefault="00AB10D8" w:rsidP="00A80648">
      <w:pPr>
        <w:pStyle w:val="Prrafodelista"/>
        <w:spacing w:after="0" w:line="240" w:lineRule="auto"/>
        <w:contextualSpacing w:val="0"/>
        <w:rPr>
          <w:rFonts w:ascii="Verdana" w:hAnsi="Verdana"/>
          <w:sz w:val="20"/>
          <w:szCs w:val="20"/>
        </w:rPr>
      </w:pPr>
    </w:p>
    <w:p w14:paraId="1AD88A35" w14:textId="07B7530F" w:rsidR="000E5E72" w:rsidRPr="0095692E" w:rsidRDefault="0095535E"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l 26 de noviembre de 1981</w:t>
      </w:r>
      <w:r w:rsidR="00497FAE" w:rsidRPr="0095692E">
        <w:rPr>
          <w:rFonts w:ascii="Verdana" w:hAnsi="Verdana"/>
          <w:sz w:val="20"/>
          <w:szCs w:val="20"/>
        </w:rPr>
        <w:t xml:space="preserve"> -</w:t>
      </w:r>
      <w:r w:rsidR="000E5E72" w:rsidRPr="0095692E">
        <w:rPr>
          <w:rFonts w:ascii="Verdana" w:hAnsi="Verdana"/>
          <w:sz w:val="20"/>
          <w:szCs w:val="20"/>
        </w:rPr>
        <w:t xml:space="preserve">con </w:t>
      </w:r>
      <w:r w:rsidR="00AB10D8" w:rsidRPr="0095692E">
        <w:rPr>
          <w:rFonts w:ascii="Verdana" w:hAnsi="Verdana"/>
          <w:sz w:val="20"/>
          <w:szCs w:val="20"/>
        </w:rPr>
        <w:t>posterior</w:t>
      </w:r>
      <w:r w:rsidR="000E5E72" w:rsidRPr="0095692E">
        <w:rPr>
          <w:rFonts w:ascii="Verdana" w:hAnsi="Verdana"/>
          <w:sz w:val="20"/>
          <w:szCs w:val="20"/>
        </w:rPr>
        <w:t>idad</w:t>
      </w:r>
      <w:r w:rsidR="00AB10D8" w:rsidRPr="0095692E">
        <w:rPr>
          <w:rFonts w:ascii="Verdana" w:hAnsi="Verdana"/>
          <w:sz w:val="20"/>
          <w:szCs w:val="20"/>
        </w:rPr>
        <w:t xml:space="preserve"> al allanamiento de la casa de</w:t>
      </w:r>
      <w:r w:rsidR="00A2094E" w:rsidRPr="0095692E">
        <w:rPr>
          <w:rFonts w:ascii="Verdana" w:hAnsi="Verdana"/>
          <w:sz w:val="20"/>
          <w:szCs w:val="20"/>
        </w:rPr>
        <w:t xml:space="preserve"> Herminio</w:t>
      </w:r>
      <w:r w:rsidR="00AB10D8" w:rsidRPr="0095692E">
        <w:rPr>
          <w:rFonts w:ascii="Verdana" w:hAnsi="Verdana"/>
          <w:sz w:val="20"/>
          <w:szCs w:val="20"/>
        </w:rPr>
        <w:t xml:space="preserve"> Deras García</w:t>
      </w:r>
      <w:r w:rsidR="00A2094E" w:rsidRPr="0095692E">
        <w:rPr>
          <w:rFonts w:ascii="Verdana" w:hAnsi="Verdana"/>
          <w:sz w:val="20"/>
          <w:szCs w:val="20"/>
        </w:rPr>
        <w:t xml:space="preserve"> y Otilia Flores Ortiz</w:t>
      </w:r>
      <w:r w:rsidR="00AB10D8" w:rsidRPr="0095692E">
        <w:rPr>
          <w:rFonts w:ascii="Verdana" w:hAnsi="Verdana"/>
          <w:sz w:val="20"/>
          <w:szCs w:val="20"/>
        </w:rPr>
        <w:t xml:space="preserve"> (</w:t>
      </w:r>
      <w:r w:rsidR="00AB10D8" w:rsidRPr="0095692E">
        <w:rPr>
          <w:rFonts w:ascii="Verdana" w:hAnsi="Verdana"/>
          <w:i/>
          <w:sz w:val="20"/>
          <w:szCs w:val="20"/>
        </w:rPr>
        <w:t xml:space="preserve">supra </w:t>
      </w:r>
      <w:r w:rsidR="00AB10D8" w:rsidRPr="0095692E">
        <w:rPr>
          <w:rFonts w:ascii="Verdana" w:hAnsi="Verdana"/>
          <w:sz w:val="20"/>
          <w:szCs w:val="20"/>
        </w:rPr>
        <w:t xml:space="preserve">párr. </w:t>
      </w:r>
      <w:r w:rsidR="009D69EF" w:rsidRPr="0095692E">
        <w:rPr>
          <w:rFonts w:ascii="Verdana" w:hAnsi="Verdana"/>
          <w:sz w:val="20"/>
          <w:szCs w:val="20"/>
        </w:rPr>
        <w:t>42</w:t>
      </w:r>
      <w:r w:rsidR="00AB10D8" w:rsidRPr="0095692E">
        <w:rPr>
          <w:rFonts w:ascii="Verdana" w:hAnsi="Verdana"/>
          <w:sz w:val="20"/>
          <w:szCs w:val="20"/>
        </w:rPr>
        <w:t>)</w:t>
      </w:r>
      <w:r w:rsidR="00497FAE" w:rsidRPr="0095692E">
        <w:rPr>
          <w:rFonts w:ascii="Verdana" w:hAnsi="Verdana"/>
          <w:sz w:val="20"/>
          <w:szCs w:val="20"/>
        </w:rPr>
        <w:t>-</w:t>
      </w:r>
      <w:r w:rsidR="00AB10D8" w:rsidRPr="0095692E">
        <w:rPr>
          <w:rFonts w:ascii="Verdana" w:hAnsi="Verdana"/>
          <w:sz w:val="20"/>
          <w:szCs w:val="20"/>
        </w:rPr>
        <w:t xml:space="preserve"> efectivos militares, policías y agentes de la DNI, ingresaron a la residencia de Irma Deras</w:t>
      </w:r>
      <w:r w:rsidR="009D69EF" w:rsidRPr="0095692E">
        <w:rPr>
          <w:rFonts w:ascii="Verdana" w:hAnsi="Verdana"/>
          <w:sz w:val="20"/>
          <w:szCs w:val="20"/>
        </w:rPr>
        <w:t xml:space="preserve"> García</w:t>
      </w:r>
      <w:r w:rsidR="00AB10D8" w:rsidRPr="0095692E">
        <w:rPr>
          <w:rFonts w:ascii="Verdana" w:hAnsi="Verdana"/>
          <w:sz w:val="20"/>
          <w:szCs w:val="20"/>
        </w:rPr>
        <w:t>, de entonces 19 años</w:t>
      </w:r>
      <w:r w:rsidR="001B2D39" w:rsidRPr="0095692E">
        <w:rPr>
          <w:rStyle w:val="Refdenotaalpie"/>
          <w:rFonts w:ascii="Verdana" w:hAnsi="Verdana"/>
          <w:sz w:val="20"/>
          <w:szCs w:val="20"/>
        </w:rPr>
        <w:footnoteReference w:id="50"/>
      </w:r>
      <w:r w:rsidR="009E0313" w:rsidRPr="0095692E">
        <w:rPr>
          <w:rFonts w:ascii="Verdana" w:hAnsi="Verdana"/>
          <w:sz w:val="20"/>
          <w:szCs w:val="20"/>
        </w:rPr>
        <w:t>, en busca de su hermano Herminio Deras García</w:t>
      </w:r>
      <w:r w:rsidR="00497FAE" w:rsidRPr="0095692E">
        <w:rPr>
          <w:rFonts w:ascii="Verdana" w:hAnsi="Verdana"/>
          <w:sz w:val="20"/>
          <w:szCs w:val="20"/>
        </w:rPr>
        <w:t xml:space="preserve">. </w:t>
      </w:r>
      <w:r w:rsidR="009E0313" w:rsidRPr="0095692E">
        <w:rPr>
          <w:rFonts w:ascii="Verdana" w:hAnsi="Verdana"/>
          <w:sz w:val="20"/>
          <w:szCs w:val="20"/>
        </w:rPr>
        <w:t xml:space="preserve">En el acto, </w:t>
      </w:r>
      <w:r w:rsidR="00497FAE" w:rsidRPr="0095692E">
        <w:rPr>
          <w:rFonts w:ascii="Verdana" w:hAnsi="Verdana"/>
          <w:sz w:val="20"/>
          <w:szCs w:val="20"/>
        </w:rPr>
        <w:t>l</w:t>
      </w:r>
      <w:r w:rsidR="000E5E72" w:rsidRPr="0095692E">
        <w:rPr>
          <w:rFonts w:ascii="Verdana" w:hAnsi="Verdana"/>
          <w:sz w:val="20"/>
          <w:szCs w:val="20"/>
        </w:rPr>
        <w:t>a lanzaron al piso</w:t>
      </w:r>
      <w:r w:rsidR="00497FAE" w:rsidRPr="0095692E">
        <w:rPr>
          <w:rFonts w:ascii="Verdana" w:hAnsi="Verdana"/>
          <w:sz w:val="20"/>
          <w:szCs w:val="20"/>
        </w:rPr>
        <w:t>,</w:t>
      </w:r>
      <w:r w:rsidR="000E5E72" w:rsidRPr="0095692E">
        <w:rPr>
          <w:rFonts w:ascii="Verdana" w:hAnsi="Verdana"/>
          <w:sz w:val="20"/>
          <w:szCs w:val="20"/>
        </w:rPr>
        <w:t xml:space="preserve"> </w:t>
      </w:r>
      <w:r w:rsidR="00AB10D8" w:rsidRPr="0095692E">
        <w:rPr>
          <w:rFonts w:ascii="Verdana" w:hAnsi="Verdana"/>
          <w:sz w:val="20"/>
          <w:szCs w:val="20"/>
        </w:rPr>
        <w:t>la insulta</w:t>
      </w:r>
      <w:r w:rsidR="00497FAE" w:rsidRPr="0095692E">
        <w:rPr>
          <w:rFonts w:ascii="Verdana" w:hAnsi="Verdana"/>
          <w:sz w:val="20"/>
          <w:szCs w:val="20"/>
        </w:rPr>
        <w:t>ron</w:t>
      </w:r>
      <w:r w:rsidR="00AB10D8" w:rsidRPr="0095692E">
        <w:rPr>
          <w:rFonts w:ascii="Verdana" w:hAnsi="Verdana"/>
          <w:sz w:val="20"/>
          <w:szCs w:val="20"/>
        </w:rPr>
        <w:t>, la empuja</w:t>
      </w:r>
      <w:r w:rsidR="00497FAE" w:rsidRPr="0095692E">
        <w:rPr>
          <w:rFonts w:ascii="Verdana" w:hAnsi="Verdana"/>
          <w:sz w:val="20"/>
          <w:szCs w:val="20"/>
        </w:rPr>
        <w:t>ron</w:t>
      </w:r>
      <w:r w:rsidR="00AB10D8" w:rsidRPr="0095692E">
        <w:rPr>
          <w:rFonts w:ascii="Verdana" w:hAnsi="Verdana"/>
          <w:sz w:val="20"/>
          <w:szCs w:val="20"/>
        </w:rPr>
        <w:t xml:space="preserve"> y la amenaza</w:t>
      </w:r>
      <w:r w:rsidR="00497FAE" w:rsidRPr="0095692E">
        <w:rPr>
          <w:rFonts w:ascii="Verdana" w:hAnsi="Verdana"/>
          <w:sz w:val="20"/>
          <w:szCs w:val="20"/>
        </w:rPr>
        <w:t>ron</w:t>
      </w:r>
      <w:r w:rsidR="00AB10D8" w:rsidRPr="0095692E">
        <w:rPr>
          <w:rFonts w:ascii="Verdana" w:hAnsi="Verdana"/>
          <w:sz w:val="20"/>
          <w:szCs w:val="20"/>
        </w:rPr>
        <w:t xml:space="preserve">. Durante el allanamiento, los agentes </w:t>
      </w:r>
      <w:r w:rsidR="00AB10D8" w:rsidRPr="0095692E">
        <w:rPr>
          <w:rFonts w:ascii="Verdana" w:hAnsi="Verdana"/>
          <w:sz w:val="20"/>
          <w:szCs w:val="20"/>
        </w:rPr>
        <w:lastRenderedPageBreak/>
        <w:t>detuvieron a su otro hermano, Luis Deras García</w:t>
      </w:r>
      <w:r w:rsidR="00AB10D8" w:rsidRPr="0095692E">
        <w:rPr>
          <w:rStyle w:val="Refdenotaalpie"/>
          <w:rFonts w:ascii="Verdana" w:hAnsi="Verdana"/>
          <w:sz w:val="20"/>
          <w:szCs w:val="20"/>
        </w:rPr>
        <w:footnoteReference w:id="51"/>
      </w:r>
      <w:r w:rsidR="00AB10D8" w:rsidRPr="0095692E">
        <w:rPr>
          <w:rFonts w:ascii="Verdana" w:hAnsi="Verdana"/>
          <w:sz w:val="20"/>
          <w:szCs w:val="20"/>
        </w:rPr>
        <w:t>, y lo trasladaron a las instalaciones de la DNI en El Progreso, donde fue golpeado e interrogado sobre el paradero de</w:t>
      </w:r>
      <w:r w:rsidR="00BE4367" w:rsidRPr="0095692E">
        <w:rPr>
          <w:rFonts w:ascii="Verdana" w:hAnsi="Verdana"/>
          <w:sz w:val="20"/>
          <w:szCs w:val="20"/>
        </w:rPr>
        <w:t xml:space="preserve"> Herminio</w:t>
      </w:r>
      <w:r w:rsidR="00AB10D8" w:rsidRPr="0095692E">
        <w:rPr>
          <w:rFonts w:ascii="Verdana" w:hAnsi="Verdana"/>
          <w:sz w:val="20"/>
          <w:szCs w:val="20"/>
        </w:rPr>
        <w:t xml:space="preserve"> Deras García</w:t>
      </w:r>
      <w:r w:rsidR="00A53EC3" w:rsidRPr="0095692E">
        <w:rPr>
          <w:rStyle w:val="Refdenotaalpie"/>
          <w:rFonts w:ascii="Verdana" w:hAnsi="Verdana"/>
          <w:sz w:val="20"/>
          <w:szCs w:val="20"/>
        </w:rPr>
        <w:footnoteReference w:id="52"/>
      </w:r>
      <w:r w:rsidR="005013F0" w:rsidRPr="0095692E">
        <w:rPr>
          <w:rFonts w:ascii="Verdana" w:hAnsi="Verdana"/>
          <w:sz w:val="20"/>
          <w:szCs w:val="20"/>
        </w:rPr>
        <w:t>.</w:t>
      </w:r>
      <w:r w:rsidR="00AB10D8" w:rsidRPr="0095692E">
        <w:rPr>
          <w:rFonts w:ascii="Verdana" w:hAnsi="Verdana"/>
          <w:sz w:val="20"/>
          <w:szCs w:val="20"/>
        </w:rPr>
        <w:t xml:space="preserve"> </w:t>
      </w:r>
      <w:r w:rsidR="00E46206" w:rsidRPr="0095692E">
        <w:rPr>
          <w:rFonts w:ascii="Verdana" w:hAnsi="Verdana"/>
          <w:sz w:val="20"/>
          <w:szCs w:val="20"/>
        </w:rPr>
        <w:t>Posteriormente</w:t>
      </w:r>
      <w:r w:rsidR="00B60FB7" w:rsidRPr="0095692E">
        <w:rPr>
          <w:rFonts w:ascii="Verdana" w:hAnsi="Verdana"/>
          <w:sz w:val="20"/>
          <w:szCs w:val="20"/>
        </w:rPr>
        <w:t>,</w:t>
      </w:r>
      <w:r w:rsidR="00E46206" w:rsidRPr="0095692E">
        <w:rPr>
          <w:rFonts w:ascii="Verdana" w:hAnsi="Verdana"/>
          <w:sz w:val="20"/>
          <w:szCs w:val="20"/>
        </w:rPr>
        <w:t xml:space="preserve"> fue</w:t>
      </w:r>
      <w:r w:rsidR="00AB10D8" w:rsidRPr="0095692E">
        <w:rPr>
          <w:rFonts w:ascii="Verdana" w:hAnsi="Verdana"/>
          <w:sz w:val="20"/>
          <w:szCs w:val="20"/>
        </w:rPr>
        <w:t xml:space="preserve"> esposado en la pa</w:t>
      </w:r>
      <w:r w:rsidR="00651FB4" w:rsidRPr="0095692E">
        <w:rPr>
          <w:rFonts w:ascii="Verdana" w:hAnsi="Verdana"/>
          <w:sz w:val="20"/>
          <w:szCs w:val="20"/>
        </w:rPr>
        <w:t>rte posterior</w:t>
      </w:r>
      <w:r w:rsidR="00AB10D8" w:rsidRPr="0095692E">
        <w:rPr>
          <w:rFonts w:ascii="Verdana" w:hAnsi="Verdana"/>
          <w:sz w:val="20"/>
          <w:szCs w:val="20"/>
        </w:rPr>
        <w:t xml:space="preserve"> del vehículo y trasladado a San Pedro Sula. Al llegar a las instalaciones de la DNI, lo llevaron a una celda, </w:t>
      </w:r>
      <w:r w:rsidR="00E46206" w:rsidRPr="0095692E">
        <w:rPr>
          <w:rFonts w:ascii="Verdana" w:hAnsi="Verdana"/>
          <w:sz w:val="20"/>
          <w:szCs w:val="20"/>
        </w:rPr>
        <w:t xml:space="preserve">le colocaron repetidas veces </w:t>
      </w:r>
      <w:r w:rsidR="00AB10D8" w:rsidRPr="0095692E">
        <w:rPr>
          <w:rFonts w:ascii="Verdana" w:hAnsi="Verdana"/>
          <w:sz w:val="20"/>
          <w:szCs w:val="20"/>
        </w:rPr>
        <w:t xml:space="preserve">una bolsa de hule sobre su </w:t>
      </w:r>
      <w:r w:rsidR="00CE151F" w:rsidRPr="0095692E">
        <w:rPr>
          <w:rFonts w:ascii="Verdana" w:hAnsi="Verdana"/>
          <w:sz w:val="20"/>
          <w:szCs w:val="20"/>
        </w:rPr>
        <w:t>cabeza</w:t>
      </w:r>
      <w:r w:rsidR="00106300" w:rsidRPr="0095692E">
        <w:rPr>
          <w:rFonts w:ascii="Verdana" w:hAnsi="Verdana"/>
          <w:sz w:val="20"/>
          <w:szCs w:val="20"/>
        </w:rPr>
        <w:t xml:space="preserve"> </w:t>
      </w:r>
      <w:r w:rsidR="00AB10D8" w:rsidRPr="0095692E">
        <w:rPr>
          <w:rFonts w:ascii="Verdana" w:hAnsi="Verdana"/>
          <w:sz w:val="20"/>
          <w:szCs w:val="20"/>
        </w:rPr>
        <w:t>hasta que presenta</w:t>
      </w:r>
      <w:r w:rsidR="00B60FB7" w:rsidRPr="0095692E">
        <w:rPr>
          <w:rFonts w:ascii="Verdana" w:hAnsi="Verdana"/>
          <w:sz w:val="20"/>
          <w:szCs w:val="20"/>
        </w:rPr>
        <w:t>r</w:t>
      </w:r>
      <w:r w:rsidR="00E46206" w:rsidRPr="0095692E">
        <w:rPr>
          <w:rFonts w:ascii="Verdana" w:hAnsi="Verdana"/>
          <w:sz w:val="20"/>
          <w:szCs w:val="20"/>
        </w:rPr>
        <w:t>a</w:t>
      </w:r>
      <w:r w:rsidR="00AB10D8" w:rsidRPr="0095692E">
        <w:rPr>
          <w:rFonts w:ascii="Verdana" w:hAnsi="Verdana"/>
          <w:sz w:val="20"/>
          <w:szCs w:val="20"/>
        </w:rPr>
        <w:t xml:space="preserve"> signos de asfixia</w:t>
      </w:r>
      <w:r w:rsidR="00CA26EA" w:rsidRPr="0095692E">
        <w:rPr>
          <w:rStyle w:val="Refdenotaalpie"/>
          <w:rFonts w:ascii="Verdana" w:hAnsi="Verdana"/>
          <w:sz w:val="20"/>
          <w:szCs w:val="20"/>
        </w:rPr>
        <w:footnoteReference w:id="53"/>
      </w:r>
      <w:r w:rsidR="00B6520A" w:rsidRPr="0095692E">
        <w:rPr>
          <w:rFonts w:ascii="Verdana" w:hAnsi="Verdana"/>
          <w:sz w:val="20"/>
          <w:szCs w:val="20"/>
        </w:rPr>
        <w:t>;</w:t>
      </w:r>
      <w:r w:rsidR="00AB10D8" w:rsidRPr="0095692E">
        <w:rPr>
          <w:rFonts w:ascii="Verdana" w:hAnsi="Verdana"/>
          <w:sz w:val="20"/>
          <w:szCs w:val="20"/>
        </w:rPr>
        <w:t xml:space="preserve"> mientras le preguntaban por el paradero</w:t>
      </w:r>
      <w:r w:rsidR="00E46206" w:rsidRPr="0095692E">
        <w:rPr>
          <w:rFonts w:ascii="Verdana" w:hAnsi="Verdana"/>
          <w:sz w:val="20"/>
          <w:szCs w:val="20"/>
        </w:rPr>
        <w:t xml:space="preserve"> de su hermano</w:t>
      </w:r>
      <w:r w:rsidR="00AB10D8" w:rsidRPr="0095692E">
        <w:rPr>
          <w:rFonts w:ascii="Verdana" w:hAnsi="Verdana"/>
          <w:sz w:val="20"/>
          <w:szCs w:val="20"/>
        </w:rPr>
        <w:t xml:space="preserve">. </w:t>
      </w:r>
      <w:r w:rsidR="000E5E72" w:rsidRPr="0095692E">
        <w:rPr>
          <w:rFonts w:ascii="Verdana" w:hAnsi="Verdana"/>
          <w:sz w:val="20"/>
          <w:szCs w:val="20"/>
        </w:rPr>
        <w:t>Además, fu</w:t>
      </w:r>
      <w:r w:rsidR="00AB10D8" w:rsidRPr="0095692E">
        <w:rPr>
          <w:rFonts w:ascii="Verdana" w:hAnsi="Verdana"/>
          <w:sz w:val="20"/>
          <w:szCs w:val="20"/>
        </w:rPr>
        <w:t>e golpeado en el estómago y las costillas, y no se le permitió ir al baño ni ingerir alimentos</w:t>
      </w:r>
      <w:r w:rsidR="006E7161" w:rsidRPr="0095692E">
        <w:rPr>
          <w:rStyle w:val="Refdenotaalpie"/>
          <w:rFonts w:ascii="Verdana" w:hAnsi="Verdana"/>
          <w:sz w:val="20"/>
          <w:szCs w:val="20"/>
        </w:rPr>
        <w:footnoteReference w:id="54"/>
      </w:r>
      <w:r w:rsidR="00AB10D8" w:rsidRPr="0095692E">
        <w:rPr>
          <w:rFonts w:ascii="Verdana" w:hAnsi="Verdana"/>
          <w:sz w:val="20"/>
          <w:szCs w:val="20"/>
        </w:rPr>
        <w:t xml:space="preserve">. </w:t>
      </w:r>
    </w:p>
    <w:p w14:paraId="229CB83B" w14:textId="77777777" w:rsidR="0074440F" w:rsidRPr="0095692E" w:rsidRDefault="0074440F" w:rsidP="0074440F">
      <w:pPr>
        <w:pStyle w:val="Prrafodelista"/>
        <w:spacing w:after="0" w:line="240" w:lineRule="auto"/>
        <w:ind w:left="0"/>
        <w:contextualSpacing w:val="0"/>
        <w:jc w:val="both"/>
        <w:rPr>
          <w:rFonts w:ascii="Verdana" w:hAnsi="Verdana"/>
          <w:sz w:val="20"/>
          <w:szCs w:val="20"/>
        </w:rPr>
      </w:pPr>
    </w:p>
    <w:p w14:paraId="3E47F9B2" w14:textId="312DA2E9" w:rsidR="00AB10D8" w:rsidRPr="0095692E" w:rsidRDefault="0095535E"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T</w:t>
      </w:r>
      <w:r w:rsidR="00AB10D8" w:rsidRPr="0095692E">
        <w:rPr>
          <w:rFonts w:ascii="Verdana" w:hAnsi="Verdana"/>
          <w:sz w:val="20"/>
          <w:szCs w:val="20"/>
        </w:rPr>
        <w:t xml:space="preserve">ras la detención de Luis </w:t>
      </w:r>
      <w:r w:rsidR="00BE4367" w:rsidRPr="0095692E">
        <w:rPr>
          <w:rFonts w:ascii="Verdana" w:hAnsi="Verdana"/>
          <w:sz w:val="20"/>
          <w:szCs w:val="20"/>
        </w:rPr>
        <w:t>Deras</w:t>
      </w:r>
      <w:r w:rsidR="006E5E98" w:rsidRPr="0095692E">
        <w:rPr>
          <w:rFonts w:ascii="Verdana" w:hAnsi="Verdana"/>
          <w:sz w:val="20"/>
          <w:szCs w:val="20"/>
        </w:rPr>
        <w:t xml:space="preserve"> García</w:t>
      </w:r>
      <w:r w:rsidR="00AB10D8" w:rsidRPr="0095692E">
        <w:rPr>
          <w:rFonts w:ascii="Verdana" w:hAnsi="Verdana"/>
          <w:sz w:val="20"/>
          <w:szCs w:val="20"/>
        </w:rPr>
        <w:t xml:space="preserve">, </w:t>
      </w:r>
      <w:r w:rsidR="000B7BE7" w:rsidRPr="0095692E">
        <w:rPr>
          <w:rFonts w:ascii="Verdana" w:hAnsi="Verdana"/>
          <w:sz w:val="20"/>
          <w:szCs w:val="20"/>
        </w:rPr>
        <w:t xml:space="preserve">sus familiares </w:t>
      </w:r>
      <w:r w:rsidR="00AB10D8" w:rsidRPr="0095692E">
        <w:rPr>
          <w:rFonts w:ascii="Verdana" w:hAnsi="Verdana"/>
          <w:sz w:val="20"/>
          <w:szCs w:val="20"/>
        </w:rPr>
        <w:t>Domingo Deras</w:t>
      </w:r>
      <w:r w:rsidR="009D69EF" w:rsidRPr="0095692E">
        <w:rPr>
          <w:rFonts w:ascii="Verdana" w:hAnsi="Verdana"/>
          <w:sz w:val="20"/>
          <w:szCs w:val="20"/>
        </w:rPr>
        <w:t xml:space="preserve"> Henríquez</w:t>
      </w:r>
      <w:r w:rsidR="00AB10D8" w:rsidRPr="0095692E">
        <w:rPr>
          <w:rFonts w:ascii="Verdana" w:hAnsi="Verdana"/>
          <w:sz w:val="20"/>
          <w:szCs w:val="20"/>
        </w:rPr>
        <w:t>, Eustaquia García</w:t>
      </w:r>
      <w:r w:rsidR="009D69EF" w:rsidRPr="0095692E">
        <w:rPr>
          <w:rFonts w:ascii="Verdana" w:hAnsi="Verdana"/>
          <w:sz w:val="20"/>
          <w:szCs w:val="20"/>
        </w:rPr>
        <w:t xml:space="preserve"> Alvarado</w:t>
      </w:r>
      <w:r w:rsidR="00AB10D8" w:rsidRPr="0095692E">
        <w:rPr>
          <w:rFonts w:ascii="Verdana" w:hAnsi="Verdana"/>
          <w:sz w:val="20"/>
          <w:szCs w:val="20"/>
        </w:rPr>
        <w:t xml:space="preserve"> e Irma Deras</w:t>
      </w:r>
      <w:r w:rsidR="009D69EF" w:rsidRPr="0095692E">
        <w:rPr>
          <w:rFonts w:ascii="Verdana" w:hAnsi="Verdana"/>
          <w:sz w:val="20"/>
          <w:szCs w:val="20"/>
        </w:rPr>
        <w:t xml:space="preserve"> García</w:t>
      </w:r>
      <w:r w:rsidR="00AB10D8" w:rsidRPr="0095692E">
        <w:rPr>
          <w:rFonts w:ascii="Verdana" w:hAnsi="Verdana"/>
          <w:sz w:val="20"/>
          <w:szCs w:val="20"/>
        </w:rPr>
        <w:t xml:space="preserve"> se apersonaron </w:t>
      </w:r>
      <w:r w:rsidR="0089593C" w:rsidRPr="0095692E">
        <w:rPr>
          <w:rFonts w:ascii="Verdana" w:hAnsi="Verdana"/>
          <w:sz w:val="20"/>
          <w:szCs w:val="20"/>
        </w:rPr>
        <w:t>en</w:t>
      </w:r>
      <w:r w:rsidR="00AB10D8" w:rsidRPr="0095692E">
        <w:rPr>
          <w:rFonts w:ascii="Verdana" w:hAnsi="Verdana"/>
          <w:sz w:val="20"/>
          <w:szCs w:val="20"/>
        </w:rPr>
        <w:t xml:space="preserve"> </w:t>
      </w:r>
      <w:r w:rsidR="0089593C" w:rsidRPr="0095692E">
        <w:rPr>
          <w:rFonts w:ascii="Verdana" w:hAnsi="Verdana"/>
          <w:sz w:val="20"/>
          <w:szCs w:val="20"/>
        </w:rPr>
        <w:t xml:space="preserve">distintas </w:t>
      </w:r>
      <w:r w:rsidR="00AB10D8" w:rsidRPr="0095692E">
        <w:rPr>
          <w:rFonts w:ascii="Verdana" w:hAnsi="Verdana"/>
          <w:sz w:val="20"/>
          <w:szCs w:val="20"/>
        </w:rPr>
        <w:t xml:space="preserve">instalaciones de la policía y la DNI a fin de conocer su </w:t>
      </w:r>
      <w:r w:rsidR="000E5E72" w:rsidRPr="0095692E">
        <w:rPr>
          <w:rFonts w:ascii="Verdana" w:hAnsi="Verdana"/>
          <w:sz w:val="20"/>
          <w:szCs w:val="20"/>
        </w:rPr>
        <w:t>paradero</w:t>
      </w:r>
      <w:r w:rsidR="00AB10D8" w:rsidRPr="0095692E">
        <w:rPr>
          <w:rFonts w:ascii="Verdana" w:hAnsi="Verdana"/>
          <w:sz w:val="20"/>
          <w:szCs w:val="20"/>
        </w:rPr>
        <w:t xml:space="preserve">, sin </w:t>
      </w:r>
      <w:r w:rsidR="0089593C" w:rsidRPr="0095692E">
        <w:rPr>
          <w:rFonts w:ascii="Verdana" w:hAnsi="Verdana"/>
          <w:sz w:val="20"/>
          <w:szCs w:val="20"/>
        </w:rPr>
        <w:t xml:space="preserve">que se les diera </w:t>
      </w:r>
      <w:r w:rsidR="000E5E72" w:rsidRPr="0095692E">
        <w:rPr>
          <w:rFonts w:ascii="Verdana" w:hAnsi="Verdana"/>
          <w:sz w:val="20"/>
          <w:szCs w:val="20"/>
        </w:rPr>
        <w:t>información al respecto</w:t>
      </w:r>
      <w:r w:rsidR="00AB10D8" w:rsidRPr="0095692E">
        <w:rPr>
          <w:rFonts w:ascii="Verdana" w:hAnsi="Verdana"/>
          <w:sz w:val="20"/>
          <w:szCs w:val="20"/>
        </w:rPr>
        <w:t xml:space="preserve">. </w:t>
      </w:r>
      <w:r w:rsidR="00FD128E" w:rsidRPr="0095692E">
        <w:rPr>
          <w:rFonts w:ascii="Verdana" w:hAnsi="Verdana"/>
          <w:sz w:val="20"/>
          <w:szCs w:val="20"/>
        </w:rPr>
        <w:t xml:space="preserve">Luego se trasladaron </w:t>
      </w:r>
      <w:r w:rsidR="00AB10D8" w:rsidRPr="0095692E">
        <w:rPr>
          <w:rFonts w:ascii="Verdana" w:hAnsi="Verdana"/>
          <w:sz w:val="20"/>
          <w:szCs w:val="20"/>
        </w:rPr>
        <w:t>a la casa de</w:t>
      </w:r>
      <w:r w:rsidR="00D46216" w:rsidRPr="0095692E">
        <w:rPr>
          <w:rFonts w:ascii="Verdana" w:hAnsi="Verdana"/>
          <w:sz w:val="20"/>
          <w:szCs w:val="20"/>
        </w:rPr>
        <w:t xml:space="preserve"> Herminio </w:t>
      </w:r>
      <w:r w:rsidR="00AB10D8" w:rsidRPr="0095692E">
        <w:rPr>
          <w:rFonts w:ascii="Verdana" w:hAnsi="Verdana"/>
          <w:sz w:val="20"/>
          <w:szCs w:val="20"/>
        </w:rPr>
        <w:t>Deras García</w:t>
      </w:r>
      <w:r w:rsidR="00D46216" w:rsidRPr="0095692E">
        <w:rPr>
          <w:rFonts w:ascii="Verdana" w:hAnsi="Verdana"/>
          <w:sz w:val="20"/>
          <w:szCs w:val="20"/>
        </w:rPr>
        <w:t xml:space="preserve"> y Otilia Flores Ortiz</w:t>
      </w:r>
      <w:r w:rsidR="00AB10D8" w:rsidRPr="0095692E">
        <w:rPr>
          <w:rFonts w:ascii="Verdana" w:hAnsi="Verdana"/>
          <w:sz w:val="20"/>
          <w:szCs w:val="20"/>
        </w:rPr>
        <w:t xml:space="preserve">, donde encontraron </w:t>
      </w:r>
      <w:r w:rsidR="00C12820" w:rsidRPr="0095692E">
        <w:rPr>
          <w:rFonts w:ascii="Verdana" w:hAnsi="Verdana"/>
          <w:sz w:val="20"/>
          <w:szCs w:val="20"/>
        </w:rPr>
        <w:t>alrededor de</w:t>
      </w:r>
      <w:r w:rsidR="000E5E72" w:rsidRPr="0095692E">
        <w:rPr>
          <w:rFonts w:ascii="Verdana" w:hAnsi="Verdana"/>
          <w:sz w:val="20"/>
          <w:szCs w:val="20"/>
        </w:rPr>
        <w:t xml:space="preserve"> </w:t>
      </w:r>
      <w:r w:rsidR="00AB10D8" w:rsidRPr="0095692E">
        <w:rPr>
          <w:rFonts w:ascii="Verdana" w:hAnsi="Verdana"/>
          <w:sz w:val="20"/>
          <w:szCs w:val="20"/>
        </w:rPr>
        <w:t xml:space="preserve">20 agentes armados que hacían guardia en la casa, y tenían la residencia como centro de operaciones. </w:t>
      </w:r>
      <w:r w:rsidR="002938B0" w:rsidRPr="0095692E">
        <w:rPr>
          <w:rFonts w:ascii="Verdana" w:hAnsi="Verdana"/>
          <w:sz w:val="20"/>
          <w:szCs w:val="20"/>
        </w:rPr>
        <w:t>A</w:t>
      </w:r>
      <w:r w:rsidR="00AB10D8" w:rsidRPr="0095692E">
        <w:rPr>
          <w:rFonts w:ascii="Verdana" w:hAnsi="Verdana"/>
          <w:sz w:val="20"/>
          <w:szCs w:val="20"/>
        </w:rPr>
        <w:t>l ser informados por Lorena Deras Flores</w:t>
      </w:r>
      <w:r w:rsidR="00D46216" w:rsidRPr="0095692E">
        <w:rPr>
          <w:rFonts w:ascii="Verdana" w:hAnsi="Verdana"/>
          <w:sz w:val="20"/>
          <w:szCs w:val="20"/>
        </w:rPr>
        <w:t>,</w:t>
      </w:r>
      <w:r w:rsidR="00AB10D8" w:rsidRPr="0095692E">
        <w:rPr>
          <w:rFonts w:ascii="Verdana" w:hAnsi="Verdana"/>
          <w:sz w:val="20"/>
          <w:szCs w:val="20"/>
        </w:rPr>
        <w:t xml:space="preserve"> de 11 años</w:t>
      </w:r>
      <w:r w:rsidR="00D46216" w:rsidRPr="0095692E">
        <w:rPr>
          <w:rFonts w:ascii="Verdana" w:hAnsi="Verdana"/>
          <w:sz w:val="20"/>
          <w:szCs w:val="20"/>
        </w:rPr>
        <w:t>,</w:t>
      </w:r>
      <w:r w:rsidR="00AB10D8" w:rsidRPr="0095692E">
        <w:rPr>
          <w:rFonts w:ascii="Verdana" w:hAnsi="Verdana"/>
          <w:sz w:val="20"/>
          <w:szCs w:val="20"/>
        </w:rPr>
        <w:t xml:space="preserve"> y su hermano Herminio Deras Flores</w:t>
      </w:r>
      <w:r w:rsidR="00067B68" w:rsidRPr="0095692E">
        <w:rPr>
          <w:rFonts w:ascii="Verdana" w:hAnsi="Verdana"/>
          <w:sz w:val="20"/>
          <w:szCs w:val="20"/>
        </w:rPr>
        <w:t>,</w:t>
      </w:r>
      <w:r w:rsidR="00AB10D8" w:rsidRPr="0095692E">
        <w:rPr>
          <w:rFonts w:ascii="Verdana" w:hAnsi="Verdana"/>
          <w:sz w:val="20"/>
          <w:szCs w:val="20"/>
        </w:rPr>
        <w:t xml:space="preserve"> de 7 años</w:t>
      </w:r>
      <w:r w:rsidR="00067B68" w:rsidRPr="0095692E">
        <w:rPr>
          <w:rFonts w:ascii="Verdana" w:hAnsi="Verdana"/>
          <w:sz w:val="20"/>
          <w:szCs w:val="20"/>
        </w:rPr>
        <w:t>,</w:t>
      </w:r>
      <w:r w:rsidR="00AB10D8" w:rsidRPr="0095692E">
        <w:rPr>
          <w:rFonts w:ascii="Verdana" w:hAnsi="Verdana"/>
          <w:sz w:val="20"/>
          <w:szCs w:val="20"/>
        </w:rPr>
        <w:t xml:space="preserve"> sobre la captura de su madre Otilia Flores</w:t>
      </w:r>
      <w:r w:rsidR="00D46216" w:rsidRPr="0095692E">
        <w:rPr>
          <w:rFonts w:ascii="Verdana" w:hAnsi="Verdana"/>
          <w:sz w:val="20"/>
          <w:szCs w:val="20"/>
        </w:rPr>
        <w:t xml:space="preserve"> Ortiz</w:t>
      </w:r>
      <w:r w:rsidR="00AB10D8" w:rsidRPr="0095692E">
        <w:rPr>
          <w:rFonts w:ascii="Verdana" w:hAnsi="Verdana"/>
          <w:sz w:val="20"/>
          <w:szCs w:val="20"/>
        </w:rPr>
        <w:t xml:space="preserve"> (</w:t>
      </w:r>
      <w:r w:rsidR="00AB10D8" w:rsidRPr="0095692E">
        <w:rPr>
          <w:rFonts w:ascii="Verdana" w:hAnsi="Verdana"/>
          <w:i/>
          <w:sz w:val="20"/>
          <w:szCs w:val="20"/>
        </w:rPr>
        <w:t>infra</w:t>
      </w:r>
      <w:r w:rsidR="00AB10D8" w:rsidRPr="0095692E">
        <w:rPr>
          <w:rFonts w:ascii="Verdana" w:hAnsi="Verdana"/>
          <w:sz w:val="20"/>
          <w:szCs w:val="20"/>
        </w:rPr>
        <w:t xml:space="preserve"> párr. </w:t>
      </w:r>
      <w:r w:rsidR="00C12820" w:rsidRPr="0095692E">
        <w:rPr>
          <w:rFonts w:ascii="Verdana" w:hAnsi="Verdana"/>
          <w:sz w:val="20"/>
          <w:szCs w:val="20"/>
        </w:rPr>
        <w:t>53</w:t>
      </w:r>
      <w:r w:rsidR="00AB10D8" w:rsidRPr="0095692E">
        <w:rPr>
          <w:rFonts w:ascii="Verdana" w:hAnsi="Verdana"/>
          <w:sz w:val="20"/>
          <w:szCs w:val="20"/>
        </w:rPr>
        <w:t xml:space="preserve">), </w:t>
      </w:r>
      <w:r w:rsidR="002938B0" w:rsidRPr="0095692E">
        <w:rPr>
          <w:rFonts w:ascii="Verdana" w:hAnsi="Verdana"/>
          <w:sz w:val="20"/>
          <w:szCs w:val="20"/>
        </w:rPr>
        <w:t xml:space="preserve">intentaron entrar en la casa, </w:t>
      </w:r>
      <w:r w:rsidR="00AB10D8" w:rsidRPr="0095692E">
        <w:rPr>
          <w:rFonts w:ascii="Verdana" w:hAnsi="Verdana"/>
          <w:sz w:val="20"/>
          <w:szCs w:val="20"/>
        </w:rPr>
        <w:t>pero los agentes</w:t>
      </w:r>
      <w:r w:rsidR="002938B0" w:rsidRPr="0095692E">
        <w:rPr>
          <w:rFonts w:ascii="Verdana" w:hAnsi="Verdana"/>
          <w:sz w:val="20"/>
          <w:szCs w:val="20"/>
        </w:rPr>
        <w:t xml:space="preserve"> </w:t>
      </w:r>
      <w:r w:rsidR="00AB10D8" w:rsidRPr="0095692E">
        <w:rPr>
          <w:rFonts w:ascii="Verdana" w:hAnsi="Verdana"/>
          <w:sz w:val="20"/>
          <w:szCs w:val="20"/>
        </w:rPr>
        <w:t>l</w:t>
      </w:r>
      <w:r w:rsidR="002938B0" w:rsidRPr="0095692E">
        <w:rPr>
          <w:rFonts w:ascii="Verdana" w:hAnsi="Verdana"/>
          <w:sz w:val="20"/>
          <w:szCs w:val="20"/>
        </w:rPr>
        <w:t>o</w:t>
      </w:r>
      <w:r w:rsidR="00AB10D8" w:rsidRPr="0095692E">
        <w:rPr>
          <w:rFonts w:ascii="Verdana" w:hAnsi="Verdana"/>
          <w:sz w:val="20"/>
          <w:szCs w:val="20"/>
        </w:rPr>
        <w:t xml:space="preserve"> impidieron. Domingo Deras</w:t>
      </w:r>
      <w:r w:rsidR="0060407F" w:rsidRPr="0095692E">
        <w:rPr>
          <w:rFonts w:ascii="Verdana" w:hAnsi="Verdana"/>
          <w:sz w:val="20"/>
          <w:szCs w:val="20"/>
        </w:rPr>
        <w:t xml:space="preserve"> Henríquez</w:t>
      </w:r>
      <w:r w:rsidR="00AB10D8" w:rsidRPr="0095692E">
        <w:rPr>
          <w:rFonts w:ascii="Verdana" w:hAnsi="Verdana"/>
          <w:sz w:val="20"/>
          <w:szCs w:val="20"/>
        </w:rPr>
        <w:t xml:space="preserve"> reclamó la actitud de los agentes y ante sus reclamos, lo sacaron a empellones. </w:t>
      </w:r>
      <w:r w:rsidRPr="0095692E">
        <w:rPr>
          <w:rFonts w:ascii="Verdana" w:hAnsi="Verdana"/>
          <w:sz w:val="20"/>
          <w:szCs w:val="20"/>
        </w:rPr>
        <w:t>L</w:t>
      </w:r>
      <w:r w:rsidR="00AB10D8" w:rsidRPr="0095692E">
        <w:rPr>
          <w:rFonts w:ascii="Verdana" w:hAnsi="Verdana"/>
          <w:sz w:val="20"/>
          <w:szCs w:val="20"/>
        </w:rPr>
        <w:t>o mismo hicieron con Eustaquia García</w:t>
      </w:r>
      <w:r w:rsidR="0060407F" w:rsidRPr="0095692E">
        <w:rPr>
          <w:rFonts w:ascii="Verdana" w:hAnsi="Verdana"/>
          <w:sz w:val="20"/>
          <w:szCs w:val="20"/>
        </w:rPr>
        <w:t xml:space="preserve"> Alvarado</w:t>
      </w:r>
      <w:r w:rsidR="00AB10D8" w:rsidRPr="0095692E">
        <w:rPr>
          <w:rFonts w:ascii="Verdana" w:hAnsi="Verdana"/>
          <w:sz w:val="20"/>
          <w:szCs w:val="20"/>
        </w:rPr>
        <w:t xml:space="preserve">, quien solicitaba </w:t>
      </w:r>
      <w:r w:rsidR="00FD128E" w:rsidRPr="0095692E">
        <w:rPr>
          <w:rFonts w:ascii="Verdana" w:hAnsi="Verdana"/>
          <w:sz w:val="20"/>
          <w:szCs w:val="20"/>
        </w:rPr>
        <w:t xml:space="preserve">que </w:t>
      </w:r>
      <w:r w:rsidR="00AB10D8" w:rsidRPr="0095692E">
        <w:rPr>
          <w:rFonts w:ascii="Verdana" w:hAnsi="Verdana"/>
          <w:sz w:val="20"/>
          <w:szCs w:val="20"/>
        </w:rPr>
        <w:t>la dejaran quedarse con</w:t>
      </w:r>
      <w:r w:rsidR="00D46216" w:rsidRPr="0095692E">
        <w:rPr>
          <w:rFonts w:ascii="Verdana" w:hAnsi="Verdana"/>
          <w:sz w:val="20"/>
          <w:szCs w:val="20"/>
        </w:rPr>
        <w:t xml:space="preserve"> sus nietos</w:t>
      </w:r>
      <w:r w:rsidR="00AB10D8" w:rsidRPr="0095692E">
        <w:rPr>
          <w:rFonts w:ascii="Verdana" w:hAnsi="Verdana"/>
          <w:sz w:val="20"/>
          <w:szCs w:val="20"/>
        </w:rPr>
        <w:t xml:space="preserve"> Lorena y Herminio Deras Flores. </w:t>
      </w:r>
    </w:p>
    <w:p w14:paraId="6A42FE0C" w14:textId="77777777" w:rsidR="00AB10D8" w:rsidRPr="0095692E" w:rsidRDefault="00AB10D8" w:rsidP="00A80648">
      <w:pPr>
        <w:pStyle w:val="Prrafodelista"/>
        <w:spacing w:after="0" w:line="240" w:lineRule="auto"/>
        <w:contextualSpacing w:val="0"/>
        <w:rPr>
          <w:rFonts w:ascii="Verdana" w:hAnsi="Verdana"/>
          <w:sz w:val="20"/>
          <w:szCs w:val="20"/>
        </w:rPr>
      </w:pPr>
    </w:p>
    <w:p w14:paraId="1B2BBE30" w14:textId="25C62A66" w:rsidR="00EA6C11"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Otilia Flores Ortiz </w:t>
      </w:r>
      <w:r w:rsidR="00B60FB7" w:rsidRPr="0095692E">
        <w:rPr>
          <w:rFonts w:ascii="Verdana" w:hAnsi="Verdana"/>
          <w:sz w:val="20"/>
          <w:szCs w:val="20"/>
        </w:rPr>
        <w:t>fue</w:t>
      </w:r>
      <w:r w:rsidRPr="0095692E">
        <w:rPr>
          <w:rFonts w:ascii="Verdana" w:hAnsi="Verdana"/>
          <w:sz w:val="20"/>
          <w:szCs w:val="20"/>
        </w:rPr>
        <w:t xml:space="preserve"> detenida el 26 de noviembre de 1981, a las 4:00 p.m., por los efectivos del Tercer Batallón de Infantería, agentes de la DNI y la policía, quienes la obligaron a sentarse en un sillón de su residencia mientras trataban de dar con el paradero de su esposo. Al no lograrlo, fue trasladada, junto a su hermana Elba Flores Ortiz, quien se encontraba en la residencia, a las celdas de la DNI en San Pedro Sula, donde fueron interrogadas varias veces para conocer la ubicación de Herminio Deras</w:t>
      </w:r>
      <w:r w:rsidR="00E13BA7" w:rsidRPr="0095692E">
        <w:rPr>
          <w:rFonts w:ascii="Verdana" w:hAnsi="Verdana"/>
          <w:sz w:val="20"/>
          <w:szCs w:val="20"/>
        </w:rPr>
        <w:t xml:space="preserve"> García</w:t>
      </w:r>
      <w:r w:rsidRPr="0095692E">
        <w:rPr>
          <w:rFonts w:ascii="Verdana" w:hAnsi="Verdana"/>
          <w:sz w:val="20"/>
          <w:szCs w:val="20"/>
        </w:rPr>
        <w:t>. Posteriormente, a Otilia y Elba Flores</w:t>
      </w:r>
      <w:r w:rsidR="0061399D" w:rsidRPr="0095692E">
        <w:rPr>
          <w:rFonts w:ascii="Verdana" w:hAnsi="Verdana"/>
          <w:sz w:val="20"/>
          <w:szCs w:val="20"/>
        </w:rPr>
        <w:t xml:space="preserve"> Ortiz</w:t>
      </w:r>
      <w:r w:rsidRPr="0095692E">
        <w:rPr>
          <w:rFonts w:ascii="Verdana" w:hAnsi="Verdana"/>
          <w:sz w:val="20"/>
          <w:szCs w:val="20"/>
        </w:rPr>
        <w:t xml:space="preserve"> les amarraron los pies y manos, </w:t>
      </w:r>
      <w:r w:rsidR="000C5636" w:rsidRPr="0095692E">
        <w:rPr>
          <w:rFonts w:ascii="Verdana" w:hAnsi="Verdana"/>
          <w:sz w:val="20"/>
          <w:szCs w:val="20"/>
        </w:rPr>
        <w:t xml:space="preserve">las vendaron </w:t>
      </w:r>
      <w:r w:rsidRPr="0095692E">
        <w:rPr>
          <w:rFonts w:ascii="Verdana" w:hAnsi="Verdana"/>
          <w:sz w:val="20"/>
          <w:szCs w:val="20"/>
        </w:rPr>
        <w:t>y</w:t>
      </w:r>
      <w:r w:rsidR="00BE0B07" w:rsidRPr="0095692E">
        <w:rPr>
          <w:rFonts w:ascii="Verdana" w:hAnsi="Verdana"/>
          <w:sz w:val="20"/>
          <w:szCs w:val="20"/>
        </w:rPr>
        <w:t xml:space="preserve"> </w:t>
      </w:r>
      <w:r w:rsidRPr="0095692E">
        <w:rPr>
          <w:rFonts w:ascii="Verdana" w:hAnsi="Verdana"/>
          <w:sz w:val="20"/>
          <w:szCs w:val="20"/>
        </w:rPr>
        <w:t>las trasladaron al cuartel policial de Casamata en Tegucigalpa</w:t>
      </w:r>
      <w:r w:rsidR="00BF3449" w:rsidRPr="0095692E">
        <w:rPr>
          <w:rFonts w:ascii="Verdana" w:hAnsi="Verdana"/>
          <w:sz w:val="20"/>
          <w:szCs w:val="20"/>
        </w:rPr>
        <w:t>, donde las pusieron en fila y simularon que las fusilarían</w:t>
      </w:r>
      <w:r w:rsidRPr="0095692E">
        <w:rPr>
          <w:rFonts w:ascii="Verdana" w:hAnsi="Verdana"/>
          <w:sz w:val="20"/>
          <w:szCs w:val="20"/>
        </w:rPr>
        <w:t>.</w:t>
      </w:r>
      <w:r w:rsidR="00BF3449" w:rsidRPr="0095692E">
        <w:rPr>
          <w:rFonts w:ascii="Verdana" w:hAnsi="Verdana"/>
          <w:sz w:val="20"/>
          <w:szCs w:val="20"/>
        </w:rPr>
        <w:t xml:space="preserve"> </w:t>
      </w:r>
      <w:r w:rsidRPr="0095692E">
        <w:rPr>
          <w:rFonts w:ascii="Verdana" w:hAnsi="Verdana"/>
          <w:sz w:val="20"/>
          <w:szCs w:val="20"/>
        </w:rPr>
        <w:t>En el autobús, las hermanas Flores iban acostadas en los asientos, mientras en el asiento del lado, agentes armados les apuntaban en forma permanente.</w:t>
      </w:r>
    </w:p>
    <w:p w14:paraId="782C0270" w14:textId="77777777" w:rsidR="00EA6C11" w:rsidRPr="0095692E" w:rsidRDefault="00EA6C11" w:rsidP="00A80648">
      <w:pPr>
        <w:pStyle w:val="Prrafodelista"/>
        <w:spacing w:after="0" w:line="240" w:lineRule="auto"/>
        <w:contextualSpacing w:val="0"/>
        <w:rPr>
          <w:rFonts w:ascii="Verdana" w:hAnsi="Verdana"/>
          <w:sz w:val="20"/>
          <w:szCs w:val="20"/>
        </w:rPr>
      </w:pPr>
    </w:p>
    <w:p w14:paraId="6D180508" w14:textId="52FB5BF0"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Cuando llegaron al cuartel policial de Casamata, no se les permitió tomar agua</w:t>
      </w:r>
      <w:r w:rsidR="00D41575" w:rsidRPr="0095692E">
        <w:rPr>
          <w:rStyle w:val="Refdenotaalpie"/>
          <w:rFonts w:ascii="Verdana" w:hAnsi="Verdana"/>
          <w:sz w:val="20"/>
          <w:szCs w:val="20"/>
        </w:rPr>
        <w:footnoteReference w:id="55"/>
      </w:r>
      <w:r w:rsidRPr="0095692E">
        <w:rPr>
          <w:rFonts w:ascii="Verdana" w:hAnsi="Verdana"/>
          <w:sz w:val="20"/>
          <w:szCs w:val="20"/>
        </w:rPr>
        <w:t xml:space="preserve">, ni ingerir alimentos, y cada hora el interrogador </w:t>
      </w:r>
      <w:r w:rsidR="0021401B" w:rsidRPr="0095692E">
        <w:rPr>
          <w:rFonts w:ascii="Verdana" w:hAnsi="Verdana"/>
          <w:sz w:val="20"/>
          <w:szCs w:val="20"/>
        </w:rPr>
        <w:t xml:space="preserve">hacía sonar un arma </w:t>
      </w:r>
      <w:r w:rsidRPr="0095692E">
        <w:rPr>
          <w:rFonts w:ascii="Verdana" w:hAnsi="Verdana"/>
          <w:sz w:val="20"/>
          <w:szCs w:val="20"/>
        </w:rPr>
        <w:t>para</w:t>
      </w:r>
      <w:r w:rsidR="006D44D9" w:rsidRPr="0095692E">
        <w:rPr>
          <w:rFonts w:ascii="Verdana" w:hAnsi="Verdana"/>
          <w:sz w:val="20"/>
          <w:szCs w:val="20"/>
        </w:rPr>
        <w:t xml:space="preserve"> infundirles temor</w:t>
      </w:r>
      <w:r w:rsidR="00EA6C11" w:rsidRPr="0095692E">
        <w:rPr>
          <w:rStyle w:val="Refdenotaalpie"/>
          <w:rFonts w:ascii="Verdana" w:hAnsi="Verdana"/>
          <w:sz w:val="20"/>
          <w:szCs w:val="20"/>
        </w:rPr>
        <w:footnoteReference w:id="56"/>
      </w:r>
      <w:r w:rsidRPr="0095692E">
        <w:rPr>
          <w:rFonts w:ascii="Verdana" w:hAnsi="Verdana"/>
          <w:sz w:val="20"/>
          <w:szCs w:val="20"/>
        </w:rPr>
        <w:t xml:space="preserve">. </w:t>
      </w:r>
      <w:r w:rsidR="00840378" w:rsidRPr="0095692E">
        <w:rPr>
          <w:rFonts w:ascii="Verdana" w:hAnsi="Verdana"/>
          <w:sz w:val="20"/>
          <w:szCs w:val="20"/>
        </w:rPr>
        <w:t>L</w:t>
      </w:r>
      <w:r w:rsidRPr="0095692E">
        <w:rPr>
          <w:rFonts w:ascii="Verdana" w:hAnsi="Verdana"/>
          <w:sz w:val="20"/>
          <w:szCs w:val="20"/>
        </w:rPr>
        <w:t>as hermanas Flores permanecieron en esas instalaciones desde la noche del sábado 26 de noviembre hasta el día lunes 28 de noviembre de 1981. Al volver a la casa, las hermanas Flores encontraron a Lorena y Herminio Deras Flores traumatizados y nerviosos, y a la hija recién nacida de Elba Flores</w:t>
      </w:r>
      <w:r w:rsidR="0061399D" w:rsidRPr="0095692E">
        <w:rPr>
          <w:rFonts w:ascii="Verdana" w:hAnsi="Verdana"/>
          <w:sz w:val="20"/>
          <w:szCs w:val="20"/>
        </w:rPr>
        <w:t xml:space="preserve"> Ortiz</w:t>
      </w:r>
      <w:r w:rsidRPr="0095692E">
        <w:rPr>
          <w:rFonts w:ascii="Verdana" w:hAnsi="Verdana"/>
          <w:sz w:val="20"/>
          <w:szCs w:val="20"/>
        </w:rPr>
        <w:t xml:space="preserve">, llorando. Sus hijas e hijo habían </w:t>
      </w:r>
      <w:r w:rsidRPr="0095692E">
        <w:rPr>
          <w:rFonts w:ascii="Verdana" w:hAnsi="Verdana"/>
          <w:sz w:val="20"/>
          <w:szCs w:val="20"/>
        </w:rPr>
        <w:lastRenderedPageBreak/>
        <w:t xml:space="preserve">estado en poder de agentes de la policía, militares y agentes de investigación </w:t>
      </w:r>
      <w:r w:rsidR="00E13BA7" w:rsidRPr="0095692E">
        <w:rPr>
          <w:rFonts w:ascii="Verdana" w:hAnsi="Verdana"/>
          <w:sz w:val="20"/>
          <w:szCs w:val="20"/>
        </w:rPr>
        <w:t xml:space="preserve">durante todo el tiempo en que </w:t>
      </w:r>
      <w:r w:rsidRPr="0095692E">
        <w:rPr>
          <w:rFonts w:ascii="Verdana" w:hAnsi="Verdana"/>
          <w:sz w:val="20"/>
          <w:szCs w:val="20"/>
        </w:rPr>
        <w:t>estuvieron detenidas</w:t>
      </w:r>
      <w:r w:rsidR="001A214F" w:rsidRPr="0095692E">
        <w:rPr>
          <w:rStyle w:val="Refdenotaalpie"/>
          <w:rFonts w:ascii="Verdana" w:hAnsi="Verdana"/>
          <w:sz w:val="20"/>
          <w:szCs w:val="20"/>
        </w:rPr>
        <w:footnoteReference w:id="57"/>
      </w:r>
      <w:r w:rsidRPr="0095692E">
        <w:rPr>
          <w:rFonts w:ascii="Verdana" w:hAnsi="Verdana"/>
          <w:sz w:val="20"/>
          <w:szCs w:val="20"/>
        </w:rPr>
        <w:t>.</w:t>
      </w:r>
    </w:p>
    <w:p w14:paraId="254226FF" w14:textId="77777777" w:rsidR="00AB10D8" w:rsidRPr="0095692E" w:rsidRDefault="00AB10D8" w:rsidP="00A80648">
      <w:pPr>
        <w:pStyle w:val="Prrafodelista"/>
        <w:spacing w:after="0" w:line="240" w:lineRule="auto"/>
        <w:ind w:left="0"/>
        <w:contextualSpacing w:val="0"/>
        <w:jc w:val="both"/>
        <w:rPr>
          <w:rFonts w:ascii="Verdana" w:hAnsi="Verdana"/>
          <w:sz w:val="20"/>
          <w:szCs w:val="20"/>
        </w:rPr>
      </w:pPr>
    </w:p>
    <w:p w14:paraId="04103960" w14:textId="758D2D87" w:rsidR="00AB10D8" w:rsidRPr="0095692E" w:rsidRDefault="0084037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bCs/>
          <w:sz w:val="20"/>
          <w:szCs w:val="20"/>
        </w:rPr>
        <w:t>E</w:t>
      </w:r>
      <w:r w:rsidR="00AB10D8" w:rsidRPr="0095692E">
        <w:rPr>
          <w:rFonts w:ascii="Verdana" w:hAnsi="Verdana"/>
          <w:bCs/>
          <w:sz w:val="20"/>
          <w:szCs w:val="20"/>
        </w:rPr>
        <w:t xml:space="preserve">l 6 de diciembre de 1981 Otilia Flores </w:t>
      </w:r>
      <w:r w:rsidR="00066B14" w:rsidRPr="0095692E">
        <w:rPr>
          <w:rFonts w:ascii="Verdana" w:hAnsi="Verdana"/>
          <w:bCs/>
          <w:sz w:val="20"/>
          <w:szCs w:val="20"/>
        </w:rPr>
        <w:t xml:space="preserve">Ortiz </w:t>
      </w:r>
      <w:r w:rsidR="00AB10D8" w:rsidRPr="0095692E">
        <w:rPr>
          <w:rFonts w:ascii="Verdana" w:hAnsi="Verdana"/>
          <w:bCs/>
          <w:sz w:val="20"/>
          <w:szCs w:val="20"/>
        </w:rPr>
        <w:t xml:space="preserve">remitió una carta al Presidente provisional de Honduras, informando el allanamiento ilegal a su casa de habitación y el decomiso de libros y objetos personales. El Presidente no respondió la carta, ni ordenó </w:t>
      </w:r>
      <w:r w:rsidR="00953E03" w:rsidRPr="0095692E">
        <w:rPr>
          <w:rFonts w:ascii="Verdana" w:hAnsi="Verdana"/>
          <w:bCs/>
          <w:sz w:val="20"/>
          <w:szCs w:val="20"/>
        </w:rPr>
        <w:t xml:space="preserve">una </w:t>
      </w:r>
      <w:r w:rsidR="00AB10D8" w:rsidRPr="0095692E">
        <w:rPr>
          <w:rFonts w:ascii="Verdana" w:hAnsi="Verdana"/>
          <w:bCs/>
          <w:sz w:val="20"/>
          <w:szCs w:val="20"/>
        </w:rPr>
        <w:t xml:space="preserve">investigación. </w:t>
      </w:r>
    </w:p>
    <w:p w14:paraId="7D75CF9E" w14:textId="77777777" w:rsidR="00AB10D8" w:rsidRPr="0095692E" w:rsidRDefault="00AB10D8" w:rsidP="00A80648">
      <w:pPr>
        <w:pStyle w:val="Prrafodelista"/>
        <w:spacing w:after="0" w:line="240" w:lineRule="auto"/>
        <w:ind w:left="0"/>
        <w:contextualSpacing w:val="0"/>
        <w:rPr>
          <w:rFonts w:ascii="Verdana" w:hAnsi="Verdana"/>
          <w:sz w:val="20"/>
          <w:szCs w:val="20"/>
        </w:rPr>
      </w:pPr>
    </w:p>
    <w:p w14:paraId="06F5F060" w14:textId="5EA947AC" w:rsidR="00BB0B6D" w:rsidRPr="0095692E" w:rsidRDefault="008F02C1"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 xml:space="preserve">l 8 de junio de 1984 </w:t>
      </w:r>
      <w:r w:rsidR="0032576D" w:rsidRPr="0095692E">
        <w:rPr>
          <w:rFonts w:ascii="Verdana" w:hAnsi="Verdana"/>
          <w:sz w:val="20"/>
          <w:szCs w:val="20"/>
        </w:rPr>
        <w:t>la casa</w:t>
      </w:r>
      <w:r w:rsidR="00AB10D8" w:rsidRPr="0095692E">
        <w:rPr>
          <w:rFonts w:ascii="Verdana" w:hAnsi="Verdana"/>
          <w:sz w:val="20"/>
          <w:szCs w:val="20"/>
        </w:rPr>
        <w:t xml:space="preserve"> de la familia Deras</w:t>
      </w:r>
      <w:r w:rsidR="0032576D" w:rsidRPr="0095692E">
        <w:rPr>
          <w:rFonts w:ascii="Verdana" w:hAnsi="Verdana"/>
          <w:sz w:val="20"/>
          <w:szCs w:val="20"/>
        </w:rPr>
        <w:t xml:space="preserve"> García</w:t>
      </w:r>
      <w:r w:rsidR="00F67FE9" w:rsidRPr="0095692E">
        <w:rPr>
          <w:rFonts w:ascii="Verdana" w:hAnsi="Verdana"/>
          <w:sz w:val="20"/>
          <w:szCs w:val="20"/>
        </w:rPr>
        <w:t xml:space="preserve"> en la ciudad de El Progreso</w:t>
      </w:r>
      <w:r w:rsidR="00AB10D8" w:rsidRPr="0095692E">
        <w:rPr>
          <w:rFonts w:ascii="Verdana" w:hAnsi="Verdana"/>
          <w:sz w:val="20"/>
          <w:szCs w:val="20"/>
        </w:rPr>
        <w:t xml:space="preserve"> fue</w:t>
      </w:r>
      <w:r w:rsidR="0032576D" w:rsidRPr="0095692E">
        <w:rPr>
          <w:rFonts w:ascii="Verdana" w:hAnsi="Verdana"/>
          <w:sz w:val="20"/>
          <w:szCs w:val="20"/>
        </w:rPr>
        <w:t xml:space="preserve"> a</w:t>
      </w:r>
      <w:r w:rsidR="00AB10D8" w:rsidRPr="0095692E">
        <w:rPr>
          <w:rFonts w:ascii="Verdana" w:hAnsi="Verdana"/>
          <w:sz w:val="20"/>
          <w:szCs w:val="20"/>
        </w:rPr>
        <w:t xml:space="preserve">llanada por </w:t>
      </w:r>
      <w:r w:rsidR="0032576D" w:rsidRPr="0095692E">
        <w:rPr>
          <w:rFonts w:ascii="Verdana" w:hAnsi="Verdana"/>
          <w:sz w:val="20"/>
          <w:szCs w:val="20"/>
        </w:rPr>
        <w:t xml:space="preserve">miembros de la policía, el Ejército y agentes de la </w:t>
      </w:r>
      <w:r w:rsidR="00066B14" w:rsidRPr="0095692E">
        <w:rPr>
          <w:rFonts w:ascii="Verdana" w:hAnsi="Verdana"/>
          <w:sz w:val="20"/>
          <w:szCs w:val="20"/>
        </w:rPr>
        <w:t>DNI</w:t>
      </w:r>
      <w:r w:rsidR="00AB10D8" w:rsidRPr="0095692E">
        <w:rPr>
          <w:rFonts w:ascii="Verdana" w:hAnsi="Verdana"/>
          <w:sz w:val="20"/>
          <w:szCs w:val="20"/>
        </w:rPr>
        <w:t xml:space="preserve">. </w:t>
      </w:r>
      <w:r w:rsidRPr="0095692E">
        <w:rPr>
          <w:rFonts w:ascii="Verdana" w:hAnsi="Verdana"/>
          <w:sz w:val="20"/>
          <w:szCs w:val="20"/>
        </w:rPr>
        <w:t>L</w:t>
      </w:r>
      <w:r w:rsidR="00AB10D8" w:rsidRPr="0095692E">
        <w:rPr>
          <w:rFonts w:ascii="Verdana" w:hAnsi="Verdana"/>
          <w:sz w:val="20"/>
          <w:szCs w:val="20"/>
        </w:rPr>
        <w:t xml:space="preserve">os agentes obligaron </w:t>
      </w:r>
      <w:r w:rsidR="00BB0B6D" w:rsidRPr="0095692E">
        <w:rPr>
          <w:rFonts w:ascii="Verdana" w:hAnsi="Verdana"/>
          <w:sz w:val="20"/>
          <w:szCs w:val="20"/>
        </w:rPr>
        <w:t>a Irma Deras</w:t>
      </w:r>
      <w:r w:rsidR="00066B14" w:rsidRPr="0095692E">
        <w:rPr>
          <w:rFonts w:ascii="Verdana" w:hAnsi="Verdana"/>
          <w:sz w:val="20"/>
          <w:szCs w:val="20"/>
        </w:rPr>
        <w:t xml:space="preserve"> García</w:t>
      </w:r>
      <w:r w:rsidR="00BB0B6D" w:rsidRPr="0095692E">
        <w:rPr>
          <w:rFonts w:ascii="Verdana" w:hAnsi="Verdana"/>
          <w:sz w:val="20"/>
          <w:szCs w:val="20"/>
        </w:rPr>
        <w:t xml:space="preserve"> </w:t>
      </w:r>
      <w:r w:rsidR="00AB10D8" w:rsidRPr="0095692E">
        <w:rPr>
          <w:rFonts w:ascii="Verdana" w:hAnsi="Verdana"/>
          <w:sz w:val="20"/>
          <w:szCs w:val="20"/>
        </w:rPr>
        <w:t xml:space="preserve">a salir de la casa en ropa de dormir, la amarraron de sus muñecas y la </w:t>
      </w:r>
      <w:r w:rsidR="00F67FE9" w:rsidRPr="0095692E">
        <w:rPr>
          <w:rFonts w:ascii="Verdana" w:hAnsi="Verdana"/>
          <w:sz w:val="20"/>
          <w:szCs w:val="20"/>
        </w:rPr>
        <w:t>detuvieron</w:t>
      </w:r>
      <w:r w:rsidR="00AB10D8" w:rsidRPr="0095692E">
        <w:rPr>
          <w:rFonts w:ascii="Verdana" w:hAnsi="Verdana"/>
          <w:sz w:val="20"/>
          <w:szCs w:val="20"/>
        </w:rPr>
        <w:t xml:space="preserve"> junto a sus familiares: su sobrina Sandra Hernández Deras</w:t>
      </w:r>
      <w:r w:rsidR="008009DC" w:rsidRPr="0095692E">
        <w:rPr>
          <w:rStyle w:val="Refdenotaalpie"/>
          <w:rFonts w:ascii="Verdana" w:hAnsi="Verdana"/>
          <w:sz w:val="20"/>
          <w:szCs w:val="20"/>
        </w:rPr>
        <w:footnoteReference w:id="58"/>
      </w:r>
      <w:r w:rsidR="00F67FE9" w:rsidRPr="0095692E">
        <w:rPr>
          <w:rFonts w:ascii="Verdana" w:hAnsi="Verdana"/>
          <w:sz w:val="20"/>
          <w:szCs w:val="20"/>
        </w:rPr>
        <w:t>,</w:t>
      </w:r>
      <w:r w:rsidR="00AB10D8" w:rsidRPr="0095692E">
        <w:rPr>
          <w:rFonts w:ascii="Verdana" w:hAnsi="Verdana"/>
          <w:sz w:val="20"/>
          <w:szCs w:val="20"/>
        </w:rPr>
        <w:t xml:space="preserve"> de 1</w:t>
      </w:r>
      <w:r w:rsidR="008F6224" w:rsidRPr="0095692E">
        <w:rPr>
          <w:rFonts w:ascii="Verdana" w:hAnsi="Verdana"/>
          <w:sz w:val="20"/>
          <w:szCs w:val="20"/>
        </w:rPr>
        <w:t>9</w:t>
      </w:r>
      <w:r w:rsidR="00AB10D8" w:rsidRPr="0095692E">
        <w:rPr>
          <w:rFonts w:ascii="Verdana" w:hAnsi="Verdana"/>
          <w:sz w:val="20"/>
          <w:szCs w:val="20"/>
        </w:rPr>
        <w:t xml:space="preserve"> años</w:t>
      </w:r>
      <w:r w:rsidR="000B7BE7" w:rsidRPr="0095692E">
        <w:rPr>
          <w:rFonts w:ascii="Verdana" w:hAnsi="Verdana"/>
          <w:sz w:val="20"/>
          <w:szCs w:val="20"/>
        </w:rPr>
        <w:t>;</w:t>
      </w:r>
      <w:r w:rsidR="00AB10D8" w:rsidRPr="0095692E">
        <w:rPr>
          <w:rFonts w:ascii="Verdana" w:hAnsi="Verdana"/>
          <w:sz w:val="20"/>
          <w:szCs w:val="20"/>
        </w:rPr>
        <w:t xml:space="preserve"> su hermana Consuelo Deras</w:t>
      </w:r>
      <w:r w:rsidR="00F67FE9" w:rsidRPr="0095692E">
        <w:rPr>
          <w:rFonts w:ascii="Verdana" w:hAnsi="Verdana"/>
          <w:sz w:val="20"/>
          <w:szCs w:val="20"/>
        </w:rPr>
        <w:t xml:space="preserve"> García</w:t>
      </w:r>
      <w:r w:rsidR="00487D33" w:rsidRPr="0095692E">
        <w:rPr>
          <w:rStyle w:val="Refdenotaalpie"/>
          <w:rFonts w:ascii="Verdana" w:hAnsi="Verdana"/>
          <w:sz w:val="20"/>
          <w:szCs w:val="20"/>
        </w:rPr>
        <w:footnoteReference w:id="59"/>
      </w:r>
      <w:r w:rsidR="000B7BE7" w:rsidRPr="0095692E">
        <w:rPr>
          <w:rFonts w:ascii="Verdana" w:hAnsi="Verdana"/>
          <w:sz w:val="20"/>
          <w:szCs w:val="20"/>
        </w:rPr>
        <w:t>;</w:t>
      </w:r>
      <w:r w:rsidR="00AB10D8" w:rsidRPr="0095692E">
        <w:rPr>
          <w:rFonts w:ascii="Verdana" w:hAnsi="Verdana"/>
          <w:sz w:val="20"/>
          <w:szCs w:val="20"/>
        </w:rPr>
        <w:t xml:space="preserve"> su prima Marlen García</w:t>
      </w:r>
      <w:r w:rsidR="00963037" w:rsidRPr="0095692E">
        <w:rPr>
          <w:rFonts w:ascii="Verdana" w:hAnsi="Verdana"/>
          <w:sz w:val="20"/>
          <w:szCs w:val="20"/>
        </w:rPr>
        <w:t xml:space="preserve"> Pineda</w:t>
      </w:r>
      <w:r w:rsidR="00963037" w:rsidRPr="0095692E">
        <w:rPr>
          <w:rStyle w:val="Refdenotaalpie"/>
          <w:rFonts w:ascii="Verdana" w:hAnsi="Verdana"/>
          <w:sz w:val="20"/>
          <w:szCs w:val="20"/>
        </w:rPr>
        <w:footnoteReference w:id="60"/>
      </w:r>
      <w:r w:rsidR="000B7BE7" w:rsidRPr="0095692E">
        <w:rPr>
          <w:rFonts w:ascii="Verdana" w:hAnsi="Verdana"/>
          <w:sz w:val="20"/>
          <w:szCs w:val="20"/>
        </w:rPr>
        <w:t>;</w:t>
      </w:r>
      <w:r w:rsidR="00AB10D8" w:rsidRPr="0095692E">
        <w:rPr>
          <w:rFonts w:ascii="Verdana" w:hAnsi="Verdana"/>
          <w:sz w:val="20"/>
          <w:szCs w:val="20"/>
        </w:rPr>
        <w:t xml:space="preserve"> su cuñado Cristóbal</w:t>
      </w:r>
      <w:r w:rsidR="00B72A1E" w:rsidRPr="0095692E">
        <w:rPr>
          <w:rFonts w:ascii="Verdana" w:hAnsi="Verdana"/>
          <w:sz w:val="20"/>
          <w:szCs w:val="20"/>
        </w:rPr>
        <w:t xml:space="preserve"> </w:t>
      </w:r>
      <w:r w:rsidR="00AB10D8" w:rsidRPr="0095692E">
        <w:rPr>
          <w:rFonts w:ascii="Verdana" w:hAnsi="Verdana"/>
          <w:sz w:val="20"/>
          <w:szCs w:val="20"/>
        </w:rPr>
        <w:t>Hernández</w:t>
      </w:r>
      <w:r w:rsidR="006030BC" w:rsidRPr="0095692E">
        <w:rPr>
          <w:rFonts w:ascii="Verdana" w:hAnsi="Verdana"/>
          <w:sz w:val="20"/>
          <w:szCs w:val="20"/>
        </w:rPr>
        <w:t xml:space="preserve"> Pérez</w:t>
      </w:r>
      <w:r w:rsidR="00C52A57" w:rsidRPr="0095692E">
        <w:rPr>
          <w:rStyle w:val="Refdenotaalpie"/>
          <w:rFonts w:ascii="Verdana" w:hAnsi="Verdana"/>
          <w:sz w:val="20"/>
          <w:szCs w:val="20"/>
        </w:rPr>
        <w:footnoteReference w:id="61"/>
      </w:r>
      <w:r w:rsidR="000B7BE7" w:rsidRPr="0095692E">
        <w:rPr>
          <w:rFonts w:ascii="Verdana" w:hAnsi="Verdana"/>
          <w:sz w:val="20"/>
          <w:szCs w:val="20"/>
        </w:rPr>
        <w:t>;</w:t>
      </w:r>
      <w:r w:rsidR="00AB10D8" w:rsidRPr="0095692E">
        <w:rPr>
          <w:rFonts w:ascii="Verdana" w:hAnsi="Verdana"/>
          <w:sz w:val="20"/>
          <w:szCs w:val="20"/>
        </w:rPr>
        <w:t xml:space="preserve"> su sobrino José Herminio</w:t>
      </w:r>
      <w:r w:rsidR="00AD5D0E" w:rsidRPr="0095692E">
        <w:rPr>
          <w:rFonts w:ascii="Verdana" w:hAnsi="Verdana"/>
          <w:sz w:val="20"/>
          <w:szCs w:val="20"/>
        </w:rPr>
        <w:t xml:space="preserve"> García</w:t>
      </w:r>
      <w:r w:rsidR="00412B4A" w:rsidRPr="0095692E">
        <w:rPr>
          <w:rStyle w:val="Refdenotaalpie"/>
          <w:rFonts w:ascii="Verdana" w:hAnsi="Verdana"/>
          <w:sz w:val="20"/>
          <w:szCs w:val="20"/>
        </w:rPr>
        <w:footnoteReference w:id="62"/>
      </w:r>
      <w:r w:rsidR="00F67FE9" w:rsidRPr="0095692E">
        <w:rPr>
          <w:rFonts w:ascii="Verdana" w:hAnsi="Verdana"/>
          <w:sz w:val="20"/>
          <w:szCs w:val="20"/>
        </w:rPr>
        <w:t>,</w:t>
      </w:r>
      <w:r w:rsidR="00AB10D8" w:rsidRPr="0095692E">
        <w:rPr>
          <w:rFonts w:ascii="Verdana" w:hAnsi="Verdana"/>
          <w:sz w:val="20"/>
          <w:szCs w:val="20"/>
        </w:rPr>
        <w:t xml:space="preserve"> de 16 años</w:t>
      </w:r>
      <w:r w:rsidR="000B7BE7" w:rsidRPr="0095692E">
        <w:rPr>
          <w:rFonts w:ascii="Verdana" w:hAnsi="Verdana"/>
          <w:sz w:val="20"/>
          <w:szCs w:val="20"/>
        </w:rPr>
        <w:t>;</w:t>
      </w:r>
      <w:r w:rsidR="00AB10D8" w:rsidRPr="0095692E">
        <w:rPr>
          <w:rFonts w:ascii="Verdana" w:hAnsi="Verdana"/>
          <w:sz w:val="20"/>
          <w:szCs w:val="20"/>
        </w:rPr>
        <w:t xml:space="preserve"> su esposo Julio Chavarría Banegas</w:t>
      </w:r>
      <w:r w:rsidR="00D7060F" w:rsidRPr="0095692E">
        <w:rPr>
          <w:rStyle w:val="Refdenotaalpie"/>
          <w:rFonts w:ascii="Verdana" w:hAnsi="Verdana"/>
          <w:sz w:val="20"/>
          <w:szCs w:val="20"/>
        </w:rPr>
        <w:footnoteReference w:id="63"/>
      </w:r>
      <w:r w:rsidR="00AB10D8" w:rsidRPr="0095692E">
        <w:rPr>
          <w:rFonts w:ascii="Verdana" w:hAnsi="Verdana"/>
          <w:sz w:val="20"/>
          <w:szCs w:val="20"/>
        </w:rPr>
        <w:t>, y su sobrino Marlon García Barahona</w:t>
      </w:r>
      <w:r w:rsidR="006808B5" w:rsidRPr="0095692E">
        <w:rPr>
          <w:rStyle w:val="Refdenotaalpie"/>
          <w:rFonts w:ascii="Verdana" w:hAnsi="Verdana"/>
          <w:sz w:val="20"/>
          <w:szCs w:val="20"/>
        </w:rPr>
        <w:footnoteReference w:id="64"/>
      </w:r>
      <w:r w:rsidR="00F67FE9" w:rsidRPr="0095692E">
        <w:rPr>
          <w:rFonts w:ascii="Verdana" w:hAnsi="Verdana"/>
          <w:sz w:val="20"/>
          <w:szCs w:val="20"/>
        </w:rPr>
        <w:t>,</w:t>
      </w:r>
      <w:r w:rsidR="00AB10D8" w:rsidRPr="0095692E">
        <w:rPr>
          <w:rFonts w:ascii="Verdana" w:hAnsi="Verdana"/>
          <w:sz w:val="20"/>
          <w:szCs w:val="20"/>
        </w:rPr>
        <w:t xml:space="preserve"> de 11 años</w:t>
      </w:r>
      <w:r w:rsidR="008F6224" w:rsidRPr="0095692E">
        <w:rPr>
          <w:rFonts w:ascii="Verdana" w:hAnsi="Verdana"/>
          <w:sz w:val="20"/>
          <w:szCs w:val="20"/>
        </w:rPr>
        <w:t>.</w:t>
      </w:r>
    </w:p>
    <w:p w14:paraId="1BA0FA19" w14:textId="77777777" w:rsidR="00BB0B6D" w:rsidRPr="0095692E" w:rsidRDefault="00BB0B6D" w:rsidP="00BC6863">
      <w:pPr>
        <w:pStyle w:val="Prrafodelista"/>
        <w:rPr>
          <w:rFonts w:ascii="Verdana" w:hAnsi="Verdana"/>
          <w:sz w:val="20"/>
          <w:szCs w:val="20"/>
        </w:rPr>
      </w:pPr>
    </w:p>
    <w:p w14:paraId="680A929C" w14:textId="429EAC78" w:rsidR="00E008B9" w:rsidRPr="0095692E" w:rsidRDefault="00BB0B6D" w:rsidP="00A80648">
      <w:pPr>
        <w:pStyle w:val="Prrafodelista"/>
        <w:numPr>
          <w:ilvl w:val="0"/>
          <w:numId w:val="2"/>
        </w:numPr>
        <w:spacing w:after="0" w:line="240" w:lineRule="auto"/>
        <w:ind w:left="0" w:firstLine="0"/>
        <w:contextualSpacing w:val="0"/>
        <w:jc w:val="both"/>
        <w:rPr>
          <w:rFonts w:ascii="Verdana" w:hAnsi="Verdana"/>
          <w:b/>
          <w:bCs/>
          <w:color w:val="FF0000"/>
          <w:sz w:val="20"/>
          <w:szCs w:val="20"/>
        </w:rPr>
      </w:pPr>
      <w:r w:rsidRPr="0095692E">
        <w:rPr>
          <w:rFonts w:ascii="Verdana" w:hAnsi="Verdana"/>
          <w:sz w:val="20"/>
          <w:szCs w:val="20"/>
        </w:rPr>
        <w:t xml:space="preserve">Irma Deras García relató que </w:t>
      </w:r>
      <w:r w:rsidR="00E437EC" w:rsidRPr="0095692E">
        <w:rPr>
          <w:rFonts w:ascii="Verdana" w:hAnsi="Verdana"/>
          <w:sz w:val="20"/>
          <w:szCs w:val="20"/>
        </w:rPr>
        <w:t xml:space="preserve">en aquella ocasión </w:t>
      </w:r>
      <w:r w:rsidRPr="0095692E">
        <w:rPr>
          <w:rFonts w:ascii="Verdana" w:hAnsi="Verdana"/>
          <w:sz w:val="20"/>
          <w:szCs w:val="20"/>
        </w:rPr>
        <w:t>un gran número de agentes militares armados ingresaron en la residencia y</w:t>
      </w:r>
    </w:p>
    <w:p w14:paraId="19B08C83" w14:textId="77777777" w:rsidR="00E008B9" w:rsidRPr="0095692E" w:rsidRDefault="00E008B9" w:rsidP="00BC6863">
      <w:pPr>
        <w:pStyle w:val="Prrafodelista"/>
        <w:rPr>
          <w:rFonts w:ascii="Verdana" w:hAnsi="Verdana"/>
          <w:sz w:val="20"/>
          <w:szCs w:val="20"/>
        </w:rPr>
      </w:pPr>
    </w:p>
    <w:p w14:paraId="112B1C67" w14:textId="2B6E28F5" w:rsidR="00B837EB" w:rsidRPr="0095692E" w:rsidRDefault="00BB0B6D" w:rsidP="00987CC1">
      <w:pPr>
        <w:pStyle w:val="Prrafodelista"/>
        <w:spacing w:after="0" w:line="240" w:lineRule="auto"/>
        <w:ind w:left="1080" w:right="918"/>
        <w:contextualSpacing w:val="0"/>
        <w:jc w:val="both"/>
        <w:rPr>
          <w:rFonts w:ascii="Verdana" w:hAnsi="Verdana"/>
          <w:b/>
          <w:bCs/>
          <w:color w:val="FF0000"/>
          <w:sz w:val="16"/>
          <w:szCs w:val="16"/>
        </w:rPr>
      </w:pPr>
      <w:r w:rsidRPr="0095692E">
        <w:rPr>
          <w:rFonts w:ascii="Verdana" w:hAnsi="Verdana"/>
          <w:sz w:val="16"/>
          <w:szCs w:val="16"/>
        </w:rPr>
        <w:t>“me hicieron a un lado. Yo estaba en ropa de dormir, me dejaron en la acera de la parte de afuera de la casa y entraron, escuchaba cuando sacaban a toda mi familia, sacaron a Consuelo Deras, que era una persona minusválida, ella tenía una joroba […] estaba en ropa de bata y les dije: permítanme quitarme esta ropa […] entonces me dijo uno, yo te acompaño, subí las gradas y, como yo iba en ropa de dormir, me manosearon”</w:t>
      </w:r>
      <w:r w:rsidR="002459B0" w:rsidRPr="0095692E">
        <w:rPr>
          <w:rStyle w:val="Refdenotaalpie"/>
          <w:rFonts w:ascii="Verdana" w:hAnsi="Verdana"/>
          <w:sz w:val="16"/>
          <w:szCs w:val="16"/>
        </w:rPr>
        <w:footnoteReference w:id="65"/>
      </w:r>
      <w:r w:rsidRPr="0095692E">
        <w:rPr>
          <w:rFonts w:ascii="Verdana" w:hAnsi="Verdana"/>
          <w:sz w:val="16"/>
          <w:szCs w:val="16"/>
        </w:rPr>
        <w:t>.</w:t>
      </w:r>
      <w:r w:rsidR="002616F3" w:rsidRPr="0095692E">
        <w:rPr>
          <w:rFonts w:ascii="Verdana" w:hAnsi="Verdana"/>
          <w:sz w:val="16"/>
          <w:szCs w:val="16"/>
        </w:rPr>
        <w:t xml:space="preserve"> </w:t>
      </w:r>
    </w:p>
    <w:p w14:paraId="2902AB74" w14:textId="77777777" w:rsidR="00B837EB" w:rsidRPr="0095692E" w:rsidRDefault="00B837EB" w:rsidP="00BC6863">
      <w:pPr>
        <w:pStyle w:val="Prrafodelista"/>
        <w:rPr>
          <w:rFonts w:ascii="Verdana" w:hAnsi="Verdana"/>
          <w:b/>
          <w:bCs/>
          <w:color w:val="FF0000"/>
          <w:sz w:val="20"/>
          <w:szCs w:val="20"/>
          <w:u w:val="single"/>
        </w:rPr>
      </w:pPr>
    </w:p>
    <w:p w14:paraId="41730E1D" w14:textId="0642CF3B" w:rsidR="00AB10D8" w:rsidRPr="0095692E" w:rsidRDefault="00143F1B"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Posteriormente, t</w:t>
      </w:r>
      <w:r w:rsidR="00AB10D8" w:rsidRPr="0095692E">
        <w:rPr>
          <w:rFonts w:ascii="Verdana" w:hAnsi="Verdana"/>
          <w:sz w:val="20"/>
          <w:szCs w:val="20"/>
        </w:rPr>
        <w:t>odos fueron trasladados, caminando, hasta la delegación de la Fuerza de Seguridad Pública. Esa misma noche fue allanado el negocio familiar de bloques y mosaicos donde permanecía el señor Domingo Deras, quien fue capturado.</w:t>
      </w:r>
    </w:p>
    <w:p w14:paraId="75F14380" w14:textId="77777777" w:rsidR="00AB10D8" w:rsidRPr="0095692E" w:rsidRDefault="00AB10D8" w:rsidP="00A80648">
      <w:pPr>
        <w:pStyle w:val="Prrafodelista"/>
        <w:spacing w:after="0" w:line="240" w:lineRule="auto"/>
        <w:ind w:left="0"/>
        <w:contextualSpacing w:val="0"/>
        <w:rPr>
          <w:rFonts w:ascii="Verdana" w:hAnsi="Verdana"/>
          <w:sz w:val="20"/>
          <w:szCs w:val="20"/>
        </w:rPr>
      </w:pPr>
    </w:p>
    <w:p w14:paraId="65514C8F" w14:textId="40A3F808" w:rsidR="00AB10D8" w:rsidRPr="0095692E" w:rsidRDefault="00E437EC"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A</w:t>
      </w:r>
      <w:r w:rsidR="00AB10D8" w:rsidRPr="0095692E">
        <w:rPr>
          <w:rFonts w:ascii="Verdana" w:hAnsi="Verdana"/>
          <w:sz w:val="20"/>
          <w:szCs w:val="20"/>
        </w:rPr>
        <w:t xml:space="preserve">l llegar Héctor </w:t>
      </w:r>
      <w:r w:rsidR="006F54CE" w:rsidRPr="0095692E">
        <w:rPr>
          <w:rFonts w:ascii="Verdana" w:hAnsi="Verdana"/>
          <w:sz w:val="20"/>
          <w:szCs w:val="20"/>
        </w:rPr>
        <w:t>García</w:t>
      </w:r>
      <w:r w:rsidR="00895141" w:rsidRPr="0095692E">
        <w:rPr>
          <w:rFonts w:ascii="Verdana" w:hAnsi="Verdana"/>
          <w:sz w:val="20"/>
          <w:szCs w:val="20"/>
        </w:rPr>
        <w:t xml:space="preserve"> </w:t>
      </w:r>
      <w:r w:rsidR="00895141" w:rsidRPr="0095692E">
        <w:rPr>
          <w:rStyle w:val="Refdenotaalpie"/>
          <w:rFonts w:ascii="Verdana" w:hAnsi="Verdana"/>
          <w:sz w:val="20"/>
          <w:szCs w:val="20"/>
        </w:rPr>
        <w:footnoteReference w:id="66"/>
      </w:r>
      <w:r w:rsidR="00AB10D8" w:rsidRPr="0095692E">
        <w:rPr>
          <w:rFonts w:ascii="Verdana" w:hAnsi="Verdana"/>
          <w:sz w:val="20"/>
          <w:szCs w:val="20"/>
        </w:rPr>
        <w:t xml:space="preserve"> a la casa de la familia Deras García para informar sobre la captura de su padre, fue detenido y trasladado, junto al resto de su familia, a las instalaciones de la Fuerza de Seguridad Pública, las cuales estaban bajo vigilancia de unos 25 </w:t>
      </w:r>
      <w:r w:rsidR="006F54CE" w:rsidRPr="0095692E">
        <w:rPr>
          <w:rFonts w:ascii="Verdana" w:hAnsi="Verdana"/>
          <w:sz w:val="20"/>
          <w:szCs w:val="20"/>
        </w:rPr>
        <w:t>“</w:t>
      </w:r>
      <w:r w:rsidR="00AB10D8" w:rsidRPr="0095692E">
        <w:rPr>
          <w:rFonts w:ascii="Verdana" w:hAnsi="Verdana"/>
          <w:sz w:val="20"/>
          <w:szCs w:val="20"/>
        </w:rPr>
        <w:t xml:space="preserve">agentes </w:t>
      </w:r>
      <w:r w:rsidR="006F54CE" w:rsidRPr="0095692E">
        <w:rPr>
          <w:rFonts w:ascii="Verdana" w:hAnsi="Verdana"/>
          <w:sz w:val="20"/>
          <w:szCs w:val="20"/>
        </w:rPr>
        <w:t>c</w:t>
      </w:r>
      <w:r w:rsidR="00AB10D8" w:rsidRPr="0095692E">
        <w:rPr>
          <w:rFonts w:ascii="Verdana" w:hAnsi="Verdana"/>
          <w:sz w:val="20"/>
          <w:szCs w:val="20"/>
        </w:rPr>
        <w:t>obras</w:t>
      </w:r>
      <w:r w:rsidR="006F54CE" w:rsidRPr="0095692E">
        <w:rPr>
          <w:rFonts w:ascii="Verdana" w:hAnsi="Verdana"/>
          <w:sz w:val="20"/>
          <w:szCs w:val="20"/>
        </w:rPr>
        <w:t>”</w:t>
      </w:r>
      <w:r w:rsidR="00AB10D8" w:rsidRPr="0095692E">
        <w:rPr>
          <w:rFonts w:ascii="Verdana" w:hAnsi="Verdana"/>
          <w:sz w:val="20"/>
          <w:szCs w:val="20"/>
        </w:rPr>
        <w:t xml:space="preserve">, todos armados con fusiles de asalto, marca Galil y M-16. Los </w:t>
      </w:r>
      <w:r w:rsidR="00AB10D8" w:rsidRPr="0095692E">
        <w:rPr>
          <w:rFonts w:ascii="Verdana" w:hAnsi="Verdana"/>
          <w:sz w:val="20"/>
          <w:szCs w:val="20"/>
        </w:rPr>
        <w:lastRenderedPageBreak/>
        <w:t xml:space="preserve">llevaron hasta una celda y a todos los obligaron a pegar el rostro </w:t>
      </w:r>
      <w:r w:rsidR="005C38A6" w:rsidRPr="0095692E">
        <w:rPr>
          <w:rFonts w:ascii="Verdana" w:hAnsi="Verdana"/>
          <w:sz w:val="20"/>
          <w:szCs w:val="20"/>
        </w:rPr>
        <w:t>contra</w:t>
      </w:r>
      <w:r w:rsidR="00AB10D8" w:rsidRPr="0095692E">
        <w:rPr>
          <w:rFonts w:ascii="Verdana" w:hAnsi="Verdana"/>
          <w:sz w:val="20"/>
          <w:szCs w:val="20"/>
        </w:rPr>
        <w:t xml:space="preserve"> la pared. Por unos momentos estuvieron juntos, después a Irma Deras</w:t>
      </w:r>
      <w:r w:rsidR="005C38A6" w:rsidRPr="0095692E">
        <w:rPr>
          <w:rFonts w:ascii="Verdana" w:hAnsi="Verdana"/>
          <w:sz w:val="20"/>
          <w:szCs w:val="20"/>
        </w:rPr>
        <w:t xml:space="preserve"> García</w:t>
      </w:r>
      <w:r w:rsidR="00AB10D8" w:rsidRPr="0095692E">
        <w:rPr>
          <w:rFonts w:ascii="Verdana" w:hAnsi="Verdana"/>
          <w:sz w:val="20"/>
          <w:szCs w:val="20"/>
        </w:rPr>
        <w:t xml:space="preserve"> la sacaron de la celda, le tomaron fotografías y huellas dactilares, posteriormente la vendaron y la interrogaron sobre su participación en una célula guerrillera; cuando negó la acusación, la golpearon en el rostro y otro agente expresó: “sácale la lengua</w:t>
      </w:r>
      <w:r w:rsidR="006F54CE" w:rsidRPr="0095692E">
        <w:rPr>
          <w:rFonts w:ascii="Verdana" w:hAnsi="Verdana"/>
          <w:sz w:val="20"/>
          <w:szCs w:val="20"/>
        </w:rPr>
        <w:t>[</w:t>
      </w:r>
      <w:r w:rsidR="00AB10D8" w:rsidRPr="0095692E">
        <w:rPr>
          <w:rFonts w:ascii="Verdana" w:hAnsi="Verdana"/>
          <w:sz w:val="20"/>
          <w:szCs w:val="20"/>
        </w:rPr>
        <w:t>;</w:t>
      </w:r>
      <w:r w:rsidR="006F54CE" w:rsidRPr="0095692E">
        <w:rPr>
          <w:rFonts w:ascii="Verdana" w:hAnsi="Verdana"/>
          <w:sz w:val="20"/>
          <w:szCs w:val="20"/>
        </w:rPr>
        <w:t>]</w:t>
      </w:r>
      <w:r w:rsidR="00AB10D8" w:rsidRPr="0095692E">
        <w:rPr>
          <w:rFonts w:ascii="Verdana" w:hAnsi="Verdana"/>
          <w:sz w:val="20"/>
          <w:szCs w:val="20"/>
        </w:rPr>
        <w:t xml:space="preserve"> es la hermana del comunista muerto”. Posteriormente, todos fueron vendados, amarrados y llevados a la </w:t>
      </w:r>
      <w:r w:rsidR="006F54CE" w:rsidRPr="0095692E">
        <w:rPr>
          <w:rFonts w:ascii="Verdana" w:hAnsi="Verdana"/>
          <w:sz w:val="20"/>
          <w:szCs w:val="20"/>
        </w:rPr>
        <w:t>b</w:t>
      </w:r>
      <w:r w:rsidR="00AB10D8" w:rsidRPr="0095692E">
        <w:rPr>
          <w:rFonts w:ascii="Verdana" w:hAnsi="Verdana"/>
          <w:sz w:val="20"/>
          <w:szCs w:val="20"/>
        </w:rPr>
        <w:t xml:space="preserve">ase </w:t>
      </w:r>
      <w:r w:rsidR="006F54CE" w:rsidRPr="0095692E">
        <w:rPr>
          <w:rFonts w:ascii="Verdana" w:hAnsi="Verdana"/>
          <w:sz w:val="20"/>
          <w:szCs w:val="20"/>
        </w:rPr>
        <w:t>á</w:t>
      </w:r>
      <w:r w:rsidR="00AB10D8" w:rsidRPr="0095692E">
        <w:rPr>
          <w:rFonts w:ascii="Verdana" w:hAnsi="Verdana"/>
          <w:sz w:val="20"/>
          <w:szCs w:val="20"/>
        </w:rPr>
        <w:t>rea de San Pedro Sula, donde los obligaron a subir a un avión militar</w:t>
      </w:r>
      <w:r w:rsidR="00EE5782" w:rsidRPr="0095692E">
        <w:rPr>
          <w:rFonts w:ascii="Verdana" w:hAnsi="Verdana"/>
          <w:sz w:val="20"/>
          <w:szCs w:val="20"/>
        </w:rPr>
        <w:t xml:space="preserve"> y fueron llevados a Tegucigalpa</w:t>
      </w:r>
      <w:r w:rsidR="00AB10D8" w:rsidRPr="0095692E">
        <w:rPr>
          <w:rFonts w:ascii="Verdana" w:hAnsi="Verdana"/>
          <w:sz w:val="20"/>
          <w:szCs w:val="20"/>
        </w:rPr>
        <w:t xml:space="preserve">. Fueron sometidos a golpes constantes y puntapiés. Cuando Irma Deras fue interrogada, escuchó los gritos de sus familiares mientras estaban siendo </w:t>
      </w:r>
      <w:r w:rsidR="00A62D77" w:rsidRPr="0095692E">
        <w:rPr>
          <w:rFonts w:ascii="Verdana" w:hAnsi="Verdana"/>
          <w:sz w:val="20"/>
          <w:szCs w:val="20"/>
        </w:rPr>
        <w:t>agredidos</w:t>
      </w:r>
      <w:r w:rsidR="00AB10D8" w:rsidRPr="0095692E">
        <w:rPr>
          <w:rFonts w:ascii="Verdana" w:hAnsi="Verdana"/>
          <w:sz w:val="20"/>
          <w:szCs w:val="20"/>
        </w:rPr>
        <w:t xml:space="preserve"> y con frecuencia</w:t>
      </w:r>
      <w:r w:rsidR="00EE5782" w:rsidRPr="0095692E">
        <w:rPr>
          <w:rFonts w:ascii="Verdana" w:hAnsi="Verdana"/>
          <w:sz w:val="20"/>
          <w:szCs w:val="20"/>
        </w:rPr>
        <w:t xml:space="preserve"> eran</w:t>
      </w:r>
      <w:r w:rsidR="00AB10D8" w:rsidRPr="0095692E">
        <w:rPr>
          <w:rFonts w:ascii="Verdana" w:hAnsi="Verdana"/>
          <w:sz w:val="20"/>
          <w:szCs w:val="20"/>
        </w:rPr>
        <w:t xml:space="preserve"> colocados contra la pared y amenazados de muerte</w:t>
      </w:r>
      <w:r w:rsidR="0003516E" w:rsidRPr="0095692E">
        <w:rPr>
          <w:rStyle w:val="Refdenotaalpie"/>
          <w:rFonts w:ascii="Verdana" w:hAnsi="Verdana"/>
          <w:sz w:val="20"/>
          <w:szCs w:val="20"/>
        </w:rPr>
        <w:footnoteReference w:id="67"/>
      </w:r>
      <w:r w:rsidR="00AB10D8" w:rsidRPr="0095692E">
        <w:rPr>
          <w:rFonts w:ascii="Verdana" w:hAnsi="Verdana"/>
          <w:sz w:val="20"/>
          <w:szCs w:val="20"/>
        </w:rPr>
        <w:t>.</w:t>
      </w:r>
    </w:p>
    <w:p w14:paraId="579A3A32" w14:textId="77777777" w:rsidR="00AB10D8" w:rsidRPr="0095692E" w:rsidRDefault="00AB10D8" w:rsidP="00A80648">
      <w:pPr>
        <w:pStyle w:val="Prrafodelista"/>
        <w:spacing w:after="0" w:line="240" w:lineRule="auto"/>
        <w:ind w:left="0"/>
        <w:contextualSpacing w:val="0"/>
        <w:jc w:val="both"/>
        <w:rPr>
          <w:rFonts w:ascii="Verdana" w:hAnsi="Verdana"/>
          <w:sz w:val="20"/>
          <w:szCs w:val="20"/>
        </w:rPr>
      </w:pPr>
    </w:p>
    <w:p w14:paraId="7F8075F1" w14:textId="70F4CC66" w:rsidR="00AB10D8" w:rsidRPr="0095692E" w:rsidRDefault="009B5CC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l 9 de junio de 1984</w:t>
      </w:r>
      <w:r w:rsidR="002A5840" w:rsidRPr="0095692E">
        <w:rPr>
          <w:rFonts w:ascii="Verdana" w:hAnsi="Verdana"/>
          <w:sz w:val="20"/>
          <w:szCs w:val="20"/>
        </w:rPr>
        <w:t>,</w:t>
      </w:r>
      <w:r w:rsidR="00AB10D8" w:rsidRPr="0095692E">
        <w:rPr>
          <w:rFonts w:ascii="Verdana" w:hAnsi="Verdana"/>
          <w:sz w:val="20"/>
          <w:szCs w:val="20"/>
        </w:rPr>
        <w:t xml:space="preserve"> </w:t>
      </w:r>
      <w:r w:rsidR="00AA00A0" w:rsidRPr="0095692E">
        <w:rPr>
          <w:rFonts w:ascii="Verdana" w:hAnsi="Verdana"/>
          <w:sz w:val="20"/>
          <w:szCs w:val="20"/>
        </w:rPr>
        <w:t xml:space="preserve">fueron liberados el señor </w:t>
      </w:r>
      <w:r w:rsidR="00AB10D8" w:rsidRPr="0095692E">
        <w:rPr>
          <w:rFonts w:ascii="Verdana" w:hAnsi="Verdana"/>
          <w:sz w:val="20"/>
          <w:szCs w:val="20"/>
        </w:rPr>
        <w:t>Domingo Deras</w:t>
      </w:r>
      <w:r w:rsidR="00AA00A0" w:rsidRPr="0095692E">
        <w:rPr>
          <w:rFonts w:ascii="Verdana" w:hAnsi="Verdana"/>
          <w:sz w:val="20"/>
          <w:szCs w:val="20"/>
        </w:rPr>
        <w:t xml:space="preserve">, </w:t>
      </w:r>
      <w:r w:rsidR="00AB10D8" w:rsidRPr="0095692E">
        <w:rPr>
          <w:rFonts w:ascii="Verdana" w:hAnsi="Verdana"/>
          <w:sz w:val="20"/>
          <w:szCs w:val="20"/>
        </w:rPr>
        <w:t>José Herminio García</w:t>
      </w:r>
      <w:r w:rsidR="00AA00A0" w:rsidRPr="0095692E">
        <w:rPr>
          <w:rFonts w:ascii="Verdana" w:hAnsi="Verdana"/>
          <w:sz w:val="20"/>
          <w:szCs w:val="20"/>
        </w:rPr>
        <w:t xml:space="preserve"> y </w:t>
      </w:r>
      <w:r w:rsidR="00AB10D8" w:rsidRPr="0095692E">
        <w:rPr>
          <w:rFonts w:ascii="Verdana" w:hAnsi="Verdana"/>
          <w:sz w:val="20"/>
          <w:szCs w:val="20"/>
        </w:rPr>
        <w:t xml:space="preserve">Consuelo Deras García. Durante la detención, Consuelo Deras </w:t>
      </w:r>
      <w:r w:rsidR="005C38A6" w:rsidRPr="0095692E">
        <w:rPr>
          <w:rFonts w:ascii="Verdana" w:hAnsi="Verdana"/>
          <w:sz w:val="20"/>
          <w:szCs w:val="20"/>
        </w:rPr>
        <w:t xml:space="preserve">García </w:t>
      </w:r>
      <w:r w:rsidR="00AA00A0" w:rsidRPr="0095692E">
        <w:rPr>
          <w:rFonts w:ascii="Verdana" w:hAnsi="Verdana"/>
          <w:sz w:val="20"/>
          <w:szCs w:val="20"/>
        </w:rPr>
        <w:t>“</w:t>
      </w:r>
      <w:r w:rsidR="00AB10D8" w:rsidRPr="0095692E">
        <w:rPr>
          <w:rFonts w:ascii="Verdana" w:hAnsi="Verdana"/>
          <w:sz w:val="20"/>
          <w:szCs w:val="20"/>
        </w:rPr>
        <w:t>sufrió una crisis nervios</w:t>
      </w:r>
      <w:r w:rsidR="005C38A6" w:rsidRPr="0095692E">
        <w:rPr>
          <w:rFonts w:ascii="Verdana" w:hAnsi="Verdana"/>
          <w:sz w:val="20"/>
          <w:szCs w:val="20"/>
        </w:rPr>
        <w:t>a</w:t>
      </w:r>
      <w:r w:rsidR="00AB10D8" w:rsidRPr="0095692E">
        <w:rPr>
          <w:rFonts w:ascii="Verdana" w:hAnsi="Verdana"/>
          <w:sz w:val="20"/>
          <w:szCs w:val="20"/>
        </w:rPr>
        <w:t xml:space="preserve"> ocasionada por lo que estaba pasando y la incertidumbre de no saber sobre lo que le preguntaban</w:t>
      </w:r>
      <w:r w:rsidR="00AA00A0" w:rsidRPr="0095692E">
        <w:rPr>
          <w:rFonts w:ascii="Verdana" w:hAnsi="Verdana"/>
          <w:sz w:val="20"/>
          <w:szCs w:val="20"/>
        </w:rPr>
        <w:t>”</w:t>
      </w:r>
      <w:r w:rsidR="00AB10D8" w:rsidRPr="0095692E">
        <w:rPr>
          <w:rFonts w:ascii="Verdana" w:hAnsi="Verdana"/>
          <w:sz w:val="20"/>
          <w:szCs w:val="20"/>
        </w:rPr>
        <w:t>. Posteriormente falleció.</w:t>
      </w:r>
    </w:p>
    <w:p w14:paraId="7E39A7E4" w14:textId="77777777" w:rsidR="00AB10D8" w:rsidRPr="0095692E" w:rsidRDefault="00AB10D8" w:rsidP="00A80648">
      <w:pPr>
        <w:pStyle w:val="Prrafodelista"/>
        <w:spacing w:after="0" w:line="240" w:lineRule="auto"/>
        <w:contextualSpacing w:val="0"/>
        <w:rPr>
          <w:rFonts w:ascii="Verdana" w:hAnsi="Verdana"/>
          <w:sz w:val="20"/>
          <w:szCs w:val="20"/>
        </w:rPr>
      </w:pPr>
    </w:p>
    <w:p w14:paraId="488DA882" w14:textId="2EB72B99" w:rsidR="00AB10D8" w:rsidRPr="0095692E" w:rsidRDefault="009B5CC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 xml:space="preserve">l 11 de junio de 1984 los demás </w:t>
      </w:r>
      <w:r w:rsidR="00027A2D" w:rsidRPr="0095692E">
        <w:rPr>
          <w:rFonts w:ascii="Verdana" w:hAnsi="Verdana"/>
          <w:sz w:val="20"/>
          <w:szCs w:val="20"/>
        </w:rPr>
        <w:t>familiares de Herminio</w:t>
      </w:r>
      <w:r w:rsidR="00AB10D8" w:rsidRPr="0095692E">
        <w:rPr>
          <w:rFonts w:ascii="Verdana" w:hAnsi="Verdana"/>
          <w:sz w:val="20"/>
          <w:szCs w:val="20"/>
        </w:rPr>
        <w:t xml:space="preserve"> Deras </w:t>
      </w:r>
      <w:r w:rsidR="00027A2D" w:rsidRPr="0095692E">
        <w:rPr>
          <w:rFonts w:ascii="Verdana" w:hAnsi="Verdana"/>
          <w:sz w:val="20"/>
          <w:szCs w:val="20"/>
        </w:rPr>
        <w:t xml:space="preserve">García </w:t>
      </w:r>
      <w:r w:rsidR="00AB10D8" w:rsidRPr="0095692E">
        <w:rPr>
          <w:rFonts w:ascii="Verdana" w:hAnsi="Verdana"/>
          <w:sz w:val="20"/>
          <w:szCs w:val="20"/>
        </w:rPr>
        <w:t xml:space="preserve">fueron liberados mediante </w:t>
      </w:r>
      <w:r w:rsidR="00027A2D" w:rsidRPr="0095692E">
        <w:rPr>
          <w:rFonts w:ascii="Verdana" w:hAnsi="Verdana"/>
          <w:sz w:val="20"/>
          <w:szCs w:val="20"/>
        </w:rPr>
        <w:t>el apoyo</w:t>
      </w:r>
      <w:r w:rsidR="00AB10D8" w:rsidRPr="0095692E">
        <w:rPr>
          <w:rFonts w:ascii="Verdana" w:hAnsi="Verdana"/>
          <w:sz w:val="20"/>
          <w:szCs w:val="20"/>
        </w:rPr>
        <w:t xml:space="preserve"> de </w:t>
      </w:r>
      <w:r w:rsidR="005C38A6" w:rsidRPr="0095692E">
        <w:rPr>
          <w:rFonts w:ascii="Verdana" w:hAnsi="Verdana"/>
          <w:sz w:val="20"/>
          <w:szCs w:val="20"/>
        </w:rPr>
        <w:t>una</w:t>
      </w:r>
      <w:r w:rsidR="00AB10D8" w:rsidRPr="0095692E">
        <w:rPr>
          <w:rFonts w:ascii="Verdana" w:hAnsi="Verdana"/>
          <w:sz w:val="20"/>
          <w:szCs w:val="20"/>
        </w:rPr>
        <w:t xml:space="preserve"> abogada y la defensa colectiva de los familiares de los otros detenidos y organizaciones sociales. </w:t>
      </w:r>
      <w:r w:rsidRPr="0095692E">
        <w:rPr>
          <w:rFonts w:ascii="Verdana" w:hAnsi="Verdana"/>
          <w:sz w:val="20"/>
          <w:szCs w:val="20"/>
        </w:rPr>
        <w:t>A</w:t>
      </w:r>
      <w:r w:rsidR="00AB10D8" w:rsidRPr="0095692E">
        <w:rPr>
          <w:rFonts w:ascii="Verdana" w:hAnsi="Verdana"/>
          <w:sz w:val="20"/>
          <w:szCs w:val="20"/>
        </w:rPr>
        <w:t xml:space="preserve"> la familia se le decretó libertad provisional, pero debieron pagar una fianza colectiva por el delito de sedición. Como consecuencia de esta detención, Sandra Hernández Deras perdió su empleo en la tienda denominada la Estrella. La propietaria consideró que ella era un “peligro” para su negocio por ser “comunista”. Por su parte, Marlen García Pineda también fue despedida de su trabajo bajo el mismo fundamento. </w:t>
      </w:r>
    </w:p>
    <w:p w14:paraId="7D8651F9" w14:textId="77777777" w:rsidR="00AB10D8" w:rsidRPr="0095692E" w:rsidRDefault="00AB10D8" w:rsidP="00A80648">
      <w:pPr>
        <w:pStyle w:val="Prrafodelista"/>
        <w:spacing w:after="0" w:line="240" w:lineRule="auto"/>
        <w:contextualSpacing w:val="0"/>
        <w:rPr>
          <w:rFonts w:ascii="Verdana" w:hAnsi="Verdana"/>
          <w:sz w:val="20"/>
          <w:szCs w:val="20"/>
        </w:rPr>
      </w:pPr>
    </w:p>
    <w:p w14:paraId="0FEFFD7E" w14:textId="4DEFC887" w:rsidR="00AB10D8" w:rsidRPr="0095692E" w:rsidRDefault="009B5CC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n septiembre de 1984 Héctor García se vio obligado a salir del país después que un agente de la DNI le informara a su padre, Domingo Deras</w:t>
      </w:r>
      <w:r w:rsidR="005C38A6" w:rsidRPr="0095692E">
        <w:rPr>
          <w:rFonts w:ascii="Verdana" w:hAnsi="Verdana"/>
          <w:sz w:val="20"/>
          <w:szCs w:val="20"/>
        </w:rPr>
        <w:t xml:space="preserve"> Henríquez</w:t>
      </w:r>
      <w:r w:rsidR="00AB10D8" w:rsidRPr="0095692E">
        <w:rPr>
          <w:rFonts w:ascii="Verdana" w:hAnsi="Verdana"/>
          <w:sz w:val="20"/>
          <w:szCs w:val="20"/>
        </w:rPr>
        <w:t>, que había un plan para matarlo. Tuvo que dejar a sus hijos al cuidado de su madre Eustaquia García</w:t>
      </w:r>
      <w:r w:rsidR="005C38A6" w:rsidRPr="0095692E">
        <w:rPr>
          <w:rFonts w:ascii="Verdana" w:hAnsi="Verdana"/>
          <w:sz w:val="20"/>
          <w:szCs w:val="20"/>
        </w:rPr>
        <w:t xml:space="preserve"> Alvarado</w:t>
      </w:r>
      <w:r w:rsidR="00AB10D8" w:rsidRPr="0095692E">
        <w:rPr>
          <w:rFonts w:ascii="Verdana" w:hAnsi="Verdana"/>
          <w:sz w:val="20"/>
          <w:szCs w:val="20"/>
        </w:rPr>
        <w:t xml:space="preserve">. Solo se volvió a encontrar con su familia 16 años después. Héctor </w:t>
      </w:r>
      <w:r w:rsidRPr="0095692E">
        <w:rPr>
          <w:rFonts w:ascii="Verdana" w:hAnsi="Verdana"/>
          <w:sz w:val="20"/>
          <w:szCs w:val="20"/>
        </w:rPr>
        <w:t>García m</w:t>
      </w:r>
      <w:r w:rsidR="00AB10D8" w:rsidRPr="0095692E">
        <w:rPr>
          <w:rFonts w:ascii="Verdana" w:hAnsi="Verdana"/>
          <w:sz w:val="20"/>
          <w:szCs w:val="20"/>
        </w:rPr>
        <w:t>urió en 2010, en el exilio</w:t>
      </w:r>
      <w:r w:rsidRPr="0095692E">
        <w:rPr>
          <w:rFonts w:ascii="Verdana" w:hAnsi="Verdana"/>
          <w:sz w:val="20"/>
          <w:szCs w:val="20"/>
        </w:rPr>
        <w:t>,</w:t>
      </w:r>
      <w:r w:rsidR="00AB10D8" w:rsidRPr="0095692E">
        <w:rPr>
          <w:rFonts w:ascii="Verdana" w:hAnsi="Verdana"/>
          <w:sz w:val="20"/>
          <w:szCs w:val="20"/>
        </w:rPr>
        <w:t xml:space="preserve"> al día siguiente de haber regresado de Honduras de visitar a su madre enferma. </w:t>
      </w:r>
    </w:p>
    <w:p w14:paraId="04DC7C88" w14:textId="77777777" w:rsidR="00AB10D8" w:rsidRPr="0095692E" w:rsidRDefault="00AB10D8" w:rsidP="00A80648">
      <w:pPr>
        <w:pStyle w:val="Prrafodelista"/>
        <w:spacing w:after="0" w:line="240" w:lineRule="auto"/>
        <w:contextualSpacing w:val="0"/>
        <w:rPr>
          <w:rFonts w:ascii="Verdana" w:hAnsi="Verdana"/>
          <w:sz w:val="20"/>
          <w:szCs w:val="20"/>
        </w:rPr>
      </w:pPr>
    </w:p>
    <w:p w14:paraId="3345BC7D" w14:textId="02ECBD09"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El 12 de junio de 1987 Domingo Deras</w:t>
      </w:r>
      <w:r w:rsidR="00FC17CF" w:rsidRPr="0095692E">
        <w:rPr>
          <w:rFonts w:ascii="Verdana" w:hAnsi="Verdana"/>
          <w:sz w:val="20"/>
          <w:szCs w:val="20"/>
        </w:rPr>
        <w:t xml:space="preserve"> Henríquez</w:t>
      </w:r>
      <w:r w:rsidRPr="0095692E">
        <w:rPr>
          <w:rFonts w:ascii="Verdana" w:hAnsi="Verdana"/>
          <w:sz w:val="20"/>
          <w:szCs w:val="20"/>
        </w:rPr>
        <w:t>, de entonces 72 años, quien padecía una profunda depresión generada por el asesinato de su hijo, se</w:t>
      </w:r>
      <w:r w:rsidR="00963CAA" w:rsidRPr="0095692E">
        <w:rPr>
          <w:rFonts w:ascii="Verdana" w:hAnsi="Verdana"/>
          <w:sz w:val="20"/>
          <w:szCs w:val="20"/>
        </w:rPr>
        <w:t xml:space="preserve"> suicidó. </w:t>
      </w:r>
    </w:p>
    <w:p w14:paraId="155CDF61" w14:textId="77777777" w:rsidR="00AB10D8" w:rsidRPr="0095692E" w:rsidRDefault="00AB10D8" w:rsidP="00A80648">
      <w:pPr>
        <w:pStyle w:val="Prrafodelista"/>
        <w:spacing w:after="0" w:line="240" w:lineRule="auto"/>
        <w:contextualSpacing w:val="0"/>
        <w:rPr>
          <w:rFonts w:ascii="Verdana" w:hAnsi="Verdana"/>
          <w:sz w:val="20"/>
          <w:szCs w:val="20"/>
        </w:rPr>
      </w:pPr>
    </w:p>
    <w:p w14:paraId="0E6882F9" w14:textId="4F1CBB84" w:rsidR="00AB10D8" w:rsidRPr="0095692E" w:rsidRDefault="009B5CC0"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lastRenderedPageBreak/>
        <w:t>D</w:t>
      </w:r>
      <w:r w:rsidR="00AB10D8" w:rsidRPr="0095692E">
        <w:rPr>
          <w:rFonts w:ascii="Verdana" w:hAnsi="Verdana"/>
          <w:sz w:val="20"/>
          <w:szCs w:val="20"/>
        </w:rPr>
        <w:t>urante años, a los miembros de la familia les fue difícil encontrar trabajo debido a la estigmatización de sus apellidos</w:t>
      </w:r>
      <w:r w:rsidR="00187223" w:rsidRPr="0095692E">
        <w:rPr>
          <w:rStyle w:val="Refdenotaalpie"/>
          <w:rFonts w:ascii="Verdana" w:hAnsi="Verdana"/>
          <w:sz w:val="20"/>
          <w:szCs w:val="20"/>
        </w:rPr>
        <w:footnoteReference w:id="68"/>
      </w:r>
      <w:r w:rsidR="00AB10D8" w:rsidRPr="0095692E">
        <w:rPr>
          <w:rFonts w:ascii="Verdana" w:hAnsi="Verdana"/>
          <w:sz w:val="20"/>
          <w:szCs w:val="20"/>
        </w:rPr>
        <w:t xml:space="preserve">. </w:t>
      </w:r>
      <w:r w:rsidRPr="0095692E">
        <w:rPr>
          <w:rFonts w:ascii="Verdana" w:hAnsi="Verdana"/>
          <w:sz w:val="20"/>
          <w:szCs w:val="20"/>
        </w:rPr>
        <w:t>L</w:t>
      </w:r>
      <w:r w:rsidR="00AB10D8" w:rsidRPr="0095692E">
        <w:rPr>
          <w:rFonts w:ascii="Verdana" w:hAnsi="Verdana"/>
          <w:sz w:val="20"/>
          <w:szCs w:val="20"/>
        </w:rPr>
        <w:t xml:space="preserve">a madre </w:t>
      </w:r>
      <w:r w:rsidRPr="0095692E">
        <w:rPr>
          <w:rFonts w:ascii="Verdana" w:hAnsi="Verdana"/>
          <w:sz w:val="20"/>
          <w:szCs w:val="20"/>
        </w:rPr>
        <w:t xml:space="preserve">de Herminio Deras García </w:t>
      </w:r>
      <w:r w:rsidR="003235F8" w:rsidRPr="0095692E">
        <w:rPr>
          <w:rFonts w:ascii="Verdana" w:hAnsi="Verdana"/>
          <w:sz w:val="20"/>
          <w:szCs w:val="20"/>
        </w:rPr>
        <w:t>“</w:t>
      </w:r>
      <w:r w:rsidR="00AB10D8" w:rsidRPr="0095692E">
        <w:rPr>
          <w:rFonts w:ascii="Verdana" w:hAnsi="Verdana"/>
          <w:sz w:val="20"/>
          <w:szCs w:val="20"/>
        </w:rPr>
        <w:t>entró en una profunda depresión que le activó el foco epiléptico</w:t>
      </w:r>
      <w:r w:rsidR="003235F8" w:rsidRPr="0095692E">
        <w:rPr>
          <w:rFonts w:ascii="Verdana" w:hAnsi="Verdana"/>
          <w:sz w:val="20"/>
          <w:szCs w:val="20"/>
        </w:rPr>
        <w:t>”</w:t>
      </w:r>
      <w:r w:rsidR="00AB10D8" w:rsidRPr="0095692E">
        <w:rPr>
          <w:rFonts w:ascii="Verdana" w:hAnsi="Verdana"/>
          <w:sz w:val="20"/>
          <w:szCs w:val="20"/>
        </w:rPr>
        <w:t>. Además</w:t>
      </w:r>
      <w:r w:rsidR="004B1D49" w:rsidRPr="0095692E">
        <w:rPr>
          <w:rFonts w:ascii="Verdana" w:hAnsi="Verdana"/>
          <w:sz w:val="20"/>
          <w:szCs w:val="20"/>
        </w:rPr>
        <w:t xml:space="preserve"> de los constantes ataques de epilepsia que </w:t>
      </w:r>
      <w:r w:rsidR="00AB10D8" w:rsidRPr="0095692E">
        <w:rPr>
          <w:rFonts w:ascii="Verdana" w:hAnsi="Verdana"/>
          <w:sz w:val="20"/>
          <w:szCs w:val="20"/>
        </w:rPr>
        <w:t xml:space="preserve">sufría y </w:t>
      </w:r>
      <w:r w:rsidR="004B1D49" w:rsidRPr="0095692E">
        <w:rPr>
          <w:rFonts w:ascii="Verdana" w:hAnsi="Verdana"/>
          <w:sz w:val="20"/>
          <w:szCs w:val="20"/>
        </w:rPr>
        <w:t xml:space="preserve">del deterioro de </w:t>
      </w:r>
      <w:r w:rsidR="00AB10D8" w:rsidRPr="0095692E">
        <w:rPr>
          <w:rFonts w:ascii="Verdana" w:hAnsi="Verdana"/>
          <w:sz w:val="20"/>
          <w:szCs w:val="20"/>
        </w:rPr>
        <w:t xml:space="preserve">su salud, la economía familiar </w:t>
      </w:r>
      <w:r w:rsidR="00D9667C" w:rsidRPr="0095692E">
        <w:rPr>
          <w:rFonts w:ascii="Verdana" w:hAnsi="Verdana"/>
          <w:sz w:val="20"/>
          <w:szCs w:val="20"/>
        </w:rPr>
        <w:t>“</w:t>
      </w:r>
      <w:r w:rsidR="00AB10D8" w:rsidRPr="0095692E">
        <w:rPr>
          <w:rFonts w:ascii="Verdana" w:hAnsi="Verdana"/>
          <w:sz w:val="20"/>
          <w:szCs w:val="20"/>
        </w:rPr>
        <w:t>se deprimió</w:t>
      </w:r>
      <w:r w:rsidR="00D9667C" w:rsidRPr="0095692E">
        <w:rPr>
          <w:rFonts w:ascii="Verdana" w:hAnsi="Verdana"/>
          <w:sz w:val="20"/>
          <w:szCs w:val="20"/>
        </w:rPr>
        <w:t>”</w:t>
      </w:r>
      <w:r w:rsidR="00AB10D8" w:rsidRPr="0095692E">
        <w:rPr>
          <w:rFonts w:ascii="Verdana" w:hAnsi="Verdana"/>
          <w:sz w:val="20"/>
          <w:szCs w:val="20"/>
        </w:rPr>
        <w:t xml:space="preserve"> y el negocio de su esposo quebró. </w:t>
      </w:r>
    </w:p>
    <w:p w14:paraId="5A753697" w14:textId="77777777" w:rsidR="00AB10D8" w:rsidRPr="0095692E" w:rsidRDefault="00AB10D8" w:rsidP="00A80648">
      <w:pPr>
        <w:pStyle w:val="Prrafodelista"/>
        <w:spacing w:after="0" w:line="240" w:lineRule="auto"/>
        <w:contextualSpacing w:val="0"/>
        <w:rPr>
          <w:rFonts w:ascii="Verdana" w:hAnsi="Verdana"/>
          <w:sz w:val="20"/>
          <w:szCs w:val="20"/>
        </w:rPr>
      </w:pPr>
    </w:p>
    <w:p w14:paraId="0188688A" w14:textId="253C336D" w:rsidR="00AB10D8" w:rsidRPr="0095692E" w:rsidRDefault="004B1D49"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 xml:space="preserve">l 6 de febrero de 2000, mientras Otilia y Elba Flores </w:t>
      </w:r>
      <w:r w:rsidR="00FC17CF" w:rsidRPr="0095692E">
        <w:rPr>
          <w:rFonts w:ascii="Verdana" w:hAnsi="Verdana"/>
          <w:sz w:val="20"/>
          <w:szCs w:val="20"/>
        </w:rPr>
        <w:t>Ortiz</w:t>
      </w:r>
      <w:r w:rsidR="00160BB4" w:rsidRPr="0095692E">
        <w:rPr>
          <w:rStyle w:val="Refdenotaalpie"/>
          <w:rFonts w:ascii="Verdana" w:hAnsi="Verdana"/>
          <w:sz w:val="20"/>
          <w:szCs w:val="20"/>
        </w:rPr>
        <w:footnoteReference w:id="69"/>
      </w:r>
      <w:r w:rsidR="00FC17CF" w:rsidRPr="0095692E">
        <w:rPr>
          <w:rFonts w:ascii="Verdana" w:hAnsi="Verdana"/>
          <w:sz w:val="20"/>
          <w:szCs w:val="20"/>
        </w:rPr>
        <w:t xml:space="preserve"> </w:t>
      </w:r>
      <w:r w:rsidR="00AB10D8" w:rsidRPr="0095692E">
        <w:rPr>
          <w:rFonts w:ascii="Verdana" w:hAnsi="Verdana"/>
          <w:sz w:val="20"/>
          <w:szCs w:val="20"/>
        </w:rPr>
        <w:t xml:space="preserve">se encontraban en el Juzgado </w:t>
      </w:r>
      <w:r w:rsidR="00DA45FF" w:rsidRPr="0095692E">
        <w:rPr>
          <w:rFonts w:ascii="Verdana" w:hAnsi="Verdana"/>
          <w:sz w:val="20"/>
          <w:szCs w:val="20"/>
        </w:rPr>
        <w:t xml:space="preserve">Tercero de Letras de lo Criminal de San Pedro Sula </w:t>
      </w:r>
      <w:r w:rsidR="00AB10D8" w:rsidRPr="0095692E">
        <w:rPr>
          <w:rFonts w:ascii="Verdana" w:hAnsi="Verdana"/>
          <w:sz w:val="20"/>
          <w:szCs w:val="20"/>
        </w:rPr>
        <w:t>para rendir declaración</w:t>
      </w:r>
      <w:r w:rsidR="00DA45FF" w:rsidRPr="0095692E">
        <w:rPr>
          <w:rFonts w:ascii="Verdana" w:hAnsi="Verdana"/>
          <w:sz w:val="20"/>
          <w:szCs w:val="20"/>
        </w:rPr>
        <w:t xml:space="preserve"> en el marco del proceso penal (</w:t>
      </w:r>
      <w:r w:rsidR="00DA45FF" w:rsidRPr="0095692E">
        <w:rPr>
          <w:rFonts w:ascii="Verdana" w:hAnsi="Verdana"/>
          <w:i/>
          <w:iCs/>
          <w:sz w:val="20"/>
          <w:szCs w:val="20"/>
        </w:rPr>
        <w:t>infra</w:t>
      </w:r>
      <w:r w:rsidR="00DA45FF" w:rsidRPr="0095692E">
        <w:rPr>
          <w:rFonts w:ascii="Verdana" w:hAnsi="Verdana"/>
          <w:sz w:val="20"/>
          <w:szCs w:val="20"/>
        </w:rPr>
        <w:t xml:space="preserve"> párrs. 69 a 77)</w:t>
      </w:r>
      <w:r w:rsidR="00AB10D8" w:rsidRPr="0095692E">
        <w:rPr>
          <w:rFonts w:ascii="Verdana" w:hAnsi="Verdana"/>
          <w:sz w:val="20"/>
          <w:szCs w:val="20"/>
        </w:rPr>
        <w:t>, miembros de la familia de Marco Tulio Regalado Hernández, agente del Batallón 3-16, acusado por el Ministerio Público de la muerte del señor Deras García, l</w:t>
      </w:r>
      <w:r w:rsidR="00FC17CF" w:rsidRPr="0095692E">
        <w:rPr>
          <w:rFonts w:ascii="Verdana" w:hAnsi="Verdana"/>
          <w:sz w:val="20"/>
          <w:szCs w:val="20"/>
        </w:rPr>
        <w:t>a</w:t>
      </w:r>
      <w:r w:rsidR="00AB10D8" w:rsidRPr="0095692E">
        <w:rPr>
          <w:rFonts w:ascii="Verdana" w:hAnsi="Verdana"/>
          <w:sz w:val="20"/>
          <w:szCs w:val="20"/>
        </w:rPr>
        <w:t xml:space="preserve">s amenazaron, por lo que debieron ser escoltadas por la Fiscal. </w:t>
      </w:r>
    </w:p>
    <w:p w14:paraId="691F1680" w14:textId="77777777" w:rsidR="00AB10D8" w:rsidRPr="0095692E" w:rsidRDefault="00AB10D8" w:rsidP="00A80648">
      <w:pPr>
        <w:pStyle w:val="Prrafodelista"/>
        <w:spacing w:after="0" w:line="240" w:lineRule="auto"/>
        <w:contextualSpacing w:val="0"/>
        <w:rPr>
          <w:rFonts w:ascii="Verdana" w:hAnsi="Verdana"/>
          <w:sz w:val="20"/>
          <w:szCs w:val="20"/>
        </w:rPr>
      </w:pPr>
    </w:p>
    <w:p w14:paraId="021BEAEF" w14:textId="4BBAD31A"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9 de marzo de 2009 la residencia que compartían Otilia Deras </w:t>
      </w:r>
      <w:r w:rsidR="00FC17CF" w:rsidRPr="0095692E">
        <w:rPr>
          <w:rFonts w:ascii="Verdana" w:hAnsi="Verdana"/>
          <w:sz w:val="20"/>
          <w:szCs w:val="20"/>
        </w:rPr>
        <w:t xml:space="preserve">Ortiz </w:t>
      </w:r>
      <w:r w:rsidRPr="0095692E">
        <w:rPr>
          <w:rFonts w:ascii="Verdana" w:hAnsi="Verdana"/>
          <w:sz w:val="20"/>
          <w:szCs w:val="20"/>
        </w:rPr>
        <w:t xml:space="preserve">y su hija Lorena </w:t>
      </w:r>
      <w:r w:rsidR="004B1D49" w:rsidRPr="0095692E">
        <w:rPr>
          <w:rFonts w:ascii="Verdana" w:hAnsi="Verdana"/>
          <w:sz w:val="20"/>
          <w:szCs w:val="20"/>
        </w:rPr>
        <w:t xml:space="preserve">Deras Flores </w:t>
      </w:r>
      <w:r w:rsidRPr="0095692E">
        <w:rPr>
          <w:rFonts w:ascii="Verdana" w:hAnsi="Verdana"/>
          <w:sz w:val="20"/>
          <w:szCs w:val="20"/>
        </w:rPr>
        <w:t xml:space="preserve">fue asaltada por 3 hombres armados que cubrían su rostro con pasamontañas. Destruyeron </w:t>
      </w:r>
      <w:r w:rsidR="006F2A56" w:rsidRPr="0095692E">
        <w:rPr>
          <w:rFonts w:ascii="Verdana" w:hAnsi="Verdana"/>
          <w:sz w:val="20"/>
          <w:szCs w:val="20"/>
        </w:rPr>
        <w:t>“</w:t>
      </w:r>
      <w:r w:rsidRPr="0095692E">
        <w:rPr>
          <w:rFonts w:ascii="Verdana" w:hAnsi="Verdana"/>
          <w:sz w:val="20"/>
          <w:szCs w:val="20"/>
        </w:rPr>
        <w:t>todo en la casa</w:t>
      </w:r>
      <w:r w:rsidR="006F2A56" w:rsidRPr="0095692E">
        <w:rPr>
          <w:rFonts w:ascii="Verdana" w:hAnsi="Verdana"/>
          <w:sz w:val="20"/>
          <w:szCs w:val="20"/>
        </w:rPr>
        <w:t>”</w:t>
      </w:r>
      <w:r w:rsidRPr="0095692E">
        <w:rPr>
          <w:rFonts w:ascii="Verdana" w:hAnsi="Verdana"/>
          <w:sz w:val="20"/>
          <w:szCs w:val="20"/>
        </w:rPr>
        <w:t xml:space="preserve"> y se llevaron documentos personales, entre otras cosas. El hijo de Lorena Deras Flores, de 15 años, fue levantado de manera violenta de su cama apuntándole con un arma en la sien. Los individuos se llevaron su carro</w:t>
      </w:r>
      <w:r w:rsidR="004B1D49" w:rsidRPr="0095692E">
        <w:rPr>
          <w:rFonts w:ascii="Verdana" w:hAnsi="Verdana"/>
          <w:sz w:val="20"/>
          <w:szCs w:val="20"/>
        </w:rPr>
        <w:t>.</w:t>
      </w:r>
      <w:r w:rsidRPr="0095692E">
        <w:rPr>
          <w:rFonts w:ascii="Verdana" w:hAnsi="Verdana"/>
          <w:sz w:val="20"/>
          <w:szCs w:val="20"/>
        </w:rPr>
        <w:t xml:space="preserve"> Lorena </w:t>
      </w:r>
      <w:r w:rsidR="004B1D49" w:rsidRPr="0095692E">
        <w:rPr>
          <w:rFonts w:ascii="Verdana" w:hAnsi="Verdana"/>
          <w:sz w:val="20"/>
          <w:szCs w:val="20"/>
        </w:rPr>
        <w:t xml:space="preserve">Deras Flores </w:t>
      </w:r>
      <w:r w:rsidRPr="0095692E">
        <w:rPr>
          <w:rFonts w:ascii="Verdana" w:hAnsi="Verdana"/>
          <w:sz w:val="20"/>
          <w:szCs w:val="20"/>
        </w:rPr>
        <w:t xml:space="preserve">no interpuso denuncia al no confiar en las autoridades. </w:t>
      </w:r>
      <w:r w:rsidR="00F77F68" w:rsidRPr="0095692E">
        <w:rPr>
          <w:rFonts w:ascii="Verdana" w:hAnsi="Verdana"/>
          <w:b/>
          <w:sz w:val="20"/>
          <w:szCs w:val="20"/>
        </w:rPr>
        <w:t xml:space="preserve"> </w:t>
      </w:r>
      <w:r w:rsidR="00F77F68" w:rsidRPr="0095692E">
        <w:rPr>
          <w:rFonts w:ascii="Verdana" w:hAnsi="Verdana"/>
          <w:bCs/>
          <w:sz w:val="20"/>
          <w:szCs w:val="20"/>
        </w:rPr>
        <w:t>Herminio Deras Flores decidió irse del país en agosto de 2009, a vivir en Canadá, donde reside hasta la actualidad</w:t>
      </w:r>
      <w:r w:rsidR="00F77F68" w:rsidRPr="0095692E">
        <w:rPr>
          <w:rStyle w:val="Refdenotaalpie"/>
          <w:rFonts w:ascii="Verdana" w:hAnsi="Verdana"/>
          <w:bCs/>
          <w:sz w:val="20"/>
          <w:szCs w:val="20"/>
        </w:rPr>
        <w:footnoteReference w:id="70"/>
      </w:r>
      <w:r w:rsidR="00F77F68" w:rsidRPr="0095692E">
        <w:rPr>
          <w:rFonts w:ascii="Verdana" w:hAnsi="Verdana"/>
          <w:bCs/>
          <w:sz w:val="20"/>
          <w:szCs w:val="20"/>
        </w:rPr>
        <w:t xml:space="preserve">. </w:t>
      </w:r>
    </w:p>
    <w:p w14:paraId="0410790B" w14:textId="77777777" w:rsidR="00AB10D8" w:rsidRPr="0095692E" w:rsidRDefault="00AB10D8" w:rsidP="00A80648">
      <w:pPr>
        <w:pStyle w:val="Prrafodelista"/>
        <w:spacing w:after="0" w:line="240" w:lineRule="auto"/>
        <w:contextualSpacing w:val="0"/>
        <w:rPr>
          <w:rFonts w:ascii="Verdana" w:hAnsi="Verdana"/>
          <w:sz w:val="20"/>
          <w:szCs w:val="20"/>
        </w:rPr>
      </w:pPr>
    </w:p>
    <w:p w14:paraId="06A26790" w14:textId="1002F2D6" w:rsidR="00AB10D8" w:rsidRPr="0095692E" w:rsidRDefault="00C143F1" w:rsidP="008B1A7C">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Ese mismo año, </w:t>
      </w:r>
      <w:r w:rsidR="00AB10D8" w:rsidRPr="0095692E">
        <w:rPr>
          <w:rFonts w:ascii="Verdana" w:hAnsi="Verdana"/>
          <w:sz w:val="20"/>
          <w:szCs w:val="20"/>
        </w:rPr>
        <w:t>Patricia Alejandra Chavarría</w:t>
      </w:r>
      <w:r w:rsidR="00C02A34" w:rsidRPr="0095692E">
        <w:rPr>
          <w:rFonts w:ascii="Verdana" w:hAnsi="Verdana"/>
          <w:sz w:val="20"/>
          <w:szCs w:val="20"/>
        </w:rPr>
        <w:t>,</w:t>
      </w:r>
      <w:r w:rsidR="00AB10D8" w:rsidRPr="0095692E">
        <w:rPr>
          <w:rFonts w:ascii="Verdana" w:hAnsi="Verdana"/>
          <w:sz w:val="20"/>
          <w:szCs w:val="20"/>
        </w:rPr>
        <w:t xml:space="preserve"> de 15 años, hija de Irma Deras</w:t>
      </w:r>
      <w:r w:rsidR="00766FCF" w:rsidRPr="0095692E">
        <w:rPr>
          <w:rFonts w:ascii="Verdana" w:hAnsi="Verdana"/>
          <w:sz w:val="20"/>
          <w:szCs w:val="20"/>
        </w:rPr>
        <w:t xml:space="preserve"> García</w:t>
      </w:r>
      <w:r w:rsidR="00AB10D8" w:rsidRPr="0095692E">
        <w:rPr>
          <w:rFonts w:ascii="Verdana" w:hAnsi="Verdana"/>
          <w:sz w:val="20"/>
          <w:szCs w:val="20"/>
        </w:rPr>
        <w:t>, fue filmada y amenazada por agentes de la DNI; Alba Deras</w:t>
      </w:r>
      <w:r w:rsidR="007822A2" w:rsidRPr="0095692E">
        <w:rPr>
          <w:rFonts w:ascii="Verdana" w:hAnsi="Verdana"/>
          <w:sz w:val="20"/>
          <w:szCs w:val="20"/>
        </w:rPr>
        <w:t xml:space="preserve"> García</w:t>
      </w:r>
      <w:r w:rsidR="00C02A34" w:rsidRPr="0095692E">
        <w:rPr>
          <w:rFonts w:ascii="Verdana" w:hAnsi="Verdana"/>
          <w:sz w:val="20"/>
          <w:szCs w:val="20"/>
        </w:rPr>
        <w:t>,</w:t>
      </w:r>
      <w:r w:rsidR="00AB10D8" w:rsidRPr="0095692E">
        <w:rPr>
          <w:rFonts w:ascii="Verdana" w:hAnsi="Verdana"/>
          <w:sz w:val="20"/>
          <w:szCs w:val="20"/>
        </w:rPr>
        <w:t xml:space="preserve"> qu</w:t>
      </w:r>
      <w:r w:rsidR="00960F1C" w:rsidRPr="0095692E">
        <w:rPr>
          <w:rFonts w:ascii="Verdana" w:hAnsi="Verdana"/>
          <w:sz w:val="20"/>
          <w:szCs w:val="20"/>
        </w:rPr>
        <w:t>i</w:t>
      </w:r>
      <w:r w:rsidR="00AB10D8" w:rsidRPr="0095692E">
        <w:rPr>
          <w:rFonts w:ascii="Verdana" w:hAnsi="Verdana"/>
          <w:sz w:val="20"/>
          <w:szCs w:val="20"/>
        </w:rPr>
        <w:t>e</w:t>
      </w:r>
      <w:r w:rsidR="00960F1C" w:rsidRPr="0095692E">
        <w:rPr>
          <w:rFonts w:ascii="Verdana" w:hAnsi="Verdana"/>
          <w:sz w:val="20"/>
          <w:szCs w:val="20"/>
        </w:rPr>
        <w:t>n</w:t>
      </w:r>
      <w:r w:rsidR="00AB10D8" w:rsidRPr="0095692E">
        <w:rPr>
          <w:rFonts w:ascii="Verdana" w:hAnsi="Verdana"/>
          <w:sz w:val="20"/>
          <w:szCs w:val="20"/>
        </w:rPr>
        <w:t xml:space="preserve"> laboraba para la Compañía de Jesús, recibió amenazas de muerte a raíz de la militarización de Radio Progreso; y la residencia de Luis Deras García fue sujeta a vigilancia por desconocidos que se transportaban en un carro verde, marca Chevrolet, sin placas y vidrios polarizados, que generalmente hacían rondas entre las 7:30</w:t>
      </w:r>
      <w:r w:rsidR="000D73C7" w:rsidRPr="0095692E">
        <w:rPr>
          <w:rFonts w:ascii="Verdana" w:hAnsi="Verdana"/>
          <w:sz w:val="20"/>
          <w:szCs w:val="20"/>
        </w:rPr>
        <w:t xml:space="preserve"> p.m.</w:t>
      </w:r>
      <w:r w:rsidR="00AB10D8" w:rsidRPr="0095692E">
        <w:rPr>
          <w:rFonts w:ascii="Verdana" w:hAnsi="Verdana"/>
          <w:sz w:val="20"/>
          <w:szCs w:val="20"/>
        </w:rPr>
        <w:t xml:space="preserve"> y 9:30 p.m.</w:t>
      </w:r>
    </w:p>
    <w:p w14:paraId="2B3A3815" w14:textId="77777777" w:rsidR="008B1A7C" w:rsidRPr="0095692E" w:rsidRDefault="008B1A7C" w:rsidP="008B1A7C">
      <w:pPr>
        <w:pStyle w:val="Prrafodelista"/>
        <w:spacing w:after="0" w:line="240" w:lineRule="auto"/>
        <w:ind w:left="0"/>
        <w:contextualSpacing w:val="0"/>
        <w:jc w:val="both"/>
        <w:rPr>
          <w:rFonts w:ascii="Verdana" w:hAnsi="Verdana"/>
          <w:sz w:val="20"/>
          <w:szCs w:val="20"/>
        </w:rPr>
      </w:pPr>
    </w:p>
    <w:p w14:paraId="78701019" w14:textId="45C6673F"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Por 18 años la familia Deras</w:t>
      </w:r>
      <w:r w:rsidR="00EA1F55" w:rsidRPr="0095692E">
        <w:rPr>
          <w:rFonts w:ascii="Verdana" w:hAnsi="Verdana"/>
          <w:sz w:val="20"/>
          <w:szCs w:val="20"/>
        </w:rPr>
        <w:t xml:space="preserve"> García</w:t>
      </w:r>
      <w:r w:rsidRPr="0095692E">
        <w:rPr>
          <w:rFonts w:ascii="Verdana" w:hAnsi="Verdana"/>
          <w:sz w:val="20"/>
          <w:szCs w:val="20"/>
        </w:rPr>
        <w:t xml:space="preserve"> permaneció separada, lo que ocasionó </w:t>
      </w:r>
      <w:r w:rsidR="00EA1F55" w:rsidRPr="0095692E">
        <w:rPr>
          <w:rFonts w:ascii="Verdana" w:hAnsi="Verdana"/>
          <w:sz w:val="20"/>
          <w:szCs w:val="20"/>
        </w:rPr>
        <w:t>su</w:t>
      </w:r>
      <w:r w:rsidRPr="0095692E">
        <w:rPr>
          <w:rFonts w:ascii="Verdana" w:hAnsi="Verdana"/>
          <w:sz w:val="20"/>
          <w:szCs w:val="20"/>
        </w:rPr>
        <w:t xml:space="preserve"> desintegración familiar. En ese tiempo, solo lograron reunirse dos veces en la República de Nicaragua. De su parte, Héctor García no pudo asistir ni acompañar a la familia en los funerales de su padre Domingo Deras</w:t>
      </w:r>
      <w:r w:rsidR="00EA1F55" w:rsidRPr="0095692E">
        <w:rPr>
          <w:rFonts w:ascii="Verdana" w:hAnsi="Verdana"/>
          <w:sz w:val="20"/>
          <w:szCs w:val="20"/>
        </w:rPr>
        <w:t xml:space="preserve"> García</w:t>
      </w:r>
      <w:r w:rsidRPr="0095692E">
        <w:rPr>
          <w:rFonts w:ascii="Verdana" w:hAnsi="Verdana"/>
          <w:sz w:val="20"/>
          <w:szCs w:val="20"/>
        </w:rPr>
        <w:t xml:space="preserve"> en 1987, y Alba </w:t>
      </w:r>
      <w:r w:rsidR="00487179" w:rsidRPr="0095692E">
        <w:rPr>
          <w:rFonts w:ascii="Verdana" w:hAnsi="Verdana"/>
          <w:sz w:val="20"/>
          <w:szCs w:val="20"/>
        </w:rPr>
        <w:t>Deras García</w:t>
      </w:r>
      <w:r w:rsidRPr="0095692E">
        <w:rPr>
          <w:rFonts w:ascii="Verdana" w:hAnsi="Verdana"/>
          <w:sz w:val="20"/>
          <w:szCs w:val="20"/>
        </w:rPr>
        <w:t xml:space="preserve"> no pudo regresar al país para l</w:t>
      </w:r>
      <w:r w:rsidR="00EA1F55" w:rsidRPr="0095692E">
        <w:rPr>
          <w:rFonts w:ascii="Verdana" w:hAnsi="Verdana"/>
          <w:sz w:val="20"/>
          <w:szCs w:val="20"/>
        </w:rPr>
        <w:t>os</w:t>
      </w:r>
      <w:r w:rsidRPr="0095692E">
        <w:rPr>
          <w:rFonts w:ascii="Verdana" w:hAnsi="Verdana"/>
          <w:sz w:val="20"/>
          <w:szCs w:val="20"/>
        </w:rPr>
        <w:t xml:space="preserve"> funerales de su hermano Herminio</w:t>
      </w:r>
      <w:r w:rsidR="00487179" w:rsidRPr="0095692E">
        <w:rPr>
          <w:rFonts w:ascii="Verdana" w:hAnsi="Verdana"/>
          <w:sz w:val="20"/>
          <w:szCs w:val="20"/>
        </w:rPr>
        <w:t xml:space="preserve"> Deras García</w:t>
      </w:r>
      <w:r w:rsidR="00EA1F55" w:rsidRPr="0095692E">
        <w:rPr>
          <w:rFonts w:ascii="Verdana" w:hAnsi="Verdana"/>
          <w:sz w:val="20"/>
          <w:szCs w:val="20"/>
        </w:rPr>
        <w:t xml:space="preserve"> y </w:t>
      </w:r>
      <w:r w:rsidRPr="0095692E">
        <w:rPr>
          <w:rFonts w:ascii="Verdana" w:hAnsi="Verdana"/>
          <w:sz w:val="20"/>
          <w:szCs w:val="20"/>
        </w:rPr>
        <w:t>de su padre, y le resultó imposible apoyar a su madre en el proceso de duelo en ambas pérdidas.</w:t>
      </w:r>
    </w:p>
    <w:p w14:paraId="6AF78CA0" w14:textId="77777777" w:rsidR="00F263CB" w:rsidRPr="0095692E" w:rsidRDefault="00F263CB" w:rsidP="00A80648">
      <w:pPr>
        <w:jc w:val="both"/>
        <w:rPr>
          <w:rFonts w:ascii="Verdana" w:hAnsi="Verdana"/>
        </w:rPr>
      </w:pPr>
    </w:p>
    <w:p w14:paraId="78175E75" w14:textId="076A1C2C" w:rsidR="002D6445" w:rsidRPr="0095692E" w:rsidRDefault="00F263CB" w:rsidP="00A80648">
      <w:pPr>
        <w:pStyle w:val="Ttulo2"/>
        <w:numPr>
          <w:ilvl w:val="0"/>
          <w:numId w:val="7"/>
        </w:numPr>
        <w:ind w:left="1428"/>
        <w:rPr>
          <w:lang w:val="es-CR"/>
        </w:rPr>
      </w:pPr>
      <w:bookmarkStart w:id="43" w:name="_Toc115262485"/>
      <w:r w:rsidRPr="0095692E">
        <w:rPr>
          <w:lang w:val="es-CR"/>
        </w:rPr>
        <w:t>El proceso penal</w:t>
      </w:r>
      <w:bookmarkEnd w:id="43"/>
    </w:p>
    <w:p w14:paraId="7B5A72CA" w14:textId="77777777" w:rsidR="00B02B0A" w:rsidRPr="0095692E" w:rsidRDefault="00B02B0A" w:rsidP="00A80648">
      <w:pPr>
        <w:pStyle w:val="Prrafodelista"/>
        <w:spacing w:after="0" w:line="240" w:lineRule="auto"/>
        <w:ind w:left="0"/>
        <w:contextualSpacing w:val="0"/>
        <w:jc w:val="both"/>
        <w:rPr>
          <w:rFonts w:ascii="Verdana" w:hAnsi="Verdana"/>
          <w:sz w:val="20"/>
          <w:szCs w:val="20"/>
        </w:rPr>
      </w:pPr>
    </w:p>
    <w:p w14:paraId="2D9B668D" w14:textId="69C534DC"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El 4 de febrero de 1983 Otilia Flores Ortiz compareció ante el Juzgado Primero de Letras de lo Criminal, denunciando el asesinato de su esposo</w:t>
      </w:r>
      <w:r w:rsidR="002621AD" w:rsidRPr="0095692E">
        <w:rPr>
          <w:rFonts w:ascii="Verdana" w:hAnsi="Verdana"/>
          <w:sz w:val="20"/>
          <w:szCs w:val="20"/>
        </w:rPr>
        <w:t xml:space="preserve"> Herminio Deras García</w:t>
      </w:r>
      <w:r w:rsidRPr="0095692E">
        <w:rPr>
          <w:rFonts w:ascii="Verdana" w:hAnsi="Verdana"/>
          <w:sz w:val="20"/>
          <w:szCs w:val="20"/>
        </w:rPr>
        <w:t xml:space="preserve">. </w:t>
      </w:r>
      <w:r w:rsidR="002621AD" w:rsidRPr="0095692E">
        <w:rPr>
          <w:rFonts w:ascii="Verdana" w:hAnsi="Verdana"/>
          <w:sz w:val="20"/>
          <w:szCs w:val="20"/>
        </w:rPr>
        <w:t>En tal oportunidad, r</w:t>
      </w:r>
      <w:r w:rsidRPr="0095692E">
        <w:rPr>
          <w:rFonts w:ascii="Verdana" w:hAnsi="Verdana"/>
          <w:sz w:val="20"/>
          <w:szCs w:val="20"/>
        </w:rPr>
        <w:t>elató los hechos acontecidos el 29 de enero de 1983 y resumió la denuncia interpuesta e</w:t>
      </w:r>
      <w:r w:rsidR="002621AD" w:rsidRPr="0095692E">
        <w:rPr>
          <w:rFonts w:ascii="Verdana" w:hAnsi="Verdana"/>
          <w:sz w:val="20"/>
          <w:szCs w:val="20"/>
        </w:rPr>
        <w:t>l</w:t>
      </w:r>
      <w:r w:rsidRPr="0095692E">
        <w:rPr>
          <w:rFonts w:ascii="Verdana" w:hAnsi="Verdana"/>
          <w:sz w:val="20"/>
          <w:szCs w:val="20"/>
        </w:rPr>
        <w:t xml:space="preserve"> 30 de septiembre de 1982 respecto del ametrallamiento de su casa (</w:t>
      </w:r>
      <w:r w:rsidRPr="0095692E">
        <w:rPr>
          <w:rFonts w:ascii="Verdana" w:hAnsi="Verdana"/>
          <w:i/>
          <w:sz w:val="20"/>
          <w:szCs w:val="20"/>
        </w:rPr>
        <w:t xml:space="preserve">supra </w:t>
      </w:r>
      <w:r w:rsidRPr="0095692E">
        <w:rPr>
          <w:rFonts w:ascii="Verdana" w:hAnsi="Verdana"/>
          <w:sz w:val="20"/>
          <w:szCs w:val="20"/>
        </w:rPr>
        <w:t xml:space="preserve">párr. </w:t>
      </w:r>
      <w:r w:rsidR="00272342" w:rsidRPr="0095692E">
        <w:rPr>
          <w:rFonts w:ascii="Verdana" w:hAnsi="Verdana"/>
          <w:sz w:val="20"/>
          <w:szCs w:val="20"/>
        </w:rPr>
        <w:t>43</w:t>
      </w:r>
      <w:r w:rsidRPr="0095692E">
        <w:rPr>
          <w:rFonts w:ascii="Verdana" w:hAnsi="Verdana"/>
          <w:sz w:val="20"/>
          <w:szCs w:val="20"/>
        </w:rPr>
        <w:t xml:space="preserve">). Asimismo, </w:t>
      </w:r>
      <w:r w:rsidR="00272342" w:rsidRPr="0095692E">
        <w:rPr>
          <w:rFonts w:ascii="Verdana" w:hAnsi="Verdana"/>
          <w:sz w:val="20"/>
          <w:szCs w:val="20"/>
        </w:rPr>
        <w:t>solicitó</w:t>
      </w:r>
      <w:r w:rsidRPr="0095692E">
        <w:rPr>
          <w:rFonts w:ascii="Verdana" w:hAnsi="Verdana"/>
          <w:sz w:val="20"/>
          <w:szCs w:val="20"/>
        </w:rPr>
        <w:t xml:space="preserve"> al juez que iniciara las investigaciones a fin de </w:t>
      </w:r>
      <w:r w:rsidRPr="0095692E">
        <w:rPr>
          <w:rFonts w:ascii="Verdana" w:hAnsi="Verdana"/>
          <w:sz w:val="20"/>
          <w:szCs w:val="20"/>
        </w:rPr>
        <w:lastRenderedPageBreak/>
        <w:t xml:space="preserve">dar con el paradero de los responsables del asesinato. </w:t>
      </w:r>
      <w:r w:rsidR="003A709B" w:rsidRPr="0095692E">
        <w:rPr>
          <w:rFonts w:ascii="Verdana" w:hAnsi="Verdana"/>
          <w:sz w:val="20"/>
          <w:szCs w:val="20"/>
        </w:rPr>
        <w:t>L</w:t>
      </w:r>
      <w:r w:rsidRPr="0095692E">
        <w:rPr>
          <w:rFonts w:ascii="Verdana" w:hAnsi="Verdana"/>
          <w:sz w:val="20"/>
          <w:szCs w:val="20"/>
        </w:rPr>
        <w:t>a denuncia nunca fue tramitada</w:t>
      </w:r>
      <w:r w:rsidR="005A1F21" w:rsidRPr="0095692E">
        <w:rPr>
          <w:rFonts w:ascii="Verdana" w:hAnsi="Verdana"/>
          <w:sz w:val="20"/>
          <w:szCs w:val="20"/>
        </w:rPr>
        <w:t xml:space="preserve"> y ni Otilia Flores ni los testigos oculares fueron llamados a declarar</w:t>
      </w:r>
      <w:r w:rsidRPr="0095692E">
        <w:rPr>
          <w:rFonts w:ascii="Verdana" w:hAnsi="Verdana"/>
          <w:sz w:val="20"/>
          <w:szCs w:val="20"/>
        </w:rPr>
        <w:t xml:space="preserve">. </w:t>
      </w:r>
    </w:p>
    <w:p w14:paraId="3DB9F030" w14:textId="77777777" w:rsidR="00AB10D8" w:rsidRPr="0095692E" w:rsidRDefault="00AB10D8" w:rsidP="00A80648">
      <w:pPr>
        <w:pStyle w:val="Prrafodelista"/>
        <w:spacing w:after="0" w:line="240" w:lineRule="auto"/>
        <w:contextualSpacing w:val="0"/>
        <w:rPr>
          <w:rFonts w:ascii="Verdana" w:hAnsi="Verdana"/>
          <w:sz w:val="20"/>
          <w:szCs w:val="20"/>
        </w:rPr>
      </w:pPr>
    </w:p>
    <w:p w14:paraId="1622A2C7" w14:textId="27AC4882" w:rsidR="00AB10D8" w:rsidRPr="0095692E" w:rsidRDefault="002218BF"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l 30 de julio de 1998 el Ministerio Público presentó denuncia contra tres miembros del Batallón 3-16: Marco Tulio Regalado</w:t>
      </w:r>
      <w:r w:rsidR="003B40DC" w:rsidRPr="0095692E">
        <w:rPr>
          <w:rFonts w:ascii="Verdana" w:hAnsi="Verdana"/>
          <w:sz w:val="20"/>
          <w:szCs w:val="20"/>
        </w:rPr>
        <w:t xml:space="preserve"> Hernández</w:t>
      </w:r>
      <w:r w:rsidR="00AB10D8" w:rsidRPr="0095692E">
        <w:rPr>
          <w:rFonts w:ascii="Verdana" w:hAnsi="Verdana"/>
          <w:sz w:val="20"/>
          <w:szCs w:val="20"/>
        </w:rPr>
        <w:t xml:space="preserve">, </w:t>
      </w:r>
      <w:r w:rsidR="00EF66DE" w:rsidRPr="0095692E">
        <w:rPr>
          <w:rFonts w:ascii="Verdana" w:hAnsi="Verdana"/>
          <w:sz w:val="20"/>
          <w:szCs w:val="20"/>
        </w:rPr>
        <w:t>R.C.N.</w:t>
      </w:r>
      <w:r w:rsidR="00AB10D8" w:rsidRPr="0095692E">
        <w:rPr>
          <w:rFonts w:ascii="Verdana" w:hAnsi="Verdana"/>
          <w:sz w:val="20"/>
          <w:szCs w:val="20"/>
        </w:rPr>
        <w:t xml:space="preserve"> y </w:t>
      </w:r>
      <w:r w:rsidR="00EF66DE" w:rsidRPr="0095692E">
        <w:rPr>
          <w:rFonts w:ascii="Verdana" w:hAnsi="Verdana"/>
          <w:sz w:val="20"/>
          <w:szCs w:val="20"/>
        </w:rPr>
        <w:t>A.R.H.S</w:t>
      </w:r>
      <w:r w:rsidR="005A1F21" w:rsidRPr="0095692E">
        <w:rPr>
          <w:rFonts w:ascii="Verdana" w:hAnsi="Verdana"/>
          <w:sz w:val="20"/>
          <w:szCs w:val="20"/>
        </w:rPr>
        <w:t>.</w:t>
      </w:r>
      <w:r w:rsidR="00AB10D8" w:rsidRPr="0095692E">
        <w:rPr>
          <w:rFonts w:ascii="Verdana" w:hAnsi="Verdana"/>
          <w:sz w:val="20"/>
          <w:szCs w:val="20"/>
        </w:rPr>
        <w:t xml:space="preserve"> por el asesinato de Herminio Deras García. </w:t>
      </w:r>
      <w:r w:rsidR="002842A5" w:rsidRPr="0095692E">
        <w:rPr>
          <w:rFonts w:ascii="Verdana" w:hAnsi="Verdana"/>
          <w:sz w:val="20"/>
          <w:szCs w:val="20"/>
        </w:rPr>
        <w:t>E</w:t>
      </w:r>
      <w:r w:rsidR="00AB10D8" w:rsidRPr="0095692E">
        <w:rPr>
          <w:rFonts w:ascii="Verdana" w:hAnsi="Verdana"/>
          <w:sz w:val="20"/>
          <w:szCs w:val="20"/>
        </w:rPr>
        <w:t xml:space="preserve">se mismo día el Juzgado Tercero de Letras de lo Criminal de San Pedro Sula admitió la denuncia. </w:t>
      </w:r>
    </w:p>
    <w:p w14:paraId="49CB6098" w14:textId="77777777" w:rsidR="00AB10D8" w:rsidRPr="0095692E" w:rsidRDefault="00AB10D8" w:rsidP="00A80648">
      <w:pPr>
        <w:pStyle w:val="Prrafodelista"/>
        <w:spacing w:after="0" w:line="240" w:lineRule="auto"/>
        <w:contextualSpacing w:val="0"/>
        <w:rPr>
          <w:rFonts w:ascii="Verdana" w:hAnsi="Verdana"/>
          <w:sz w:val="20"/>
          <w:szCs w:val="20"/>
        </w:rPr>
      </w:pPr>
    </w:p>
    <w:p w14:paraId="61C40749" w14:textId="7722B432"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El 12 de agosto de 1998 Otilia Flores</w:t>
      </w:r>
      <w:r w:rsidR="004E7336" w:rsidRPr="0095692E">
        <w:rPr>
          <w:rFonts w:ascii="Verdana" w:hAnsi="Verdana"/>
          <w:sz w:val="20"/>
          <w:szCs w:val="20"/>
        </w:rPr>
        <w:t xml:space="preserve"> Ortiz</w:t>
      </w:r>
      <w:r w:rsidRPr="0095692E">
        <w:rPr>
          <w:rFonts w:ascii="Verdana" w:hAnsi="Verdana"/>
          <w:sz w:val="20"/>
          <w:szCs w:val="20"/>
        </w:rPr>
        <w:t xml:space="preserve"> declaró ante el Juzgado Tercero de Letras de lo Criminal y señaló que no se siguió la investigación luego de presentada su denuncia de 4 de febrero de 1</w:t>
      </w:r>
      <w:r w:rsidR="00DF3800" w:rsidRPr="0095692E">
        <w:rPr>
          <w:rFonts w:ascii="Verdana" w:hAnsi="Verdana"/>
          <w:sz w:val="20"/>
          <w:szCs w:val="20"/>
        </w:rPr>
        <w:t>98</w:t>
      </w:r>
      <w:r w:rsidRPr="0095692E">
        <w:rPr>
          <w:rFonts w:ascii="Verdana" w:hAnsi="Verdana"/>
          <w:sz w:val="20"/>
          <w:szCs w:val="20"/>
        </w:rPr>
        <w:t xml:space="preserve">3. En esa misma fecha Luis Deras García </w:t>
      </w:r>
      <w:r w:rsidR="005A1F21" w:rsidRPr="0095692E">
        <w:rPr>
          <w:rFonts w:ascii="Verdana" w:hAnsi="Verdana"/>
          <w:sz w:val="20"/>
          <w:szCs w:val="20"/>
        </w:rPr>
        <w:t>e</w:t>
      </w:r>
      <w:r w:rsidRPr="0095692E">
        <w:rPr>
          <w:rFonts w:ascii="Verdana" w:hAnsi="Verdana"/>
          <w:sz w:val="20"/>
          <w:szCs w:val="20"/>
        </w:rPr>
        <w:t xml:space="preserve"> Irma Deras</w:t>
      </w:r>
      <w:r w:rsidR="005A1F21" w:rsidRPr="0095692E">
        <w:rPr>
          <w:rFonts w:ascii="Verdana" w:hAnsi="Verdana"/>
          <w:sz w:val="20"/>
          <w:szCs w:val="20"/>
        </w:rPr>
        <w:t xml:space="preserve"> García</w:t>
      </w:r>
      <w:r w:rsidRPr="0095692E">
        <w:rPr>
          <w:rFonts w:ascii="Verdana" w:hAnsi="Verdana"/>
          <w:sz w:val="20"/>
          <w:szCs w:val="20"/>
        </w:rPr>
        <w:t xml:space="preserve"> también declararon.</w:t>
      </w:r>
      <w:r w:rsidR="00343CE1" w:rsidRPr="0095692E">
        <w:rPr>
          <w:rFonts w:ascii="Verdana" w:hAnsi="Verdana"/>
          <w:b/>
          <w:sz w:val="20"/>
          <w:szCs w:val="20"/>
        </w:rPr>
        <w:t xml:space="preserve"> </w:t>
      </w:r>
      <w:r w:rsidR="00DF3800" w:rsidRPr="0095692E">
        <w:rPr>
          <w:rFonts w:ascii="Verdana" w:hAnsi="Verdana"/>
          <w:sz w:val="20"/>
          <w:szCs w:val="20"/>
        </w:rPr>
        <w:t>E</w:t>
      </w:r>
      <w:r w:rsidRPr="0095692E">
        <w:rPr>
          <w:rFonts w:ascii="Verdana" w:hAnsi="Verdana"/>
          <w:sz w:val="20"/>
          <w:szCs w:val="20"/>
        </w:rPr>
        <w:t xml:space="preserve">l 28 de octubre de 1998 </w:t>
      </w:r>
      <w:r w:rsidR="00A36A89" w:rsidRPr="0095692E">
        <w:rPr>
          <w:rFonts w:ascii="Verdana" w:hAnsi="Verdana"/>
          <w:sz w:val="20"/>
          <w:szCs w:val="20"/>
        </w:rPr>
        <w:t xml:space="preserve">el testigo </w:t>
      </w:r>
      <w:r w:rsidR="00EE03C7" w:rsidRPr="0095692E">
        <w:rPr>
          <w:rFonts w:ascii="Verdana" w:hAnsi="Verdana"/>
          <w:sz w:val="20"/>
          <w:szCs w:val="20"/>
        </w:rPr>
        <w:t>F.R.R.C.</w:t>
      </w:r>
      <w:r w:rsidRPr="0095692E">
        <w:rPr>
          <w:rStyle w:val="Refdenotaalpie"/>
          <w:rFonts w:ascii="Verdana" w:hAnsi="Verdana"/>
          <w:sz w:val="20"/>
          <w:szCs w:val="20"/>
        </w:rPr>
        <w:footnoteReference w:id="71"/>
      </w:r>
      <w:r w:rsidRPr="0095692E">
        <w:rPr>
          <w:rFonts w:ascii="Verdana" w:hAnsi="Verdana"/>
          <w:sz w:val="20"/>
          <w:szCs w:val="20"/>
        </w:rPr>
        <w:t xml:space="preserve"> declaró ante el Juzgado de Letras Tercero de lo Criminal. </w:t>
      </w:r>
    </w:p>
    <w:p w14:paraId="38587355" w14:textId="77777777" w:rsidR="00AB10D8" w:rsidRPr="0095692E" w:rsidRDefault="00AB10D8" w:rsidP="00A80648">
      <w:pPr>
        <w:pStyle w:val="Prrafodelista"/>
        <w:spacing w:after="0" w:line="240" w:lineRule="auto"/>
        <w:contextualSpacing w:val="0"/>
        <w:rPr>
          <w:rFonts w:ascii="Verdana" w:hAnsi="Verdana"/>
          <w:sz w:val="20"/>
          <w:szCs w:val="20"/>
        </w:rPr>
      </w:pPr>
    </w:p>
    <w:p w14:paraId="07DAE38D" w14:textId="0967DACD" w:rsidR="00AB10D8" w:rsidRPr="0095692E" w:rsidRDefault="00251C1B"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l 19 de enero 1999 el Juzgado Tercero de Letras de lo Criminal de San Pedro Sula ordenó la captura y remisión del encausado Marco Tulio Regalado</w:t>
      </w:r>
      <w:r w:rsidR="003B40DC" w:rsidRPr="0095692E">
        <w:rPr>
          <w:rFonts w:ascii="Verdana" w:hAnsi="Verdana"/>
          <w:sz w:val="20"/>
          <w:szCs w:val="20"/>
        </w:rPr>
        <w:t xml:space="preserve"> Hernández</w:t>
      </w:r>
      <w:r w:rsidR="00AB10D8" w:rsidRPr="0095692E">
        <w:rPr>
          <w:rFonts w:ascii="Verdana" w:hAnsi="Verdana"/>
          <w:sz w:val="20"/>
          <w:szCs w:val="20"/>
        </w:rPr>
        <w:t xml:space="preserve">, por solicitud del Ministerio Público. El 5 de octubre de 1999 </w:t>
      </w:r>
      <w:r w:rsidR="003B40DC" w:rsidRPr="0095692E">
        <w:rPr>
          <w:rFonts w:ascii="Verdana" w:hAnsi="Verdana"/>
          <w:sz w:val="20"/>
          <w:szCs w:val="20"/>
        </w:rPr>
        <w:t xml:space="preserve">el señor Regalado Hernández </w:t>
      </w:r>
      <w:r w:rsidR="00AB10D8" w:rsidRPr="0095692E">
        <w:rPr>
          <w:rFonts w:ascii="Verdana" w:hAnsi="Verdana"/>
          <w:sz w:val="20"/>
          <w:szCs w:val="20"/>
        </w:rPr>
        <w:t xml:space="preserve">fue detenido y rendió su indagatoria. </w:t>
      </w:r>
    </w:p>
    <w:p w14:paraId="73584E18" w14:textId="77777777" w:rsidR="00AB10D8" w:rsidRPr="0095692E" w:rsidRDefault="00AB10D8" w:rsidP="00A80648">
      <w:pPr>
        <w:pStyle w:val="Prrafodelista"/>
        <w:spacing w:after="0" w:line="240" w:lineRule="auto"/>
        <w:contextualSpacing w:val="0"/>
        <w:rPr>
          <w:rFonts w:ascii="Verdana" w:hAnsi="Verdana"/>
          <w:sz w:val="20"/>
          <w:szCs w:val="20"/>
        </w:rPr>
      </w:pPr>
    </w:p>
    <w:p w14:paraId="76A14701" w14:textId="795F814B"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9 de diciembre de 1999 la Fiscalía formalizó la acusación. El 26 de enero de 2000 la defensa reiteró su solicitud de revocatoria del auto de prisión. El 28 de enero de 2000 el juzgado denegó </w:t>
      </w:r>
      <w:r w:rsidR="0027218C" w:rsidRPr="0095692E">
        <w:rPr>
          <w:rFonts w:ascii="Verdana" w:hAnsi="Verdana"/>
          <w:sz w:val="20"/>
          <w:szCs w:val="20"/>
        </w:rPr>
        <w:t>tal</w:t>
      </w:r>
      <w:r w:rsidRPr="0095692E">
        <w:rPr>
          <w:rFonts w:ascii="Verdana" w:hAnsi="Verdana"/>
          <w:sz w:val="20"/>
          <w:szCs w:val="20"/>
        </w:rPr>
        <w:t xml:space="preserve"> solicitud. El 22 de febrero de 2000 la Fiscalía presentó las pruebas. El 1 de marzo de 2000 la defensa presentó las suyas. El 8 de marzo de 2000 la Fiscalía presentó un escrito solicitando que se declarara cerrado el primer período probatorio y, en consecuencia, abierto y en curso el segundo periodo probatorio.</w:t>
      </w:r>
    </w:p>
    <w:p w14:paraId="242DEDD2" w14:textId="77777777" w:rsidR="00AB10D8" w:rsidRPr="0095692E" w:rsidRDefault="00AB10D8" w:rsidP="00A80648">
      <w:pPr>
        <w:pStyle w:val="Prrafodelista"/>
        <w:spacing w:after="0" w:line="240" w:lineRule="auto"/>
        <w:contextualSpacing w:val="0"/>
        <w:rPr>
          <w:rFonts w:ascii="Verdana" w:hAnsi="Verdana"/>
          <w:sz w:val="20"/>
          <w:szCs w:val="20"/>
        </w:rPr>
      </w:pPr>
    </w:p>
    <w:p w14:paraId="64CE31AD" w14:textId="0B12221A" w:rsidR="00AB10D8" w:rsidRPr="0095692E" w:rsidRDefault="003F344B"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w:t>
      </w:r>
      <w:r w:rsidR="00AB10D8" w:rsidRPr="0095692E">
        <w:rPr>
          <w:rFonts w:ascii="Verdana" w:hAnsi="Verdana"/>
          <w:sz w:val="20"/>
          <w:szCs w:val="20"/>
        </w:rPr>
        <w:t>l 17 de marzo de 2004 el Juzgado Penal Seccional Judicial de San Pedro Sula dictó sentencia absolviendo a Marco Tulio Regalado</w:t>
      </w:r>
      <w:r w:rsidR="003B40DC" w:rsidRPr="0095692E">
        <w:rPr>
          <w:rFonts w:ascii="Verdana" w:hAnsi="Verdana"/>
          <w:sz w:val="20"/>
          <w:szCs w:val="20"/>
        </w:rPr>
        <w:t xml:space="preserve"> Hernández</w:t>
      </w:r>
      <w:r w:rsidR="00AB10D8" w:rsidRPr="0095692E">
        <w:rPr>
          <w:rFonts w:ascii="Verdana" w:hAnsi="Verdana"/>
          <w:sz w:val="20"/>
          <w:szCs w:val="20"/>
        </w:rPr>
        <w:t xml:space="preserve"> de toda responsabilidad penal por el delito de asesinato en perjuicio de Herminio Deras García. </w:t>
      </w:r>
      <w:r w:rsidRPr="0095692E">
        <w:rPr>
          <w:rFonts w:ascii="Verdana" w:hAnsi="Verdana"/>
          <w:sz w:val="20"/>
          <w:szCs w:val="20"/>
        </w:rPr>
        <w:t>E</w:t>
      </w:r>
      <w:r w:rsidR="00AB10D8" w:rsidRPr="0095692E">
        <w:rPr>
          <w:rFonts w:ascii="Verdana" w:hAnsi="Verdana"/>
          <w:sz w:val="20"/>
          <w:szCs w:val="20"/>
        </w:rPr>
        <w:t xml:space="preserve">n la sentencia, se indicó que, “al analizar y valorar toda la prueba aportada durante el proceso [,] persiste en este tribunal la duda en cuanto la autoría por parte del acusado por lo que considera procedente dictar sentencia absolutoria”. </w:t>
      </w:r>
    </w:p>
    <w:p w14:paraId="5554ADE9" w14:textId="77777777" w:rsidR="00AB10D8" w:rsidRPr="0095692E" w:rsidRDefault="00AB10D8" w:rsidP="00A80648">
      <w:pPr>
        <w:pStyle w:val="Prrafodelista"/>
        <w:spacing w:after="0" w:line="240" w:lineRule="auto"/>
        <w:contextualSpacing w:val="0"/>
        <w:rPr>
          <w:rFonts w:ascii="Verdana" w:hAnsi="Verdana"/>
          <w:sz w:val="20"/>
          <w:szCs w:val="20"/>
        </w:rPr>
      </w:pPr>
    </w:p>
    <w:p w14:paraId="03F3A836" w14:textId="41D73BC2" w:rsidR="00AB10D8" w:rsidRPr="0095692E" w:rsidRDefault="003F344B"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D</w:t>
      </w:r>
      <w:r w:rsidR="00AB10D8" w:rsidRPr="0095692E">
        <w:rPr>
          <w:rFonts w:ascii="Verdana" w:hAnsi="Verdana"/>
          <w:sz w:val="20"/>
          <w:szCs w:val="20"/>
        </w:rPr>
        <w:t>el 1 de abril de 2004 al 23 de mayo de 2005, se realizaron diligencias con relación al recurso de apelación presentado por el Ministerio Público. Al respecto</w:t>
      </w:r>
      <w:r w:rsidRPr="0095692E">
        <w:rPr>
          <w:rFonts w:ascii="Verdana" w:hAnsi="Verdana"/>
          <w:sz w:val="20"/>
          <w:szCs w:val="20"/>
        </w:rPr>
        <w:t xml:space="preserve">, </w:t>
      </w:r>
      <w:r w:rsidR="00AB10D8" w:rsidRPr="0095692E">
        <w:rPr>
          <w:rFonts w:ascii="Verdana" w:hAnsi="Verdana"/>
          <w:sz w:val="20"/>
          <w:szCs w:val="20"/>
        </w:rPr>
        <w:t xml:space="preserve">el 23 de mayo de 2005, la Corte de Apelaciones Seccional de San Pedro Sula (en adelante “Corte de Apelaciones”) revocó la sentencia de 17 de marzo de 2004 y condenó a Marco Tulio Regalado </w:t>
      </w:r>
      <w:r w:rsidR="003B40DC" w:rsidRPr="0095692E">
        <w:rPr>
          <w:rFonts w:ascii="Verdana" w:hAnsi="Verdana"/>
          <w:sz w:val="20"/>
          <w:szCs w:val="20"/>
        </w:rPr>
        <w:t xml:space="preserve">Hernández </w:t>
      </w:r>
      <w:r w:rsidR="00AB10D8" w:rsidRPr="0095692E">
        <w:rPr>
          <w:rFonts w:ascii="Verdana" w:hAnsi="Verdana"/>
          <w:sz w:val="20"/>
          <w:szCs w:val="20"/>
        </w:rPr>
        <w:t xml:space="preserve">a 12 años de prisión por el delito de asesinato en perjuicio de Herminio Deras García. </w:t>
      </w:r>
    </w:p>
    <w:p w14:paraId="3588D185" w14:textId="77777777" w:rsidR="00AB10D8" w:rsidRPr="0095692E" w:rsidRDefault="00AB10D8" w:rsidP="00A80648">
      <w:pPr>
        <w:pStyle w:val="Prrafodelista"/>
        <w:spacing w:after="0" w:line="240" w:lineRule="auto"/>
        <w:contextualSpacing w:val="0"/>
        <w:rPr>
          <w:rFonts w:ascii="Verdana" w:hAnsi="Verdana"/>
          <w:sz w:val="20"/>
          <w:szCs w:val="20"/>
        </w:rPr>
      </w:pPr>
    </w:p>
    <w:p w14:paraId="5EAA26FD" w14:textId="057CB3F5" w:rsidR="00AB10D8" w:rsidRPr="0095692E" w:rsidRDefault="00515A49" w:rsidP="00A80648">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L</w:t>
      </w:r>
      <w:r w:rsidR="00AB10D8" w:rsidRPr="0095692E">
        <w:rPr>
          <w:rFonts w:ascii="Verdana" w:hAnsi="Verdana"/>
          <w:sz w:val="20"/>
          <w:szCs w:val="20"/>
        </w:rPr>
        <w:t>a defensa del señor Regalado</w:t>
      </w:r>
      <w:r w:rsidR="003B40DC" w:rsidRPr="0095692E">
        <w:rPr>
          <w:rFonts w:ascii="Verdana" w:hAnsi="Verdana"/>
          <w:sz w:val="20"/>
          <w:szCs w:val="20"/>
        </w:rPr>
        <w:t xml:space="preserve"> Hernández</w:t>
      </w:r>
      <w:r w:rsidRPr="0095692E">
        <w:rPr>
          <w:rFonts w:ascii="Verdana" w:hAnsi="Verdana"/>
          <w:sz w:val="20"/>
          <w:szCs w:val="20"/>
        </w:rPr>
        <w:t xml:space="preserve"> interpuso recurso de casación y</w:t>
      </w:r>
      <w:r w:rsidR="00AB10D8" w:rsidRPr="0095692E">
        <w:rPr>
          <w:rFonts w:ascii="Verdana" w:hAnsi="Verdana"/>
          <w:sz w:val="20"/>
          <w:szCs w:val="20"/>
        </w:rPr>
        <w:t xml:space="preserve"> la Corte Suprema de Justicia dictó sentencia de casación el 8 de marzo de 2007, confirmando la sentencia de 23 de mayo de 2005 emitida por la Corte de Apelaciones</w:t>
      </w:r>
      <w:r w:rsidR="00AB10D8" w:rsidRPr="0095692E">
        <w:rPr>
          <w:rStyle w:val="Refdenotaalpie"/>
          <w:rFonts w:ascii="Verdana" w:hAnsi="Verdana"/>
          <w:sz w:val="20"/>
          <w:szCs w:val="20"/>
        </w:rPr>
        <w:footnoteReference w:id="72"/>
      </w:r>
      <w:r w:rsidR="00AB10D8" w:rsidRPr="0095692E">
        <w:rPr>
          <w:rFonts w:ascii="Verdana" w:hAnsi="Verdana"/>
          <w:sz w:val="20"/>
          <w:szCs w:val="20"/>
        </w:rPr>
        <w:t>. El 27 de febrero de 2009 el Juzgado de Ejecución de la Sección Judicial de San Pedro Sula dictó orden de captura contra el señor Marco Tulio Regalado</w:t>
      </w:r>
      <w:r w:rsidR="003B40DC" w:rsidRPr="0095692E">
        <w:rPr>
          <w:rFonts w:ascii="Verdana" w:hAnsi="Verdana"/>
          <w:sz w:val="20"/>
          <w:szCs w:val="20"/>
        </w:rPr>
        <w:t xml:space="preserve"> Hernández</w:t>
      </w:r>
      <w:r w:rsidR="00867DCB" w:rsidRPr="0095692E">
        <w:rPr>
          <w:rFonts w:ascii="Verdana" w:hAnsi="Verdana"/>
          <w:sz w:val="20"/>
          <w:szCs w:val="20"/>
        </w:rPr>
        <w:t xml:space="preserve"> </w:t>
      </w:r>
      <w:r w:rsidRPr="0095692E">
        <w:rPr>
          <w:rFonts w:ascii="Verdana" w:hAnsi="Verdana"/>
          <w:sz w:val="20"/>
          <w:szCs w:val="20"/>
        </w:rPr>
        <w:t xml:space="preserve">pues </w:t>
      </w:r>
      <w:r w:rsidR="00867DCB" w:rsidRPr="0095692E">
        <w:rPr>
          <w:rFonts w:ascii="Verdana" w:hAnsi="Verdana"/>
          <w:sz w:val="20"/>
          <w:szCs w:val="20"/>
        </w:rPr>
        <w:t>e</w:t>
      </w:r>
      <w:r w:rsidR="00AB10D8" w:rsidRPr="0095692E">
        <w:rPr>
          <w:rFonts w:ascii="Verdana" w:hAnsi="Verdana"/>
          <w:sz w:val="20"/>
          <w:szCs w:val="20"/>
        </w:rPr>
        <w:t xml:space="preserve">l juzgado de primera </w:t>
      </w:r>
      <w:r w:rsidR="00AB10D8" w:rsidRPr="0095692E">
        <w:rPr>
          <w:rFonts w:ascii="Verdana" w:hAnsi="Verdana"/>
          <w:sz w:val="20"/>
          <w:szCs w:val="20"/>
        </w:rPr>
        <w:lastRenderedPageBreak/>
        <w:t xml:space="preserve">instancia </w:t>
      </w:r>
      <w:r w:rsidR="00867DCB" w:rsidRPr="0095692E">
        <w:rPr>
          <w:rFonts w:ascii="Verdana" w:hAnsi="Verdana"/>
          <w:sz w:val="20"/>
          <w:szCs w:val="20"/>
        </w:rPr>
        <w:t xml:space="preserve">había </w:t>
      </w:r>
      <w:r w:rsidR="00AB10D8" w:rsidRPr="0095692E">
        <w:rPr>
          <w:rFonts w:ascii="Verdana" w:hAnsi="Verdana"/>
          <w:sz w:val="20"/>
          <w:szCs w:val="20"/>
        </w:rPr>
        <w:t>emiti</w:t>
      </w:r>
      <w:r w:rsidR="00867DCB" w:rsidRPr="0095692E">
        <w:rPr>
          <w:rFonts w:ascii="Verdana" w:hAnsi="Verdana"/>
          <w:sz w:val="20"/>
          <w:szCs w:val="20"/>
        </w:rPr>
        <w:t>do</w:t>
      </w:r>
      <w:r w:rsidR="00AB10D8" w:rsidRPr="0095692E">
        <w:rPr>
          <w:rFonts w:ascii="Verdana" w:hAnsi="Verdana"/>
          <w:sz w:val="20"/>
          <w:szCs w:val="20"/>
        </w:rPr>
        <w:t xml:space="preserve"> carta de libertad </w:t>
      </w:r>
      <w:r w:rsidRPr="0095692E">
        <w:rPr>
          <w:rFonts w:ascii="Verdana" w:hAnsi="Verdana"/>
          <w:sz w:val="20"/>
          <w:szCs w:val="20"/>
        </w:rPr>
        <w:t>en su</w:t>
      </w:r>
      <w:r w:rsidR="00AB10D8" w:rsidRPr="0095692E">
        <w:rPr>
          <w:rFonts w:ascii="Verdana" w:hAnsi="Verdana"/>
          <w:sz w:val="20"/>
          <w:szCs w:val="20"/>
        </w:rPr>
        <w:t xml:space="preserve"> favor</w:t>
      </w:r>
      <w:r w:rsidR="00AB10D8" w:rsidRPr="0095692E">
        <w:rPr>
          <w:rStyle w:val="Refdenotaalpie"/>
          <w:rFonts w:ascii="Verdana" w:hAnsi="Verdana"/>
          <w:sz w:val="20"/>
          <w:szCs w:val="20"/>
        </w:rPr>
        <w:footnoteReference w:id="73"/>
      </w:r>
      <w:r w:rsidR="00AB10D8" w:rsidRPr="0095692E">
        <w:rPr>
          <w:rFonts w:ascii="Verdana" w:hAnsi="Verdana"/>
          <w:sz w:val="20"/>
          <w:szCs w:val="20"/>
        </w:rPr>
        <w:t xml:space="preserve">, alegando que desconocía la apelación contra la sentencia de 17 de marzo de 2004. </w:t>
      </w:r>
    </w:p>
    <w:p w14:paraId="40A69246" w14:textId="77777777" w:rsidR="00AB10D8" w:rsidRPr="0095692E" w:rsidRDefault="00AB10D8" w:rsidP="00A80648">
      <w:pPr>
        <w:pStyle w:val="Prrafodelista"/>
        <w:spacing w:after="0" w:line="240" w:lineRule="auto"/>
        <w:contextualSpacing w:val="0"/>
        <w:rPr>
          <w:rFonts w:ascii="Verdana" w:hAnsi="Verdana"/>
          <w:sz w:val="20"/>
          <w:szCs w:val="20"/>
        </w:rPr>
      </w:pPr>
    </w:p>
    <w:p w14:paraId="41AA1273" w14:textId="701FAAFF" w:rsidR="00AB10D8" w:rsidRPr="0095692E" w:rsidRDefault="00AB10D8" w:rsidP="00A80648">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Ante tales circunstancias, Marco Tulio Re</w:t>
      </w:r>
      <w:r w:rsidR="001823B5" w:rsidRPr="0095692E">
        <w:rPr>
          <w:rFonts w:ascii="Verdana" w:hAnsi="Verdana"/>
          <w:sz w:val="20"/>
          <w:szCs w:val="20"/>
        </w:rPr>
        <w:t>gala</w:t>
      </w:r>
      <w:r w:rsidRPr="0095692E">
        <w:rPr>
          <w:rFonts w:ascii="Verdana" w:hAnsi="Verdana"/>
          <w:sz w:val="20"/>
          <w:szCs w:val="20"/>
        </w:rPr>
        <w:t xml:space="preserve">do </w:t>
      </w:r>
      <w:r w:rsidR="003B40DC" w:rsidRPr="0095692E">
        <w:rPr>
          <w:rFonts w:ascii="Verdana" w:hAnsi="Verdana"/>
          <w:sz w:val="20"/>
          <w:szCs w:val="20"/>
        </w:rPr>
        <w:t xml:space="preserve">Hernández </w:t>
      </w:r>
      <w:r w:rsidRPr="0095692E">
        <w:rPr>
          <w:rFonts w:ascii="Verdana" w:hAnsi="Verdana"/>
          <w:sz w:val="20"/>
          <w:szCs w:val="20"/>
        </w:rPr>
        <w:t xml:space="preserve">se dio a la fuga. </w:t>
      </w:r>
      <w:r w:rsidR="004C039D" w:rsidRPr="0095692E">
        <w:rPr>
          <w:rFonts w:ascii="Verdana" w:hAnsi="Verdana"/>
          <w:sz w:val="20"/>
          <w:szCs w:val="20"/>
        </w:rPr>
        <w:t>F</w:t>
      </w:r>
      <w:r w:rsidR="001D0F80" w:rsidRPr="0095692E">
        <w:rPr>
          <w:rFonts w:ascii="Verdana" w:hAnsi="Verdana"/>
          <w:sz w:val="20"/>
          <w:szCs w:val="20"/>
        </w:rPr>
        <w:t>ue</w:t>
      </w:r>
      <w:r w:rsidR="001D3A68" w:rsidRPr="0095692E">
        <w:rPr>
          <w:rFonts w:ascii="Verdana" w:hAnsi="Verdana"/>
          <w:bCs/>
          <w:sz w:val="20"/>
          <w:szCs w:val="20"/>
        </w:rPr>
        <w:t xml:space="preserve"> capturado</w:t>
      </w:r>
      <w:r w:rsidR="007B3F46" w:rsidRPr="0095692E">
        <w:rPr>
          <w:rFonts w:ascii="Verdana" w:hAnsi="Verdana"/>
          <w:bCs/>
          <w:sz w:val="20"/>
          <w:szCs w:val="20"/>
        </w:rPr>
        <w:t xml:space="preserve"> </w:t>
      </w:r>
      <w:r w:rsidR="001D3A68" w:rsidRPr="0095692E">
        <w:rPr>
          <w:rFonts w:ascii="Verdana" w:hAnsi="Verdana"/>
          <w:bCs/>
          <w:sz w:val="20"/>
          <w:szCs w:val="20"/>
        </w:rPr>
        <w:t>el 16 de noviembre del 2016</w:t>
      </w:r>
      <w:r w:rsidR="00556DF0" w:rsidRPr="0095692E">
        <w:rPr>
          <w:rFonts w:ascii="Verdana" w:hAnsi="Verdana"/>
          <w:bCs/>
          <w:sz w:val="20"/>
          <w:szCs w:val="20"/>
        </w:rPr>
        <w:t xml:space="preserve">, y detenido en </w:t>
      </w:r>
      <w:r w:rsidR="00C36C19" w:rsidRPr="0095692E">
        <w:rPr>
          <w:rFonts w:ascii="Verdana" w:hAnsi="Verdana"/>
          <w:bCs/>
          <w:sz w:val="20"/>
          <w:szCs w:val="20"/>
        </w:rPr>
        <w:t xml:space="preserve">el </w:t>
      </w:r>
      <w:r w:rsidR="00556DF0" w:rsidRPr="0095692E">
        <w:rPr>
          <w:rFonts w:ascii="Verdana" w:hAnsi="Verdana"/>
          <w:bCs/>
          <w:sz w:val="20"/>
          <w:szCs w:val="20"/>
        </w:rPr>
        <w:t>Centro Penal de San Pedro Sula. Posteriormente, fue</w:t>
      </w:r>
      <w:r w:rsidR="00A554D8" w:rsidRPr="0095692E">
        <w:rPr>
          <w:rFonts w:ascii="Verdana" w:hAnsi="Verdana"/>
          <w:bCs/>
          <w:sz w:val="20"/>
          <w:szCs w:val="20"/>
        </w:rPr>
        <w:t xml:space="preserve"> </w:t>
      </w:r>
      <w:r w:rsidR="00556DF0" w:rsidRPr="0095692E">
        <w:rPr>
          <w:rFonts w:ascii="Verdana" w:hAnsi="Verdana"/>
          <w:bCs/>
          <w:sz w:val="20"/>
          <w:szCs w:val="20"/>
        </w:rPr>
        <w:t>transferido</w:t>
      </w:r>
      <w:r w:rsidR="001263B3" w:rsidRPr="0095692E">
        <w:rPr>
          <w:rFonts w:ascii="Verdana" w:hAnsi="Verdana"/>
          <w:bCs/>
          <w:sz w:val="20"/>
          <w:szCs w:val="20"/>
        </w:rPr>
        <w:t xml:space="preserve"> al</w:t>
      </w:r>
      <w:r w:rsidR="00556DF0" w:rsidRPr="0095692E">
        <w:rPr>
          <w:rFonts w:ascii="Verdana" w:hAnsi="Verdana"/>
          <w:bCs/>
          <w:sz w:val="20"/>
          <w:szCs w:val="20"/>
        </w:rPr>
        <w:t xml:space="preserve"> </w:t>
      </w:r>
      <w:r w:rsidRPr="0095692E">
        <w:rPr>
          <w:rFonts w:ascii="Verdana" w:hAnsi="Verdana"/>
          <w:bCs/>
          <w:sz w:val="20"/>
          <w:szCs w:val="20"/>
        </w:rPr>
        <w:t>Centro Penal de Tela</w:t>
      </w:r>
      <w:r w:rsidR="001263B3" w:rsidRPr="0095692E">
        <w:rPr>
          <w:rFonts w:ascii="Verdana" w:hAnsi="Verdana"/>
          <w:bCs/>
          <w:sz w:val="20"/>
          <w:szCs w:val="20"/>
        </w:rPr>
        <w:t xml:space="preserve"> para cumplir la condena </w:t>
      </w:r>
      <w:r w:rsidRPr="0095692E">
        <w:rPr>
          <w:rFonts w:ascii="Verdana" w:hAnsi="Verdana"/>
          <w:bCs/>
          <w:sz w:val="20"/>
          <w:szCs w:val="20"/>
        </w:rPr>
        <w:t>de doce años, por los delitos de asesinato, abuso de autoridad, violaciones de los deberes de los funcionarios y detención ilegal, en perjuicio de Herminio Deras García.</w:t>
      </w:r>
      <w:r w:rsidR="00556DF0" w:rsidRPr="0095692E">
        <w:rPr>
          <w:rFonts w:ascii="Verdana" w:hAnsi="Verdana"/>
          <w:bCs/>
          <w:sz w:val="20"/>
          <w:szCs w:val="20"/>
        </w:rPr>
        <w:t xml:space="preserve"> El</w:t>
      </w:r>
      <w:r w:rsidR="006E1BE4" w:rsidRPr="0095692E">
        <w:rPr>
          <w:rFonts w:ascii="Verdana" w:hAnsi="Verdana"/>
          <w:bCs/>
          <w:sz w:val="20"/>
          <w:szCs w:val="20"/>
        </w:rPr>
        <w:t xml:space="preserve"> 25 de marzo </w:t>
      </w:r>
      <w:r w:rsidR="009A1C6A" w:rsidRPr="0095692E">
        <w:rPr>
          <w:rFonts w:ascii="Verdana" w:hAnsi="Verdana"/>
          <w:bCs/>
          <w:sz w:val="20"/>
          <w:szCs w:val="20"/>
        </w:rPr>
        <w:t xml:space="preserve">de 2021 le fue otorgado el beneficio de </w:t>
      </w:r>
      <w:r w:rsidR="00104C31" w:rsidRPr="0095692E">
        <w:rPr>
          <w:rFonts w:ascii="Verdana" w:hAnsi="Verdana"/>
          <w:bCs/>
          <w:sz w:val="20"/>
          <w:szCs w:val="20"/>
        </w:rPr>
        <w:t xml:space="preserve">libertad condicional </w:t>
      </w:r>
      <w:r w:rsidR="001263B3" w:rsidRPr="0095692E">
        <w:rPr>
          <w:rFonts w:ascii="Verdana" w:hAnsi="Verdana"/>
          <w:bCs/>
          <w:sz w:val="20"/>
          <w:szCs w:val="20"/>
        </w:rPr>
        <w:t>y fue excarcelado a partir de esa fecha</w:t>
      </w:r>
      <w:r w:rsidR="00104C31" w:rsidRPr="0095692E">
        <w:rPr>
          <w:rFonts w:ascii="Verdana" w:hAnsi="Verdana"/>
          <w:bCs/>
          <w:sz w:val="20"/>
          <w:szCs w:val="20"/>
        </w:rPr>
        <w:t>.</w:t>
      </w:r>
      <w:r w:rsidR="00556DF0" w:rsidRPr="0095692E">
        <w:rPr>
          <w:rFonts w:ascii="Verdana" w:hAnsi="Verdana"/>
          <w:bCs/>
          <w:sz w:val="20"/>
          <w:szCs w:val="20"/>
        </w:rPr>
        <w:t xml:space="preserve"> </w:t>
      </w:r>
    </w:p>
    <w:p w14:paraId="64273F7A" w14:textId="77777777" w:rsidR="00894231" w:rsidRPr="0095692E" w:rsidRDefault="00894231" w:rsidP="00A80648">
      <w:pPr>
        <w:jc w:val="both"/>
        <w:rPr>
          <w:rFonts w:ascii="Verdana" w:eastAsiaTheme="minorHAnsi" w:hAnsi="Verdana"/>
          <w:sz w:val="20"/>
          <w:szCs w:val="20"/>
        </w:rPr>
      </w:pPr>
    </w:p>
    <w:p w14:paraId="39CC72CB" w14:textId="1D86C671" w:rsidR="00167C87" w:rsidRPr="0095692E" w:rsidRDefault="00167C87" w:rsidP="00A80648">
      <w:pPr>
        <w:pStyle w:val="Ttulo1"/>
        <w:ind w:firstLine="0"/>
        <w:rPr>
          <w:rFonts w:eastAsiaTheme="minorHAnsi"/>
          <w:strike/>
          <w:lang w:val="es-CR"/>
        </w:rPr>
      </w:pPr>
      <w:bookmarkStart w:id="44" w:name="_Toc115262486"/>
      <w:r w:rsidRPr="0095692E">
        <w:rPr>
          <w:lang w:val="es-CR"/>
        </w:rPr>
        <w:t>VII</w:t>
      </w:r>
      <w:r w:rsidRPr="0095692E">
        <w:rPr>
          <w:lang w:val="es-CR"/>
        </w:rPr>
        <w:br/>
        <w:t>FONDO</w:t>
      </w:r>
      <w:bookmarkEnd w:id="44"/>
    </w:p>
    <w:p w14:paraId="7DD923F8" w14:textId="77777777" w:rsidR="00217743" w:rsidRPr="0095692E" w:rsidRDefault="00217743" w:rsidP="003F08DE">
      <w:pPr>
        <w:pStyle w:val="Prrafodelista"/>
        <w:autoSpaceDE w:val="0"/>
        <w:autoSpaceDN w:val="0"/>
        <w:adjustRightInd w:val="0"/>
        <w:spacing w:after="0" w:line="240" w:lineRule="auto"/>
        <w:ind w:left="0"/>
        <w:contextualSpacing w:val="0"/>
        <w:jc w:val="both"/>
        <w:rPr>
          <w:rFonts w:ascii="Verdana" w:hAnsi="Verdana"/>
          <w:sz w:val="20"/>
          <w:szCs w:val="20"/>
        </w:rPr>
      </w:pPr>
    </w:p>
    <w:p w14:paraId="018F1AAE" w14:textId="1685BCBC" w:rsidR="008C7800" w:rsidRPr="0095692E" w:rsidRDefault="00B8276E" w:rsidP="00A80648">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Herminio Deras García era dirigente del Partido Comunista de Honduras y sindicalista</w:t>
      </w:r>
      <w:r w:rsidR="00A32913" w:rsidRPr="0095692E">
        <w:rPr>
          <w:rFonts w:ascii="Verdana" w:hAnsi="Verdana"/>
          <w:sz w:val="20"/>
          <w:szCs w:val="20"/>
        </w:rPr>
        <w:t>,</w:t>
      </w:r>
      <w:r w:rsidRPr="0095692E">
        <w:rPr>
          <w:rFonts w:ascii="Verdana" w:hAnsi="Verdana"/>
          <w:sz w:val="20"/>
          <w:szCs w:val="20"/>
        </w:rPr>
        <w:t xml:space="preserve"> por esta razón fue </w:t>
      </w:r>
      <w:r w:rsidR="007B00C8" w:rsidRPr="0095692E">
        <w:rPr>
          <w:rFonts w:ascii="Verdana" w:hAnsi="Verdana"/>
          <w:sz w:val="20"/>
          <w:szCs w:val="20"/>
        </w:rPr>
        <w:t xml:space="preserve">perseguido </w:t>
      </w:r>
      <w:r w:rsidR="00A32913" w:rsidRPr="0095692E">
        <w:rPr>
          <w:rFonts w:ascii="Verdana" w:hAnsi="Verdana"/>
          <w:sz w:val="20"/>
          <w:szCs w:val="20"/>
        </w:rPr>
        <w:t>durante varios años y finalmente</w:t>
      </w:r>
      <w:r w:rsidR="007B00C8" w:rsidRPr="0095692E">
        <w:rPr>
          <w:rFonts w:ascii="Verdana" w:hAnsi="Verdana"/>
          <w:sz w:val="20"/>
          <w:szCs w:val="20"/>
        </w:rPr>
        <w:t xml:space="preserve"> </w:t>
      </w:r>
      <w:r w:rsidR="003C107D" w:rsidRPr="0095692E">
        <w:rPr>
          <w:rFonts w:ascii="Verdana" w:hAnsi="Verdana"/>
          <w:sz w:val="20"/>
          <w:szCs w:val="20"/>
        </w:rPr>
        <w:t>ejecutado</w:t>
      </w:r>
      <w:r w:rsidR="007B00C8" w:rsidRPr="0095692E">
        <w:rPr>
          <w:rFonts w:ascii="Verdana" w:hAnsi="Verdana"/>
          <w:sz w:val="20"/>
          <w:szCs w:val="20"/>
        </w:rPr>
        <w:t xml:space="preserve"> el 29 de enero de 1983,</w:t>
      </w:r>
      <w:r w:rsidRPr="0095692E">
        <w:rPr>
          <w:rFonts w:ascii="Verdana" w:hAnsi="Verdana"/>
          <w:sz w:val="20"/>
          <w:szCs w:val="20"/>
        </w:rPr>
        <w:t xml:space="preserve"> por </w:t>
      </w:r>
      <w:r w:rsidR="008C7800" w:rsidRPr="0095692E">
        <w:rPr>
          <w:rFonts w:ascii="Verdana" w:hAnsi="Verdana"/>
          <w:sz w:val="20"/>
          <w:szCs w:val="20"/>
        </w:rPr>
        <w:t>miembros del Batallón 3-16</w:t>
      </w:r>
      <w:r w:rsidR="0028038A" w:rsidRPr="0095692E">
        <w:rPr>
          <w:rFonts w:ascii="Verdana" w:hAnsi="Verdana"/>
          <w:sz w:val="20"/>
          <w:szCs w:val="20"/>
        </w:rPr>
        <w:t>,</w:t>
      </w:r>
      <w:r w:rsidR="008C7800" w:rsidRPr="0095692E">
        <w:rPr>
          <w:rFonts w:ascii="Verdana" w:hAnsi="Verdana"/>
          <w:sz w:val="20"/>
          <w:szCs w:val="20"/>
        </w:rPr>
        <w:t xml:space="preserve"> </w:t>
      </w:r>
      <w:r w:rsidRPr="0095692E">
        <w:rPr>
          <w:rFonts w:ascii="Verdana" w:hAnsi="Verdana"/>
          <w:sz w:val="20"/>
          <w:szCs w:val="20"/>
        </w:rPr>
        <w:t>en el marco de un contexto de graves violaciones de derechos humanos</w:t>
      </w:r>
      <w:r w:rsidR="00A32913" w:rsidRPr="0095692E">
        <w:rPr>
          <w:rFonts w:ascii="Verdana" w:hAnsi="Verdana"/>
          <w:sz w:val="20"/>
          <w:szCs w:val="20"/>
        </w:rPr>
        <w:t xml:space="preserve"> que tuvo lugar</w:t>
      </w:r>
      <w:r w:rsidRPr="0095692E">
        <w:rPr>
          <w:rFonts w:ascii="Verdana" w:hAnsi="Verdana"/>
          <w:sz w:val="20"/>
          <w:szCs w:val="20"/>
        </w:rPr>
        <w:t xml:space="preserve"> en la década de 1980 en Honduras, bajo la “</w:t>
      </w:r>
      <w:r w:rsidR="00D32226" w:rsidRPr="0095692E">
        <w:rPr>
          <w:rFonts w:ascii="Verdana" w:hAnsi="Verdana"/>
          <w:sz w:val="20"/>
          <w:szCs w:val="20"/>
        </w:rPr>
        <w:t>d</w:t>
      </w:r>
      <w:r w:rsidRPr="0095692E">
        <w:rPr>
          <w:rFonts w:ascii="Verdana" w:hAnsi="Verdana"/>
          <w:sz w:val="20"/>
          <w:szCs w:val="20"/>
        </w:rPr>
        <w:t xml:space="preserve">octrina de </w:t>
      </w:r>
      <w:r w:rsidR="00D32226" w:rsidRPr="0095692E">
        <w:rPr>
          <w:rFonts w:ascii="Verdana" w:hAnsi="Verdana"/>
          <w:sz w:val="20"/>
          <w:szCs w:val="20"/>
        </w:rPr>
        <w:t>la s</w:t>
      </w:r>
      <w:r w:rsidRPr="0095692E">
        <w:rPr>
          <w:rFonts w:ascii="Verdana" w:hAnsi="Verdana"/>
          <w:sz w:val="20"/>
          <w:szCs w:val="20"/>
        </w:rPr>
        <w:t xml:space="preserve">eguridad </w:t>
      </w:r>
      <w:r w:rsidR="00D32226" w:rsidRPr="0095692E">
        <w:rPr>
          <w:rFonts w:ascii="Verdana" w:hAnsi="Verdana"/>
          <w:sz w:val="20"/>
          <w:szCs w:val="20"/>
        </w:rPr>
        <w:t>n</w:t>
      </w:r>
      <w:r w:rsidRPr="0095692E">
        <w:rPr>
          <w:rFonts w:ascii="Verdana" w:hAnsi="Verdana"/>
          <w:sz w:val="20"/>
          <w:szCs w:val="20"/>
        </w:rPr>
        <w:t xml:space="preserve">acional”. </w:t>
      </w:r>
      <w:r w:rsidR="007B00C8" w:rsidRPr="0095692E">
        <w:rPr>
          <w:rFonts w:ascii="Verdana" w:hAnsi="Verdana"/>
          <w:sz w:val="20"/>
          <w:szCs w:val="20"/>
        </w:rPr>
        <w:t>Por lo tanto, e</w:t>
      </w:r>
      <w:r w:rsidR="008D78D2" w:rsidRPr="0095692E">
        <w:rPr>
          <w:rFonts w:ascii="Verdana" w:hAnsi="Verdana"/>
          <w:sz w:val="20"/>
          <w:szCs w:val="20"/>
        </w:rPr>
        <w:t xml:space="preserve">ste Tribunal considera que Herminio Deras García fue víctima de una ejecución extrajudicial </w:t>
      </w:r>
      <w:r w:rsidR="007D0088" w:rsidRPr="0095692E">
        <w:rPr>
          <w:rFonts w:ascii="Verdana" w:hAnsi="Verdana"/>
          <w:sz w:val="20"/>
          <w:szCs w:val="20"/>
        </w:rPr>
        <w:t xml:space="preserve">por sus actividades </w:t>
      </w:r>
      <w:r w:rsidR="008C7800" w:rsidRPr="0095692E">
        <w:rPr>
          <w:rFonts w:ascii="Verdana" w:hAnsi="Verdana"/>
          <w:sz w:val="20"/>
          <w:szCs w:val="20"/>
        </w:rPr>
        <w:t>políticas y sindicales</w:t>
      </w:r>
      <w:r w:rsidR="007D0088" w:rsidRPr="0095692E">
        <w:rPr>
          <w:rFonts w:ascii="Verdana" w:hAnsi="Verdana"/>
          <w:sz w:val="20"/>
          <w:szCs w:val="20"/>
        </w:rPr>
        <w:t xml:space="preserve">. Es decir, </w:t>
      </w:r>
      <w:r w:rsidR="003D4E10" w:rsidRPr="0095692E">
        <w:rPr>
          <w:rFonts w:ascii="Verdana" w:hAnsi="Verdana"/>
          <w:sz w:val="20"/>
          <w:szCs w:val="20"/>
        </w:rPr>
        <w:t xml:space="preserve">los allanamientos a su domicilio, las persecuciones a él y su familia y, finalmente, </w:t>
      </w:r>
      <w:r w:rsidR="007D0088" w:rsidRPr="0095692E">
        <w:rPr>
          <w:rFonts w:ascii="Verdana" w:hAnsi="Verdana"/>
          <w:sz w:val="20"/>
          <w:szCs w:val="20"/>
        </w:rPr>
        <w:t>la privación de su vida</w:t>
      </w:r>
      <w:r w:rsidR="001D5DED" w:rsidRPr="0095692E">
        <w:rPr>
          <w:rFonts w:ascii="Verdana" w:hAnsi="Verdana"/>
          <w:sz w:val="20"/>
          <w:szCs w:val="20"/>
        </w:rPr>
        <w:t>,</w:t>
      </w:r>
      <w:r w:rsidR="007D0088" w:rsidRPr="0095692E">
        <w:rPr>
          <w:rFonts w:ascii="Verdana" w:hAnsi="Verdana"/>
          <w:sz w:val="20"/>
          <w:szCs w:val="20"/>
        </w:rPr>
        <w:t xml:space="preserve"> </w:t>
      </w:r>
      <w:r w:rsidR="00C97D45" w:rsidRPr="0095692E">
        <w:rPr>
          <w:rFonts w:ascii="Verdana" w:hAnsi="Verdana"/>
          <w:sz w:val="20"/>
          <w:szCs w:val="20"/>
        </w:rPr>
        <w:t xml:space="preserve">constituyeron una acción deliberada a </w:t>
      </w:r>
      <w:r w:rsidR="00411103" w:rsidRPr="0095692E">
        <w:rPr>
          <w:rFonts w:ascii="Verdana" w:hAnsi="Verdana"/>
          <w:sz w:val="20"/>
          <w:szCs w:val="20"/>
        </w:rPr>
        <w:t>silenciar</w:t>
      </w:r>
      <w:r w:rsidR="007D0088" w:rsidRPr="0095692E">
        <w:rPr>
          <w:rFonts w:ascii="Verdana" w:hAnsi="Verdana"/>
          <w:sz w:val="20"/>
          <w:szCs w:val="20"/>
        </w:rPr>
        <w:t xml:space="preserve"> su voz opositora</w:t>
      </w:r>
      <w:r w:rsidR="00C97D45" w:rsidRPr="0095692E">
        <w:rPr>
          <w:rFonts w:ascii="Verdana" w:hAnsi="Verdana"/>
          <w:sz w:val="20"/>
          <w:szCs w:val="20"/>
        </w:rPr>
        <w:t xml:space="preserve"> y detener su militancia política y sindical</w:t>
      </w:r>
      <w:r w:rsidR="007D0088" w:rsidRPr="0095692E">
        <w:rPr>
          <w:rFonts w:ascii="Verdana" w:hAnsi="Verdana"/>
          <w:sz w:val="20"/>
          <w:szCs w:val="20"/>
        </w:rPr>
        <w:t xml:space="preserve">. </w:t>
      </w:r>
    </w:p>
    <w:p w14:paraId="3472A34C" w14:textId="77777777" w:rsidR="008C7800" w:rsidRPr="0095692E" w:rsidRDefault="008C7800" w:rsidP="008C7800">
      <w:pPr>
        <w:pStyle w:val="Prrafodelista"/>
        <w:autoSpaceDE w:val="0"/>
        <w:autoSpaceDN w:val="0"/>
        <w:adjustRightInd w:val="0"/>
        <w:spacing w:after="0" w:line="240" w:lineRule="auto"/>
        <w:ind w:left="0"/>
        <w:contextualSpacing w:val="0"/>
        <w:jc w:val="both"/>
        <w:rPr>
          <w:rFonts w:ascii="Verdana" w:hAnsi="Verdana"/>
          <w:sz w:val="20"/>
          <w:szCs w:val="20"/>
        </w:rPr>
      </w:pPr>
    </w:p>
    <w:p w14:paraId="20C35E3A" w14:textId="45933765" w:rsidR="00D17EAF" w:rsidRPr="0095692E" w:rsidRDefault="00D17EAF" w:rsidP="00F3312E">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Sobre el particular, la Corte ha señalado que</w:t>
      </w:r>
      <w:r w:rsidR="00FF1EAF" w:rsidRPr="0095692E">
        <w:rPr>
          <w:rFonts w:ascii="Verdana" w:hAnsi="Verdana"/>
          <w:sz w:val="20"/>
          <w:szCs w:val="20"/>
        </w:rPr>
        <w:t xml:space="preserve"> cuando</w:t>
      </w:r>
      <w:r w:rsidRPr="0095692E">
        <w:rPr>
          <w:rFonts w:ascii="Verdana" w:hAnsi="Verdana"/>
          <w:sz w:val="20"/>
          <w:szCs w:val="20"/>
        </w:rPr>
        <w:t xml:space="preserve"> la</w:t>
      </w:r>
      <w:r w:rsidR="007B7E9B" w:rsidRPr="0095692E">
        <w:rPr>
          <w:rFonts w:ascii="Verdana" w:hAnsi="Verdana"/>
          <w:sz w:val="20"/>
          <w:szCs w:val="20"/>
        </w:rPr>
        <w:t>s</w:t>
      </w:r>
      <w:r w:rsidRPr="0095692E">
        <w:rPr>
          <w:rFonts w:ascii="Verdana" w:hAnsi="Verdana"/>
          <w:sz w:val="20"/>
          <w:szCs w:val="20"/>
        </w:rPr>
        <w:t xml:space="preserve"> violaci</w:t>
      </w:r>
      <w:r w:rsidR="007B7E9B" w:rsidRPr="0095692E">
        <w:rPr>
          <w:rFonts w:ascii="Verdana" w:hAnsi="Verdana"/>
          <w:sz w:val="20"/>
          <w:szCs w:val="20"/>
        </w:rPr>
        <w:t xml:space="preserve">ones de derechos humanos </w:t>
      </w:r>
      <w:r w:rsidRPr="0095692E">
        <w:rPr>
          <w:rFonts w:ascii="Verdana" w:hAnsi="Verdana"/>
          <w:sz w:val="20"/>
          <w:szCs w:val="20"/>
        </w:rPr>
        <w:t>se vincula</w:t>
      </w:r>
      <w:r w:rsidR="007B7E9B" w:rsidRPr="0095692E">
        <w:rPr>
          <w:rFonts w:ascii="Verdana" w:hAnsi="Verdana"/>
          <w:sz w:val="20"/>
          <w:szCs w:val="20"/>
        </w:rPr>
        <w:t>n</w:t>
      </w:r>
      <w:r w:rsidRPr="0095692E">
        <w:rPr>
          <w:rFonts w:ascii="Verdana" w:hAnsi="Verdana"/>
          <w:sz w:val="20"/>
          <w:szCs w:val="20"/>
        </w:rPr>
        <w:t xml:space="preserve"> al ejercicio de la libertad sindical o de derechos políticos, </w:t>
      </w:r>
      <w:r w:rsidR="007B7E9B" w:rsidRPr="0095692E">
        <w:rPr>
          <w:rFonts w:ascii="Verdana" w:hAnsi="Verdana"/>
          <w:sz w:val="20"/>
          <w:szCs w:val="20"/>
        </w:rPr>
        <w:t xml:space="preserve">como en el caso del señor Deras, </w:t>
      </w:r>
      <w:r w:rsidRPr="0095692E">
        <w:rPr>
          <w:rFonts w:ascii="Verdana" w:hAnsi="Verdana"/>
          <w:sz w:val="20"/>
          <w:szCs w:val="20"/>
        </w:rPr>
        <w:t>puede</w:t>
      </w:r>
      <w:r w:rsidR="007B7E9B" w:rsidRPr="0095692E">
        <w:rPr>
          <w:rFonts w:ascii="Verdana" w:hAnsi="Verdana"/>
          <w:sz w:val="20"/>
          <w:szCs w:val="20"/>
        </w:rPr>
        <w:t>n</w:t>
      </w:r>
      <w:r w:rsidRPr="0095692E">
        <w:rPr>
          <w:rFonts w:ascii="Verdana" w:hAnsi="Verdana"/>
          <w:sz w:val="20"/>
          <w:szCs w:val="20"/>
        </w:rPr>
        <w:t xml:space="preserve"> tener un efecto amedrentador en las organizaciones respectivas, </w:t>
      </w:r>
      <w:r w:rsidR="007B7E9B" w:rsidRPr="0095692E">
        <w:rPr>
          <w:rFonts w:ascii="Verdana" w:hAnsi="Verdana"/>
          <w:sz w:val="20"/>
          <w:szCs w:val="20"/>
        </w:rPr>
        <w:t>afectando</w:t>
      </w:r>
      <w:r w:rsidRPr="0095692E">
        <w:rPr>
          <w:rFonts w:ascii="Verdana" w:hAnsi="Verdana"/>
          <w:sz w:val="20"/>
          <w:szCs w:val="20"/>
        </w:rPr>
        <w:t xml:space="preserve"> su capacidad de agruparse para defender sus intereses, lo que puede verse agravado en contextos de impunidad</w:t>
      </w:r>
      <w:r w:rsidRPr="0095692E">
        <w:rPr>
          <w:rStyle w:val="Refdenotaalpie"/>
          <w:rFonts w:ascii="Verdana" w:hAnsi="Verdana"/>
          <w:sz w:val="20"/>
          <w:szCs w:val="20"/>
        </w:rPr>
        <w:footnoteReference w:id="74"/>
      </w:r>
      <w:r w:rsidRPr="0095692E">
        <w:rPr>
          <w:rFonts w:ascii="Verdana" w:hAnsi="Verdana"/>
          <w:sz w:val="20"/>
          <w:szCs w:val="20"/>
        </w:rPr>
        <w:t>.</w:t>
      </w:r>
      <w:r w:rsidR="008909AB" w:rsidRPr="0095692E">
        <w:rPr>
          <w:rFonts w:ascii="Verdana" w:hAnsi="Verdana"/>
          <w:sz w:val="20"/>
          <w:szCs w:val="20"/>
        </w:rPr>
        <w:t xml:space="preserve"> Asimismo</w:t>
      </w:r>
      <w:r w:rsidR="00F3312E" w:rsidRPr="0095692E">
        <w:rPr>
          <w:rFonts w:ascii="Verdana" w:hAnsi="Verdana"/>
          <w:sz w:val="20"/>
          <w:szCs w:val="20"/>
        </w:rPr>
        <w:t>, como lo ha señalado esta Corte, se requiere un nivel reforzado de protección a la libertad de expresión de los representantes de los trabajadores, como son los sindicalistas</w:t>
      </w:r>
      <w:r w:rsidR="00F3312E" w:rsidRPr="0095692E">
        <w:rPr>
          <w:rStyle w:val="Refdenotaalpie"/>
          <w:rFonts w:ascii="Verdana" w:hAnsi="Verdana"/>
          <w:sz w:val="20"/>
          <w:szCs w:val="20"/>
        </w:rPr>
        <w:footnoteReference w:id="75"/>
      </w:r>
      <w:r w:rsidR="00F3312E" w:rsidRPr="0095692E">
        <w:rPr>
          <w:rFonts w:ascii="Verdana" w:hAnsi="Verdana"/>
          <w:sz w:val="20"/>
          <w:szCs w:val="20"/>
        </w:rPr>
        <w:t>.</w:t>
      </w:r>
    </w:p>
    <w:p w14:paraId="54DB4331" w14:textId="77777777" w:rsidR="00F3312E" w:rsidRPr="0095692E" w:rsidRDefault="00F3312E" w:rsidP="00F3312E">
      <w:pPr>
        <w:pStyle w:val="Prrafodelista"/>
        <w:autoSpaceDE w:val="0"/>
        <w:autoSpaceDN w:val="0"/>
        <w:adjustRightInd w:val="0"/>
        <w:spacing w:after="0" w:line="240" w:lineRule="auto"/>
        <w:ind w:left="0"/>
        <w:contextualSpacing w:val="0"/>
        <w:jc w:val="both"/>
        <w:rPr>
          <w:rFonts w:ascii="Verdana" w:hAnsi="Verdana"/>
          <w:sz w:val="20"/>
          <w:szCs w:val="20"/>
        </w:rPr>
      </w:pPr>
    </w:p>
    <w:p w14:paraId="424EEC52" w14:textId="4C7BCFC9" w:rsidR="00996B5D" w:rsidRPr="0095692E" w:rsidRDefault="008909AB" w:rsidP="00A80648">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Por otra parte, l</w:t>
      </w:r>
      <w:r w:rsidR="001D5DED" w:rsidRPr="0095692E">
        <w:rPr>
          <w:rFonts w:ascii="Verdana" w:hAnsi="Verdana"/>
          <w:sz w:val="20"/>
          <w:szCs w:val="20"/>
        </w:rPr>
        <w:t>a Corte encuentra</w:t>
      </w:r>
      <w:r w:rsidRPr="0095692E">
        <w:rPr>
          <w:rFonts w:ascii="Verdana" w:hAnsi="Verdana"/>
          <w:sz w:val="20"/>
          <w:szCs w:val="20"/>
        </w:rPr>
        <w:t xml:space="preserve"> </w:t>
      </w:r>
      <w:r w:rsidR="001D5DED" w:rsidRPr="0095692E">
        <w:rPr>
          <w:rFonts w:ascii="Verdana" w:hAnsi="Verdana"/>
          <w:sz w:val="20"/>
          <w:szCs w:val="20"/>
        </w:rPr>
        <w:t xml:space="preserve">que </w:t>
      </w:r>
      <w:r w:rsidR="004549E4" w:rsidRPr="0095692E">
        <w:rPr>
          <w:rFonts w:ascii="Verdana" w:hAnsi="Verdana"/>
          <w:sz w:val="20"/>
          <w:szCs w:val="20"/>
        </w:rPr>
        <w:t xml:space="preserve">el señor Deras García tuvo que sufrir </w:t>
      </w:r>
      <w:r w:rsidR="001D5DED" w:rsidRPr="0095692E">
        <w:rPr>
          <w:rFonts w:ascii="Verdana" w:hAnsi="Verdana"/>
          <w:sz w:val="20"/>
          <w:szCs w:val="20"/>
          <w:lang w:eastAsia="es-ES"/>
        </w:rPr>
        <w:t xml:space="preserve">angustia y </w:t>
      </w:r>
      <w:r w:rsidR="004549E4" w:rsidRPr="0095692E">
        <w:rPr>
          <w:rFonts w:ascii="Verdana" w:hAnsi="Verdana"/>
          <w:sz w:val="20"/>
          <w:szCs w:val="20"/>
          <w:lang w:eastAsia="es-ES"/>
        </w:rPr>
        <w:t>un</w:t>
      </w:r>
      <w:r w:rsidR="001D5DED" w:rsidRPr="0095692E">
        <w:rPr>
          <w:rFonts w:ascii="Verdana" w:hAnsi="Verdana"/>
          <w:sz w:val="20"/>
          <w:szCs w:val="20"/>
          <w:lang w:eastAsia="es-ES"/>
        </w:rPr>
        <w:t xml:space="preserve"> temor</w:t>
      </w:r>
      <w:r w:rsidR="006B5504" w:rsidRPr="0095692E">
        <w:rPr>
          <w:rFonts w:ascii="Verdana" w:hAnsi="Verdana"/>
          <w:sz w:val="20"/>
          <w:szCs w:val="20"/>
          <w:lang w:eastAsia="es-ES"/>
        </w:rPr>
        <w:t xml:space="preserve"> profundo</w:t>
      </w:r>
      <w:r w:rsidR="001D5DED" w:rsidRPr="0095692E">
        <w:rPr>
          <w:rFonts w:ascii="Verdana" w:hAnsi="Verdana"/>
          <w:sz w:val="20"/>
          <w:szCs w:val="20"/>
          <w:lang w:eastAsia="es-ES"/>
        </w:rPr>
        <w:t xml:space="preserve"> </w:t>
      </w:r>
      <w:r w:rsidR="002F710B" w:rsidRPr="0095692E">
        <w:rPr>
          <w:rFonts w:ascii="Verdana" w:hAnsi="Verdana"/>
          <w:sz w:val="20"/>
          <w:szCs w:val="20"/>
        </w:rPr>
        <w:t xml:space="preserve">ante el peligro real e inminente de que las agresiones y otros actos a los cuales estaba siendo sometido culminarían </w:t>
      </w:r>
      <w:r w:rsidR="000E01EC" w:rsidRPr="0095692E">
        <w:rPr>
          <w:rFonts w:ascii="Verdana" w:hAnsi="Verdana"/>
          <w:sz w:val="20"/>
          <w:szCs w:val="20"/>
        </w:rPr>
        <w:t>en</w:t>
      </w:r>
      <w:r w:rsidR="002F710B" w:rsidRPr="0095692E">
        <w:rPr>
          <w:rFonts w:ascii="Verdana" w:hAnsi="Verdana"/>
          <w:sz w:val="20"/>
          <w:szCs w:val="20"/>
        </w:rPr>
        <w:t xml:space="preserve"> su</w:t>
      </w:r>
      <w:r w:rsidR="007B7E9B" w:rsidRPr="0095692E">
        <w:rPr>
          <w:rFonts w:ascii="Verdana" w:hAnsi="Verdana"/>
          <w:sz w:val="20"/>
          <w:szCs w:val="20"/>
        </w:rPr>
        <w:t xml:space="preserve"> </w:t>
      </w:r>
      <w:r w:rsidR="002F710B" w:rsidRPr="0095692E">
        <w:rPr>
          <w:rFonts w:ascii="Verdana" w:hAnsi="Verdana"/>
          <w:sz w:val="20"/>
          <w:szCs w:val="20"/>
        </w:rPr>
        <w:t>muerte</w:t>
      </w:r>
      <w:r w:rsidR="000E01EC" w:rsidRPr="0095692E">
        <w:rPr>
          <w:rFonts w:ascii="Verdana" w:hAnsi="Verdana"/>
          <w:sz w:val="20"/>
          <w:szCs w:val="20"/>
        </w:rPr>
        <w:t>,</w:t>
      </w:r>
      <w:r w:rsidR="001D5DED" w:rsidRPr="0095692E">
        <w:rPr>
          <w:rFonts w:ascii="Verdana" w:hAnsi="Verdana"/>
          <w:sz w:val="20"/>
          <w:szCs w:val="20"/>
          <w:lang w:eastAsia="es-ES"/>
        </w:rPr>
        <w:t xml:space="preserve"> </w:t>
      </w:r>
      <w:r w:rsidR="000E01EC" w:rsidRPr="0095692E">
        <w:rPr>
          <w:rFonts w:ascii="Verdana" w:hAnsi="Verdana"/>
          <w:sz w:val="20"/>
          <w:szCs w:val="20"/>
          <w:lang w:eastAsia="es-ES"/>
        </w:rPr>
        <w:t>a</w:t>
      </w:r>
      <w:r w:rsidR="001D5DED" w:rsidRPr="0095692E">
        <w:rPr>
          <w:rFonts w:ascii="Verdana" w:hAnsi="Verdana"/>
          <w:sz w:val="20"/>
          <w:szCs w:val="20"/>
          <w:lang w:eastAsia="es-ES"/>
        </w:rPr>
        <w:t xml:space="preserve"> manos de agentes estatales</w:t>
      </w:r>
      <w:r w:rsidR="002F710B" w:rsidRPr="0095692E">
        <w:rPr>
          <w:rFonts w:ascii="Verdana" w:hAnsi="Verdana"/>
          <w:sz w:val="20"/>
          <w:szCs w:val="20"/>
          <w:lang w:eastAsia="es-ES"/>
        </w:rPr>
        <w:t>.</w:t>
      </w:r>
      <w:r w:rsidR="001D5DED" w:rsidRPr="0095692E">
        <w:rPr>
          <w:rFonts w:ascii="Verdana" w:hAnsi="Verdana"/>
          <w:sz w:val="20"/>
          <w:szCs w:val="20"/>
        </w:rPr>
        <w:t xml:space="preserve"> En efecto, además de las amenazas y hostigamientos tras su captura</w:t>
      </w:r>
      <w:r w:rsidR="007D0020" w:rsidRPr="0095692E">
        <w:rPr>
          <w:rFonts w:ascii="Verdana" w:hAnsi="Verdana"/>
          <w:sz w:val="20"/>
          <w:szCs w:val="20"/>
        </w:rPr>
        <w:t>,</w:t>
      </w:r>
      <w:r w:rsidR="001D5DED" w:rsidRPr="0095692E">
        <w:rPr>
          <w:rFonts w:ascii="Verdana" w:hAnsi="Verdana"/>
          <w:sz w:val="20"/>
          <w:szCs w:val="20"/>
        </w:rPr>
        <w:t xml:space="preserve"> momentos antes de su ejecución, el señor Deras García había</w:t>
      </w:r>
      <w:r w:rsidR="007B7E9B" w:rsidRPr="0095692E">
        <w:rPr>
          <w:rFonts w:ascii="Verdana" w:hAnsi="Verdana"/>
          <w:sz w:val="20"/>
          <w:szCs w:val="20"/>
        </w:rPr>
        <w:t xml:space="preserve"> </w:t>
      </w:r>
      <w:r w:rsidR="001D5DED" w:rsidRPr="0095692E">
        <w:rPr>
          <w:rFonts w:ascii="Verdana" w:hAnsi="Verdana"/>
          <w:sz w:val="20"/>
          <w:szCs w:val="20"/>
        </w:rPr>
        <w:t xml:space="preserve">sufrido persecuciones, tenía conocimiento de que agentes del Estado lo seguían buscando y </w:t>
      </w:r>
      <w:r w:rsidR="007B7E9B" w:rsidRPr="0095692E">
        <w:rPr>
          <w:rFonts w:ascii="Verdana" w:hAnsi="Verdana"/>
          <w:sz w:val="20"/>
          <w:szCs w:val="20"/>
        </w:rPr>
        <w:t xml:space="preserve">habían </w:t>
      </w:r>
      <w:r w:rsidR="001D5DED" w:rsidRPr="0095692E">
        <w:rPr>
          <w:rFonts w:ascii="Verdana" w:hAnsi="Verdana"/>
          <w:sz w:val="20"/>
          <w:szCs w:val="20"/>
        </w:rPr>
        <w:t xml:space="preserve">amenazado </w:t>
      </w:r>
      <w:r w:rsidR="007D0020" w:rsidRPr="0095692E">
        <w:rPr>
          <w:rFonts w:ascii="Verdana" w:hAnsi="Verdana"/>
          <w:sz w:val="20"/>
          <w:szCs w:val="20"/>
        </w:rPr>
        <w:t xml:space="preserve">a </w:t>
      </w:r>
      <w:r w:rsidR="001D5DED" w:rsidRPr="0095692E">
        <w:rPr>
          <w:rFonts w:ascii="Verdana" w:hAnsi="Verdana"/>
          <w:sz w:val="20"/>
          <w:szCs w:val="20"/>
        </w:rPr>
        <w:t xml:space="preserve">sus familiares, de modo que, cuando fue capturado por el señor </w:t>
      </w:r>
      <w:r w:rsidR="002F710B" w:rsidRPr="0095692E">
        <w:rPr>
          <w:rFonts w:ascii="Verdana" w:hAnsi="Verdana"/>
          <w:sz w:val="20"/>
          <w:szCs w:val="20"/>
        </w:rPr>
        <w:t xml:space="preserve">Marco Tulio </w:t>
      </w:r>
      <w:r w:rsidR="001D5DED" w:rsidRPr="0095692E">
        <w:rPr>
          <w:rFonts w:ascii="Verdana" w:hAnsi="Verdana"/>
          <w:sz w:val="20"/>
          <w:szCs w:val="20"/>
        </w:rPr>
        <w:t xml:space="preserve">Regalado y </w:t>
      </w:r>
      <w:r w:rsidR="002F710B" w:rsidRPr="0095692E">
        <w:rPr>
          <w:rFonts w:ascii="Verdana" w:hAnsi="Verdana"/>
          <w:sz w:val="20"/>
          <w:szCs w:val="20"/>
        </w:rPr>
        <w:t>otro</w:t>
      </w:r>
      <w:r w:rsidR="00F666A4" w:rsidRPr="0095692E">
        <w:rPr>
          <w:rFonts w:ascii="Verdana" w:hAnsi="Verdana"/>
          <w:sz w:val="20"/>
          <w:szCs w:val="20"/>
        </w:rPr>
        <w:t>s</w:t>
      </w:r>
      <w:r w:rsidR="002F710B" w:rsidRPr="0095692E">
        <w:rPr>
          <w:rFonts w:ascii="Verdana" w:hAnsi="Verdana"/>
          <w:sz w:val="20"/>
          <w:szCs w:val="20"/>
        </w:rPr>
        <w:t xml:space="preserve"> </w:t>
      </w:r>
      <w:r w:rsidR="001D5DED" w:rsidRPr="0095692E">
        <w:rPr>
          <w:rFonts w:ascii="Verdana" w:hAnsi="Verdana"/>
          <w:sz w:val="20"/>
          <w:szCs w:val="20"/>
        </w:rPr>
        <w:t>militares</w:t>
      </w:r>
      <w:r w:rsidR="002F710B" w:rsidRPr="0095692E">
        <w:rPr>
          <w:rFonts w:ascii="Verdana" w:hAnsi="Verdana"/>
          <w:sz w:val="20"/>
          <w:szCs w:val="20"/>
        </w:rPr>
        <w:t xml:space="preserve"> aún no identificados</w:t>
      </w:r>
      <w:r w:rsidR="001D5DED" w:rsidRPr="0095692E">
        <w:rPr>
          <w:rFonts w:ascii="Verdana" w:hAnsi="Verdana"/>
          <w:sz w:val="20"/>
          <w:szCs w:val="20"/>
        </w:rPr>
        <w:t xml:space="preserve">, tenía plena consciencia de su posible destino, </w:t>
      </w:r>
      <w:r w:rsidR="002F710B" w:rsidRPr="0095692E">
        <w:rPr>
          <w:rFonts w:ascii="Verdana" w:hAnsi="Verdana"/>
          <w:sz w:val="20"/>
          <w:szCs w:val="20"/>
        </w:rPr>
        <w:t>máxime</w:t>
      </w:r>
      <w:r w:rsidR="001D5DED" w:rsidRPr="0095692E">
        <w:rPr>
          <w:rFonts w:ascii="Verdana" w:hAnsi="Verdana"/>
          <w:sz w:val="20"/>
          <w:szCs w:val="20"/>
        </w:rPr>
        <w:t xml:space="preserve"> considerando el contexto político de la época.</w:t>
      </w:r>
      <w:r w:rsidR="00EC2651" w:rsidRPr="0095692E">
        <w:rPr>
          <w:rFonts w:ascii="Verdana" w:hAnsi="Verdana"/>
          <w:sz w:val="20"/>
          <w:szCs w:val="20"/>
        </w:rPr>
        <w:t xml:space="preserve"> En vista de </w:t>
      </w:r>
      <w:r w:rsidR="006B03E9" w:rsidRPr="0095692E">
        <w:rPr>
          <w:rFonts w:ascii="Verdana" w:hAnsi="Verdana"/>
          <w:sz w:val="20"/>
          <w:szCs w:val="20"/>
        </w:rPr>
        <w:t xml:space="preserve">lo anterior, el Tribunal </w:t>
      </w:r>
      <w:r w:rsidR="006B03E9" w:rsidRPr="0095692E">
        <w:rPr>
          <w:rFonts w:ascii="Verdana" w:hAnsi="Verdana"/>
          <w:sz w:val="20"/>
          <w:szCs w:val="20"/>
        </w:rPr>
        <w:lastRenderedPageBreak/>
        <w:t>concluye que</w:t>
      </w:r>
      <w:r w:rsidR="00EC2651" w:rsidRPr="0095692E">
        <w:rPr>
          <w:rFonts w:ascii="Verdana" w:hAnsi="Verdana"/>
          <w:sz w:val="20"/>
          <w:szCs w:val="20"/>
        </w:rPr>
        <w:t xml:space="preserve"> el Estado de Honduras violó los derechos a la vida, la integridad personal, la libertad de pensamiento y de expresión, la libertad de asociación y a los derechos políticos, contenidos en los artículos 4.1, 5.1, 13.1, 16.1 y 23</w:t>
      </w:r>
      <w:r w:rsidR="00753423" w:rsidRPr="0095692E">
        <w:rPr>
          <w:rFonts w:ascii="Verdana" w:hAnsi="Verdana"/>
          <w:sz w:val="20"/>
          <w:szCs w:val="20"/>
        </w:rPr>
        <w:t>.1</w:t>
      </w:r>
      <w:r w:rsidR="00EC2651" w:rsidRPr="0095692E">
        <w:rPr>
          <w:rFonts w:ascii="Verdana" w:hAnsi="Verdana"/>
          <w:sz w:val="20"/>
          <w:szCs w:val="20"/>
        </w:rPr>
        <w:t xml:space="preserve"> de la Convención Americana en relación con el artículo 1.1 y 2</w:t>
      </w:r>
      <w:r w:rsidR="0083283B" w:rsidRPr="0095692E">
        <w:rPr>
          <w:rStyle w:val="Refdenotaalpie"/>
          <w:rFonts w:ascii="Verdana" w:hAnsi="Verdana"/>
          <w:sz w:val="20"/>
          <w:szCs w:val="20"/>
        </w:rPr>
        <w:footnoteReference w:id="76"/>
      </w:r>
      <w:r w:rsidR="00EC2651" w:rsidRPr="0095692E">
        <w:rPr>
          <w:rFonts w:ascii="Verdana" w:hAnsi="Verdana"/>
          <w:sz w:val="20"/>
          <w:szCs w:val="20"/>
        </w:rPr>
        <w:t xml:space="preserve"> del mismo instrumento, en perjuicio de Herminio Deras García</w:t>
      </w:r>
      <w:r w:rsidR="00996B5D" w:rsidRPr="0095692E">
        <w:rPr>
          <w:rFonts w:ascii="Verdana" w:hAnsi="Verdana"/>
          <w:sz w:val="20"/>
          <w:szCs w:val="20"/>
        </w:rPr>
        <w:t>.</w:t>
      </w:r>
    </w:p>
    <w:p w14:paraId="73A9B195" w14:textId="77777777" w:rsidR="00247571" w:rsidRPr="0095692E" w:rsidRDefault="00247571" w:rsidP="00247571">
      <w:pPr>
        <w:pStyle w:val="Prrafodelista"/>
        <w:autoSpaceDE w:val="0"/>
        <w:autoSpaceDN w:val="0"/>
        <w:adjustRightInd w:val="0"/>
        <w:spacing w:after="0" w:line="240" w:lineRule="auto"/>
        <w:ind w:left="0"/>
        <w:contextualSpacing w:val="0"/>
        <w:jc w:val="both"/>
        <w:rPr>
          <w:rFonts w:ascii="Verdana" w:hAnsi="Verdana"/>
          <w:sz w:val="20"/>
          <w:szCs w:val="20"/>
        </w:rPr>
      </w:pPr>
    </w:p>
    <w:p w14:paraId="3536B08C" w14:textId="4BCF6D7A" w:rsidR="008646F7" w:rsidRPr="0095692E" w:rsidRDefault="0040263D" w:rsidP="00A80648">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De otro lado, </w:t>
      </w:r>
      <w:r w:rsidR="007D3554" w:rsidRPr="0095692E">
        <w:rPr>
          <w:rFonts w:ascii="Verdana" w:hAnsi="Verdana"/>
          <w:sz w:val="20"/>
          <w:szCs w:val="20"/>
        </w:rPr>
        <w:t>la Corte nota que diversos miembros de la familia del señor Deras García</w:t>
      </w:r>
      <w:r w:rsidR="00BA184B" w:rsidRPr="0095692E">
        <w:rPr>
          <w:rFonts w:ascii="Verdana" w:hAnsi="Verdana"/>
          <w:sz w:val="20"/>
          <w:szCs w:val="20"/>
        </w:rPr>
        <w:t>, algunos de los cuales eran niñas y niños</w:t>
      </w:r>
      <w:r w:rsidR="009E2210" w:rsidRPr="0095692E">
        <w:rPr>
          <w:rFonts w:ascii="Verdana" w:hAnsi="Verdana"/>
          <w:sz w:val="20"/>
          <w:szCs w:val="20"/>
        </w:rPr>
        <w:t xml:space="preserve"> o personas adolescentes</w:t>
      </w:r>
      <w:r w:rsidR="00BA184B" w:rsidRPr="0095692E">
        <w:rPr>
          <w:rFonts w:ascii="Verdana" w:hAnsi="Verdana"/>
          <w:sz w:val="20"/>
          <w:szCs w:val="20"/>
        </w:rPr>
        <w:t xml:space="preserve"> al momento de los hechos,</w:t>
      </w:r>
      <w:r w:rsidR="007D3554" w:rsidRPr="0095692E">
        <w:rPr>
          <w:rFonts w:ascii="Verdana" w:hAnsi="Verdana"/>
          <w:sz w:val="20"/>
          <w:szCs w:val="20"/>
        </w:rPr>
        <w:t xml:space="preserve"> fueron blanco de persecuciones, detenciones ilegales, malos tratos y torturas, </w:t>
      </w:r>
      <w:r w:rsidR="00BA184B" w:rsidRPr="0095692E">
        <w:rPr>
          <w:rFonts w:ascii="Verdana" w:hAnsi="Verdana"/>
          <w:sz w:val="20"/>
          <w:szCs w:val="20"/>
        </w:rPr>
        <w:t>allanamientos a sus viviendas, destrucción de sus bienes</w:t>
      </w:r>
      <w:r w:rsidR="008646F7" w:rsidRPr="0095692E">
        <w:rPr>
          <w:rFonts w:ascii="Verdana" w:hAnsi="Verdana"/>
          <w:sz w:val="20"/>
          <w:szCs w:val="20"/>
        </w:rPr>
        <w:t>, los cuales incluso caus</w:t>
      </w:r>
      <w:r w:rsidR="00536FA9" w:rsidRPr="0095692E">
        <w:rPr>
          <w:rFonts w:ascii="Verdana" w:hAnsi="Verdana"/>
          <w:sz w:val="20"/>
          <w:szCs w:val="20"/>
        </w:rPr>
        <w:t>aron</w:t>
      </w:r>
      <w:r w:rsidR="008646F7" w:rsidRPr="0095692E">
        <w:rPr>
          <w:rFonts w:ascii="Verdana" w:hAnsi="Verdana"/>
          <w:sz w:val="20"/>
          <w:szCs w:val="20"/>
        </w:rPr>
        <w:t xml:space="preserve"> la desintegración de la familia</w:t>
      </w:r>
      <w:r w:rsidR="007D3554" w:rsidRPr="0095692E">
        <w:rPr>
          <w:rFonts w:ascii="Verdana" w:hAnsi="Verdana"/>
          <w:sz w:val="20"/>
          <w:szCs w:val="20"/>
        </w:rPr>
        <w:t>.</w:t>
      </w:r>
    </w:p>
    <w:p w14:paraId="0E1FBB09" w14:textId="77777777" w:rsidR="008646F7" w:rsidRPr="0095692E" w:rsidRDefault="008646F7" w:rsidP="008646F7">
      <w:pPr>
        <w:pStyle w:val="Prrafodelista"/>
        <w:rPr>
          <w:rFonts w:ascii="Verdana" w:hAnsi="Verdana"/>
          <w:sz w:val="20"/>
          <w:szCs w:val="20"/>
        </w:rPr>
      </w:pPr>
    </w:p>
    <w:p w14:paraId="01D86A03" w14:textId="38D1C8C4" w:rsidR="008646F7" w:rsidRPr="0095692E" w:rsidRDefault="007D3554" w:rsidP="00A80648">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En efecto,</w:t>
      </w:r>
      <w:r w:rsidR="00411103" w:rsidRPr="0095692E">
        <w:rPr>
          <w:rFonts w:ascii="Verdana" w:hAnsi="Verdana"/>
          <w:sz w:val="20"/>
          <w:szCs w:val="20"/>
        </w:rPr>
        <w:t xml:space="preserve"> </w:t>
      </w:r>
      <w:r w:rsidR="008F4DCD" w:rsidRPr="0095692E">
        <w:rPr>
          <w:rFonts w:ascii="Verdana" w:hAnsi="Verdana"/>
          <w:sz w:val="20"/>
          <w:szCs w:val="20"/>
        </w:rPr>
        <w:t>el 26 de noviembre de 1981, la residencia de la familia Deras Flores fue allanada</w:t>
      </w:r>
      <w:r w:rsidR="0098414E">
        <w:rPr>
          <w:rFonts w:ascii="Verdana" w:hAnsi="Verdana"/>
          <w:sz w:val="20"/>
          <w:szCs w:val="20"/>
        </w:rPr>
        <w:t>. O</w:t>
      </w:r>
      <w:r w:rsidR="00411103" w:rsidRPr="0095692E">
        <w:rPr>
          <w:rFonts w:ascii="Verdana" w:hAnsi="Verdana"/>
          <w:sz w:val="20"/>
          <w:szCs w:val="20"/>
        </w:rPr>
        <w:t xml:space="preserve">tilia Flores Ortiz, esposa del señor Deras García, y su hermana, Elba Flores Ortiz, fueron </w:t>
      </w:r>
      <w:r w:rsidR="000C117C" w:rsidRPr="0095692E">
        <w:rPr>
          <w:rFonts w:ascii="Verdana" w:hAnsi="Verdana"/>
          <w:sz w:val="20"/>
          <w:szCs w:val="20"/>
        </w:rPr>
        <w:t xml:space="preserve">detenidas ilegalmente </w:t>
      </w:r>
      <w:r w:rsidR="003868A2" w:rsidRPr="0095692E">
        <w:rPr>
          <w:rFonts w:ascii="Verdana" w:hAnsi="Verdana"/>
          <w:sz w:val="20"/>
          <w:szCs w:val="20"/>
        </w:rPr>
        <w:t xml:space="preserve">y sometidas a actos de tortura </w:t>
      </w:r>
      <w:r w:rsidR="0005769E" w:rsidRPr="0095692E">
        <w:rPr>
          <w:rFonts w:ascii="Verdana" w:hAnsi="Verdana"/>
          <w:sz w:val="20"/>
          <w:szCs w:val="20"/>
        </w:rPr>
        <w:t xml:space="preserve">por </w:t>
      </w:r>
      <w:r w:rsidR="003868A2" w:rsidRPr="0095692E">
        <w:rPr>
          <w:rFonts w:ascii="Verdana" w:hAnsi="Verdana"/>
          <w:sz w:val="20"/>
          <w:szCs w:val="20"/>
        </w:rPr>
        <w:t>agentes estatales</w:t>
      </w:r>
      <w:r w:rsidR="0005769E" w:rsidRPr="0095692E">
        <w:rPr>
          <w:rFonts w:ascii="Verdana" w:hAnsi="Verdana"/>
          <w:sz w:val="20"/>
          <w:szCs w:val="20"/>
        </w:rPr>
        <w:t>.</w:t>
      </w:r>
      <w:r w:rsidR="003868A2" w:rsidRPr="0095692E">
        <w:rPr>
          <w:rFonts w:ascii="Verdana" w:hAnsi="Verdana"/>
          <w:sz w:val="20"/>
          <w:szCs w:val="20"/>
        </w:rPr>
        <w:t xml:space="preserve"> </w:t>
      </w:r>
      <w:r w:rsidR="0005769E" w:rsidRPr="0095692E">
        <w:rPr>
          <w:rFonts w:ascii="Verdana" w:hAnsi="Verdana"/>
          <w:sz w:val="20"/>
          <w:szCs w:val="20"/>
        </w:rPr>
        <w:t>D</w:t>
      </w:r>
      <w:r w:rsidR="003868A2" w:rsidRPr="0095692E">
        <w:rPr>
          <w:rFonts w:ascii="Verdana" w:hAnsi="Verdana"/>
          <w:sz w:val="20"/>
          <w:szCs w:val="20"/>
        </w:rPr>
        <w:t>urante tres días fueron privadas de agua y alimentos, repetidamente interrogadas sobre el paradero de Herminio Deras García, golpeadas y amenazadas de muerte</w:t>
      </w:r>
      <w:r w:rsidR="00ED7BC4" w:rsidRPr="0095692E">
        <w:rPr>
          <w:rFonts w:ascii="Verdana" w:hAnsi="Verdana"/>
          <w:sz w:val="20"/>
          <w:szCs w:val="20"/>
        </w:rPr>
        <w:t>.</w:t>
      </w:r>
      <w:r w:rsidR="0005769E" w:rsidRPr="0095692E">
        <w:rPr>
          <w:rFonts w:ascii="Verdana" w:hAnsi="Verdana"/>
          <w:sz w:val="20"/>
          <w:szCs w:val="20"/>
        </w:rPr>
        <w:t xml:space="preserve"> Mientras esto sucedía</w:t>
      </w:r>
      <w:r w:rsidR="00A45F5E" w:rsidRPr="0095692E">
        <w:rPr>
          <w:rFonts w:ascii="Verdana" w:hAnsi="Verdana"/>
          <w:sz w:val="20"/>
          <w:szCs w:val="20"/>
        </w:rPr>
        <w:t>, Lorena y Herminio Deras Flores, hija e hijo menores de edad de Herminio Deras García y Otilia Flores Ort</w:t>
      </w:r>
      <w:r w:rsidR="000E01EC" w:rsidRPr="0095692E">
        <w:rPr>
          <w:rFonts w:ascii="Verdana" w:hAnsi="Verdana"/>
          <w:sz w:val="20"/>
          <w:szCs w:val="20"/>
        </w:rPr>
        <w:t>i</w:t>
      </w:r>
      <w:r w:rsidR="00A45F5E" w:rsidRPr="0095692E">
        <w:rPr>
          <w:rFonts w:ascii="Verdana" w:hAnsi="Verdana"/>
          <w:sz w:val="20"/>
          <w:szCs w:val="20"/>
        </w:rPr>
        <w:t>z, estuvieron en su residencia, bajo la custodia permanente de agentes estatales, sin poder salir</w:t>
      </w:r>
      <w:r w:rsidR="00536FA9" w:rsidRPr="0095692E">
        <w:rPr>
          <w:rFonts w:ascii="Verdana" w:hAnsi="Verdana"/>
          <w:sz w:val="20"/>
          <w:szCs w:val="20"/>
        </w:rPr>
        <w:t>,</w:t>
      </w:r>
      <w:r w:rsidR="00A45F5E" w:rsidRPr="0095692E">
        <w:rPr>
          <w:rFonts w:ascii="Verdana" w:hAnsi="Verdana"/>
          <w:sz w:val="20"/>
          <w:szCs w:val="20"/>
        </w:rPr>
        <w:t xml:space="preserve"> </w:t>
      </w:r>
      <w:r w:rsidR="0003479D" w:rsidRPr="0095692E">
        <w:rPr>
          <w:rFonts w:ascii="Verdana" w:hAnsi="Verdana"/>
          <w:sz w:val="20"/>
          <w:szCs w:val="20"/>
        </w:rPr>
        <w:t>ni tener</w:t>
      </w:r>
      <w:r w:rsidR="00A45F5E" w:rsidRPr="0095692E">
        <w:rPr>
          <w:rFonts w:ascii="Verdana" w:hAnsi="Verdana"/>
          <w:sz w:val="20"/>
          <w:szCs w:val="20"/>
        </w:rPr>
        <w:t xml:space="preserve"> contacto</w:t>
      </w:r>
      <w:r w:rsidR="00F63CBE" w:rsidRPr="0095692E">
        <w:rPr>
          <w:rFonts w:ascii="Verdana" w:hAnsi="Verdana"/>
          <w:sz w:val="20"/>
          <w:szCs w:val="20"/>
        </w:rPr>
        <w:t xml:space="preserve"> </w:t>
      </w:r>
      <w:r w:rsidR="0003479D" w:rsidRPr="0095692E">
        <w:rPr>
          <w:rFonts w:ascii="Verdana" w:hAnsi="Verdana"/>
          <w:sz w:val="20"/>
          <w:szCs w:val="20"/>
        </w:rPr>
        <w:t>o</w:t>
      </w:r>
      <w:r w:rsidR="00536FA9" w:rsidRPr="0095692E">
        <w:rPr>
          <w:rFonts w:ascii="Verdana" w:hAnsi="Verdana"/>
          <w:sz w:val="20"/>
          <w:szCs w:val="20"/>
        </w:rPr>
        <w:t xml:space="preserve"> </w:t>
      </w:r>
      <w:r w:rsidR="00F63CBE" w:rsidRPr="0095692E">
        <w:rPr>
          <w:rFonts w:ascii="Verdana" w:hAnsi="Verdana"/>
          <w:sz w:val="20"/>
          <w:szCs w:val="20"/>
        </w:rPr>
        <w:t xml:space="preserve">noticias de </w:t>
      </w:r>
      <w:r w:rsidR="00A45F5E" w:rsidRPr="0095692E">
        <w:rPr>
          <w:rFonts w:ascii="Verdana" w:hAnsi="Verdana"/>
          <w:sz w:val="20"/>
          <w:szCs w:val="20"/>
        </w:rPr>
        <w:t>sus padres o demás familiares.</w:t>
      </w:r>
    </w:p>
    <w:p w14:paraId="6667B514" w14:textId="77777777" w:rsidR="008646F7" w:rsidRPr="0095692E" w:rsidRDefault="008646F7" w:rsidP="008646F7">
      <w:pPr>
        <w:pStyle w:val="Prrafodelista"/>
        <w:rPr>
          <w:rFonts w:ascii="Verdana" w:hAnsi="Verdana"/>
          <w:sz w:val="20"/>
          <w:szCs w:val="20"/>
        </w:rPr>
      </w:pPr>
    </w:p>
    <w:p w14:paraId="08D1CABD" w14:textId="4B97E91D" w:rsidR="008646F7" w:rsidRPr="0095692E" w:rsidRDefault="00C77F30" w:rsidP="00A80648">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la misma fecha </w:t>
      </w:r>
      <w:r w:rsidRPr="0095692E">
        <w:rPr>
          <w:rFonts w:ascii="Verdana" w:hAnsi="Verdana"/>
          <w:i/>
          <w:iCs/>
          <w:sz w:val="20"/>
          <w:szCs w:val="20"/>
        </w:rPr>
        <w:t>supra</w:t>
      </w:r>
      <w:r w:rsidRPr="0095692E">
        <w:rPr>
          <w:rFonts w:ascii="Verdana" w:hAnsi="Verdana"/>
          <w:sz w:val="20"/>
          <w:szCs w:val="20"/>
        </w:rPr>
        <w:t xml:space="preserve"> citada, Luis Deras García, hermano menor de Herminio Deras García, también fue detenido de forma arbitraria y violenta</w:t>
      </w:r>
      <w:r w:rsidR="008017B3" w:rsidRPr="0095692E">
        <w:rPr>
          <w:rFonts w:ascii="Verdana" w:hAnsi="Verdana"/>
          <w:sz w:val="20"/>
          <w:szCs w:val="20"/>
        </w:rPr>
        <w:t>,</w:t>
      </w:r>
      <w:r w:rsidRPr="0095692E">
        <w:rPr>
          <w:rFonts w:ascii="Verdana" w:hAnsi="Verdana"/>
          <w:sz w:val="20"/>
          <w:szCs w:val="20"/>
        </w:rPr>
        <w:t xml:space="preserve"> y sometido a actos de tortura, </w:t>
      </w:r>
      <w:r w:rsidR="00536FA9" w:rsidRPr="0095692E">
        <w:rPr>
          <w:rFonts w:ascii="Verdana" w:hAnsi="Verdana"/>
          <w:sz w:val="20"/>
          <w:szCs w:val="20"/>
        </w:rPr>
        <w:t>tales como “la capucha”</w:t>
      </w:r>
      <w:r w:rsidR="00536FA9" w:rsidRPr="0095692E">
        <w:rPr>
          <w:rStyle w:val="Refdenotaalpie"/>
          <w:rFonts w:ascii="Verdana" w:hAnsi="Verdana"/>
          <w:sz w:val="20"/>
          <w:szCs w:val="20"/>
        </w:rPr>
        <w:t xml:space="preserve"> </w:t>
      </w:r>
      <w:r w:rsidR="008017B3" w:rsidRPr="0095692E">
        <w:rPr>
          <w:rFonts w:ascii="Verdana" w:hAnsi="Verdana"/>
          <w:sz w:val="20"/>
          <w:szCs w:val="20"/>
        </w:rPr>
        <w:t>y</w:t>
      </w:r>
      <w:r w:rsidR="00536FA9" w:rsidRPr="0095692E">
        <w:rPr>
          <w:rFonts w:ascii="Verdana" w:hAnsi="Verdana"/>
          <w:sz w:val="20"/>
          <w:szCs w:val="20"/>
        </w:rPr>
        <w:t xml:space="preserve"> </w:t>
      </w:r>
      <w:r w:rsidR="00863527" w:rsidRPr="0095692E">
        <w:rPr>
          <w:rFonts w:ascii="Verdana" w:hAnsi="Verdana"/>
          <w:sz w:val="20"/>
          <w:szCs w:val="20"/>
        </w:rPr>
        <w:t>amenazas de muerte</w:t>
      </w:r>
      <w:r w:rsidR="0003479D" w:rsidRPr="0095692E">
        <w:rPr>
          <w:rFonts w:ascii="Verdana" w:hAnsi="Verdana"/>
          <w:sz w:val="20"/>
          <w:szCs w:val="20"/>
        </w:rPr>
        <w:t>. Estuvo detenido</w:t>
      </w:r>
      <w:r w:rsidR="00863527" w:rsidRPr="0095692E">
        <w:rPr>
          <w:rFonts w:ascii="Verdana" w:hAnsi="Verdana"/>
          <w:sz w:val="20"/>
          <w:szCs w:val="20"/>
        </w:rPr>
        <w:t xml:space="preserve"> </w:t>
      </w:r>
      <w:r w:rsidR="00812CDE" w:rsidRPr="0095692E">
        <w:rPr>
          <w:rFonts w:ascii="Verdana" w:hAnsi="Verdana"/>
          <w:sz w:val="20"/>
          <w:szCs w:val="20"/>
        </w:rPr>
        <w:t xml:space="preserve">sin </w:t>
      </w:r>
      <w:r w:rsidR="007B0EBD" w:rsidRPr="0095692E">
        <w:rPr>
          <w:rFonts w:ascii="Verdana" w:hAnsi="Verdana"/>
          <w:sz w:val="20"/>
          <w:szCs w:val="20"/>
        </w:rPr>
        <w:t xml:space="preserve">agua </w:t>
      </w:r>
      <w:r w:rsidR="00812CDE" w:rsidRPr="0095692E">
        <w:rPr>
          <w:rFonts w:ascii="Verdana" w:hAnsi="Verdana"/>
          <w:sz w:val="20"/>
          <w:szCs w:val="20"/>
        </w:rPr>
        <w:t>ni</w:t>
      </w:r>
      <w:r w:rsidR="007B0EBD" w:rsidRPr="0095692E">
        <w:rPr>
          <w:rFonts w:ascii="Verdana" w:hAnsi="Verdana"/>
          <w:sz w:val="20"/>
          <w:szCs w:val="20"/>
        </w:rPr>
        <w:t xml:space="preserve"> comida y </w:t>
      </w:r>
      <w:r w:rsidR="00812CDE" w:rsidRPr="0095692E">
        <w:rPr>
          <w:rFonts w:ascii="Verdana" w:hAnsi="Verdana"/>
          <w:sz w:val="20"/>
          <w:szCs w:val="20"/>
        </w:rPr>
        <w:t xml:space="preserve">sin poder usar </w:t>
      </w:r>
      <w:r w:rsidR="007B0EBD" w:rsidRPr="0095692E">
        <w:rPr>
          <w:rFonts w:ascii="Verdana" w:hAnsi="Verdana"/>
          <w:sz w:val="20"/>
          <w:szCs w:val="20"/>
        </w:rPr>
        <w:t xml:space="preserve">el baño, </w:t>
      </w:r>
      <w:r w:rsidR="00863527" w:rsidRPr="0095692E">
        <w:rPr>
          <w:rFonts w:ascii="Verdana" w:hAnsi="Verdana"/>
          <w:sz w:val="20"/>
          <w:szCs w:val="20"/>
        </w:rPr>
        <w:t>entre otras</w:t>
      </w:r>
      <w:r w:rsidR="00536FA9" w:rsidRPr="0095692E">
        <w:rPr>
          <w:rFonts w:ascii="Verdana" w:hAnsi="Verdana"/>
          <w:sz w:val="20"/>
          <w:szCs w:val="20"/>
        </w:rPr>
        <w:t xml:space="preserve"> violaciones de derechos humanos</w:t>
      </w:r>
      <w:r w:rsidR="00863527" w:rsidRPr="0095692E">
        <w:rPr>
          <w:rFonts w:ascii="Verdana" w:hAnsi="Verdana"/>
          <w:sz w:val="20"/>
          <w:szCs w:val="20"/>
        </w:rPr>
        <w:t>.</w:t>
      </w:r>
      <w:r w:rsidR="00EC2651" w:rsidRPr="0095692E">
        <w:rPr>
          <w:rFonts w:ascii="Verdana" w:hAnsi="Verdana"/>
          <w:sz w:val="20"/>
          <w:szCs w:val="20"/>
        </w:rPr>
        <w:t xml:space="preserve"> </w:t>
      </w:r>
    </w:p>
    <w:p w14:paraId="735B7745" w14:textId="77777777" w:rsidR="008646F7" w:rsidRPr="0095692E" w:rsidRDefault="008646F7" w:rsidP="008646F7">
      <w:pPr>
        <w:pStyle w:val="Prrafodelista"/>
        <w:rPr>
          <w:rFonts w:ascii="Verdana" w:hAnsi="Verdana"/>
          <w:sz w:val="20"/>
          <w:szCs w:val="20"/>
        </w:rPr>
      </w:pPr>
    </w:p>
    <w:p w14:paraId="2D0C59E3" w14:textId="4AB9B34E" w:rsidR="006B768E" w:rsidRPr="0095692E" w:rsidRDefault="008F4DCD" w:rsidP="00BC6863">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8 de junio de 1984 la </w:t>
      </w:r>
      <w:r w:rsidR="00D62AD3" w:rsidRPr="0095692E">
        <w:rPr>
          <w:rFonts w:ascii="Verdana" w:hAnsi="Verdana"/>
          <w:sz w:val="20"/>
          <w:szCs w:val="20"/>
        </w:rPr>
        <w:t xml:space="preserve">residencia de la </w:t>
      </w:r>
      <w:r w:rsidRPr="0095692E">
        <w:rPr>
          <w:rFonts w:ascii="Verdana" w:hAnsi="Verdana"/>
          <w:sz w:val="20"/>
          <w:szCs w:val="20"/>
        </w:rPr>
        <w:t xml:space="preserve">familia Deras García </w:t>
      </w:r>
      <w:r w:rsidR="00D62AD3" w:rsidRPr="0095692E">
        <w:rPr>
          <w:rFonts w:ascii="Verdana" w:hAnsi="Verdana"/>
          <w:sz w:val="20"/>
          <w:szCs w:val="20"/>
        </w:rPr>
        <w:t xml:space="preserve">fue </w:t>
      </w:r>
      <w:r w:rsidRPr="0095692E">
        <w:rPr>
          <w:rFonts w:ascii="Verdana" w:hAnsi="Verdana"/>
          <w:sz w:val="20"/>
          <w:szCs w:val="20"/>
        </w:rPr>
        <w:t xml:space="preserve">allanada por agentes del Estado, quienes, además, detuvieron arbitrariamente y mediante el uso </w:t>
      </w:r>
      <w:r w:rsidR="00EF4A57" w:rsidRPr="0095692E">
        <w:rPr>
          <w:rFonts w:ascii="Verdana" w:hAnsi="Verdana"/>
          <w:sz w:val="20"/>
          <w:szCs w:val="20"/>
        </w:rPr>
        <w:t xml:space="preserve">excesivo de la fuerza </w:t>
      </w:r>
      <w:r w:rsidRPr="0095692E">
        <w:rPr>
          <w:rFonts w:ascii="Verdana" w:hAnsi="Verdana"/>
          <w:sz w:val="20"/>
          <w:szCs w:val="20"/>
        </w:rPr>
        <w:t xml:space="preserve">a ocho familiares: </w:t>
      </w:r>
      <w:r w:rsidR="006C6AA5" w:rsidRPr="0095692E">
        <w:rPr>
          <w:rFonts w:ascii="Verdana" w:hAnsi="Verdana"/>
          <w:sz w:val="20"/>
          <w:szCs w:val="20"/>
        </w:rPr>
        <w:t>Irma Deras García</w:t>
      </w:r>
      <w:r w:rsidR="009E2210" w:rsidRPr="0095692E">
        <w:rPr>
          <w:rFonts w:ascii="Verdana" w:hAnsi="Verdana"/>
          <w:sz w:val="20"/>
          <w:szCs w:val="20"/>
        </w:rPr>
        <w:t>,</w:t>
      </w:r>
      <w:r w:rsidR="006C6AA5" w:rsidRPr="0095692E">
        <w:rPr>
          <w:rFonts w:ascii="Verdana" w:hAnsi="Verdana"/>
          <w:sz w:val="20"/>
          <w:szCs w:val="20"/>
        </w:rPr>
        <w:t xml:space="preserve"> </w:t>
      </w:r>
      <w:r w:rsidRPr="0095692E">
        <w:rPr>
          <w:rFonts w:ascii="Verdana" w:hAnsi="Verdana"/>
          <w:sz w:val="20"/>
          <w:szCs w:val="20"/>
        </w:rPr>
        <w:t xml:space="preserve">Consuelo Deras García, Cristóbal </w:t>
      </w:r>
      <w:r w:rsidR="009E2210" w:rsidRPr="0095692E">
        <w:rPr>
          <w:rFonts w:ascii="Verdana" w:hAnsi="Verdana"/>
          <w:sz w:val="20"/>
          <w:szCs w:val="20"/>
        </w:rPr>
        <w:t>Hernández Pérez</w:t>
      </w:r>
      <w:r w:rsidRPr="0095692E">
        <w:rPr>
          <w:rFonts w:ascii="Verdana" w:hAnsi="Verdana"/>
          <w:sz w:val="20"/>
          <w:szCs w:val="20"/>
        </w:rPr>
        <w:t>, Julio Chavarría</w:t>
      </w:r>
      <w:r w:rsidR="009E2210" w:rsidRPr="0095692E">
        <w:rPr>
          <w:rFonts w:ascii="Verdana" w:hAnsi="Verdana"/>
          <w:sz w:val="20"/>
          <w:szCs w:val="20"/>
        </w:rPr>
        <w:t xml:space="preserve"> Banegas</w:t>
      </w:r>
      <w:r w:rsidRPr="0095692E">
        <w:rPr>
          <w:rFonts w:ascii="Verdana" w:hAnsi="Verdana"/>
          <w:sz w:val="20"/>
          <w:szCs w:val="20"/>
        </w:rPr>
        <w:t>, Marlen García Pineda</w:t>
      </w:r>
      <w:r w:rsidR="006C6AA5" w:rsidRPr="0095692E">
        <w:rPr>
          <w:rFonts w:ascii="Verdana" w:hAnsi="Verdana"/>
          <w:sz w:val="20"/>
          <w:szCs w:val="20"/>
        </w:rPr>
        <w:t>, Sandra Hernández</w:t>
      </w:r>
      <w:r w:rsidR="009E2210" w:rsidRPr="0095692E">
        <w:rPr>
          <w:rFonts w:ascii="Verdana" w:hAnsi="Verdana"/>
          <w:sz w:val="20"/>
          <w:szCs w:val="20"/>
        </w:rPr>
        <w:t xml:space="preserve"> Deras</w:t>
      </w:r>
      <w:r w:rsidR="006C6AA5" w:rsidRPr="0095692E">
        <w:rPr>
          <w:rFonts w:ascii="Verdana" w:hAnsi="Verdana"/>
          <w:sz w:val="20"/>
          <w:szCs w:val="20"/>
        </w:rPr>
        <w:t xml:space="preserve">, José Herminio García y Marlon </w:t>
      </w:r>
      <w:r w:rsidR="00763338" w:rsidRPr="0095692E">
        <w:rPr>
          <w:rFonts w:ascii="Verdana" w:hAnsi="Verdana"/>
          <w:sz w:val="20"/>
          <w:szCs w:val="20"/>
        </w:rPr>
        <w:t>García Barahona</w:t>
      </w:r>
      <w:r w:rsidR="006C6AA5" w:rsidRPr="0095692E">
        <w:rPr>
          <w:rFonts w:ascii="Verdana" w:hAnsi="Verdana"/>
          <w:sz w:val="20"/>
          <w:szCs w:val="20"/>
        </w:rPr>
        <w:t>. El mismo día, fueron detenidos también Héctor Deras García y Domingo Deras.</w:t>
      </w:r>
      <w:r w:rsidR="00FA575E" w:rsidRPr="0095692E">
        <w:rPr>
          <w:rFonts w:ascii="Verdana" w:hAnsi="Verdana"/>
          <w:sz w:val="20"/>
          <w:szCs w:val="20"/>
        </w:rPr>
        <w:t xml:space="preserve"> Además de las detenciones arbitrarias, fueran agredidos física y verbalmente</w:t>
      </w:r>
      <w:r w:rsidR="001E0DDD" w:rsidRPr="0095692E">
        <w:rPr>
          <w:rFonts w:ascii="Verdana" w:hAnsi="Verdana"/>
          <w:sz w:val="20"/>
          <w:szCs w:val="20"/>
        </w:rPr>
        <w:t xml:space="preserve"> y</w:t>
      </w:r>
      <w:r w:rsidR="00FA575E" w:rsidRPr="0095692E">
        <w:rPr>
          <w:rFonts w:ascii="Verdana" w:hAnsi="Verdana"/>
          <w:sz w:val="20"/>
          <w:szCs w:val="20"/>
        </w:rPr>
        <w:t xml:space="preserve"> amenazados de muerte por “ser comunistas”. </w:t>
      </w:r>
      <w:r w:rsidR="001E0DDD" w:rsidRPr="0095692E">
        <w:rPr>
          <w:rFonts w:ascii="Verdana" w:hAnsi="Verdana"/>
          <w:sz w:val="20"/>
          <w:szCs w:val="20"/>
        </w:rPr>
        <w:t xml:space="preserve">Irma Deras García fue sometida a actos de tortura, en tanto fue repetidamente interrogada y golpeada, </w:t>
      </w:r>
      <w:r w:rsidR="007A14D9" w:rsidRPr="0095692E">
        <w:rPr>
          <w:rFonts w:ascii="Verdana" w:hAnsi="Verdana"/>
          <w:sz w:val="20"/>
          <w:szCs w:val="20"/>
        </w:rPr>
        <w:t>colgada</w:t>
      </w:r>
      <w:r w:rsidR="001E0DDD" w:rsidRPr="0095692E">
        <w:rPr>
          <w:rFonts w:ascii="Verdana" w:hAnsi="Verdana"/>
          <w:sz w:val="20"/>
          <w:szCs w:val="20"/>
        </w:rPr>
        <w:t xml:space="preserve"> de las manos mientras le p</w:t>
      </w:r>
      <w:r w:rsidR="007A14D9" w:rsidRPr="0095692E">
        <w:rPr>
          <w:rFonts w:ascii="Verdana" w:hAnsi="Verdana"/>
          <w:sz w:val="20"/>
          <w:szCs w:val="20"/>
        </w:rPr>
        <w:t>onían</w:t>
      </w:r>
      <w:r w:rsidR="001E0DDD" w:rsidRPr="0095692E">
        <w:rPr>
          <w:rFonts w:ascii="Verdana" w:hAnsi="Verdana"/>
          <w:sz w:val="20"/>
          <w:szCs w:val="20"/>
        </w:rPr>
        <w:t xml:space="preserve"> una capucha en la </w:t>
      </w:r>
      <w:r w:rsidR="0079771A" w:rsidRPr="0095692E">
        <w:rPr>
          <w:rFonts w:ascii="Verdana" w:hAnsi="Verdana"/>
          <w:sz w:val="20"/>
          <w:szCs w:val="20"/>
        </w:rPr>
        <w:t>cabeza</w:t>
      </w:r>
      <w:r w:rsidR="001E0DDD" w:rsidRPr="0095692E">
        <w:rPr>
          <w:rFonts w:ascii="Verdana" w:hAnsi="Verdana"/>
          <w:sz w:val="20"/>
          <w:szCs w:val="20"/>
        </w:rPr>
        <w:t xml:space="preserve">, </w:t>
      </w:r>
      <w:r w:rsidR="0078017B" w:rsidRPr="0095692E">
        <w:rPr>
          <w:rFonts w:ascii="Verdana" w:hAnsi="Verdana"/>
          <w:sz w:val="20"/>
          <w:szCs w:val="20"/>
        </w:rPr>
        <w:t xml:space="preserve">obligada a cavar su propia tumba, </w:t>
      </w:r>
      <w:r w:rsidR="0079771A" w:rsidRPr="0095692E">
        <w:rPr>
          <w:rFonts w:ascii="Verdana" w:hAnsi="Verdana"/>
          <w:sz w:val="20"/>
          <w:szCs w:val="20"/>
        </w:rPr>
        <w:t xml:space="preserve">amenazada de muerte y </w:t>
      </w:r>
      <w:r w:rsidR="001E0DDD" w:rsidRPr="0095692E">
        <w:rPr>
          <w:rFonts w:ascii="Verdana" w:hAnsi="Verdana"/>
          <w:sz w:val="20"/>
          <w:szCs w:val="20"/>
        </w:rPr>
        <w:t xml:space="preserve">obligada a </w:t>
      </w:r>
      <w:r w:rsidR="00EF4A57" w:rsidRPr="0095692E">
        <w:rPr>
          <w:rFonts w:ascii="Verdana" w:hAnsi="Verdana"/>
          <w:sz w:val="20"/>
          <w:szCs w:val="20"/>
        </w:rPr>
        <w:t xml:space="preserve">separarse de </w:t>
      </w:r>
      <w:r w:rsidR="001E0DDD" w:rsidRPr="0095692E">
        <w:rPr>
          <w:rFonts w:ascii="Verdana" w:hAnsi="Verdana"/>
          <w:sz w:val="20"/>
          <w:szCs w:val="20"/>
        </w:rPr>
        <w:t>sus hijos pequeños, incluido un bebé de ocho meses tras ser detenida</w:t>
      </w:r>
      <w:r w:rsidR="0079771A" w:rsidRPr="0095692E">
        <w:rPr>
          <w:rFonts w:ascii="Verdana" w:hAnsi="Verdana"/>
          <w:sz w:val="20"/>
          <w:szCs w:val="20"/>
        </w:rPr>
        <w:t>.</w:t>
      </w:r>
    </w:p>
    <w:p w14:paraId="4FE3D7E2" w14:textId="77777777" w:rsidR="006B768E" w:rsidRPr="0095692E" w:rsidRDefault="006B768E" w:rsidP="006B768E">
      <w:pPr>
        <w:pStyle w:val="Prrafodelista"/>
        <w:rPr>
          <w:rFonts w:ascii="Verdana" w:hAnsi="Verdana"/>
          <w:sz w:val="20"/>
          <w:szCs w:val="20"/>
        </w:rPr>
      </w:pPr>
    </w:p>
    <w:p w14:paraId="3D673FB0" w14:textId="5120A3C2" w:rsidR="009C3FE2" w:rsidRPr="0095692E" w:rsidRDefault="00812CDE" w:rsidP="00BC6863">
      <w:pPr>
        <w:pStyle w:val="Prrafodelista"/>
        <w:numPr>
          <w:ilvl w:val="0"/>
          <w:numId w:val="2"/>
        </w:numPr>
        <w:autoSpaceDE w:val="0"/>
        <w:autoSpaceDN w:val="0"/>
        <w:adjustRightInd w:val="0"/>
        <w:spacing w:after="0" w:line="240" w:lineRule="auto"/>
        <w:ind w:left="0" w:firstLine="0"/>
        <w:contextualSpacing w:val="0"/>
        <w:jc w:val="both"/>
        <w:rPr>
          <w:rFonts w:ascii="Verdana" w:hAnsi="Verdana"/>
          <w:b/>
          <w:bCs/>
          <w:sz w:val="20"/>
          <w:szCs w:val="20"/>
        </w:rPr>
      </w:pPr>
      <w:r w:rsidRPr="0095692E">
        <w:rPr>
          <w:rFonts w:ascii="Verdana" w:hAnsi="Verdana"/>
          <w:sz w:val="20"/>
          <w:szCs w:val="20"/>
        </w:rPr>
        <w:t>T</w:t>
      </w:r>
      <w:r w:rsidR="007A14D9" w:rsidRPr="0095692E">
        <w:rPr>
          <w:rFonts w:ascii="Verdana" w:hAnsi="Verdana"/>
          <w:sz w:val="20"/>
          <w:szCs w:val="20"/>
        </w:rPr>
        <w:t xml:space="preserve">omando en consideración </w:t>
      </w:r>
      <w:r w:rsidR="00167840" w:rsidRPr="0095692E">
        <w:rPr>
          <w:rFonts w:ascii="Verdana" w:hAnsi="Verdana"/>
          <w:sz w:val="20"/>
          <w:szCs w:val="20"/>
        </w:rPr>
        <w:t>la persecución de los miembros de la familia Deras</w:t>
      </w:r>
      <w:r w:rsidR="00763338" w:rsidRPr="0095692E">
        <w:rPr>
          <w:rFonts w:ascii="Verdana" w:hAnsi="Verdana"/>
          <w:sz w:val="20"/>
          <w:szCs w:val="20"/>
        </w:rPr>
        <w:t xml:space="preserve"> García</w:t>
      </w:r>
      <w:r w:rsidR="00167840" w:rsidRPr="0095692E">
        <w:rPr>
          <w:rFonts w:ascii="Verdana" w:hAnsi="Verdana"/>
          <w:sz w:val="20"/>
          <w:szCs w:val="20"/>
        </w:rPr>
        <w:t xml:space="preserve"> durante 30 años, la ejecución extrajudicial del señor Herminio Deras García, la situación de exilio forzado en </w:t>
      </w:r>
      <w:r w:rsidR="007A14D9" w:rsidRPr="0095692E">
        <w:rPr>
          <w:rFonts w:ascii="Verdana" w:hAnsi="Verdana"/>
          <w:sz w:val="20"/>
          <w:szCs w:val="20"/>
        </w:rPr>
        <w:t xml:space="preserve">la </w:t>
      </w:r>
      <w:r w:rsidR="00167840" w:rsidRPr="0095692E">
        <w:rPr>
          <w:rFonts w:ascii="Verdana" w:hAnsi="Verdana"/>
          <w:sz w:val="20"/>
          <w:szCs w:val="20"/>
        </w:rPr>
        <w:t>que</w:t>
      </w:r>
      <w:r w:rsidR="007A14D9" w:rsidRPr="0095692E">
        <w:rPr>
          <w:rFonts w:ascii="Verdana" w:hAnsi="Verdana"/>
          <w:sz w:val="20"/>
          <w:szCs w:val="20"/>
        </w:rPr>
        <w:t xml:space="preserve"> algunos de ellos</w:t>
      </w:r>
      <w:r w:rsidR="00167840" w:rsidRPr="0095692E">
        <w:rPr>
          <w:rFonts w:ascii="Verdana" w:hAnsi="Verdana"/>
          <w:sz w:val="20"/>
          <w:szCs w:val="20"/>
        </w:rPr>
        <w:t xml:space="preserve"> permanecieron por muchos años, (</w:t>
      </w:r>
      <w:r w:rsidR="00167840" w:rsidRPr="0095692E">
        <w:rPr>
          <w:rFonts w:ascii="Verdana" w:hAnsi="Verdana"/>
          <w:i/>
          <w:iCs/>
          <w:sz w:val="20"/>
          <w:szCs w:val="20"/>
        </w:rPr>
        <w:t>infra</w:t>
      </w:r>
      <w:r w:rsidR="00167840" w:rsidRPr="0095692E">
        <w:rPr>
          <w:rFonts w:ascii="Verdana" w:hAnsi="Verdana"/>
          <w:sz w:val="20"/>
          <w:szCs w:val="20"/>
        </w:rPr>
        <w:t xml:space="preserve"> párr. </w:t>
      </w:r>
      <w:r w:rsidR="002621AD" w:rsidRPr="0095692E">
        <w:rPr>
          <w:rFonts w:ascii="Verdana" w:hAnsi="Verdana"/>
          <w:sz w:val="20"/>
          <w:szCs w:val="20"/>
        </w:rPr>
        <w:t>87</w:t>
      </w:r>
      <w:r w:rsidR="00167840" w:rsidRPr="0095692E">
        <w:rPr>
          <w:rFonts w:ascii="Verdana" w:hAnsi="Verdana"/>
          <w:sz w:val="20"/>
          <w:szCs w:val="20"/>
        </w:rPr>
        <w:t xml:space="preserve">), las detenciones arbitrarias, la tortura y tratos crueles, inhumanos y degradantes a </w:t>
      </w:r>
      <w:r w:rsidR="007A14D9" w:rsidRPr="0095692E">
        <w:rPr>
          <w:rFonts w:ascii="Verdana" w:hAnsi="Verdana"/>
          <w:sz w:val="20"/>
          <w:szCs w:val="20"/>
        </w:rPr>
        <w:t xml:space="preserve">los </w:t>
      </w:r>
      <w:r w:rsidR="00167840" w:rsidRPr="0095692E">
        <w:rPr>
          <w:rFonts w:ascii="Verdana" w:hAnsi="Verdana"/>
          <w:sz w:val="20"/>
          <w:szCs w:val="20"/>
        </w:rPr>
        <w:t>que fueron sometidos, inclusive a posibles actos de violencia sexual, el Tribunal encuentra que hubo un ataque deliberado a la familia Deras</w:t>
      </w:r>
      <w:r w:rsidR="005768F6" w:rsidRPr="0095692E">
        <w:rPr>
          <w:rFonts w:ascii="Verdana" w:hAnsi="Verdana"/>
          <w:sz w:val="20"/>
          <w:szCs w:val="20"/>
        </w:rPr>
        <w:t xml:space="preserve"> García</w:t>
      </w:r>
      <w:r w:rsidR="00167840" w:rsidRPr="0095692E">
        <w:rPr>
          <w:rFonts w:ascii="Verdana" w:hAnsi="Verdana"/>
          <w:sz w:val="20"/>
          <w:szCs w:val="20"/>
        </w:rPr>
        <w:t>, que causó profundas consecuencias e</w:t>
      </w:r>
      <w:r w:rsidR="0020216F" w:rsidRPr="0095692E">
        <w:rPr>
          <w:rFonts w:ascii="Verdana" w:hAnsi="Verdana"/>
          <w:sz w:val="20"/>
          <w:szCs w:val="20"/>
        </w:rPr>
        <w:t xml:space="preserve">n su dinámica y afectaciones a la salud psíquica de sus </w:t>
      </w:r>
      <w:r w:rsidR="0020216F" w:rsidRPr="0095692E">
        <w:rPr>
          <w:rFonts w:ascii="Verdana" w:hAnsi="Verdana"/>
          <w:sz w:val="20"/>
          <w:szCs w:val="20"/>
        </w:rPr>
        <w:lastRenderedPageBreak/>
        <w:t>integrantes.</w:t>
      </w:r>
      <w:r w:rsidR="00167840" w:rsidRPr="0095692E">
        <w:rPr>
          <w:rFonts w:ascii="Verdana" w:hAnsi="Verdana"/>
          <w:sz w:val="20"/>
          <w:szCs w:val="20"/>
        </w:rPr>
        <w:t xml:space="preserve"> Al respecto, la </w:t>
      </w:r>
      <w:r w:rsidR="00450246" w:rsidRPr="0095692E">
        <w:rPr>
          <w:rFonts w:ascii="Verdana" w:hAnsi="Verdana"/>
          <w:sz w:val="20"/>
          <w:szCs w:val="20"/>
        </w:rPr>
        <w:t>Corte estima pertinente hacer notar lo que concluyó la perita Carmen Lastenia Martínez García</w:t>
      </w:r>
      <w:r w:rsidR="007A3FE3" w:rsidRPr="0095692E">
        <w:rPr>
          <w:rStyle w:val="Refdenotaalpie"/>
          <w:rFonts w:ascii="Verdana" w:hAnsi="Verdana"/>
          <w:sz w:val="20"/>
          <w:szCs w:val="20"/>
        </w:rPr>
        <w:footnoteReference w:id="77"/>
      </w:r>
      <w:r w:rsidR="00450246" w:rsidRPr="0095692E">
        <w:rPr>
          <w:rFonts w:ascii="Verdana" w:hAnsi="Verdana"/>
          <w:sz w:val="20"/>
          <w:szCs w:val="20"/>
        </w:rPr>
        <w:t xml:space="preserve"> tras el análisis de los impactos psíquicos a los</w:t>
      </w:r>
      <w:r w:rsidR="007A3FE3" w:rsidRPr="0095692E">
        <w:rPr>
          <w:rFonts w:ascii="Verdana" w:hAnsi="Verdana"/>
          <w:sz w:val="20"/>
          <w:szCs w:val="20"/>
        </w:rPr>
        <w:t xml:space="preserve"> referidos</w:t>
      </w:r>
      <w:r w:rsidR="00450246" w:rsidRPr="0095692E">
        <w:rPr>
          <w:rFonts w:ascii="Verdana" w:hAnsi="Verdana"/>
          <w:sz w:val="20"/>
          <w:szCs w:val="20"/>
        </w:rPr>
        <w:t xml:space="preserve"> familiares</w:t>
      </w:r>
      <w:r w:rsidR="007A3FE3" w:rsidRPr="0095692E">
        <w:rPr>
          <w:rFonts w:ascii="Verdana" w:hAnsi="Verdana"/>
          <w:sz w:val="20"/>
          <w:szCs w:val="20"/>
        </w:rPr>
        <w:t xml:space="preserve">: </w:t>
      </w:r>
      <w:r w:rsidR="00450246" w:rsidRPr="0095692E">
        <w:rPr>
          <w:rFonts w:ascii="Verdana" w:hAnsi="Verdana"/>
          <w:sz w:val="20"/>
          <w:szCs w:val="20"/>
        </w:rPr>
        <w:t>“[l]as consecuencias de las experiencias traumáticas van desde lo individual, familiar y psicosocial. Todo ello constituye elementos acumulativos que generan una huella traumática y la subsecuente aparición de síntomas, generando una alteración en el desempeño individual, familiar e incluso social con menoscabo en el ámbito financiero”. Además, destacó que “[e]n las entrevistas se constata un gran impacto en las dinámicas familiares debido a la amenaza persistente a los miembros de la familia en un contexto de violencia de estado organizada extendida en el tiempo”. Agregó que “[e]l trauma ha afectado a miembros de varias generaciones haciéndose intergeneracional”. La perita concluyó que</w:t>
      </w:r>
    </w:p>
    <w:p w14:paraId="6A275AEC" w14:textId="77777777" w:rsidR="009C3FE2" w:rsidRPr="0095692E" w:rsidRDefault="009C3FE2" w:rsidP="009C3FE2">
      <w:pPr>
        <w:pStyle w:val="Prrafodelista"/>
        <w:autoSpaceDE w:val="0"/>
        <w:autoSpaceDN w:val="0"/>
        <w:adjustRightInd w:val="0"/>
        <w:spacing w:after="0" w:line="240" w:lineRule="auto"/>
        <w:ind w:left="0"/>
        <w:contextualSpacing w:val="0"/>
        <w:jc w:val="both"/>
        <w:rPr>
          <w:rFonts w:ascii="Verdana" w:hAnsi="Verdana"/>
          <w:b/>
          <w:bCs/>
          <w:sz w:val="20"/>
          <w:szCs w:val="20"/>
        </w:rPr>
      </w:pPr>
    </w:p>
    <w:p w14:paraId="67E9D052" w14:textId="195E5718" w:rsidR="00484D59" w:rsidRPr="0095692E" w:rsidRDefault="00450246" w:rsidP="00F74EEC">
      <w:pPr>
        <w:pStyle w:val="Prrafodelista"/>
        <w:autoSpaceDE w:val="0"/>
        <w:autoSpaceDN w:val="0"/>
        <w:adjustRightInd w:val="0"/>
        <w:spacing w:after="0" w:line="240" w:lineRule="auto"/>
        <w:ind w:left="1080" w:right="918"/>
        <w:contextualSpacing w:val="0"/>
        <w:jc w:val="both"/>
        <w:rPr>
          <w:rFonts w:ascii="Verdana" w:hAnsi="Verdana"/>
          <w:b/>
          <w:bCs/>
          <w:sz w:val="16"/>
          <w:szCs w:val="16"/>
        </w:rPr>
      </w:pPr>
      <w:r w:rsidRPr="0095692E">
        <w:rPr>
          <w:rFonts w:ascii="Verdana" w:hAnsi="Verdana"/>
          <w:sz w:val="16"/>
          <w:szCs w:val="16"/>
        </w:rPr>
        <w:t xml:space="preserve">los miembros de la familia Deras padecen estrés post traumático complejo, depresión mayor y ansiedad generalizada a consecuencia de </w:t>
      </w:r>
      <w:r w:rsidR="00A57F35" w:rsidRPr="0095692E">
        <w:rPr>
          <w:rFonts w:ascii="Verdana" w:hAnsi="Verdana"/>
          <w:sz w:val="16"/>
          <w:szCs w:val="16"/>
        </w:rPr>
        <w:t>l</w:t>
      </w:r>
      <w:r w:rsidRPr="0095692E">
        <w:rPr>
          <w:rFonts w:ascii="Verdana" w:hAnsi="Verdana"/>
          <w:sz w:val="16"/>
          <w:szCs w:val="16"/>
        </w:rPr>
        <w:t>as afectaciones con secuelas de largo plazo individual, familiar e intergeneracional</w:t>
      </w:r>
      <w:r w:rsidR="00A57F35" w:rsidRPr="0095692E">
        <w:rPr>
          <w:rFonts w:ascii="Verdana" w:hAnsi="Verdana"/>
          <w:sz w:val="16"/>
          <w:szCs w:val="16"/>
        </w:rPr>
        <w:t>.</w:t>
      </w:r>
      <w:r w:rsidRPr="0095692E">
        <w:rPr>
          <w:rFonts w:ascii="Verdana" w:hAnsi="Verdana"/>
          <w:sz w:val="16"/>
          <w:szCs w:val="16"/>
        </w:rPr>
        <w:t xml:space="preserve"> Dichas afectaciones se profundizan debido a que el sistema de justicia de Honduras desde los acontecimientos de persecución y asesinato de Herminio Deras no les hizo justicia en el caso y ha persistido la impunidad. Hay cansancio, decepción, frustración y sentimientos de impotencia por la lentitud en la búsqueda de justicia. Hay dolor emocional por el duelo ante la perdida violenta de Herminio Deras, el suicidio de Domingo Deras, las muertes de Héctor Deras y Consuelo Deras que son correlacionados como consecuencia directa del caso por los miembros de la familia. </w:t>
      </w:r>
    </w:p>
    <w:p w14:paraId="0FE9D62C" w14:textId="77777777" w:rsidR="00484D59" w:rsidRPr="0095692E" w:rsidRDefault="00484D59" w:rsidP="00484D59">
      <w:pPr>
        <w:pStyle w:val="Prrafodelista"/>
        <w:rPr>
          <w:rFonts w:ascii="Verdana" w:hAnsi="Verdana"/>
          <w:sz w:val="20"/>
          <w:szCs w:val="20"/>
        </w:rPr>
      </w:pPr>
    </w:p>
    <w:p w14:paraId="5B824FE4" w14:textId="65DD4B08" w:rsidR="003F08DE" w:rsidRPr="0095692E" w:rsidRDefault="006F71CB" w:rsidP="00A80648">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consideración a </w:t>
      </w:r>
      <w:r w:rsidR="008F4DCD" w:rsidRPr="0095692E">
        <w:rPr>
          <w:rFonts w:ascii="Verdana" w:hAnsi="Verdana"/>
          <w:sz w:val="20"/>
          <w:szCs w:val="20"/>
        </w:rPr>
        <w:t xml:space="preserve">todo </w:t>
      </w:r>
      <w:r w:rsidRPr="0095692E">
        <w:rPr>
          <w:rFonts w:ascii="Verdana" w:hAnsi="Verdana"/>
          <w:sz w:val="20"/>
          <w:szCs w:val="20"/>
        </w:rPr>
        <w:t>lo anterior, esta Corte concluye que el Estado de Honduras es responsable por las violaciones a los derechos</w:t>
      </w:r>
      <w:r w:rsidR="007B0EBD" w:rsidRPr="0095692E">
        <w:t xml:space="preserve"> </w:t>
      </w:r>
      <w:r w:rsidR="007B0EBD" w:rsidRPr="0095692E">
        <w:rPr>
          <w:rFonts w:ascii="Verdana" w:hAnsi="Verdana"/>
          <w:sz w:val="20"/>
          <w:szCs w:val="20"/>
        </w:rPr>
        <w:t xml:space="preserve">a la integridad personal, la libertad personal, la protección a la honra, la dignidad y la vida privada, la protección de la familia, </w:t>
      </w:r>
      <w:r w:rsidR="004B64CC" w:rsidRPr="0095692E">
        <w:rPr>
          <w:rFonts w:ascii="Verdana" w:hAnsi="Verdana"/>
          <w:sz w:val="20"/>
          <w:szCs w:val="20"/>
        </w:rPr>
        <w:t xml:space="preserve">los derechos del niño </w:t>
      </w:r>
      <w:r w:rsidR="00DF7FEB" w:rsidRPr="0095692E">
        <w:rPr>
          <w:rFonts w:ascii="Verdana" w:hAnsi="Verdana"/>
          <w:sz w:val="20"/>
          <w:szCs w:val="20"/>
        </w:rPr>
        <w:t>y</w:t>
      </w:r>
      <w:r w:rsidR="007B0EBD" w:rsidRPr="0095692E">
        <w:rPr>
          <w:rFonts w:ascii="Verdana" w:hAnsi="Verdana"/>
          <w:sz w:val="20"/>
          <w:szCs w:val="20"/>
        </w:rPr>
        <w:t xml:space="preserve"> </w:t>
      </w:r>
      <w:r w:rsidR="004B64CC" w:rsidRPr="0095692E">
        <w:rPr>
          <w:rFonts w:ascii="Verdana" w:hAnsi="Verdana"/>
          <w:sz w:val="20"/>
          <w:szCs w:val="20"/>
        </w:rPr>
        <w:t>la propiedad privada</w:t>
      </w:r>
      <w:r w:rsidR="007B0EBD" w:rsidRPr="0095692E">
        <w:rPr>
          <w:rFonts w:ascii="Verdana" w:hAnsi="Verdana"/>
          <w:sz w:val="20"/>
          <w:szCs w:val="20"/>
        </w:rPr>
        <w:t xml:space="preserve">, contenidos en los artículos 5.1, 5.2, 7.1, 7.2, 7.3, 11.1, 11.2, 17.1, </w:t>
      </w:r>
      <w:r w:rsidR="0056345E" w:rsidRPr="0095692E">
        <w:rPr>
          <w:rFonts w:ascii="Verdana" w:hAnsi="Verdana"/>
          <w:sz w:val="20"/>
          <w:szCs w:val="20"/>
        </w:rPr>
        <w:t xml:space="preserve">19 y </w:t>
      </w:r>
      <w:r w:rsidR="007B0EBD" w:rsidRPr="0095692E">
        <w:rPr>
          <w:rFonts w:ascii="Verdana" w:hAnsi="Verdana"/>
          <w:sz w:val="20"/>
          <w:szCs w:val="20"/>
        </w:rPr>
        <w:t>21</w:t>
      </w:r>
      <w:r w:rsidR="00DF7FEB" w:rsidRPr="0095692E">
        <w:rPr>
          <w:rFonts w:ascii="Verdana" w:hAnsi="Verdana"/>
          <w:sz w:val="20"/>
          <w:szCs w:val="20"/>
        </w:rPr>
        <w:t xml:space="preserve"> </w:t>
      </w:r>
      <w:r w:rsidR="007B0EBD" w:rsidRPr="0095692E">
        <w:rPr>
          <w:rFonts w:ascii="Verdana" w:hAnsi="Verdana"/>
          <w:sz w:val="20"/>
          <w:szCs w:val="20"/>
        </w:rPr>
        <w:t>de la Convención Americana, en relación con el artículo 1.1 del mismo instrumento, en perjuicio de 1</w:t>
      </w:r>
      <w:r w:rsidR="00C336C8" w:rsidRPr="0095692E">
        <w:rPr>
          <w:rFonts w:ascii="Verdana" w:hAnsi="Verdana"/>
          <w:sz w:val="20"/>
          <w:szCs w:val="20"/>
        </w:rPr>
        <w:t>6</w:t>
      </w:r>
      <w:r w:rsidR="007B0EBD" w:rsidRPr="0095692E">
        <w:rPr>
          <w:rFonts w:ascii="Verdana" w:hAnsi="Verdana"/>
          <w:sz w:val="20"/>
          <w:szCs w:val="20"/>
        </w:rPr>
        <w:t xml:space="preserve"> miembros de la familia del señor Deras García</w:t>
      </w:r>
      <w:r w:rsidR="00C71F2D" w:rsidRPr="0095692E">
        <w:rPr>
          <w:rStyle w:val="Refdenotaalpie"/>
          <w:rFonts w:ascii="Verdana" w:hAnsi="Verdana"/>
          <w:sz w:val="20"/>
          <w:szCs w:val="20"/>
        </w:rPr>
        <w:footnoteReference w:id="78"/>
      </w:r>
      <w:r w:rsidR="00484D59" w:rsidRPr="0095692E">
        <w:rPr>
          <w:rFonts w:ascii="Verdana" w:hAnsi="Verdana"/>
          <w:sz w:val="20"/>
          <w:szCs w:val="20"/>
        </w:rPr>
        <w:t>.</w:t>
      </w:r>
    </w:p>
    <w:p w14:paraId="4F4BC8FC" w14:textId="77777777" w:rsidR="00966064" w:rsidRPr="0095692E" w:rsidRDefault="00966064" w:rsidP="00966064">
      <w:pPr>
        <w:pStyle w:val="Prrafodelista"/>
        <w:rPr>
          <w:rFonts w:ascii="Verdana" w:hAnsi="Verdana"/>
          <w:sz w:val="20"/>
          <w:szCs w:val="20"/>
        </w:rPr>
      </w:pPr>
    </w:p>
    <w:p w14:paraId="02578549" w14:textId="533FEBD7" w:rsidR="0077099F" w:rsidRPr="0095692E" w:rsidRDefault="009E30AD" w:rsidP="0077099F">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Corte considera que Héctor García y Alba </w:t>
      </w:r>
      <w:r w:rsidR="00A57F35" w:rsidRPr="0095692E">
        <w:rPr>
          <w:rFonts w:ascii="Verdana" w:hAnsi="Verdana"/>
          <w:sz w:val="20"/>
          <w:szCs w:val="20"/>
        </w:rPr>
        <w:t>L</w:t>
      </w:r>
      <w:r w:rsidRPr="0095692E">
        <w:rPr>
          <w:rFonts w:ascii="Verdana" w:hAnsi="Verdana"/>
          <w:sz w:val="20"/>
          <w:szCs w:val="20"/>
        </w:rPr>
        <w:t>uz Deras</w:t>
      </w:r>
      <w:r w:rsidR="00026760" w:rsidRPr="0095692E">
        <w:rPr>
          <w:rFonts w:ascii="Verdana" w:hAnsi="Verdana"/>
          <w:sz w:val="20"/>
          <w:szCs w:val="20"/>
        </w:rPr>
        <w:t xml:space="preserve"> García</w:t>
      </w:r>
      <w:r w:rsidRPr="0095692E">
        <w:rPr>
          <w:rFonts w:ascii="Verdana" w:hAnsi="Verdana"/>
          <w:sz w:val="20"/>
          <w:szCs w:val="20"/>
        </w:rPr>
        <w:t xml:space="preserve"> experimentaron una situación de exilio forzado a raíz de la persecución </w:t>
      </w:r>
      <w:r w:rsidR="00DF7FEB" w:rsidRPr="0095692E">
        <w:rPr>
          <w:rFonts w:ascii="Verdana" w:hAnsi="Verdana"/>
          <w:sz w:val="20"/>
          <w:szCs w:val="20"/>
        </w:rPr>
        <w:t xml:space="preserve">y las amenazas </w:t>
      </w:r>
      <w:r w:rsidRPr="0095692E">
        <w:rPr>
          <w:rFonts w:ascii="Verdana" w:hAnsi="Verdana"/>
          <w:sz w:val="20"/>
          <w:szCs w:val="20"/>
        </w:rPr>
        <w:t>dirigida</w:t>
      </w:r>
      <w:r w:rsidR="00DF7FEB" w:rsidRPr="0095692E">
        <w:rPr>
          <w:rFonts w:ascii="Verdana" w:hAnsi="Verdana"/>
          <w:sz w:val="20"/>
          <w:szCs w:val="20"/>
        </w:rPr>
        <w:t>s</w:t>
      </w:r>
      <w:r w:rsidR="0057510D" w:rsidRPr="0095692E">
        <w:rPr>
          <w:rFonts w:ascii="Verdana" w:hAnsi="Verdana"/>
          <w:sz w:val="20"/>
          <w:szCs w:val="20"/>
        </w:rPr>
        <w:t xml:space="preserve"> a</w:t>
      </w:r>
      <w:r w:rsidRPr="0095692E">
        <w:rPr>
          <w:rFonts w:ascii="Verdana" w:hAnsi="Verdana"/>
          <w:sz w:val="20"/>
          <w:szCs w:val="20"/>
        </w:rPr>
        <w:t xml:space="preserve"> su hermano Herminio Deras García</w:t>
      </w:r>
      <w:r w:rsidR="0057510D" w:rsidRPr="0095692E">
        <w:rPr>
          <w:rFonts w:ascii="Verdana" w:hAnsi="Verdana"/>
          <w:sz w:val="20"/>
          <w:szCs w:val="20"/>
        </w:rPr>
        <w:t>,</w:t>
      </w:r>
      <w:r w:rsidRPr="0095692E">
        <w:rPr>
          <w:rFonts w:ascii="Verdana" w:hAnsi="Verdana"/>
          <w:sz w:val="20"/>
          <w:szCs w:val="20"/>
        </w:rPr>
        <w:t xml:space="preserve"> a su familia</w:t>
      </w:r>
      <w:r w:rsidR="0057510D" w:rsidRPr="0095692E">
        <w:rPr>
          <w:rFonts w:ascii="Verdana" w:hAnsi="Verdana"/>
          <w:sz w:val="20"/>
          <w:szCs w:val="20"/>
        </w:rPr>
        <w:t xml:space="preserve"> y específicamente en su contra</w:t>
      </w:r>
      <w:r w:rsidRPr="0095692E">
        <w:rPr>
          <w:rFonts w:ascii="Verdana" w:hAnsi="Verdana"/>
          <w:sz w:val="20"/>
          <w:szCs w:val="20"/>
        </w:rPr>
        <w:t>.</w:t>
      </w:r>
      <w:r w:rsidR="00F35BB8" w:rsidRPr="0095692E">
        <w:rPr>
          <w:rFonts w:ascii="Verdana" w:hAnsi="Verdana"/>
          <w:sz w:val="20"/>
          <w:szCs w:val="20"/>
        </w:rPr>
        <w:t xml:space="preserve"> </w:t>
      </w:r>
      <w:r w:rsidR="00DF7FEB" w:rsidRPr="0095692E">
        <w:rPr>
          <w:rFonts w:ascii="Verdana" w:hAnsi="Verdana"/>
          <w:sz w:val="20"/>
          <w:szCs w:val="20"/>
        </w:rPr>
        <w:t xml:space="preserve">En este sentido, Héctor </w:t>
      </w:r>
      <w:r w:rsidR="00026760" w:rsidRPr="0095692E">
        <w:rPr>
          <w:rFonts w:ascii="Verdana" w:hAnsi="Verdana"/>
          <w:sz w:val="20"/>
          <w:szCs w:val="20"/>
        </w:rPr>
        <w:t>García</w:t>
      </w:r>
      <w:r w:rsidR="00DF7FEB" w:rsidRPr="0095692E">
        <w:rPr>
          <w:rFonts w:ascii="Verdana" w:hAnsi="Verdana"/>
          <w:sz w:val="20"/>
          <w:szCs w:val="20"/>
        </w:rPr>
        <w:t xml:space="preserve"> se vio obligado a dejar su país y su familia, incluido</w:t>
      </w:r>
      <w:r w:rsidR="003C7BFA" w:rsidRPr="0095692E">
        <w:rPr>
          <w:rFonts w:ascii="Verdana" w:hAnsi="Verdana"/>
          <w:sz w:val="20"/>
          <w:szCs w:val="20"/>
        </w:rPr>
        <w:t xml:space="preserve"> sus </w:t>
      </w:r>
      <w:r w:rsidR="00DF7FEB" w:rsidRPr="0095692E">
        <w:rPr>
          <w:rFonts w:ascii="Verdana" w:hAnsi="Verdana"/>
          <w:sz w:val="20"/>
          <w:szCs w:val="20"/>
        </w:rPr>
        <w:t>hijos pequeños y Alba Deras</w:t>
      </w:r>
      <w:r w:rsidR="00026760" w:rsidRPr="0095692E">
        <w:rPr>
          <w:rFonts w:ascii="Verdana" w:hAnsi="Verdana"/>
          <w:sz w:val="20"/>
          <w:szCs w:val="20"/>
        </w:rPr>
        <w:t xml:space="preserve"> García</w:t>
      </w:r>
      <w:r w:rsidR="00DF7FEB" w:rsidRPr="0095692E">
        <w:rPr>
          <w:rFonts w:ascii="Verdana" w:hAnsi="Verdana"/>
          <w:sz w:val="20"/>
          <w:szCs w:val="20"/>
        </w:rPr>
        <w:t>, que vivía en el exterior, no pudo regresar a Honduras debido a la misma situación. En consecuencia, el Tribunal encuentra que el Estado de Honduras violó el derecho de circulación y residencia, establecidos en el artículo 22</w:t>
      </w:r>
      <w:r w:rsidR="00026760" w:rsidRPr="0095692E">
        <w:rPr>
          <w:rFonts w:ascii="Verdana" w:hAnsi="Verdana"/>
          <w:sz w:val="20"/>
          <w:szCs w:val="20"/>
        </w:rPr>
        <w:t>.1</w:t>
      </w:r>
      <w:r w:rsidR="00DF7FEB" w:rsidRPr="0095692E">
        <w:rPr>
          <w:rFonts w:ascii="Verdana" w:hAnsi="Verdana"/>
          <w:sz w:val="20"/>
          <w:szCs w:val="20"/>
        </w:rPr>
        <w:t xml:space="preserve"> de la Convención, en relación con el artículo 1.1 del mismo instrumento, en perjuicio de Héctor García y Alba Luz Deras García. </w:t>
      </w:r>
      <w:r w:rsidRPr="0095692E">
        <w:rPr>
          <w:rFonts w:ascii="Verdana" w:hAnsi="Verdana"/>
          <w:sz w:val="20"/>
          <w:szCs w:val="20"/>
        </w:rPr>
        <w:t xml:space="preserve">  </w:t>
      </w:r>
    </w:p>
    <w:p w14:paraId="72A101F5" w14:textId="77777777" w:rsidR="0077099F" w:rsidRPr="0095692E" w:rsidRDefault="0077099F" w:rsidP="0077099F">
      <w:pPr>
        <w:pStyle w:val="Prrafodelista"/>
        <w:rPr>
          <w:rFonts w:ascii="Verdana" w:hAnsi="Verdana"/>
          <w:sz w:val="20"/>
          <w:szCs w:val="20"/>
        </w:rPr>
      </w:pPr>
    </w:p>
    <w:p w14:paraId="1F6E7E98" w14:textId="37E62379" w:rsidR="00CB471E" w:rsidRPr="0095692E" w:rsidRDefault="0077099F" w:rsidP="0018507D">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Corte verifica el transcurso de 26 años desde la ejecución extrajudicial de Herminio Deras García, hasta la condena definitiva de Marco Tulio Regalado y 7 años más para que él empezara a cumplir la sanción que le fue impuesta. Se advierte que la referida demora en la tramitación del proceso penal se puede atribuir a las autoridades </w:t>
      </w:r>
      <w:r w:rsidRPr="0095692E">
        <w:rPr>
          <w:rFonts w:ascii="Verdana" w:hAnsi="Verdana"/>
          <w:sz w:val="20"/>
          <w:szCs w:val="20"/>
        </w:rPr>
        <w:lastRenderedPageBreak/>
        <w:t xml:space="preserve">estatales. </w:t>
      </w:r>
      <w:r w:rsidR="0018507D" w:rsidRPr="0095692E">
        <w:rPr>
          <w:rFonts w:ascii="Verdana" w:hAnsi="Verdana"/>
          <w:sz w:val="20"/>
          <w:szCs w:val="20"/>
        </w:rPr>
        <w:t xml:space="preserve">De otra parte, se observa que </w:t>
      </w:r>
      <w:r w:rsidR="00D33D63" w:rsidRPr="0095692E">
        <w:rPr>
          <w:rFonts w:ascii="Verdana" w:hAnsi="Verdana"/>
          <w:sz w:val="20"/>
          <w:szCs w:val="20"/>
        </w:rPr>
        <w:t>nunca</w:t>
      </w:r>
      <w:r w:rsidR="0018507D" w:rsidRPr="0095692E">
        <w:rPr>
          <w:rFonts w:ascii="Verdana" w:hAnsi="Verdana"/>
          <w:sz w:val="20"/>
          <w:szCs w:val="20"/>
        </w:rPr>
        <w:t xml:space="preserve"> se amplió la investigación respecto a los otros 2 imputados de la muerte de Herminio Deras García. Por otra parte, el Estado no cumplió de forma satisfactoria con sus obligaciones de investigar y procesar con la debida diligencia. A título de ejemplo, no realizó la autopsia del cadáver del señor Deras García ni conservó la escena del delito. S</w:t>
      </w:r>
      <w:r w:rsidRPr="0095692E">
        <w:rPr>
          <w:rFonts w:ascii="Verdana" w:hAnsi="Verdana"/>
          <w:sz w:val="20"/>
          <w:szCs w:val="20"/>
        </w:rPr>
        <w:t>e nota</w:t>
      </w:r>
      <w:r w:rsidR="0018507D" w:rsidRPr="0095692E">
        <w:rPr>
          <w:rFonts w:ascii="Verdana" w:hAnsi="Verdana"/>
          <w:sz w:val="20"/>
          <w:szCs w:val="20"/>
        </w:rPr>
        <w:t>, asimismo,</w:t>
      </w:r>
      <w:r w:rsidRPr="0095692E">
        <w:rPr>
          <w:rFonts w:ascii="Verdana" w:hAnsi="Verdana"/>
          <w:sz w:val="20"/>
          <w:szCs w:val="20"/>
        </w:rPr>
        <w:t xml:space="preserve"> que no hubo investigación alguna de los hechos relacionados con las detenciones arbitrarias de los familiares del señor Deras García,</w:t>
      </w:r>
      <w:r w:rsidR="008B301C">
        <w:rPr>
          <w:rFonts w:ascii="Verdana" w:hAnsi="Verdana"/>
          <w:sz w:val="20"/>
          <w:szCs w:val="20"/>
        </w:rPr>
        <w:t xml:space="preserve"> l</w:t>
      </w:r>
      <w:r w:rsidR="002462C2">
        <w:rPr>
          <w:rFonts w:ascii="Verdana" w:hAnsi="Verdana"/>
          <w:sz w:val="20"/>
          <w:szCs w:val="20"/>
        </w:rPr>
        <w:t>os actos de</w:t>
      </w:r>
      <w:r w:rsidR="008B301C">
        <w:rPr>
          <w:rFonts w:ascii="Verdana" w:hAnsi="Verdana"/>
          <w:sz w:val="20"/>
          <w:szCs w:val="20"/>
        </w:rPr>
        <w:t xml:space="preserve"> tortura,</w:t>
      </w:r>
      <w:r w:rsidRPr="0095692E">
        <w:rPr>
          <w:rFonts w:ascii="Verdana" w:hAnsi="Verdana"/>
          <w:sz w:val="20"/>
          <w:szCs w:val="20"/>
        </w:rPr>
        <w:t xml:space="preserve"> </w:t>
      </w:r>
      <w:r w:rsidR="0018507D" w:rsidRPr="0095692E">
        <w:rPr>
          <w:rFonts w:ascii="Verdana" w:hAnsi="Verdana"/>
          <w:sz w:val="20"/>
          <w:szCs w:val="20"/>
        </w:rPr>
        <w:t xml:space="preserve">los malos tratos, </w:t>
      </w:r>
      <w:r w:rsidRPr="0095692E">
        <w:rPr>
          <w:rFonts w:ascii="Verdana" w:hAnsi="Verdana"/>
          <w:sz w:val="20"/>
          <w:szCs w:val="20"/>
        </w:rPr>
        <w:t xml:space="preserve">los allanamientos a sus casas y aprehensión </w:t>
      </w:r>
      <w:r w:rsidR="008B301C">
        <w:rPr>
          <w:rFonts w:ascii="Verdana" w:hAnsi="Verdana"/>
          <w:sz w:val="20"/>
          <w:szCs w:val="20"/>
        </w:rPr>
        <w:t xml:space="preserve">y/o destrucción </w:t>
      </w:r>
      <w:r w:rsidRPr="0095692E">
        <w:rPr>
          <w:rFonts w:ascii="Verdana" w:hAnsi="Verdana"/>
          <w:sz w:val="20"/>
          <w:szCs w:val="20"/>
        </w:rPr>
        <w:t xml:space="preserve">de sus bienes. </w:t>
      </w:r>
      <w:r w:rsidR="0082654D" w:rsidRPr="0095692E">
        <w:rPr>
          <w:rFonts w:ascii="Verdana" w:hAnsi="Verdana"/>
          <w:sz w:val="20"/>
          <w:szCs w:val="20"/>
        </w:rPr>
        <w:t>En vista de ello, el Estado es responsable por la violación de los derechos a las garantías judiciales y la protección judicial, contenidos en los artículos 8.1 y 25 de la Convención Americana, en relación con el artículo 1.1 del mismo instrumento, en perjuicio de los 17 familiares de Herminio Deras García identificados</w:t>
      </w:r>
      <w:r w:rsidR="00A57F35" w:rsidRPr="0095692E">
        <w:rPr>
          <w:rFonts w:ascii="Verdana" w:hAnsi="Verdana"/>
          <w:sz w:val="20"/>
          <w:szCs w:val="20"/>
        </w:rPr>
        <w:t xml:space="preserve"> </w:t>
      </w:r>
      <w:r w:rsidR="0003702C">
        <w:rPr>
          <w:rFonts w:ascii="Verdana" w:hAnsi="Verdana"/>
          <w:sz w:val="20"/>
          <w:szCs w:val="20"/>
        </w:rPr>
        <w:t>en el párrafo 94 de</w:t>
      </w:r>
      <w:r w:rsidR="00A57F35" w:rsidRPr="0095692E">
        <w:rPr>
          <w:rFonts w:ascii="Verdana" w:hAnsi="Verdana"/>
          <w:sz w:val="20"/>
          <w:szCs w:val="20"/>
        </w:rPr>
        <w:t xml:space="preserve"> la presente Sentencia</w:t>
      </w:r>
      <w:r w:rsidRPr="0095692E">
        <w:rPr>
          <w:rFonts w:ascii="Verdana" w:hAnsi="Verdana"/>
          <w:sz w:val="20"/>
          <w:szCs w:val="20"/>
        </w:rPr>
        <w:t>.</w:t>
      </w:r>
    </w:p>
    <w:p w14:paraId="6CFB46FC" w14:textId="77777777" w:rsidR="00CB471E" w:rsidRPr="0095692E" w:rsidRDefault="00CB471E" w:rsidP="00CB471E">
      <w:pPr>
        <w:pStyle w:val="Prrafodelista"/>
        <w:rPr>
          <w:rFonts w:ascii="Verdana" w:hAnsi="Verdana"/>
          <w:sz w:val="20"/>
          <w:szCs w:val="20"/>
        </w:rPr>
      </w:pPr>
    </w:p>
    <w:p w14:paraId="629A4AEB" w14:textId="606E6AE2" w:rsidR="000261F2" w:rsidRPr="0095692E" w:rsidRDefault="00966064" w:rsidP="0077099F">
      <w:pPr>
        <w:pStyle w:val="Prrafodelista"/>
        <w:numPr>
          <w:ilvl w:val="0"/>
          <w:numId w:val="2"/>
        </w:numPr>
        <w:autoSpaceDE w:val="0"/>
        <w:autoSpaceDN w:val="0"/>
        <w:adjustRightInd w:val="0"/>
        <w:spacing w:after="0" w:line="240" w:lineRule="auto"/>
        <w:ind w:left="0" w:firstLine="0"/>
        <w:contextualSpacing w:val="0"/>
        <w:jc w:val="both"/>
        <w:rPr>
          <w:rFonts w:ascii="Verdana" w:hAnsi="Verdana"/>
          <w:sz w:val="20"/>
          <w:szCs w:val="20"/>
        </w:rPr>
      </w:pPr>
      <w:r w:rsidRPr="0095692E">
        <w:rPr>
          <w:rFonts w:ascii="Verdana" w:hAnsi="Verdana"/>
          <w:sz w:val="20"/>
          <w:szCs w:val="20"/>
        </w:rPr>
        <w:t>El Tribunal observa que, a raíz del profundo sufrimiento ocasionado a los familiares de Herminio Deras García, debido a su ejecución extrajudicial y la situación de impunidad absoluta durante muchos</w:t>
      </w:r>
      <w:r w:rsidR="00004C40" w:rsidRPr="0095692E">
        <w:rPr>
          <w:rFonts w:ascii="Verdana" w:hAnsi="Verdana"/>
          <w:sz w:val="20"/>
          <w:szCs w:val="20"/>
        </w:rPr>
        <w:t xml:space="preserve"> años</w:t>
      </w:r>
      <w:r w:rsidRPr="0095692E">
        <w:rPr>
          <w:rFonts w:ascii="Verdana" w:hAnsi="Verdana"/>
          <w:sz w:val="20"/>
          <w:szCs w:val="20"/>
        </w:rPr>
        <w:t xml:space="preserve">, además de las </w:t>
      </w:r>
      <w:r w:rsidR="002A6186" w:rsidRPr="0095692E">
        <w:rPr>
          <w:rFonts w:ascii="Verdana" w:hAnsi="Verdana"/>
          <w:sz w:val="20"/>
          <w:szCs w:val="20"/>
        </w:rPr>
        <w:t>otras</w:t>
      </w:r>
      <w:r w:rsidRPr="0095692E">
        <w:rPr>
          <w:rFonts w:ascii="Verdana" w:hAnsi="Verdana"/>
          <w:sz w:val="20"/>
          <w:szCs w:val="20"/>
        </w:rPr>
        <w:t xml:space="preserve"> violaciones perpetradas contra diversos miembro</w:t>
      </w:r>
      <w:r w:rsidR="00D325CA" w:rsidRPr="0095692E">
        <w:rPr>
          <w:rFonts w:ascii="Verdana" w:hAnsi="Verdana"/>
          <w:sz w:val="20"/>
          <w:szCs w:val="20"/>
        </w:rPr>
        <w:t xml:space="preserve">s de la familia, </w:t>
      </w:r>
      <w:r w:rsidR="00A841CC" w:rsidRPr="0095692E">
        <w:rPr>
          <w:rFonts w:ascii="Verdana" w:hAnsi="Verdana"/>
          <w:sz w:val="20"/>
          <w:szCs w:val="20"/>
        </w:rPr>
        <w:t>las detenciones arbitrarias de muchos de ellos, y de la situación ocasionada por el exilio forzado de dos de sus miembros, que incluso no pudieron acudir a</w:t>
      </w:r>
      <w:r w:rsidR="002F4924" w:rsidRPr="0095692E">
        <w:rPr>
          <w:rFonts w:ascii="Verdana" w:hAnsi="Verdana"/>
          <w:sz w:val="20"/>
          <w:szCs w:val="20"/>
        </w:rPr>
        <w:t xml:space="preserve"> los</w:t>
      </w:r>
      <w:r w:rsidR="00A841CC" w:rsidRPr="0095692E">
        <w:rPr>
          <w:rFonts w:ascii="Verdana" w:hAnsi="Verdana"/>
          <w:sz w:val="20"/>
          <w:szCs w:val="20"/>
        </w:rPr>
        <w:t xml:space="preserve"> funerales de sus seres queridos, </w:t>
      </w:r>
      <w:r w:rsidR="00665E07" w:rsidRPr="0095692E">
        <w:rPr>
          <w:rFonts w:ascii="Verdana" w:hAnsi="Verdana"/>
          <w:sz w:val="20"/>
          <w:szCs w:val="20"/>
        </w:rPr>
        <w:t xml:space="preserve">el Estado </w:t>
      </w:r>
      <w:r w:rsidR="002A6186" w:rsidRPr="0095692E">
        <w:rPr>
          <w:rFonts w:ascii="Verdana" w:hAnsi="Verdana"/>
          <w:sz w:val="20"/>
          <w:szCs w:val="20"/>
        </w:rPr>
        <w:t xml:space="preserve">es responsable por la violación del </w:t>
      </w:r>
      <w:r w:rsidR="001D78B8" w:rsidRPr="0095692E">
        <w:rPr>
          <w:rFonts w:ascii="Verdana" w:hAnsi="Verdana"/>
          <w:sz w:val="20"/>
          <w:szCs w:val="20"/>
        </w:rPr>
        <w:t>derecho a la integridad personal, establecido en el artículo 5</w:t>
      </w:r>
      <w:r w:rsidR="002F4924" w:rsidRPr="0095692E">
        <w:rPr>
          <w:rFonts w:ascii="Verdana" w:hAnsi="Verdana"/>
          <w:sz w:val="20"/>
          <w:szCs w:val="20"/>
        </w:rPr>
        <w:t>.1</w:t>
      </w:r>
      <w:r w:rsidR="001D78B8" w:rsidRPr="0095692E">
        <w:rPr>
          <w:rFonts w:ascii="Verdana" w:hAnsi="Verdana"/>
          <w:sz w:val="20"/>
          <w:szCs w:val="20"/>
        </w:rPr>
        <w:t xml:space="preserve"> de la Convención Americana, en relación con el artículo 1.1 del mismo instrumento</w:t>
      </w:r>
      <w:r w:rsidR="002A6186" w:rsidRPr="0095692E">
        <w:rPr>
          <w:rFonts w:ascii="Verdana" w:hAnsi="Verdana"/>
          <w:sz w:val="20"/>
          <w:szCs w:val="20"/>
        </w:rPr>
        <w:t xml:space="preserve">, en perjuicio de los 17 familiares de Herminio Deras García identificados en </w:t>
      </w:r>
      <w:r w:rsidR="0003702C">
        <w:rPr>
          <w:rFonts w:ascii="Verdana" w:hAnsi="Verdana"/>
          <w:sz w:val="20"/>
          <w:szCs w:val="20"/>
        </w:rPr>
        <w:t xml:space="preserve">el párrafo 94 de </w:t>
      </w:r>
      <w:r w:rsidR="002A6186" w:rsidRPr="0095692E">
        <w:rPr>
          <w:rFonts w:ascii="Verdana" w:hAnsi="Verdana"/>
          <w:sz w:val="20"/>
          <w:szCs w:val="20"/>
        </w:rPr>
        <w:t xml:space="preserve">la </w:t>
      </w:r>
      <w:r w:rsidR="0003702C" w:rsidRPr="0095692E">
        <w:rPr>
          <w:rFonts w:ascii="Verdana" w:hAnsi="Verdana"/>
          <w:sz w:val="20"/>
          <w:szCs w:val="20"/>
        </w:rPr>
        <w:t xml:space="preserve">presente </w:t>
      </w:r>
      <w:r w:rsidR="002A6186" w:rsidRPr="0095692E">
        <w:rPr>
          <w:rFonts w:ascii="Verdana" w:hAnsi="Verdana"/>
          <w:sz w:val="20"/>
          <w:szCs w:val="20"/>
        </w:rPr>
        <w:t>Sentencia</w:t>
      </w:r>
      <w:r w:rsidR="001D78B8" w:rsidRPr="0095692E">
        <w:rPr>
          <w:rFonts w:ascii="Verdana" w:hAnsi="Verdana"/>
          <w:sz w:val="20"/>
          <w:szCs w:val="20"/>
        </w:rPr>
        <w:t>.</w:t>
      </w:r>
    </w:p>
    <w:p w14:paraId="6A37FF92" w14:textId="77777777" w:rsidR="0077099F" w:rsidRPr="0095692E" w:rsidRDefault="0077099F" w:rsidP="0077099F">
      <w:pPr>
        <w:jc w:val="both"/>
        <w:rPr>
          <w:rFonts w:ascii="Verdana" w:hAnsi="Verdana"/>
          <w:sz w:val="20"/>
          <w:szCs w:val="20"/>
          <w:highlight w:val="yellow"/>
        </w:rPr>
      </w:pPr>
    </w:p>
    <w:p w14:paraId="3CFFE10F" w14:textId="55BEEEC1" w:rsidR="00FF277B" w:rsidRPr="0095692E" w:rsidRDefault="005E3ABB" w:rsidP="00FF277B">
      <w:pPr>
        <w:pStyle w:val="Ttulo1"/>
        <w:ind w:firstLine="0"/>
        <w:rPr>
          <w:lang w:val="es-CR"/>
        </w:rPr>
      </w:pPr>
      <w:bookmarkStart w:id="45" w:name="_Toc115262487"/>
      <w:r w:rsidRPr="0095692E">
        <w:rPr>
          <w:lang w:val="es-CR"/>
        </w:rPr>
        <w:t>VIII</w:t>
      </w:r>
      <w:r w:rsidR="00FF277B" w:rsidRPr="0095692E">
        <w:rPr>
          <w:lang w:val="es-CR"/>
        </w:rPr>
        <w:br/>
        <w:t>REPARACIONES</w:t>
      </w:r>
      <w:bookmarkEnd w:id="45"/>
    </w:p>
    <w:p w14:paraId="3F69E3A0" w14:textId="77777777" w:rsidR="00FF277B" w:rsidRPr="0095692E" w:rsidRDefault="00FF277B" w:rsidP="00FF277B">
      <w:pPr>
        <w:rPr>
          <w:rFonts w:ascii="Verdana" w:hAnsi="Verdana"/>
          <w:sz w:val="20"/>
          <w:szCs w:val="20"/>
        </w:rPr>
      </w:pPr>
    </w:p>
    <w:p w14:paraId="5C4E4F89" w14:textId="77777777" w:rsidR="00FF277B" w:rsidRPr="0095692E" w:rsidRDefault="00FF277B" w:rsidP="00FF277B">
      <w:pPr>
        <w:pStyle w:val="PrrafodeSentencia"/>
        <w:numPr>
          <w:ilvl w:val="0"/>
          <w:numId w:val="2"/>
        </w:numPr>
        <w:tabs>
          <w:tab w:val="clear" w:pos="567"/>
          <w:tab w:val="left" w:pos="0"/>
        </w:tabs>
        <w:autoSpaceDE w:val="0"/>
        <w:autoSpaceDN w:val="0"/>
        <w:adjustRightInd w:val="0"/>
        <w:ind w:left="0" w:right="45" w:firstLine="0"/>
        <w:rPr>
          <w:szCs w:val="20"/>
        </w:rPr>
      </w:pPr>
      <w:r w:rsidRPr="0095692E">
        <w:rPr>
          <w:szCs w:val="20"/>
          <w:lang w:eastAsia="es-ES" w:bidi="en-US"/>
        </w:rPr>
        <w:t>Sobre</w:t>
      </w:r>
      <w:r w:rsidRPr="0095692E">
        <w:rPr>
          <w:szCs w:val="20"/>
          <w:lang w:bidi="en-US"/>
        </w:rPr>
        <w:t xml:space="preserve"> </w:t>
      </w:r>
      <w:r w:rsidRPr="0095692E">
        <w:rPr>
          <w:bCs/>
          <w:szCs w:val="20"/>
          <w:lang w:bidi="en-US"/>
        </w:rPr>
        <w:t>la</w:t>
      </w:r>
      <w:r w:rsidRPr="0095692E">
        <w:rPr>
          <w:szCs w:val="20"/>
          <w:lang w:bidi="en-US"/>
        </w:rPr>
        <w:t xml:space="preserve"> </w:t>
      </w:r>
      <w:r w:rsidRPr="0095692E">
        <w:rPr>
          <w:szCs w:val="20"/>
        </w:rPr>
        <w:t>base</w:t>
      </w:r>
      <w:r w:rsidRPr="0095692E">
        <w:rPr>
          <w:szCs w:val="20"/>
          <w:lang w:bidi="en-US"/>
        </w:rPr>
        <w:t xml:space="preserve"> de lo dispuesto en el artículo 63.1 de la Convención Americana, la Corte ha indicado que toda violación de una obligación internacional que haya producido daño comporta el deber de </w:t>
      </w:r>
      <w:r w:rsidRPr="0095692E">
        <w:rPr>
          <w:szCs w:val="20"/>
        </w:rPr>
        <w:t>repararlo</w:t>
      </w:r>
      <w:r w:rsidRPr="0095692E">
        <w:rPr>
          <w:szCs w:val="20"/>
          <w:lang w:bidi="en-US"/>
        </w:rPr>
        <w:t xml:space="preserve"> </w:t>
      </w:r>
      <w:r w:rsidRPr="0095692E">
        <w:rPr>
          <w:szCs w:val="20"/>
        </w:rPr>
        <w:t>adecuadamente</w:t>
      </w:r>
      <w:r w:rsidRPr="0095692E">
        <w:rPr>
          <w:szCs w:val="20"/>
          <w:lang w:bidi="en-US"/>
        </w:rPr>
        <w:t xml:space="preserve"> y que esa disposición recoge una norma consuetudinaria que constituye uno </w:t>
      </w:r>
      <w:r w:rsidRPr="0095692E">
        <w:rPr>
          <w:szCs w:val="20"/>
        </w:rPr>
        <w:t>de</w:t>
      </w:r>
      <w:r w:rsidRPr="0095692E">
        <w:rPr>
          <w:szCs w:val="20"/>
          <w:lang w:bidi="en-US"/>
        </w:rPr>
        <w:t xml:space="preserve"> los principios fundamentales del Derecho Internacional contemporáneo sobre responsabilidad de un Estado</w:t>
      </w:r>
      <w:r w:rsidRPr="0095692E">
        <w:rPr>
          <w:vertAlign w:val="superscript"/>
          <w:lang w:bidi="en-US"/>
        </w:rPr>
        <w:footnoteReference w:id="79"/>
      </w:r>
      <w:r w:rsidRPr="0095692E">
        <w:rPr>
          <w:szCs w:val="20"/>
          <w:lang w:bidi="en-US"/>
        </w:rPr>
        <w:t>.</w:t>
      </w:r>
    </w:p>
    <w:p w14:paraId="434E0F83" w14:textId="77777777" w:rsidR="00FF277B" w:rsidRPr="0095692E" w:rsidRDefault="00FF277B" w:rsidP="00FF277B">
      <w:pPr>
        <w:pStyle w:val="PrrafodeSentencia"/>
        <w:numPr>
          <w:ilvl w:val="0"/>
          <w:numId w:val="0"/>
        </w:numPr>
        <w:tabs>
          <w:tab w:val="clear" w:pos="567"/>
          <w:tab w:val="left" w:pos="0"/>
        </w:tabs>
        <w:autoSpaceDE w:val="0"/>
        <w:autoSpaceDN w:val="0"/>
        <w:adjustRightInd w:val="0"/>
        <w:ind w:right="45"/>
        <w:rPr>
          <w:szCs w:val="20"/>
        </w:rPr>
      </w:pPr>
    </w:p>
    <w:p w14:paraId="24B5FF24" w14:textId="77777777" w:rsidR="00FF277B" w:rsidRPr="0095692E" w:rsidRDefault="00FF277B" w:rsidP="00FF277B">
      <w:pPr>
        <w:pStyle w:val="PrrafodeSentencia"/>
        <w:numPr>
          <w:ilvl w:val="0"/>
          <w:numId w:val="2"/>
        </w:numPr>
        <w:tabs>
          <w:tab w:val="clear" w:pos="567"/>
          <w:tab w:val="left" w:pos="0"/>
        </w:tabs>
        <w:autoSpaceDE w:val="0"/>
        <w:autoSpaceDN w:val="0"/>
        <w:adjustRightInd w:val="0"/>
        <w:ind w:left="0" w:right="45" w:firstLine="0"/>
        <w:rPr>
          <w:szCs w:val="20"/>
        </w:rPr>
      </w:pPr>
      <w:r w:rsidRPr="0095692E">
        <w:rPr>
          <w:szCs w:val="20"/>
        </w:rPr>
        <w:t>La reparación del daño ocasionado por la infracción de una obligación internacional requiere, siempre que sea posible, la plena restitución (</w:t>
      </w:r>
      <w:r w:rsidRPr="0095692E">
        <w:rPr>
          <w:i/>
          <w:szCs w:val="20"/>
        </w:rPr>
        <w:t>restitutio in integrum</w:t>
      </w:r>
      <w:r w:rsidRPr="0095692E">
        <w:rPr>
          <w:szCs w:val="20"/>
        </w:rPr>
        <w:t>), que consiste en el restablecimiento de la situación anterior. De no ser factible, como ocurre en la mayoría de los casos de violaciones a derechos humanos, este Tribunal determinará medidas para garantizar los derechos conculcados y reparar las consecuencias que las infracciones produjeron</w:t>
      </w:r>
      <w:r w:rsidRPr="0095692E">
        <w:rPr>
          <w:rStyle w:val="Refdenotaalpie"/>
          <w:szCs w:val="20"/>
        </w:rPr>
        <w:footnoteReference w:id="80"/>
      </w:r>
      <w:r w:rsidRPr="0095692E">
        <w:rPr>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95692E">
        <w:rPr>
          <w:rStyle w:val="Refdenotaalpie"/>
          <w:szCs w:val="20"/>
        </w:rPr>
        <w:footnoteReference w:id="81"/>
      </w:r>
      <w:r w:rsidRPr="0095692E">
        <w:rPr>
          <w:szCs w:val="20"/>
        </w:rPr>
        <w:t>.</w:t>
      </w:r>
    </w:p>
    <w:p w14:paraId="7509C6CA" w14:textId="77777777" w:rsidR="00FF277B" w:rsidRPr="0095692E" w:rsidRDefault="00FF277B" w:rsidP="00FF277B">
      <w:pPr>
        <w:pStyle w:val="PrrafodeSentencia"/>
        <w:numPr>
          <w:ilvl w:val="0"/>
          <w:numId w:val="0"/>
        </w:numPr>
        <w:tabs>
          <w:tab w:val="clear" w:pos="567"/>
          <w:tab w:val="left" w:pos="0"/>
        </w:tabs>
        <w:autoSpaceDE w:val="0"/>
        <w:autoSpaceDN w:val="0"/>
        <w:adjustRightInd w:val="0"/>
        <w:ind w:right="45"/>
        <w:rPr>
          <w:szCs w:val="20"/>
        </w:rPr>
      </w:pPr>
    </w:p>
    <w:p w14:paraId="131C34DD" w14:textId="77777777" w:rsidR="00FF277B" w:rsidRPr="0095692E" w:rsidRDefault="00FF277B" w:rsidP="00FF277B">
      <w:pPr>
        <w:pStyle w:val="PrrafodeSentencia"/>
        <w:numPr>
          <w:ilvl w:val="0"/>
          <w:numId w:val="2"/>
        </w:numPr>
        <w:tabs>
          <w:tab w:val="clear" w:pos="567"/>
          <w:tab w:val="left" w:pos="0"/>
        </w:tabs>
        <w:autoSpaceDE w:val="0"/>
        <w:autoSpaceDN w:val="0"/>
        <w:adjustRightInd w:val="0"/>
        <w:ind w:left="0" w:right="45" w:firstLine="0"/>
        <w:rPr>
          <w:szCs w:val="20"/>
        </w:rPr>
      </w:pPr>
      <w:r w:rsidRPr="0095692E">
        <w:rPr>
          <w:szCs w:val="20"/>
        </w:rPr>
        <w:t xml:space="preserve">Este Tribunal ha establecido que las reparaciones deben tener un nexo causal con los hechos del caso, las violaciones declaradas, los daños acreditados, así como con las </w:t>
      </w:r>
      <w:r w:rsidRPr="0095692E">
        <w:rPr>
          <w:szCs w:val="20"/>
        </w:rPr>
        <w:lastRenderedPageBreak/>
        <w:t>medidas solicitadas para reparar los daños respectivos. Por lo tanto, la Corte deberá observar dicha concurrencia para pronunciarse debidamente y conforme a derecho</w:t>
      </w:r>
      <w:r w:rsidRPr="0095692E">
        <w:rPr>
          <w:rStyle w:val="Refdenotaalpie"/>
          <w:rFonts w:cs="Verdana"/>
          <w:szCs w:val="20"/>
        </w:rPr>
        <w:footnoteReference w:id="82"/>
      </w:r>
      <w:r w:rsidRPr="0095692E">
        <w:rPr>
          <w:szCs w:val="20"/>
        </w:rPr>
        <w:t>.</w:t>
      </w:r>
    </w:p>
    <w:p w14:paraId="3C24B0F7" w14:textId="77777777" w:rsidR="00FF277B" w:rsidRPr="0095692E" w:rsidRDefault="00FF277B" w:rsidP="00FF277B">
      <w:pPr>
        <w:pStyle w:val="PrrafodeSentencia"/>
        <w:numPr>
          <w:ilvl w:val="0"/>
          <w:numId w:val="0"/>
        </w:numPr>
        <w:tabs>
          <w:tab w:val="clear" w:pos="567"/>
          <w:tab w:val="left" w:pos="0"/>
        </w:tabs>
        <w:autoSpaceDE w:val="0"/>
        <w:autoSpaceDN w:val="0"/>
        <w:adjustRightInd w:val="0"/>
        <w:ind w:right="45"/>
        <w:rPr>
          <w:szCs w:val="20"/>
        </w:rPr>
      </w:pPr>
    </w:p>
    <w:p w14:paraId="66A5D3C9" w14:textId="7441C221" w:rsidR="00FF277B" w:rsidRPr="0095692E" w:rsidRDefault="00FF277B" w:rsidP="00FF277B">
      <w:pPr>
        <w:pStyle w:val="PrrafodeSentencia"/>
        <w:numPr>
          <w:ilvl w:val="0"/>
          <w:numId w:val="2"/>
        </w:numPr>
        <w:tabs>
          <w:tab w:val="clear" w:pos="567"/>
          <w:tab w:val="left" w:pos="0"/>
        </w:tabs>
        <w:autoSpaceDE w:val="0"/>
        <w:autoSpaceDN w:val="0"/>
        <w:adjustRightInd w:val="0"/>
        <w:ind w:left="0" w:right="45" w:firstLine="0"/>
        <w:rPr>
          <w:szCs w:val="20"/>
        </w:rPr>
      </w:pPr>
      <w:r w:rsidRPr="0095692E">
        <w:rPr>
          <w:szCs w:val="20"/>
        </w:rPr>
        <w:t xml:space="preserve">Tomando en cuenta las violaciones a la Convención Americana declaradas en los capítulos </w:t>
      </w:r>
      <w:r w:rsidRPr="0095692E">
        <w:rPr>
          <w:szCs w:val="20"/>
          <w:lang w:eastAsia="es-ES_tradnl"/>
        </w:rPr>
        <w:t>anteriores</w:t>
      </w:r>
      <w:r w:rsidRPr="0095692E">
        <w:rPr>
          <w:szCs w:val="20"/>
        </w:rPr>
        <w:t>, y a la luz de los criterios fijados en la jurisprudencia del Tribunal en relación con la naturaleza y alcances de la obligación de reparar</w:t>
      </w:r>
      <w:r w:rsidRPr="0095692E">
        <w:rPr>
          <w:rFonts w:eastAsia="Calibri"/>
          <w:vertAlign w:val="superscript"/>
        </w:rPr>
        <w:footnoteReference w:id="83"/>
      </w:r>
      <w:r w:rsidRPr="0095692E">
        <w:rPr>
          <w:szCs w:val="20"/>
        </w:rPr>
        <w:t>, la Corte analizará las pretensiones presentadas por la Comisión y los representantes, así como los argumentos del Estado al respecto, con el objeto de disponer a continuación las medidas tendientes a reparar dichas violaciones. En cuanto a la posición de Honduras, debe destacarse que el Estado estuvo conforme con la adopción de la mayor parte de las medidas de reparación planteadas por la Comisión y los representantes y se comprometió a cumplirlas. Sin embargo, en cuanto a aspectos puntuales de algunas de las medidas solicitadas por los representantes, no se refirió de manera específica en su escrito de allanamiento. Al respecto, este Tribunal observa que, en el escrito de “allanamiento total del caso”, el Estado señaló que tal allanamiento tiene entre sus objetivos “acordar las medidas de reparación integral del daño, tal y como se establezcan en la [S]entencia”.</w:t>
      </w:r>
      <w:r w:rsidRPr="0095692E">
        <w:rPr>
          <w:rFonts w:cs="Times New Roman"/>
          <w:szCs w:val="20"/>
          <w:lang w:eastAsia="es-CR"/>
        </w:rPr>
        <w:t xml:space="preserve"> Se aclara que, en lo que sigue, sólo se reseña la posición de las partes en relación con aquellas solicitudes de medidas de reparación respecto a las cuales el Estado no se comprometió a cumplir o no efectuó consideraciones específicas.</w:t>
      </w:r>
    </w:p>
    <w:p w14:paraId="02BAC0FB" w14:textId="77777777" w:rsidR="00FF277B" w:rsidRPr="0095692E" w:rsidRDefault="00FF277B" w:rsidP="00FF277B">
      <w:pPr>
        <w:rPr>
          <w:rFonts w:ascii="Verdana" w:hAnsi="Verdana"/>
          <w:sz w:val="20"/>
          <w:szCs w:val="20"/>
        </w:rPr>
      </w:pPr>
    </w:p>
    <w:p w14:paraId="518A136E" w14:textId="77777777" w:rsidR="00FF277B" w:rsidRPr="0095692E" w:rsidRDefault="00FF277B" w:rsidP="00FF277B">
      <w:pPr>
        <w:pStyle w:val="Ttulo2"/>
        <w:keepNext/>
        <w:keepLines/>
        <w:widowControl w:val="0"/>
        <w:numPr>
          <w:ilvl w:val="0"/>
          <w:numId w:val="12"/>
        </w:numPr>
        <w:pBdr>
          <w:top w:val="none" w:sz="0" w:space="0" w:color="auto"/>
        </w:pBdr>
        <w:adjustRightInd w:val="0"/>
        <w:ind w:left="993"/>
        <w:textAlignment w:val="baseline"/>
        <w:rPr>
          <w:lang w:val="es-CR"/>
        </w:rPr>
      </w:pPr>
      <w:bookmarkStart w:id="46" w:name="_Toc115262488"/>
      <w:r w:rsidRPr="0095692E">
        <w:rPr>
          <w:lang w:val="es-CR"/>
        </w:rPr>
        <w:t>Parte Lesionada</w:t>
      </w:r>
      <w:bookmarkEnd w:id="46"/>
    </w:p>
    <w:p w14:paraId="39185049" w14:textId="77777777" w:rsidR="00FF277B" w:rsidRPr="0095692E" w:rsidRDefault="00FF277B" w:rsidP="00FF277B">
      <w:pPr>
        <w:rPr>
          <w:rFonts w:ascii="Verdana" w:hAnsi="Verdana"/>
          <w:sz w:val="20"/>
          <w:szCs w:val="20"/>
        </w:rPr>
      </w:pPr>
    </w:p>
    <w:p w14:paraId="74CCCB85" w14:textId="2C66254A"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rPr>
          <w:szCs w:val="20"/>
        </w:rPr>
      </w:pPr>
      <w:r w:rsidRPr="0095692E">
        <w:rPr>
          <w:szCs w:val="20"/>
        </w:rPr>
        <w:t>Este Tribunal reitera que se considera parte lesionada, en los términos del artículo 63.1 de la Convención, a quien ha sido declarad</w:t>
      </w:r>
      <w:r w:rsidR="00A54286" w:rsidRPr="0095692E">
        <w:rPr>
          <w:szCs w:val="20"/>
        </w:rPr>
        <w:t>a</w:t>
      </w:r>
      <w:r w:rsidRPr="0095692E">
        <w:rPr>
          <w:szCs w:val="20"/>
        </w:rPr>
        <w:t xml:space="preserve"> víctima de la violación de algún derecho reconocido en esta Sentencia. Por lo tanto, la Corte considera como “parte lesionada” al señor Herminio Deras García y a las siguientes personas familiares de él: Otilia Flores Ortiz (esposa), Lorena Deras Flores (hija), Herminio Deras Flores (hijo), Eustaquia García Alvarado (madre), Domingo Deras Henríquez</w:t>
      </w:r>
      <w:r w:rsidR="008A28AB" w:rsidRPr="0095692E">
        <w:rPr>
          <w:szCs w:val="20"/>
        </w:rPr>
        <w:t xml:space="preserve"> </w:t>
      </w:r>
      <w:r w:rsidRPr="0095692E">
        <w:rPr>
          <w:szCs w:val="20"/>
        </w:rPr>
        <w:t xml:space="preserve">(padre), Alba Luz Deras García (hermana), Irma Isabel Deras García (hermana), Consuelo Deras García (hermana), Luis Rolando Deras García (hermano), Héctor García (hermano), Marlen García Pineda (prima), José Herminio </w:t>
      </w:r>
      <w:r w:rsidR="008A28AB" w:rsidRPr="0095692E">
        <w:rPr>
          <w:szCs w:val="20"/>
        </w:rPr>
        <w:t>García</w:t>
      </w:r>
      <w:r w:rsidRPr="0095692E">
        <w:rPr>
          <w:szCs w:val="20"/>
        </w:rPr>
        <w:t xml:space="preserve"> (sobrino), Sandra Ivón Hernández Deras (sobrina), Marlon Javier García Barahona (sobrino), Julio Cesar Chavarría Banegas (cuñado), Elba Flores Ortiz (cuñada), y Cristóbal Rufino Hernández Pérez (cuñado). </w:t>
      </w:r>
    </w:p>
    <w:p w14:paraId="6FA8A6B3" w14:textId="77777777" w:rsidR="00FF277B" w:rsidRPr="0095692E" w:rsidRDefault="00FF277B" w:rsidP="00FF277B">
      <w:pPr>
        <w:pStyle w:val="PrrafodeSentencia"/>
        <w:numPr>
          <w:ilvl w:val="0"/>
          <w:numId w:val="0"/>
        </w:numPr>
        <w:tabs>
          <w:tab w:val="clear" w:pos="567"/>
          <w:tab w:val="left" w:pos="709"/>
        </w:tabs>
        <w:autoSpaceDE w:val="0"/>
        <w:autoSpaceDN w:val="0"/>
        <w:adjustRightInd w:val="0"/>
        <w:ind w:right="45"/>
        <w:rPr>
          <w:szCs w:val="20"/>
        </w:rPr>
      </w:pPr>
    </w:p>
    <w:p w14:paraId="341004C2" w14:textId="65B15FFF"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rPr>
          <w:szCs w:val="20"/>
        </w:rPr>
      </w:pPr>
      <w:r w:rsidRPr="0095692E">
        <w:rPr>
          <w:szCs w:val="20"/>
          <w:lang w:bidi="en-US"/>
        </w:rPr>
        <w:t>De acuerdo con la información con la que cuenta esta Corte, de las personas señaladas, las siguientes han fallecido</w:t>
      </w:r>
      <w:r w:rsidRPr="0095692E">
        <w:rPr>
          <w:szCs w:val="20"/>
        </w:rPr>
        <w:t>:</w:t>
      </w:r>
      <w:r w:rsidRPr="0095692E">
        <w:rPr>
          <w:rFonts w:cs="Times New Roman"/>
          <w:szCs w:val="20"/>
        </w:rPr>
        <w:t xml:space="preserve"> </w:t>
      </w:r>
      <w:r w:rsidRPr="0095692E">
        <w:rPr>
          <w:szCs w:val="20"/>
        </w:rPr>
        <w:t xml:space="preserve">Herminio Deras García, </w:t>
      </w:r>
      <w:r w:rsidRPr="0095692E">
        <w:rPr>
          <w:rFonts w:cs="Times New Roman"/>
          <w:szCs w:val="20"/>
        </w:rPr>
        <w:t xml:space="preserve">Eustaquia García </w:t>
      </w:r>
      <w:r w:rsidRPr="0095692E">
        <w:rPr>
          <w:szCs w:val="20"/>
        </w:rPr>
        <w:t>Alvarado</w:t>
      </w:r>
      <w:r w:rsidRPr="0095692E">
        <w:rPr>
          <w:rFonts w:cs="Times New Roman"/>
          <w:szCs w:val="20"/>
        </w:rPr>
        <w:t xml:space="preserve">, Domingo Deras </w:t>
      </w:r>
      <w:r w:rsidRPr="0095692E">
        <w:rPr>
          <w:szCs w:val="20"/>
        </w:rPr>
        <w:t>Henríquez</w:t>
      </w:r>
      <w:r w:rsidRPr="0095692E">
        <w:rPr>
          <w:rFonts w:cs="Times New Roman"/>
          <w:szCs w:val="20"/>
        </w:rPr>
        <w:t>, Consuelo Deras García,</w:t>
      </w:r>
      <w:r w:rsidRPr="0095692E">
        <w:rPr>
          <w:szCs w:val="20"/>
        </w:rPr>
        <w:t xml:space="preserve"> Héctor García, y </w:t>
      </w:r>
      <w:r w:rsidRPr="0095692E">
        <w:rPr>
          <w:rFonts w:cs="Times New Roman"/>
          <w:szCs w:val="20"/>
        </w:rPr>
        <w:t>Cristóbal Rufino Hernández</w:t>
      </w:r>
      <w:r w:rsidRPr="0095692E">
        <w:rPr>
          <w:szCs w:val="20"/>
        </w:rPr>
        <w:t xml:space="preserve"> </w:t>
      </w:r>
    </w:p>
    <w:p w14:paraId="65935752" w14:textId="77777777" w:rsidR="00FF277B" w:rsidRPr="0095692E" w:rsidRDefault="00FF277B" w:rsidP="00FF277B">
      <w:pPr>
        <w:rPr>
          <w:rFonts w:ascii="Verdana" w:hAnsi="Verdana"/>
        </w:rPr>
      </w:pPr>
    </w:p>
    <w:p w14:paraId="6089E49D" w14:textId="77777777" w:rsidR="00FF277B" w:rsidRPr="0095692E" w:rsidRDefault="00FF277B" w:rsidP="00FF277B">
      <w:pPr>
        <w:pStyle w:val="Ttulo2"/>
        <w:keepNext/>
        <w:keepLines/>
        <w:widowControl w:val="0"/>
        <w:numPr>
          <w:ilvl w:val="0"/>
          <w:numId w:val="12"/>
        </w:numPr>
        <w:pBdr>
          <w:top w:val="none" w:sz="0" w:space="0" w:color="auto"/>
        </w:pBdr>
        <w:adjustRightInd w:val="0"/>
        <w:ind w:left="993"/>
        <w:textAlignment w:val="baseline"/>
        <w:rPr>
          <w:lang w:val="es-CR"/>
        </w:rPr>
      </w:pPr>
      <w:bookmarkStart w:id="47" w:name="_Toc115262489"/>
      <w:r w:rsidRPr="0095692E">
        <w:rPr>
          <w:lang w:val="es-CR"/>
        </w:rPr>
        <w:t>Obligación de investigar los hechos e identificar, juzgar y, en su caso, sancionar a los responsables</w:t>
      </w:r>
      <w:bookmarkEnd w:id="47"/>
      <w:r w:rsidRPr="0095692E">
        <w:rPr>
          <w:lang w:val="es-CR"/>
        </w:rPr>
        <w:t xml:space="preserve"> </w:t>
      </w:r>
    </w:p>
    <w:p w14:paraId="25145698" w14:textId="77777777" w:rsidR="00FF277B" w:rsidRPr="0095692E" w:rsidRDefault="00FF277B" w:rsidP="00FF277B">
      <w:pPr>
        <w:rPr>
          <w:rFonts w:ascii="Verdana" w:hAnsi="Verdana"/>
          <w:sz w:val="20"/>
          <w:szCs w:val="20"/>
        </w:rPr>
      </w:pPr>
    </w:p>
    <w:p w14:paraId="184ACCDA" w14:textId="77777777" w:rsidR="00FF277B" w:rsidRPr="0095692E" w:rsidRDefault="00FF277B" w:rsidP="00FF277B">
      <w:pPr>
        <w:pStyle w:val="PrrafodeSentencia"/>
        <w:numPr>
          <w:ilvl w:val="0"/>
          <w:numId w:val="2"/>
        </w:numPr>
        <w:tabs>
          <w:tab w:val="clear" w:pos="567"/>
          <w:tab w:val="left" w:pos="0"/>
        </w:tabs>
        <w:autoSpaceDE w:val="0"/>
        <w:autoSpaceDN w:val="0"/>
        <w:adjustRightInd w:val="0"/>
        <w:ind w:left="0" w:right="45" w:firstLine="0"/>
        <w:rPr>
          <w:szCs w:val="20"/>
        </w:rPr>
      </w:pPr>
      <w:r w:rsidRPr="0095692E">
        <w:rPr>
          <w:szCs w:val="20"/>
        </w:rPr>
        <w:t xml:space="preserve">A la luz de las medidas de reparación solicitadas por la </w:t>
      </w:r>
      <w:r w:rsidRPr="0095692E">
        <w:rPr>
          <w:b/>
          <w:bCs/>
          <w:i/>
          <w:iCs/>
          <w:szCs w:val="20"/>
        </w:rPr>
        <w:t>Comisión</w:t>
      </w:r>
      <w:r w:rsidRPr="0095692E">
        <w:rPr>
          <w:szCs w:val="20"/>
        </w:rPr>
        <w:t xml:space="preserve"> y los </w:t>
      </w:r>
      <w:r w:rsidRPr="0095692E">
        <w:rPr>
          <w:b/>
          <w:bCs/>
          <w:i/>
          <w:iCs/>
          <w:szCs w:val="20"/>
        </w:rPr>
        <w:t>representantes</w:t>
      </w:r>
      <w:r w:rsidRPr="0095692E">
        <w:rPr>
          <w:szCs w:val="20"/>
        </w:rPr>
        <w:t xml:space="preserve">, el </w:t>
      </w:r>
      <w:r w:rsidRPr="0095692E">
        <w:rPr>
          <w:b/>
          <w:bCs/>
          <w:i/>
          <w:iCs/>
          <w:szCs w:val="20"/>
        </w:rPr>
        <w:t>Estado</w:t>
      </w:r>
      <w:r w:rsidRPr="0095692E">
        <w:rPr>
          <w:szCs w:val="20"/>
        </w:rPr>
        <w:t>, en su escrito de allanamiento, se comprometió a:</w:t>
      </w:r>
    </w:p>
    <w:p w14:paraId="08A1938D" w14:textId="77777777" w:rsidR="00FF277B" w:rsidRPr="0095692E" w:rsidRDefault="00FF277B" w:rsidP="00FF277B">
      <w:pPr>
        <w:pStyle w:val="PrrafodeSentencia"/>
        <w:numPr>
          <w:ilvl w:val="0"/>
          <w:numId w:val="0"/>
        </w:numPr>
        <w:tabs>
          <w:tab w:val="clear" w:pos="567"/>
        </w:tabs>
        <w:autoSpaceDE w:val="0"/>
        <w:autoSpaceDN w:val="0"/>
        <w:adjustRightInd w:val="0"/>
        <w:ind w:left="630" w:right="648"/>
        <w:rPr>
          <w:sz w:val="16"/>
          <w:szCs w:val="16"/>
        </w:rPr>
      </w:pPr>
    </w:p>
    <w:p w14:paraId="39A63F39" w14:textId="7C3A7CF3" w:rsidR="00FF277B" w:rsidRPr="0095692E" w:rsidRDefault="00FF277B" w:rsidP="006B768E">
      <w:pPr>
        <w:ind w:left="1080" w:right="918"/>
        <w:jc w:val="both"/>
        <w:rPr>
          <w:rFonts w:ascii="Verdana" w:hAnsi="Verdana"/>
          <w:sz w:val="16"/>
          <w:szCs w:val="16"/>
        </w:rPr>
      </w:pPr>
      <w:r w:rsidRPr="0095692E">
        <w:rPr>
          <w:rFonts w:ascii="Verdana" w:hAnsi="Verdana"/>
          <w:sz w:val="16"/>
          <w:szCs w:val="16"/>
        </w:rPr>
        <w:t xml:space="preserve">a través del Ministerio Público, ente encargado de la acción penal, a continuar con la investigación de los hechos que dieron origen al presente allanamiento, de conformidad al numeral 3) del </w:t>
      </w:r>
      <w:r w:rsidR="006F66EB" w:rsidRPr="0095692E">
        <w:rPr>
          <w:rFonts w:ascii="Verdana" w:hAnsi="Verdana"/>
          <w:sz w:val="16"/>
          <w:szCs w:val="16"/>
        </w:rPr>
        <w:t>[I]</w:t>
      </w:r>
      <w:r w:rsidRPr="0095692E">
        <w:rPr>
          <w:rFonts w:ascii="Verdana" w:hAnsi="Verdana"/>
          <w:sz w:val="16"/>
          <w:szCs w:val="16"/>
        </w:rPr>
        <w:t xml:space="preserve">nforme de </w:t>
      </w:r>
      <w:r w:rsidR="006F66EB" w:rsidRPr="0095692E">
        <w:rPr>
          <w:rFonts w:ascii="Verdana" w:hAnsi="Verdana"/>
          <w:sz w:val="16"/>
          <w:szCs w:val="16"/>
        </w:rPr>
        <w:t>[F]</w:t>
      </w:r>
      <w:r w:rsidRPr="0095692E">
        <w:rPr>
          <w:rFonts w:ascii="Verdana" w:hAnsi="Verdana"/>
          <w:sz w:val="16"/>
          <w:szCs w:val="16"/>
        </w:rPr>
        <w:t xml:space="preserve">ondo de la </w:t>
      </w:r>
      <w:r w:rsidR="006F66EB" w:rsidRPr="0095692E">
        <w:rPr>
          <w:rFonts w:ascii="Verdana" w:hAnsi="Verdana"/>
          <w:sz w:val="16"/>
          <w:szCs w:val="16"/>
        </w:rPr>
        <w:t>[</w:t>
      </w:r>
      <w:r w:rsidRPr="0095692E">
        <w:rPr>
          <w:rFonts w:ascii="Verdana" w:hAnsi="Verdana"/>
          <w:sz w:val="16"/>
          <w:szCs w:val="16"/>
        </w:rPr>
        <w:t>C</w:t>
      </w:r>
      <w:r w:rsidR="006F66EB" w:rsidRPr="0095692E">
        <w:rPr>
          <w:rFonts w:ascii="Verdana" w:hAnsi="Verdana"/>
          <w:sz w:val="16"/>
          <w:szCs w:val="16"/>
        </w:rPr>
        <w:t>omisión]</w:t>
      </w:r>
      <w:r w:rsidRPr="0095692E">
        <w:rPr>
          <w:rFonts w:ascii="Verdana" w:hAnsi="Verdana"/>
          <w:sz w:val="16"/>
          <w:szCs w:val="16"/>
        </w:rPr>
        <w:t xml:space="preserve">, que literalmente establece: "Realizar una investigación completa y efectiva de las </w:t>
      </w:r>
      <w:r w:rsidRPr="0095692E">
        <w:rPr>
          <w:rFonts w:ascii="Verdana" w:hAnsi="Verdana"/>
          <w:sz w:val="16"/>
          <w:szCs w:val="16"/>
        </w:rPr>
        <w:lastRenderedPageBreak/>
        <w:t xml:space="preserve">violaciones de derechos humanos declaradas en el informe de fondo, desplegando todos los esfuerzos necesarios para lograr la captura de Marco Tulio Regalado a fin de que cumpla la condena impuesta y que se investiguen todas las demás responsabilidades en la justicia penal ordinaria". Debiendo informar a la Corte </w:t>
      </w:r>
      <w:r w:rsidR="006F66EB" w:rsidRPr="0095692E">
        <w:rPr>
          <w:rFonts w:ascii="Verdana" w:hAnsi="Verdana"/>
          <w:sz w:val="16"/>
          <w:szCs w:val="16"/>
        </w:rPr>
        <w:t>[Interamericana]</w:t>
      </w:r>
      <w:r w:rsidRPr="0095692E">
        <w:rPr>
          <w:rFonts w:ascii="Verdana" w:hAnsi="Verdana"/>
          <w:sz w:val="16"/>
          <w:szCs w:val="16"/>
        </w:rPr>
        <w:t xml:space="preserve"> sobre los avances en las investigaciones.</w:t>
      </w:r>
    </w:p>
    <w:p w14:paraId="39D42D9F" w14:textId="77777777" w:rsidR="00FF277B" w:rsidRPr="0095692E" w:rsidRDefault="00FF277B" w:rsidP="006B768E">
      <w:pPr>
        <w:ind w:left="1080" w:right="918"/>
        <w:jc w:val="both"/>
        <w:rPr>
          <w:rFonts w:ascii="Verdana" w:hAnsi="Verdana"/>
          <w:sz w:val="16"/>
          <w:szCs w:val="16"/>
        </w:rPr>
      </w:pPr>
    </w:p>
    <w:p w14:paraId="1BE70448" w14:textId="77777777" w:rsidR="00FF277B" w:rsidRPr="0095692E" w:rsidRDefault="00FF277B" w:rsidP="006B768E">
      <w:pPr>
        <w:ind w:left="1080" w:right="918"/>
        <w:jc w:val="both"/>
        <w:rPr>
          <w:rFonts w:ascii="Verdana" w:hAnsi="Verdana"/>
          <w:sz w:val="16"/>
          <w:szCs w:val="16"/>
        </w:rPr>
      </w:pPr>
      <w:r w:rsidRPr="0095692E">
        <w:rPr>
          <w:rFonts w:ascii="Verdana" w:hAnsi="Verdana"/>
          <w:sz w:val="16"/>
          <w:szCs w:val="16"/>
        </w:rPr>
        <w:t>El Estado deja constancia que, en cuanto al Sr. Marco Tulio Regalado Hernández, el mismo fue capturado el 16 de noviembre de 2016, por los delitos de asesinato, abuso de autoridad, violación de los deberes de los funcionarios y detención ilegal, por los hechos que dieron origen al presente caso y condenado a una pena de reclusión de 12 años.</w:t>
      </w:r>
    </w:p>
    <w:p w14:paraId="2188F653" w14:textId="77777777" w:rsidR="00FF277B" w:rsidRPr="0095692E" w:rsidRDefault="00FF277B" w:rsidP="0037046F"/>
    <w:p w14:paraId="1E5E93FD" w14:textId="7424E30F"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cs="Arial"/>
          <w:sz w:val="20"/>
          <w:szCs w:val="20"/>
        </w:rPr>
        <w:t xml:space="preserve">Por lo tanto, este </w:t>
      </w:r>
      <w:r w:rsidRPr="0095692E">
        <w:rPr>
          <w:rFonts w:ascii="Verdana" w:hAnsi="Verdana" w:cs="Arial"/>
          <w:b/>
          <w:bCs/>
          <w:i/>
          <w:iCs/>
          <w:sz w:val="20"/>
          <w:szCs w:val="20"/>
        </w:rPr>
        <w:t>Tribunal</w:t>
      </w:r>
      <w:r w:rsidRPr="0095692E">
        <w:rPr>
          <w:rFonts w:ascii="Verdana" w:hAnsi="Verdana" w:cs="Arial"/>
          <w:sz w:val="20"/>
          <w:szCs w:val="20"/>
        </w:rPr>
        <w:t xml:space="preserve"> dispone que el Estado deberá, e</w:t>
      </w:r>
      <w:r w:rsidRPr="0095692E">
        <w:rPr>
          <w:rFonts w:ascii="Verdana" w:hAnsi="Verdana"/>
          <w:sz w:val="20"/>
          <w:szCs w:val="20"/>
        </w:rPr>
        <w:t xml:space="preserve">n un plazo razonable y con la debida diligencia, investigar, identificar, juzgar y, en su caso, sancionar </w:t>
      </w:r>
      <w:r w:rsidR="00685858" w:rsidRPr="0095692E">
        <w:rPr>
          <w:rFonts w:ascii="Verdana" w:hAnsi="Verdana"/>
          <w:sz w:val="20"/>
          <w:szCs w:val="20"/>
        </w:rPr>
        <w:t xml:space="preserve">a todos los responsables en la ejecución </w:t>
      </w:r>
      <w:r w:rsidRPr="0095692E">
        <w:rPr>
          <w:rFonts w:ascii="Verdana" w:hAnsi="Verdana"/>
          <w:sz w:val="20"/>
          <w:szCs w:val="20"/>
        </w:rPr>
        <w:t xml:space="preserve">extrajudicial del señor Herminio Deras García </w:t>
      </w:r>
      <w:r w:rsidR="00A03F87" w:rsidRPr="0095692E">
        <w:rPr>
          <w:rFonts w:ascii="Verdana" w:hAnsi="Verdana"/>
          <w:sz w:val="20"/>
          <w:szCs w:val="20"/>
        </w:rPr>
        <w:t>y de</w:t>
      </w:r>
      <w:r w:rsidRPr="0095692E">
        <w:rPr>
          <w:rFonts w:ascii="Verdana" w:hAnsi="Verdana"/>
          <w:sz w:val="20"/>
          <w:szCs w:val="20"/>
        </w:rPr>
        <w:t xml:space="preserve"> las demás violaciones de derechos humanos declaradas en esta Sentencia, inclusive a todas las personas </w:t>
      </w:r>
      <w:r w:rsidR="00EF511D" w:rsidRPr="0095692E">
        <w:rPr>
          <w:rFonts w:ascii="Verdana" w:hAnsi="Verdana"/>
          <w:sz w:val="20"/>
          <w:szCs w:val="20"/>
        </w:rPr>
        <w:t xml:space="preserve">que hacían parte </w:t>
      </w:r>
      <w:r w:rsidRPr="0095692E">
        <w:rPr>
          <w:rFonts w:ascii="Verdana" w:hAnsi="Verdana"/>
          <w:sz w:val="20"/>
          <w:szCs w:val="20"/>
        </w:rPr>
        <w:t>de la cadena de mando. Para tal efecto, el Estado deberá garantizar el pleno acceso y capacidad de actuar de las víctimas en todas las etapas de las investigaciones</w:t>
      </w:r>
      <w:r w:rsidRPr="0095692E">
        <w:rPr>
          <w:rStyle w:val="Refdenotaalpie"/>
          <w:rFonts w:ascii="Verdana" w:hAnsi="Verdana"/>
          <w:sz w:val="20"/>
          <w:szCs w:val="20"/>
        </w:rPr>
        <w:footnoteReference w:id="84"/>
      </w:r>
      <w:r w:rsidRPr="0095692E">
        <w:rPr>
          <w:rFonts w:ascii="Verdana" w:hAnsi="Verdana"/>
          <w:sz w:val="20"/>
          <w:szCs w:val="20"/>
        </w:rPr>
        <w:t>.</w:t>
      </w:r>
    </w:p>
    <w:p w14:paraId="2D600F7A"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593E887F" w14:textId="1A763710"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La Corte</w:t>
      </w:r>
      <w:r w:rsidRPr="0095692E">
        <w:rPr>
          <w:rFonts w:ascii="Verdana" w:hAnsi="Verdana"/>
          <w:b/>
          <w:bCs/>
          <w:i/>
          <w:iCs/>
          <w:sz w:val="20"/>
          <w:szCs w:val="20"/>
        </w:rPr>
        <w:t xml:space="preserve"> </w:t>
      </w:r>
      <w:r w:rsidRPr="0095692E">
        <w:rPr>
          <w:rFonts w:ascii="Verdana" w:hAnsi="Verdana"/>
          <w:sz w:val="20"/>
          <w:szCs w:val="20"/>
        </w:rPr>
        <w:t xml:space="preserve">observa </w:t>
      </w:r>
      <w:r w:rsidR="006F66EB" w:rsidRPr="0095692E">
        <w:rPr>
          <w:rFonts w:ascii="Verdana" w:hAnsi="Verdana"/>
          <w:sz w:val="20"/>
          <w:szCs w:val="20"/>
        </w:rPr>
        <w:t xml:space="preserve">que </w:t>
      </w:r>
      <w:r w:rsidRPr="0095692E">
        <w:rPr>
          <w:rFonts w:ascii="Verdana" w:hAnsi="Verdana"/>
          <w:sz w:val="20"/>
          <w:szCs w:val="20"/>
        </w:rPr>
        <w:t xml:space="preserve">el presente caso se inserta en un contexto donde </w:t>
      </w:r>
      <w:r w:rsidRPr="0095692E">
        <w:rPr>
          <w:rFonts w:ascii="Verdana" w:hAnsi="Verdana" w:cs="Times New Roman"/>
          <w:sz w:val="20"/>
          <w:szCs w:val="20"/>
        </w:rPr>
        <w:t>existían</w:t>
      </w:r>
      <w:r w:rsidRPr="0095692E">
        <w:rPr>
          <w:rFonts w:ascii="Verdana" w:hAnsi="Verdana"/>
          <w:sz w:val="20"/>
          <w:szCs w:val="20"/>
        </w:rPr>
        <w:t xml:space="preserve"> “campaña[s] selectiva[s]” y “sistemática[s]” de ejecuciones extrajudiciales realizadas por las unidades de inteligencia de las Fuerzas Armadas, en particular, por el Batallón 3-16, en la cual las personas receptoras ostentaban perfiles, como ser “dirigentes de masas”</w:t>
      </w:r>
      <w:r w:rsidRPr="0095692E">
        <w:rPr>
          <w:rFonts w:ascii="Verdana" w:hAnsi="Verdana"/>
          <w:bCs/>
          <w:i/>
          <w:iCs/>
          <w:sz w:val="20"/>
          <w:szCs w:val="20"/>
        </w:rPr>
        <w:t xml:space="preserve">. </w:t>
      </w:r>
      <w:r w:rsidRPr="0095692E">
        <w:rPr>
          <w:rFonts w:ascii="Verdana" w:hAnsi="Verdana"/>
          <w:bCs/>
          <w:sz w:val="20"/>
          <w:szCs w:val="20"/>
        </w:rPr>
        <w:t>En vista de esto, este Tribunal estima congruente y necesario que, al investigar a todas las personas de la cadena de mando involucradas en las violaciones de derechos humanos declaradas en el presente caso, se considere</w:t>
      </w:r>
      <w:r w:rsidR="006F66EB" w:rsidRPr="0095692E">
        <w:rPr>
          <w:rFonts w:ascii="Verdana" w:hAnsi="Verdana"/>
          <w:bCs/>
          <w:sz w:val="20"/>
          <w:szCs w:val="20"/>
        </w:rPr>
        <w:t>n</w:t>
      </w:r>
      <w:r w:rsidRPr="0095692E">
        <w:rPr>
          <w:rFonts w:ascii="Verdana" w:hAnsi="Verdana"/>
          <w:bCs/>
          <w:sz w:val="20"/>
          <w:szCs w:val="20"/>
        </w:rPr>
        <w:t xml:space="preserve"> </w:t>
      </w:r>
      <w:r w:rsidRPr="0095692E">
        <w:rPr>
          <w:rFonts w:ascii="Verdana" w:hAnsi="Verdana" w:cs="Times New Roman"/>
          <w:sz w:val="20"/>
          <w:szCs w:val="20"/>
        </w:rPr>
        <w:t>enfoques diferenciados que eviten invisibilizar patrones de conducta, como las violaciones que se han cometido con motivaciones políticas, y</w:t>
      </w:r>
      <w:r w:rsidR="003C7BFA" w:rsidRPr="0095692E">
        <w:rPr>
          <w:rFonts w:ascii="Verdana" w:hAnsi="Verdana" w:cs="Times New Roman"/>
          <w:sz w:val="20"/>
          <w:szCs w:val="20"/>
        </w:rPr>
        <w:t xml:space="preserve"> se</w:t>
      </w:r>
      <w:r w:rsidRPr="0095692E">
        <w:rPr>
          <w:rFonts w:ascii="Verdana" w:hAnsi="Verdana" w:cs="Times New Roman"/>
          <w:sz w:val="20"/>
          <w:szCs w:val="20"/>
        </w:rPr>
        <w:t xml:space="preserve"> tome en cuenta lo que </w:t>
      </w:r>
      <w:r w:rsidR="006F66EB" w:rsidRPr="0095692E">
        <w:rPr>
          <w:rFonts w:ascii="Verdana" w:hAnsi="Verdana" w:cs="Times New Roman"/>
          <w:sz w:val="20"/>
          <w:szCs w:val="20"/>
        </w:rPr>
        <w:t>este Tribunal</w:t>
      </w:r>
      <w:r w:rsidRPr="0095692E">
        <w:rPr>
          <w:rFonts w:ascii="Verdana" w:hAnsi="Verdana" w:cs="Times New Roman"/>
          <w:sz w:val="20"/>
          <w:szCs w:val="20"/>
        </w:rPr>
        <w:t xml:space="preserve"> estableció en el </w:t>
      </w:r>
      <w:r w:rsidRPr="0095692E">
        <w:rPr>
          <w:rFonts w:ascii="Verdana" w:hAnsi="Verdana" w:cs="Open Sans"/>
          <w:sz w:val="20"/>
          <w:szCs w:val="20"/>
          <w:shd w:val="clear" w:color="auto" w:fill="FFFFFF"/>
        </w:rPr>
        <w:t xml:space="preserve">caso </w:t>
      </w:r>
      <w:r w:rsidRPr="0095692E">
        <w:rPr>
          <w:rFonts w:ascii="Verdana" w:hAnsi="Verdana" w:cs="Open Sans"/>
          <w:i/>
          <w:iCs/>
          <w:sz w:val="20"/>
          <w:szCs w:val="20"/>
          <w:shd w:val="clear" w:color="auto" w:fill="FFFFFF"/>
        </w:rPr>
        <w:t>Cepeda Vargas Vs. Colombia</w:t>
      </w:r>
      <w:r w:rsidRPr="0095692E">
        <w:rPr>
          <w:rFonts w:ascii="Verdana" w:hAnsi="Verdana" w:cs="Open Sans"/>
          <w:sz w:val="20"/>
          <w:szCs w:val="20"/>
          <w:shd w:val="clear" w:color="auto" w:fill="FFFFFF"/>
        </w:rPr>
        <w:t>:</w:t>
      </w:r>
    </w:p>
    <w:p w14:paraId="4F074D6C" w14:textId="77777777" w:rsidR="00FF277B" w:rsidRPr="0095692E" w:rsidRDefault="00FF277B" w:rsidP="00FF277B">
      <w:pPr>
        <w:pStyle w:val="Prrafodelista"/>
        <w:spacing w:after="0" w:line="240" w:lineRule="auto"/>
        <w:contextualSpacing w:val="0"/>
        <w:rPr>
          <w:rFonts w:ascii="Verdana" w:hAnsi="Verdana" w:cs="Open Sans"/>
          <w:sz w:val="20"/>
          <w:szCs w:val="20"/>
          <w:shd w:val="clear" w:color="auto" w:fill="FFFFFF"/>
        </w:rPr>
      </w:pPr>
    </w:p>
    <w:p w14:paraId="6632078B" w14:textId="77777777" w:rsidR="00FF277B" w:rsidRPr="0095692E" w:rsidRDefault="00FF277B" w:rsidP="00E24BE7">
      <w:pPr>
        <w:pStyle w:val="Prrafodelista"/>
        <w:spacing w:after="0" w:line="240" w:lineRule="auto"/>
        <w:ind w:left="1080" w:right="918"/>
        <w:contextualSpacing w:val="0"/>
        <w:jc w:val="both"/>
        <w:rPr>
          <w:rFonts w:ascii="Verdana" w:hAnsi="Verdana"/>
          <w:sz w:val="16"/>
          <w:szCs w:val="16"/>
        </w:rPr>
      </w:pPr>
      <w:r w:rsidRPr="0095692E">
        <w:rPr>
          <w:rFonts w:ascii="Verdana" w:hAnsi="Verdana"/>
          <w:sz w:val="16"/>
          <w:szCs w:val="16"/>
        </w:rPr>
        <w:t xml:space="preserve">Como parte de la obligación de investigar ejecuciones extrajudiciales como la del presente caso, las autoridades estatales deben determinar procesalmente los patrones de </w:t>
      </w:r>
      <w:r w:rsidRPr="0095692E">
        <w:rPr>
          <w:rFonts w:ascii="Verdana" w:eastAsia="Times New Roman" w:hAnsi="Verdana" w:cs="Times New Roman"/>
          <w:sz w:val="16"/>
          <w:szCs w:val="16"/>
          <w:lang w:eastAsia="zh-CN"/>
        </w:rPr>
        <w:t>actuación</w:t>
      </w:r>
      <w:r w:rsidRPr="0095692E">
        <w:rPr>
          <w:rFonts w:ascii="Verdana" w:hAnsi="Verdana"/>
          <w:sz w:val="16"/>
          <w:szCs w:val="16"/>
        </w:rPr>
        <w:t xml:space="preserve"> conjunta y todas las personas que de diversas formas participaron en dichas violaciones y sus correspondientes responsabilidades. No basta el conocimiento de la escena y circunstancias materiales del crimen, sino que resulta imprescindible analizar el conocimiento de las estructuras de poder que lo permitieron, diseñaron y ejecutaron intelectual y materialmente, así como de las personas o grupos que estaban interesados o se beneficiarían del crimen (beneficiarios). Esto puede permitir, a su vez, la generación de hipótesis y líneas de investigación; el análisis de documentos clasificados o reservados, y un análisis de la escena del crimen, testigos, y demás elementos probatorios, pero sin confiar totalmente en la eficacia de mecanismos técnicos como éstos para desarticular la complejidad del crimen, en tanto los mismos pueden resultar insuficientes. En consecuencia, no se trata sólo del análisis de un crimen de manera aislada, sino inserto en un contexto que proporcione los elementos necesarios para comprender su estructura de operación</w:t>
      </w:r>
      <w:r w:rsidRPr="0095692E">
        <w:rPr>
          <w:rStyle w:val="Refdenotaalpie"/>
          <w:rFonts w:ascii="Verdana" w:hAnsi="Verdana"/>
          <w:sz w:val="16"/>
          <w:szCs w:val="16"/>
        </w:rPr>
        <w:footnoteReference w:id="85"/>
      </w:r>
      <w:r w:rsidRPr="0095692E">
        <w:rPr>
          <w:rFonts w:ascii="Verdana" w:hAnsi="Verdana"/>
          <w:sz w:val="16"/>
          <w:szCs w:val="16"/>
        </w:rPr>
        <w:t>.</w:t>
      </w:r>
    </w:p>
    <w:p w14:paraId="28583B23" w14:textId="77777777" w:rsidR="00FF277B" w:rsidRPr="0095692E" w:rsidRDefault="00FF277B" w:rsidP="00FF277B">
      <w:pPr>
        <w:pStyle w:val="Prrafodelista"/>
        <w:spacing w:after="0" w:line="240" w:lineRule="auto"/>
        <w:ind w:left="0"/>
        <w:contextualSpacing w:val="0"/>
        <w:rPr>
          <w:rFonts w:ascii="Verdana" w:hAnsi="Verdana"/>
          <w:szCs w:val="20"/>
        </w:rPr>
      </w:pPr>
    </w:p>
    <w:p w14:paraId="5BE166CF" w14:textId="0E0CA25B"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cs="Times New Roman"/>
          <w:sz w:val="20"/>
          <w:szCs w:val="20"/>
        </w:rPr>
      </w:pPr>
      <w:r w:rsidRPr="0095692E">
        <w:rPr>
          <w:rFonts w:ascii="Verdana" w:hAnsi="Verdana"/>
          <w:sz w:val="20"/>
          <w:szCs w:val="20"/>
        </w:rPr>
        <w:t xml:space="preserve">Además, a efectos de garantizar la debida diligencia en la investigación de las cadenas de mando, el Estado deberá: (i) suministrar </w:t>
      </w:r>
      <w:r w:rsidR="00814ABB" w:rsidRPr="0095692E">
        <w:rPr>
          <w:rFonts w:ascii="Verdana" w:hAnsi="Verdana"/>
          <w:sz w:val="20"/>
          <w:szCs w:val="20"/>
        </w:rPr>
        <w:t xml:space="preserve">a la autoridad investigadora </w:t>
      </w:r>
      <w:r w:rsidRPr="0095692E">
        <w:rPr>
          <w:rFonts w:ascii="Verdana" w:hAnsi="Verdana"/>
          <w:sz w:val="20"/>
          <w:szCs w:val="20"/>
        </w:rPr>
        <w:t>los recursos presupuestarios y técnicos necesarios</w:t>
      </w:r>
      <w:r w:rsidR="00814ABB" w:rsidRPr="0095692E">
        <w:rPr>
          <w:rFonts w:ascii="Verdana" w:hAnsi="Verdana"/>
          <w:sz w:val="20"/>
          <w:szCs w:val="20"/>
        </w:rPr>
        <w:t>;</w:t>
      </w:r>
      <w:r w:rsidR="000D40F4" w:rsidRPr="0095692E">
        <w:rPr>
          <w:rFonts w:ascii="Verdana" w:hAnsi="Verdana"/>
          <w:sz w:val="20"/>
          <w:szCs w:val="20"/>
        </w:rPr>
        <w:t xml:space="preserve"> (ii)</w:t>
      </w:r>
      <w:r w:rsidRPr="0095692E">
        <w:rPr>
          <w:rFonts w:ascii="Verdana" w:hAnsi="Verdana"/>
          <w:sz w:val="20"/>
          <w:szCs w:val="20"/>
        </w:rPr>
        <w:t xml:space="preserve"> </w:t>
      </w:r>
      <w:r w:rsidR="00814ABB" w:rsidRPr="0095692E">
        <w:rPr>
          <w:rFonts w:ascii="Verdana" w:hAnsi="Verdana"/>
          <w:sz w:val="20"/>
          <w:szCs w:val="20"/>
        </w:rPr>
        <w:t xml:space="preserve">garantizar que la autoridad investigadora </w:t>
      </w:r>
      <w:r w:rsidRPr="0095692E">
        <w:rPr>
          <w:rFonts w:ascii="Verdana" w:hAnsi="Verdana"/>
          <w:sz w:val="20"/>
          <w:szCs w:val="20"/>
        </w:rPr>
        <w:t>c</w:t>
      </w:r>
      <w:r w:rsidR="00814ABB" w:rsidRPr="0095692E">
        <w:rPr>
          <w:rFonts w:ascii="Verdana" w:hAnsi="Verdana"/>
          <w:sz w:val="20"/>
          <w:szCs w:val="20"/>
        </w:rPr>
        <w:t>uente</w:t>
      </w:r>
      <w:r w:rsidRPr="0095692E">
        <w:rPr>
          <w:rFonts w:ascii="Verdana" w:hAnsi="Verdana"/>
          <w:sz w:val="20"/>
          <w:szCs w:val="20"/>
        </w:rPr>
        <w:t xml:space="preserve"> con los poderes para obtener toda la información necesaria que demanda la investigación, y </w:t>
      </w:r>
      <w:r w:rsidR="00B931FF" w:rsidRPr="0095692E">
        <w:rPr>
          <w:rFonts w:ascii="Verdana" w:hAnsi="Verdana"/>
          <w:sz w:val="20"/>
          <w:szCs w:val="20"/>
        </w:rPr>
        <w:t xml:space="preserve">esté </w:t>
      </w:r>
      <w:r w:rsidRPr="0095692E">
        <w:rPr>
          <w:rFonts w:ascii="Verdana" w:hAnsi="Verdana"/>
          <w:sz w:val="20"/>
          <w:szCs w:val="20"/>
        </w:rPr>
        <w:t>facultad</w:t>
      </w:r>
      <w:r w:rsidR="00B931FF" w:rsidRPr="0095692E">
        <w:rPr>
          <w:rFonts w:ascii="Verdana" w:hAnsi="Verdana"/>
          <w:sz w:val="20"/>
          <w:szCs w:val="20"/>
        </w:rPr>
        <w:t>a</w:t>
      </w:r>
      <w:r w:rsidRPr="0095692E">
        <w:rPr>
          <w:rFonts w:ascii="Verdana" w:hAnsi="Verdana"/>
          <w:sz w:val="20"/>
          <w:szCs w:val="20"/>
        </w:rPr>
        <w:t xml:space="preserve"> para hacer comparecer ante sí a los testigos y a los funcionarios presuntamente implicados en las ejecuciones extrajudiciales, a fin </w:t>
      </w:r>
      <w:r w:rsidRPr="0095692E">
        <w:rPr>
          <w:rFonts w:ascii="Verdana" w:hAnsi="Verdana"/>
          <w:sz w:val="20"/>
          <w:szCs w:val="20"/>
        </w:rPr>
        <w:lastRenderedPageBreak/>
        <w:t>de que den su testimonio; (</w:t>
      </w:r>
      <w:r w:rsidR="00814ABB" w:rsidRPr="0095692E">
        <w:rPr>
          <w:rFonts w:ascii="Verdana" w:hAnsi="Verdana"/>
          <w:sz w:val="20"/>
          <w:szCs w:val="20"/>
        </w:rPr>
        <w:t>i</w:t>
      </w:r>
      <w:r w:rsidRPr="0095692E">
        <w:rPr>
          <w:rFonts w:ascii="Verdana" w:hAnsi="Verdana"/>
          <w:sz w:val="20"/>
          <w:szCs w:val="20"/>
        </w:rPr>
        <w:t xml:space="preserve">ii) </w:t>
      </w:r>
      <w:r w:rsidRPr="0095692E">
        <w:rPr>
          <w:rFonts w:ascii="Verdana" w:hAnsi="Verdana" w:cs="Times New Roman"/>
          <w:sz w:val="20"/>
          <w:szCs w:val="20"/>
        </w:rPr>
        <w:t>informar a las víctimas y sus representantes sobre los avances de la investigación, y (iii) facilitar la realización de audiencias a efecto de que las víctimas puedan presentar otras pruebas que permitan identificar a los responsables</w:t>
      </w:r>
      <w:r w:rsidRPr="0095692E">
        <w:rPr>
          <w:rStyle w:val="Refdenotaalpie"/>
          <w:rFonts w:ascii="Verdana" w:hAnsi="Verdana"/>
          <w:sz w:val="20"/>
          <w:szCs w:val="20"/>
        </w:rPr>
        <w:footnoteReference w:id="86"/>
      </w:r>
      <w:r w:rsidRPr="0095692E">
        <w:rPr>
          <w:rFonts w:ascii="Verdana" w:hAnsi="Verdana" w:cs="Times New Roman"/>
          <w:sz w:val="20"/>
          <w:szCs w:val="20"/>
        </w:rPr>
        <w:t>.</w:t>
      </w:r>
    </w:p>
    <w:p w14:paraId="25BB0F26"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1440E8C5" w14:textId="611FC12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 Adicionalmente, los resultados de todos los procesos correspondientes deberán ser públicos</w:t>
      </w:r>
      <w:r w:rsidRPr="0095692E">
        <w:rPr>
          <w:rStyle w:val="Refdenotaalpie"/>
          <w:rFonts w:ascii="Verdana" w:hAnsi="Verdana" w:cs="Arial"/>
          <w:sz w:val="20"/>
          <w:szCs w:val="20"/>
        </w:rPr>
        <w:footnoteReference w:id="87"/>
      </w:r>
      <w:r w:rsidRPr="0095692E">
        <w:rPr>
          <w:rFonts w:ascii="Verdana" w:hAnsi="Verdana"/>
          <w:sz w:val="20"/>
          <w:szCs w:val="20"/>
        </w:rPr>
        <w:t>, previo a la consulta a las víctimas, para que la sociedad hondureña conozca los hechos objeto del presente caso, así como a sus responsables</w:t>
      </w:r>
      <w:r w:rsidRPr="0095692E">
        <w:rPr>
          <w:rFonts w:ascii="Verdana" w:hAnsi="Verdana" w:cs="Arial"/>
          <w:sz w:val="20"/>
          <w:szCs w:val="20"/>
          <w:vertAlign w:val="superscript"/>
        </w:rPr>
        <w:footnoteReference w:id="88"/>
      </w:r>
      <w:r w:rsidRPr="0095692E">
        <w:rPr>
          <w:rFonts w:ascii="Verdana" w:hAnsi="Verdana"/>
          <w:sz w:val="20"/>
          <w:szCs w:val="20"/>
        </w:rPr>
        <w:t xml:space="preserve">. </w:t>
      </w:r>
    </w:p>
    <w:p w14:paraId="192E7761"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5F82EEA8"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Por último, debido a las circunstancias del presente caso, el Estado deberá abstenerse de recurrir a figuras como el principio </w:t>
      </w:r>
      <w:r w:rsidRPr="0095692E">
        <w:rPr>
          <w:rFonts w:ascii="Verdana" w:hAnsi="Verdana"/>
          <w:i/>
          <w:iCs/>
          <w:sz w:val="20"/>
          <w:szCs w:val="20"/>
        </w:rPr>
        <w:t>ne bis in idem</w:t>
      </w:r>
      <w:r w:rsidRPr="0095692E">
        <w:rPr>
          <w:rFonts w:ascii="Verdana" w:hAnsi="Verdana"/>
          <w:sz w:val="20"/>
          <w:szCs w:val="20"/>
        </w:rPr>
        <w:t xml:space="preserve"> o cualquier eximente similar de responsabilidad, para excusarse de su obligación</w:t>
      </w:r>
      <w:r w:rsidRPr="0095692E">
        <w:rPr>
          <w:rStyle w:val="Refdenotaalpie"/>
          <w:rFonts w:ascii="Verdana" w:hAnsi="Verdana"/>
          <w:sz w:val="20"/>
          <w:szCs w:val="20"/>
        </w:rPr>
        <w:footnoteReference w:id="89"/>
      </w:r>
      <w:r w:rsidRPr="0095692E">
        <w:rPr>
          <w:rFonts w:ascii="Verdana" w:hAnsi="Verdana"/>
          <w:sz w:val="20"/>
          <w:szCs w:val="20"/>
        </w:rPr>
        <w:t>, y remover todos los obstáculos</w:t>
      </w:r>
      <w:r w:rsidRPr="0095692E">
        <w:rPr>
          <w:rStyle w:val="Refdenotaalpie"/>
          <w:rFonts w:ascii="Verdana" w:hAnsi="Verdana"/>
          <w:sz w:val="20"/>
          <w:szCs w:val="20"/>
        </w:rPr>
        <w:footnoteReference w:id="90"/>
      </w:r>
      <w:r w:rsidRPr="0095692E">
        <w:rPr>
          <w:rFonts w:ascii="Verdana" w:hAnsi="Verdana"/>
          <w:sz w:val="20"/>
          <w:szCs w:val="20"/>
        </w:rPr>
        <w:t xml:space="preserve"> y mecanismos de hecho y derecho que mantienen la impunidad</w:t>
      </w:r>
      <w:r w:rsidRPr="0095692E">
        <w:rPr>
          <w:rStyle w:val="Refdenotaalpie"/>
          <w:rFonts w:ascii="Verdana" w:hAnsi="Verdana"/>
          <w:sz w:val="20"/>
          <w:szCs w:val="20"/>
        </w:rPr>
        <w:footnoteReference w:id="91"/>
      </w:r>
      <w:r w:rsidRPr="0095692E">
        <w:rPr>
          <w:rFonts w:ascii="Verdana" w:hAnsi="Verdana"/>
          <w:sz w:val="20"/>
          <w:szCs w:val="20"/>
        </w:rPr>
        <w:t>.</w:t>
      </w:r>
    </w:p>
    <w:p w14:paraId="3D0A8F14" w14:textId="77777777" w:rsidR="00FF277B" w:rsidRPr="0095692E" w:rsidRDefault="00FF277B" w:rsidP="00FF277B">
      <w:pPr>
        <w:rPr>
          <w:rFonts w:ascii="Verdana" w:hAnsi="Verdana"/>
        </w:rPr>
      </w:pPr>
    </w:p>
    <w:p w14:paraId="591FC942" w14:textId="77777777" w:rsidR="00FF277B" w:rsidRPr="0095692E" w:rsidRDefault="00FF277B" w:rsidP="00E24BE7">
      <w:pPr>
        <w:pStyle w:val="Ttulo2"/>
        <w:keepNext/>
        <w:keepLines/>
        <w:widowControl w:val="0"/>
        <w:numPr>
          <w:ilvl w:val="0"/>
          <w:numId w:val="51"/>
        </w:numPr>
        <w:pBdr>
          <w:top w:val="none" w:sz="0" w:space="0" w:color="auto"/>
        </w:pBdr>
        <w:adjustRightInd w:val="0"/>
        <w:ind w:left="990"/>
        <w:textAlignment w:val="baseline"/>
        <w:rPr>
          <w:lang w:val="es-CR"/>
        </w:rPr>
      </w:pPr>
      <w:bookmarkStart w:id="48" w:name="_Toc115262490"/>
      <w:r w:rsidRPr="0095692E">
        <w:rPr>
          <w:lang w:val="es-CR"/>
        </w:rPr>
        <w:t>Medida de restitución</w:t>
      </w:r>
      <w:bookmarkEnd w:id="48"/>
      <w:r w:rsidRPr="0095692E">
        <w:rPr>
          <w:lang w:val="es-CR"/>
        </w:rPr>
        <w:t xml:space="preserve"> </w:t>
      </w:r>
    </w:p>
    <w:p w14:paraId="35A2FE24" w14:textId="77777777" w:rsidR="009873BD" w:rsidRPr="0095692E" w:rsidRDefault="009873BD" w:rsidP="009873BD">
      <w:pPr>
        <w:pStyle w:val="Prrafodelista"/>
        <w:spacing w:after="0" w:line="240" w:lineRule="auto"/>
        <w:ind w:left="0"/>
        <w:contextualSpacing w:val="0"/>
        <w:jc w:val="both"/>
        <w:rPr>
          <w:rFonts w:ascii="Verdana" w:hAnsi="Verdana"/>
          <w:bCs/>
          <w:sz w:val="20"/>
          <w:szCs w:val="20"/>
        </w:rPr>
      </w:pPr>
    </w:p>
    <w:p w14:paraId="3378BE65" w14:textId="2337FAF3"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 xml:space="preserve">A la luz de las medidas de reparación solicitadas por la </w:t>
      </w:r>
      <w:r w:rsidRPr="0095692E">
        <w:rPr>
          <w:rFonts w:ascii="Verdana" w:hAnsi="Verdana"/>
          <w:b/>
          <w:bCs/>
          <w:sz w:val="20"/>
          <w:szCs w:val="20"/>
        </w:rPr>
        <w:t>Comisión</w:t>
      </w:r>
      <w:r w:rsidRPr="0095692E">
        <w:rPr>
          <w:rFonts w:ascii="Verdana" w:hAnsi="Verdana"/>
          <w:sz w:val="20"/>
          <w:szCs w:val="20"/>
        </w:rPr>
        <w:t xml:space="preserve"> y los </w:t>
      </w:r>
      <w:r w:rsidRPr="0095692E">
        <w:rPr>
          <w:rFonts w:ascii="Verdana" w:hAnsi="Verdana"/>
          <w:b/>
          <w:bCs/>
          <w:i/>
          <w:iCs/>
          <w:sz w:val="20"/>
          <w:szCs w:val="20"/>
        </w:rPr>
        <w:t>representantes</w:t>
      </w:r>
      <w:r w:rsidRPr="0095692E">
        <w:rPr>
          <w:rFonts w:ascii="Verdana" w:hAnsi="Verdana"/>
          <w:sz w:val="20"/>
          <w:szCs w:val="20"/>
        </w:rPr>
        <w:t xml:space="preserve">, el </w:t>
      </w:r>
      <w:r w:rsidRPr="0095692E">
        <w:rPr>
          <w:rFonts w:ascii="Verdana" w:hAnsi="Verdana"/>
          <w:b/>
          <w:bCs/>
          <w:i/>
          <w:iCs/>
          <w:sz w:val="20"/>
          <w:szCs w:val="20"/>
        </w:rPr>
        <w:t>Estado</w:t>
      </w:r>
      <w:r w:rsidRPr="0095692E">
        <w:rPr>
          <w:rFonts w:ascii="Verdana" w:hAnsi="Verdana"/>
          <w:sz w:val="20"/>
          <w:szCs w:val="20"/>
        </w:rPr>
        <w:t>, en su escrito de allanamiento, se comprometió:</w:t>
      </w:r>
    </w:p>
    <w:p w14:paraId="3A2D053B"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6C2E686C" w14:textId="77777777" w:rsidR="00FF277B" w:rsidRPr="0095692E" w:rsidRDefault="00FF277B" w:rsidP="003E0B23">
      <w:pPr>
        <w:pStyle w:val="Prrafodelista"/>
        <w:ind w:left="1080" w:right="918"/>
        <w:jc w:val="both"/>
        <w:rPr>
          <w:rFonts w:ascii="Verdana" w:hAnsi="Verdana"/>
          <w:sz w:val="16"/>
          <w:szCs w:val="16"/>
        </w:rPr>
      </w:pPr>
      <w:r w:rsidRPr="0095692E">
        <w:rPr>
          <w:rFonts w:ascii="Verdana" w:hAnsi="Verdana"/>
          <w:sz w:val="16"/>
          <w:szCs w:val="16"/>
        </w:rPr>
        <w:t>al cierre inmediato del expediente policial abierto en contra de la Sra. Otilia Flores Ortiz y Elba Flores Ortiz, del 26 de noviembre de 1981, asimismo, el cierre de los expedientes policiales y judiciales levantado contra los familiares del Sr. Deras García, del 08 de junio de 1984. Se compromete, asimismo, anunciar públicamente el cierre de estos en las páginas oficiales del Poder Judicial, Secretaría de Relaciones Exteriores y Cooperación Internacional, Procuraduría General de la República, Secretaría de Defensa Nacional, Secretaría de Seguridad, Ministerio Público y la Secretaría de Derechos Humanos.</w:t>
      </w:r>
    </w:p>
    <w:p w14:paraId="4B68D5B8" w14:textId="77777777" w:rsidR="00FF277B" w:rsidRPr="0095692E" w:rsidRDefault="00FF277B" w:rsidP="00FF277B">
      <w:pPr>
        <w:pStyle w:val="Prrafodelista"/>
        <w:spacing w:after="0" w:line="240" w:lineRule="auto"/>
        <w:ind w:left="0"/>
        <w:contextualSpacing w:val="0"/>
        <w:jc w:val="both"/>
        <w:rPr>
          <w:rFonts w:ascii="Verdana" w:hAnsi="Verdana"/>
          <w:bCs/>
          <w:sz w:val="20"/>
          <w:szCs w:val="20"/>
        </w:rPr>
      </w:pPr>
    </w:p>
    <w:p w14:paraId="23FAFF6F" w14:textId="2C7BAD53" w:rsidR="00FF277B" w:rsidRPr="0095692E" w:rsidRDefault="00FF277B" w:rsidP="00B131BC">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bCs/>
          <w:sz w:val="20"/>
          <w:szCs w:val="20"/>
        </w:rPr>
        <w:t xml:space="preserve">Teniendo lo anterior en cuenta, la </w:t>
      </w:r>
      <w:r w:rsidRPr="0095692E">
        <w:rPr>
          <w:rFonts w:ascii="Verdana" w:hAnsi="Verdana"/>
          <w:b/>
          <w:i/>
          <w:iCs/>
          <w:sz w:val="20"/>
          <w:szCs w:val="20"/>
        </w:rPr>
        <w:t>Corte</w:t>
      </w:r>
      <w:r w:rsidRPr="0095692E">
        <w:rPr>
          <w:rFonts w:ascii="Verdana" w:hAnsi="Verdana"/>
          <w:bCs/>
          <w:sz w:val="20"/>
          <w:szCs w:val="20"/>
        </w:rPr>
        <w:t xml:space="preserve"> estima pertinente ordenar al Estado, en el plazo de 3 meses, c</w:t>
      </w:r>
      <w:r w:rsidRPr="0095692E">
        <w:rPr>
          <w:rFonts w:ascii="Verdana" w:eastAsiaTheme="minorEastAsia" w:hAnsi="Verdana" w:cs="Cambria"/>
          <w:sz w:val="20"/>
          <w:szCs w:val="20"/>
          <w:lang w:eastAsia="es-CR"/>
        </w:rPr>
        <w:t xml:space="preserve">errar, de manera definitiva, el expediente policial abierto en contra de las señoras Otilia Flores Ortiz y Elba Flores Ortiz de 26 de noviembre de 1981, así como los expedientes policiales y judiciales levantados contra los familiares del señor </w:t>
      </w:r>
      <w:r w:rsidRPr="0095692E">
        <w:rPr>
          <w:rFonts w:ascii="Verdana" w:eastAsiaTheme="minorEastAsia" w:hAnsi="Verdana" w:cs="Cambria"/>
          <w:sz w:val="20"/>
          <w:szCs w:val="20"/>
          <w:lang w:eastAsia="es-CR"/>
        </w:rPr>
        <w:lastRenderedPageBreak/>
        <w:t>Herminio Deras García de 8 de junio de 1984</w:t>
      </w:r>
      <w:r w:rsidRPr="0095692E">
        <w:rPr>
          <w:rStyle w:val="Refdenotaalpie"/>
          <w:rFonts w:ascii="Verdana" w:eastAsiaTheme="minorEastAsia" w:hAnsi="Verdana" w:cs="Cambria"/>
          <w:sz w:val="20"/>
          <w:szCs w:val="20"/>
          <w:lang w:eastAsia="es-CR"/>
        </w:rPr>
        <w:footnoteReference w:id="92"/>
      </w:r>
      <w:r w:rsidRPr="0095692E">
        <w:rPr>
          <w:rFonts w:ascii="Verdana" w:eastAsiaTheme="minorEastAsia" w:hAnsi="Verdana" w:cs="Cambria"/>
          <w:sz w:val="20"/>
          <w:szCs w:val="20"/>
          <w:lang w:eastAsia="es-CR"/>
        </w:rPr>
        <w:t xml:space="preserve">. </w:t>
      </w:r>
      <w:r w:rsidRPr="0095692E">
        <w:rPr>
          <w:rFonts w:ascii="Verdana" w:hAnsi="Verdana"/>
          <w:sz w:val="20"/>
          <w:szCs w:val="20"/>
        </w:rPr>
        <w:t xml:space="preserve">En congruencia con lo anterior, la Corte estima necesario ordenar que, </w:t>
      </w:r>
      <w:r w:rsidR="008B60F4" w:rsidRPr="0095692E">
        <w:rPr>
          <w:rFonts w:ascii="Verdana" w:hAnsi="Verdana"/>
          <w:sz w:val="20"/>
          <w:szCs w:val="20"/>
        </w:rPr>
        <w:t xml:space="preserve">en </w:t>
      </w:r>
      <w:r w:rsidRPr="0095692E">
        <w:rPr>
          <w:rFonts w:ascii="Verdana" w:hAnsi="Verdana"/>
          <w:sz w:val="20"/>
          <w:szCs w:val="20"/>
        </w:rPr>
        <w:t>el plazo de 6 meses, el Estado suprima los antecedentes judiciales, administrativos, penales o policiales que puedan existir en contra de las víctimas, como consecuencia de los referidos expedientes y que se hagan las comunicaciones a las autoridades correspondientes</w:t>
      </w:r>
      <w:r w:rsidRPr="0095692E">
        <w:rPr>
          <w:rStyle w:val="Refdenotaalpie"/>
          <w:rFonts w:ascii="Verdana" w:hAnsi="Verdana"/>
          <w:sz w:val="20"/>
          <w:szCs w:val="20"/>
        </w:rPr>
        <w:footnoteReference w:id="93"/>
      </w:r>
      <w:r w:rsidRPr="0095692E">
        <w:rPr>
          <w:rFonts w:ascii="Verdana" w:hAnsi="Verdana"/>
          <w:sz w:val="20"/>
          <w:szCs w:val="20"/>
        </w:rPr>
        <w:t>.</w:t>
      </w:r>
      <w:r w:rsidR="009873BD" w:rsidRPr="0095692E">
        <w:rPr>
          <w:rFonts w:ascii="Verdana" w:hAnsi="Verdana"/>
          <w:sz w:val="20"/>
          <w:szCs w:val="20"/>
        </w:rPr>
        <w:t xml:space="preserve"> </w:t>
      </w:r>
      <w:r w:rsidRPr="0095692E">
        <w:rPr>
          <w:rFonts w:ascii="Verdana" w:eastAsiaTheme="minorEastAsia" w:hAnsi="Verdana" w:cs="Cambria"/>
          <w:sz w:val="20"/>
          <w:szCs w:val="20"/>
          <w:lang w:eastAsia="es-CR"/>
        </w:rPr>
        <w:t xml:space="preserve">Además, deberá anunciar públicamente el cierre de los referidos expedientes en los sitios </w:t>
      </w:r>
      <w:r w:rsidRPr="0095692E">
        <w:rPr>
          <w:rFonts w:ascii="Verdana" w:eastAsiaTheme="minorEastAsia" w:hAnsi="Verdana" w:cs="Cambria"/>
          <w:i/>
          <w:iCs/>
          <w:sz w:val="20"/>
          <w:szCs w:val="20"/>
          <w:lang w:eastAsia="es-CR"/>
        </w:rPr>
        <w:t>web</w:t>
      </w:r>
      <w:r w:rsidRPr="0095692E">
        <w:rPr>
          <w:rFonts w:ascii="Verdana" w:eastAsiaTheme="minorEastAsia" w:hAnsi="Verdana" w:cs="Cambria"/>
          <w:sz w:val="20"/>
          <w:szCs w:val="20"/>
          <w:lang w:eastAsia="es-CR"/>
        </w:rPr>
        <w:t xml:space="preserve"> oficiales del Poder Judicial, de</w:t>
      </w:r>
      <w:r w:rsidR="00FE67A2" w:rsidRPr="0095692E">
        <w:rPr>
          <w:rFonts w:ascii="Verdana" w:eastAsiaTheme="minorEastAsia" w:hAnsi="Verdana" w:cs="Cambria"/>
          <w:sz w:val="20"/>
          <w:szCs w:val="20"/>
          <w:lang w:eastAsia="es-CR"/>
        </w:rPr>
        <w:t xml:space="preserve"> </w:t>
      </w:r>
      <w:r w:rsidRPr="0095692E">
        <w:rPr>
          <w:rFonts w:ascii="Verdana" w:eastAsiaTheme="minorEastAsia" w:hAnsi="Verdana" w:cs="Cambria"/>
          <w:sz w:val="20"/>
          <w:szCs w:val="20"/>
          <w:lang w:eastAsia="es-CR"/>
        </w:rPr>
        <w:t>l</w:t>
      </w:r>
      <w:r w:rsidR="00FE67A2" w:rsidRPr="0095692E">
        <w:rPr>
          <w:rFonts w:ascii="Verdana" w:eastAsiaTheme="minorEastAsia" w:hAnsi="Verdana" w:cs="Cambria"/>
          <w:sz w:val="20"/>
          <w:szCs w:val="20"/>
          <w:lang w:eastAsia="es-CR"/>
        </w:rPr>
        <w:t>a</w:t>
      </w:r>
      <w:r w:rsidRPr="0095692E">
        <w:rPr>
          <w:rFonts w:ascii="Verdana" w:eastAsiaTheme="minorEastAsia" w:hAnsi="Verdana" w:cs="Cambria"/>
          <w:sz w:val="20"/>
          <w:szCs w:val="20"/>
          <w:lang w:eastAsia="es-CR"/>
        </w:rPr>
        <w:t xml:space="preserve"> </w:t>
      </w:r>
      <w:r w:rsidR="00FE67A2" w:rsidRPr="0095692E">
        <w:rPr>
          <w:rFonts w:ascii="Verdana" w:eastAsiaTheme="minorEastAsia" w:hAnsi="Verdana" w:cs="Cambria"/>
          <w:sz w:val="20"/>
          <w:szCs w:val="20"/>
          <w:lang w:eastAsia="es-CR"/>
        </w:rPr>
        <w:t>Secretaría de Relaciones Exteriores y Cooperación Internacional,</w:t>
      </w:r>
      <w:r w:rsidRPr="0095692E">
        <w:rPr>
          <w:rFonts w:ascii="Verdana" w:eastAsiaTheme="minorEastAsia" w:hAnsi="Verdana" w:cs="Cambria"/>
          <w:sz w:val="20"/>
          <w:szCs w:val="20"/>
          <w:lang w:eastAsia="es-CR"/>
        </w:rPr>
        <w:t xml:space="preserve"> el de la Procuraduría General de la República</w:t>
      </w:r>
      <w:r w:rsidR="00FE67A2" w:rsidRPr="0095692E">
        <w:rPr>
          <w:rFonts w:ascii="Verdana" w:eastAsiaTheme="minorEastAsia" w:hAnsi="Verdana" w:cs="Cambria"/>
          <w:sz w:val="20"/>
          <w:szCs w:val="20"/>
          <w:lang w:eastAsia="es-CR"/>
        </w:rPr>
        <w:t>, de la Secretaría de Seguridad, del Ministerio Público y de la Secretaría de Derechos Humanos</w:t>
      </w:r>
      <w:r w:rsidRPr="0095692E">
        <w:rPr>
          <w:rFonts w:ascii="Verdana" w:eastAsiaTheme="minorEastAsia" w:hAnsi="Verdana" w:cs="Cambria"/>
          <w:sz w:val="20"/>
          <w:szCs w:val="20"/>
          <w:lang w:eastAsia="es-CR"/>
        </w:rPr>
        <w:t>.</w:t>
      </w:r>
      <w:r w:rsidRPr="0095692E">
        <w:rPr>
          <w:rFonts w:ascii="Verdana" w:hAnsi="Verdana"/>
          <w:b/>
          <w:sz w:val="20"/>
          <w:szCs w:val="20"/>
        </w:rPr>
        <w:t xml:space="preserve"> </w:t>
      </w:r>
    </w:p>
    <w:p w14:paraId="6F261D5D" w14:textId="77777777" w:rsidR="00FF277B" w:rsidRPr="0095692E" w:rsidRDefault="00FF277B" w:rsidP="00FF277B">
      <w:pPr>
        <w:rPr>
          <w:rFonts w:ascii="Verdana" w:hAnsi="Verdana"/>
        </w:rPr>
      </w:pPr>
    </w:p>
    <w:p w14:paraId="24416309" w14:textId="77777777" w:rsidR="00FF277B" w:rsidRPr="0095692E" w:rsidRDefault="00FF277B" w:rsidP="007462BD">
      <w:pPr>
        <w:pStyle w:val="Ttulo2"/>
        <w:keepNext/>
        <w:keepLines/>
        <w:widowControl w:val="0"/>
        <w:numPr>
          <w:ilvl w:val="0"/>
          <w:numId w:val="53"/>
        </w:numPr>
        <w:pBdr>
          <w:top w:val="none" w:sz="0" w:space="0" w:color="auto"/>
        </w:pBdr>
        <w:adjustRightInd w:val="0"/>
        <w:ind w:left="990"/>
        <w:textAlignment w:val="baseline"/>
        <w:rPr>
          <w:lang w:val="es-CR"/>
        </w:rPr>
      </w:pPr>
      <w:bookmarkStart w:id="49" w:name="_Toc115262491"/>
      <w:r w:rsidRPr="0095692E">
        <w:rPr>
          <w:lang w:val="es-CR"/>
        </w:rPr>
        <w:t>Medidas de rehabilitación</w:t>
      </w:r>
      <w:bookmarkEnd w:id="49"/>
      <w:r w:rsidRPr="0095692E">
        <w:rPr>
          <w:lang w:val="es-CR"/>
        </w:rPr>
        <w:t xml:space="preserve"> </w:t>
      </w:r>
    </w:p>
    <w:p w14:paraId="22C0E24C" w14:textId="77777777" w:rsidR="00FF277B" w:rsidRPr="0095692E" w:rsidRDefault="00FF277B" w:rsidP="00FF277B">
      <w:pPr>
        <w:rPr>
          <w:rFonts w:ascii="Verdana" w:hAnsi="Verdana"/>
          <w:bCs/>
          <w:sz w:val="20"/>
          <w:szCs w:val="20"/>
        </w:rPr>
      </w:pPr>
    </w:p>
    <w:p w14:paraId="5CB64910" w14:textId="15BD3C2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 xml:space="preserve">A la luz de las medidas de reparación solicitadas por la </w:t>
      </w:r>
      <w:r w:rsidRPr="0095692E">
        <w:rPr>
          <w:rFonts w:ascii="Verdana" w:hAnsi="Verdana"/>
          <w:b/>
          <w:bCs/>
          <w:i/>
          <w:iCs/>
          <w:sz w:val="20"/>
          <w:szCs w:val="20"/>
        </w:rPr>
        <w:t>Comisión</w:t>
      </w:r>
      <w:r w:rsidRPr="0095692E">
        <w:rPr>
          <w:rFonts w:ascii="Verdana" w:hAnsi="Verdana"/>
          <w:sz w:val="20"/>
          <w:szCs w:val="20"/>
        </w:rPr>
        <w:t xml:space="preserve"> y los </w:t>
      </w:r>
      <w:r w:rsidRPr="0095692E">
        <w:rPr>
          <w:rFonts w:ascii="Verdana" w:hAnsi="Verdana"/>
          <w:b/>
          <w:bCs/>
          <w:i/>
          <w:iCs/>
          <w:sz w:val="20"/>
          <w:szCs w:val="20"/>
        </w:rPr>
        <w:t>representantes</w:t>
      </w:r>
      <w:r w:rsidRPr="0095692E">
        <w:rPr>
          <w:rFonts w:ascii="Verdana" w:hAnsi="Verdana"/>
          <w:sz w:val="20"/>
          <w:szCs w:val="20"/>
        </w:rPr>
        <w:t xml:space="preserve">, el </w:t>
      </w:r>
      <w:r w:rsidRPr="0095692E">
        <w:rPr>
          <w:rFonts w:ascii="Verdana" w:hAnsi="Verdana"/>
          <w:b/>
          <w:bCs/>
          <w:i/>
          <w:iCs/>
          <w:sz w:val="20"/>
          <w:szCs w:val="20"/>
        </w:rPr>
        <w:t>Estado</w:t>
      </w:r>
      <w:r w:rsidRPr="0095692E">
        <w:rPr>
          <w:rFonts w:ascii="Verdana" w:hAnsi="Verdana"/>
          <w:sz w:val="20"/>
          <w:szCs w:val="20"/>
        </w:rPr>
        <w:t>, en su escrito de allanamiento:</w:t>
      </w:r>
    </w:p>
    <w:p w14:paraId="581DC147"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088CB22A" w14:textId="77777777" w:rsidR="00FF277B" w:rsidRPr="0095692E" w:rsidRDefault="00FF277B" w:rsidP="007462BD">
      <w:pPr>
        <w:ind w:left="1080" w:right="918"/>
        <w:jc w:val="both"/>
        <w:rPr>
          <w:rFonts w:ascii="Verdana" w:hAnsi="Verdana"/>
          <w:sz w:val="16"/>
          <w:szCs w:val="16"/>
        </w:rPr>
      </w:pPr>
      <w:r w:rsidRPr="0095692E">
        <w:rPr>
          <w:rFonts w:ascii="Verdana" w:hAnsi="Verdana"/>
          <w:sz w:val="16"/>
          <w:szCs w:val="16"/>
        </w:rPr>
        <w:t>a través de sus instituciones públicas de salud especializadas, se compromete a brindar atención médica física y psicológica de forma gratuita e inmediata a los familiares del Sr. Deras García detallados en la cláusula quinta del presente documento, las cuales se realizarán con el consentimiento y consenso de los familiares y representantes, debiendo desarrollar una evaluación psicológica, psiquiátrica y física, para que la misma se ejecute de conformidad a los padecimientos específicos de cada una de las víctimas, por el tiempo que sea necesario y brindando los suministros gratuitos de medicamentos que requieran.</w:t>
      </w:r>
    </w:p>
    <w:p w14:paraId="189BA1EB" w14:textId="77777777" w:rsidR="00FF277B" w:rsidRPr="0095692E" w:rsidRDefault="00FF277B" w:rsidP="00FF277B">
      <w:pPr>
        <w:ind w:left="540" w:right="378"/>
        <w:rPr>
          <w:rFonts w:ascii="Verdana" w:hAnsi="Verdana"/>
          <w:bCs/>
          <w:sz w:val="20"/>
          <w:szCs w:val="20"/>
        </w:rPr>
      </w:pPr>
    </w:p>
    <w:p w14:paraId="259F71BD" w14:textId="6F421C1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cs="Arial"/>
          <w:sz w:val="20"/>
          <w:szCs w:val="20"/>
        </w:rPr>
        <w:t xml:space="preserve">De ese modo, este </w:t>
      </w:r>
      <w:r w:rsidRPr="0095692E">
        <w:rPr>
          <w:rFonts w:ascii="Verdana" w:hAnsi="Verdana" w:cs="Arial"/>
          <w:b/>
          <w:bCs/>
          <w:i/>
          <w:iCs/>
          <w:sz w:val="20"/>
          <w:szCs w:val="20"/>
        </w:rPr>
        <w:t>Tribunal</w:t>
      </w:r>
      <w:r w:rsidRPr="0095692E">
        <w:rPr>
          <w:rFonts w:ascii="Verdana" w:hAnsi="Verdana" w:cs="Arial"/>
          <w:sz w:val="20"/>
          <w:szCs w:val="20"/>
        </w:rPr>
        <w:t xml:space="preserve"> dispone que el Estado deberá</w:t>
      </w:r>
      <w:r w:rsidRPr="0095692E">
        <w:rPr>
          <w:rFonts w:ascii="Verdana" w:hAnsi="Verdana"/>
          <w:sz w:val="20"/>
          <w:szCs w:val="20"/>
        </w:rPr>
        <w:t xml:space="preserve"> brindar tratamiento médico y psicológico y/o psiquiátrico gratuito, de forma inmediata, adecuada y efectiva a través de sus instituciones de salud especializadas a las víctimas identificadas en la presente Sentencia y que así lo requieran, e incluir el suministro de los medicamentos que eventualmente necesiten. Al proveer los tratamientos deberán considerarse las circunstancias y necesidades particulares de cada víctima, según lo que se acuerde con ella y después de una evaluación individual</w:t>
      </w:r>
      <w:r w:rsidRPr="0095692E">
        <w:rPr>
          <w:rStyle w:val="Refdenotaalpie"/>
          <w:rFonts w:ascii="Verdana" w:hAnsi="Verdana"/>
          <w:sz w:val="20"/>
          <w:szCs w:val="20"/>
        </w:rPr>
        <w:footnoteReference w:id="94"/>
      </w:r>
      <w:r w:rsidRPr="0095692E">
        <w:rPr>
          <w:rFonts w:ascii="Verdana" w:hAnsi="Verdana"/>
          <w:sz w:val="20"/>
          <w:szCs w:val="20"/>
        </w:rPr>
        <w:t>. Además, conforme ha sido criterio de esta Corte, los tratamientos respectivos deberán prestarse, en la medida de lo posible, en los centros más cercanos a sus lugares de residencia por el tiempo que sea necesario</w:t>
      </w:r>
      <w:r w:rsidR="000B3DE9" w:rsidRPr="0095692E">
        <w:rPr>
          <w:rStyle w:val="Refdenotaalpie"/>
          <w:rFonts w:ascii="Verdana" w:hAnsi="Verdana"/>
          <w:sz w:val="20"/>
          <w:szCs w:val="20"/>
        </w:rPr>
        <w:footnoteReference w:id="95"/>
      </w:r>
      <w:r w:rsidRPr="0095692E">
        <w:rPr>
          <w:rFonts w:ascii="Verdana" w:hAnsi="Verdana"/>
          <w:sz w:val="20"/>
          <w:szCs w:val="20"/>
        </w:rPr>
        <w:t xml:space="preserve">. De no contar con centros de atención cercanos se deberán sufragar los gastos relativos al transporte y alimentación. Para tal efecto, las víctimas disponen de un plazo de 18 </w:t>
      </w:r>
      <w:r w:rsidRPr="0095692E">
        <w:rPr>
          <w:rFonts w:ascii="Verdana" w:hAnsi="Verdana"/>
          <w:sz w:val="20"/>
          <w:szCs w:val="20"/>
        </w:rPr>
        <w:lastRenderedPageBreak/>
        <w:t>meses, contado a partir de la notificación de la presente Sentencia, para requerir al Estado dicho tratamiento</w:t>
      </w:r>
      <w:r w:rsidRPr="0095692E">
        <w:rPr>
          <w:rStyle w:val="Refdenotaalpie"/>
          <w:rFonts w:ascii="Verdana" w:hAnsi="Verdana"/>
          <w:sz w:val="20"/>
          <w:szCs w:val="20"/>
        </w:rPr>
        <w:footnoteReference w:id="96"/>
      </w:r>
      <w:r w:rsidRPr="0095692E">
        <w:rPr>
          <w:rFonts w:ascii="Verdana" w:hAnsi="Verdana"/>
          <w:sz w:val="20"/>
          <w:szCs w:val="20"/>
        </w:rPr>
        <w:t>.</w:t>
      </w:r>
    </w:p>
    <w:p w14:paraId="70DB306E" w14:textId="329459D1" w:rsidR="00FF277B" w:rsidRPr="0095692E" w:rsidRDefault="00FF277B" w:rsidP="00FF277B">
      <w:pPr>
        <w:rPr>
          <w:rFonts w:ascii="Verdana" w:hAnsi="Verdana"/>
        </w:rPr>
      </w:pPr>
    </w:p>
    <w:p w14:paraId="23DDE4D3" w14:textId="77777777" w:rsidR="00FF277B" w:rsidRPr="0095692E" w:rsidRDefault="00FF277B" w:rsidP="00020172">
      <w:pPr>
        <w:pStyle w:val="Ttulo2"/>
        <w:keepNext/>
        <w:keepLines/>
        <w:widowControl w:val="0"/>
        <w:numPr>
          <w:ilvl w:val="0"/>
          <w:numId w:val="55"/>
        </w:numPr>
        <w:pBdr>
          <w:top w:val="none" w:sz="0" w:space="0" w:color="auto"/>
        </w:pBdr>
        <w:adjustRightInd w:val="0"/>
        <w:ind w:left="990"/>
        <w:textAlignment w:val="baseline"/>
        <w:rPr>
          <w:lang w:val="es-CR"/>
        </w:rPr>
      </w:pPr>
      <w:bookmarkStart w:id="50" w:name="_Toc115262492"/>
      <w:r w:rsidRPr="0095692E">
        <w:rPr>
          <w:lang w:val="es-CR"/>
        </w:rPr>
        <w:t>Medidas de satisfacción</w:t>
      </w:r>
      <w:bookmarkEnd w:id="50"/>
    </w:p>
    <w:p w14:paraId="12A025AE" w14:textId="77777777" w:rsidR="00FF277B" w:rsidRPr="0095692E" w:rsidRDefault="00FF277B" w:rsidP="00FF277B">
      <w:pPr>
        <w:tabs>
          <w:tab w:val="left" w:pos="1555"/>
        </w:tabs>
        <w:jc w:val="both"/>
        <w:rPr>
          <w:rFonts w:ascii="Verdana" w:hAnsi="Verdana" w:cs="Arial"/>
          <w:bCs/>
          <w:sz w:val="20"/>
          <w:szCs w:val="20"/>
          <w:shd w:val="clear" w:color="auto" w:fill="FFFFFF"/>
        </w:rPr>
      </w:pPr>
    </w:p>
    <w:p w14:paraId="24D25270"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 xml:space="preserve">A la luz de las medidas de reparación solicitadas por la </w:t>
      </w:r>
      <w:r w:rsidRPr="0095692E">
        <w:rPr>
          <w:rFonts w:ascii="Verdana" w:hAnsi="Verdana"/>
          <w:b/>
          <w:bCs/>
          <w:i/>
          <w:iCs/>
          <w:sz w:val="20"/>
          <w:szCs w:val="20"/>
        </w:rPr>
        <w:t>Comisión</w:t>
      </w:r>
      <w:r w:rsidRPr="0095692E">
        <w:rPr>
          <w:rFonts w:ascii="Verdana" w:hAnsi="Verdana"/>
          <w:sz w:val="20"/>
          <w:szCs w:val="20"/>
        </w:rPr>
        <w:t xml:space="preserve"> y los </w:t>
      </w:r>
      <w:r w:rsidRPr="0095692E">
        <w:rPr>
          <w:rFonts w:ascii="Verdana" w:hAnsi="Verdana"/>
          <w:b/>
          <w:bCs/>
          <w:i/>
          <w:iCs/>
          <w:sz w:val="20"/>
          <w:szCs w:val="20"/>
        </w:rPr>
        <w:t>representantes</w:t>
      </w:r>
      <w:r w:rsidRPr="0095692E">
        <w:rPr>
          <w:rFonts w:ascii="Verdana" w:hAnsi="Verdana"/>
          <w:sz w:val="20"/>
          <w:szCs w:val="20"/>
        </w:rPr>
        <w:t xml:space="preserve">, el </w:t>
      </w:r>
      <w:r w:rsidRPr="0095692E">
        <w:rPr>
          <w:rFonts w:ascii="Verdana" w:hAnsi="Verdana"/>
          <w:b/>
          <w:bCs/>
          <w:i/>
          <w:iCs/>
          <w:sz w:val="20"/>
          <w:szCs w:val="20"/>
        </w:rPr>
        <w:t>Estado</w:t>
      </w:r>
      <w:r w:rsidRPr="0095692E">
        <w:rPr>
          <w:rFonts w:ascii="Verdana" w:hAnsi="Verdana"/>
          <w:sz w:val="20"/>
          <w:szCs w:val="20"/>
        </w:rPr>
        <w:t>, en su escrito de allanamiento, se comprometió:</w:t>
      </w:r>
    </w:p>
    <w:p w14:paraId="33B15E71"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3680E107" w14:textId="77777777" w:rsidR="00FF277B" w:rsidRPr="0095692E" w:rsidRDefault="00FF277B" w:rsidP="00020172">
      <w:pPr>
        <w:ind w:left="1080" w:right="918"/>
        <w:jc w:val="both"/>
        <w:rPr>
          <w:rFonts w:ascii="Verdana" w:hAnsi="Verdana" w:cs="Arial"/>
          <w:bCs/>
          <w:sz w:val="16"/>
          <w:szCs w:val="16"/>
          <w:shd w:val="clear" w:color="auto" w:fill="FFFFFF"/>
        </w:rPr>
      </w:pPr>
      <w:r w:rsidRPr="0095692E">
        <w:rPr>
          <w:rFonts w:ascii="Verdana" w:hAnsi="Verdana" w:cs="Arial"/>
          <w:bCs/>
          <w:sz w:val="16"/>
          <w:szCs w:val="16"/>
          <w:shd w:val="clear" w:color="auto" w:fill="FFFFFF"/>
        </w:rPr>
        <w:t>En un plazo de seis meses de emitido el resumen oficial de la sentencia por la Corte IDH, el Estado se compromete a publicarlo en el Diario Oficial "La Gaceta" y en al menos dos diarios de circulación nacional. Asimismo, en un plazo de seis meses, el Estado se compromete a que la sentencia en su integralidad sea colocada en las páginas web de las principales instituciones estatales relacionadas con los hechos del caso, tales como: Poder Judicial, Secretaría de Relaciones Exteriores y Cooperación Internacional, Procuraduría General de la República, Secretaría de Defensa Nacional, Secretaría de Seguridad, Ministerio Público y la Secretaría de Derechos Humanos; y mantenida en estos espacios por un período de un año.</w:t>
      </w:r>
    </w:p>
    <w:p w14:paraId="0945AA6E" w14:textId="77777777" w:rsidR="00FF277B" w:rsidRPr="0095692E" w:rsidRDefault="00FF277B" w:rsidP="00020172">
      <w:pPr>
        <w:ind w:left="1080" w:right="918"/>
        <w:jc w:val="both"/>
        <w:rPr>
          <w:rFonts w:ascii="Verdana" w:hAnsi="Verdana" w:cs="Arial"/>
          <w:bCs/>
          <w:sz w:val="16"/>
          <w:szCs w:val="16"/>
          <w:shd w:val="clear" w:color="auto" w:fill="FFFFFF"/>
        </w:rPr>
      </w:pPr>
      <w:r w:rsidRPr="0095692E">
        <w:rPr>
          <w:rFonts w:ascii="Verdana" w:hAnsi="Verdana" w:cs="Arial"/>
          <w:bCs/>
          <w:sz w:val="16"/>
          <w:szCs w:val="16"/>
          <w:shd w:val="clear" w:color="auto" w:fill="FFFFFF"/>
        </w:rPr>
        <w:t>[…]</w:t>
      </w:r>
    </w:p>
    <w:p w14:paraId="551A108A" w14:textId="7602B548" w:rsidR="00FF277B" w:rsidRPr="0095692E" w:rsidRDefault="00FF277B" w:rsidP="00BA24F8">
      <w:pPr>
        <w:ind w:left="1080" w:right="918"/>
        <w:jc w:val="both"/>
        <w:rPr>
          <w:rFonts w:ascii="Verdana" w:hAnsi="Verdana" w:cs="Arial"/>
          <w:bCs/>
          <w:sz w:val="16"/>
          <w:szCs w:val="16"/>
          <w:shd w:val="clear" w:color="auto" w:fill="FFFFFF"/>
        </w:rPr>
      </w:pPr>
      <w:r w:rsidRPr="0095692E">
        <w:rPr>
          <w:rFonts w:ascii="Verdana" w:hAnsi="Verdana" w:cs="Arial"/>
          <w:bCs/>
          <w:sz w:val="16"/>
          <w:szCs w:val="16"/>
          <w:shd w:val="clear" w:color="auto" w:fill="FFFFFF"/>
        </w:rPr>
        <w:t>Previo acuerdo con las víctimas y sus representantes, el Estado se compromete a que una vez emitida la sentencia, realizará con la participación de las máximas autoridades o sus representantes con jerarquía institucional, al menos de: la Corte Suprema de Justicia, Poder Ejecutivo, Procuraduría General de la República, Secretaría de Defensa Nacional, Ministerio Público y la Secretaría de Derechos Humanos, un acto público de reconocimiento de responsabilidad internacional y de desagravio a las víctimas de violación a derechos humanos del presente caso. En este acto público, el Estado manifestará, además, su compromiso d</w:t>
      </w:r>
      <w:r w:rsidR="00934A86" w:rsidRPr="0095692E">
        <w:rPr>
          <w:rFonts w:ascii="Verdana" w:hAnsi="Verdana" w:cs="Arial"/>
          <w:bCs/>
          <w:sz w:val="16"/>
          <w:szCs w:val="16"/>
          <w:shd w:val="clear" w:color="auto" w:fill="FFFFFF"/>
        </w:rPr>
        <w:t>e</w:t>
      </w:r>
      <w:r w:rsidRPr="0095692E">
        <w:rPr>
          <w:rFonts w:ascii="Verdana" w:hAnsi="Verdana" w:cs="Arial"/>
          <w:bCs/>
          <w:sz w:val="16"/>
          <w:szCs w:val="16"/>
          <w:shd w:val="clear" w:color="auto" w:fill="FFFFFF"/>
        </w:rPr>
        <w:t xml:space="preserve"> proteger y garantizar los derechos de los operadores de justicia, así como, de las y los defensores de derechos humanos. La fecha, lugar y forma del acto será acordada con las víctimas y sus representantes, a fin de garantizar su asistencia, debiendo sufragar el Estado con los gastos en que puedan incurrir, siendo convocadas las partes con antelación. Asimismo, las características específicas del acto y el contenido del mensaje que se verbalice durante el mismo deberán ser acordado con las víctimas y sus representantes. El Estado se compromete a garantizar que el acto sea transmitido a través del canal del Estado, Televisión Nacional de Honduras, así como, a través de una estación de radio con</w:t>
      </w:r>
      <w:r w:rsidR="00BA24F8" w:rsidRPr="0095692E">
        <w:rPr>
          <w:rFonts w:ascii="Verdana" w:hAnsi="Verdana" w:cs="Arial"/>
          <w:bCs/>
          <w:sz w:val="16"/>
          <w:szCs w:val="16"/>
          <w:shd w:val="clear" w:color="auto" w:fill="FFFFFF"/>
        </w:rPr>
        <w:t xml:space="preserve"> </w:t>
      </w:r>
      <w:r w:rsidRPr="0095692E">
        <w:rPr>
          <w:rFonts w:ascii="Verdana" w:hAnsi="Verdana" w:cs="Arial"/>
          <w:bCs/>
          <w:sz w:val="16"/>
          <w:szCs w:val="16"/>
          <w:shd w:val="clear" w:color="auto" w:fill="FFFFFF"/>
        </w:rPr>
        <w:t>cobertura nacional, en un horario de alta audiencia.</w:t>
      </w:r>
    </w:p>
    <w:p w14:paraId="63F96F93" w14:textId="77777777" w:rsidR="00FF277B" w:rsidRPr="0095692E" w:rsidRDefault="00FF277B" w:rsidP="00020172">
      <w:pPr>
        <w:ind w:left="1080" w:right="918"/>
        <w:jc w:val="both"/>
        <w:rPr>
          <w:rFonts w:ascii="Verdana" w:hAnsi="Verdana" w:cs="Arial"/>
          <w:bCs/>
          <w:sz w:val="16"/>
          <w:szCs w:val="16"/>
          <w:shd w:val="clear" w:color="auto" w:fill="FFFFFF"/>
        </w:rPr>
      </w:pPr>
      <w:r w:rsidRPr="0095692E">
        <w:rPr>
          <w:rFonts w:ascii="Verdana" w:hAnsi="Verdana" w:cs="Arial"/>
          <w:bCs/>
          <w:sz w:val="16"/>
          <w:szCs w:val="16"/>
          <w:shd w:val="clear" w:color="auto" w:fill="FFFFFF"/>
        </w:rPr>
        <w:t>[…]</w:t>
      </w:r>
    </w:p>
    <w:p w14:paraId="733A3463" w14:textId="2B5CD2B0" w:rsidR="00FF277B" w:rsidRPr="0095692E" w:rsidRDefault="00FF277B" w:rsidP="00020172">
      <w:pPr>
        <w:ind w:left="1080" w:right="918"/>
        <w:jc w:val="both"/>
        <w:rPr>
          <w:rFonts w:ascii="Verdana" w:hAnsi="Verdana" w:cs="Arial"/>
          <w:bCs/>
          <w:sz w:val="16"/>
          <w:szCs w:val="16"/>
          <w:shd w:val="clear" w:color="auto" w:fill="FFFFFF"/>
        </w:rPr>
      </w:pPr>
      <w:r w:rsidRPr="0095692E">
        <w:rPr>
          <w:rFonts w:ascii="Verdana" w:hAnsi="Verdana" w:cs="Arial"/>
          <w:bCs/>
          <w:sz w:val="16"/>
          <w:szCs w:val="16"/>
          <w:shd w:val="clear" w:color="auto" w:fill="FFFFFF"/>
        </w:rPr>
        <w:t xml:space="preserve">El Estado se compromete, que en memoria del Sr. Herminio Deras García, construirá un mausoleo en donde descansan sus restos, para su diseño se contará con el consentimiento de sus familiares y representantes. Su construcción estará a cargo de arquitectos o ingenieros civiles, pudiendo ser ejecutada por los pasantes de las carreras de arquitectura e ingeniería civil de la Universidad Nacional Autónoma de Honduras (UNAH), los gastos de estos los sufragará el Estado. Dicho acto se realizará en un plazo de dos años a partir de la notificación de la </w:t>
      </w:r>
      <w:r w:rsidR="00BA24F8" w:rsidRPr="0095692E">
        <w:rPr>
          <w:rFonts w:ascii="Verdana" w:hAnsi="Verdana" w:cs="Arial"/>
          <w:bCs/>
          <w:sz w:val="16"/>
          <w:szCs w:val="16"/>
          <w:shd w:val="clear" w:color="auto" w:fill="FFFFFF"/>
        </w:rPr>
        <w:t>[S]</w:t>
      </w:r>
      <w:r w:rsidRPr="0095692E">
        <w:rPr>
          <w:rFonts w:ascii="Verdana" w:hAnsi="Verdana" w:cs="Arial"/>
          <w:bCs/>
          <w:sz w:val="16"/>
          <w:szCs w:val="16"/>
          <w:shd w:val="clear" w:color="auto" w:fill="FFFFFF"/>
        </w:rPr>
        <w:t>entencia.</w:t>
      </w:r>
    </w:p>
    <w:p w14:paraId="1AF8BFF0" w14:textId="610FED07" w:rsidR="00FF277B" w:rsidRPr="0095692E" w:rsidRDefault="00FF277B" w:rsidP="00FF277B">
      <w:pPr>
        <w:tabs>
          <w:tab w:val="left" w:pos="1555"/>
        </w:tabs>
        <w:jc w:val="both"/>
        <w:rPr>
          <w:rFonts w:ascii="Verdana" w:hAnsi="Verdana" w:cs="Arial"/>
          <w:bCs/>
          <w:sz w:val="16"/>
          <w:szCs w:val="16"/>
          <w:shd w:val="clear" w:color="auto" w:fill="FFFFFF"/>
        </w:rPr>
      </w:pPr>
    </w:p>
    <w:p w14:paraId="321B401B" w14:textId="77777777" w:rsidR="00634560" w:rsidRPr="0095692E" w:rsidRDefault="00634560" w:rsidP="00634560">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 xml:space="preserve">Tomando en cuenta lo anterior, la </w:t>
      </w:r>
      <w:r w:rsidRPr="0095692E">
        <w:rPr>
          <w:rFonts w:ascii="Verdana" w:hAnsi="Verdana"/>
          <w:b/>
          <w:bCs/>
          <w:i/>
          <w:iCs/>
          <w:sz w:val="20"/>
          <w:szCs w:val="20"/>
        </w:rPr>
        <w:t>Corte</w:t>
      </w:r>
      <w:r w:rsidRPr="0095692E">
        <w:rPr>
          <w:rFonts w:ascii="Verdana" w:hAnsi="Verdana"/>
          <w:sz w:val="20"/>
          <w:szCs w:val="20"/>
        </w:rPr>
        <w:t xml:space="preserve"> dispondrá a continuación las medidas de satisfacción que el Estado deberá adoptar.</w:t>
      </w:r>
    </w:p>
    <w:p w14:paraId="5A7722F3" w14:textId="77777777" w:rsidR="00634560" w:rsidRPr="0095692E" w:rsidRDefault="00634560" w:rsidP="00634560">
      <w:pPr>
        <w:rPr>
          <w:rFonts w:ascii="Verdana" w:hAnsi="Verdana"/>
        </w:rPr>
      </w:pPr>
    </w:p>
    <w:p w14:paraId="53E82B55" w14:textId="3F5CE527" w:rsidR="00FF277B" w:rsidRPr="0095692E" w:rsidRDefault="00FF277B" w:rsidP="00FF277B">
      <w:pPr>
        <w:pStyle w:val="Ttulo3"/>
        <w:ind w:left="720" w:firstLine="0"/>
        <w:rPr>
          <w:b w:val="0"/>
          <w:bCs/>
          <w:lang w:val="es-CR"/>
        </w:rPr>
      </w:pPr>
      <w:bookmarkStart w:id="51" w:name="_Toc115262493"/>
      <w:r w:rsidRPr="0095692E">
        <w:rPr>
          <w:b w:val="0"/>
          <w:bCs/>
          <w:lang w:val="es-CR"/>
        </w:rPr>
        <w:t>E.1.</w:t>
      </w:r>
      <w:r w:rsidR="000B389C" w:rsidRPr="0095692E">
        <w:rPr>
          <w:b w:val="0"/>
          <w:bCs/>
          <w:lang w:val="es-CR"/>
        </w:rPr>
        <w:t xml:space="preserve"> </w:t>
      </w:r>
      <w:r w:rsidRPr="0095692E">
        <w:rPr>
          <w:b w:val="0"/>
          <w:bCs/>
          <w:lang w:val="es-CR"/>
        </w:rPr>
        <w:t>Publicación</w:t>
      </w:r>
      <w:r w:rsidR="00D26335" w:rsidRPr="0095692E">
        <w:rPr>
          <w:b w:val="0"/>
          <w:bCs/>
          <w:lang w:val="es-CR"/>
        </w:rPr>
        <w:t xml:space="preserve"> y difusión</w:t>
      </w:r>
      <w:r w:rsidRPr="0095692E">
        <w:rPr>
          <w:b w:val="0"/>
          <w:bCs/>
          <w:lang w:val="es-CR"/>
        </w:rPr>
        <w:t xml:space="preserve"> de la Sentencia</w:t>
      </w:r>
      <w:bookmarkEnd w:id="51"/>
    </w:p>
    <w:p w14:paraId="53C394A6" w14:textId="77777777" w:rsidR="00C95CC7" w:rsidRPr="0095692E" w:rsidRDefault="00C95CC7" w:rsidP="00C95CC7">
      <w:pPr>
        <w:pStyle w:val="Prrafodelista"/>
        <w:spacing w:after="0" w:line="240" w:lineRule="auto"/>
        <w:ind w:left="0"/>
        <w:contextualSpacing w:val="0"/>
        <w:jc w:val="both"/>
        <w:rPr>
          <w:rFonts w:ascii="Verdana" w:hAnsi="Verdana"/>
          <w:sz w:val="20"/>
          <w:szCs w:val="20"/>
        </w:rPr>
      </w:pPr>
    </w:p>
    <w:p w14:paraId="0CD35138" w14:textId="7D29A8E6"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La Corte dispone, como lo ha hecho en otros casos</w:t>
      </w:r>
      <w:r w:rsidRPr="0095692E">
        <w:rPr>
          <w:rStyle w:val="Refdenotaalpie"/>
          <w:rFonts w:ascii="Verdana" w:hAnsi="Verdana"/>
          <w:sz w:val="20"/>
          <w:szCs w:val="20"/>
        </w:rPr>
        <w:footnoteReference w:id="97"/>
      </w:r>
      <w:r w:rsidRPr="0095692E">
        <w:rPr>
          <w:rFonts w:ascii="Verdana" w:hAnsi="Verdana"/>
          <w:sz w:val="20"/>
          <w:szCs w:val="20"/>
        </w:rPr>
        <w:t xml:space="preserve">, que el Estado publique, en el plazo de seis meses, contado a partir de la notificación de la presente Sentencia, en un tamaño de letra legible y adecuado, lo siguiente: a) el resumen oficial de la Sentencia elaborado por la Corte, por una sola vez, </w:t>
      </w:r>
      <w:r w:rsidRPr="0095692E">
        <w:rPr>
          <w:rFonts w:ascii="Verdana" w:eastAsiaTheme="minorEastAsia" w:hAnsi="Verdana" w:cs="Cambria"/>
          <w:sz w:val="20"/>
          <w:szCs w:val="20"/>
          <w:lang w:eastAsia="es-CR"/>
        </w:rPr>
        <w:t>en el Diario Oficial "La Gaceta" y en dos diarios de amplia circulación nacional</w:t>
      </w:r>
      <w:r w:rsidRPr="0095692E">
        <w:rPr>
          <w:rFonts w:ascii="Verdana" w:hAnsi="Verdana"/>
          <w:sz w:val="20"/>
          <w:szCs w:val="20"/>
        </w:rPr>
        <w:t xml:space="preserve">, y b) la presente Sentencia en su integridad, disponible por un período de un año, en los sitios </w:t>
      </w:r>
      <w:r w:rsidRPr="0095692E">
        <w:rPr>
          <w:rFonts w:ascii="Verdana" w:hAnsi="Verdana"/>
          <w:i/>
          <w:iCs/>
          <w:sz w:val="20"/>
          <w:szCs w:val="20"/>
        </w:rPr>
        <w:t xml:space="preserve">web </w:t>
      </w:r>
      <w:r w:rsidRPr="0095692E">
        <w:rPr>
          <w:rFonts w:ascii="Verdana" w:hAnsi="Verdana"/>
          <w:sz w:val="20"/>
          <w:szCs w:val="20"/>
        </w:rPr>
        <w:t xml:space="preserve">oficiales del Poder Judicial, Secretaría de </w:t>
      </w:r>
      <w:r w:rsidRPr="0095692E">
        <w:rPr>
          <w:rFonts w:ascii="Verdana" w:hAnsi="Verdana"/>
          <w:sz w:val="20"/>
          <w:szCs w:val="20"/>
        </w:rPr>
        <w:lastRenderedPageBreak/>
        <w:t xml:space="preserve">Relaciones Exteriores y Cooperación Internacional, Procuraduría General de la República, Secretaría de Defensa Nacional, Secretaría de Seguridad, Ministerio Público y la Secretaría de Derechos Humanos. El Estado deberá informar de forma inmediata a este Tribunal una vez que proceda a realizar cada una de las publicaciones dispuestas, independientemente del plazo de un año para presentar su primer informe, conforme a lo señalado en el punto resolutivo </w:t>
      </w:r>
      <w:r w:rsidR="000A3553" w:rsidRPr="0095692E">
        <w:rPr>
          <w:rFonts w:ascii="Verdana" w:hAnsi="Verdana"/>
          <w:sz w:val="20"/>
          <w:szCs w:val="20"/>
        </w:rPr>
        <w:t>noveno</w:t>
      </w:r>
      <w:r w:rsidRPr="0095692E">
        <w:rPr>
          <w:rFonts w:ascii="Verdana" w:hAnsi="Verdana"/>
          <w:sz w:val="20"/>
          <w:szCs w:val="20"/>
        </w:rPr>
        <w:t xml:space="preserve"> de esta Sentencia. </w:t>
      </w:r>
    </w:p>
    <w:p w14:paraId="21DF960E"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198C6038" w14:textId="63BB506C" w:rsidR="00FF277B" w:rsidRPr="0095692E" w:rsidRDefault="00FF277B" w:rsidP="00FF277B">
      <w:pPr>
        <w:pStyle w:val="Ttulo3"/>
        <w:ind w:left="720" w:firstLine="0"/>
        <w:rPr>
          <w:b w:val="0"/>
          <w:bCs/>
          <w:lang w:val="es-CR"/>
        </w:rPr>
      </w:pPr>
      <w:bookmarkStart w:id="52" w:name="_Toc115262494"/>
      <w:r w:rsidRPr="0095692E">
        <w:rPr>
          <w:b w:val="0"/>
          <w:bCs/>
          <w:lang w:val="es-CR"/>
        </w:rPr>
        <w:t>E.2. Acto Público de reconocimiento de la responsabilidad</w:t>
      </w:r>
      <w:r w:rsidR="00DA366B" w:rsidRPr="0095692E">
        <w:rPr>
          <w:b w:val="0"/>
          <w:bCs/>
          <w:lang w:val="es-CR"/>
        </w:rPr>
        <w:t xml:space="preserve"> internacional</w:t>
      </w:r>
      <w:bookmarkEnd w:id="52"/>
    </w:p>
    <w:p w14:paraId="3954029C"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66F4F256" w14:textId="643119D8"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Asimismo, la Corte ordena al Estado la realización de un acto público de reconocimiento de responsabilidad internacional en relación con los hechos del presente caso, en el plazo de un año a partir de la notificación de la presente Sentencia. En dicho acto, deberá hacer referencia a las violaciones de los derechos humanos declaradas en esta Sentencia</w:t>
      </w:r>
      <w:r w:rsidR="001649B6" w:rsidRPr="0095692E">
        <w:rPr>
          <w:rFonts w:ascii="Verdana" w:hAnsi="Verdana"/>
          <w:sz w:val="20"/>
          <w:szCs w:val="20"/>
        </w:rPr>
        <w:t xml:space="preserve"> y al contexto de la aplicación de la doctrina de seguridad nacional</w:t>
      </w:r>
      <w:r w:rsidRPr="0095692E">
        <w:rPr>
          <w:rFonts w:ascii="Verdana" w:hAnsi="Verdana"/>
          <w:sz w:val="20"/>
          <w:szCs w:val="20"/>
        </w:rPr>
        <w:t xml:space="preserve">. El referido acto, deberá llevarse a cabo mediante una ceremonia pública en presencia de las víctimas declaradas en este Fallo y sus representantes, si así lo desean. Para tal efecto, el Estado deberá sufragar los gastos en que puedan incurrir. Asimismo, garantizará la </w:t>
      </w:r>
      <w:r w:rsidRPr="0095692E">
        <w:rPr>
          <w:rFonts w:ascii="Verdana" w:eastAsiaTheme="minorEastAsia" w:hAnsi="Verdana" w:cs="Cambria"/>
          <w:sz w:val="20"/>
          <w:szCs w:val="20"/>
          <w:lang w:eastAsia="es-CR"/>
        </w:rPr>
        <w:t>participación de altos funcionarios de, al menos: la Corte Suprema de Justicia, Poder Ejecutivo, Procuraduría General de la República, Secretaría de Defensa Nacional, Ministerio Público y la Secretaría de Derechos Humanos.</w:t>
      </w:r>
      <w:r w:rsidRPr="0095692E">
        <w:rPr>
          <w:rFonts w:ascii="Verdana" w:hAnsi="Verdana" w:cs="Times New Roman"/>
          <w:sz w:val="20"/>
          <w:szCs w:val="20"/>
        </w:rPr>
        <w:t xml:space="preserve"> </w:t>
      </w:r>
      <w:r w:rsidRPr="0095692E">
        <w:rPr>
          <w:rFonts w:ascii="Verdana" w:hAnsi="Verdana"/>
          <w:sz w:val="20"/>
          <w:szCs w:val="20"/>
        </w:rPr>
        <w:t xml:space="preserve">La determinación de la fecha, el lugar y las modalidades del acto, así como el </w:t>
      </w:r>
      <w:r w:rsidRPr="0095692E">
        <w:rPr>
          <w:rFonts w:ascii="Verdana" w:eastAsiaTheme="minorEastAsia" w:hAnsi="Verdana" w:cs="Cambria"/>
          <w:sz w:val="20"/>
          <w:szCs w:val="20"/>
          <w:lang w:eastAsia="es-CR"/>
        </w:rPr>
        <w:t xml:space="preserve">contenido del mensaje que se verbalice durante el mismo, </w:t>
      </w:r>
      <w:r w:rsidRPr="0095692E">
        <w:rPr>
          <w:rFonts w:ascii="Verdana" w:hAnsi="Verdana"/>
          <w:sz w:val="20"/>
          <w:szCs w:val="20"/>
        </w:rPr>
        <w:t>deberán ser acordados previamente con las víctimas y/o sus representantes. El Estado debe difundir dicho acto a</w:t>
      </w:r>
      <w:r w:rsidRPr="0095692E">
        <w:rPr>
          <w:rFonts w:ascii="Verdana" w:eastAsiaTheme="minorEastAsia" w:hAnsi="Verdana" w:cs="Cambria"/>
          <w:sz w:val="20"/>
          <w:szCs w:val="20"/>
          <w:lang w:eastAsia="es-CR"/>
        </w:rPr>
        <w:t xml:space="preserve"> través del canal del Estado, Televisión Nacional de Honduras, así como e</w:t>
      </w:r>
      <w:r w:rsidR="004D6B34" w:rsidRPr="0095692E">
        <w:rPr>
          <w:rFonts w:ascii="Verdana" w:eastAsiaTheme="minorEastAsia" w:hAnsi="Verdana" w:cs="Cambria"/>
          <w:sz w:val="20"/>
          <w:szCs w:val="20"/>
          <w:lang w:eastAsia="es-CR"/>
        </w:rPr>
        <w:t>n</w:t>
      </w:r>
      <w:r w:rsidRPr="0095692E">
        <w:rPr>
          <w:rFonts w:ascii="Verdana" w:eastAsiaTheme="minorEastAsia" w:hAnsi="Verdana" w:cs="Cambria"/>
          <w:sz w:val="20"/>
          <w:szCs w:val="20"/>
          <w:lang w:eastAsia="es-CR"/>
        </w:rPr>
        <w:t xml:space="preserve"> una estación de radio con cobertura nacional</w:t>
      </w:r>
      <w:r w:rsidRPr="0095692E">
        <w:rPr>
          <w:rStyle w:val="Refdenotaalpie"/>
          <w:rFonts w:ascii="Verdana" w:hAnsi="Verdana"/>
          <w:sz w:val="20"/>
          <w:szCs w:val="20"/>
        </w:rPr>
        <w:footnoteReference w:id="98"/>
      </w:r>
      <w:r w:rsidRPr="0095692E">
        <w:rPr>
          <w:rFonts w:ascii="Verdana" w:hAnsi="Verdana"/>
          <w:sz w:val="20"/>
          <w:szCs w:val="20"/>
        </w:rPr>
        <w:t xml:space="preserve">. </w:t>
      </w:r>
    </w:p>
    <w:p w14:paraId="5E01BB03"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03703FE7" w14:textId="77777777" w:rsidR="00FF277B" w:rsidRPr="0095692E" w:rsidRDefault="00FF277B" w:rsidP="00FF277B">
      <w:pPr>
        <w:pStyle w:val="Ttulo3"/>
        <w:ind w:left="720" w:firstLine="0"/>
        <w:rPr>
          <w:b w:val="0"/>
          <w:bCs/>
          <w:lang w:val="es-CR"/>
        </w:rPr>
      </w:pPr>
      <w:bookmarkStart w:id="53" w:name="_Toc115262495"/>
      <w:r w:rsidRPr="0095692E">
        <w:rPr>
          <w:b w:val="0"/>
          <w:bCs/>
          <w:lang w:val="es-CR"/>
        </w:rPr>
        <w:t>E.3. Construcción de un mausoleo</w:t>
      </w:r>
      <w:bookmarkEnd w:id="53"/>
    </w:p>
    <w:p w14:paraId="04504448"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16583CF3" w14:textId="5586F9A1" w:rsidR="00FF277B" w:rsidRPr="0095692E" w:rsidRDefault="008B49D9"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eastAsiaTheme="minorEastAsia" w:hAnsi="Verdana" w:cs="Cambria"/>
          <w:sz w:val="20"/>
          <w:szCs w:val="20"/>
          <w:lang w:eastAsia="es-CR"/>
        </w:rPr>
        <w:t>L</w:t>
      </w:r>
      <w:r w:rsidR="00FF277B" w:rsidRPr="0095692E">
        <w:rPr>
          <w:rFonts w:ascii="Verdana" w:eastAsiaTheme="minorEastAsia" w:hAnsi="Verdana" w:cs="Cambria"/>
          <w:sz w:val="20"/>
          <w:szCs w:val="20"/>
          <w:lang w:eastAsia="es-CR"/>
        </w:rPr>
        <w:t>a Corte ordena al Estado que, en el plazo de dos años a partir de la notificación de la Sentencia, construya un mausoleo en la tumba del señor Herminio Deras García, como forma de conservar viva su memoria. El diseño del mausoleo deberá contar con el consentimiento de los familiares del señor Herminio Deras Garcia. En la ceremonia de develación del mausoleo</w:t>
      </w:r>
      <w:r w:rsidR="00362200" w:rsidRPr="0095692E">
        <w:rPr>
          <w:rFonts w:ascii="Verdana" w:eastAsiaTheme="minorEastAsia" w:hAnsi="Verdana" w:cs="Cambria"/>
          <w:sz w:val="20"/>
          <w:szCs w:val="20"/>
          <w:lang w:eastAsia="es-CR"/>
        </w:rPr>
        <w:t>, la cual debe ser difundida a través del canal del Estado, Televisión Nacional de Honduras y de una estación de radio con cobertura nacional,</w:t>
      </w:r>
      <w:r w:rsidR="00FF277B" w:rsidRPr="0095692E">
        <w:rPr>
          <w:rFonts w:ascii="Verdana" w:eastAsiaTheme="minorEastAsia" w:hAnsi="Verdana" w:cs="Cambria"/>
          <w:sz w:val="20"/>
          <w:szCs w:val="20"/>
          <w:lang w:eastAsia="es-CR"/>
        </w:rPr>
        <w:t xml:space="preserve"> deben estar presentes autoridades estatales. Asimismo, el Estado deberá asegurar la participación de los familiares del señor Deras García, declarados también víctimas por este Tribunal, que así lo deseen.</w:t>
      </w:r>
    </w:p>
    <w:p w14:paraId="5226F1FF" w14:textId="77777777" w:rsidR="00FF277B" w:rsidRPr="0095692E" w:rsidRDefault="00FF277B" w:rsidP="00FF277B">
      <w:pPr>
        <w:rPr>
          <w:rFonts w:ascii="Verdana" w:hAnsi="Verdana"/>
        </w:rPr>
      </w:pPr>
    </w:p>
    <w:p w14:paraId="3B1E948F" w14:textId="77777777" w:rsidR="00FF277B" w:rsidRPr="0095692E" w:rsidRDefault="00FF277B" w:rsidP="000B389C">
      <w:pPr>
        <w:pStyle w:val="Ttulo2"/>
        <w:keepNext/>
        <w:keepLines/>
        <w:widowControl w:val="0"/>
        <w:numPr>
          <w:ilvl w:val="0"/>
          <w:numId w:val="57"/>
        </w:numPr>
        <w:pBdr>
          <w:top w:val="none" w:sz="0" w:space="0" w:color="auto"/>
        </w:pBdr>
        <w:adjustRightInd w:val="0"/>
        <w:ind w:left="990"/>
        <w:textAlignment w:val="baseline"/>
        <w:rPr>
          <w:lang w:val="es-CR"/>
        </w:rPr>
      </w:pPr>
      <w:bookmarkStart w:id="54" w:name="_Toc115262496"/>
      <w:r w:rsidRPr="0095692E">
        <w:rPr>
          <w:lang w:val="es-CR"/>
        </w:rPr>
        <w:t>Garantías de no repetición</w:t>
      </w:r>
      <w:bookmarkEnd w:id="54"/>
    </w:p>
    <w:p w14:paraId="1F361262" w14:textId="77777777" w:rsidR="00FF277B" w:rsidRPr="0095692E" w:rsidRDefault="00FF277B" w:rsidP="00FF277B">
      <w:pPr>
        <w:tabs>
          <w:tab w:val="left" w:pos="1555"/>
        </w:tabs>
        <w:jc w:val="both"/>
        <w:rPr>
          <w:rFonts w:ascii="Verdana" w:hAnsi="Verdana" w:cs="Arial"/>
          <w:bCs/>
          <w:sz w:val="20"/>
          <w:szCs w:val="20"/>
          <w:shd w:val="clear" w:color="auto" w:fill="FFFFFF"/>
        </w:rPr>
      </w:pPr>
    </w:p>
    <w:p w14:paraId="786C0AAC"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 xml:space="preserve">A la luz de las medidas de reparación solicitadas por la </w:t>
      </w:r>
      <w:r w:rsidRPr="0095692E">
        <w:rPr>
          <w:rFonts w:ascii="Verdana" w:hAnsi="Verdana"/>
          <w:b/>
          <w:bCs/>
          <w:i/>
          <w:iCs/>
          <w:sz w:val="20"/>
          <w:szCs w:val="20"/>
        </w:rPr>
        <w:t>Comisión</w:t>
      </w:r>
      <w:r w:rsidRPr="0095692E">
        <w:rPr>
          <w:rFonts w:ascii="Verdana" w:hAnsi="Verdana"/>
          <w:sz w:val="20"/>
          <w:szCs w:val="20"/>
        </w:rPr>
        <w:t xml:space="preserve"> y los </w:t>
      </w:r>
      <w:r w:rsidRPr="0095692E">
        <w:rPr>
          <w:rFonts w:ascii="Verdana" w:hAnsi="Verdana"/>
          <w:b/>
          <w:bCs/>
          <w:i/>
          <w:iCs/>
          <w:sz w:val="20"/>
          <w:szCs w:val="20"/>
        </w:rPr>
        <w:t>representantes</w:t>
      </w:r>
      <w:r w:rsidRPr="0095692E">
        <w:rPr>
          <w:rFonts w:ascii="Verdana" w:hAnsi="Verdana"/>
          <w:sz w:val="20"/>
          <w:szCs w:val="20"/>
        </w:rPr>
        <w:t xml:space="preserve">, el </w:t>
      </w:r>
      <w:r w:rsidRPr="0095692E">
        <w:rPr>
          <w:rFonts w:ascii="Verdana" w:hAnsi="Verdana"/>
          <w:b/>
          <w:bCs/>
          <w:i/>
          <w:iCs/>
          <w:sz w:val="20"/>
          <w:szCs w:val="20"/>
        </w:rPr>
        <w:t>Estado</w:t>
      </w:r>
      <w:r w:rsidRPr="0095692E">
        <w:rPr>
          <w:rFonts w:ascii="Verdana" w:hAnsi="Verdana"/>
          <w:sz w:val="20"/>
          <w:szCs w:val="20"/>
        </w:rPr>
        <w:t>, en su escrito de allanamiento, se comprometió:</w:t>
      </w:r>
    </w:p>
    <w:p w14:paraId="63E256DA"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7D2AD876"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a implementar las garantías de no repetición incluidas en el ESAP de los peticionarios del caso Deras García y Otros vs. Honduras, donde sugieren diversas recomendaciones para las políticas públicas de memoria en por lo menos tres áreas temáticas: la preservación de archivos y otras bases materiales de la memoria; la conmemoración de los eventos, y; las políticas educativas para preservar y poner en valor la memoria.</w:t>
      </w:r>
    </w:p>
    <w:p w14:paraId="6FBF1CF4" w14:textId="77777777" w:rsidR="00FF277B" w:rsidRPr="0095692E" w:rsidRDefault="00FF277B" w:rsidP="000B389C">
      <w:pPr>
        <w:ind w:left="1080" w:right="918"/>
        <w:jc w:val="both"/>
        <w:rPr>
          <w:rFonts w:ascii="Verdana" w:hAnsi="Verdana"/>
          <w:b/>
          <w:sz w:val="16"/>
          <w:szCs w:val="16"/>
        </w:rPr>
      </w:pPr>
      <w:r w:rsidRPr="0095692E">
        <w:rPr>
          <w:rFonts w:ascii="Verdana" w:hAnsi="Verdana"/>
          <w:b/>
          <w:sz w:val="16"/>
          <w:szCs w:val="16"/>
        </w:rPr>
        <w:t>7.1 Emisión de una Ley de Memoria Histórica</w:t>
      </w:r>
    </w:p>
    <w:p w14:paraId="11C6A0AC"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lastRenderedPageBreak/>
        <w:t>Que dicha ley garantice a todas las víctimas de la aplicación de la Doctrina de Seguridad Nacional, el acceso a la Justicia, para la elaboración de políticas públicas dirigidas a recuperar y dignificar la memoria y los valores de quienes fueron víctimas de estas prácticas de terrorismo de Estado.</w:t>
      </w:r>
    </w:p>
    <w:p w14:paraId="0C0EACD8"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Que brinde satisfacción a los elementos estándares que conforman la justicia de transición, que se investiguen los hechos constitutivos de graves violaciones a los derechos humanos durante la represión, que pueda cumplir el requisito de la verdad, el derecho de las víctimas a saber, tanto en lo relativo al derecho de acceso a la información, como el derecho a conocer la identidad y ubicación de los perpetradores de las ejecuciones extrajudiciales, actos de torturas y violencia sexual, el paradero de las personas detenidas y desaparecidas.</w:t>
      </w:r>
    </w:p>
    <w:p w14:paraId="2A09A373"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En concreto que esta ley garantice: la verdad; la Justicia; la Reparación, y las Garantías de no Repetición; La construcción y preservación de la Memoria Histórica, incluyendo una ley de víctimas y un programa de reparación integral a las víctimas de la aplicación de la Doctrina de Seguridad Nacional.</w:t>
      </w:r>
    </w:p>
    <w:p w14:paraId="4ED04978" w14:textId="77777777" w:rsidR="00FF277B" w:rsidRPr="0095692E" w:rsidRDefault="00FF277B" w:rsidP="000B389C">
      <w:pPr>
        <w:ind w:left="1080" w:right="918"/>
        <w:jc w:val="both"/>
        <w:rPr>
          <w:rFonts w:ascii="Verdana" w:hAnsi="Verdana"/>
          <w:b/>
          <w:sz w:val="16"/>
          <w:szCs w:val="16"/>
        </w:rPr>
      </w:pPr>
      <w:r w:rsidRPr="0095692E">
        <w:rPr>
          <w:rFonts w:ascii="Verdana" w:hAnsi="Verdana"/>
          <w:b/>
          <w:sz w:val="16"/>
          <w:szCs w:val="16"/>
        </w:rPr>
        <w:t>7.2 Emisión de una Ley para la Investigación de la Responsabilidad de toda la Cadena de Mando.</w:t>
      </w:r>
    </w:p>
    <w:p w14:paraId="279F6081" w14:textId="74312FD0" w:rsidR="00FF277B" w:rsidRPr="0095692E" w:rsidRDefault="00FF277B" w:rsidP="000B389C">
      <w:pPr>
        <w:ind w:left="1080" w:right="918"/>
        <w:jc w:val="both"/>
        <w:rPr>
          <w:rFonts w:ascii="Verdana" w:hAnsi="Verdana"/>
          <w:bCs/>
          <w:sz w:val="16"/>
          <w:szCs w:val="16"/>
        </w:rPr>
      </w:pPr>
      <w:bookmarkStart w:id="55" w:name="_Hlk111222306"/>
      <w:r w:rsidRPr="0095692E">
        <w:rPr>
          <w:rFonts w:ascii="Verdana" w:hAnsi="Verdana"/>
          <w:bCs/>
          <w:sz w:val="16"/>
          <w:szCs w:val="16"/>
        </w:rPr>
        <w:t xml:space="preserve">Una ley que permita investigar a las personas de la </w:t>
      </w:r>
      <w:r w:rsidR="006632EB" w:rsidRPr="0095692E">
        <w:rPr>
          <w:rFonts w:ascii="Verdana" w:hAnsi="Verdana"/>
          <w:bCs/>
          <w:sz w:val="16"/>
          <w:szCs w:val="16"/>
        </w:rPr>
        <w:t>[c]</w:t>
      </w:r>
      <w:r w:rsidRPr="0095692E">
        <w:rPr>
          <w:rFonts w:ascii="Verdana" w:hAnsi="Verdana"/>
          <w:bCs/>
          <w:sz w:val="16"/>
          <w:szCs w:val="16"/>
        </w:rPr>
        <w:t xml:space="preserve">adena de </w:t>
      </w:r>
      <w:r w:rsidR="006632EB" w:rsidRPr="0095692E">
        <w:rPr>
          <w:rFonts w:ascii="Verdana" w:hAnsi="Verdana"/>
          <w:bCs/>
          <w:sz w:val="16"/>
          <w:szCs w:val="16"/>
        </w:rPr>
        <w:t>[m]</w:t>
      </w:r>
      <w:r w:rsidRPr="0095692E">
        <w:rPr>
          <w:rFonts w:ascii="Verdana" w:hAnsi="Verdana"/>
          <w:bCs/>
          <w:sz w:val="16"/>
          <w:szCs w:val="16"/>
        </w:rPr>
        <w:t>ando que se vieron involucrada</w:t>
      </w:r>
      <w:r w:rsidR="003469D4" w:rsidRPr="0095692E">
        <w:rPr>
          <w:rFonts w:ascii="Verdana" w:hAnsi="Verdana"/>
          <w:bCs/>
          <w:sz w:val="16"/>
          <w:szCs w:val="16"/>
        </w:rPr>
        <w:t>s</w:t>
      </w:r>
      <w:r w:rsidRPr="0095692E">
        <w:rPr>
          <w:rFonts w:ascii="Verdana" w:hAnsi="Verdana"/>
          <w:bCs/>
          <w:sz w:val="16"/>
          <w:szCs w:val="16"/>
        </w:rPr>
        <w:t xml:space="preserve"> en los crímenes, por razones políticas de los años ochenta y el asesinato de Herminio Deras en particular; con la participación coordinada de diferentes agentes en diferentes niveles y estructuras jerárquicas y en el ejercicio de funciones distintas</w:t>
      </w:r>
      <w:bookmarkEnd w:id="55"/>
      <w:r w:rsidRPr="0095692E">
        <w:rPr>
          <w:rFonts w:ascii="Verdana" w:hAnsi="Verdana"/>
          <w:bCs/>
          <w:sz w:val="16"/>
          <w:szCs w:val="16"/>
        </w:rPr>
        <w:t>.</w:t>
      </w:r>
    </w:p>
    <w:p w14:paraId="2845FB86" w14:textId="77777777" w:rsidR="00FF277B" w:rsidRPr="0095692E" w:rsidRDefault="00FF277B" w:rsidP="000B389C">
      <w:pPr>
        <w:ind w:left="1080" w:right="918"/>
        <w:jc w:val="both"/>
        <w:rPr>
          <w:rFonts w:ascii="Verdana" w:hAnsi="Verdana"/>
          <w:b/>
          <w:sz w:val="16"/>
          <w:szCs w:val="16"/>
        </w:rPr>
      </w:pPr>
      <w:r w:rsidRPr="0095692E">
        <w:rPr>
          <w:rFonts w:ascii="Verdana" w:hAnsi="Verdana"/>
          <w:b/>
          <w:sz w:val="16"/>
          <w:szCs w:val="16"/>
        </w:rPr>
        <w:t>7.3 Adecuación de la legislación Interna Respecto a la Tortura.</w:t>
      </w:r>
    </w:p>
    <w:p w14:paraId="1FCF022C"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Que el Código Penal vigente se adecúe en cuanto a penas, atenuantes y agravantes de conformidad al artículo 4 párrafo 2 de la Convención contra la Tortura y Tratos o Penas Crueles, Inhumanas y Degradantes, a efectos de garantizar la aplicación de la justicia en los casos de ejecución extrajudicial, actos de torturas, tratos crueles, inhumanos y degradantes.</w:t>
      </w:r>
    </w:p>
    <w:p w14:paraId="63931831" w14:textId="77777777" w:rsidR="00FF277B" w:rsidRPr="0095692E" w:rsidRDefault="00FF277B" w:rsidP="000B389C">
      <w:pPr>
        <w:ind w:left="1080" w:right="918"/>
        <w:jc w:val="both"/>
        <w:rPr>
          <w:rFonts w:ascii="Verdana" w:hAnsi="Verdana"/>
          <w:b/>
          <w:sz w:val="16"/>
          <w:szCs w:val="16"/>
        </w:rPr>
      </w:pPr>
      <w:r w:rsidRPr="0095692E">
        <w:rPr>
          <w:rFonts w:ascii="Verdana" w:hAnsi="Verdana"/>
          <w:b/>
          <w:sz w:val="16"/>
          <w:szCs w:val="16"/>
        </w:rPr>
        <w:t>7.4 Políticas de preservación de archivos y sitios de conciencia</w:t>
      </w:r>
    </w:p>
    <w:p w14:paraId="1D13F136"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Respecto a la preservación, el Estado podría considerar la creación de un fondo documental sobre las violaciones de derechos humanos cometidas entre los años 80 y el presente, en el que se identifique aquellos documentos en posesión de las fuerzas de seguridad y otras instituciones públicas atingentes a las violaciones de derechos humanos.</w:t>
      </w:r>
    </w:p>
    <w:p w14:paraId="21195D31"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La construcción de este fondo documental requeriría la aplicación de principios de transparencia gubernamental y acceso a la información, declarando abrogadas todas las disposiciones que impidan la desclasificación de informaciones relativas a las violaciones de los derechos humanos. En particular, debe declararse que la noción de "seguridad nacional" no puede ser utilizada para impedir el acceso a informaciones relativas a las violaciones de los derechos humanos.</w:t>
      </w:r>
    </w:p>
    <w:p w14:paraId="6518D998"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El fondo documental debería estar abierto a donaciones de organizaciones sociales e individuos, tales como organismos defensores de los derechos humanos, agrupaciones de víctimas y medios de prensa.</w:t>
      </w:r>
    </w:p>
    <w:p w14:paraId="05609049" w14:textId="77777777" w:rsidR="00FF277B" w:rsidRPr="0095692E" w:rsidRDefault="00FF277B" w:rsidP="000B389C">
      <w:pPr>
        <w:ind w:left="1080" w:right="918"/>
        <w:jc w:val="both"/>
        <w:rPr>
          <w:rFonts w:ascii="Verdana" w:hAnsi="Verdana"/>
          <w:b/>
          <w:sz w:val="16"/>
          <w:szCs w:val="16"/>
        </w:rPr>
      </w:pPr>
      <w:r w:rsidRPr="0095692E">
        <w:rPr>
          <w:rFonts w:ascii="Verdana" w:hAnsi="Verdana"/>
          <w:b/>
          <w:sz w:val="16"/>
          <w:szCs w:val="16"/>
        </w:rPr>
        <w:t>7.5 Políticas de educación en memoria</w:t>
      </w:r>
    </w:p>
    <w:p w14:paraId="648C01DB"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En Honduras, la historia de los períodos de violencia debería ser enseñada en diversos momentos de la educación primaria y secundaria, en forma ágil, pedagógica y creativa. Instrumentos tales como el informe del Ombudsman de los derechos humanos sobre la desaparición forzada y el de la Comisión de la Verdad y la Reconciliación, deberían ser incorporados en el currículo educativo facilitando su adaptación y síntesis a diversos formatos y modelos, incluyendo el libro de texto escolar, como la historieta, la multimedia, la historia oral entre otros.</w:t>
      </w:r>
    </w:p>
    <w:p w14:paraId="6A301762" w14:textId="77777777" w:rsidR="00FF277B" w:rsidRPr="0095692E" w:rsidRDefault="00FF277B" w:rsidP="000B389C">
      <w:pPr>
        <w:ind w:left="1080" w:right="918"/>
        <w:jc w:val="both"/>
        <w:rPr>
          <w:rFonts w:ascii="Verdana" w:hAnsi="Verdana"/>
          <w:bCs/>
          <w:sz w:val="16"/>
          <w:szCs w:val="16"/>
        </w:rPr>
      </w:pPr>
      <w:r w:rsidRPr="0095692E">
        <w:rPr>
          <w:rFonts w:ascii="Verdana" w:hAnsi="Verdana"/>
          <w:bCs/>
          <w:sz w:val="16"/>
          <w:szCs w:val="16"/>
        </w:rPr>
        <w:t>Con base a lo expuesto, la Procuraduría General de la República se compromete a impulsar por medio de las instituciones competentes y de quienes tienen exclusivamente la iniciativa de ley, la emisión de políticas públicas y legislación que regule los aspectos antes enunciados.</w:t>
      </w:r>
    </w:p>
    <w:p w14:paraId="51FDE8DC" w14:textId="77777777" w:rsidR="00FF277B" w:rsidRPr="0095692E" w:rsidRDefault="00FF277B" w:rsidP="00FF277B">
      <w:pPr>
        <w:rPr>
          <w:rFonts w:ascii="Verdana" w:hAnsi="Verdana"/>
          <w:bCs/>
          <w:sz w:val="20"/>
          <w:szCs w:val="20"/>
        </w:rPr>
      </w:pPr>
    </w:p>
    <w:p w14:paraId="14DB2D18"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bCs/>
          <w:sz w:val="20"/>
          <w:szCs w:val="20"/>
        </w:rPr>
      </w:pPr>
      <w:r w:rsidRPr="0095692E">
        <w:rPr>
          <w:rFonts w:ascii="Verdana" w:hAnsi="Verdana"/>
          <w:sz w:val="20"/>
          <w:szCs w:val="20"/>
        </w:rPr>
        <w:t xml:space="preserve">En vista de lo anterior, la </w:t>
      </w:r>
      <w:r w:rsidRPr="0095692E">
        <w:rPr>
          <w:rFonts w:ascii="Verdana" w:hAnsi="Verdana"/>
          <w:b/>
          <w:bCs/>
          <w:i/>
          <w:iCs/>
          <w:sz w:val="20"/>
          <w:szCs w:val="20"/>
        </w:rPr>
        <w:t>Corte</w:t>
      </w:r>
      <w:r w:rsidRPr="0095692E">
        <w:rPr>
          <w:rFonts w:ascii="Verdana" w:hAnsi="Verdana"/>
          <w:sz w:val="20"/>
          <w:szCs w:val="20"/>
        </w:rPr>
        <w:t xml:space="preserve"> dispondrá a continuación las garantías de no repetición que el Estado deberá adoptar.</w:t>
      </w:r>
    </w:p>
    <w:p w14:paraId="375DBE25"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225475C6" w14:textId="1F8F550C" w:rsidR="00FF277B" w:rsidRPr="0095692E" w:rsidRDefault="00FF277B" w:rsidP="00FF277B">
      <w:pPr>
        <w:pStyle w:val="Ttulo3"/>
        <w:ind w:left="720" w:firstLine="0"/>
        <w:rPr>
          <w:b w:val="0"/>
          <w:bCs/>
          <w:lang w:val="es-CR"/>
        </w:rPr>
      </w:pPr>
      <w:bookmarkStart w:id="56" w:name="_Toc115262497"/>
      <w:r w:rsidRPr="0095692E">
        <w:rPr>
          <w:b w:val="0"/>
          <w:bCs/>
          <w:lang w:val="es-CR"/>
        </w:rPr>
        <w:t xml:space="preserve">F.1. Política </w:t>
      </w:r>
      <w:r w:rsidR="00C035EB" w:rsidRPr="0095692E">
        <w:rPr>
          <w:b w:val="0"/>
          <w:bCs/>
          <w:lang w:val="es-CR"/>
        </w:rPr>
        <w:t>n</w:t>
      </w:r>
      <w:r w:rsidRPr="0095692E">
        <w:rPr>
          <w:b w:val="0"/>
          <w:bCs/>
          <w:lang w:val="es-CR"/>
        </w:rPr>
        <w:t>acional de memoria histórica</w:t>
      </w:r>
      <w:bookmarkEnd w:id="56"/>
    </w:p>
    <w:p w14:paraId="1D36E8BA" w14:textId="77777777" w:rsidR="00FF277B" w:rsidRPr="0095692E" w:rsidRDefault="00FF277B" w:rsidP="00FF277B">
      <w:pPr>
        <w:rPr>
          <w:rFonts w:ascii="Verdana" w:hAnsi="Verdana"/>
          <w:bCs/>
          <w:sz w:val="20"/>
          <w:szCs w:val="20"/>
        </w:rPr>
      </w:pPr>
    </w:p>
    <w:p w14:paraId="5E8AD919" w14:textId="5984C7BD"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eastAsiaTheme="minorEastAsia" w:hAnsi="Verdana" w:cs="Cambria"/>
          <w:bCs/>
          <w:sz w:val="20"/>
          <w:szCs w:val="20"/>
          <w:lang w:eastAsia="es-CR"/>
        </w:rPr>
        <w:lastRenderedPageBreak/>
        <w:t>La Corte estima pertinente ordenar al Estado que diseñe y ejecute, en el plazo de dos años, una política nacional de memoria histórica</w:t>
      </w:r>
      <w:r w:rsidRPr="0095692E">
        <w:rPr>
          <w:rStyle w:val="Refdenotaalpie"/>
          <w:rFonts w:ascii="Verdana" w:eastAsiaTheme="minorEastAsia" w:hAnsi="Verdana" w:cs="Cambria"/>
          <w:bCs/>
          <w:sz w:val="20"/>
          <w:szCs w:val="20"/>
          <w:lang w:eastAsia="es-CR"/>
        </w:rPr>
        <w:footnoteReference w:id="99"/>
      </w:r>
      <w:r w:rsidRPr="0095692E">
        <w:rPr>
          <w:rFonts w:ascii="Verdana" w:eastAsiaTheme="minorEastAsia" w:hAnsi="Verdana" w:cs="Cambria"/>
          <w:bCs/>
          <w:sz w:val="20"/>
          <w:szCs w:val="20"/>
          <w:lang w:eastAsia="es-CR"/>
        </w:rPr>
        <w:t xml:space="preserve"> que garantice a todas las víctimas de la aplicación de la </w:t>
      </w:r>
      <w:r w:rsidR="00B717E1" w:rsidRPr="0095692E">
        <w:rPr>
          <w:rFonts w:ascii="Verdana" w:eastAsiaTheme="minorEastAsia" w:hAnsi="Verdana" w:cs="Cambria"/>
          <w:bCs/>
          <w:sz w:val="20"/>
          <w:szCs w:val="20"/>
          <w:lang w:eastAsia="es-CR"/>
        </w:rPr>
        <w:t>d</w:t>
      </w:r>
      <w:r w:rsidRPr="0095692E">
        <w:rPr>
          <w:rFonts w:ascii="Verdana" w:eastAsiaTheme="minorEastAsia" w:hAnsi="Verdana" w:cs="Cambria"/>
          <w:bCs/>
          <w:sz w:val="20"/>
          <w:szCs w:val="20"/>
          <w:lang w:eastAsia="es-CR"/>
        </w:rPr>
        <w:t>octrina de</w:t>
      </w:r>
      <w:r w:rsidR="00B717E1" w:rsidRPr="0095692E">
        <w:rPr>
          <w:rFonts w:ascii="Verdana" w:eastAsiaTheme="minorEastAsia" w:hAnsi="Verdana" w:cs="Cambria"/>
          <w:bCs/>
          <w:sz w:val="20"/>
          <w:szCs w:val="20"/>
          <w:lang w:eastAsia="es-CR"/>
        </w:rPr>
        <w:t xml:space="preserve"> la</w:t>
      </w:r>
      <w:r w:rsidRPr="0095692E">
        <w:rPr>
          <w:rFonts w:ascii="Verdana" w:eastAsiaTheme="minorEastAsia" w:hAnsi="Verdana" w:cs="Cambria"/>
          <w:bCs/>
          <w:sz w:val="20"/>
          <w:szCs w:val="20"/>
          <w:lang w:eastAsia="es-CR"/>
        </w:rPr>
        <w:t xml:space="preserve"> </w:t>
      </w:r>
      <w:r w:rsidR="00B717E1" w:rsidRPr="0095692E">
        <w:rPr>
          <w:rFonts w:ascii="Verdana" w:eastAsiaTheme="minorEastAsia" w:hAnsi="Verdana" w:cs="Cambria"/>
          <w:bCs/>
          <w:sz w:val="20"/>
          <w:szCs w:val="20"/>
          <w:lang w:eastAsia="es-CR"/>
        </w:rPr>
        <w:t>s</w:t>
      </w:r>
      <w:r w:rsidRPr="0095692E">
        <w:rPr>
          <w:rFonts w:ascii="Verdana" w:eastAsiaTheme="minorEastAsia" w:hAnsi="Verdana" w:cs="Cambria"/>
          <w:bCs/>
          <w:sz w:val="20"/>
          <w:szCs w:val="20"/>
          <w:lang w:eastAsia="es-CR"/>
        </w:rPr>
        <w:t xml:space="preserve">eguridad </w:t>
      </w:r>
      <w:r w:rsidR="00B717E1" w:rsidRPr="0095692E">
        <w:rPr>
          <w:rFonts w:ascii="Verdana" w:eastAsiaTheme="minorEastAsia" w:hAnsi="Verdana" w:cs="Cambria"/>
          <w:bCs/>
          <w:sz w:val="20"/>
          <w:szCs w:val="20"/>
          <w:lang w:eastAsia="es-CR"/>
        </w:rPr>
        <w:t>n</w:t>
      </w:r>
      <w:r w:rsidRPr="0095692E">
        <w:rPr>
          <w:rFonts w:ascii="Verdana" w:eastAsiaTheme="minorEastAsia" w:hAnsi="Verdana" w:cs="Cambria"/>
          <w:bCs/>
          <w:sz w:val="20"/>
          <w:szCs w:val="20"/>
          <w:lang w:eastAsia="es-CR"/>
        </w:rPr>
        <w:t>acional y sus familiares la verdad, la justicia y la reparación integral de las violaciones de derechos humanos cometidas en su contra, dirigida también a recuperar y dignificar la memoria y los valores de quienes fueron víctimas</w:t>
      </w:r>
      <w:r w:rsidRPr="0095692E">
        <w:rPr>
          <w:rStyle w:val="Refdenotaalpie"/>
          <w:rFonts w:ascii="Verdana" w:eastAsiaTheme="minorEastAsia" w:hAnsi="Verdana" w:cs="Cambria"/>
          <w:bCs/>
          <w:sz w:val="20"/>
          <w:szCs w:val="20"/>
          <w:lang w:eastAsia="es-CR"/>
        </w:rPr>
        <w:footnoteReference w:id="100"/>
      </w:r>
      <w:r w:rsidRPr="0095692E">
        <w:rPr>
          <w:rFonts w:ascii="Verdana" w:eastAsiaTheme="minorEastAsia" w:hAnsi="Verdana" w:cs="Cambria"/>
          <w:bCs/>
          <w:sz w:val="20"/>
          <w:szCs w:val="20"/>
          <w:lang w:eastAsia="es-CR"/>
        </w:rPr>
        <w:t xml:space="preserve">. Para tal efecto, </w:t>
      </w:r>
      <w:r w:rsidR="007A7283" w:rsidRPr="0095692E">
        <w:rPr>
          <w:rFonts w:ascii="Verdana" w:eastAsiaTheme="minorEastAsia" w:hAnsi="Verdana" w:cs="Cambria"/>
          <w:bCs/>
          <w:sz w:val="20"/>
          <w:szCs w:val="20"/>
          <w:lang w:eastAsia="es-CR"/>
        </w:rPr>
        <w:t>deberá observar</w:t>
      </w:r>
      <w:r w:rsidRPr="0095692E">
        <w:rPr>
          <w:rFonts w:ascii="Verdana" w:eastAsiaTheme="minorEastAsia" w:hAnsi="Verdana" w:cs="Cambria"/>
          <w:bCs/>
          <w:sz w:val="20"/>
          <w:szCs w:val="20"/>
          <w:lang w:eastAsia="es-CR"/>
        </w:rPr>
        <w:t xml:space="preserve"> los estándares internacionales en la materia y asegurar la investigación exhaustiva de las graves violaciones a los derechos humanos, inclusive </w:t>
      </w:r>
      <w:r w:rsidRPr="0095692E">
        <w:rPr>
          <w:rFonts w:ascii="Verdana" w:hAnsi="Verdana"/>
          <w:bCs/>
          <w:sz w:val="20"/>
          <w:szCs w:val="20"/>
        </w:rPr>
        <w:t xml:space="preserve">a todas las personas de </w:t>
      </w:r>
      <w:r w:rsidRPr="0095692E">
        <w:rPr>
          <w:rFonts w:ascii="Verdana" w:eastAsiaTheme="minorEastAsia" w:hAnsi="Verdana" w:cs="Cambria"/>
          <w:bCs/>
          <w:sz w:val="20"/>
          <w:szCs w:val="20"/>
          <w:lang w:eastAsia="es-CR"/>
        </w:rPr>
        <w:t xml:space="preserve">la cadena de mando de dichas violaciones.  </w:t>
      </w:r>
    </w:p>
    <w:p w14:paraId="2ED2AB2C" w14:textId="77777777" w:rsidR="007C757B" w:rsidRPr="0095692E" w:rsidRDefault="007C757B" w:rsidP="00FF277B">
      <w:pPr>
        <w:pStyle w:val="Prrafodelista"/>
        <w:spacing w:after="0" w:line="240" w:lineRule="auto"/>
        <w:ind w:left="0"/>
        <w:contextualSpacing w:val="0"/>
        <w:jc w:val="both"/>
        <w:rPr>
          <w:rFonts w:ascii="Verdana" w:hAnsi="Verdana"/>
          <w:sz w:val="20"/>
          <w:szCs w:val="20"/>
        </w:rPr>
      </w:pPr>
    </w:p>
    <w:p w14:paraId="6F28BD8F" w14:textId="77777777" w:rsidR="00FF277B" w:rsidRPr="0095692E" w:rsidRDefault="00FF277B" w:rsidP="00FF277B">
      <w:pPr>
        <w:pStyle w:val="Ttulo3"/>
        <w:ind w:left="720" w:firstLine="0"/>
        <w:rPr>
          <w:b w:val="0"/>
          <w:bCs/>
          <w:lang w:val="es-CR"/>
        </w:rPr>
      </w:pPr>
      <w:bookmarkStart w:id="57" w:name="_Toc115262498"/>
      <w:r w:rsidRPr="0095692E">
        <w:rPr>
          <w:b w:val="0"/>
          <w:bCs/>
          <w:lang w:val="es-CR"/>
        </w:rPr>
        <w:t>F.2. Adecuación del Código Penal hondureño</w:t>
      </w:r>
      <w:bookmarkEnd w:id="57"/>
    </w:p>
    <w:p w14:paraId="08FD17E8" w14:textId="77777777" w:rsidR="00FF277B" w:rsidRPr="0095692E" w:rsidRDefault="00FF277B" w:rsidP="00FF277B">
      <w:pPr>
        <w:pStyle w:val="Prrafodelista"/>
        <w:spacing w:after="0" w:line="240" w:lineRule="auto"/>
        <w:ind w:left="0"/>
        <w:contextualSpacing w:val="0"/>
        <w:rPr>
          <w:rFonts w:ascii="Verdana" w:eastAsiaTheme="minorEastAsia" w:hAnsi="Verdana" w:cs="Cambria"/>
          <w:bCs/>
          <w:sz w:val="20"/>
          <w:szCs w:val="20"/>
          <w:lang w:eastAsia="es-CR"/>
        </w:rPr>
      </w:pPr>
    </w:p>
    <w:p w14:paraId="708AC39E" w14:textId="55EF92FF"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eastAsiaTheme="minorEastAsia" w:hAnsi="Verdana" w:cs="Cambria"/>
          <w:bCs/>
          <w:sz w:val="20"/>
          <w:szCs w:val="20"/>
          <w:lang w:eastAsia="es-CR"/>
        </w:rPr>
        <w:t xml:space="preserve">La Corte dispone que el Estado deberá adecuar </w:t>
      </w:r>
      <w:r w:rsidRPr="0095692E">
        <w:rPr>
          <w:rFonts w:ascii="Verdana" w:hAnsi="Verdana"/>
          <w:bCs/>
          <w:sz w:val="20"/>
          <w:szCs w:val="20"/>
        </w:rPr>
        <w:t xml:space="preserve">el Código Penal vigente, de conformidad con la Convención Interamericana </w:t>
      </w:r>
      <w:r w:rsidR="005749AA" w:rsidRPr="0095692E">
        <w:rPr>
          <w:rFonts w:ascii="Verdana" w:hAnsi="Verdana"/>
          <w:bCs/>
          <w:sz w:val="20"/>
          <w:szCs w:val="20"/>
        </w:rPr>
        <w:t>p</w:t>
      </w:r>
      <w:r w:rsidRPr="0095692E">
        <w:rPr>
          <w:rFonts w:ascii="Verdana" w:hAnsi="Verdana"/>
          <w:bCs/>
          <w:sz w:val="20"/>
          <w:szCs w:val="20"/>
        </w:rPr>
        <w:t>ara Prevenir y Sancionar la Tortura.</w:t>
      </w:r>
      <w:bookmarkStart w:id="58" w:name="_Hlk109280798"/>
    </w:p>
    <w:p w14:paraId="167F8846"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359BB348" w14:textId="77777777" w:rsidR="00FF277B" w:rsidRPr="0095692E" w:rsidRDefault="00FF277B" w:rsidP="00FF277B">
      <w:pPr>
        <w:pStyle w:val="Ttulo3"/>
        <w:ind w:left="720" w:firstLine="0"/>
        <w:rPr>
          <w:b w:val="0"/>
          <w:bCs/>
          <w:lang w:val="es-CR"/>
        </w:rPr>
      </w:pPr>
      <w:bookmarkStart w:id="59" w:name="_Toc115262499"/>
      <w:r w:rsidRPr="0095692E">
        <w:rPr>
          <w:b w:val="0"/>
          <w:bCs/>
          <w:lang w:val="es-CR"/>
        </w:rPr>
        <w:t>F.3. Política de preservación de archivos y sitios</w:t>
      </w:r>
      <w:bookmarkEnd w:id="59"/>
    </w:p>
    <w:p w14:paraId="3139A06E" w14:textId="77777777" w:rsidR="00FF277B" w:rsidRPr="0095692E" w:rsidRDefault="00FF277B" w:rsidP="00FF277B">
      <w:pPr>
        <w:pStyle w:val="Prrafodelista"/>
        <w:spacing w:after="0" w:line="240" w:lineRule="auto"/>
        <w:contextualSpacing w:val="0"/>
        <w:rPr>
          <w:rFonts w:ascii="Verdana" w:hAnsi="Verdana"/>
          <w:sz w:val="20"/>
          <w:szCs w:val="20"/>
        </w:rPr>
      </w:pPr>
    </w:p>
    <w:p w14:paraId="0ACC7C8C" w14:textId="5EB4B8F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Por otra parte, la Corte ordena al Estado crear e implementar una política de preservación de archivos y sitios sobre las violaciones de derechos humanos cometidas entre los años ochenta y el presente, en el que se identifiquen aquellos documentos en posesión de las fuerzas de seguridad y otras instituciones públicas atingentes a las violaciones de derechos humanos cometidas</w:t>
      </w:r>
      <w:r w:rsidR="00914E33" w:rsidRPr="0095692E">
        <w:rPr>
          <w:rFonts w:ascii="Verdana" w:hAnsi="Verdana"/>
          <w:sz w:val="20"/>
          <w:szCs w:val="20"/>
        </w:rPr>
        <w:t xml:space="preserve"> en el presente caso</w:t>
      </w:r>
      <w:r w:rsidRPr="0095692E">
        <w:rPr>
          <w:rStyle w:val="Refdenotaalpie"/>
          <w:rFonts w:ascii="Verdana" w:hAnsi="Verdana"/>
          <w:sz w:val="20"/>
          <w:szCs w:val="20"/>
        </w:rPr>
        <w:footnoteReference w:id="101"/>
      </w:r>
      <w:r w:rsidRPr="0095692E">
        <w:rPr>
          <w:rFonts w:ascii="Verdana" w:hAnsi="Verdana"/>
          <w:sz w:val="20"/>
          <w:szCs w:val="20"/>
        </w:rPr>
        <w:t>. La construcción de est</w:t>
      </w:r>
      <w:r w:rsidR="006632EB" w:rsidRPr="0095692E">
        <w:rPr>
          <w:rFonts w:ascii="Verdana" w:hAnsi="Verdana"/>
          <w:sz w:val="20"/>
          <w:szCs w:val="20"/>
        </w:rPr>
        <w:t>a</w:t>
      </w:r>
      <w:r w:rsidRPr="0095692E">
        <w:rPr>
          <w:rFonts w:ascii="Verdana" w:hAnsi="Verdana"/>
          <w:sz w:val="20"/>
          <w:szCs w:val="20"/>
        </w:rPr>
        <w:t xml:space="preserve"> </w:t>
      </w:r>
      <w:r w:rsidR="00914E33" w:rsidRPr="0095692E">
        <w:rPr>
          <w:rFonts w:ascii="Verdana" w:hAnsi="Verdana"/>
          <w:sz w:val="20"/>
          <w:szCs w:val="20"/>
        </w:rPr>
        <w:t xml:space="preserve">política </w:t>
      </w:r>
      <w:r w:rsidRPr="0095692E">
        <w:rPr>
          <w:rFonts w:ascii="Verdana" w:hAnsi="Verdana"/>
          <w:sz w:val="20"/>
          <w:szCs w:val="20"/>
        </w:rPr>
        <w:t xml:space="preserve">requerirá la aplicación de principios de transparencia gubernamental y acceso a la información, declarando abrogadas todas las disposiciones que impidan la </w:t>
      </w:r>
      <w:r w:rsidRPr="0095692E">
        <w:rPr>
          <w:rFonts w:ascii="Verdana" w:hAnsi="Verdana"/>
          <w:sz w:val="20"/>
          <w:szCs w:val="20"/>
        </w:rPr>
        <w:lastRenderedPageBreak/>
        <w:t xml:space="preserve">desclasificación de informaciones relativas a las graves violaciones de derechos humanos perpetradas. </w:t>
      </w:r>
    </w:p>
    <w:p w14:paraId="61D2BF81"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6D099DFD" w14:textId="77777777" w:rsidR="00FF277B" w:rsidRPr="0095692E" w:rsidRDefault="00FF277B" w:rsidP="00FF277B">
      <w:pPr>
        <w:pStyle w:val="Ttulo3"/>
        <w:ind w:left="720" w:firstLine="0"/>
        <w:rPr>
          <w:b w:val="0"/>
          <w:bCs/>
          <w:lang w:val="es-CR"/>
        </w:rPr>
      </w:pPr>
      <w:bookmarkStart w:id="60" w:name="_Toc115262500"/>
      <w:r w:rsidRPr="0095692E">
        <w:rPr>
          <w:b w:val="0"/>
          <w:bCs/>
          <w:lang w:val="es-CR"/>
        </w:rPr>
        <w:t>F.4. Educación primaria y secundaria</w:t>
      </w:r>
      <w:bookmarkEnd w:id="60"/>
    </w:p>
    <w:p w14:paraId="24FEE2DB" w14:textId="77777777" w:rsidR="00FF277B" w:rsidRPr="0095692E" w:rsidRDefault="00FF277B" w:rsidP="00FF277B">
      <w:pPr>
        <w:rPr>
          <w:rFonts w:ascii="Verdana" w:hAnsi="Verdana"/>
          <w:sz w:val="20"/>
          <w:szCs w:val="20"/>
        </w:rPr>
      </w:pPr>
    </w:p>
    <w:p w14:paraId="1576D51D" w14:textId="23EC8FD1" w:rsidR="00FF277B" w:rsidRPr="0095692E" w:rsidRDefault="00FF277B" w:rsidP="007A7283">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El Tribunal ordena al Estado que, en el plazo de dos años, incorpore en el currículo educativo de la educación primaria y secundaria, en forma ágil, pedagógica y creativa “la historia de los períodos de violencia”</w:t>
      </w:r>
      <w:bookmarkEnd w:id="58"/>
      <w:r w:rsidRPr="0095692E">
        <w:rPr>
          <w:rFonts w:ascii="Verdana" w:hAnsi="Verdana"/>
          <w:sz w:val="20"/>
          <w:szCs w:val="20"/>
        </w:rPr>
        <w:t xml:space="preserve">, </w:t>
      </w:r>
      <w:r w:rsidRPr="0095692E">
        <w:rPr>
          <w:rFonts w:ascii="Verdana" w:hAnsi="Verdana" w:cs="Times New Roman"/>
          <w:sz w:val="20"/>
          <w:szCs w:val="20"/>
        </w:rPr>
        <w:t>en especial la contenida bajo la aplicación de la Doctrina de Seguridad Nacional.</w:t>
      </w:r>
    </w:p>
    <w:p w14:paraId="0ADA7AF3"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7AAB85B4" w14:textId="77777777" w:rsidR="00FF277B" w:rsidRPr="0095692E" w:rsidRDefault="00FF277B" w:rsidP="00FF277B">
      <w:pPr>
        <w:pStyle w:val="Ttulo3"/>
        <w:ind w:left="720" w:firstLine="0"/>
        <w:rPr>
          <w:b w:val="0"/>
          <w:bCs/>
          <w:lang w:val="es-CR"/>
        </w:rPr>
      </w:pPr>
      <w:bookmarkStart w:id="61" w:name="_Toc115262501"/>
      <w:r w:rsidRPr="0095692E">
        <w:rPr>
          <w:b w:val="0"/>
          <w:bCs/>
          <w:lang w:val="es-CR"/>
        </w:rPr>
        <w:t>F.5. Otras medidas solicitadas</w:t>
      </w:r>
      <w:bookmarkEnd w:id="61"/>
    </w:p>
    <w:p w14:paraId="21354AE5" w14:textId="77777777" w:rsidR="00FF277B" w:rsidRPr="0095692E" w:rsidRDefault="00FF277B" w:rsidP="00FF277B">
      <w:pPr>
        <w:rPr>
          <w:rFonts w:ascii="Verdana" w:hAnsi="Verdana"/>
          <w:sz w:val="20"/>
          <w:szCs w:val="20"/>
        </w:rPr>
      </w:pPr>
    </w:p>
    <w:p w14:paraId="1486FA74" w14:textId="01E03D4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cs="Times New Roman"/>
          <w:sz w:val="20"/>
          <w:szCs w:val="20"/>
        </w:rPr>
        <w:t xml:space="preserve">Los </w:t>
      </w:r>
      <w:r w:rsidRPr="0095692E">
        <w:rPr>
          <w:rFonts w:ascii="Verdana" w:hAnsi="Verdana" w:cs="Times New Roman"/>
          <w:b/>
          <w:bCs/>
          <w:i/>
          <w:iCs/>
          <w:sz w:val="20"/>
          <w:szCs w:val="20"/>
        </w:rPr>
        <w:t>representantes</w:t>
      </w:r>
      <w:r w:rsidRPr="0095692E">
        <w:rPr>
          <w:rFonts w:ascii="Verdana" w:hAnsi="Verdana" w:cs="Times New Roman"/>
          <w:sz w:val="20"/>
          <w:szCs w:val="20"/>
        </w:rPr>
        <w:t xml:space="preserve"> solicitaron que la Corte ordene a Honduras la promulgación de una ley para la investigación de la responsabilidad de toda la cadena de mando que se vio involucrada en los crímenes por razones políticas de los años ochenta.</w:t>
      </w:r>
      <w:r w:rsidRPr="0095692E">
        <w:rPr>
          <w:rFonts w:ascii="Verdana" w:hAnsi="Verdana" w:cs="Times New Roman"/>
          <w:b/>
          <w:bCs/>
          <w:sz w:val="20"/>
          <w:szCs w:val="20"/>
        </w:rPr>
        <w:t xml:space="preserve"> </w:t>
      </w:r>
      <w:r w:rsidRPr="0095692E">
        <w:rPr>
          <w:rFonts w:ascii="Verdana" w:hAnsi="Verdana" w:cs="Times New Roman"/>
          <w:sz w:val="20"/>
          <w:szCs w:val="20"/>
        </w:rPr>
        <w:t xml:space="preserve">El </w:t>
      </w:r>
      <w:r w:rsidRPr="0095692E">
        <w:rPr>
          <w:rFonts w:ascii="Verdana" w:hAnsi="Verdana" w:cs="Times New Roman"/>
          <w:b/>
          <w:bCs/>
          <w:i/>
          <w:iCs/>
          <w:sz w:val="20"/>
          <w:szCs w:val="20"/>
        </w:rPr>
        <w:t>Estado</w:t>
      </w:r>
      <w:r w:rsidRPr="0095692E">
        <w:rPr>
          <w:rFonts w:ascii="Verdana" w:hAnsi="Verdana" w:cs="Times New Roman"/>
          <w:sz w:val="20"/>
          <w:szCs w:val="20"/>
        </w:rPr>
        <w:t>, en su escrito de allanamiento (</w:t>
      </w:r>
      <w:r w:rsidR="00C40AC0" w:rsidRPr="0095692E">
        <w:rPr>
          <w:rFonts w:ascii="Verdana" w:hAnsi="Verdana" w:cs="Times New Roman"/>
          <w:i/>
          <w:iCs/>
          <w:sz w:val="20"/>
          <w:szCs w:val="20"/>
        </w:rPr>
        <w:t>supra</w:t>
      </w:r>
      <w:r w:rsidRPr="0095692E">
        <w:rPr>
          <w:rFonts w:ascii="Verdana" w:hAnsi="Verdana" w:cs="Times New Roman"/>
          <w:sz w:val="20"/>
          <w:szCs w:val="20"/>
        </w:rPr>
        <w:t xml:space="preserve"> párr. </w:t>
      </w:r>
      <w:r w:rsidR="00C40AC0" w:rsidRPr="0095692E">
        <w:rPr>
          <w:rFonts w:ascii="Verdana" w:hAnsi="Verdana" w:cs="Times New Roman"/>
          <w:sz w:val="20"/>
          <w:szCs w:val="20"/>
        </w:rPr>
        <w:t>111</w:t>
      </w:r>
      <w:r w:rsidRPr="0095692E">
        <w:rPr>
          <w:rFonts w:ascii="Verdana" w:hAnsi="Verdana" w:cs="Times New Roman"/>
          <w:sz w:val="20"/>
          <w:szCs w:val="20"/>
        </w:rPr>
        <w:t xml:space="preserve">), se comprometió a emitir “[u]na ley que permita investigar a las personas de la </w:t>
      </w:r>
      <w:r w:rsidR="00C40AC0" w:rsidRPr="0095692E">
        <w:rPr>
          <w:rFonts w:ascii="Verdana" w:hAnsi="Verdana" w:cs="Times New Roman"/>
          <w:sz w:val="20"/>
          <w:szCs w:val="20"/>
        </w:rPr>
        <w:t>[c]</w:t>
      </w:r>
      <w:r w:rsidRPr="0095692E">
        <w:rPr>
          <w:rFonts w:ascii="Verdana" w:hAnsi="Verdana" w:cs="Times New Roman"/>
          <w:sz w:val="20"/>
          <w:szCs w:val="20"/>
        </w:rPr>
        <w:t xml:space="preserve">adena de </w:t>
      </w:r>
      <w:r w:rsidR="00C40AC0" w:rsidRPr="0095692E">
        <w:rPr>
          <w:rFonts w:ascii="Verdana" w:hAnsi="Verdana" w:cs="Times New Roman"/>
          <w:sz w:val="20"/>
          <w:szCs w:val="20"/>
        </w:rPr>
        <w:t>[m]</w:t>
      </w:r>
      <w:r w:rsidRPr="0095692E">
        <w:rPr>
          <w:rFonts w:ascii="Verdana" w:hAnsi="Verdana" w:cs="Times New Roman"/>
          <w:sz w:val="20"/>
          <w:szCs w:val="20"/>
        </w:rPr>
        <w:t>ando que se vieron involucrada</w:t>
      </w:r>
      <w:r w:rsidR="00C40AC0" w:rsidRPr="0095692E">
        <w:rPr>
          <w:rFonts w:ascii="Verdana" w:hAnsi="Verdana" w:cs="Times New Roman"/>
          <w:sz w:val="20"/>
          <w:szCs w:val="20"/>
        </w:rPr>
        <w:t>s</w:t>
      </w:r>
      <w:r w:rsidRPr="0095692E">
        <w:rPr>
          <w:rFonts w:ascii="Verdana" w:hAnsi="Verdana" w:cs="Times New Roman"/>
          <w:sz w:val="20"/>
          <w:szCs w:val="20"/>
        </w:rPr>
        <w:t xml:space="preserve"> en los crímenes, por razones políticas de los años ochenta y el asesinato de Herminio Deras en particular; con la participación coordinada de diferentes agentes en diferentes niveles y estructuras jerárquicas y en el ejercicio de funciones distintas”. </w:t>
      </w:r>
    </w:p>
    <w:p w14:paraId="1942DDA7"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2AA90A79" w14:textId="680CBC67" w:rsidR="00FF277B" w:rsidRPr="0095692E" w:rsidRDefault="00FF277B" w:rsidP="00BC6863">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w:t>
      </w:r>
      <w:r w:rsidRPr="0095692E">
        <w:rPr>
          <w:rFonts w:ascii="Verdana" w:hAnsi="Verdana"/>
          <w:b/>
          <w:bCs/>
          <w:i/>
          <w:iCs/>
          <w:sz w:val="20"/>
          <w:szCs w:val="20"/>
        </w:rPr>
        <w:t>Corte</w:t>
      </w:r>
      <w:r w:rsidRPr="0095692E">
        <w:rPr>
          <w:rFonts w:ascii="Verdana" w:hAnsi="Verdana"/>
          <w:sz w:val="20"/>
          <w:szCs w:val="20"/>
        </w:rPr>
        <w:t xml:space="preserve"> no cuenta con elementos fácticos suficientes para analizar la pertinencia de esta medida y, además, considera que la emisión de la presente Sentencia y las reparaciones ordenadas en este capítulo resultan suficientes y adecuadas para remediar las violaciones sufridas por la</w:t>
      </w:r>
      <w:r w:rsidR="00C40AC0" w:rsidRPr="0095692E">
        <w:rPr>
          <w:rFonts w:ascii="Verdana" w:hAnsi="Verdana"/>
          <w:sz w:val="20"/>
          <w:szCs w:val="20"/>
        </w:rPr>
        <w:t>s</w:t>
      </w:r>
      <w:r w:rsidRPr="0095692E">
        <w:rPr>
          <w:rFonts w:ascii="Verdana" w:hAnsi="Verdana"/>
          <w:sz w:val="20"/>
          <w:szCs w:val="20"/>
        </w:rPr>
        <w:t xml:space="preserve"> víctima</w:t>
      </w:r>
      <w:r w:rsidR="00C40AC0" w:rsidRPr="0095692E">
        <w:rPr>
          <w:rFonts w:ascii="Verdana" w:hAnsi="Verdana"/>
          <w:sz w:val="20"/>
          <w:szCs w:val="20"/>
        </w:rPr>
        <w:t>s</w:t>
      </w:r>
      <w:r w:rsidRPr="0095692E">
        <w:rPr>
          <w:rFonts w:ascii="Verdana" w:hAnsi="Verdana"/>
          <w:sz w:val="20"/>
          <w:szCs w:val="20"/>
        </w:rPr>
        <w:t>. Sin perjuicio de lo anterior, el Tribunal valora positivamente medidas adicionales dirigidas a la reparación integral de las víctimas que el Estado estime pertinente adoptar.</w:t>
      </w:r>
    </w:p>
    <w:p w14:paraId="320386B8" w14:textId="77777777" w:rsidR="00FF277B" w:rsidRPr="0095692E" w:rsidRDefault="00FF277B" w:rsidP="00FF277B">
      <w:pPr>
        <w:pStyle w:val="Prrafodelista"/>
        <w:spacing w:after="0" w:line="240" w:lineRule="auto"/>
        <w:ind w:left="0"/>
        <w:contextualSpacing w:val="0"/>
        <w:rPr>
          <w:rFonts w:ascii="Verdana" w:hAnsi="Verdana"/>
          <w:sz w:val="20"/>
          <w:szCs w:val="20"/>
        </w:rPr>
      </w:pPr>
    </w:p>
    <w:p w14:paraId="4C54149D" w14:textId="77777777" w:rsidR="00FF277B" w:rsidRPr="0095692E" w:rsidRDefault="00FF277B" w:rsidP="00616B53">
      <w:pPr>
        <w:pStyle w:val="Ttulo2"/>
        <w:keepNext/>
        <w:keepLines/>
        <w:widowControl w:val="0"/>
        <w:numPr>
          <w:ilvl w:val="0"/>
          <w:numId w:val="58"/>
        </w:numPr>
        <w:pBdr>
          <w:top w:val="none" w:sz="0" w:space="0" w:color="auto"/>
        </w:pBdr>
        <w:adjustRightInd w:val="0"/>
        <w:ind w:left="990"/>
        <w:textAlignment w:val="baseline"/>
        <w:rPr>
          <w:lang w:val="es-CR"/>
        </w:rPr>
      </w:pPr>
      <w:bookmarkStart w:id="62" w:name="_Toc115262502"/>
      <w:r w:rsidRPr="0095692E">
        <w:rPr>
          <w:lang w:val="es-CR"/>
        </w:rPr>
        <w:t>Indemnizaciones compensatorias</w:t>
      </w:r>
      <w:bookmarkEnd w:id="62"/>
    </w:p>
    <w:p w14:paraId="3851F03E" w14:textId="77777777" w:rsidR="0052147B" w:rsidRPr="0095692E" w:rsidRDefault="0052147B" w:rsidP="0052147B">
      <w:pPr>
        <w:pStyle w:val="Prrafodelista"/>
        <w:spacing w:after="0" w:line="240" w:lineRule="auto"/>
        <w:ind w:left="0"/>
        <w:contextualSpacing w:val="0"/>
        <w:jc w:val="both"/>
        <w:rPr>
          <w:rFonts w:ascii="Verdana" w:hAnsi="Verdana"/>
          <w:sz w:val="20"/>
          <w:szCs w:val="20"/>
        </w:rPr>
      </w:pPr>
    </w:p>
    <w:p w14:paraId="50A7A7B9" w14:textId="281B3F23"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este apartado la Corte analizará en forma conjunta los daños materiales e inmateriales, considerando que el </w:t>
      </w:r>
      <w:r w:rsidRPr="0095692E">
        <w:rPr>
          <w:rFonts w:ascii="Verdana" w:hAnsi="Verdana"/>
          <w:b/>
          <w:bCs/>
          <w:i/>
          <w:iCs/>
          <w:sz w:val="20"/>
          <w:szCs w:val="20"/>
        </w:rPr>
        <w:t xml:space="preserve">Estado </w:t>
      </w:r>
      <w:r w:rsidRPr="0095692E">
        <w:rPr>
          <w:rFonts w:ascii="Verdana" w:hAnsi="Verdana"/>
          <w:sz w:val="20"/>
          <w:szCs w:val="20"/>
        </w:rPr>
        <w:t>solicitó que esta Corte establezca los montos de conformidad a la jurisprudencia, y tomando en cuenta los principios de equidad, proporcionalidad y necesidad, así como los recursos disponibles por parte del Estado, y que fije su ejecución en un plazo razonable.</w:t>
      </w:r>
    </w:p>
    <w:p w14:paraId="4ADA3222"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2FC21898" w14:textId="6CD7E0A4"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Los </w:t>
      </w:r>
      <w:r w:rsidRPr="0095692E">
        <w:rPr>
          <w:rFonts w:ascii="Verdana" w:hAnsi="Verdana"/>
          <w:b/>
          <w:bCs/>
          <w:i/>
          <w:iCs/>
          <w:sz w:val="20"/>
          <w:szCs w:val="20"/>
        </w:rPr>
        <w:t>representantes</w:t>
      </w:r>
      <w:r w:rsidRPr="0095692E">
        <w:rPr>
          <w:rFonts w:ascii="Verdana" w:hAnsi="Verdana"/>
          <w:sz w:val="20"/>
          <w:szCs w:val="20"/>
        </w:rPr>
        <w:t xml:space="preserve"> solicitaron que</w:t>
      </w:r>
      <w:r w:rsidRPr="0095692E">
        <w:rPr>
          <w:rFonts w:ascii="Verdana" w:hAnsi="Verdana" w:cs="Arial"/>
          <w:sz w:val="20"/>
          <w:szCs w:val="20"/>
        </w:rPr>
        <w:t xml:space="preserve"> se determine en equidad, por el daño emergente</w:t>
      </w:r>
      <w:r w:rsidRPr="0095692E">
        <w:rPr>
          <w:rStyle w:val="Refdenotaalpie"/>
          <w:rFonts w:ascii="Verdana" w:hAnsi="Verdana"/>
          <w:sz w:val="20"/>
          <w:szCs w:val="20"/>
        </w:rPr>
        <w:footnoteReference w:id="102"/>
      </w:r>
      <w:r w:rsidRPr="0095692E">
        <w:rPr>
          <w:rFonts w:ascii="Verdana" w:hAnsi="Verdana" w:cs="Arial"/>
          <w:sz w:val="20"/>
          <w:szCs w:val="20"/>
        </w:rPr>
        <w:t xml:space="preserve">, la cantidad total de USD$ 13.280,00 (trece mil doscientos ochenta </w:t>
      </w:r>
      <w:r w:rsidRPr="0095692E">
        <w:rPr>
          <w:rFonts w:ascii="Verdana" w:hAnsi="Verdana"/>
          <w:sz w:val="20"/>
          <w:szCs w:val="20"/>
        </w:rPr>
        <w:t>dólares de los Estados Unidos de América)</w:t>
      </w:r>
      <w:r w:rsidRPr="0095692E">
        <w:rPr>
          <w:rStyle w:val="Refdenotaalpie"/>
          <w:rFonts w:ascii="Verdana" w:hAnsi="Verdana"/>
          <w:sz w:val="20"/>
          <w:szCs w:val="20"/>
        </w:rPr>
        <w:t xml:space="preserve"> </w:t>
      </w:r>
      <w:r w:rsidRPr="0095692E">
        <w:rPr>
          <w:rStyle w:val="Refdenotaalpie"/>
          <w:rFonts w:ascii="Verdana" w:hAnsi="Verdana"/>
          <w:sz w:val="20"/>
          <w:szCs w:val="20"/>
        </w:rPr>
        <w:footnoteReference w:id="103"/>
      </w:r>
      <w:r w:rsidRPr="0095692E">
        <w:rPr>
          <w:rFonts w:ascii="Verdana" w:hAnsi="Verdana"/>
          <w:sz w:val="20"/>
          <w:szCs w:val="20"/>
        </w:rPr>
        <w:t xml:space="preserve">, de la cual </w:t>
      </w:r>
      <w:r w:rsidR="000279AD" w:rsidRPr="0095692E">
        <w:rPr>
          <w:rFonts w:ascii="Verdana" w:hAnsi="Verdana" w:cs="Arial"/>
          <w:sz w:val="20"/>
          <w:szCs w:val="20"/>
        </w:rPr>
        <w:t xml:space="preserve">USD$ </w:t>
      </w:r>
      <w:r w:rsidRPr="0095692E">
        <w:rPr>
          <w:rFonts w:ascii="Verdana" w:hAnsi="Verdana"/>
          <w:sz w:val="20"/>
          <w:szCs w:val="20"/>
        </w:rPr>
        <w:t xml:space="preserve">3.280,00 </w:t>
      </w:r>
      <w:r w:rsidRPr="0095692E">
        <w:rPr>
          <w:rFonts w:ascii="Verdana" w:hAnsi="Verdana" w:cs="Arial"/>
          <w:sz w:val="20"/>
          <w:szCs w:val="20"/>
        </w:rPr>
        <w:t xml:space="preserve">(tres mil doscientos ochenta </w:t>
      </w:r>
      <w:r w:rsidRPr="0095692E">
        <w:rPr>
          <w:rFonts w:ascii="Verdana" w:hAnsi="Verdana"/>
          <w:sz w:val="20"/>
          <w:szCs w:val="20"/>
        </w:rPr>
        <w:t>dólares de los Estados Unidos de América) habría sido la suma soportada por Otilia Deras Flores</w:t>
      </w:r>
      <w:r w:rsidRPr="0095692E">
        <w:rPr>
          <w:rStyle w:val="Refdenotaalpie"/>
          <w:rFonts w:ascii="Verdana" w:hAnsi="Verdana"/>
          <w:sz w:val="20"/>
          <w:szCs w:val="20"/>
        </w:rPr>
        <w:footnoteReference w:id="104"/>
      </w:r>
      <w:r w:rsidRPr="0095692E">
        <w:rPr>
          <w:rFonts w:ascii="Verdana" w:hAnsi="Verdana"/>
          <w:sz w:val="20"/>
          <w:szCs w:val="20"/>
        </w:rPr>
        <w:t xml:space="preserve">. </w:t>
      </w:r>
      <w:r w:rsidRPr="0095692E">
        <w:rPr>
          <w:rFonts w:ascii="Verdana" w:hAnsi="Verdana" w:cs="Arial"/>
          <w:sz w:val="20"/>
          <w:szCs w:val="20"/>
        </w:rPr>
        <w:t xml:space="preserve">Sobre el lucro cesante, solicitaron ordenar al Estado pagar la suma de </w:t>
      </w:r>
      <w:bookmarkStart w:id="63" w:name="_Hlk110257715"/>
      <w:r w:rsidRPr="0095692E">
        <w:rPr>
          <w:rFonts w:ascii="Verdana" w:hAnsi="Verdana" w:cs="Arial"/>
          <w:sz w:val="20"/>
          <w:szCs w:val="20"/>
        </w:rPr>
        <w:t xml:space="preserve">USD$ 25.000,00 (veinticinco mil </w:t>
      </w:r>
      <w:r w:rsidRPr="0095692E">
        <w:rPr>
          <w:rFonts w:ascii="Verdana" w:hAnsi="Verdana"/>
          <w:sz w:val="20"/>
          <w:szCs w:val="20"/>
        </w:rPr>
        <w:t>dólares de los Estados Unidos de América</w:t>
      </w:r>
      <w:r w:rsidRPr="0095692E">
        <w:rPr>
          <w:rFonts w:ascii="Verdana" w:hAnsi="Verdana" w:cs="Arial"/>
          <w:sz w:val="20"/>
          <w:szCs w:val="20"/>
        </w:rPr>
        <w:t xml:space="preserve">) a favor </w:t>
      </w:r>
      <w:r w:rsidRPr="0095692E">
        <w:rPr>
          <w:rFonts w:ascii="Verdana" w:hAnsi="Verdana" w:cs="Arial"/>
          <w:sz w:val="20"/>
          <w:szCs w:val="20"/>
        </w:rPr>
        <w:lastRenderedPageBreak/>
        <w:t>de Domingo Deras</w:t>
      </w:r>
      <w:r w:rsidR="000279AD" w:rsidRPr="0095692E">
        <w:rPr>
          <w:rFonts w:ascii="Verdana" w:hAnsi="Verdana" w:cs="Arial"/>
          <w:sz w:val="20"/>
          <w:szCs w:val="20"/>
        </w:rPr>
        <w:t xml:space="preserve"> Henríquez</w:t>
      </w:r>
      <w:r w:rsidRPr="0095692E">
        <w:rPr>
          <w:rFonts w:ascii="Verdana" w:hAnsi="Verdana" w:cs="Arial"/>
          <w:sz w:val="20"/>
          <w:szCs w:val="20"/>
          <w:vertAlign w:val="superscript"/>
        </w:rPr>
        <w:footnoteReference w:id="105"/>
      </w:r>
      <w:r w:rsidR="000279AD" w:rsidRPr="0095692E">
        <w:rPr>
          <w:rFonts w:ascii="Verdana" w:hAnsi="Verdana" w:cs="Arial"/>
          <w:sz w:val="20"/>
          <w:szCs w:val="20"/>
        </w:rPr>
        <w:t>;</w:t>
      </w:r>
      <w:r w:rsidRPr="0095692E">
        <w:rPr>
          <w:rFonts w:ascii="Verdana" w:hAnsi="Verdana" w:cs="Arial"/>
          <w:sz w:val="20"/>
          <w:szCs w:val="20"/>
        </w:rPr>
        <w:t xml:space="preserve"> USD$ 1.300,00 (mil trescientos dólares </w:t>
      </w:r>
      <w:r w:rsidR="000279AD" w:rsidRPr="0095692E">
        <w:rPr>
          <w:rFonts w:ascii="Verdana" w:hAnsi="Verdana"/>
          <w:sz w:val="20"/>
          <w:szCs w:val="20"/>
        </w:rPr>
        <w:t>de los Estados Unidos de América</w:t>
      </w:r>
      <w:r w:rsidRPr="0095692E">
        <w:rPr>
          <w:rFonts w:ascii="Verdana" w:hAnsi="Verdana" w:cs="Arial"/>
          <w:sz w:val="20"/>
          <w:szCs w:val="20"/>
        </w:rPr>
        <w:t>) a favor de Marlen García Pineda</w:t>
      </w:r>
      <w:r w:rsidRPr="0095692E">
        <w:rPr>
          <w:rFonts w:ascii="Verdana" w:hAnsi="Verdana" w:cs="Arial"/>
          <w:sz w:val="20"/>
          <w:szCs w:val="20"/>
          <w:vertAlign w:val="superscript"/>
        </w:rPr>
        <w:footnoteReference w:id="106"/>
      </w:r>
      <w:r w:rsidRPr="0095692E">
        <w:rPr>
          <w:rFonts w:ascii="Verdana" w:hAnsi="Verdana" w:cs="Arial"/>
          <w:sz w:val="20"/>
          <w:szCs w:val="20"/>
        </w:rPr>
        <w:t xml:space="preserve"> y Sandra Ivon Hernández Deras</w:t>
      </w:r>
      <w:r w:rsidRPr="0095692E">
        <w:rPr>
          <w:rFonts w:ascii="Verdana" w:hAnsi="Verdana" w:cs="Arial"/>
          <w:sz w:val="20"/>
          <w:szCs w:val="20"/>
          <w:vertAlign w:val="superscript"/>
        </w:rPr>
        <w:footnoteReference w:id="107"/>
      </w:r>
      <w:r w:rsidRPr="0095692E">
        <w:rPr>
          <w:rFonts w:ascii="Verdana" w:hAnsi="Verdana" w:cs="Arial"/>
          <w:sz w:val="20"/>
          <w:szCs w:val="20"/>
        </w:rPr>
        <w:t xml:space="preserve">, cada una; USD$12.50 (doce </w:t>
      </w:r>
      <w:r w:rsidRPr="0095692E">
        <w:rPr>
          <w:rFonts w:ascii="Verdana" w:hAnsi="Verdana"/>
          <w:sz w:val="20"/>
          <w:szCs w:val="20"/>
        </w:rPr>
        <w:t>dólares de los Estados Unidos de América</w:t>
      </w:r>
      <w:r w:rsidRPr="0095692E">
        <w:rPr>
          <w:rFonts w:ascii="Verdana" w:hAnsi="Verdana" w:cs="Arial"/>
          <w:sz w:val="20"/>
          <w:szCs w:val="20"/>
        </w:rPr>
        <w:t xml:space="preserve"> con cincuenta centavos) a favor de Consuelo Deras García</w:t>
      </w:r>
      <w:r w:rsidRPr="0095692E">
        <w:rPr>
          <w:rFonts w:ascii="Verdana" w:hAnsi="Verdana" w:cs="Arial"/>
          <w:sz w:val="20"/>
          <w:szCs w:val="20"/>
          <w:vertAlign w:val="superscript"/>
        </w:rPr>
        <w:footnoteReference w:id="108"/>
      </w:r>
      <w:r w:rsidRPr="0095692E">
        <w:rPr>
          <w:rFonts w:ascii="Verdana" w:hAnsi="Verdana" w:cs="Arial"/>
          <w:sz w:val="20"/>
          <w:szCs w:val="20"/>
        </w:rPr>
        <w:t xml:space="preserve"> y Julio Cesar Chavarría Banegas</w:t>
      </w:r>
      <w:r w:rsidRPr="0095692E">
        <w:rPr>
          <w:rFonts w:ascii="Verdana" w:hAnsi="Verdana" w:cs="Arial"/>
          <w:sz w:val="20"/>
          <w:szCs w:val="20"/>
          <w:vertAlign w:val="superscript"/>
        </w:rPr>
        <w:footnoteReference w:id="109"/>
      </w:r>
      <w:r w:rsidRPr="0095692E">
        <w:rPr>
          <w:rFonts w:ascii="Verdana" w:hAnsi="Verdana" w:cs="Arial"/>
          <w:sz w:val="20"/>
          <w:szCs w:val="20"/>
        </w:rPr>
        <w:t xml:space="preserve">, cada uno; USD$ 25 (veinticinco dólares </w:t>
      </w:r>
      <w:r w:rsidRPr="0095692E">
        <w:rPr>
          <w:rFonts w:ascii="Verdana" w:hAnsi="Verdana"/>
          <w:sz w:val="20"/>
          <w:szCs w:val="20"/>
        </w:rPr>
        <w:t>de los Estados Unidos de América</w:t>
      </w:r>
      <w:r w:rsidRPr="0095692E">
        <w:rPr>
          <w:rFonts w:ascii="Verdana" w:hAnsi="Verdana" w:cs="Arial"/>
          <w:sz w:val="20"/>
          <w:szCs w:val="20"/>
        </w:rPr>
        <w:t>) a favor de Héctor García</w:t>
      </w:r>
      <w:r w:rsidRPr="0095692E">
        <w:rPr>
          <w:rFonts w:ascii="Verdana" w:hAnsi="Verdana" w:cs="Arial"/>
          <w:sz w:val="20"/>
          <w:szCs w:val="20"/>
          <w:vertAlign w:val="superscript"/>
        </w:rPr>
        <w:footnoteReference w:id="110"/>
      </w:r>
      <w:r w:rsidRPr="0095692E">
        <w:rPr>
          <w:rFonts w:ascii="Verdana" w:hAnsi="Verdana" w:cs="Arial"/>
          <w:sz w:val="20"/>
          <w:szCs w:val="20"/>
        </w:rPr>
        <w:t xml:space="preserve">; USD$10 (diez dólares </w:t>
      </w:r>
      <w:r w:rsidRPr="0095692E">
        <w:rPr>
          <w:rFonts w:ascii="Verdana" w:hAnsi="Verdana"/>
          <w:sz w:val="20"/>
          <w:szCs w:val="20"/>
        </w:rPr>
        <w:t>de los Estados Unidos de América</w:t>
      </w:r>
      <w:r w:rsidRPr="0095692E">
        <w:rPr>
          <w:rFonts w:ascii="Verdana" w:hAnsi="Verdana" w:cs="Arial"/>
          <w:sz w:val="20"/>
          <w:szCs w:val="20"/>
        </w:rPr>
        <w:t>) a favor de Cristóbal Rufino Hernández</w:t>
      </w:r>
      <w:r w:rsidRPr="0095692E">
        <w:rPr>
          <w:rFonts w:ascii="Verdana" w:hAnsi="Verdana" w:cs="Arial"/>
          <w:sz w:val="20"/>
          <w:szCs w:val="20"/>
          <w:vertAlign w:val="superscript"/>
        </w:rPr>
        <w:footnoteReference w:id="111"/>
      </w:r>
      <w:r w:rsidRPr="0095692E">
        <w:rPr>
          <w:rFonts w:ascii="Verdana" w:hAnsi="Verdana" w:cs="Arial"/>
          <w:sz w:val="20"/>
          <w:szCs w:val="20"/>
        </w:rPr>
        <w:t xml:space="preserve">, y USD$ 33,508.52 (treinta y tres mil quinientos ocho dólares </w:t>
      </w:r>
      <w:r w:rsidRPr="0095692E">
        <w:rPr>
          <w:rFonts w:ascii="Verdana" w:hAnsi="Verdana"/>
          <w:sz w:val="20"/>
          <w:szCs w:val="20"/>
        </w:rPr>
        <w:t>de los Estados Unidos de América</w:t>
      </w:r>
      <w:r w:rsidRPr="0095692E">
        <w:rPr>
          <w:rFonts w:ascii="Verdana" w:hAnsi="Verdana" w:cs="Arial"/>
          <w:sz w:val="20"/>
          <w:szCs w:val="20"/>
        </w:rPr>
        <w:t xml:space="preserve"> con cincuenta y dos centavos) a favor de Herminio Deras García</w:t>
      </w:r>
      <w:bookmarkEnd w:id="63"/>
      <w:r w:rsidRPr="0095692E">
        <w:rPr>
          <w:rStyle w:val="Refdenotaalpie"/>
          <w:rFonts w:ascii="Verdana" w:hAnsi="Verdana"/>
          <w:sz w:val="20"/>
          <w:szCs w:val="20"/>
        </w:rPr>
        <w:footnoteReference w:id="112"/>
      </w:r>
      <w:r w:rsidRPr="0095692E">
        <w:rPr>
          <w:rFonts w:ascii="Verdana" w:hAnsi="Verdana" w:cs="Arial"/>
          <w:sz w:val="20"/>
          <w:szCs w:val="20"/>
        </w:rPr>
        <w:t>.</w:t>
      </w:r>
      <w:r w:rsidRPr="0095692E">
        <w:rPr>
          <w:rFonts w:ascii="Verdana" w:hAnsi="Verdana"/>
          <w:sz w:val="20"/>
          <w:szCs w:val="20"/>
        </w:rPr>
        <w:t xml:space="preserve"> </w:t>
      </w:r>
    </w:p>
    <w:p w14:paraId="44365BAE"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74680197" w14:textId="0FE30E04"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Por otra parte, los representantes solicitaron que el Estado devuelva con sus intereses y al “valor de la moneda más dura”, conforme a los precedentes interamericanos, la fianza colectiva que fueron obligados a pagar los familiares del señor Herminio Deras García con motivo de la detención del 8 de junio de 1984. Solicitaron así que la Corte fijara en equidad el monto de </w:t>
      </w:r>
      <w:r w:rsidR="002620CF" w:rsidRPr="0095692E">
        <w:rPr>
          <w:rFonts w:ascii="Verdana" w:hAnsi="Verdana"/>
          <w:sz w:val="20"/>
          <w:szCs w:val="20"/>
        </w:rPr>
        <w:t xml:space="preserve">USD$ </w:t>
      </w:r>
      <w:r w:rsidRPr="0095692E">
        <w:rPr>
          <w:rFonts w:ascii="Verdana" w:hAnsi="Verdana"/>
          <w:sz w:val="20"/>
          <w:szCs w:val="20"/>
        </w:rPr>
        <w:t>1.000,00 (mil dólares de</w:t>
      </w:r>
      <w:r w:rsidR="002620CF" w:rsidRPr="0095692E">
        <w:rPr>
          <w:rFonts w:ascii="Verdana" w:hAnsi="Verdana"/>
          <w:sz w:val="20"/>
          <w:szCs w:val="20"/>
        </w:rPr>
        <w:t xml:space="preserve"> los</w:t>
      </w:r>
      <w:r w:rsidRPr="0095692E">
        <w:rPr>
          <w:rFonts w:ascii="Verdana" w:hAnsi="Verdana"/>
          <w:sz w:val="20"/>
          <w:szCs w:val="20"/>
        </w:rPr>
        <w:t xml:space="preserve"> Estados Unidos de América). </w:t>
      </w:r>
    </w:p>
    <w:p w14:paraId="551206D3" w14:textId="77777777" w:rsidR="00FF277B" w:rsidRPr="0095692E" w:rsidRDefault="00FF277B" w:rsidP="00FF277B">
      <w:pPr>
        <w:pStyle w:val="Prrafodelista"/>
        <w:spacing w:after="0" w:line="240" w:lineRule="auto"/>
        <w:contextualSpacing w:val="0"/>
        <w:rPr>
          <w:rFonts w:ascii="Verdana" w:hAnsi="Verdana"/>
          <w:sz w:val="20"/>
          <w:szCs w:val="20"/>
        </w:rPr>
      </w:pPr>
    </w:p>
    <w:p w14:paraId="2F9CA7FE" w14:textId="2E57AB4F"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Respecto al daño inmaterial</w:t>
      </w:r>
      <w:r w:rsidRPr="0095692E">
        <w:rPr>
          <w:rFonts w:ascii="Verdana" w:hAnsi="Verdana" w:cs="Arial"/>
          <w:sz w:val="20"/>
          <w:szCs w:val="20"/>
        </w:rPr>
        <w:t>, solicitaron que la Corte fije la suma de dinero que el Estado deberá pagar a favor de Herminio Deras García y su familia. Además, indicaron que “[l]a vida de Herminio Deras García, merece ser tomada en cuenta al momento de establecer las cantidades que el Estado de Honduras debe pagar</w:t>
      </w:r>
      <w:r w:rsidR="002620CF" w:rsidRPr="0095692E">
        <w:rPr>
          <w:rFonts w:ascii="Verdana" w:hAnsi="Verdana" w:cs="Arial"/>
          <w:sz w:val="20"/>
          <w:szCs w:val="20"/>
        </w:rPr>
        <w:t>”</w:t>
      </w:r>
      <w:r w:rsidRPr="0095692E">
        <w:rPr>
          <w:rFonts w:ascii="Verdana" w:hAnsi="Verdana" w:cs="Arial"/>
          <w:sz w:val="20"/>
          <w:szCs w:val="20"/>
        </w:rPr>
        <w:t xml:space="preserve">, por lo que solicitaron que se “incluya como uno de los rubros a indemnizar, la pérdida irreparable de la vida de Herminio Deras García, dándose así el reconocimiento al valor autónomo que esta tiene y fije un monto en equidad”. </w:t>
      </w:r>
    </w:p>
    <w:p w14:paraId="27E57EDC" w14:textId="77777777" w:rsidR="00FF277B" w:rsidRPr="0095692E" w:rsidRDefault="00FF277B" w:rsidP="00FF277B">
      <w:pPr>
        <w:pStyle w:val="Prrafodelista"/>
        <w:spacing w:after="0" w:line="240" w:lineRule="auto"/>
        <w:contextualSpacing w:val="0"/>
        <w:rPr>
          <w:rFonts w:ascii="Verdana" w:hAnsi="Verdana"/>
          <w:sz w:val="20"/>
          <w:szCs w:val="20"/>
        </w:rPr>
      </w:pPr>
    </w:p>
    <w:p w14:paraId="2A40919E"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lastRenderedPageBreak/>
        <w:t xml:space="preserve">Esta </w:t>
      </w:r>
      <w:r w:rsidRPr="0095692E">
        <w:rPr>
          <w:rFonts w:ascii="Verdana" w:hAnsi="Verdana"/>
          <w:b/>
          <w:bCs/>
          <w:i/>
          <w:iCs/>
          <w:sz w:val="20"/>
          <w:szCs w:val="20"/>
        </w:rPr>
        <w:t xml:space="preserve">Corte </w:t>
      </w:r>
      <w:r w:rsidRPr="0095692E">
        <w:rPr>
          <w:rFonts w:ascii="Verdana" w:hAnsi="Verdana"/>
          <w:sz w:val="20"/>
          <w:szCs w:val="20"/>
        </w:rPr>
        <w:t>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95692E">
        <w:rPr>
          <w:rStyle w:val="Refdenotaalpie"/>
          <w:rFonts w:ascii="Verdana" w:hAnsi="Verdana"/>
          <w:sz w:val="20"/>
          <w:szCs w:val="20"/>
        </w:rPr>
        <w:footnoteReference w:id="113"/>
      </w:r>
      <w:r w:rsidRPr="0095692E">
        <w:rPr>
          <w:rFonts w:ascii="Verdana" w:hAnsi="Verdana"/>
          <w:sz w:val="20"/>
          <w:szCs w:val="20"/>
        </w:rPr>
        <w:t>. Asimismo, la jurisprudencia ha reiterado el carácter ciertamente compensatorio de las indemnizaciones, cuya naturaleza y monto dependen del daño ocasionado, por lo que no pueden significar ni enriquecimiento ni empobrecimiento para las víctimas o sus sucesores</w:t>
      </w:r>
      <w:r w:rsidRPr="0095692E">
        <w:rPr>
          <w:rStyle w:val="Refdenotaalpie"/>
          <w:rFonts w:ascii="Verdana" w:hAnsi="Verdana"/>
          <w:sz w:val="20"/>
          <w:szCs w:val="20"/>
        </w:rPr>
        <w:footnoteReference w:id="114"/>
      </w:r>
      <w:r w:rsidRPr="0095692E">
        <w:rPr>
          <w:rFonts w:ascii="Verdana" w:hAnsi="Verdana"/>
          <w:sz w:val="20"/>
          <w:szCs w:val="20"/>
        </w:rPr>
        <w:t>. Ha señalado, por otra parte, que el daño inmaterial comprende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95692E">
        <w:rPr>
          <w:rFonts w:ascii="Verdana" w:hAnsi="Verdana"/>
          <w:sz w:val="20"/>
          <w:szCs w:val="20"/>
          <w:vertAlign w:val="superscript"/>
        </w:rPr>
        <w:footnoteReference w:id="115"/>
      </w:r>
      <w:r w:rsidRPr="0095692E">
        <w:rPr>
          <w:rFonts w:ascii="Verdana" w:hAnsi="Verdana"/>
          <w:sz w:val="20"/>
          <w:szCs w:val="20"/>
        </w:rPr>
        <w:t>. Asimismo, la jurisprudencia ha reiterado el carácter ciertamente compensatorio de las indemnizaciones, cuya naturaleza y monto dependen del daño ocasionado, por lo que no pueden significar ni enriquecimiento ni empobrecimiento para las víctimas o sus sucesores</w:t>
      </w:r>
      <w:r w:rsidRPr="0095692E">
        <w:rPr>
          <w:rStyle w:val="Refdenotaalpie"/>
          <w:rFonts w:ascii="Verdana" w:hAnsi="Verdana"/>
          <w:sz w:val="20"/>
          <w:szCs w:val="20"/>
        </w:rPr>
        <w:footnoteReference w:id="116"/>
      </w:r>
      <w:r w:rsidRPr="0095692E">
        <w:rPr>
          <w:rFonts w:ascii="Verdana" w:hAnsi="Verdana"/>
          <w:sz w:val="20"/>
          <w:szCs w:val="20"/>
        </w:rPr>
        <w:t>.</w:t>
      </w:r>
    </w:p>
    <w:p w14:paraId="0A1F301F"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6985C0F1" w14:textId="700BBF2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Corte recuerda que la facultad de determinar medidas para garantizar los derechos conculcados y reparar las consecuencias que las infracciones </w:t>
      </w:r>
      <w:r w:rsidR="009F2FBD" w:rsidRPr="0095692E">
        <w:rPr>
          <w:rFonts w:ascii="Verdana" w:hAnsi="Verdana"/>
          <w:sz w:val="20"/>
          <w:szCs w:val="20"/>
        </w:rPr>
        <w:t xml:space="preserve">generan </w:t>
      </w:r>
      <w:r w:rsidRPr="0095692E">
        <w:rPr>
          <w:rFonts w:ascii="Verdana" w:hAnsi="Verdana"/>
          <w:sz w:val="20"/>
          <w:szCs w:val="20"/>
        </w:rPr>
        <w:t>(</w:t>
      </w:r>
      <w:r w:rsidRPr="0095692E">
        <w:rPr>
          <w:rFonts w:ascii="Verdana" w:hAnsi="Verdana"/>
          <w:i/>
          <w:iCs/>
          <w:sz w:val="20"/>
          <w:szCs w:val="20"/>
        </w:rPr>
        <w:t xml:space="preserve">supra </w:t>
      </w:r>
      <w:r w:rsidR="009F2FBD" w:rsidRPr="0095692E">
        <w:rPr>
          <w:rFonts w:ascii="Verdana" w:hAnsi="Verdana"/>
          <w:sz w:val="20"/>
          <w:szCs w:val="20"/>
        </w:rPr>
        <w:t>párr. 90</w:t>
      </w:r>
      <w:r w:rsidRPr="0095692E">
        <w:rPr>
          <w:rFonts w:ascii="Verdana" w:hAnsi="Verdana"/>
          <w:sz w:val="20"/>
          <w:szCs w:val="20"/>
        </w:rPr>
        <w:t>) no está condicionada a los recursos disponibles de los Estados. Además, advierte que los Estados Parte en la Convención Americana no pueden invocar disposiciones del derecho constitucional u otros aspectos del derecho interno para justificar una falta de cumplimiento de las obligaciones contenidas en dicho tratado</w:t>
      </w:r>
      <w:r w:rsidRPr="0095692E">
        <w:rPr>
          <w:rStyle w:val="Refdenotaalpie"/>
          <w:rFonts w:ascii="Verdana" w:hAnsi="Verdana"/>
          <w:sz w:val="20"/>
          <w:szCs w:val="20"/>
        </w:rPr>
        <w:footnoteReference w:id="117"/>
      </w:r>
      <w:r w:rsidRPr="0095692E">
        <w:rPr>
          <w:rFonts w:ascii="Verdana" w:hAnsi="Verdana"/>
          <w:sz w:val="20"/>
          <w:szCs w:val="20"/>
        </w:rPr>
        <w:t xml:space="preserve">. </w:t>
      </w:r>
    </w:p>
    <w:p w14:paraId="4B47D9C8" w14:textId="77777777" w:rsidR="00FF277B" w:rsidRPr="0095692E" w:rsidRDefault="00FF277B" w:rsidP="00FF277B">
      <w:pPr>
        <w:pStyle w:val="Prrafodelista"/>
        <w:spacing w:after="0" w:line="240" w:lineRule="auto"/>
        <w:contextualSpacing w:val="0"/>
        <w:rPr>
          <w:rFonts w:ascii="Verdana" w:hAnsi="Verdana"/>
          <w:sz w:val="20"/>
          <w:szCs w:val="20"/>
        </w:rPr>
      </w:pPr>
    </w:p>
    <w:p w14:paraId="1E7AADA4" w14:textId="56EA31CA"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En relación con el daño material, en particular el daño emergente, los representantes no han acreditado las erogaciones específicas relacionadas con la ejecución extrajudicial del señor Herminio Deras García, los allanamientos y consecuentes detenciones (</w:t>
      </w:r>
      <w:r w:rsidRPr="0095692E">
        <w:rPr>
          <w:rFonts w:ascii="Verdana" w:hAnsi="Verdana"/>
          <w:i/>
          <w:iCs/>
          <w:sz w:val="20"/>
          <w:szCs w:val="20"/>
        </w:rPr>
        <w:t xml:space="preserve">supra </w:t>
      </w:r>
      <w:r w:rsidR="009F2FBD" w:rsidRPr="0095692E">
        <w:rPr>
          <w:rFonts w:ascii="Verdana" w:hAnsi="Verdana"/>
          <w:sz w:val="20"/>
          <w:szCs w:val="20"/>
        </w:rPr>
        <w:t>párrs. 42, 45, 46, 51, 56</w:t>
      </w:r>
      <w:r w:rsidR="00A61C50" w:rsidRPr="0095692E">
        <w:rPr>
          <w:rFonts w:ascii="Verdana" w:hAnsi="Verdana"/>
          <w:sz w:val="20"/>
          <w:szCs w:val="20"/>
        </w:rPr>
        <w:t xml:space="preserve"> </w:t>
      </w:r>
      <w:r w:rsidR="007714C6" w:rsidRPr="0095692E">
        <w:rPr>
          <w:rFonts w:ascii="Verdana" w:hAnsi="Verdana"/>
          <w:sz w:val="20"/>
          <w:szCs w:val="20"/>
        </w:rPr>
        <w:t>a 61</w:t>
      </w:r>
      <w:r w:rsidRPr="0095692E">
        <w:rPr>
          <w:rFonts w:ascii="Verdana" w:hAnsi="Verdana"/>
          <w:sz w:val="20"/>
          <w:szCs w:val="20"/>
        </w:rPr>
        <w:t xml:space="preserve">). No obstante, esta Corte entiende razonable asumir que dichos gastos sí existieron. </w:t>
      </w:r>
      <w:bookmarkStart w:id="64" w:name="_Hlk109303055"/>
      <w:r w:rsidRPr="0095692E">
        <w:rPr>
          <w:rFonts w:ascii="Verdana" w:hAnsi="Verdana"/>
          <w:sz w:val="20"/>
          <w:szCs w:val="20"/>
        </w:rPr>
        <w:t>A su vez, la Corte no tiene elementos para determinar cuáles familiares realizaron las erogaciones o, en su caso, la proporción en que cada uno de ellos asumió los gastos, a</w:t>
      </w:r>
      <w:r w:rsidR="007714C6" w:rsidRPr="0095692E">
        <w:rPr>
          <w:rFonts w:ascii="Verdana" w:hAnsi="Verdana"/>
          <w:sz w:val="20"/>
          <w:szCs w:val="20"/>
        </w:rPr>
        <w:t xml:space="preserve"> excepción</w:t>
      </w:r>
      <w:r w:rsidRPr="0095692E">
        <w:rPr>
          <w:rFonts w:ascii="Verdana" w:hAnsi="Verdana"/>
          <w:sz w:val="20"/>
          <w:szCs w:val="20"/>
        </w:rPr>
        <w:t xml:space="preserve"> de lo que se indicó como gastos de la señora Otilia Deras Flores</w:t>
      </w:r>
      <w:r w:rsidRPr="0095692E">
        <w:rPr>
          <w:rFonts w:ascii="Verdana" w:hAnsi="Verdana"/>
          <w:sz w:val="20"/>
          <w:szCs w:val="20"/>
          <w:vertAlign w:val="superscript"/>
        </w:rPr>
        <w:footnoteReference w:id="118"/>
      </w:r>
      <w:r w:rsidRPr="0095692E">
        <w:rPr>
          <w:rFonts w:ascii="Verdana" w:hAnsi="Verdana"/>
          <w:sz w:val="20"/>
          <w:szCs w:val="20"/>
        </w:rPr>
        <w:t xml:space="preserve">. </w:t>
      </w:r>
      <w:bookmarkEnd w:id="64"/>
    </w:p>
    <w:p w14:paraId="63643A34" w14:textId="77777777" w:rsidR="00FF277B" w:rsidRPr="0095692E" w:rsidRDefault="00FF277B" w:rsidP="00FF277B">
      <w:pPr>
        <w:pStyle w:val="Prrafodelista"/>
        <w:spacing w:after="0" w:line="240" w:lineRule="auto"/>
        <w:contextualSpacing w:val="0"/>
        <w:rPr>
          <w:rFonts w:ascii="Verdana" w:hAnsi="Verdana"/>
          <w:sz w:val="20"/>
          <w:szCs w:val="20"/>
        </w:rPr>
      </w:pPr>
    </w:p>
    <w:p w14:paraId="1719BDA0" w14:textId="7478C7D3"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Aún respecto al daño material, corresponde indemnizar el lucro cesante, es decir, los ingresos dejados de percibir por las víctimas a causa de las violaciones a derechos humanos determinada</w:t>
      </w:r>
      <w:r w:rsidRPr="0095692E">
        <w:rPr>
          <w:rStyle w:val="Refdenotaalpie"/>
          <w:rFonts w:ascii="Verdana" w:hAnsi="Verdana"/>
          <w:sz w:val="20"/>
          <w:szCs w:val="20"/>
        </w:rPr>
        <w:footnoteReference w:id="119"/>
      </w:r>
      <w:r w:rsidRPr="0095692E">
        <w:rPr>
          <w:rFonts w:ascii="Verdana" w:hAnsi="Verdana"/>
          <w:sz w:val="20"/>
          <w:szCs w:val="20"/>
        </w:rPr>
        <w:t xml:space="preserve">. </w:t>
      </w:r>
      <w:r w:rsidR="007714C6" w:rsidRPr="0095692E">
        <w:rPr>
          <w:rFonts w:ascii="Verdana" w:hAnsi="Verdana"/>
          <w:sz w:val="20"/>
          <w:szCs w:val="20"/>
        </w:rPr>
        <w:t>Al respecto, e</w:t>
      </w:r>
      <w:r w:rsidRPr="0095692E">
        <w:rPr>
          <w:rFonts w:ascii="Verdana" w:hAnsi="Verdana"/>
          <w:sz w:val="20"/>
          <w:szCs w:val="20"/>
        </w:rPr>
        <w:t xml:space="preserve">l Tribunal no cuenta con elementos precisos para acreditar las pérdidas de ingresos que sufrieron las víctimas a raíz de los hechos del presente caso. No obstante, es evidente que las violaciones de derechos humanos </w:t>
      </w:r>
      <w:r w:rsidRPr="0095692E">
        <w:rPr>
          <w:rFonts w:ascii="Verdana" w:hAnsi="Verdana"/>
          <w:sz w:val="20"/>
          <w:szCs w:val="20"/>
        </w:rPr>
        <w:lastRenderedPageBreak/>
        <w:t xml:space="preserve">declaradas en el presente caso necesariamente conllevaron que las víctimas </w:t>
      </w:r>
      <w:r w:rsidR="00A61C50" w:rsidRPr="0095692E">
        <w:rPr>
          <w:rFonts w:ascii="Verdana" w:hAnsi="Verdana"/>
          <w:sz w:val="20"/>
          <w:szCs w:val="20"/>
        </w:rPr>
        <w:t xml:space="preserve">declaradas en esta Sentencia </w:t>
      </w:r>
      <w:r w:rsidRPr="0095692E">
        <w:rPr>
          <w:rFonts w:ascii="Verdana" w:hAnsi="Verdana"/>
          <w:sz w:val="20"/>
          <w:szCs w:val="20"/>
        </w:rPr>
        <w:t>tuvieran consecuencias de carácter pecuniario derivados, principalmente, de la detención ocurrida en junio de 1984 (</w:t>
      </w:r>
      <w:r w:rsidRPr="0095692E">
        <w:rPr>
          <w:rFonts w:ascii="Verdana" w:hAnsi="Verdana"/>
          <w:i/>
          <w:iCs/>
          <w:sz w:val="20"/>
          <w:szCs w:val="20"/>
        </w:rPr>
        <w:t xml:space="preserve">supra </w:t>
      </w:r>
      <w:r w:rsidR="00B6133A" w:rsidRPr="0095692E">
        <w:rPr>
          <w:rFonts w:ascii="Verdana" w:hAnsi="Verdana"/>
          <w:sz w:val="20"/>
          <w:szCs w:val="20"/>
        </w:rPr>
        <w:t xml:space="preserve">párrs. </w:t>
      </w:r>
      <w:r w:rsidR="00A61C50" w:rsidRPr="0095692E">
        <w:rPr>
          <w:rFonts w:ascii="Verdana" w:hAnsi="Verdana"/>
          <w:sz w:val="20"/>
          <w:szCs w:val="20"/>
        </w:rPr>
        <w:t>56 a 61</w:t>
      </w:r>
      <w:r w:rsidRPr="0095692E">
        <w:rPr>
          <w:rFonts w:ascii="Verdana" w:hAnsi="Verdana"/>
          <w:sz w:val="20"/>
          <w:szCs w:val="20"/>
        </w:rPr>
        <w:t>), la estigmatización generada (</w:t>
      </w:r>
      <w:r w:rsidRPr="0095692E">
        <w:rPr>
          <w:rFonts w:ascii="Verdana" w:hAnsi="Verdana"/>
          <w:i/>
          <w:iCs/>
          <w:sz w:val="20"/>
          <w:szCs w:val="20"/>
        </w:rPr>
        <w:t>supra</w:t>
      </w:r>
      <w:r w:rsidR="00B6133A" w:rsidRPr="0095692E">
        <w:rPr>
          <w:rFonts w:ascii="Verdana" w:hAnsi="Verdana"/>
          <w:i/>
          <w:iCs/>
          <w:sz w:val="20"/>
          <w:szCs w:val="20"/>
        </w:rPr>
        <w:t xml:space="preserve"> </w:t>
      </w:r>
      <w:r w:rsidR="00B6133A" w:rsidRPr="0095692E">
        <w:rPr>
          <w:rFonts w:ascii="Verdana" w:hAnsi="Verdana"/>
          <w:sz w:val="20"/>
          <w:szCs w:val="20"/>
        </w:rPr>
        <w:t>párrs.</w:t>
      </w:r>
      <w:r w:rsidRPr="0095692E">
        <w:rPr>
          <w:rFonts w:ascii="Verdana" w:hAnsi="Verdana"/>
          <w:i/>
          <w:iCs/>
          <w:sz w:val="20"/>
          <w:szCs w:val="20"/>
        </w:rPr>
        <w:t xml:space="preserve"> </w:t>
      </w:r>
      <w:r w:rsidR="00FA1A32" w:rsidRPr="0095692E">
        <w:rPr>
          <w:rFonts w:ascii="Verdana" w:hAnsi="Verdana"/>
          <w:sz w:val="20"/>
          <w:szCs w:val="20"/>
        </w:rPr>
        <w:t>61</w:t>
      </w:r>
      <w:r w:rsidR="00B6133A" w:rsidRPr="0095692E">
        <w:rPr>
          <w:rFonts w:ascii="Verdana" w:hAnsi="Verdana"/>
          <w:sz w:val="20"/>
          <w:szCs w:val="20"/>
        </w:rPr>
        <w:t>y 64</w:t>
      </w:r>
      <w:r w:rsidRPr="0095692E">
        <w:rPr>
          <w:rFonts w:ascii="Verdana" w:hAnsi="Verdana"/>
          <w:sz w:val="20"/>
          <w:szCs w:val="20"/>
        </w:rPr>
        <w:t>)</w:t>
      </w:r>
      <w:r w:rsidR="00A61C50" w:rsidRPr="0095692E">
        <w:rPr>
          <w:rFonts w:ascii="Verdana" w:hAnsi="Verdana"/>
          <w:sz w:val="20"/>
          <w:szCs w:val="20"/>
        </w:rPr>
        <w:t xml:space="preserve"> y</w:t>
      </w:r>
      <w:r w:rsidRPr="0095692E">
        <w:rPr>
          <w:rFonts w:ascii="Verdana" w:hAnsi="Verdana"/>
          <w:sz w:val="20"/>
          <w:szCs w:val="20"/>
        </w:rPr>
        <w:t xml:space="preserve"> los impactos psicológicos de largo plazo.</w:t>
      </w:r>
    </w:p>
    <w:p w14:paraId="518C69B5"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12C022A4" w14:textId="1E912048"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virtud de todo lo anterior y considerando el parentesco de los familiares del señor Herminio Deras García, las violaciones declaradas </w:t>
      </w:r>
      <w:r w:rsidRPr="0095692E">
        <w:rPr>
          <w:rFonts w:ascii="Verdana" w:eastAsia="Times New Roman" w:hAnsi="Verdana" w:cs="Verdana"/>
          <w:sz w:val="20"/>
          <w:szCs w:val="20"/>
          <w:lang w:eastAsia="es-CR" w:bidi="en-US"/>
        </w:rPr>
        <w:t>y</w:t>
      </w:r>
      <w:r w:rsidRPr="0095692E">
        <w:rPr>
          <w:rFonts w:ascii="Verdana" w:hAnsi="Verdana"/>
          <w:sz w:val="20"/>
          <w:szCs w:val="20"/>
        </w:rPr>
        <w:t xml:space="preserve"> los criterios establecidos en la jurisprudencia constante de este Tribunal, la Corte considera procedente, en equidad, establecer los siguientes montos de indemnización, a favor de cada una de las víctimas, por </w:t>
      </w:r>
      <w:r w:rsidR="00662BF7" w:rsidRPr="0095692E">
        <w:rPr>
          <w:rFonts w:ascii="Verdana" w:hAnsi="Verdana"/>
          <w:sz w:val="20"/>
          <w:szCs w:val="20"/>
        </w:rPr>
        <w:t xml:space="preserve">concepto de </w:t>
      </w:r>
      <w:r w:rsidRPr="0095692E">
        <w:rPr>
          <w:rFonts w:ascii="Verdana" w:hAnsi="Verdana"/>
          <w:sz w:val="20"/>
          <w:szCs w:val="20"/>
        </w:rPr>
        <w:t>daño material e inmaterial, conforme se expone a continuación:</w:t>
      </w:r>
    </w:p>
    <w:p w14:paraId="6FFDB7E8" w14:textId="77777777" w:rsidR="00FF277B" w:rsidRPr="0095692E" w:rsidRDefault="00FF277B" w:rsidP="00FF277B">
      <w:pPr>
        <w:pStyle w:val="Prrafodelista"/>
        <w:autoSpaceDE w:val="0"/>
        <w:autoSpaceDN w:val="0"/>
        <w:adjustRightInd w:val="0"/>
        <w:spacing w:after="60" w:line="240" w:lineRule="auto"/>
        <w:ind w:left="0"/>
        <w:contextualSpacing w:val="0"/>
        <w:rPr>
          <w:rFonts w:ascii="Verdana" w:hAnsi="Verdana"/>
          <w:sz w:val="20"/>
          <w:szCs w:val="20"/>
        </w:rPr>
      </w:pPr>
    </w:p>
    <w:p w14:paraId="73852050"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USD$ 135.000,00 (cien treinta y cinco mil dólares de los Estados Unidos de América) a favor de Herminio Deras García;</w:t>
      </w:r>
    </w:p>
    <w:p w14:paraId="55357F98"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USD$ 74.000,00 (setenta y cuatro mil dólares de los Estados Unidos de América) a favor de Otilia Flores Ortiz;</w:t>
      </w:r>
    </w:p>
    <w:p w14:paraId="006CBEAB"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USD$ 51.000,00 (cincuenta y un mil dólares de los Estados Unidos de América) a favor de Lorena Deras Flores;</w:t>
      </w:r>
    </w:p>
    <w:p w14:paraId="66DB4E6E" w14:textId="46E4ED1C"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USD$ 51.000,00 (cincuenta y un</w:t>
      </w:r>
      <w:r w:rsidR="00C035EB" w:rsidRPr="0095692E">
        <w:rPr>
          <w:rFonts w:ascii="Verdana" w:hAnsi="Verdana"/>
          <w:sz w:val="20"/>
          <w:szCs w:val="20"/>
        </w:rPr>
        <w:t xml:space="preserve"> </w:t>
      </w:r>
      <w:r w:rsidRPr="0095692E">
        <w:rPr>
          <w:rFonts w:ascii="Verdana" w:hAnsi="Verdana"/>
          <w:sz w:val="20"/>
          <w:szCs w:val="20"/>
        </w:rPr>
        <w:t>mil de los Estados Unidos de América) a favor de Herminio Deras Flores.</w:t>
      </w:r>
    </w:p>
    <w:p w14:paraId="065CC787"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USD$ 50.000,00 (cincuenta mil dólares de los Estados Unidos de América) a favor de Eustaquia García Alvarado.</w:t>
      </w:r>
    </w:p>
    <w:p w14:paraId="305F44C2" w14:textId="5896E4E9"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USD$ 85.000,00 (</w:t>
      </w:r>
      <w:r w:rsidR="00BB58E2" w:rsidRPr="0095692E">
        <w:rPr>
          <w:rFonts w:ascii="Verdana" w:hAnsi="Verdana"/>
          <w:sz w:val="20"/>
          <w:szCs w:val="20"/>
        </w:rPr>
        <w:t>ochenta y cinco</w:t>
      </w:r>
      <w:r w:rsidRPr="0095692E">
        <w:rPr>
          <w:rFonts w:ascii="Verdana" w:hAnsi="Verdana"/>
          <w:sz w:val="20"/>
          <w:szCs w:val="20"/>
        </w:rPr>
        <w:t xml:space="preserve"> mil dólares de los Estados Unidos de América) a favor de Domingo Deras Henríquez.</w:t>
      </w:r>
    </w:p>
    <w:p w14:paraId="51DDA197"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USD$ 50.000,00 (cincuenta mil</w:t>
      </w:r>
      <w:r w:rsidRPr="0095692E" w:rsidDel="004A2188">
        <w:rPr>
          <w:rFonts w:ascii="Verdana" w:hAnsi="Verdana"/>
          <w:sz w:val="20"/>
          <w:szCs w:val="20"/>
        </w:rPr>
        <w:t xml:space="preserve"> </w:t>
      </w:r>
      <w:r w:rsidRPr="0095692E">
        <w:rPr>
          <w:rFonts w:ascii="Verdana" w:hAnsi="Verdana"/>
          <w:sz w:val="20"/>
          <w:szCs w:val="20"/>
        </w:rPr>
        <w:t>dólares de los Estados Unidos de América) a favor de Alba Luz Deras García;</w:t>
      </w:r>
    </w:p>
    <w:p w14:paraId="3E8CF2E6" w14:textId="0F66F355"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USD$ 71.000,00 (setenta y un mil dólares de los Estados Unidos de América) a favor de Irma Isabel Deras García</w:t>
      </w:r>
      <w:r w:rsidR="00BB58E2" w:rsidRPr="0095692E">
        <w:rPr>
          <w:rFonts w:ascii="Verdana" w:hAnsi="Verdana"/>
          <w:sz w:val="20"/>
          <w:szCs w:val="20"/>
        </w:rPr>
        <w:t>;</w:t>
      </w:r>
    </w:p>
    <w:p w14:paraId="404F419D" w14:textId="1321EA8B"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USD$ 50.000,00 (cincuenta mil</w:t>
      </w:r>
      <w:r w:rsidRPr="0095692E" w:rsidDel="004A2188">
        <w:rPr>
          <w:rFonts w:ascii="Verdana" w:hAnsi="Verdana"/>
          <w:sz w:val="20"/>
          <w:szCs w:val="20"/>
        </w:rPr>
        <w:t xml:space="preserve"> </w:t>
      </w:r>
      <w:r w:rsidRPr="0095692E">
        <w:rPr>
          <w:rFonts w:ascii="Verdana" w:hAnsi="Verdana"/>
          <w:sz w:val="20"/>
          <w:szCs w:val="20"/>
        </w:rPr>
        <w:t>dólares de los Estados Unidos de América) a favor de Consuelo Deras García</w:t>
      </w:r>
      <w:r w:rsidR="00BB58E2" w:rsidRPr="0095692E">
        <w:rPr>
          <w:rFonts w:ascii="Verdana" w:hAnsi="Verdana"/>
          <w:sz w:val="20"/>
          <w:szCs w:val="20"/>
        </w:rPr>
        <w:t>;</w:t>
      </w:r>
    </w:p>
    <w:p w14:paraId="3B94F8A1" w14:textId="6F730822"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USD$ 70.000,00 (setenta mil</w:t>
      </w:r>
      <w:r w:rsidRPr="0095692E" w:rsidDel="00FA2D17">
        <w:rPr>
          <w:rFonts w:ascii="Verdana" w:hAnsi="Verdana"/>
          <w:sz w:val="20"/>
          <w:szCs w:val="20"/>
        </w:rPr>
        <w:t xml:space="preserve"> </w:t>
      </w:r>
      <w:r w:rsidRPr="0095692E">
        <w:rPr>
          <w:rFonts w:ascii="Verdana" w:hAnsi="Verdana"/>
          <w:sz w:val="20"/>
          <w:szCs w:val="20"/>
        </w:rPr>
        <w:t>dólares de los Estados Unidos de América) a favor de Luis Rolando Deras García</w:t>
      </w:r>
      <w:r w:rsidR="00BB58E2" w:rsidRPr="0095692E">
        <w:rPr>
          <w:rFonts w:ascii="Verdana" w:hAnsi="Verdana"/>
          <w:sz w:val="20"/>
          <w:szCs w:val="20"/>
        </w:rPr>
        <w:t>;</w:t>
      </w:r>
    </w:p>
    <w:p w14:paraId="5D131519"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 xml:space="preserve">USD$ 61.000,00 (sesenta y un mil dólares de los Estados Unidos de América) a favor de Héctor García; </w:t>
      </w:r>
    </w:p>
    <w:p w14:paraId="401D4D67"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 xml:space="preserve"> USD$ 52.000,00 (cincuenta y dos mil</w:t>
      </w:r>
      <w:r w:rsidRPr="0095692E" w:rsidDel="00887D56">
        <w:rPr>
          <w:rFonts w:ascii="Verdana" w:hAnsi="Verdana"/>
          <w:sz w:val="20"/>
          <w:szCs w:val="20"/>
        </w:rPr>
        <w:t xml:space="preserve"> </w:t>
      </w:r>
      <w:r w:rsidRPr="0095692E">
        <w:rPr>
          <w:rFonts w:ascii="Verdana" w:hAnsi="Verdana"/>
          <w:sz w:val="20"/>
          <w:szCs w:val="20"/>
        </w:rPr>
        <w:t>dólares de los Estados Unidos de América) a favor de Marlen García Pineda;</w:t>
      </w:r>
    </w:p>
    <w:p w14:paraId="3F2F42C8" w14:textId="22396BE9"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USD$ 51.000,00 (cincuenta y un mil</w:t>
      </w:r>
      <w:r w:rsidRPr="0095692E" w:rsidDel="00887D56">
        <w:rPr>
          <w:rFonts w:ascii="Verdana" w:hAnsi="Verdana"/>
          <w:sz w:val="20"/>
          <w:szCs w:val="20"/>
        </w:rPr>
        <w:t xml:space="preserve"> </w:t>
      </w:r>
      <w:r w:rsidRPr="0095692E">
        <w:rPr>
          <w:rFonts w:ascii="Verdana" w:hAnsi="Verdana"/>
          <w:sz w:val="20"/>
          <w:szCs w:val="20"/>
        </w:rPr>
        <w:t xml:space="preserve">dólares de los Estados Unidos de América) a favor de José Herminio </w:t>
      </w:r>
      <w:r w:rsidR="00BB58E2" w:rsidRPr="0095692E">
        <w:rPr>
          <w:rFonts w:ascii="Verdana" w:hAnsi="Verdana"/>
          <w:sz w:val="20"/>
          <w:szCs w:val="20"/>
        </w:rPr>
        <w:t>García;</w:t>
      </w:r>
      <w:r w:rsidRPr="0095692E">
        <w:rPr>
          <w:rFonts w:ascii="Verdana" w:hAnsi="Verdana"/>
          <w:sz w:val="20"/>
          <w:szCs w:val="20"/>
        </w:rPr>
        <w:t xml:space="preserve"> </w:t>
      </w:r>
    </w:p>
    <w:p w14:paraId="1321CEBF"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USD$ 52.000,00 (cincuenta y dos mil</w:t>
      </w:r>
      <w:r w:rsidRPr="0095692E" w:rsidDel="00887D56">
        <w:rPr>
          <w:rFonts w:ascii="Verdana" w:hAnsi="Verdana"/>
          <w:sz w:val="20"/>
          <w:szCs w:val="20"/>
        </w:rPr>
        <w:t xml:space="preserve"> </w:t>
      </w:r>
      <w:r w:rsidRPr="0095692E">
        <w:rPr>
          <w:rFonts w:ascii="Verdana" w:hAnsi="Verdana"/>
          <w:sz w:val="20"/>
          <w:szCs w:val="20"/>
        </w:rPr>
        <w:t xml:space="preserve">dólares de los Estados Unidos de América) a favor de Sandra Ivon Hernández Deras; </w:t>
      </w:r>
    </w:p>
    <w:p w14:paraId="130531EF" w14:textId="0C87D62C"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USD$ 51.000,00 (cincuenta y un mil</w:t>
      </w:r>
      <w:r w:rsidRPr="0095692E" w:rsidDel="00887D56">
        <w:rPr>
          <w:rFonts w:ascii="Verdana" w:hAnsi="Verdana"/>
          <w:sz w:val="20"/>
          <w:szCs w:val="20"/>
        </w:rPr>
        <w:t xml:space="preserve"> </w:t>
      </w:r>
      <w:r w:rsidRPr="0095692E">
        <w:rPr>
          <w:rFonts w:ascii="Verdana" w:hAnsi="Verdana"/>
          <w:sz w:val="20"/>
          <w:szCs w:val="20"/>
        </w:rPr>
        <w:t>dólares de los Estados Unidos de América) a favor de Marlon Javier García Barahona</w:t>
      </w:r>
      <w:r w:rsidR="008877FE" w:rsidRPr="0095692E">
        <w:rPr>
          <w:rFonts w:ascii="Verdana" w:hAnsi="Verdana"/>
          <w:sz w:val="20"/>
          <w:szCs w:val="20"/>
        </w:rPr>
        <w:t>;</w:t>
      </w:r>
    </w:p>
    <w:p w14:paraId="4959484F"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USD$ 60.000,00 (sesenta mil dólares de los Estados Unidos de América) a favor de Elba Flores Ortiz;</w:t>
      </w:r>
    </w:p>
    <w:p w14:paraId="0137D82B"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USD$ 51.000,00 (cincuenta y un mil</w:t>
      </w:r>
      <w:r w:rsidRPr="0095692E" w:rsidDel="00887D56">
        <w:rPr>
          <w:rFonts w:ascii="Verdana" w:hAnsi="Verdana"/>
          <w:sz w:val="20"/>
          <w:szCs w:val="20"/>
        </w:rPr>
        <w:t xml:space="preserve"> </w:t>
      </w:r>
      <w:r w:rsidRPr="0095692E">
        <w:rPr>
          <w:rFonts w:ascii="Verdana" w:hAnsi="Verdana"/>
          <w:sz w:val="20"/>
          <w:szCs w:val="20"/>
        </w:rPr>
        <w:t>dólares de los Estados Unidos de América) a favor de Julio Cesar Chavarría Banegas, y</w:t>
      </w:r>
    </w:p>
    <w:p w14:paraId="566C9873" w14:textId="77777777" w:rsidR="00FF277B" w:rsidRPr="0095692E" w:rsidRDefault="00FF277B" w:rsidP="00FF277B">
      <w:pPr>
        <w:pStyle w:val="Prrafodelista"/>
        <w:numPr>
          <w:ilvl w:val="0"/>
          <w:numId w:val="40"/>
        </w:numPr>
        <w:autoSpaceDE w:val="0"/>
        <w:autoSpaceDN w:val="0"/>
        <w:spacing w:after="60" w:line="240" w:lineRule="auto"/>
        <w:contextualSpacing w:val="0"/>
        <w:jc w:val="both"/>
        <w:rPr>
          <w:rFonts w:ascii="Verdana" w:hAnsi="Verdana"/>
          <w:sz w:val="20"/>
          <w:szCs w:val="20"/>
        </w:rPr>
      </w:pPr>
      <w:r w:rsidRPr="0095692E">
        <w:rPr>
          <w:rFonts w:ascii="Verdana" w:hAnsi="Verdana"/>
          <w:sz w:val="20"/>
          <w:szCs w:val="20"/>
        </w:rPr>
        <w:t>USD$ 51.000,00 (cincuenta y un mil</w:t>
      </w:r>
      <w:r w:rsidRPr="0095692E" w:rsidDel="00887D56">
        <w:rPr>
          <w:rFonts w:ascii="Verdana" w:hAnsi="Verdana"/>
          <w:sz w:val="20"/>
          <w:szCs w:val="20"/>
        </w:rPr>
        <w:t xml:space="preserve"> </w:t>
      </w:r>
      <w:r w:rsidRPr="0095692E">
        <w:rPr>
          <w:rFonts w:ascii="Verdana" w:hAnsi="Verdana"/>
          <w:sz w:val="20"/>
          <w:szCs w:val="20"/>
        </w:rPr>
        <w:t>dólares de los Estados Unidos de América) a favor de Cristóbal Rufino Hernández Pérez.</w:t>
      </w:r>
    </w:p>
    <w:p w14:paraId="5EB0C0BE"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3DDF34BB" w14:textId="77777777" w:rsidR="00FF277B" w:rsidRPr="0095692E" w:rsidRDefault="00FF277B" w:rsidP="00616B53">
      <w:pPr>
        <w:pStyle w:val="Ttulo2"/>
        <w:keepNext/>
        <w:keepLines/>
        <w:widowControl w:val="0"/>
        <w:numPr>
          <w:ilvl w:val="0"/>
          <w:numId w:val="59"/>
        </w:numPr>
        <w:pBdr>
          <w:top w:val="none" w:sz="0" w:space="0" w:color="auto"/>
        </w:pBdr>
        <w:adjustRightInd w:val="0"/>
        <w:ind w:left="990"/>
        <w:textAlignment w:val="baseline"/>
        <w:rPr>
          <w:lang w:val="es-CR"/>
        </w:rPr>
      </w:pPr>
      <w:bookmarkStart w:id="65" w:name="_Toc115262503"/>
      <w:r w:rsidRPr="0095692E">
        <w:rPr>
          <w:lang w:val="es-CR"/>
        </w:rPr>
        <w:t>Costas y gastos</w:t>
      </w:r>
      <w:bookmarkEnd w:id="65"/>
    </w:p>
    <w:p w14:paraId="36F6BF81" w14:textId="77777777" w:rsidR="00FF277B" w:rsidRPr="0095692E" w:rsidRDefault="00FF277B" w:rsidP="00FF277B">
      <w:pPr>
        <w:rPr>
          <w:rFonts w:ascii="Verdana" w:hAnsi="Verdana"/>
          <w:lang w:eastAsia="en-US"/>
        </w:rPr>
      </w:pPr>
    </w:p>
    <w:p w14:paraId="331D7BF9" w14:textId="10DE478A" w:rsidR="00FF277B" w:rsidRPr="0095692E" w:rsidRDefault="00FF277B" w:rsidP="00FF277B">
      <w:pPr>
        <w:pStyle w:val="PrrafodeSentencia"/>
        <w:numPr>
          <w:ilvl w:val="0"/>
          <w:numId w:val="2"/>
        </w:numPr>
        <w:tabs>
          <w:tab w:val="clear" w:pos="567"/>
        </w:tabs>
        <w:autoSpaceDE w:val="0"/>
        <w:autoSpaceDN w:val="0"/>
        <w:adjustRightInd w:val="0"/>
        <w:ind w:left="0" w:right="45" w:firstLine="0"/>
      </w:pPr>
      <w:r w:rsidRPr="0095692E">
        <w:rPr>
          <w:szCs w:val="20"/>
        </w:rPr>
        <w:t xml:space="preserve">En este apartado la Corte analizará las costas y gastos, considerando que el </w:t>
      </w:r>
      <w:r w:rsidRPr="0095692E">
        <w:rPr>
          <w:b/>
          <w:bCs/>
          <w:i/>
          <w:iCs/>
          <w:szCs w:val="20"/>
        </w:rPr>
        <w:t xml:space="preserve">Estado </w:t>
      </w:r>
      <w:r w:rsidRPr="0095692E">
        <w:rPr>
          <w:szCs w:val="20"/>
        </w:rPr>
        <w:t>solicitó que, “de conformidad a los estándares de equidad, razonabilidad y erogaciones debidamente demostradas, tomando en cuenta las circunstancias del caso concreto, [este Tribunal] establezca los montos en concepto de gastos y costas” a favor de</w:t>
      </w:r>
      <w:r w:rsidR="00C9589C" w:rsidRPr="0095692E">
        <w:rPr>
          <w:szCs w:val="20"/>
        </w:rPr>
        <w:t>l</w:t>
      </w:r>
      <w:r w:rsidRPr="0095692E">
        <w:rPr>
          <w:szCs w:val="20"/>
        </w:rPr>
        <w:t xml:space="preserve"> </w:t>
      </w:r>
      <w:r w:rsidR="00C9589C" w:rsidRPr="0095692E">
        <w:rPr>
          <w:szCs w:val="20"/>
        </w:rPr>
        <w:t>Comité de Familiares de Detenidos-Desaparecidos en Honduras (en adelante “</w:t>
      </w:r>
      <w:r w:rsidRPr="0095692E">
        <w:rPr>
          <w:szCs w:val="20"/>
        </w:rPr>
        <w:t>COFADEH</w:t>
      </w:r>
      <w:r w:rsidR="00C9589C" w:rsidRPr="0095692E">
        <w:rPr>
          <w:szCs w:val="20"/>
        </w:rPr>
        <w:t>”)</w:t>
      </w:r>
      <w:r w:rsidRPr="0095692E">
        <w:rPr>
          <w:szCs w:val="20"/>
        </w:rPr>
        <w:t xml:space="preserve"> y la Federación Internacional por los Derechos Humanos</w:t>
      </w:r>
      <w:r w:rsidR="00C9589C" w:rsidRPr="0095692E">
        <w:rPr>
          <w:szCs w:val="20"/>
        </w:rPr>
        <w:t xml:space="preserve"> (en adelante “FIDH")</w:t>
      </w:r>
      <w:r w:rsidRPr="0095692E">
        <w:rPr>
          <w:szCs w:val="20"/>
        </w:rPr>
        <w:t xml:space="preserve">. </w:t>
      </w:r>
    </w:p>
    <w:p w14:paraId="0D29DD92"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1A25E2EA" w14:textId="58F20AEA"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Los </w:t>
      </w:r>
      <w:r w:rsidR="00C9589C" w:rsidRPr="0095692E">
        <w:rPr>
          <w:rFonts w:ascii="Verdana" w:hAnsi="Verdana"/>
          <w:b/>
          <w:i/>
          <w:sz w:val="20"/>
          <w:szCs w:val="20"/>
        </w:rPr>
        <w:t>r</w:t>
      </w:r>
      <w:r w:rsidRPr="0095692E">
        <w:rPr>
          <w:rFonts w:ascii="Verdana" w:hAnsi="Verdana"/>
          <w:b/>
          <w:i/>
          <w:sz w:val="20"/>
          <w:szCs w:val="20"/>
        </w:rPr>
        <w:t xml:space="preserve">epresentantes </w:t>
      </w:r>
      <w:r w:rsidRPr="0095692E">
        <w:rPr>
          <w:rFonts w:ascii="Verdana" w:hAnsi="Verdana"/>
          <w:sz w:val="20"/>
          <w:szCs w:val="20"/>
        </w:rPr>
        <w:t xml:space="preserve">solicitaron a la Corte que determine que el Estado pague las siguientes sumas, por concepto de costas y gastos: i) </w:t>
      </w:r>
      <w:r w:rsidRPr="0095692E">
        <w:rPr>
          <w:rFonts w:ascii="Verdana" w:hAnsi="Verdana" w:cs="Arial"/>
          <w:sz w:val="20"/>
          <w:szCs w:val="20"/>
        </w:rPr>
        <w:t>a favor de las víctimas,</w:t>
      </w:r>
      <w:r w:rsidRPr="0095692E">
        <w:rPr>
          <w:rFonts w:ascii="Verdana" w:hAnsi="Verdana"/>
          <w:sz w:val="20"/>
          <w:szCs w:val="20"/>
        </w:rPr>
        <w:t xml:space="preserve"> </w:t>
      </w:r>
      <w:r w:rsidRPr="0095692E">
        <w:rPr>
          <w:rFonts w:ascii="Verdana" w:hAnsi="Verdana"/>
          <w:iCs/>
          <w:sz w:val="20"/>
          <w:szCs w:val="20"/>
        </w:rPr>
        <w:t>USD</w:t>
      </w:r>
      <w:r w:rsidRPr="0095692E">
        <w:rPr>
          <w:rFonts w:ascii="Verdana" w:hAnsi="Verdana"/>
          <w:sz w:val="20"/>
          <w:szCs w:val="20"/>
        </w:rPr>
        <w:t>$</w:t>
      </w:r>
      <w:r w:rsidR="00C9589C" w:rsidRPr="0095692E">
        <w:rPr>
          <w:rFonts w:ascii="Verdana" w:hAnsi="Verdana"/>
          <w:sz w:val="20"/>
          <w:szCs w:val="20"/>
        </w:rPr>
        <w:t xml:space="preserve"> </w:t>
      </w:r>
      <w:r w:rsidRPr="0095692E">
        <w:rPr>
          <w:rFonts w:ascii="Verdana" w:hAnsi="Verdana"/>
          <w:sz w:val="20"/>
          <w:szCs w:val="20"/>
        </w:rPr>
        <w:t xml:space="preserve">5.218,40 (cinco mil doscientos dieciocho </w:t>
      </w:r>
      <w:r w:rsidRPr="0095692E">
        <w:rPr>
          <w:rFonts w:ascii="Verdana" w:hAnsi="Verdana"/>
          <w:iCs/>
          <w:sz w:val="20"/>
          <w:szCs w:val="20"/>
        </w:rPr>
        <w:t>dólares de los Estados Unidos de América</w:t>
      </w:r>
      <w:r w:rsidRPr="0095692E">
        <w:rPr>
          <w:rFonts w:ascii="Verdana" w:hAnsi="Verdana" w:cs="Arial"/>
          <w:sz w:val="20"/>
          <w:szCs w:val="20"/>
        </w:rPr>
        <w:t xml:space="preserve"> con cuarenta centavos) </w:t>
      </w:r>
      <w:r w:rsidRPr="0095692E">
        <w:rPr>
          <w:rFonts w:ascii="Verdana" w:hAnsi="Verdana"/>
          <w:sz w:val="20"/>
          <w:szCs w:val="20"/>
        </w:rPr>
        <w:t xml:space="preserve">en equidad, y </w:t>
      </w:r>
      <w:r w:rsidR="00C9589C" w:rsidRPr="0095692E">
        <w:rPr>
          <w:rFonts w:ascii="Verdana" w:hAnsi="Verdana"/>
          <w:sz w:val="20"/>
          <w:szCs w:val="20"/>
        </w:rPr>
        <w:t xml:space="preserve">en </w:t>
      </w:r>
      <w:r w:rsidRPr="0095692E">
        <w:rPr>
          <w:rFonts w:ascii="Verdana" w:hAnsi="Verdana"/>
          <w:sz w:val="20"/>
          <w:szCs w:val="20"/>
        </w:rPr>
        <w:t xml:space="preserve">calidad de los gastos </w:t>
      </w:r>
      <w:r w:rsidRPr="0095692E">
        <w:rPr>
          <w:rFonts w:ascii="Verdana" w:hAnsi="Verdana" w:cs="Cambria"/>
          <w:sz w:val="20"/>
          <w:szCs w:val="20"/>
        </w:rPr>
        <w:t>incurridos</w:t>
      </w:r>
      <w:r w:rsidRPr="0095692E">
        <w:rPr>
          <w:rFonts w:ascii="Verdana" w:hAnsi="Verdana"/>
          <w:sz w:val="20"/>
          <w:szCs w:val="20"/>
        </w:rPr>
        <w:t xml:space="preserve"> a largo del procedimiento penal, por los cuatro viajes realizados a la sede del COFADEH</w:t>
      </w:r>
      <w:r w:rsidR="00F7460F" w:rsidRPr="0095692E">
        <w:rPr>
          <w:rFonts w:ascii="Verdana" w:hAnsi="Verdana"/>
          <w:sz w:val="20"/>
          <w:szCs w:val="20"/>
        </w:rPr>
        <w:t xml:space="preserve"> y el pago de fianza para 5 personas con motivos de la detención de 1984</w:t>
      </w:r>
      <w:r w:rsidRPr="0095692E">
        <w:rPr>
          <w:rFonts w:ascii="Verdana" w:hAnsi="Verdana"/>
          <w:sz w:val="20"/>
          <w:szCs w:val="20"/>
        </w:rPr>
        <w:t xml:space="preserve">; ii) a favor de </w:t>
      </w:r>
      <w:r w:rsidR="00F7460F" w:rsidRPr="0095692E">
        <w:rPr>
          <w:rFonts w:ascii="Verdana" w:hAnsi="Verdana"/>
          <w:sz w:val="20"/>
          <w:szCs w:val="20"/>
        </w:rPr>
        <w:t xml:space="preserve">la </w:t>
      </w:r>
      <w:r w:rsidRPr="0095692E">
        <w:rPr>
          <w:rFonts w:ascii="Verdana" w:hAnsi="Verdana"/>
          <w:sz w:val="20"/>
          <w:szCs w:val="20"/>
        </w:rPr>
        <w:t>FIDH, €2.500, 00 (dos mil quinientos euros) por gastos de honorario de abogada de</w:t>
      </w:r>
      <w:r w:rsidR="00F7460F" w:rsidRPr="0095692E">
        <w:rPr>
          <w:rFonts w:ascii="Verdana" w:hAnsi="Verdana"/>
          <w:sz w:val="20"/>
          <w:szCs w:val="20"/>
        </w:rPr>
        <w:t xml:space="preserve"> </w:t>
      </w:r>
      <w:r w:rsidRPr="0095692E">
        <w:rPr>
          <w:rFonts w:ascii="Verdana" w:hAnsi="Verdana"/>
          <w:sz w:val="20"/>
          <w:szCs w:val="20"/>
        </w:rPr>
        <w:t>l</w:t>
      </w:r>
      <w:r w:rsidR="00F7460F" w:rsidRPr="0095692E">
        <w:rPr>
          <w:rFonts w:ascii="Verdana" w:hAnsi="Verdana"/>
          <w:sz w:val="20"/>
          <w:szCs w:val="20"/>
        </w:rPr>
        <w:t>a</w:t>
      </w:r>
      <w:r w:rsidRPr="0095692E">
        <w:rPr>
          <w:rFonts w:ascii="Verdana" w:hAnsi="Verdana"/>
          <w:sz w:val="20"/>
          <w:szCs w:val="20"/>
        </w:rPr>
        <w:t xml:space="preserve"> FIDH, los cuales deberán ser reintegrados a tal Federación, y iii) a favor de COFADEH, USD$ 44.371,00 (cuarenta y cuatro mil trescientos setenta y un </w:t>
      </w:r>
      <w:r w:rsidRPr="0095692E">
        <w:rPr>
          <w:rFonts w:ascii="Verdana" w:hAnsi="Verdana"/>
          <w:iCs/>
          <w:sz w:val="20"/>
          <w:szCs w:val="20"/>
        </w:rPr>
        <w:t>dólares de los Estados Unidos de América</w:t>
      </w:r>
      <w:r w:rsidRPr="0095692E">
        <w:rPr>
          <w:rFonts w:ascii="Verdana" w:hAnsi="Verdana" w:cs="Arial"/>
          <w:sz w:val="20"/>
          <w:szCs w:val="20"/>
        </w:rPr>
        <w:t>)</w:t>
      </w:r>
      <w:r w:rsidRPr="0095692E">
        <w:rPr>
          <w:rFonts w:ascii="Verdana" w:hAnsi="Verdana"/>
          <w:sz w:val="20"/>
          <w:szCs w:val="20"/>
        </w:rPr>
        <w:t xml:space="preserve"> por los </w:t>
      </w:r>
      <w:r w:rsidRPr="0095692E">
        <w:rPr>
          <w:rFonts w:ascii="Verdana" w:hAnsi="Verdana" w:cs="Arial"/>
          <w:sz w:val="20"/>
          <w:szCs w:val="20"/>
        </w:rPr>
        <w:t>honorarios profesionales de una psicóloga para atención a la familia, copias y gastos administrativos (comunicaciones telefónicas y electrónicas, materiales, papelería e impresiones), y el salario otorgado a las “procuradoras legales”.</w:t>
      </w:r>
      <w:r w:rsidRPr="0095692E">
        <w:rPr>
          <w:rFonts w:ascii="Verdana" w:hAnsi="Verdana"/>
          <w:sz w:val="20"/>
          <w:szCs w:val="20"/>
        </w:rPr>
        <w:t xml:space="preserve"> </w:t>
      </w:r>
    </w:p>
    <w:p w14:paraId="3A7ED950"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2F63B5A5" w14:textId="5AE20979"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Con posterioridad a la presentación del escrito de solicitudes y argumentos, los representantes informaron sobre un total de USD$ 7.710,90 (siete mil setecientos diez dólares de los Estados Unidos de América con noventa centavos) por los gastos en los que habrían incurrido las víctimas con motivo de su desplazamiento a la audiencia; un total de USD$ 13,031.15 (trece mil treinta y un dólares de los Estados Unidos de América con quince centavos) a favor de COFADEH, desglosado en USD$ 3.918,96 (tres mil novecientos dieciocho dólares de los Estados Unidos de América con noventa y seis centavos) por “gastos en audiencia”, </w:t>
      </w:r>
      <w:r w:rsidR="00D77CC0" w:rsidRPr="0095692E">
        <w:rPr>
          <w:rFonts w:ascii="Verdana" w:hAnsi="Verdana"/>
          <w:sz w:val="20"/>
          <w:szCs w:val="20"/>
        </w:rPr>
        <w:t xml:space="preserve">y </w:t>
      </w:r>
      <w:r w:rsidRPr="0095692E">
        <w:rPr>
          <w:rFonts w:ascii="Verdana" w:hAnsi="Verdana"/>
          <w:sz w:val="20"/>
          <w:szCs w:val="20"/>
        </w:rPr>
        <w:t xml:space="preserve">USD $8.148,28 (ocho mil ciento cuarenta y ocho dólares de los Estados Unidos de América </w:t>
      </w:r>
      <w:r w:rsidR="00D77CC0" w:rsidRPr="0095692E">
        <w:rPr>
          <w:rFonts w:ascii="Verdana" w:hAnsi="Verdana"/>
          <w:sz w:val="20"/>
          <w:szCs w:val="20"/>
        </w:rPr>
        <w:t>con</w:t>
      </w:r>
      <w:r w:rsidRPr="0095692E">
        <w:rPr>
          <w:rFonts w:ascii="Verdana" w:hAnsi="Verdana"/>
          <w:sz w:val="20"/>
          <w:szCs w:val="20"/>
        </w:rPr>
        <w:t xml:space="preserve"> veinte y ocho centavos) por viajes, alojamiento, alimentación, comunicaciones y gastos de preparación del caso, y USD$ 963.91 (novecientos sesenta y tres dólares de los Estados Unidos de América con noventa y un centavos), y un total de € 5.316,39 (cinco mil trecientos dieciséis euros con treinta y nueve céntim</w:t>
      </w:r>
      <w:r w:rsidR="00D77CC0" w:rsidRPr="0095692E">
        <w:rPr>
          <w:rFonts w:ascii="Verdana" w:hAnsi="Verdana"/>
          <w:sz w:val="20"/>
          <w:szCs w:val="20"/>
        </w:rPr>
        <w:t>o</w:t>
      </w:r>
      <w:r w:rsidRPr="0095692E">
        <w:rPr>
          <w:rFonts w:ascii="Verdana" w:hAnsi="Verdana"/>
          <w:sz w:val="20"/>
          <w:szCs w:val="20"/>
        </w:rPr>
        <w:t>s) a favor de la FIDH.</w:t>
      </w:r>
    </w:p>
    <w:p w14:paraId="1F3C3DC8" w14:textId="77777777" w:rsidR="00FF277B" w:rsidRPr="0095692E" w:rsidRDefault="00FF277B" w:rsidP="00FF277B">
      <w:pPr>
        <w:pStyle w:val="Prrafodelista"/>
        <w:spacing w:after="0" w:line="240" w:lineRule="auto"/>
        <w:contextualSpacing w:val="0"/>
        <w:rPr>
          <w:rFonts w:ascii="Verdana" w:hAnsi="Verdana"/>
          <w:sz w:val="20"/>
          <w:szCs w:val="20"/>
        </w:rPr>
      </w:pPr>
    </w:p>
    <w:p w14:paraId="651AD607"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La </w:t>
      </w:r>
      <w:r w:rsidRPr="0095692E">
        <w:rPr>
          <w:rFonts w:ascii="Verdana" w:hAnsi="Verdana"/>
          <w:b/>
          <w:bCs/>
          <w:i/>
          <w:iCs/>
          <w:sz w:val="20"/>
          <w:szCs w:val="20"/>
        </w:rPr>
        <w:t>Corte</w:t>
      </w:r>
      <w:r w:rsidRPr="0095692E">
        <w:rPr>
          <w:rFonts w:ascii="Verdana" w:hAnsi="Verdana"/>
          <w:sz w:val="20"/>
          <w:szCs w:val="20"/>
        </w:rPr>
        <w:t>, recuerda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Corresponde al Tribunal apreciar prudentemente el alcance del reembolso de costas y gastos,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95692E">
        <w:rPr>
          <w:rStyle w:val="Refdenotaalpie"/>
          <w:rFonts w:ascii="Verdana" w:hAnsi="Verdana"/>
          <w:sz w:val="20"/>
          <w:szCs w:val="20"/>
        </w:rPr>
        <w:footnoteReference w:id="120"/>
      </w:r>
      <w:r w:rsidRPr="0095692E">
        <w:rPr>
          <w:rFonts w:ascii="Verdana" w:hAnsi="Verdana"/>
          <w:sz w:val="20"/>
          <w:szCs w:val="20"/>
        </w:rPr>
        <w:t>.</w:t>
      </w:r>
    </w:p>
    <w:p w14:paraId="5191C979" w14:textId="77777777" w:rsidR="00FF277B" w:rsidRPr="0095692E" w:rsidRDefault="00FF277B" w:rsidP="00FF277B">
      <w:pPr>
        <w:pStyle w:val="Prrafodelista"/>
        <w:spacing w:after="0" w:line="240" w:lineRule="auto"/>
        <w:contextualSpacing w:val="0"/>
        <w:rPr>
          <w:rFonts w:ascii="Verdana" w:hAnsi="Verdana"/>
          <w:sz w:val="20"/>
          <w:szCs w:val="20"/>
        </w:rPr>
      </w:pPr>
    </w:p>
    <w:p w14:paraId="60EAF541"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lastRenderedPageBreak/>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95692E">
        <w:rPr>
          <w:rStyle w:val="Refdenotaalpie"/>
          <w:rFonts w:ascii="Verdana" w:hAnsi="Verdana"/>
          <w:sz w:val="20"/>
          <w:szCs w:val="20"/>
        </w:rPr>
        <w:footnoteReference w:id="121"/>
      </w:r>
      <w:r w:rsidRPr="0095692E">
        <w:rPr>
          <w:rFonts w:ascii="Verdana" w:hAnsi="Verdana"/>
          <w:sz w:val="2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95692E">
        <w:rPr>
          <w:rStyle w:val="Refdenotaalpie"/>
          <w:rFonts w:ascii="Verdana" w:hAnsi="Verdana"/>
          <w:sz w:val="20"/>
          <w:szCs w:val="20"/>
        </w:rPr>
        <w:footnoteReference w:id="122"/>
      </w:r>
      <w:r w:rsidRPr="0095692E">
        <w:rPr>
          <w:rFonts w:ascii="Verdana" w:hAnsi="Verdana"/>
          <w:sz w:val="20"/>
          <w:szCs w:val="20"/>
        </w:rPr>
        <w:t xml:space="preserve">. </w:t>
      </w:r>
    </w:p>
    <w:p w14:paraId="30CFB7B3" w14:textId="77777777" w:rsidR="00FF277B" w:rsidRPr="0095692E" w:rsidRDefault="00FF277B" w:rsidP="00FF277B">
      <w:pPr>
        <w:pStyle w:val="Prrafodelista"/>
        <w:spacing w:after="0" w:line="240" w:lineRule="auto"/>
        <w:contextualSpacing w:val="0"/>
        <w:rPr>
          <w:rFonts w:ascii="Verdana" w:hAnsi="Verdana"/>
          <w:sz w:val="20"/>
          <w:szCs w:val="20"/>
        </w:rPr>
      </w:pPr>
    </w:p>
    <w:p w14:paraId="2BC715E3" w14:textId="5E68BB5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En cuanto a las costas y gastos a favor de las víctimas, la Corte observa que los representantes no aportaron prueba, y la argumentación correspondiente no permite una justificación completa de los montos solicitados. Además, advierte que, al explicar los gastos asumidos se hizo referencia a las “víctimas”, sin embargo, en el desglose del monto total, no se indicó la persona que incurrió con el respectivo gasto, salvo en aquellos por concepto de “representación legal”, “documentación” y “correo”. Por último, nota que el pago de la fianza incurrida con ocasión de la detención de junio de 1984 fue también contemplado dentro del monto solicitado. Al respecto, la Corte considera que tales trámites necesariamente implicaron erogaciones pecuniarias, por lo tanto, procederá a fijarlos en equidad, no obstante, dentro del monto a fijar no tendrá en cuenta la fianza solicitada al haber sido ya ordenada (</w:t>
      </w:r>
      <w:r w:rsidRPr="0095692E">
        <w:rPr>
          <w:rFonts w:ascii="Verdana" w:hAnsi="Verdana"/>
          <w:i/>
          <w:iCs/>
          <w:sz w:val="20"/>
          <w:szCs w:val="20"/>
        </w:rPr>
        <w:t xml:space="preserve">supra </w:t>
      </w:r>
      <w:r w:rsidRPr="0095692E">
        <w:rPr>
          <w:rFonts w:ascii="Verdana" w:hAnsi="Verdana"/>
          <w:sz w:val="20"/>
          <w:szCs w:val="20"/>
        </w:rPr>
        <w:t>párr</w:t>
      </w:r>
      <w:r w:rsidR="00383845" w:rsidRPr="0095692E">
        <w:rPr>
          <w:rFonts w:ascii="Verdana" w:hAnsi="Verdana"/>
          <w:sz w:val="20"/>
          <w:szCs w:val="20"/>
        </w:rPr>
        <w:t>s</w:t>
      </w:r>
      <w:r w:rsidRPr="0095692E">
        <w:rPr>
          <w:rFonts w:ascii="Verdana" w:hAnsi="Verdana"/>
          <w:sz w:val="20"/>
          <w:szCs w:val="20"/>
        </w:rPr>
        <w:t>.</w:t>
      </w:r>
      <w:r w:rsidR="00383845" w:rsidRPr="0095692E">
        <w:rPr>
          <w:rFonts w:ascii="Verdana" w:hAnsi="Verdana"/>
          <w:sz w:val="20"/>
          <w:szCs w:val="20"/>
        </w:rPr>
        <w:t xml:space="preserve"> 121 y 127</w:t>
      </w:r>
      <w:r w:rsidRPr="0095692E">
        <w:rPr>
          <w:rFonts w:ascii="Verdana" w:hAnsi="Verdana"/>
          <w:i/>
          <w:iCs/>
          <w:sz w:val="20"/>
          <w:szCs w:val="20"/>
        </w:rPr>
        <w:t>)</w:t>
      </w:r>
      <w:r w:rsidRPr="0095692E">
        <w:rPr>
          <w:rFonts w:ascii="Verdana" w:hAnsi="Verdana"/>
          <w:sz w:val="20"/>
          <w:szCs w:val="20"/>
        </w:rPr>
        <w:t xml:space="preserve">. En tal sentido, este Tribunal procede a fijar las costas y gastos en </w:t>
      </w:r>
      <w:r w:rsidR="00504D7B" w:rsidRPr="0095692E">
        <w:rPr>
          <w:rFonts w:ascii="Verdana" w:hAnsi="Verdana"/>
          <w:sz w:val="20"/>
          <w:szCs w:val="20"/>
        </w:rPr>
        <w:t>los siguientes términos</w:t>
      </w:r>
      <w:r w:rsidRPr="0095692E">
        <w:rPr>
          <w:rFonts w:ascii="Verdana" w:hAnsi="Verdana"/>
          <w:sz w:val="20"/>
          <w:szCs w:val="20"/>
        </w:rPr>
        <w:t xml:space="preserve">: </w:t>
      </w:r>
    </w:p>
    <w:p w14:paraId="48DE9EE9" w14:textId="77777777" w:rsidR="003057B0" w:rsidRPr="0095692E" w:rsidRDefault="003057B0" w:rsidP="00914A01">
      <w:pPr>
        <w:autoSpaceDE w:val="0"/>
        <w:autoSpaceDN w:val="0"/>
        <w:jc w:val="both"/>
        <w:rPr>
          <w:rFonts w:ascii="Verdana" w:hAnsi="Verdana"/>
          <w:sz w:val="20"/>
          <w:szCs w:val="20"/>
        </w:rPr>
      </w:pPr>
    </w:p>
    <w:p w14:paraId="70407A6B" w14:textId="64F045BD" w:rsidR="00FF277B" w:rsidRPr="0095692E" w:rsidRDefault="00FF277B" w:rsidP="00FF277B">
      <w:pPr>
        <w:pStyle w:val="Prrafodelista"/>
        <w:numPr>
          <w:ilvl w:val="0"/>
          <w:numId w:val="41"/>
        </w:numPr>
        <w:autoSpaceDE w:val="0"/>
        <w:autoSpaceDN w:val="0"/>
        <w:spacing w:after="0" w:line="240" w:lineRule="auto"/>
        <w:contextualSpacing w:val="0"/>
        <w:jc w:val="both"/>
        <w:rPr>
          <w:rFonts w:ascii="Verdana" w:hAnsi="Verdana"/>
          <w:sz w:val="20"/>
          <w:szCs w:val="20"/>
        </w:rPr>
      </w:pPr>
      <w:r w:rsidRPr="0095692E">
        <w:rPr>
          <w:rFonts w:ascii="Verdana" w:hAnsi="Verdana"/>
          <w:iCs/>
          <w:sz w:val="20"/>
          <w:szCs w:val="20"/>
        </w:rPr>
        <w:t>USD$ 285,00 (doscientos ochenta y cinco dólares de los Estados Unidos de América)</w:t>
      </w:r>
      <w:r w:rsidRPr="0095692E">
        <w:rPr>
          <w:rFonts w:ascii="Verdana" w:hAnsi="Verdana"/>
          <w:i/>
          <w:sz w:val="20"/>
          <w:szCs w:val="20"/>
        </w:rPr>
        <w:t xml:space="preserve"> </w:t>
      </w:r>
      <w:r w:rsidRPr="0095692E">
        <w:rPr>
          <w:rFonts w:ascii="Verdana" w:hAnsi="Verdana"/>
          <w:iCs/>
          <w:sz w:val="20"/>
          <w:szCs w:val="20"/>
        </w:rPr>
        <w:t>para cada una de las siguientes personas:</w:t>
      </w:r>
      <w:r w:rsidRPr="0095692E">
        <w:rPr>
          <w:rFonts w:ascii="Verdana" w:hAnsi="Verdana"/>
          <w:sz w:val="20"/>
          <w:szCs w:val="20"/>
        </w:rPr>
        <w:t xml:space="preserve"> Otilia Flores Ortiz, Lorena Deras Flores, Herminio Deras Flores, Eustaquia García Alvarado, Domingo Deras Henr</w:t>
      </w:r>
      <w:r w:rsidR="00661F62" w:rsidRPr="0095692E">
        <w:rPr>
          <w:rFonts w:ascii="Verdana" w:hAnsi="Verdana"/>
          <w:sz w:val="20"/>
          <w:szCs w:val="20"/>
        </w:rPr>
        <w:t>í</w:t>
      </w:r>
      <w:r w:rsidRPr="0095692E">
        <w:rPr>
          <w:rFonts w:ascii="Verdana" w:hAnsi="Verdana"/>
          <w:sz w:val="20"/>
          <w:szCs w:val="20"/>
        </w:rPr>
        <w:t xml:space="preserve">quez , Alba Luz Deras García, Irma Isabel Deras García, Consuelo Deras García, Luis Rolando Deras García, Héctor García, Marlen García Pineda, José Herminio </w:t>
      </w:r>
      <w:r w:rsidR="00661F62" w:rsidRPr="0095692E">
        <w:rPr>
          <w:rFonts w:ascii="Verdana" w:hAnsi="Verdana"/>
          <w:sz w:val="20"/>
          <w:szCs w:val="20"/>
        </w:rPr>
        <w:t>García</w:t>
      </w:r>
      <w:r w:rsidRPr="0095692E">
        <w:rPr>
          <w:rFonts w:ascii="Verdana" w:hAnsi="Verdana"/>
          <w:sz w:val="20"/>
          <w:szCs w:val="20"/>
        </w:rPr>
        <w:t>, Sandra Ivón Hernández Deras, Marlon Javier García Barahona, Julio Cesar Chavarría Banega, Elba Flores Ortiz, y Cristóbal Rufino Hernández Pérez</w:t>
      </w:r>
      <w:r w:rsidR="004C7B61" w:rsidRPr="0095692E">
        <w:rPr>
          <w:rFonts w:ascii="Verdana" w:hAnsi="Verdana"/>
          <w:sz w:val="20"/>
          <w:szCs w:val="20"/>
        </w:rPr>
        <w:t>, con motivos de los gastos por “representación legal”, “documentación” y “correo”;</w:t>
      </w:r>
    </w:p>
    <w:p w14:paraId="74A54245" w14:textId="77777777" w:rsidR="00FF277B" w:rsidRPr="0095692E" w:rsidRDefault="00FF277B" w:rsidP="00FF277B">
      <w:pPr>
        <w:pStyle w:val="Prrafodelista"/>
        <w:autoSpaceDE w:val="0"/>
        <w:autoSpaceDN w:val="0"/>
        <w:spacing w:after="0" w:line="240" w:lineRule="auto"/>
        <w:contextualSpacing w:val="0"/>
        <w:rPr>
          <w:rFonts w:ascii="Verdana" w:hAnsi="Verdana"/>
          <w:sz w:val="20"/>
          <w:szCs w:val="20"/>
        </w:rPr>
      </w:pPr>
    </w:p>
    <w:p w14:paraId="02EC4463" w14:textId="70B05EEA" w:rsidR="00FF277B" w:rsidRPr="0095692E" w:rsidRDefault="00FF277B" w:rsidP="00FF277B">
      <w:pPr>
        <w:pStyle w:val="Prrafodelista"/>
        <w:numPr>
          <w:ilvl w:val="0"/>
          <w:numId w:val="41"/>
        </w:numPr>
        <w:autoSpaceDE w:val="0"/>
        <w:autoSpaceDN w:val="0"/>
        <w:spacing w:after="0" w:line="240" w:lineRule="auto"/>
        <w:contextualSpacing w:val="0"/>
        <w:jc w:val="both"/>
        <w:rPr>
          <w:rFonts w:ascii="Verdana" w:hAnsi="Verdana"/>
          <w:sz w:val="20"/>
          <w:szCs w:val="20"/>
        </w:rPr>
      </w:pPr>
      <w:r w:rsidRPr="0095692E">
        <w:rPr>
          <w:rFonts w:ascii="Verdana" w:hAnsi="Verdana"/>
          <w:iCs/>
          <w:sz w:val="20"/>
          <w:szCs w:val="20"/>
        </w:rPr>
        <w:t>USD$ 540,00 (quinientos cuarenta dólares de los Estados Unidos de América) para cada una de las siguientes personas:</w:t>
      </w:r>
      <w:r w:rsidRPr="0095692E">
        <w:rPr>
          <w:rFonts w:ascii="Verdana" w:hAnsi="Verdana"/>
          <w:sz w:val="20"/>
          <w:szCs w:val="20"/>
        </w:rPr>
        <w:t xml:space="preserve"> Otilia Flores Ortiz, Irma Isabel Deras García, Luis Rolando Deras García, y Alba Luz Deras García</w:t>
      </w:r>
      <w:r w:rsidR="004C7B61" w:rsidRPr="0095692E">
        <w:rPr>
          <w:rFonts w:ascii="Verdana" w:hAnsi="Verdana"/>
          <w:sz w:val="20"/>
          <w:szCs w:val="20"/>
        </w:rPr>
        <w:t>, considerando las erogaciones específicas en las que habrían incurrido, mismas que, según indicaron los representantes, fue del mismo monto;</w:t>
      </w:r>
    </w:p>
    <w:p w14:paraId="3D082C0F" w14:textId="77777777" w:rsidR="00FF277B" w:rsidRPr="0095692E" w:rsidRDefault="00FF277B" w:rsidP="00FF277B">
      <w:pPr>
        <w:rPr>
          <w:rFonts w:ascii="Verdana" w:hAnsi="Verdana"/>
          <w:sz w:val="20"/>
          <w:szCs w:val="20"/>
        </w:rPr>
      </w:pPr>
    </w:p>
    <w:p w14:paraId="7D8F07BA" w14:textId="7801B42D" w:rsidR="00FF277B" w:rsidRPr="0095692E" w:rsidRDefault="00FF277B" w:rsidP="00FF277B">
      <w:pPr>
        <w:pStyle w:val="Prrafodelista"/>
        <w:numPr>
          <w:ilvl w:val="0"/>
          <w:numId w:val="41"/>
        </w:numPr>
        <w:autoSpaceDE w:val="0"/>
        <w:autoSpaceDN w:val="0"/>
        <w:spacing w:after="0" w:line="240" w:lineRule="auto"/>
        <w:contextualSpacing w:val="0"/>
        <w:jc w:val="both"/>
        <w:rPr>
          <w:rFonts w:ascii="Verdana" w:hAnsi="Verdana"/>
          <w:sz w:val="20"/>
          <w:szCs w:val="20"/>
        </w:rPr>
      </w:pPr>
      <w:r w:rsidRPr="0095692E">
        <w:rPr>
          <w:rFonts w:ascii="Verdana" w:hAnsi="Verdana"/>
          <w:iCs/>
          <w:sz w:val="20"/>
          <w:szCs w:val="20"/>
        </w:rPr>
        <w:t>USD$ 2.850,00 (dos mil ochocientos cincuenta dólares de los Estados Unidos de América y cincuenta) para Irma Deras García, en razón de los gastos de su hija Patricia Chavarría Deras</w:t>
      </w:r>
      <w:r w:rsidR="005F3BC4" w:rsidRPr="0095692E">
        <w:rPr>
          <w:rFonts w:ascii="Verdana" w:hAnsi="Verdana"/>
          <w:iCs/>
          <w:sz w:val="20"/>
          <w:szCs w:val="20"/>
        </w:rPr>
        <w:t>, por motivos de la audiencia pública ante la Corte</w:t>
      </w:r>
      <w:r w:rsidR="004C7B61" w:rsidRPr="0095692E">
        <w:rPr>
          <w:rFonts w:ascii="Verdana" w:hAnsi="Verdana"/>
          <w:iCs/>
          <w:sz w:val="20"/>
          <w:szCs w:val="20"/>
        </w:rPr>
        <w:t>;</w:t>
      </w:r>
    </w:p>
    <w:p w14:paraId="732857F6" w14:textId="77777777" w:rsidR="00FF277B" w:rsidRPr="0095692E" w:rsidRDefault="00FF277B" w:rsidP="00FF277B">
      <w:pPr>
        <w:pStyle w:val="Prrafodelista"/>
        <w:jc w:val="both"/>
        <w:rPr>
          <w:rFonts w:ascii="Verdana" w:hAnsi="Verdana"/>
          <w:sz w:val="20"/>
          <w:szCs w:val="20"/>
        </w:rPr>
      </w:pPr>
    </w:p>
    <w:p w14:paraId="6DC3800F" w14:textId="746A26D1" w:rsidR="00FF277B" w:rsidRPr="0095692E" w:rsidRDefault="00FF277B" w:rsidP="00FF277B">
      <w:pPr>
        <w:pStyle w:val="Prrafodelista"/>
        <w:numPr>
          <w:ilvl w:val="0"/>
          <w:numId w:val="41"/>
        </w:numPr>
        <w:autoSpaceDE w:val="0"/>
        <w:autoSpaceDN w:val="0"/>
        <w:spacing w:after="0" w:line="240" w:lineRule="auto"/>
        <w:contextualSpacing w:val="0"/>
        <w:jc w:val="both"/>
        <w:rPr>
          <w:rFonts w:ascii="Verdana" w:hAnsi="Verdana"/>
          <w:sz w:val="20"/>
          <w:szCs w:val="20"/>
        </w:rPr>
      </w:pPr>
      <w:r w:rsidRPr="0095692E">
        <w:rPr>
          <w:rFonts w:ascii="Verdana" w:hAnsi="Verdana"/>
          <w:iCs/>
          <w:sz w:val="20"/>
          <w:szCs w:val="20"/>
        </w:rPr>
        <w:t>USD$ 1.750,00 (mil setecientos cincuenta dólares de los Estados Unidos de América) para Marlon Javier García Hernández, a raíz de sus gastos por motivos de la audiencia pública ante la Corte</w:t>
      </w:r>
      <w:r w:rsidR="004C7B61" w:rsidRPr="0095692E">
        <w:rPr>
          <w:rFonts w:ascii="Verdana" w:hAnsi="Verdana"/>
          <w:iCs/>
          <w:sz w:val="20"/>
          <w:szCs w:val="20"/>
        </w:rPr>
        <w:t>, y</w:t>
      </w:r>
    </w:p>
    <w:p w14:paraId="0014BDDC" w14:textId="77777777" w:rsidR="00FF277B" w:rsidRPr="0095692E" w:rsidRDefault="00FF277B" w:rsidP="00FF277B">
      <w:pPr>
        <w:jc w:val="both"/>
        <w:rPr>
          <w:rFonts w:ascii="Verdana" w:hAnsi="Verdana"/>
          <w:sz w:val="20"/>
          <w:szCs w:val="20"/>
        </w:rPr>
      </w:pPr>
    </w:p>
    <w:p w14:paraId="36C43E85" w14:textId="77777777" w:rsidR="00FF277B" w:rsidRPr="0095692E" w:rsidRDefault="00FF277B" w:rsidP="00FF277B">
      <w:pPr>
        <w:pStyle w:val="Prrafodelista"/>
        <w:numPr>
          <w:ilvl w:val="0"/>
          <w:numId w:val="41"/>
        </w:numPr>
        <w:autoSpaceDE w:val="0"/>
        <w:autoSpaceDN w:val="0"/>
        <w:spacing w:after="0" w:line="240" w:lineRule="auto"/>
        <w:contextualSpacing w:val="0"/>
        <w:jc w:val="both"/>
        <w:rPr>
          <w:rFonts w:ascii="Verdana" w:hAnsi="Verdana"/>
          <w:sz w:val="20"/>
          <w:szCs w:val="20"/>
        </w:rPr>
      </w:pPr>
      <w:r w:rsidRPr="0095692E">
        <w:rPr>
          <w:rFonts w:ascii="Verdana" w:hAnsi="Verdana"/>
          <w:iCs/>
          <w:sz w:val="20"/>
          <w:szCs w:val="20"/>
        </w:rPr>
        <w:t>USD$ 285,00 (doscientos ochenta y cinco dólares de los Estados Unidos de América) para Alba Luz Deras García, a raíz de sus gastos por motivos de la audiencia pública ante la Corte.</w:t>
      </w:r>
    </w:p>
    <w:p w14:paraId="219F447E"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76136485" w14:textId="47639681"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En cuanto a COFADEH y FIDH, tomando en cuenta los montos solicitados por los representantes y los argumentos y comprobantes que presentaron respecto de los gastos </w:t>
      </w:r>
      <w:r w:rsidR="006D5FF9" w:rsidRPr="0095692E">
        <w:rPr>
          <w:rFonts w:ascii="Verdana" w:hAnsi="Verdana"/>
          <w:sz w:val="20"/>
          <w:szCs w:val="20"/>
        </w:rPr>
        <w:t>e</w:t>
      </w:r>
      <w:r w:rsidRPr="0095692E">
        <w:rPr>
          <w:rFonts w:ascii="Verdana" w:hAnsi="Verdana"/>
          <w:sz w:val="20"/>
          <w:szCs w:val="20"/>
        </w:rPr>
        <w:t xml:space="preserve">rogados, la Corte dispone fijar en equidad el pago de USD$ </w:t>
      </w:r>
      <w:r w:rsidR="00113D89" w:rsidRPr="0095692E">
        <w:rPr>
          <w:rFonts w:ascii="Verdana" w:hAnsi="Verdana"/>
          <w:sz w:val="20"/>
          <w:szCs w:val="20"/>
        </w:rPr>
        <w:t>4</w:t>
      </w:r>
      <w:r w:rsidRPr="0095692E">
        <w:rPr>
          <w:rFonts w:ascii="Verdana" w:hAnsi="Verdana"/>
          <w:sz w:val="20"/>
          <w:szCs w:val="20"/>
        </w:rPr>
        <w:t>6.6</w:t>
      </w:r>
      <w:r w:rsidR="00EB319E" w:rsidRPr="0095692E">
        <w:rPr>
          <w:rFonts w:ascii="Verdana" w:hAnsi="Verdana"/>
          <w:sz w:val="20"/>
          <w:szCs w:val="20"/>
        </w:rPr>
        <w:t>00</w:t>
      </w:r>
      <w:r w:rsidR="00377D0C" w:rsidRPr="0095692E">
        <w:rPr>
          <w:rFonts w:ascii="Verdana" w:hAnsi="Verdana"/>
          <w:sz w:val="20"/>
          <w:szCs w:val="20"/>
        </w:rPr>
        <w:t>,00</w:t>
      </w:r>
      <w:r w:rsidRPr="0095692E">
        <w:rPr>
          <w:rFonts w:ascii="Verdana" w:hAnsi="Verdana"/>
          <w:sz w:val="20"/>
          <w:szCs w:val="20"/>
        </w:rPr>
        <w:t xml:space="preserve"> (</w:t>
      </w:r>
      <w:r w:rsidR="00113D89" w:rsidRPr="0095692E">
        <w:rPr>
          <w:rFonts w:ascii="Verdana" w:hAnsi="Verdana"/>
          <w:sz w:val="20"/>
          <w:szCs w:val="20"/>
        </w:rPr>
        <w:t xml:space="preserve">cuarenta </w:t>
      </w:r>
      <w:r w:rsidRPr="0095692E">
        <w:rPr>
          <w:rFonts w:ascii="Verdana" w:hAnsi="Verdana"/>
          <w:sz w:val="20"/>
          <w:szCs w:val="20"/>
        </w:rPr>
        <w:t xml:space="preserve">y seis mil </w:t>
      </w:r>
      <w:r w:rsidR="00EB319E" w:rsidRPr="0095692E">
        <w:rPr>
          <w:rFonts w:ascii="Verdana" w:hAnsi="Verdana"/>
          <w:sz w:val="20"/>
          <w:szCs w:val="20"/>
        </w:rPr>
        <w:t xml:space="preserve">y </w:t>
      </w:r>
      <w:r w:rsidRPr="0095692E">
        <w:rPr>
          <w:rFonts w:ascii="Verdana" w:hAnsi="Verdana"/>
          <w:sz w:val="20"/>
          <w:szCs w:val="20"/>
        </w:rPr>
        <w:t>seiscientos dólares de los Estados Unidos de América) a favor de COFADEH, y USD$ 7.5</w:t>
      </w:r>
      <w:r w:rsidR="00377D0C" w:rsidRPr="0095692E">
        <w:rPr>
          <w:rFonts w:ascii="Verdana" w:hAnsi="Verdana"/>
          <w:sz w:val="20"/>
          <w:szCs w:val="20"/>
        </w:rPr>
        <w:t>60</w:t>
      </w:r>
      <w:r w:rsidRPr="0095692E">
        <w:rPr>
          <w:rFonts w:ascii="Verdana" w:hAnsi="Verdana"/>
          <w:sz w:val="20"/>
          <w:szCs w:val="20"/>
        </w:rPr>
        <w:t>,</w:t>
      </w:r>
      <w:r w:rsidR="00377D0C" w:rsidRPr="0095692E">
        <w:rPr>
          <w:rFonts w:ascii="Verdana" w:hAnsi="Verdana"/>
          <w:sz w:val="20"/>
          <w:szCs w:val="20"/>
        </w:rPr>
        <w:t>00</w:t>
      </w:r>
      <w:r w:rsidRPr="0095692E" w:rsidDel="00B56263">
        <w:rPr>
          <w:rFonts w:ascii="Verdana" w:hAnsi="Verdana"/>
          <w:sz w:val="20"/>
          <w:szCs w:val="20"/>
        </w:rPr>
        <w:t xml:space="preserve"> </w:t>
      </w:r>
      <w:r w:rsidRPr="0095692E">
        <w:rPr>
          <w:rFonts w:ascii="Verdana" w:hAnsi="Verdana"/>
          <w:sz w:val="20"/>
          <w:szCs w:val="20"/>
        </w:rPr>
        <w:t xml:space="preserve">(siete mil quinientos </w:t>
      </w:r>
      <w:r w:rsidR="00377D0C" w:rsidRPr="0095692E">
        <w:rPr>
          <w:rFonts w:ascii="Verdana" w:hAnsi="Verdana"/>
          <w:sz w:val="20"/>
          <w:szCs w:val="20"/>
        </w:rPr>
        <w:t>sesenta</w:t>
      </w:r>
      <w:r w:rsidRPr="0095692E">
        <w:rPr>
          <w:rFonts w:ascii="Verdana" w:hAnsi="Verdana"/>
          <w:sz w:val="20"/>
          <w:szCs w:val="20"/>
        </w:rPr>
        <w:t xml:space="preserve"> dólares de los Estados Unidos de América) a favor de FIDH, todos por concepto de costas y gastos. Dicha cantidad deberá ser entregada directamente a los representantes.</w:t>
      </w:r>
    </w:p>
    <w:p w14:paraId="61043ED8" w14:textId="77777777" w:rsidR="00FF277B" w:rsidRPr="0095692E" w:rsidRDefault="00FF277B" w:rsidP="00FF277B">
      <w:pPr>
        <w:pStyle w:val="Prrafodelista"/>
        <w:spacing w:after="0" w:line="240" w:lineRule="auto"/>
        <w:ind w:left="0"/>
        <w:contextualSpacing w:val="0"/>
        <w:jc w:val="both"/>
        <w:rPr>
          <w:rFonts w:ascii="Verdana" w:hAnsi="Verdana"/>
          <w:sz w:val="20"/>
          <w:szCs w:val="20"/>
        </w:rPr>
      </w:pPr>
    </w:p>
    <w:p w14:paraId="7AEBE079" w14:textId="77777777" w:rsidR="00FF277B" w:rsidRPr="0095692E" w:rsidRDefault="00FF277B" w:rsidP="00FF277B">
      <w:pPr>
        <w:pStyle w:val="Prrafodelista"/>
        <w:numPr>
          <w:ilvl w:val="0"/>
          <w:numId w:val="2"/>
        </w:numPr>
        <w:spacing w:after="0" w:line="240" w:lineRule="auto"/>
        <w:ind w:left="0" w:firstLine="0"/>
        <w:contextualSpacing w:val="0"/>
        <w:jc w:val="both"/>
        <w:rPr>
          <w:rFonts w:ascii="Verdana" w:hAnsi="Verdana"/>
          <w:sz w:val="20"/>
          <w:szCs w:val="20"/>
        </w:rPr>
      </w:pPr>
      <w:r w:rsidRPr="0095692E">
        <w:rPr>
          <w:rFonts w:ascii="Verdana" w:hAnsi="Verdana"/>
          <w:sz w:val="20"/>
          <w:szCs w:val="20"/>
        </w:rPr>
        <w:t>En la etapa de supervisión del cumplimiento de la presente Sentencia, la Corte podrá disponer que el Estado reembolse a las víctimas o sus representantes los gastos razonables en que incurran en dicha etapa procesal</w:t>
      </w:r>
      <w:r w:rsidRPr="0095692E">
        <w:rPr>
          <w:rStyle w:val="Refdenotaalpie"/>
          <w:rFonts w:ascii="Verdana" w:hAnsi="Verdana"/>
          <w:sz w:val="20"/>
          <w:szCs w:val="20"/>
        </w:rPr>
        <w:footnoteReference w:id="123"/>
      </w:r>
      <w:r w:rsidRPr="0095692E">
        <w:rPr>
          <w:rFonts w:ascii="Verdana" w:hAnsi="Verdana"/>
          <w:sz w:val="20"/>
          <w:szCs w:val="20"/>
        </w:rPr>
        <w:t>.</w:t>
      </w:r>
    </w:p>
    <w:p w14:paraId="460F7366" w14:textId="77777777" w:rsidR="00FF277B" w:rsidRPr="0095692E" w:rsidRDefault="00FF277B" w:rsidP="00FF277B">
      <w:pPr>
        <w:rPr>
          <w:rFonts w:ascii="Verdana" w:hAnsi="Verdana"/>
          <w:highlight w:val="yellow"/>
          <w:lang w:eastAsia="en-US"/>
        </w:rPr>
      </w:pPr>
    </w:p>
    <w:p w14:paraId="59CAEA31" w14:textId="77777777" w:rsidR="00FF277B" w:rsidRPr="0095692E" w:rsidRDefault="00FF277B" w:rsidP="00616B53">
      <w:pPr>
        <w:pStyle w:val="Ttulo2"/>
        <w:keepNext/>
        <w:keepLines/>
        <w:widowControl w:val="0"/>
        <w:numPr>
          <w:ilvl w:val="0"/>
          <w:numId w:val="59"/>
        </w:numPr>
        <w:pBdr>
          <w:top w:val="none" w:sz="0" w:space="0" w:color="auto"/>
        </w:pBdr>
        <w:adjustRightInd w:val="0"/>
        <w:ind w:left="990"/>
        <w:textAlignment w:val="baseline"/>
        <w:rPr>
          <w:lang w:val="es-CR"/>
        </w:rPr>
      </w:pPr>
      <w:bookmarkStart w:id="68" w:name="_Toc83980507"/>
      <w:bookmarkStart w:id="69" w:name="_Toc115262504"/>
      <w:r w:rsidRPr="0095692E">
        <w:rPr>
          <w:lang w:val="es-CR"/>
        </w:rPr>
        <w:t>Modalidad de cumplimiento de los pagos ordenados</w:t>
      </w:r>
      <w:bookmarkEnd w:id="68"/>
      <w:bookmarkEnd w:id="69"/>
    </w:p>
    <w:p w14:paraId="58874758" w14:textId="77777777" w:rsidR="00FF277B" w:rsidRPr="0095692E" w:rsidRDefault="00FF277B" w:rsidP="00FF277B">
      <w:pPr>
        <w:rPr>
          <w:rFonts w:ascii="Verdana" w:hAnsi="Verdana"/>
          <w:sz w:val="20"/>
          <w:szCs w:val="20"/>
        </w:rPr>
      </w:pPr>
    </w:p>
    <w:p w14:paraId="58C8EA3C" w14:textId="1ACC76FA" w:rsidR="00FF277B" w:rsidRPr="0095692E" w:rsidRDefault="00FF277B" w:rsidP="00FF277B">
      <w:pPr>
        <w:pStyle w:val="PrrafodeSentencia"/>
        <w:numPr>
          <w:ilvl w:val="0"/>
          <w:numId w:val="2"/>
        </w:numPr>
        <w:tabs>
          <w:tab w:val="clear" w:pos="567"/>
        </w:tabs>
        <w:autoSpaceDE w:val="0"/>
        <w:autoSpaceDN w:val="0"/>
        <w:adjustRightInd w:val="0"/>
        <w:ind w:left="0" w:right="45" w:firstLine="0"/>
      </w:pPr>
      <w:r w:rsidRPr="0095692E">
        <w:t xml:space="preserve">El Estado deberá efectuar el pago de las indemnizaciones por concepto de daño material e inmaterial y el reintegro de costas y gastos establecidos en la presente Sentencia directamente a las personas y organizaciones indicadas en la misma, dentro del plazo de un año contado a partir de la notificación de la presente Sentencia, sin perjuicio de que pueda adelantar el pago completo en un plazo menor, en los términos de los siguientes párrafos. Respecto de las indemnizaciones fijadas a favor de los señores/as </w:t>
      </w:r>
      <w:r w:rsidR="00422E7B" w:rsidRPr="0095692E">
        <w:t xml:space="preserve">Herminio Deras García, </w:t>
      </w:r>
      <w:r w:rsidR="00F47280" w:rsidRPr="0095692E">
        <w:t>Eustaquia</w:t>
      </w:r>
      <w:r w:rsidRPr="0095692E">
        <w:t xml:space="preserve"> García Alvarado, Domingo Deras Henríquez, Consuelo Deras García, Héctor García, y Cristóbal Rufino Hernández, el Estado deberá pagarlas a sus derechohabientes, conforme al derecho interno aplicable, dentro del plazo de un año, contado a partir de la notificación del presente Fallo. </w:t>
      </w:r>
    </w:p>
    <w:p w14:paraId="2ECEF5E3" w14:textId="77777777" w:rsidR="00FF277B" w:rsidRPr="0095692E" w:rsidRDefault="00FF277B" w:rsidP="00FF277B">
      <w:pPr>
        <w:pStyle w:val="PrrafodeSentencia"/>
        <w:numPr>
          <w:ilvl w:val="0"/>
          <w:numId w:val="0"/>
        </w:numPr>
      </w:pPr>
    </w:p>
    <w:p w14:paraId="54BBC321" w14:textId="77777777"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pPr>
      <w:r w:rsidRPr="0095692E">
        <w:t xml:space="preserve">En caso de que los beneficiarios fallezcan antes de que le sean entregadas las indemnizaciones respectivas, estas se efectuarán directamente a sus derechohabientes, conforme al derecho interno aplicable. </w:t>
      </w:r>
    </w:p>
    <w:p w14:paraId="4239B5A2" w14:textId="77777777" w:rsidR="00FF277B" w:rsidRPr="0095692E" w:rsidRDefault="00FF277B" w:rsidP="00FF277B">
      <w:pPr>
        <w:pStyle w:val="PrrafodeSentencia"/>
        <w:numPr>
          <w:ilvl w:val="0"/>
          <w:numId w:val="0"/>
        </w:numPr>
      </w:pPr>
    </w:p>
    <w:p w14:paraId="3AF9F03A" w14:textId="77777777"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pPr>
      <w:r w:rsidRPr="0095692E">
        <w:t xml:space="preserve">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2181BBE3" w14:textId="77777777" w:rsidR="00FF277B" w:rsidRPr="0095692E" w:rsidRDefault="00FF277B" w:rsidP="00FF277B">
      <w:pPr>
        <w:pStyle w:val="PrrafodeSentencia"/>
        <w:numPr>
          <w:ilvl w:val="0"/>
          <w:numId w:val="0"/>
        </w:numPr>
      </w:pPr>
    </w:p>
    <w:p w14:paraId="0618B366" w14:textId="3FAFF3DE"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pPr>
      <w:r w:rsidRPr="0095692E">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hondureña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 </w:t>
      </w:r>
    </w:p>
    <w:p w14:paraId="7CA6FCC9" w14:textId="77777777" w:rsidR="00FF277B" w:rsidRPr="0095692E" w:rsidRDefault="00FF277B" w:rsidP="00FF277B">
      <w:pPr>
        <w:pStyle w:val="PrrafodeSentencia"/>
        <w:numPr>
          <w:ilvl w:val="0"/>
          <w:numId w:val="0"/>
        </w:numPr>
      </w:pPr>
    </w:p>
    <w:p w14:paraId="2D3C95B8" w14:textId="77777777"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pPr>
      <w:r w:rsidRPr="0095692E">
        <w:t xml:space="preserve">Las cantidades asignadas en la presente Sentencia como indemnización por daños materiales e inmateriales y como reintegro de costas y gastos, deberán ser entregadas a </w:t>
      </w:r>
      <w:r w:rsidRPr="0095692E">
        <w:lastRenderedPageBreak/>
        <w:t xml:space="preserve">las personas </w:t>
      </w:r>
      <w:r w:rsidRPr="0095692E">
        <w:rPr>
          <w:szCs w:val="20"/>
        </w:rPr>
        <w:t>y organizaciones indicadas en forma íntegra</w:t>
      </w:r>
      <w:r w:rsidRPr="0095692E">
        <w:t xml:space="preserve">, conforme a lo establecido en esta Sentencia, sin reducciones derivadas de eventuales cargas fiscales. </w:t>
      </w:r>
    </w:p>
    <w:p w14:paraId="08488080" w14:textId="77777777" w:rsidR="00FF277B" w:rsidRPr="0095692E" w:rsidRDefault="00FF277B" w:rsidP="00FF277B">
      <w:pPr>
        <w:pStyle w:val="PrrafodeSentencia"/>
        <w:numPr>
          <w:ilvl w:val="0"/>
          <w:numId w:val="0"/>
        </w:numPr>
      </w:pPr>
    </w:p>
    <w:p w14:paraId="60765B01" w14:textId="5FBD26BF"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pPr>
      <w:r w:rsidRPr="0095692E">
        <w:t xml:space="preserve">En caso de que el Estado incurriera en mora, deberá pagar un interés sobre la cantidad adeudada correspondiente al interés bancario moratorio en la República de Honduras. </w:t>
      </w:r>
    </w:p>
    <w:p w14:paraId="378E3185" w14:textId="77777777" w:rsidR="00FF277B" w:rsidRPr="0095692E" w:rsidRDefault="00FF277B" w:rsidP="00FF277B">
      <w:pPr>
        <w:rPr>
          <w:rFonts w:ascii="Verdana" w:hAnsi="Verdana"/>
          <w:sz w:val="20"/>
          <w:szCs w:val="20"/>
          <w:highlight w:val="yellow"/>
        </w:rPr>
      </w:pPr>
    </w:p>
    <w:p w14:paraId="650E9454" w14:textId="76F4D93A" w:rsidR="00FF277B" w:rsidRPr="0095692E" w:rsidRDefault="00D76178" w:rsidP="00FF277B">
      <w:pPr>
        <w:pStyle w:val="Ttulo1"/>
        <w:rPr>
          <w:lang w:val="es-CR"/>
        </w:rPr>
      </w:pPr>
      <w:bookmarkStart w:id="70" w:name="_Toc83980508"/>
      <w:bookmarkStart w:id="71" w:name="_Toc115262505"/>
      <w:r w:rsidRPr="0095692E">
        <w:rPr>
          <w:lang w:val="es-CR"/>
        </w:rPr>
        <w:t>I</w:t>
      </w:r>
      <w:r w:rsidR="00FF277B" w:rsidRPr="0095692E">
        <w:rPr>
          <w:lang w:val="es-CR"/>
        </w:rPr>
        <w:t>X</w:t>
      </w:r>
      <w:r w:rsidR="00FF277B" w:rsidRPr="0095692E">
        <w:rPr>
          <w:lang w:val="es-CR" w:eastAsia="es-CR"/>
        </w:rPr>
        <w:br/>
      </w:r>
      <w:r w:rsidR="00FF277B" w:rsidRPr="0095692E">
        <w:rPr>
          <w:lang w:val="es-CR"/>
        </w:rPr>
        <w:t>PUNTOS RESOLUTIVOS</w:t>
      </w:r>
      <w:bookmarkEnd w:id="70"/>
      <w:bookmarkEnd w:id="71"/>
    </w:p>
    <w:p w14:paraId="7B5D529F" w14:textId="77777777" w:rsidR="00FF277B" w:rsidRPr="0095692E" w:rsidRDefault="00FF277B" w:rsidP="00FF277B">
      <w:pPr>
        <w:pStyle w:val="Textoindependiente"/>
        <w:rPr>
          <w:b/>
          <w:lang w:val="es-CR"/>
        </w:rPr>
      </w:pPr>
    </w:p>
    <w:p w14:paraId="4637A47C" w14:textId="77777777" w:rsidR="00FF277B" w:rsidRPr="0095692E" w:rsidRDefault="00FF277B" w:rsidP="00FF277B">
      <w:pPr>
        <w:pStyle w:val="PrrafodeSentencia"/>
        <w:numPr>
          <w:ilvl w:val="0"/>
          <w:numId w:val="2"/>
        </w:numPr>
        <w:tabs>
          <w:tab w:val="clear" w:pos="567"/>
          <w:tab w:val="left" w:pos="709"/>
        </w:tabs>
        <w:autoSpaceDE w:val="0"/>
        <w:autoSpaceDN w:val="0"/>
        <w:adjustRightInd w:val="0"/>
        <w:ind w:left="0" w:right="45" w:firstLine="0"/>
        <w:rPr>
          <w:szCs w:val="20"/>
        </w:rPr>
      </w:pPr>
      <w:r w:rsidRPr="0095692E">
        <w:rPr>
          <w:szCs w:val="20"/>
        </w:rPr>
        <w:t>Por</w:t>
      </w:r>
      <w:r w:rsidRPr="0095692E">
        <w:rPr>
          <w:spacing w:val="-13"/>
          <w:szCs w:val="20"/>
        </w:rPr>
        <w:t xml:space="preserve"> </w:t>
      </w:r>
      <w:r w:rsidRPr="0095692E">
        <w:rPr>
          <w:szCs w:val="20"/>
        </w:rPr>
        <w:t xml:space="preserve">tanto, </w:t>
      </w:r>
    </w:p>
    <w:p w14:paraId="5FADF34D" w14:textId="77777777" w:rsidR="00FF277B" w:rsidRPr="0095692E" w:rsidRDefault="00FF277B" w:rsidP="00FF277B">
      <w:pPr>
        <w:pStyle w:val="Prrafodelista"/>
        <w:tabs>
          <w:tab w:val="left" w:pos="851"/>
        </w:tabs>
        <w:autoSpaceDE w:val="0"/>
        <w:autoSpaceDN w:val="0"/>
        <w:spacing w:after="0" w:line="240" w:lineRule="auto"/>
        <w:ind w:left="0"/>
        <w:contextualSpacing w:val="0"/>
        <w:rPr>
          <w:rFonts w:ascii="Verdana" w:hAnsi="Verdana"/>
          <w:sz w:val="20"/>
          <w:szCs w:val="20"/>
        </w:rPr>
      </w:pPr>
    </w:p>
    <w:p w14:paraId="2F5BAB0A" w14:textId="77777777" w:rsidR="00FF277B" w:rsidRPr="0095692E" w:rsidRDefault="00FF277B" w:rsidP="00FF277B">
      <w:pPr>
        <w:pStyle w:val="Prrafodelista"/>
        <w:tabs>
          <w:tab w:val="left" w:pos="685"/>
        </w:tabs>
        <w:autoSpaceDE w:val="0"/>
        <w:autoSpaceDN w:val="0"/>
        <w:spacing w:after="0" w:line="240" w:lineRule="auto"/>
        <w:ind w:left="0"/>
        <w:contextualSpacing w:val="0"/>
        <w:rPr>
          <w:rFonts w:ascii="Verdana" w:hAnsi="Verdana"/>
          <w:b/>
          <w:sz w:val="20"/>
          <w:szCs w:val="20"/>
        </w:rPr>
      </w:pPr>
      <w:r w:rsidRPr="0095692E">
        <w:rPr>
          <w:rFonts w:ascii="Verdana" w:hAnsi="Verdana"/>
          <w:b/>
          <w:sz w:val="20"/>
          <w:szCs w:val="20"/>
        </w:rPr>
        <w:t xml:space="preserve">LA CORTE </w:t>
      </w:r>
    </w:p>
    <w:p w14:paraId="6ABD5ED8" w14:textId="77777777" w:rsidR="00FF277B" w:rsidRPr="0095692E" w:rsidRDefault="00FF277B" w:rsidP="00FF277B">
      <w:pPr>
        <w:pStyle w:val="Prrafodelista"/>
        <w:tabs>
          <w:tab w:val="left" w:pos="685"/>
        </w:tabs>
        <w:autoSpaceDE w:val="0"/>
        <w:autoSpaceDN w:val="0"/>
        <w:spacing w:after="0" w:line="240" w:lineRule="auto"/>
        <w:ind w:left="0"/>
        <w:contextualSpacing w:val="0"/>
        <w:rPr>
          <w:rFonts w:ascii="Verdana" w:hAnsi="Verdana"/>
          <w:b/>
          <w:sz w:val="20"/>
          <w:szCs w:val="20"/>
        </w:rPr>
      </w:pPr>
    </w:p>
    <w:p w14:paraId="7DEC77DB" w14:textId="77777777" w:rsidR="00FF277B" w:rsidRPr="0095692E" w:rsidRDefault="00FF277B" w:rsidP="00FF277B">
      <w:pPr>
        <w:pStyle w:val="Prrafodelista"/>
        <w:tabs>
          <w:tab w:val="left" w:pos="685"/>
        </w:tabs>
        <w:autoSpaceDE w:val="0"/>
        <w:autoSpaceDN w:val="0"/>
        <w:spacing w:after="0" w:line="240" w:lineRule="auto"/>
        <w:ind w:left="0"/>
        <w:contextualSpacing w:val="0"/>
        <w:rPr>
          <w:rFonts w:ascii="Verdana" w:hAnsi="Verdana"/>
          <w:b/>
          <w:sz w:val="20"/>
          <w:szCs w:val="20"/>
        </w:rPr>
      </w:pPr>
      <w:r w:rsidRPr="0095692E">
        <w:rPr>
          <w:rFonts w:ascii="Verdana" w:hAnsi="Verdana"/>
          <w:b/>
          <w:sz w:val="20"/>
          <w:szCs w:val="20"/>
        </w:rPr>
        <w:t>DECIDE,</w:t>
      </w:r>
    </w:p>
    <w:p w14:paraId="73BF0245" w14:textId="77777777" w:rsidR="00FF277B" w:rsidRPr="0095692E" w:rsidRDefault="00FF277B" w:rsidP="00FF277B">
      <w:pPr>
        <w:pStyle w:val="Textoindependiente"/>
        <w:rPr>
          <w:lang w:val="es-CR"/>
        </w:rPr>
      </w:pPr>
    </w:p>
    <w:p w14:paraId="01C6F8B2" w14:textId="36F6B687" w:rsidR="00FF277B" w:rsidRPr="0095692E" w:rsidRDefault="00FF277B" w:rsidP="00FF277B">
      <w:pPr>
        <w:pStyle w:val="Textoindependiente"/>
        <w:rPr>
          <w:lang w:val="es-CR"/>
        </w:rPr>
      </w:pPr>
      <w:r w:rsidRPr="0095692E">
        <w:rPr>
          <w:lang w:val="es-CR"/>
        </w:rPr>
        <w:t xml:space="preserve">Por </w:t>
      </w:r>
      <w:r w:rsidR="00DA343C" w:rsidRPr="0095692E">
        <w:rPr>
          <w:lang w:val="es-CR"/>
        </w:rPr>
        <w:t>unanimidad</w:t>
      </w:r>
      <w:r w:rsidRPr="0095692E">
        <w:rPr>
          <w:lang w:val="es-CR"/>
        </w:rPr>
        <w:t>:</w:t>
      </w:r>
    </w:p>
    <w:p w14:paraId="493F803B" w14:textId="77777777" w:rsidR="00FF277B" w:rsidRPr="0095692E" w:rsidRDefault="00FF277B" w:rsidP="00FF277B">
      <w:pPr>
        <w:pStyle w:val="Textoindependiente"/>
        <w:rPr>
          <w:lang w:val="es-CR"/>
        </w:rPr>
      </w:pPr>
    </w:p>
    <w:p w14:paraId="242740CA" w14:textId="03C39831" w:rsidR="00FF277B" w:rsidRPr="0095692E" w:rsidRDefault="00FF277B" w:rsidP="00FF277B">
      <w:pPr>
        <w:pStyle w:val="Prrafodelista"/>
        <w:widowControl w:val="0"/>
        <w:numPr>
          <w:ilvl w:val="0"/>
          <w:numId w:val="13"/>
        </w:numPr>
        <w:tabs>
          <w:tab w:val="left" w:pos="684"/>
        </w:tabs>
        <w:autoSpaceDE w:val="0"/>
        <w:autoSpaceDN w:val="0"/>
        <w:spacing w:after="0" w:line="240" w:lineRule="auto"/>
        <w:ind w:left="0" w:right="117" w:firstLine="0"/>
        <w:contextualSpacing w:val="0"/>
        <w:jc w:val="both"/>
        <w:rPr>
          <w:rFonts w:ascii="Verdana" w:hAnsi="Verdana"/>
          <w:sz w:val="20"/>
          <w:szCs w:val="20"/>
        </w:rPr>
      </w:pPr>
      <w:r w:rsidRPr="0095692E">
        <w:rPr>
          <w:rFonts w:ascii="Verdana" w:hAnsi="Verdana"/>
          <w:sz w:val="20"/>
          <w:szCs w:val="20"/>
        </w:rPr>
        <w:t xml:space="preserve">Aceptar el reconocimiento de responsabilidad efectuado por el Estado, en los términos de los párrafos </w:t>
      </w:r>
      <w:r w:rsidR="008618B6" w:rsidRPr="0095692E">
        <w:rPr>
          <w:rFonts w:ascii="Verdana" w:hAnsi="Verdana"/>
          <w:sz w:val="20"/>
          <w:szCs w:val="20"/>
        </w:rPr>
        <w:t>15</w:t>
      </w:r>
      <w:r w:rsidRPr="0095692E">
        <w:rPr>
          <w:rFonts w:ascii="Verdana" w:hAnsi="Verdana"/>
          <w:sz w:val="20"/>
          <w:szCs w:val="20"/>
        </w:rPr>
        <w:t xml:space="preserve"> a </w:t>
      </w:r>
      <w:r w:rsidR="008618B6" w:rsidRPr="0095692E">
        <w:rPr>
          <w:rFonts w:ascii="Verdana" w:hAnsi="Verdana"/>
          <w:sz w:val="20"/>
          <w:szCs w:val="20"/>
        </w:rPr>
        <w:t>30</w:t>
      </w:r>
      <w:r w:rsidRPr="0095692E">
        <w:rPr>
          <w:rFonts w:ascii="Verdana" w:hAnsi="Verdana"/>
          <w:sz w:val="20"/>
          <w:szCs w:val="20"/>
        </w:rPr>
        <w:t xml:space="preserve"> de la presente Sentencia.</w:t>
      </w:r>
    </w:p>
    <w:p w14:paraId="10ED3856" w14:textId="77777777" w:rsidR="00FF277B" w:rsidRPr="0095692E" w:rsidRDefault="00FF277B" w:rsidP="00FF277B">
      <w:pPr>
        <w:pStyle w:val="Textoindependiente"/>
        <w:rPr>
          <w:lang w:val="es-CR"/>
        </w:rPr>
      </w:pPr>
    </w:p>
    <w:p w14:paraId="7797027F" w14:textId="77777777" w:rsidR="00FF277B" w:rsidRPr="0095692E" w:rsidRDefault="00FF277B" w:rsidP="00FF277B">
      <w:pPr>
        <w:pStyle w:val="Prrafodelista"/>
        <w:spacing w:after="0" w:line="240" w:lineRule="auto"/>
        <w:ind w:left="0"/>
        <w:contextualSpacing w:val="0"/>
        <w:rPr>
          <w:rFonts w:ascii="Verdana" w:hAnsi="Verdana"/>
          <w:b/>
          <w:sz w:val="20"/>
          <w:szCs w:val="20"/>
        </w:rPr>
      </w:pPr>
      <w:r w:rsidRPr="0095692E">
        <w:rPr>
          <w:rFonts w:ascii="Verdana" w:hAnsi="Verdana"/>
          <w:b/>
          <w:sz w:val="20"/>
          <w:szCs w:val="20"/>
        </w:rPr>
        <w:t>DECLARA,</w:t>
      </w:r>
    </w:p>
    <w:p w14:paraId="7747B85F" w14:textId="77777777" w:rsidR="00FF277B" w:rsidRPr="0095692E" w:rsidRDefault="00FF277B" w:rsidP="00FF277B">
      <w:pPr>
        <w:pStyle w:val="Textoindependiente"/>
        <w:rPr>
          <w:b/>
          <w:lang w:val="es-CR"/>
        </w:rPr>
      </w:pPr>
    </w:p>
    <w:p w14:paraId="1ABD962F" w14:textId="77777777" w:rsidR="00DA343C" w:rsidRPr="0095692E" w:rsidRDefault="00DA343C" w:rsidP="00DA343C">
      <w:pPr>
        <w:pStyle w:val="Textoindependiente"/>
        <w:rPr>
          <w:lang w:val="es-CR"/>
        </w:rPr>
      </w:pPr>
      <w:r w:rsidRPr="0095692E">
        <w:rPr>
          <w:lang w:val="es-CR"/>
        </w:rPr>
        <w:t>Por unanimidad:</w:t>
      </w:r>
    </w:p>
    <w:p w14:paraId="5F001A8A" w14:textId="77777777" w:rsidR="00FF277B" w:rsidRPr="0095692E" w:rsidRDefault="00FF277B" w:rsidP="00FF277B">
      <w:pPr>
        <w:tabs>
          <w:tab w:val="left" w:pos="684"/>
        </w:tabs>
        <w:autoSpaceDE w:val="0"/>
        <w:autoSpaceDN w:val="0"/>
        <w:ind w:right="114"/>
        <w:jc w:val="both"/>
        <w:rPr>
          <w:rFonts w:ascii="Verdana" w:hAnsi="Verdana"/>
          <w:sz w:val="20"/>
          <w:szCs w:val="20"/>
        </w:rPr>
      </w:pPr>
    </w:p>
    <w:p w14:paraId="220707FC" w14:textId="05FEB042" w:rsidR="00FF277B" w:rsidRPr="0095692E" w:rsidRDefault="00FF277B" w:rsidP="00FF277B">
      <w:pPr>
        <w:pStyle w:val="Prrafodelista"/>
        <w:widowControl w:val="0"/>
        <w:numPr>
          <w:ilvl w:val="0"/>
          <w:numId w:val="13"/>
        </w:numPr>
        <w:tabs>
          <w:tab w:val="left" w:pos="684"/>
        </w:tabs>
        <w:autoSpaceDE w:val="0"/>
        <w:autoSpaceDN w:val="0"/>
        <w:spacing w:after="0" w:line="240" w:lineRule="auto"/>
        <w:ind w:left="0" w:right="118" w:firstLine="0"/>
        <w:contextualSpacing w:val="0"/>
        <w:jc w:val="both"/>
        <w:rPr>
          <w:rFonts w:ascii="Verdana" w:hAnsi="Verdana"/>
          <w:sz w:val="20"/>
          <w:szCs w:val="20"/>
        </w:rPr>
      </w:pPr>
      <w:r w:rsidRPr="0095692E">
        <w:rPr>
          <w:rFonts w:ascii="Verdana" w:hAnsi="Verdana"/>
          <w:sz w:val="20"/>
          <w:szCs w:val="20"/>
        </w:rPr>
        <w:t>El Estado es responsable por la violación de los derechos a la vida, la integridad personal, la libertad de pensamiento y de expresión, la libertad de asociación y a los derechos políticos, contenidos en los artículos 4.1, 5.1, 13.1, 16.1 y 23</w:t>
      </w:r>
      <w:r w:rsidR="008618B6" w:rsidRPr="0095692E">
        <w:rPr>
          <w:rFonts w:ascii="Verdana" w:hAnsi="Verdana"/>
          <w:sz w:val="20"/>
          <w:szCs w:val="20"/>
        </w:rPr>
        <w:t>.1</w:t>
      </w:r>
      <w:r w:rsidRPr="0095692E">
        <w:rPr>
          <w:rFonts w:ascii="Verdana" w:hAnsi="Verdana"/>
          <w:sz w:val="20"/>
          <w:szCs w:val="20"/>
        </w:rPr>
        <w:t xml:space="preserve"> de la Convención Americana sobre Derechos Humanos, en relación con el artículo 1.1 y 2 del mismo instrumento, en perjuicio de Herminio Deras García, en los términos de los párrafos </w:t>
      </w:r>
      <w:r w:rsidR="008618B6" w:rsidRPr="0095692E">
        <w:rPr>
          <w:rFonts w:ascii="Verdana" w:hAnsi="Verdana"/>
          <w:sz w:val="20"/>
          <w:szCs w:val="20"/>
        </w:rPr>
        <w:t xml:space="preserve">78 </w:t>
      </w:r>
      <w:r w:rsidRPr="0095692E">
        <w:rPr>
          <w:rFonts w:ascii="Verdana" w:hAnsi="Verdana"/>
          <w:sz w:val="20"/>
          <w:szCs w:val="20"/>
        </w:rPr>
        <w:t xml:space="preserve">a </w:t>
      </w:r>
      <w:r w:rsidR="008618B6" w:rsidRPr="0095692E">
        <w:rPr>
          <w:rFonts w:ascii="Verdana" w:hAnsi="Verdana"/>
          <w:sz w:val="20"/>
          <w:szCs w:val="20"/>
        </w:rPr>
        <w:t>80</w:t>
      </w:r>
      <w:r w:rsidRPr="0095692E">
        <w:rPr>
          <w:rFonts w:ascii="Verdana" w:hAnsi="Verdana"/>
          <w:sz w:val="20"/>
          <w:szCs w:val="20"/>
        </w:rPr>
        <w:t xml:space="preserve"> de la presente</w:t>
      </w:r>
      <w:r w:rsidRPr="0095692E">
        <w:rPr>
          <w:rFonts w:ascii="Verdana" w:hAnsi="Verdana"/>
          <w:spacing w:val="-6"/>
          <w:sz w:val="20"/>
          <w:szCs w:val="20"/>
        </w:rPr>
        <w:t xml:space="preserve"> </w:t>
      </w:r>
      <w:r w:rsidRPr="0095692E">
        <w:rPr>
          <w:rFonts w:ascii="Verdana" w:hAnsi="Verdana"/>
          <w:sz w:val="20"/>
          <w:szCs w:val="20"/>
        </w:rPr>
        <w:t>Sentencia.</w:t>
      </w:r>
    </w:p>
    <w:p w14:paraId="02CA1EF3" w14:textId="77777777" w:rsidR="00FF277B" w:rsidRPr="0095692E" w:rsidRDefault="00FF277B" w:rsidP="00FF277B">
      <w:pPr>
        <w:pStyle w:val="Prrafodelista"/>
        <w:widowControl w:val="0"/>
        <w:tabs>
          <w:tab w:val="left" w:pos="684"/>
        </w:tabs>
        <w:autoSpaceDE w:val="0"/>
        <w:autoSpaceDN w:val="0"/>
        <w:spacing w:after="0" w:line="240" w:lineRule="auto"/>
        <w:ind w:left="0" w:right="118"/>
        <w:contextualSpacing w:val="0"/>
        <w:jc w:val="both"/>
        <w:rPr>
          <w:rFonts w:ascii="Verdana" w:hAnsi="Verdana"/>
          <w:sz w:val="20"/>
          <w:szCs w:val="20"/>
        </w:rPr>
      </w:pPr>
    </w:p>
    <w:p w14:paraId="1F11FFEF" w14:textId="4E609037" w:rsidR="00FF277B" w:rsidRPr="0095692E" w:rsidRDefault="00FF277B" w:rsidP="00FF277B">
      <w:pPr>
        <w:pStyle w:val="Prrafodelista"/>
        <w:widowControl w:val="0"/>
        <w:numPr>
          <w:ilvl w:val="0"/>
          <w:numId w:val="13"/>
        </w:numPr>
        <w:tabs>
          <w:tab w:val="left" w:pos="684"/>
        </w:tabs>
        <w:autoSpaceDE w:val="0"/>
        <w:autoSpaceDN w:val="0"/>
        <w:spacing w:after="0" w:line="240" w:lineRule="auto"/>
        <w:ind w:left="0" w:right="118" w:firstLine="0"/>
        <w:contextualSpacing w:val="0"/>
        <w:jc w:val="both"/>
        <w:rPr>
          <w:rFonts w:ascii="Verdana" w:hAnsi="Verdana"/>
          <w:sz w:val="20"/>
          <w:szCs w:val="20"/>
        </w:rPr>
      </w:pPr>
      <w:r w:rsidRPr="0095692E">
        <w:rPr>
          <w:rFonts w:ascii="Verdana" w:hAnsi="Verdana"/>
          <w:sz w:val="20"/>
          <w:szCs w:val="20"/>
        </w:rPr>
        <w:t xml:space="preserve">El Estado es responsable por la violación de los derechos a la integridad personal, la libertad personal, las garantías judiciales, la protección a la honra, la dignidad y la vida privada, la protección de la familia, </w:t>
      </w:r>
      <w:r w:rsidR="00E255F2" w:rsidRPr="0095692E">
        <w:rPr>
          <w:rFonts w:ascii="Verdana" w:hAnsi="Verdana"/>
          <w:sz w:val="20"/>
          <w:szCs w:val="20"/>
        </w:rPr>
        <w:t xml:space="preserve">los derechos del niño, </w:t>
      </w:r>
      <w:r w:rsidRPr="0095692E">
        <w:rPr>
          <w:rFonts w:ascii="Verdana" w:hAnsi="Verdana"/>
          <w:sz w:val="20"/>
          <w:szCs w:val="20"/>
        </w:rPr>
        <w:t xml:space="preserve">la propiedad privada, y la protección judicial, contenidos en los artículos 5.1, 5.2, 7.1, 7.2, 7.3, 8.1, 11.1, 11.2, 17.1, </w:t>
      </w:r>
      <w:r w:rsidR="00E255F2" w:rsidRPr="0095692E">
        <w:rPr>
          <w:rFonts w:ascii="Verdana" w:hAnsi="Verdana"/>
          <w:sz w:val="20"/>
          <w:szCs w:val="20"/>
        </w:rPr>
        <w:t>19</w:t>
      </w:r>
      <w:r w:rsidRPr="0095692E">
        <w:rPr>
          <w:rFonts w:ascii="Verdana" w:hAnsi="Verdana"/>
          <w:sz w:val="20"/>
          <w:szCs w:val="20"/>
        </w:rPr>
        <w:t xml:space="preserve">, </w:t>
      </w:r>
      <w:r w:rsidR="00E255F2" w:rsidRPr="0095692E">
        <w:rPr>
          <w:rFonts w:ascii="Verdana" w:hAnsi="Verdana"/>
          <w:sz w:val="20"/>
          <w:szCs w:val="20"/>
        </w:rPr>
        <w:t>21</w:t>
      </w:r>
      <w:r w:rsidRPr="0095692E">
        <w:rPr>
          <w:rFonts w:ascii="Verdana" w:hAnsi="Verdana"/>
          <w:sz w:val="20"/>
          <w:szCs w:val="20"/>
        </w:rPr>
        <w:t xml:space="preserve"> y 25 de la Convención Americana sobre Derechos Humanos, en relación con el artículo 1.1 del mismo instrumento, en perjuicio de los miembros de la familia del señor Deras García previamente identificados (</w:t>
      </w:r>
      <w:r w:rsidRPr="0095692E">
        <w:rPr>
          <w:rFonts w:ascii="Verdana" w:hAnsi="Verdana"/>
          <w:i/>
          <w:iCs/>
          <w:sz w:val="20"/>
          <w:szCs w:val="20"/>
        </w:rPr>
        <w:t>supra</w:t>
      </w:r>
      <w:r w:rsidRPr="0095692E">
        <w:rPr>
          <w:rFonts w:ascii="Verdana" w:hAnsi="Verdana"/>
          <w:sz w:val="20"/>
          <w:szCs w:val="20"/>
        </w:rPr>
        <w:t xml:space="preserve"> párr. </w:t>
      </w:r>
      <w:r w:rsidR="00C44B80">
        <w:rPr>
          <w:rFonts w:ascii="Verdana" w:hAnsi="Verdana"/>
          <w:sz w:val="20"/>
          <w:szCs w:val="20"/>
        </w:rPr>
        <w:t>94</w:t>
      </w:r>
      <w:r w:rsidRPr="0095692E">
        <w:rPr>
          <w:rFonts w:ascii="Verdana" w:hAnsi="Verdana"/>
          <w:sz w:val="20"/>
          <w:szCs w:val="20"/>
        </w:rPr>
        <w:t xml:space="preserve">), </w:t>
      </w:r>
      <w:r w:rsidR="005F3BC4" w:rsidRPr="0095692E">
        <w:rPr>
          <w:rFonts w:ascii="Verdana" w:hAnsi="Verdana"/>
          <w:sz w:val="20"/>
          <w:szCs w:val="20"/>
        </w:rPr>
        <w:t>algunos de los cuales eran niños y niñas al momento en que ocurrieron los hechos</w:t>
      </w:r>
      <w:r w:rsidRPr="0095692E">
        <w:rPr>
          <w:rFonts w:ascii="Verdana" w:hAnsi="Verdana"/>
          <w:sz w:val="20"/>
          <w:szCs w:val="20"/>
        </w:rPr>
        <w:t xml:space="preserve">, en los términos de los párrafos </w:t>
      </w:r>
      <w:r w:rsidR="00E255F2" w:rsidRPr="0095692E">
        <w:rPr>
          <w:rFonts w:ascii="Verdana" w:hAnsi="Verdana"/>
          <w:sz w:val="20"/>
          <w:szCs w:val="20"/>
        </w:rPr>
        <w:t>81</w:t>
      </w:r>
      <w:r w:rsidRPr="0095692E">
        <w:rPr>
          <w:rFonts w:ascii="Verdana" w:hAnsi="Verdana"/>
          <w:sz w:val="20"/>
          <w:szCs w:val="20"/>
        </w:rPr>
        <w:t xml:space="preserve"> a </w:t>
      </w:r>
      <w:r w:rsidR="00E255F2" w:rsidRPr="0095692E">
        <w:rPr>
          <w:rFonts w:ascii="Verdana" w:hAnsi="Verdana"/>
          <w:sz w:val="20"/>
          <w:szCs w:val="20"/>
        </w:rPr>
        <w:t>86</w:t>
      </w:r>
      <w:r w:rsidR="009B3A61">
        <w:rPr>
          <w:rFonts w:ascii="Verdana" w:hAnsi="Verdana"/>
          <w:sz w:val="20"/>
          <w:szCs w:val="20"/>
        </w:rPr>
        <w:t>,</w:t>
      </w:r>
      <w:r w:rsidR="004962EE">
        <w:rPr>
          <w:rFonts w:ascii="Verdana" w:hAnsi="Verdana"/>
          <w:sz w:val="20"/>
          <w:szCs w:val="20"/>
        </w:rPr>
        <w:t xml:space="preserve"> </w:t>
      </w:r>
      <w:r w:rsidR="004B64CC" w:rsidRPr="0095692E">
        <w:rPr>
          <w:rFonts w:ascii="Verdana" w:hAnsi="Verdana"/>
          <w:sz w:val="20"/>
          <w:szCs w:val="20"/>
        </w:rPr>
        <w:t>88</w:t>
      </w:r>
      <w:r w:rsidR="009B3A61">
        <w:rPr>
          <w:rFonts w:ascii="Verdana" w:hAnsi="Verdana"/>
          <w:sz w:val="20"/>
          <w:szCs w:val="20"/>
        </w:rPr>
        <w:t xml:space="preserve"> y</w:t>
      </w:r>
      <w:r w:rsidR="004B64CC" w:rsidRPr="0095692E">
        <w:rPr>
          <w:rFonts w:ascii="Verdana" w:hAnsi="Verdana"/>
          <w:sz w:val="20"/>
          <w:szCs w:val="20"/>
        </w:rPr>
        <w:t xml:space="preserve"> 89</w:t>
      </w:r>
      <w:r w:rsidRPr="0095692E">
        <w:rPr>
          <w:rFonts w:ascii="Verdana" w:hAnsi="Verdana"/>
          <w:sz w:val="20"/>
          <w:szCs w:val="20"/>
        </w:rPr>
        <w:t xml:space="preserve"> de la presente</w:t>
      </w:r>
      <w:r w:rsidRPr="0095692E">
        <w:rPr>
          <w:rFonts w:ascii="Verdana" w:hAnsi="Verdana"/>
          <w:spacing w:val="-6"/>
          <w:sz w:val="20"/>
          <w:szCs w:val="20"/>
        </w:rPr>
        <w:t xml:space="preserve"> </w:t>
      </w:r>
      <w:r w:rsidRPr="0095692E">
        <w:rPr>
          <w:rFonts w:ascii="Verdana" w:hAnsi="Verdana"/>
          <w:sz w:val="20"/>
          <w:szCs w:val="20"/>
        </w:rPr>
        <w:t>Sentencia.</w:t>
      </w:r>
    </w:p>
    <w:p w14:paraId="10943B63" w14:textId="77777777" w:rsidR="00FF277B" w:rsidRPr="0095692E" w:rsidRDefault="00FF277B" w:rsidP="00FF277B">
      <w:pPr>
        <w:pStyle w:val="Prrafodelista"/>
        <w:spacing w:after="0" w:line="240" w:lineRule="auto"/>
        <w:contextualSpacing w:val="0"/>
        <w:rPr>
          <w:rFonts w:ascii="Verdana" w:hAnsi="Verdana"/>
          <w:sz w:val="20"/>
          <w:szCs w:val="20"/>
        </w:rPr>
      </w:pPr>
    </w:p>
    <w:p w14:paraId="21B6FAFE" w14:textId="303096CB" w:rsidR="00FF277B" w:rsidRPr="0095692E" w:rsidRDefault="00FF277B" w:rsidP="00FF277B">
      <w:pPr>
        <w:pStyle w:val="Prrafodelista"/>
        <w:widowControl w:val="0"/>
        <w:numPr>
          <w:ilvl w:val="0"/>
          <w:numId w:val="13"/>
        </w:numPr>
        <w:tabs>
          <w:tab w:val="left" w:pos="684"/>
        </w:tabs>
        <w:autoSpaceDE w:val="0"/>
        <w:autoSpaceDN w:val="0"/>
        <w:spacing w:after="0" w:line="240" w:lineRule="auto"/>
        <w:ind w:left="0" w:right="118" w:firstLine="0"/>
        <w:contextualSpacing w:val="0"/>
        <w:jc w:val="both"/>
        <w:rPr>
          <w:rFonts w:ascii="Verdana" w:hAnsi="Verdana"/>
          <w:sz w:val="20"/>
          <w:szCs w:val="20"/>
        </w:rPr>
      </w:pPr>
      <w:r w:rsidRPr="0095692E">
        <w:rPr>
          <w:rFonts w:ascii="Verdana" w:hAnsi="Verdana"/>
          <w:sz w:val="20"/>
          <w:szCs w:val="20"/>
        </w:rPr>
        <w:t>El Estado es responsable por la violación del derecho de circulación y residencia, establecidos en el artículo 22</w:t>
      </w:r>
      <w:r w:rsidR="00E255F2" w:rsidRPr="0095692E">
        <w:rPr>
          <w:rFonts w:ascii="Verdana" w:hAnsi="Verdana"/>
          <w:sz w:val="20"/>
          <w:szCs w:val="20"/>
        </w:rPr>
        <w:t>.1</w:t>
      </w:r>
      <w:r w:rsidRPr="0095692E">
        <w:rPr>
          <w:rFonts w:ascii="Verdana" w:hAnsi="Verdana"/>
          <w:sz w:val="20"/>
          <w:szCs w:val="20"/>
        </w:rPr>
        <w:t xml:space="preserve"> de la Convención Americana sobre Derechos Humanos, en relación con el artículo 1.1 del mismo instrumento, en perjuicio de Héctor García y Alba Luz Deras García, en los términos del párrafo </w:t>
      </w:r>
      <w:r w:rsidR="004B64CC" w:rsidRPr="0095692E">
        <w:rPr>
          <w:rFonts w:ascii="Verdana" w:hAnsi="Verdana"/>
          <w:sz w:val="20"/>
          <w:szCs w:val="20"/>
        </w:rPr>
        <w:t>87</w:t>
      </w:r>
      <w:r w:rsidRPr="0095692E">
        <w:rPr>
          <w:rFonts w:ascii="Verdana" w:hAnsi="Verdana"/>
          <w:sz w:val="20"/>
          <w:szCs w:val="20"/>
        </w:rPr>
        <w:t xml:space="preserve"> de la presente</w:t>
      </w:r>
      <w:r w:rsidRPr="0095692E">
        <w:rPr>
          <w:rFonts w:ascii="Verdana" w:hAnsi="Verdana"/>
          <w:spacing w:val="-6"/>
          <w:sz w:val="20"/>
          <w:szCs w:val="20"/>
        </w:rPr>
        <w:t xml:space="preserve"> </w:t>
      </w:r>
      <w:r w:rsidRPr="0095692E">
        <w:rPr>
          <w:rFonts w:ascii="Verdana" w:hAnsi="Verdana"/>
          <w:sz w:val="20"/>
          <w:szCs w:val="20"/>
        </w:rPr>
        <w:t>Sentencia.</w:t>
      </w:r>
    </w:p>
    <w:p w14:paraId="03C79454" w14:textId="77777777" w:rsidR="00FF277B" w:rsidRPr="0095692E" w:rsidRDefault="00FF277B" w:rsidP="00FF277B">
      <w:pPr>
        <w:pStyle w:val="Prrafodelista"/>
        <w:widowControl w:val="0"/>
        <w:tabs>
          <w:tab w:val="left" w:pos="684"/>
        </w:tabs>
        <w:autoSpaceDE w:val="0"/>
        <w:autoSpaceDN w:val="0"/>
        <w:spacing w:after="0" w:line="240" w:lineRule="auto"/>
        <w:ind w:left="0" w:right="118"/>
        <w:contextualSpacing w:val="0"/>
        <w:jc w:val="both"/>
        <w:rPr>
          <w:rFonts w:ascii="Verdana" w:hAnsi="Verdana"/>
          <w:sz w:val="20"/>
          <w:szCs w:val="20"/>
        </w:rPr>
      </w:pPr>
    </w:p>
    <w:p w14:paraId="1A921AE2" w14:textId="77777777" w:rsidR="00FF277B" w:rsidRPr="0095692E" w:rsidRDefault="00FF277B" w:rsidP="00FF277B">
      <w:pPr>
        <w:pStyle w:val="Prrafodelista"/>
        <w:spacing w:after="0" w:line="240" w:lineRule="auto"/>
        <w:ind w:left="0"/>
        <w:contextualSpacing w:val="0"/>
        <w:rPr>
          <w:rFonts w:ascii="Verdana" w:hAnsi="Verdana"/>
          <w:b/>
          <w:sz w:val="20"/>
          <w:szCs w:val="20"/>
        </w:rPr>
      </w:pPr>
      <w:r w:rsidRPr="0095692E">
        <w:rPr>
          <w:rFonts w:ascii="Verdana" w:hAnsi="Verdana"/>
          <w:b/>
          <w:sz w:val="20"/>
          <w:szCs w:val="20"/>
        </w:rPr>
        <w:t>DISPONE</w:t>
      </w:r>
    </w:p>
    <w:p w14:paraId="721E04B3" w14:textId="77777777" w:rsidR="00FF277B" w:rsidRPr="0095692E" w:rsidRDefault="00FF277B" w:rsidP="00FF277B">
      <w:pPr>
        <w:pStyle w:val="Textoindependiente"/>
        <w:rPr>
          <w:b/>
          <w:highlight w:val="yellow"/>
          <w:lang w:val="es-CR"/>
        </w:rPr>
      </w:pPr>
    </w:p>
    <w:p w14:paraId="7637489C" w14:textId="77777777" w:rsidR="00DA343C" w:rsidRPr="0095692E" w:rsidRDefault="00DA343C" w:rsidP="00DA343C">
      <w:pPr>
        <w:pStyle w:val="Textoindependiente"/>
        <w:rPr>
          <w:lang w:val="es-CR"/>
        </w:rPr>
      </w:pPr>
      <w:r w:rsidRPr="0095692E">
        <w:rPr>
          <w:lang w:val="es-CR"/>
        </w:rPr>
        <w:t>Por unanimidad:</w:t>
      </w:r>
    </w:p>
    <w:p w14:paraId="1D95D484" w14:textId="77777777" w:rsidR="00FF277B" w:rsidRPr="0095692E" w:rsidRDefault="00FF277B" w:rsidP="00FF277B">
      <w:pPr>
        <w:pStyle w:val="Textoindependiente"/>
        <w:rPr>
          <w:highlight w:val="yellow"/>
          <w:lang w:val="es-CR"/>
        </w:rPr>
      </w:pPr>
    </w:p>
    <w:p w14:paraId="18068068" w14:textId="77777777" w:rsidR="00FF277B" w:rsidRPr="0095692E" w:rsidRDefault="00FF277B"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Esta Sentencia constituye, por sí misma, una forma de</w:t>
      </w:r>
      <w:r w:rsidRPr="0095692E">
        <w:rPr>
          <w:rFonts w:ascii="Verdana" w:hAnsi="Verdana"/>
          <w:spacing w:val="-3"/>
          <w:sz w:val="20"/>
          <w:szCs w:val="20"/>
        </w:rPr>
        <w:t xml:space="preserve"> </w:t>
      </w:r>
      <w:r w:rsidRPr="0095692E">
        <w:rPr>
          <w:rFonts w:ascii="Verdana" w:hAnsi="Verdana"/>
          <w:sz w:val="20"/>
          <w:szCs w:val="20"/>
        </w:rPr>
        <w:t>reparación.</w:t>
      </w:r>
    </w:p>
    <w:p w14:paraId="4C78CEF3" w14:textId="77777777" w:rsidR="00FF277B" w:rsidRPr="0095692E" w:rsidRDefault="00FF277B" w:rsidP="00FF277B">
      <w:pPr>
        <w:pStyle w:val="Prrafodelista"/>
        <w:widowControl w:val="0"/>
        <w:tabs>
          <w:tab w:val="left" w:pos="686"/>
        </w:tabs>
        <w:autoSpaceDE w:val="0"/>
        <w:autoSpaceDN w:val="0"/>
        <w:spacing w:after="0" w:line="240" w:lineRule="auto"/>
        <w:ind w:left="0"/>
        <w:contextualSpacing w:val="0"/>
        <w:jc w:val="both"/>
        <w:rPr>
          <w:rFonts w:ascii="Verdana" w:hAnsi="Verdana"/>
          <w:sz w:val="20"/>
          <w:szCs w:val="20"/>
          <w:highlight w:val="yellow"/>
        </w:rPr>
      </w:pPr>
    </w:p>
    <w:p w14:paraId="143EEBE9" w14:textId="1DFF5CD9" w:rsidR="008A2E3A" w:rsidRPr="0095692E" w:rsidRDefault="008A2E3A" w:rsidP="003F615F">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lastRenderedPageBreak/>
        <w:t xml:space="preserve">El Estado deberá, en un plazo razonable, </w:t>
      </w:r>
      <w:r w:rsidR="000B54F1" w:rsidRPr="0095692E">
        <w:rPr>
          <w:rFonts w:ascii="Verdana" w:hAnsi="Verdana"/>
          <w:sz w:val="20"/>
          <w:szCs w:val="20"/>
        </w:rPr>
        <w:t xml:space="preserve">investigar, identificar, juzgar y, en su caso, sancionar a </w:t>
      </w:r>
      <w:r w:rsidR="008F1A9C" w:rsidRPr="0095692E">
        <w:rPr>
          <w:rFonts w:ascii="Verdana" w:hAnsi="Verdana"/>
          <w:sz w:val="20"/>
          <w:szCs w:val="20"/>
        </w:rPr>
        <w:t>todos los r</w:t>
      </w:r>
      <w:r w:rsidR="001A46A4" w:rsidRPr="0095692E">
        <w:rPr>
          <w:rFonts w:ascii="Verdana" w:hAnsi="Verdana"/>
          <w:sz w:val="20"/>
          <w:szCs w:val="20"/>
        </w:rPr>
        <w:t>e</w:t>
      </w:r>
      <w:r w:rsidR="008F1A9C" w:rsidRPr="0095692E">
        <w:rPr>
          <w:rFonts w:ascii="Verdana" w:hAnsi="Verdana"/>
          <w:sz w:val="20"/>
          <w:szCs w:val="20"/>
        </w:rPr>
        <w:t>sponsables</w:t>
      </w:r>
      <w:r w:rsidR="000B54F1" w:rsidRPr="0095692E">
        <w:rPr>
          <w:rFonts w:ascii="Verdana" w:hAnsi="Verdana"/>
          <w:sz w:val="20"/>
          <w:szCs w:val="20"/>
        </w:rPr>
        <w:t xml:space="preserve"> </w:t>
      </w:r>
      <w:r w:rsidR="0056345E" w:rsidRPr="0095692E">
        <w:rPr>
          <w:rFonts w:ascii="Verdana" w:hAnsi="Verdana"/>
          <w:sz w:val="20"/>
          <w:szCs w:val="20"/>
        </w:rPr>
        <w:t>de</w:t>
      </w:r>
      <w:r w:rsidR="000B54F1" w:rsidRPr="0095692E">
        <w:rPr>
          <w:rFonts w:ascii="Verdana" w:hAnsi="Verdana"/>
          <w:sz w:val="20"/>
          <w:szCs w:val="20"/>
        </w:rPr>
        <w:t xml:space="preserve"> la ejecución extrajudicial del señor Herminio Deras García y a todos los responsables de las demás violaciones de derechos humanos declaradas en esta Sentencia</w:t>
      </w:r>
      <w:r w:rsidRPr="0095692E">
        <w:rPr>
          <w:rFonts w:ascii="Verdana" w:hAnsi="Verdana"/>
          <w:sz w:val="20"/>
          <w:szCs w:val="20"/>
        </w:rPr>
        <w:t>, en los términos de</w:t>
      </w:r>
      <w:r w:rsidR="007A19F1" w:rsidRPr="0095692E">
        <w:rPr>
          <w:rFonts w:ascii="Verdana" w:hAnsi="Verdana"/>
          <w:sz w:val="20"/>
          <w:szCs w:val="20"/>
        </w:rPr>
        <w:t xml:space="preserve"> </w:t>
      </w:r>
      <w:r w:rsidRPr="0095692E">
        <w:rPr>
          <w:rFonts w:ascii="Verdana" w:hAnsi="Verdana"/>
          <w:sz w:val="20"/>
          <w:szCs w:val="20"/>
        </w:rPr>
        <w:t>l</w:t>
      </w:r>
      <w:r w:rsidR="007A19F1" w:rsidRPr="0095692E">
        <w:rPr>
          <w:rFonts w:ascii="Verdana" w:hAnsi="Verdana"/>
          <w:sz w:val="20"/>
          <w:szCs w:val="20"/>
        </w:rPr>
        <w:t>os</w:t>
      </w:r>
      <w:r w:rsidRPr="0095692E">
        <w:rPr>
          <w:rFonts w:ascii="Verdana" w:hAnsi="Verdana"/>
          <w:sz w:val="20"/>
          <w:szCs w:val="20"/>
        </w:rPr>
        <w:t xml:space="preserve"> párrafo</w:t>
      </w:r>
      <w:r w:rsidR="007A19F1" w:rsidRPr="0095692E">
        <w:rPr>
          <w:rFonts w:ascii="Verdana" w:hAnsi="Verdana"/>
          <w:sz w:val="20"/>
          <w:szCs w:val="20"/>
        </w:rPr>
        <w:t>s</w:t>
      </w:r>
      <w:r w:rsidRPr="0095692E">
        <w:rPr>
          <w:rFonts w:ascii="Verdana" w:hAnsi="Verdana"/>
          <w:sz w:val="20"/>
          <w:szCs w:val="20"/>
        </w:rPr>
        <w:t xml:space="preserve"> </w:t>
      </w:r>
      <w:r w:rsidR="00DA366B" w:rsidRPr="0095692E">
        <w:rPr>
          <w:rFonts w:ascii="Verdana" w:hAnsi="Verdana"/>
          <w:sz w:val="20"/>
          <w:szCs w:val="20"/>
        </w:rPr>
        <w:t>97</w:t>
      </w:r>
      <w:r w:rsidR="007A19F1" w:rsidRPr="0095692E">
        <w:rPr>
          <w:rFonts w:ascii="Verdana" w:hAnsi="Verdana"/>
          <w:sz w:val="20"/>
          <w:szCs w:val="20"/>
        </w:rPr>
        <w:t xml:space="preserve"> a </w:t>
      </w:r>
      <w:r w:rsidR="00DA366B" w:rsidRPr="0095692E">
        <w:rPr>
          <w:rFonts w:ascii="Verdana" w:hAnsi="Verdana"/>
          <w:sz w:val="20"/>
          <w:szCs w:val="20"/>
        </w:rPr>
        <w:t>101</w:t>
      </w:r>
      <w:r w:rsidRPr="0095692E">
        <w:rPr>
          <w:rFonts w:ascii="Verdana" w:hAnsi="Verdana"/>
          <w:sz w:val="20"/>
          <w:szCs w:val="20"/>
        </w:rPr>
        <w:t xml:space="preserve"> del presente </w:t>
      </w:r>
      <w:r w:rsidR="000B54F1" w:rsidRPr="0095692E">
        <w:rPr>
          <w:rFonts w:ascii="Verdana" w:hAnsi="Verdana"/>
          <w:sz w:val="20"/>
          <w:szCs w:val="20"/>
        </w:rPr>
        <w:t>Fallo</w:t>
      </w:r>
      <w:r w:rsidRPr="0095692E">
        <w:rPr>
          <w:rFonts w:ascii="Verdana" w:hAnsi="Verdana"/>
          <w:sz w:val="20"/>
          <w:szCs w:val="20"/>
        </w:rPr>
        <w:t>.</w:t>
      </w:r>
    </w:p>
    <w:p w14:paraId="4135C3BC" w14:textId="77777777" w:rsidR="008A2E3A" w:rsidRPr="0095692E" w:rsidRDefault="008A2E3A" w:rsidP="008A2E3A">
      <w:pPr>
        <w:pStyle w:val="Prrafodelista"/>
        <w:rPr>
          <w:rFonts w:ascii="Verdana" w:eastAsia="Verdana" w:hAnsi="Verdana" w:cs="Verdana"/>
          <w:sz w:val="20"/>
          <w:szCs w:val="20"/>
        </w:rPr>
      </w:pPr>
    </w:p>
    <w:p w14:paraId="51A830D2" w14:textId="6899B158" w:rsidR="00FF277B" w:rsidRPr="0095692E" w:rsidRDefault="00FF277B"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eastAsia="Verdana" w:hAnsi="Verdana" w:cs="Verdana"/>
          <w:sz w:val="20"/>
          <w:szCs w:val="20"/>
        </w:rPr>
        <w:t xml:space="preserve">El Estado </w:t>
      </w:r>
      <w:r w:rsidR="00A36EE4" w:rsidRPr="0095692E">
        <w:rPr>
          <w:rFonts w:ascii="Verdana" w:eastAsia="Verdana" w:hAnsi="Verdana" w:cs="Verdana"/>
          <w:sz w:val="20"/>
          <w:szCs w:val="20"/>
        </w:rPr>
        <w:t xml:space="preserve">cerrará </w:t>
      </w:r>
      <w:r w:rsidR="00A36EE4" w:rsidRPr="0095692E">
        <w:rPr>
          <w:rFonts w:ascii="Verdana" w:eastAsiaTheme="minorEastAsia" w:hAnsi="Verdana" w:cs="Cambria"/>
          <w:sz w:val="20"/>
          <w:szCs w:val="20"/>
          <w:lang w:eastAsia="es-CR"/>
        </w:rPr>
        <w:t xml:space="preserve">de manera definitiva, el expediente policial abierto en contra de las señoras Otilia Flores Ortiz y Elba Flores Ortiz de 26 de noviembre de 1981, así como los expedientes policiales y judiciales levantados contra los familiares del señor Herminio Deras García de 8 de junio de 1984, </w:t>
      </w:r>
      <w:r w:rsidR="00A36EE4" w:rsidRPr="0095692E">
        <w:rPr>
          <w:rFonts w:ascii="Verdana" w:hAnsi="Verdana"/>
          <w:sz w:val="20"/>
          <w:szCs w:val="20"/>
        </w:rPr>
        <w:t xml:space="preserve">en los términos del párrafo </w:t>
      </w:r>
      <w:r w:rsidR="00DA366B" w:rsidRPr="0095692E">
        <w:rPr>
          <w:rFonts w:ascii="Verdana" w:hAnsi="Verdana"/>
          <w:sz w:val="20"/>
          <w:szCs w:val="20"/>
        </w:rPr>
        <w:t>103</w:t>
      </w:r>
      <w:r w:rsidR="00A36EE4" w:rsidRPr="0095692E">
        <w:rPr>
          <w:rFonts w:ascii="Verdana" w:hAnsi="Verdana"/>
          <w:sz w:val="20"/>
          <w:szCs w:val="20"/>
        </w:rPr>
        <w:t xml:space="preserve"> de la presente Sentencia</w:t>
      </w:r>
      <w:r w:rsidRPr="0095692E">
        <w:rPr>
          <w:rFonts w:ascii="Verdana" w:eastAsia="Verdana" w:hAnsi="Verdana" w:cs="Verdana"/>
          <w:sz w:val="20"/>
          <w:szCs w:val="20"/>
        </w:rPr>
        <w:t>.</w:t>
      </w:r>
    </w:p>
    <w:p w14:paraId="5D2AB753" w14:textId="2BB48E53" w:rsidR="00806BCA" w:rsidRPr="0095692E" w:rsidRDefault="00806BCA" w:rsidP="00BF4F2E">
      <w:pPr>
        <w:jc w:val="both"/>
        <w:rPr>
          <w:rFonts w:ascii="Verdana" w:hAnsi="Verdana"/>
          <w:sz w:val="20"/>
          <w:szCs w:val="20"/>
        </w:rPr>
      </w:pPr>
    </w:p>
    <w:p w14:paraId="259DFF8E" w14:textId="6B3565DE" w:rsidR="003B6F39" w:rsidRPr="0095692E" w:rsidRDefault="00BF4F2E"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El Estado brindará el tratamiento médico</w:t>
      </w:r>
      <w:r w:rsidR="005648D3" w:rsidRPr="0095692E">
        <w:rPr>
          <w:rFonts w:ascii="Verdana" w:hAnsi="Verdana"/>
          <w:sz w:val="20"/>
          <w:szCs w:val="20"/>
        </w:rPr>
        <w:t>,</w:t>
      </w:r>
      <w:r w:rsidRPr="0095692E">
        <w:rPr>
          <w:rFonts w:ascii="Verdana" w:hAnsi="Verdana"/>
          <w:sz w:val="20"/>
          <w:szCs w:val="20"/>
        </w:rPr>
        <w:t xml:space="preserve"> psicológico</w:t>
      </w:r>
      <w:r w:rsidR="005648D3" w:rsidRPr="0095692E">
        <w:rPr>
          <w:rFonts w:ascii="Verdana" w:hAnsi="Verdana"/>
          <w:sz w:val="20"/>
          <w:szCs w:val="20"/>
        </w:rPr>
        <w:t xml:space="preserve"> y/o</w:t>
      </w:r>
      <w:r w:rsidRPr="0095692E">
        <w:rPr>
          <w:rFonts w:ascii="Verdana" w:hAnsi="Verdana"/>
          <w:sz w:val="20"/>
          <w:szCs w:val="20"/>
        </w:rPr>
        <w:t xml:space="preserve"> psiquiátrico que requieran las víctimas, en los términos de lo establecido en el párrafo </w:t>
      </w:r>
      <w:r w:rsidR="00DA366B" w:rsidRPr="0095692E">
        <w:rPr>
          <w:rFonts w:ascii="Verdana" w:hAnsi="Verdana"/>
          <w:sz w:val="20"/>
          <w:szCs w:val="20"/>
        </w:rPr>
        <w:t>105</w:t>
      </w:r>
      <w:r w:rsidRPr="0095692E">
        <w:rPr>
          <w:rFonts w:ascii="Verdana" w:hAnsi="Verdana"/>
          <w:sz w:val="20"/>
          <w:szCs w:val="20"/>
        </w:rPr>
        <w:t xml:space="preserve"> de esta Sentencia.</w:t>
      </w:r>
    </w:p>
    <w:p w14:paraId="2E402DBA" w14:textId="77777777" w:rsidR="003B6F39" w:rsidRPr="0095692E" w:rsidRDefault="003B6F39" w:rsidP="00FF277B">
      <w:pPr>
        <w:rPr>
          <w:rFonts w:ascii="Verdana" w:hAnsi="Verdana"/>
          <w:sz w:val="20"/>
          <w:szCs w:val="20"/>
          <w:highlight w:val="yellow"/>
        </w:rPr>
      </w:pPr>
    </w:p>
    <w:p w14:paraId="25D2894D" w14:textId="7A91DAE0" w:rsidR="00FF277B" w:rsidRPr="0095692E" w:rsidRDefault="00FF277B"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eastAsia="Verdana" w:hAnsi="Verdana" w:cs="Verdana"/>
          <w:sz w:val="20"/>
          <w:szCs w:val="20"/>
        </w:rPr>
        <w:t xml:space="preserve">El Estado realizará, en el plazo de seis meses, las publicaciones indicadas en el párrafo </w:t>
      </w:r>
      <w:r w:rsidR="00DA366B" w:rsidRPr="0095692E">
        <w:rPr>
          <w:rFonts w:ascii="Verdana" w:eastAsia="Verdana" w:hAnsi="Verdana" w:cs="Verdana"/>
          <w:sz w:val="20"/>
          <w:szCs w:val="20"/>
        </w:rPr>
        <w:t>108</w:t>
      </w:r>
      <w:r w:rsidRPr="0095692E">
        <w:rPr>
          <w:rFonts w:ascii="Verdana" w:eastAsia="Verdana" w:hAnsi="Verdana" w:cs="Verdana"/>
          <w:sz w:val="20"/>
          <w:szCs w:val="20"/>
        </w:rPr>
        <w:t xml:space="preserve"> de la presente Sentencia.</w:t>
      </w:r>
    </w:p>
    <w:p w14:paraId="31468583" w14:textId="6094AA61" w:rsidR="002A7F9F" w:rsidRPr="0095692E" w:rsidRDefault="002A7F9F" w:rsidP="002A7F9F">
      <w:pPr>
        <w:rPr>
          <w:rFonts w:ascii="Verdana" w:hAnsi="Verdana"/>
          <w:sz w:val="20"/>
          <w:szCs w:val="20"/>
          <w:highlight w:val="yellow"/>
        </w:rPr>
      </w:pPr>
    </w:p>
    <w:p w14:paraId="0D3122BA" w14:textId="4886AC80" w:rsidR="002A7F9F" w:rsidRPr="0095692E" w:rsidRDefault="002A7F9F"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realizará un acto público de reconocimiento de responsabilidad internacional, en los términos del párrafo </w:t>
      </w:r>
      <w:r w:rsidR="00DA366B" w:rsidRPr="0095692E">
        <w:rPr>
          <w:rFonts w:ascii="Verdana" w:hAnsi="Verdana"/>
          <w:sz w:val="20"/>
          <w:szCs w:val="20"/>
        </w:rPr>
        <w:t>109</w:t>
      </w:r>
      <w:r w:rsidRPr="0095692E">
        <w:rPr>
          <w:rFonts w:ascii="Verdana" w:hAnsi="Verdana"/>
          <w:sz w:val="20"/>
          <w:szCs w:val="20"/>
        </w:rPr>
        <w:t xml:space="preserve"> de esta Sentencia.</w:t>
      </w:r>
    </w:p>
    <w:p w14:paraId="5252F44D" w14:textId="77777777" w:rsidR="002A7F9F" w:rsidRPr="0095692E" w:rsidRDefault="002A7F9F" w:rsidP="002A7F9F">
      <w:pPr>
        <w:pStyle w:val="Prrafodelista"/>
        <w:rPr>
          <w:rFonts w:ascii="Verdana" w:hAnsi="Verdana"/>
          <w:sz w:val="20"/>
          <w:szCs w:val="20"/>
        </w:rPr>
      </w:pPr>
    </w:p>
    <w:p w14:paraId="68329BFE" w14:textId="71947E58" w:rsidR="00FF277B" w:rsidRPr="0095692E" w:rsidRDefault="00FF277B"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w:t>
      </w:r>
      <w:r w:rsidR="005F5DD6" w:rsidRPr="0095692E">
        <w:rPr>
          <w:rFonts w:ascii="Verdana" w:hAnsi="Verdana"/>
          <w:sz w:val="20"/>
          <w:szCs w:val="20"/>
        </w:rPr>
        <w:t>construirá un mausoleo en la tumba del señor Herminio Deras García</w:t>
      </w:r>
      <w:r w:rsidRPr="0095692E">
        <w:rPr>
          <w:rFonts w:ascii="Verdana" w:hAnsi="Verdana"/>
          <w:sz w:val="20"/>
          <w:szCs w:val="20"/>
        </w:rPr>
        <w:t xml:space="preserve">, en los términos del párrafo </w:t>
      </w:r>
      <w:r w:rsidR="00DA366B" w:rsidRPr="0095692E">
        <w:rPr>
          <w:rFonts w:ascii="Verdana" w:hAnsi="Verdana"/>
          <w:sz w:val="20"/>
          <w:szCs w:val="20"/>
        </w:rPr>
        <w:t xml:space="preserve">110 </w:t>
      </w:r>
      <w:r w:rsidRPr="0095692E">
        <w:rPr>
          <w:rFonts w:ascii="Verdana" w:hAnsi="Verdana"/>
          <w:sz w:val="20"/>
          <w:szCs w:val="20"/>
        </w:rPr>
        <w:t>de la presente Sentencia.</w:t>
      </w:r>
    </w:p>
    <w:p w14:paraId="2D3E6BD9" w14:textId="77777777" w:rsidR="008400B5" w:rsidRPr="0095692E" w:rsidRDefault="008400B5" w:rsidP="008400B5">
      <w:pPr>
        <w:pStyle w:val="Prrafodelista"/>
        <w:rPr>
          <w:rFonts w:ascii="Verdana" w:hAnsi="Verdana"/>
          <w:sz w:val="20"/>
          <w:szCs w:val="20"/>
        </w:rPr>
      </w:pPr>
    </w:p>
    <w:p w14:paraId="390E0D13" w14:textId="68BFD99F" w:rsidR="008400B5" w:rsidRPr="0095692E" w:rsidRDefault="008400B5"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diseñará y ejecutará una política nacional de memoria histórica, en los términos del párrafo </w:t>
      </w:r>
      <w:r w:rsidR="00DA366B" w:rsidRPr="0095692E">
        <w:rPr>
          <w:rFonts w:ascii="Verdana" w:hAnsi="Verdana"/>
          <w:sz w:val="20"/>
          <w:szCs w:val="20"/>
        </w:rPr>
        <w:t>113</w:t>
      </w:r>
      <w:r w:rsidRPr="0095692E">
        <w:rPr>
          <w:rFonts w:ascii="Verdana" w:hAnsi="Verdana"/>
          <w:sz w:val="20"/>
          <w:szCs w:val="20"/>
        </w:rPr>
        <w:t xml:space="preserve"> de la presente Sentencia.</w:t>
      </w:r>
    </w:p>
    <w:p w14:paraId="21006D2E" w14:textId="77777777" w:rsidR="008400B5" w:rsidRPr="0095692E" w:rsidRDefault="008400B5" w:rsidP="008400B5">
      <w:pPr>
        <w:pStyle w:val="Prrafodelista"/>
        <w:rPr>
          <w:rFonts w:ascii="Verdana" w:hAnsi="Verdana"/>
          <w:sz w:val="20"/>
          <w:szCs w:val="20"/>
        </w:rPr>
      </w:pPr>
    </w:p>
    <w:p w14:paraId="5DA139EC" w14:textId="230C9915" w:rsidR="008400B5" w:rsidRPr="0095692E" w:rsidRDefault="008400B5"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adecuará el Código Penal </w:t>
      </w:r>
      <w:r w:rsidR="007525B9" w:rsidRPr="0095692E">
        <w:rPr>
          <w:rFonts w:ascii="Verdana" w:hAnsi="Verdana"/>
          <w:sz w:val="20"/>
          <w:szCs w:val="20"/>
        </w:rPr>
        <w:t>vigente</w:t>
      </w:r>
      <w:r w:rsidRPr="0095692E">
        <w:rPr>
          <w:rFonts w:ascii="Verdana" w:hAnsi="Verdana"/>
          <w:sz w:val="20"/>
          <w:szCs w:val="20"/>
        </w:rPr>
        <w:t xml:space="preserve">, en los términos del párrafo </w:t>
      </w:r>
      <w:r w:rsidR="00DA366B" w:rsidRPr="0095692E">
        <w:rPr>
          <w:rFonts w:ascii="Verdana" w:hAnsi="Verdana"/>
          <w:sz w:val="20"/>
          <w:szCs w:val="20"/>
        </w:rPr>
        <w:t xml:space="preserve">114 </w:t>
      </w:r>
      <w:r w:rsidRPr="0095692E">
        <w:rPr>
          <w:rFonts w:ascii="Verdana" w:hAnsi="Verdana"/>
          <w:sz w:val="20"/>
          <w:szCs w:val="20"/>
        </w:rPr>
        <w:t>de la presente Sentencia.</w:t>
      </w:r>
    </w:p>
    <w:p w14:paraId="0EA29898" w14:textId="77777777" w:rsidR="008400B5" w:rsidRPr="0095692E" w:rsidRDefault="008400B5" w:rsidP="008400B5">
      <w:pPr>
        <w:pStyle w:val="Prrafodelista"/>
        <w:rPr>
          <w:rFonts w:ascii="Verdana" w:hAnsi="Verdana"/>
          <w:sz w:val="20"/>
          <w:szCs w:val="20"/>
        </w:rPr>
      </w:pPr>
    </w:p>
    <w:p w14:paraId="6FA92132" w14:textId="05D01571" w:rsidR="008400B5" w:rsidRPr="0095692E" w:rsidRDefault="008400B5"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w:t>
      </w:r>
      <w:r w:rsidR="007525B9" w:rsidRPr="0095692E">
        <w:rPr>
          <w:rFonts w:ascii="Verdana" w:hAnsi="Verdana"/>
          <w:sz w:val="20"/>
          <w:szCs w:val="20"/>
        </w:rPr>
        <w:t>creará e implementará una política de preservación de archivos y sitios sobre las violaciones de derechos humanos cometidas entre los años ochenta y el presente</w:t>
      </w:r>
      <w:r w:rsidRPr="0095692E">
        <w:rPr>
          <w:rFonts w:ascii="Verdana" w:hAnsi="Verdana"/>
          <w:sz w:val="20"/>
          <w:szCs w:val="20"/>
        </w:rPr>
        <w:t>, en los términos del párrafo</w:t>
      </w:r>
      <w:r w:rsidR="00DA366B" w:rsidRPr="0095692E">
        <w:rPr>
          <w:rFonts w:ascii="Verdana" w:hAnsi="Verdana"/>
          <w:sz w:val="20"/>
          <w:szCs w:val="20"/>
        </w:rPr>
        <w:t xml:space="preserve"> 115</w:t>
      </w:r>
      <w:r w:rsidRPr="0095692E">
        <w:rPr>
          <w:rFonts w:ascii="Verdana" w:hAnsi="Verdana"/>
          <w:sz w:val="20"/>
          <w:szCs w:val="20"/>
        </w:rPr>
        <w:t xml:space="preserve"> de la presente Sentencia.</w:t>
      </w:r>
    </w:p>
    <w:p w14:paraId="01D3F970" w14:textId="77777777" w:rsidR="00526205" w:rsidRPr="0095692E" w:rsidRDefault="00526205" w:rsidP="00526205">
      <w:pPr>
        <w:pStyle w:val="Prrafodelista"/>
        <w:rPr>
          <w:rFonts w:ascii="Verdana" w:hAnsi="Verdana"/>
          <w:sz w:val="20"/>
          <w:szCs w:val="20"/>
        </w:rPr>
      </w:pPr>
    </w:p>
    <w:p w14:paraId="3B76CA71" w14:textId="1AD34720" w:rsidR="00526205" w:rsidRPr="0095692E" w:rsidRDefault="00526205"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incorporará en el currículo educativo de la educación primaria y secundaria, “la historia de los períodos de violencia”, en los términos del párrafo </w:t>
      </w:r>
      <w:r w:rsidR="00DA366B" w:rsidRPr="0095692E">
        <w:rPr>
          <w:rFonts w:ascii="Verdana" w:hAnsi="Verdana"/>
          <w:sz w:val="20"/>
          <w:szCs w:val="20"/>
        </w:rPr>
        <w:t>116</w:t>
      </w:r>
      <w:r w:rsidRPr="0095692E">
        <w:rPr>
          <w:rFonts w:ascii="Verdana" w:hAnsi="Verdana"/>
          <w:sz w:val="20"/>
          <w:szCs w:val="20"/>
        </w:rPr>
        <w:t xml:space="preserve"> de la presente Sentencia.</w:t>
      </w:r>
    </w:p>
    <w:p w14:paraId="78975B6D" w14:textId="77777777" w:rsidR="00FF277B" w:rsidRPr="0095692E" w:rsidRDefault="00FF277B" w:rsidP="00FF277B">
      <w:pPr>
        <w:pStyle w:val="Prrafodelista"/>
        <w:spacing w:after="0" w:line="240" w:lineRule="auto"/>
        <w:contextualSpacing w:val="0"/>
        <w:rPr>
          <w:rFonts w:ascii="Verdana" w:hAnsi="Verdana"/>
          <w:sz w:val="20"/>
          <w:szCs w:val="20"/>
          <w:highlight w:val="yellow"/>
        </w:rPr>
      </w:pPr>
    </w:p>
    <w:p w14:paraId="619B63F9" w14:textId="09386507" w:rsidR="00FF277B" w:rsidRPr="0095692E" w:rsidRDefault="00FF277B"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eastAsia="Verdana" w:hAnsi="Verdana" w:cs="Verdana"/>
          <w:sz w:val="20"/>
          <w:szCs w:val="20"/>
        </w:rPr>
        <w:t xml:space="preserve">El Estado pagará las cantidades fijadas en los párrafos </w:t>
      </w:r>
      <w:r w:rsidR="00DA366B" w:rsidRPr="0095692E">
        <w:rPr>
          <w:rFonts w:ascii="Verdana" w:eastAsia="Verdana" w:hAnsi="Verdana" w:cs="Verdana"/>
          <w:sz w:val="20"/>
          <w:szCs w:val="20"/>
        </w:rPr>
        <w:t>12</w:t>
      </w:r>
      <w:r w:rsidR="00F53D05" w:rsidRPr="0095692E">
        <w:rPr>
          <w:rFonts w:ascii="Verdana" w:eastAsia="Verdana" w:hAnsi="Verdana" w:cs="Verdana"/>
          <w:sz w:val="20"/>
          <w:szCs w:val="20"/>
        </w:rPr>
        <w:t>7</w:t>
      </w:r>
      <w:r w:rsidR="00E921DA">
        <w:rPr>
          <w:rFonts w:ascii="Verdana" w:eastAsia="Verdana" w:hAnsi="Verdana" w:cs="Verdana"/>
          <w:sz w:val="20"/>
          <w:szCs w:val="20"/>
        </w:rPr>
        <w:t xml:space="preserve">, </w:t>
      </w:r>
      <w:r w:rsidR="00F4005B" w:rsidRPr="0095692E">
        <w:rPr>
          <w:rFonts w:ascii="Verdana" w:eastAsia="Verdana" w:hAnsi="Verdana" w:cs="Verdana"/>
          <w:sz w:val="20"/>
          <w:szCs w:val="20"/>
        </w:rPr>
        <w:t>13</w:t>
      </w:r>
      <w:r w:rsidR="00E921DA">
        <w:rPr>
          <w:rFonts w:ascii="Verdana" w:eastAsia="Verdana" w:hAnsi="Verdana" w:cs="Verdana"/>
          <w:sz w:val="20"/>
          <w:szCs w:val="20"/>
        </w:rPr>
        <w:t>3 y 134</w:t>
      </w:r>
      <w:r w:rsidR="00F4005B" w:rsidRPr="0095692E">
        <w:rPr>
          <w:rFonts w:ascii="Verdana" w:eastAsia="Verdana" w:hAnsi="Verdana" w:cs="Verdana"/>
          <w:sz w:val="20"/>
          <w:szCs w:val="20"/>
        </w:rPr>
        <w:t xml:space="preserve"> </w:t>
      </w:r>
      <w:r w:rsidRPr="0095692E">
        <w:rPr>
          <w:rFonts w:ascii="Verdana" w:eastAsia="Verdana" w:hAnsi="Verdana" w:cs="Verdana"/>
          <w:sz w:val="20"/>
          <w:szCs w:val="20"/>
        </w:rPr>
        <w:t xml:space="preserve">de la presente Sentencia, por concepto de daños materiales e inmateriales, y por el reintegro de costas y gastos, en los términos de los párrafos </w:t>
      </w:r>
      <w:r w:rsidR="00F53D05" w:rsidRPr="0095692E">
        <w:rPr>
          <w:rFonts w:ascii="Verdana" w:eastAsia="Verdana" w:hAnsi="Verdana" w:cs="Verdana"/>
          <w:sz w:val="20"/>
          <w:szCs w:val="20"/>
        </w:rPr>
        <w:t>1</w:t>
      </w:r>
      <w:r w:rsidR="00F4005B" w:rsidRPr="0095692E">
        <w:rPr>
          <w:rFonts w:ascii="Verdana" w:eastAsia="Verdana" w:hAnsi="Verdana" w:cs="Verdana"/>
          <w:sz w:val="20"/>
          <w:szCs w:val="20"/>
        </w:rPr>
        <w:t>36</w:t>
      </w:r>
      <w:r w:rsidRPr="0095692E">
        <w:rPr>
          <w:rFonts w:ascii="Verdana" w:eastAsia="Verdana" w:hAnsi="Verdana" w:cs="Verdana"/>
          <w:sz w:val="20"/>
          <w:szCs w:val="20"/>
        </w:rPr>
        <w:t xml:space="preserve"> a </w:t>
      </w:r>
      <w:r w:rsidR="00F53D05" w:rsidRPr="0095692E">
        <w:rPr>
          <w:rFonts w:ascii="Verdana" w:eastAsia="Verdana" w:hAnsi="Verdana" w:cs="Verdana"/>
          <w:sz w:val="20"/>
          <w:szCs w:val="20"/>
        </w:rPr>
        <w:t>1</w:t>
      </w:r>
      <w:r w:rsidR="00F4005B" w:rsidRPr="0095692E">
        <w:rPr>
          <w:rFonts w:ascii="Verdana" w:eastAsia="Verdana" w:hAnsi="Verdana" w:cs="Verdana"/>
          <w:sz w:val="20"/>
          <w:szCs w:val="20"/>
        </w:rPr>
        <w:t>41</w:t>
      </w:r>
      <w:r w:rsidRPr="0095692E">
        <w:rPr>
          <w:rFonts w:ascii="Verdana" w:eastAsia="Verdana" w:hAnsi="Verdana" w:cs="Verdana"/>
          <w:sz w:val="20"/>
          <w:szCs w:val="20"/>
        </w:rPr>
        <w:t xml:space="preserve"> de la presente Sentencia.</w:t>
      </w:r>
    </w:p>
    <w:p w14:paraId="21573F92" w14:textId="77777777" w:rsidR="00FF277B" w:rsidRPr="0095692E" w:rsidRDefault="00FF277B" w:rsidP="00FF277B">
      <w:pPr>
        <w:rPr>
          <w:rFonts w:ascii="Verdana" w:hAnsi="Verdana"/>
          <w:sz w:val="20"/>
          <w:szCs w:val="20"/>
          <w:highlight w:val="yellow"/>
        </w:rPr>
      </w:pPr>
    </w:p>
    <w:p w14:paraId="2B2E7E09" w14:textId="723C3A9F" w:rsidR="00FF277B" w:rsidRPr="0095692E" w:rsidRDefault="00FF277B" w:rsidP="00FF277B">
      <w:pPr>
        <w:pStyle w:val="Prrafodelista"/>
        <w:numPr>
          <w:ilvl w:val="0"/>
          <w:numId w:val="13"/>
        </w:numPr>
        <w:spacing w:after="0" w:line="240" w:lineRule="auto"/>
        <w:ind w:left="0" w:firstLine="0"/>
        <w:contextualSpacing w:val="0"/>
        <w:jc w:val="both"/>
        <w:rPr>
          <w:rFonts w:ascii="Verdana" w:hAnsi="Verdana"/>
          <w:sz w:val="20"/>
          <w:szCs w:val="20"/>
        </w:rPr>
      </w:pPr>
      <w:r w:rsidRPr="0095692E">
        <w:rPr>
          <w:rFonts w:ascii="Verdana" w:hAnsi="Verdana"/>
          <w:sz w:val="20"/>
          <w:szCs w:val="20"/>
        </w:rPr>
        <w:t xml:space="preserve">El Estado, dentro del plazo de un año contado a partir de la notificación de esta Sentencia, rendirá al Tribunal un informe sobre las medidas adoptadas para cumplir con la misma, sin perjuicio de lo establecido en el párrafo </w:t>
      </w:r>
      <w:r w:rsidR="00F4005B" w:rsidRPr="0095692E">
        <w:rPr>
          <w:rFonts w:ascii="Verdana" w:hAnsi="Verdana"/>
          <w:sz w:val="20"/>
          <w:szCs w:val="20"/>
        </w:rPr>
        <w:t>108</w:t>
      </w:r>
      <w:r w:rsidRPr="0095692E">
        <w:rPr>
          <w:rFonts w:ascii="Verdana" w:hAnsi="Verdana"/>
          <w:sz w:val="20"/>
          <w:szCs w:val="20"/>
        </w:rPr>
        <w:t xml:space="preserve"> de la presente Sentencia.</w:t>
      </w:r>
    </w:p>
    <w:p w14:paraId="31A5E960" w14:textId="77777777" w:rsidR="00FF277B" w:rsidRPr="0095692E" w:rsidRDefault="00FF277B" w:rsidP="00FF277B">
      <w:pPr>
        <w:rPr>
          <w:rFonts w:ascii="Verdana" w:hAnsi="Verdana"/>
          <w:sz w:val="20"/>
          <w:szCs w:val="20"/>
          <w:highlight w:val="yellow"/>
        </w:rPr>
      </w:pPr>
    </w:p>
    <w:p w14:paraId="44F6D401" w14:textId="77777777" w:rsidR="00FF277B" w:rsidRPr="0095692E" w:rsidRDefault="00FF277B" w:rsidP="00FF277B">
      <w:pPr>
        <w:pStyle w:val="Prrafodelista"/>
        <w:widowControl w:val="0"/>
        <w:numPr>
          <w:ilvl w:val="0"/>
          <w:numId w:val="13"/>
        </w:numPr>
        <w:tabs>
          <w:tab w:val="left" w:pos="686"/>
        </w:tabs>
        <w:autoSpaceDE w:val="0"/>
        <w:autoSpaceDN w:val="0"/>
        <w:spacing w:after="0" w:line="240" w:lineRule="auto"/>
        <w:ind w:left="0" w:firstLine="0"/>
        <w:contextualSpacing w:val="0"/>
        <w:jc w:val="both"/>
        <w:rPr>
          <w:rFonts w:ascii="Verdana" w:hAnsi="Verdana"/>
          <w:sz w:val="20"/>
          <w:szCs w:val="20"/>
        </w:rPr>
      </w:pPr>
      <w:r w:rsidRPr="0095692E">
        <w:rPr>
          <w:rFonts w:ascii="Verdana" w:hAnsi="Verdana"/>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66832E90" w14:textId="77777777" w:rsidR="00FF277B" w:rsidRPr="0095692E" w:rsidRDefault="00FF277B" w:rsidP="00FF277B">
      <w:pPr>
        <w:pStyle w:val="Textoindependiente"/>
        <w:jc w:val="both"/>
        <w:rPr>
          <w:highlight w:val="yellow"/>
          <w:lang w:val="es-CR"/>
        </w:rPr>
      </w:pPr>
    </w:p>
    <w:p w14:paraId="40194193" w14:textId="1E86AE89" w:rsidR="00FF277B" w:rsidRPr="0095692E" w:rsidRDefault="00FF277B" w:rsidP="00922D0C">
      <w:pPr>
        <w:jc w:val="both"/>
        <w:rPr>
          <w:rFonts w:ascii="Verdana" w:hAnsi="Verdana"/>
          <w:sz w:val="20"/>
          <w:szCs w:val="20"/>
        </w:rPr>
      </w:pPr>
      <w:r w:rsidRPr="0095692E">
        <w:rPr>
          <w:rFonts w:ascii="Verdana" w:hAnsi="Verdana"/>
          <w:sz w:val="20"/>
          <w:szCs w:val="20"/>
        </w:rPr>
        <w:t xml:space="preserve">Redactada en español en Brasilia, Brasil, el </w:t>
      </w:r>
      <w:r w:rsidR="00EE38F9" w:rsidRPr="0095692E">
        <w:rPr>
          <w:rFonts w:ascii="Verdana" w:hAnsi="Verdana"/>
          <w:sz w:val="20"/>
          <w:szCs w:val="20"/>
        </w:rPr>
        <w:t>25</w:t>
      </w:r>
      <w:r w:rsidRPr="0095692E">
        <w:rPr>
          <w:rFonts w:ascii="Verdana" w:hAnsi="Verdana"/>
          <w:sz w:val="20"/>
          <w:szCs w:val="20"/>
        </w:rPr>
        <w:t xml:space="preserve"> de agosto de 2022.</w:t>
      </w:r>
    </w:p>
    <w:p w14:paraId="23F57B8C" w14:textId="33D916E7" w:rsidR="00FF277B" w:rsidRPr="0095692E" w:rsidRDefault="00FF277B" w:rsidP="00FF277B">
      <w:pPr>
        <w:widowControl w:val="0"/>
        <w:autoSpaceDE w:val="0"/>
        <w:autoSpaceDN w:val="0"/>
        <w:ind w:left="118" w:right="116"/>
        <w:jc w:val="both"/>
        <w:rPr>
          <w:rFonts w:ascii="Verdana" w:hAnsi="Verdana"/>
          <w:sz w:val="20"/>
          <w:szCs w:val="20"/>
          <w:lang w:eastAsia="es-ES"/>
        </w:rPr>
      </w:pPr>
      <w:r w:rsidRPr="0095692E">
        <w:rPr>
          <w:rFonts w:ascii="Verdana" w:eastAsia="Verdana" w:hAnsi="Verdana" w:cs="Verdana"/>
          <w:sz w:val="20"/>
          <w:szCs w:val="20"/>
          <w:lang w:eastAsia="en-US"/>
        </w:rPr>
        <w:lastRenderedPageBreak/>
        <w:t xml:space="preserve">Corte IDH. </w:t>
      </w:r>
      <w:r w:rsidRPr="0095692E">
        <w:rPr>
          <w:rFonts w:ascii="Verdana" w:eastAsia="Verdana" w:hAnsi="Verdana" w:cs="Verdana"/>
          <w:i/>
          <w:sz w:val="20"/>
          <w:szCs w:val="20"/>
          <w:lang w:eastAsia="en-US"/>
        </w:rPr>
        <w:t xml:space="preserve">Caso </w:t>
      </w:r>
      <w:r w:rsidRPr="0095692E">
        <w:rPr>
          <w:rFonts w:ascii="Verdana" w:eastAsia="Verdana" w:hAnsi="Verdana" w:cs="Verdana"/>
          <w:i/>
          <w:iCs/>
          <w:sz w:val="20"/>
          <w:szCs w:val="20"/>
          <w:lang w:eastAsia="en-US"/>
        </w:rPr>
        <w:t>Deras García y otros Vs. Honduras</w:t>
      </w:r>
      <w:r w:rsidRPr="0095692E">
        <w:rPr>
          <w:rFonts w:ascii="Verdana" w:eastAsia="Verdana" w:hAnsi="Verdana" w:cs="Verdana"/>
          <w:iCs/>
          <w:sz w:val="20"/>
          <w:szCs w:val="20"/>
          <w:lang w:eastAsia="en-US"/>
        </w:rPr>
        <w:t xml:space="preserve">. </w:t>
      </w:r>
      <w:r w:rsidRPr="0095692E">
        <w:rPr>
          <w:rFonts w:ascii="Verdana" w:eastAsia="Verdana" w:hAnsi="Verdana" w:cs="Verdana"/>
          <w:sz w:val="20"/>
          <w:szCs w:val="20"/>
          <w:lang w:eastAsia="en-US"/>
        </w:rPr>
        <w:t xml:space="preserve">Fondo, Reparaciones y Costas. Sentencia de </w:t>
      </w:r>
      <w:r w:rsidR="00EE38F9" w:rsidRPr="0095692E">
        <w:rPr>
          <w:rFonts w:ascii="Verdana" w:eastAsia="Verdana" w:hAnsi="Verdana" w:cs="Verdana"/>
          <w:sz w:val="20"/>
          <w:szCs w:val="20"/>
          <w:lang w:eastAsia="en-US"/>
        </w:rPr>
        <w:t>25</w:t>
      </w:r>
      <w:r w:rsidRPr="0095692E">
        <w:rPr>
          <w:rFonts w:ascii="Verdana" w:eastAsia="Verdana" w:hAnsi="Verdana" w:cs="Verdana"/>
          <w:sz w:val="20"/>
          <w:szCs w:val="20"/>
          <w:lang w:eastAsia="en-US"/>
        </w:rPr>
        <w:t xml:space="preserve"> de agosto de 2022. </w:t>
      </w:r>
      <w:r w:rsidRPr="0095692E">
        <w:rPr>
          <w:rFonts w:ascii="Verdana" w:hAnsi="Verdana"/>
          <w:sz w:val="20"/>
          <w:szCs w:val="20"/>
          <w:lang w:eastAsia="es-ES"/>
        </w:rPr>
        <w:t xml:space="preserve">Sentencia adoptada en </w:t>
      </w:r>
      <w:r w:rsidRPr="0095692E">
        <w:rPr>
          <w:rFonts w:ascii="Verdana" w:hAnsi="Verdana"/>
          <w:sz w:val="20"/>
          <w:szCs w:val="20"/>
        </w:rPr>
        <w:t>Brasilia, Brasil</w:t>
      </w:r>
      <w:r w:rsidRPr="0095692E">
        <w:rPr>
          <w:rFonts w:ascii="Verdana" w:hAnsi="Verdana"/>
          <w:sz w:val="20"/>
          <w:szCs w:val="20"/>
          <w:lang w:eastAsia="es-ES"/>
        </w:rPr>
        <w:t>.</w:t>
      </w:r>
    </w:p>
    <w:p w14:paraId="1B9166DB" w14:textId="77777777" w:rsidR="00FF277B" w:rsidRPr="0095692E" w:rsidRDefault="00FF277B" w:rsidP="00FF277B">
      <w:pPr>
        <w:rPr>
          <w:rFonts w:ascii="Verdana" w:hAnsi="Verdana"/>
          <w:sz w:val="20"/>
          <w:szCs w:val="20"/>
          <w:lang w:eastAsia="en-US"/>
        </w:rPr>
      </w:pPr>
    </w:p>
    <w:p w14:paraId="34238D7E" w14:textId="490E047E" w:rsidR="00FF277B" w:rsidRDefault="00FF277B" w:rsidP="00FF277B">
      <w:pPr>
        <w:rPr>
          <w:rFonts w:ascii="Verdana" w:hAnsi="Verdana"/>
          <w:sz w:val="20"/>
          <w:szCs w:val="20"/>
          <w:lang w:eastAsia="en-US"/>
        </w:rPr>
      </w:pPr>
    </w:p>
    <w:p w14:paraId="792C7AA3" w14:textId="144E58F3" w:rsidR="00E64271" w:rsidRDefault="00E64271" w:rsidP="00FF277B">
      <w:pPr>
        <w:rPr>
          <w:rFonts w:ascii="Verdana" w:hAnsi="Verdana"/>
          <w:sz w:val="20"/>
          <w:szCs w:val="20"/>
          <w:lang w:eastAsia="en-US"/>
        </w:rPr>
      </w:pPr>
    </w:p>
    <w:p w14:paraId="10BDC1C5" w14:textId="0C863E2A" w:rsidR="00E64271" w:rsidRDefault="00E64271" w:rsidP="00FF277B">
      <w:pPr>
        <w:rPr>
          <w:rFonts w:ascii="Verdana" w:hAnsi="Verdana"/>
          <w:sz w:val="20"/>
          <w:szCs w:val="20"/>
          <w:lang w:eastAsia="en-US"/>
        </w:rPr>
      </w:pPr>
    </w:p>
    <w:p w14:paraId="05BBDF61" w14:textId="37901B97" w:rsidR="00E64271" w:rsidRPr="0095692E" w:rsidRDefault="00E64271" w:rsidP="00FF277B">
      <w:pPr>
        <w:rPr>
          <w:rFonts w:ascii="Verdana" w:hAnsi="Verdana"/>
          <w:sz w:val="20"/>
          <w:szCs w:val="20"/>
          <w:lang w:eastAsia="en-US"/>
        </w:rPr>
      </w:pPr>
    </w:p>
    <w:p w14:paraId="27224053" w14:textId="77777777" w:rsidR="00402B36" w:rsidRPr="004602BB" w:rsidRDefault="00402B36" w:rsidP="00402B36">
      <w:pPr>
        <w:jc w:val="center"/>
        <w:rPr>
          <w:rFonts w:ascii="Verdana" w:hAnsi="Verdana"/>
          <w:sz w:val="20"/>
          <w:lang w:val="es-ES"/>
        </w:rPr>
      </w:pPr>
    </w:p>
    <w:p w14:paraId="680A7A67" w14:textId="77777777" w:rsidR="00402B36" w:rsidRPr="004602BB" w:rsidRDefault="00402B36" w:rsidP="00402B36">
      <w:pPr>
        <w:jc w:val="center"/>
        <w:rPr>
          <w:rFonts w:ascii="Verdana" w:hAnsi="Verdana"/>
          <w:sz w:val="20"/>
          <w:lang w:val="es-ES"/>
        </w:rPr>
      </w:pPr>
      <w:r w:rsidRPr="004602BB">
        <w:rPr>
          <w:rFonts w:ascii="Verdana" w:hAnsi="Verdana"/>
          <w:sz w:val="20"/>
          <w:lang w:val="es-ES"/>
        </w:rPr>
        <w:t>Ricardo C. Pérez Manrique</w:t>
      </w:r>
    </w:p>
    <w:p w14:paraId="7506C1D8" w14:textId="1CB728F0" w:rsidR="00402B36" w:rsidRPr="004602BB" w:rsidRDefault="00402B36" w:rsidP="00402B36">
      <w:pPr>
        <w:jc w:val="center"/>
        <w:rPr>
          <w:rFonts w:ascii="Verdana" w:hAnsi="Verdana"/>
          <w:sz w:val="20"/>
          <w:lang w:val="es-ES"/>
        </w:rPr>
      </w:pPr>
      <w:r w:rsidRPr="004602BB">
        <w:rPr>
          <w:rFonts w:ascii="Verdana" w:hAnsi="Verdana"/>
          <w:sz w:val="20"/>
          <w:lang w:val="es-ES"/>
        </w:rPr>
        <w:t>Presidente</w:t>
      </w:r>
    </w:p>
    <w:p w14:paraId="1F47620C" w14:textId="0C6510E3" w:rsidR="00402B36" w:rsidRPr="004602BB" w:rsidRDefault="00402B36" w:rsidP="00402B36">
      <w:pPr>
        <w:jc w:val="center"/>
        <w:rPr>
          <w:rFonts w:ascii="Verdana" w:hAnsi="Verdana"/>
          <w:sz w:val="20"/>
          <w:lang w:val="es-ES"/>
        </w:rPr>
      </w:pPr>
    </w:p>
    <w:p w14:paraId="10893377" w14:textId="668C27FB" w:rsidR="00402B36" w:rsidRDefault="00402B36" w:rsidP="00402B36">
      <w:pPr>
        <w:rPr>
          <w:rFonts w:ascii="Verdana" w:hAnsi="Verdana"/>
          <w:sz w:val="20"/>
          <w:lang w:val="es-ES"/>
        </w:rPr>
      </w:pPr>
    </w:p>
    <w:p w14:paraId="7A880C2E" w14:textId="041DA13C" w:rsidR="00402B36" w:rsidRDefault="00402B36" w:rsidP="00402B36">
      <w:pPr>
        <w:rPr>
          <w:rFonts w:ascii="Verdana" w:hAnsi="Verdana"/>
          <w:sz w:val="20"/>
          <w:lang w:val="es-ES"/>
        </w:rPr>
      </w:pPr>
    </w:p>
    <w:p w14:paraId="50484A81" w14:textId="0B733254" w:rsidR="00402B36" w:rsidRPr="004602BB" w:rsidRDefault="00402B36" w:rsidP="00402B36">
      <w:pPr>
        <w:rPr>
          <w:rFonts w:ascii="Verdana" w:hAnsi="Verdana"/>
          <w:sz w:val="20"/>
          <w:lang w:val="es-ES"/>
        </w:rPr>
      </w:pPr>
    </w:p>
    <w:p w14:paraId="005F1235" w14:textId="77777777" w:rsidR="00402B36" w:rsidRPr="004602BB" w:rsidRDefault="00402B36" w:rsidP="00402B36">
      <w:pPr>
        <w:rPr>
          <w:rFonts w:ascii="Verdana" w:hAnsi="Verdana"/>
          <w:sz w:val="20"/>
          <w:lang w:val="es-ES"/>
        </w:rPr>
      </w:pPr>
    </w:p>
    <w:p w14:paraId="5A4A187A" w14:textId="15249026" w:rsidR="00402B36" w:rsidRPr="004602BB" w:rsidRDefault="00402B36" w:rsidP="00402B36">
      <w:pPr>
        <w:rPr>
          <w:rFonts w:ascii="Verdana" w:hAnsi="Verdana"/>
          <w:sz w:val="20"/>
          <w:lang w:val="es-ES"/>
        </w:rPr>
      </w:pPr>
      <w:r w:rsidRPr="004602BB">
        <w:rPr>
          <w:rFonts w:ascii="Verdana" w:hAnsi="Verdana"/>
          <w:sz w:val="20"/>
          <w:lang w:val="es-ES"/>
        </w:rPr>
        <w:t>Humberto Antonio Sierra Porto</w:t>
      </w:r>
      <w:r w:rsidRPr="004602BB">
        <w:rPr>
          <w:rFonts w:ascii="Verdana" w:hAnsi="Verdana"/>
          <w:sz w:val="20"/>
          <w:lang w:val="es-ES"/>
        </w:rPr>
        <w:tab/>
      </w:r>
      <w:r w:rsidRPr="004602BB">
        <w:rPr>
          <w:rFonts w:ascii="Verdana" w:hAnsi="Verdana"/>
          <w:sz w:val="20"/>
          <w:lang w:val="es-ES"/>
        </w:rPr>
        <w:tab/>
      </w:r>
      <w:r w:rsidRPr="004602BB">
        <w:rPr>
          <w:rFonts w:ascii="Verdana" w:hAnsi="Verdana"/>
          <w:sz w:val="20"/>
          <w:lang w:val="es-ES"/>
        </w:rPr>
        <w:tab/>
      </w:r>
      <w:r w:rsidR="00E64271">
        <w:rPr>
          <w:rFonts w:ascii="Verdana" w:hAnsi="Verdana"/>
          <w:sz w:val="20"/>
          <w:lang w:val="es-ES"/>
        </w:rPr>
        <w:t xml:space="preserve">      </w:t>
      </w:r>
      <w:r w:rsidRPr="004602BB">
        <w:rPr>
          <w:rFonts w:ascii="Verdana" w:hAnsi="Verdana"/>
          <w:sz w:val="20"/>
          <w:lang w:val="es-ES"/>
        </w:rPr>
        <w:t>Eduardo Ferrer Mac-Gregor Poisot</w:t>
      </w:r>
    </w:p>
    <w:p w14:paraId="6799D404" w14:textId="52AA909F" w:rsidR="00402B36" w:rsidRPr="004602BB" w:rsidRDefault="00402B36" w:rsidP="00402B36">
      <w:pPr>
        <w:rPr>
          <w:rFonts w:ascii="Verdana" w:hAnsi="Verdana"/>
          <w:sz w:val="20"/>
          <w:lang w:val="es-ES"/>
        </w:rPr>
      </w:pPr>
    </w:p>
    <w:p w14:paraId="1367818F" w14:textId="3EE23AE7" w:rsidR="00402B36" w:rsidRPr="004602BB" w:rsidRDefault="00402B36" w:rsidP="00402B36">
      <w:pPr>
        <w:rPr>
          <w:rFonts w:ascii="Verdana" w:hAnsi="Verdana"/>
          <w:sz w:val="20"/>
          <w:lang w:val="es-ES"/>
        </w:rPr>
      </w:pPr>
    </w:p>
    <w:p w14:paraId="04E21834" w14:textId="157B8677" w:rsidR="00402B36" w:rsidRDefault="00402B36" w:rsidP="00402B36">
      <w:pPr>
        <w:rPr>
          <w:rFonts w:ascii="Verdana" w:hAnsi="Verdana"/>
          <w:sz w:val="20"/>
          <w:lang w:val="es-ES"/>
        </w:rPr>
      </w:pPr>
    </w:p>
    <w:p w14:paraId="70C740C7" w14:textId="72429C6B" w:rsidR="00402B36" w:rsidRDefault="00402B36" w:rsidP="00402B36">
      <w:pPr>
        <w:rPr>
          <w:rFonts w:ascii="Verdana" w:hAnsi="Verdana"/>
          <w:sz w:val="20"/>
          <w:lang w:val="es-ES"/>
        </w:rPr>
      </w:pPr>
    </w:p>
    <w:p w14:paraId="270D13D9" w14:textId="09346E4F" w:rsidR="00402B36" w:rsidRPr="004602BB" w:rsidRDefault="00402B36" w:rsidP="00402B36">
      <w:pPr>
        <w:rPr>
          <w:rFonts w:ascii="Verdana" w:hAnsi="Verdana"/>
          <w:sz w:val="20"/>
          <w:lang w:val="es-ES"/>
        </w:rPr>
      </w:pPr>
    </w:p>
    <w:p w14:paraId="3BBF218E" w14:textId="7599669C" w:rsidR="00402B36" w:rsidRPr="004602BB" w:rsidRDefault="00402B36" w:rsidP="00402B36">
      <w:pPr>
        <w:rPr>
          <w:rFonts w:ascii="Verdana" w:hAnsi="Verdana"/>
          <w:sz w:val="20"/>
          <w:lang w:val="es-ES"/>
        </w:rPr>
      </w:pPr>
    </w:p>
    <w:p w14:paraId="2E77277E" w14:textId="07FA8830" w:rsidR="00402B36" w:rsidRPr="00400433" w:rsidRDefault="00402B36" w:rsidP="00402B36">
      <w:pPr>
        <w:rPr>
          <w:rFonts w:ascii="Verdana" w:hAnsi="Verdana"/>
          <w:sz w:val="20"/>
        </w:rPr>
      </w:pPr>
      <w:r w:rsidRPr="00400433">
        <w:rPr>
          <w:rFonts w:ascii="Verdana" w:hAnsi="Verdana"/>
          <w:sz w:val="20"/>
        </w:rPr>
        <w:t>Nancy Hernández López</w:t>
      </w:r>
      <w:r w:rsidRPr="00400433">
        <w:rPr>
          <w:rFonts w:ascii="Verdana" w:hAnsi="Verdana"/>
          <w:sz w:val="20"/>
        </w:rPr>
        <w:tab/>
      </w:r>
      <w:r w:rsidRPr="00400433">
        <w:rPr>
          <w:rFonts w:ascii="Verdana" w:hAnsi="Verdana"/>
          <w:sz w:val="20"/>
        </w:rPr>
        <w:tab/>
      </w:r>
      <w:r w:rsidRPr="00400433">
        <w:rPr>
          <w:rFonts w:ascii="Verdana" w:hAnsi="Verdana"/>
          <w:sz w:val="20"/>
        </w:rPr>
        <w:tab/>
        <w:t xml:space="preserve"> </w:t>
      </w:r>
      <w:r>
        <w:rPr>
          <w:rFonts w:ascii="Verdana" w:hAnsi="Verdana"/>
          <w:sz w:val="20"/>
        </w:rPr>
        <w:tab/>
      </w:r>
      <w:r>
        <w:rPr>
          <w:rFonts w:ascii="Verdana" w:hAnsi="Verdana"/>
          <w:sz w:val="20"/>
        </w:rPr>
        <w:tab/>
      </w:r>
      <w:r w:rsidR="00E64271">
        <w:rPr>
          <w:rFonts w:ascii="Verdana" w:hAnsi="Verdana"/>
          <w:sz w:val="20"/>
        </w:rPr>
        <w:t xml:space="preserve">                     </w:t>
      </w:r>
      <w:r w:rsidRPr="00400433">
        <w:rPr>
          <w:rFonts w:ascii="Verdana" w:hAnsi="Verdana"/>
          <w:sz w:val="20"/>
        </w:rPr>
        <w:t xml:space="preserve">Verónica Gómez                                                  </w:t>
      </w:r>
    </w:p>
    <w:p w14:paraId="2C32DD9F" w14:textId="3EBD6B08" w:rsidR="00402B36" w:rsidRPr="00400433" w:rsidRDefault="00402B36" w:rsidP="00402B36">
      <w:pPr>
        <w:rPr>
          <w:rFonts w:ascii="Verdana" w:hAnsi="Verdana"/>
          <w:sz w:val="20"/>
        </w:rPr>
      </w:pPr>
    </w:p>
    <w:p w14:paraId="366CF63A" w14:textId="31474BDE" w:rsidR="00402B36" w:rsidRPr="00400433" w:rsidRDefault="00402B36" w:rsidP="00402B36">
      <w:pPr>
        <w:rPr>
          <w:rFonts w:ascii="Verdana" w:hAnsi="Verdana"/>
          <w:sz w:val="20"/>
        </w:rPr>
      </w:pPr>
    </w:p>
    <w:p w14:paraId="0D2EE444" w14:textId="2FB9BA08" w:rsidR="00402B36" w:rsidRPr="00400433" w:rsidRDefault="00402B36" w:rsidP="00402B36">
      <w:pPr>
        <w:rPr>
          <w:rFonts w:ascii="Verdana" w:hAnsi="Verdana"/>
          <w:sz w:val="20"/>
        </w:rPr>
      </w:pPr>
    </w:p>
    <w:p w14:paraId="5AF7CC55" w14:textId="6600F5C9" w:rsidR="00402B36" w:rsidRPr="00400433" w:rsidRDefault="00402B36" w:rsidP="00402B36">
      <w:pPr>
        <w:rPr>
          <w:rFonts w:ascii="Verdana" w:hAnsi="Verdana"/>
          <w:sz w:val="20"/>
        </w:rPr>
      </w:pPr>
    </w:p>
    <w:p w14:paraId="6F66CB97" w14:textId="77777777" w:rsidR="00402B36" w:rsidRPr="00400433" w:rsidRDefault="00402B36" w:rsidP="00402B36">
      <w:pPr>
        <w:rPr>
          <w:rFonts w:ascii="Verdana" w:hAnsi="Verdana"/>
          <w:sz w:val="20"/>
        </w:rPr>
      </w:pPr>
    </w:p>
    <w:p w14:paraId="559D6394" w14:textId="1AFB777E" w:rsidR="00402B36" w:rsidRPr="00402B36" w:rsidRDefault="00402B36" w:rsidP="00402B36">
      <w:pPr>
        <w:rPr>
          <w:rFonts w:ascii="Verdana" w:hAnsi="Verdana"/>
          <w:sz w:val="20"/>
          <w:lang w:val="es-ES"/>
        </w:rPr>
      </w:pPr>
      <w:r w:rsidRPr="00402B36">
        <w:rPr>
          <w:rFonts w:ascii="Verdana" w:hAnsi="Verdana"/>
          <w:sz w:val="20"/>
          <w:lang w:val="es-ES"/>
        </w:rPr>
        <w:t>Patricia Pérez Goldberg</w:t>
      </w:r>
      <w:r w:rsidRPr="00402B36">
        <w:rPr>
          <w:rFonts w:ascii="Verdana" w:hAnsi="Verdana"/>
          <w:sz w:val="20"/>
          <w:lang w:val="es-ES"/>
        </w:rPr>
        <w:tab/>
      </w:r>
      <w:r w:rsidRPr="00402B36">
        <w:rPr>
          <w:rFonts w:ascii="Verdana" w:hAnsi="Verdana"/>
          <w:sz w:val="20"/>
          <w:lang w:val="es-ES"/>
        </w:rPr>
        <w:tab/>
      </w:r>
      <w:r w:rsidRPr="00402B36">
        <w:rPr>
          <w:rFonts w:ascii="Verdana" w:hAnsi="Verdana"/>
          <w:sz w:val="20"/>
          <w:lang w:val="es-ES"/>
        </w:rPr>
        <w:tab/>
        <w:t xml:space="preserve">                                   </w:t>
      </w:r>
      <w:r>
        <w:rPr>
          <w:rFonts w:ascii="Verdana" w:hAnsi="Verdana" w:cs="Arial"/>
          <w:color w:val="212529"/>
          <w:sz w:val="20"/>
        </w:rPr>
        <w:t>Rodrigo Mudrovitsch</w:t>
      </w:r>
    </w:p>
    <w:p w14:paraId="12020B32" w14:textId="25B7C133" w:rsidR="00402B36" w:rsidRPr="00402B36" w:rsidRDefault="00402B36" w:rsidP="00402B36">
      <w:pPr>
        <w:jc w:val="both"/>
        <w:rPr>
          <w:rFonts w:ascii="Verdana" w:hAnsi="Verdana"/>
          <w:sz w:val="20"/>
          <w:lang w:val="es-ES"/>
        </w:rPr>
      </w:pPr>
    </w:p>
    <w:p w14:paraId="73743C40" w14:textId="77777777" w:rsidR="00402B36" w:rsidRPr="00402B36" w:rsidRDefault="00402B36" w:rsidP="00402B36">
      <w:pPr>
        <w:jc w:val="both"/>
        <w:rPr>
          <w:rFonts w:ascii="Verdana" w:hAnsi="Verdana"/>
          <w:sz w:val="20"/>
          <w:lang w:val="es-ES"/>
        </w:rPr>
      </w:pPr>
    </w:p>
    <w:p w14:paraId="4D386134" w14:textId="1EEF5381" w:rsidR="00402B36" w:rsidRPr="00402B36" w:rsidRDefault="00402B36" w:rsidP="00402B36">
      <w:pPr>
        <w:jc w:val="both"/>
        <w:rPr>
          <w:rFonts w:ascii="Verdana" w:hAnsi="Verdana"/>
          <w:sz w:val="20"/>
          <w:lang w:val="es-ES"/>
        </w:rPr>
      </w:pPr>
    </w:p>
    <w:p w14:paraId="06F5EEC5" w14:textId="77777777" w:rsidR="00402B36" w:rsidRPr="00402B36" w:rsidRDefault="00402B36" w:rsidP="00402B36">
      <w:pPr>
        <w:jc w:val="both"/>
        <w:rPr>
          <w:rFonts w:ascii="Verdana" w:hAnsi="Verdana"/>
          <w:sz w:val="20"/>
          <w:lang w:val="es-ES"/>
        </w:rPr>
      </w:pPr>
    </w:p>
    <w:p w14:paraId="23D5BE1B" w14:textId="526DF049" w:rsidR="00402B36" w:rsidRPr="00402B36" w:rsidRDefault="00402B36" w:rsidP="00402B36">
      <w:pPr>
        <w:jc w:val="both"/>
        <w:rPr>
          <w:rFonts w:ascii="Verdana" w:hAnsi="Verdana"/>
          <w:sz w:val="20"/>
          <w:lang w:val="es-ES"/>
        </w:rPr>
      </w:pPr>
    </w:p>
    <w:p w14:paraId="59EAD0AC" w14:textId="77777777" w:rsidR="00402B36" w:rsidRPr="00402B36" w:rsidRDefault="00402B36" w:rsidP="00402B36">
      <w:pPr>
        <w:jc w:val="both"/>
        <w:rPr>
          <w:rFonts w:ascii="Verdana" w:hAnsi="Verdana"/>
          <w:sz w:val="20"/>
          <w:lang w:val="es-ES"/>
        </w:rPr>
      </w:pPr>
    </w:p>
    <w:p w14:paraId="20543F89" w14:textId="77777777" w:rsidR="00402B36" w:rsidRPr="00402B36" w:rsidRDefault="00402B36" w:rsidP="00402B36">
      <w:pPr>
        <w:jc w:val="both"/>
        <w:rPr>
          <w:rFonts w:ascii="Verdana" w:hAnsi="Verdana"/>
          <w:sz w:val="20"/>
          <w:lang w:val="es-ES"/>
        </w:rPr>
      </w:pPr>
    </w:p>
    <w:p w14:paraId="5B163792" w14:textId="77777777" w:rsidR="00402B36" w:rsidRPr="00E64271" w:rsidRDefault="00402B36" w:rsidP="00402B36">
      <w:pPr>
        <w:jc w:val="center"/>
        <w:rPr>
          <w:rFonts w:ascii="Verdana" w:hAnsi="Verdana"/>
          <w:sz w:val="20"/>
          <w:lang w:val="es-ES"/>
        </w:rPr>
      </w:pPr>
      <w:r w:rsidRPr="00E64271">
        <w:rPr>
          <w:rFonts w:ascii="Verdana" w:hAnsi="Verdana"/>
          <w:sz w:val="20"/>
          <w:lang w:val="es-ES"/>
        </w:rPr>
        <w:t>Pablo Saavedra Alessandri</w:t>
      </w:r>
    </w:p>
    <w:p w14:paraId="7E5EBCD8" w14:textId="77777777" w:rsidR="00402B36" w:rsidRPr="00E64271" w:rsidRDefault="00402B36" w:rsidP="00402B36">
      <w:pPr>
        <w:jc w:val="center"/>
        <w:rPr>
          <w:rFonts w:ascii="Verdana" w:hAnsi="Verdana"/>
          <w:sz w:val="20"/>
          <w:lang w:val="es-ES"/>
        </w:rPr>
      </w:pPr>
      <w:r w:rsidRPr="00E64271">
        <w:rPr>
          <w:rFonts w:ascii="Verdana" w:hAnsi="Verdana"/>
          <w:sz w:val="20"/>
          <w:lang w:val="es-ES"/>
        </w:rPr>
        <w:t>Secretario</w:t>
      </w:r>
    </w:p>
    <w:p w14:paraId="137F9E63" w14:textId="77777777" w:rsidR="00402B36" w:rsidRPr="00E64271" w:rsidRDefault="00402B36" w:rsidP="00402B36">
      <w:pPr>
        <w:pStyle w:val="Textonotapie"/>
        <w:rPr>
          <w:lang w:val="es-ES"/>
        </w:rPr>
      </w:pPr>
    </w:p>
    <w:p w14:paraId="21EBEF71" w14:textId="77777777" w:rsidR="00402B36" w:rsidRPr="00E64271" w:rsidRDefault="00402B36" w:rsidP="00402B36">
      <w:pPr>
        <w:pStyle w:val="Textonotapie"/>
        <w:rPr>
          <w:lang w:val="es-ES"/>
        </w:rPr>
      </w:pPr>
    </w:p>
    <w:p w14:paraId="734D93B8" w14:textId="033E778D" w:rsidR="00402B36" w:rsidRPr="00E64271" w:rsidRDefault="00402B36" w:rsidP="00402B36">
      <w:pPr>
        <w:jc w:val="both"/>
        <w:rPr>
          <w:rFonts w:ascii="Verdana" w:hAnsi="Verdana"/>
          <w:sz w:val="20"/>
          <w:lang w:val="es-ES"/>
        </w:rPr>
      </w:pPr>
      <w:r w:rsidRPr="00E64271">
        <w:rPr>
          <w:rFonts w:ascii="Verdana" w:hAnsi="Verdana"/>
          <w:sz w:val="20"/>
          <w:lang w:val="es-ES"/>
        </w:rPr>
        <w:t>Comuníquese y ejecútese,</w:t>
      </w:r>
    </w:p>
    <w:p w14:paraId="0228F99A" w14:textId="1736407E" w:rsidR="00402B36" w:rsidRPr="00E64271" w:rsidRDefault="00402B36" w:rsidP="00402B36">
      <w:pPr>
        <w:rPr>
          <w:rFonts w:ascii="Verdana" w:hAnsi="Verdana"/>
          <w:sz w:val="20"/>
          <w:lang w:val="es-ES"/>
        </w:rPr>
      </w:pPr>
    </w:p>
    <w:p w14:paraId="78FC30E1" w14:textId="1754E822" w:rsidR="00402B36" w:rsidRDefault="00402B36" w:rsidP="00402B36">
      <w:pPr>
        <w:jc w:val="center"/>
        <w:rPr>
          <w:rFonts w:ascii="Verdana" w:hAnsi="Verdana"/>
          <w:sz w:val="20"/>
          <w:lang w:val="es-ES"/>
        </w:rPr>
      </w:pPr>
    </w:p>
    <w:p w14:paraId="4F3353CD" w14:textId="6E173905" w:rsidR="00E64271" w:rsidRPr="00E64271" w:rsidRDefault="00E64271" w:rsidP="00402B36">
      <w:pPr>
        <w:jc w:val="center"/>
        <w:rPr>
          <w:rFonts w:ascii="Verdana" w:hAnsi="Verdana"/>
          <w:sz w:val="20"/>
          <w:lang w:val="es-ES"/>
        </w:rPr>
      </w:pPr>
    </w:p>
    <w:p w14:paraId="7DEC20D2" w14:textId="08C32DB8" w:rsidR="00402B36" w:rsidRPr="00E64271" w:rsidRDefault="00402B36" w:rsidP="00402B36">
      <w:pPr>
        <w:jc w:val="right"/>
        <w:rPr>
          <w:rFonts w:ascii="Verdana" w:hAnsi="Verdana"/>
          <w:sz w:val="20"/>
          <w:lang w:val="es-ES"/>
        </w:rPr>
      </w:pPr>
    </w:p>
    <w:p w14:paraId="66B41D96" w14:textId="447616C6" w:rsidR="00402B36" w:rsidRPr="00E64271" w:rsidRDefault="00402B36" w:rsidP="00402B36">
      <w:pPr>
        <w:jc w:val="center"/>
        <w:rPr>
          <w:rFonts w:ascii="Verdana" w:hAnsi="Verdana"/>
          <w:sz w:val="20"/>
          <w:lang w:val="es-ES"/>
        </w:rPr>
      </w:pPr>
      <w:r w:rsidRPr="00E64271">
        <w:rPr>
          <w:rFonts w:ascii="Verdana" w:hAnsi="Verdana"/>
          <w:sz w:val="20"/>
          <w:lang w:val="es-ES"/>
        </w:rPr>
        <w:t xml:space="preserve">                                                                                       Ricardo C. Pérez Manrique</w:t>
      </w:r>
    </w:p>
    <w:p w14:paraId="26DFE2BA" w14:textId="1F4F504D" w:rsidR="00402B36" w:rsidRPr="00E64271" w:rsidRDefault="00E64271" w:rsidP="00E64271">
      <w:pPr>
        <w:ind w:left="5664" w:firstLine="708"/>
        <w:rPr>
          <w:rFonts w:ascii="Verdana" w:hAnsi="Verdana"/>
          <w:sz w:val="20"/>
          <w:lang w:val="es-ES"/>
        </w:rPr>
      </w:pPr>
      <w:r>
        <w:rPr>
          <w:rFonts w:ascii="Verdana" w:hAnsi="Verdana"/>
          <w:sz w:val="20"/>
          <w:lang w:val="es-ES"/>
        </w:rPr>
        <w:t xml:space="preserve">          </w:t>
      </w:r>
      <w:r w:rsidR="00402B36" w:rsidRPr="00E64271">
        <w:rPr>
          <w:rFonts w:ascii="Verdana" w:hAnsi="Verdana"/>
          <w:sz w:val="20"/>
          <w:lang w:val="es-ES"/>
        </w:rPr>
        <w:t>Presidente</w:t>
      </w:r>
    </w:p>
    <w:p w14:paraId="7609CE3C" w14:textId="1AB4D63F" w:rsidR="00402B36" w:rsidRPr="00E64271" w:rsidRDefault="00402B36" w:rsidP="00402B36">
      <w:pPr>
        <w:jc w:val="both"/>
        <w:rPr>
          <w:rFonts w:ascii="Verdana" w:hAnsi="Verdana"/>
          <w:sz w:val="20"/>
          <w:lang w:val="es-ES"/>
        </w:rPr>
      </w:pPr>
    </w:p>
    <w:p w14:paraId="7139DDBD" w14:textId="0EEA4093" w:rsidR="00402B36" w:rsidRPr="00E64271" w:rsidRDefault="00402B36" w:rsidP="00402B36">
      <w:pPr>
        <w:jc w:val="both"/>
        <w:rPr>
          <w:rFonts w:ascii="Verdana" w:hAnsi="Verdana"/>
          <w:sz w:val="20"/>
          <w:lang w:val="es-ES"/>
        </w:rPr>
      </w:pPr>
    </w:p>
    <w:p w14:paraId="53FC84EF" w14:textId="77777777" w:rsidR="00402B36" w:rsidRPr="00E64271" w:rsidRDefault="00402B36" w:rsidP="00402B36">
      <w:pPr>
        <w:jc w:val="both"/>
        <w:rPr>
          <w:rFonts w:ascii="Verdana" w:hAnsi="Verdana"/>
          <w:sz w:val="20"/>
          <w:lang w:val="es-ES"/>
        </w:rPr>
      </w:pPr>
    </w:p>
    <w:p w14:paraId="1984A69C" w14:textId="77777777" w:rsidR="00402B36" w:rsidRPr="00E64271" w:rsidRDefault="00402B36" w:rsidP="00402B36">
      <w:pPr>
        <w:jc w:val="both"/>
        <w:rPr>
          <w:rFonts w:ascii="Verdana" w:hAnsi="Verdana"/>
          <w:sz w:val="20"/>
          <w:lang w:val="es-ES"/>
        </w:rPr>
      </w:pPr>
      <w:r w:rsidRPr="00E64271">
        <w:rPr>
          <w:rFonts w:ascii="Verdana" w:hAnsi="Verdana"/>
          <w:sz w:val="20"/>
          <w:lang w:val="es-ES"/>
        </w:rPr>
        <w:t>Pablo Saavedra Alessandri</w:t>
      </w:r>
    </w:p>
    <w:p w14:paraId="10F863B9" w14:textId="77777777" w:rsidR="00402B36" w:rsidRPr="00E64271" w:rsidRDefault="00402B36" w:rsidP="00402B36">
      <w:pPr>
        <w:rPr>
          <w:lang w:val="es-ES"/>
        </w:rPr>
      </w:pPr>
      <w:r w:rsidRPr="00E64271">
        <w:rPr>
          <w:rFonts w:ascii="Verdana" w:hAnsi="Verdana"/>
          <w:sz w:val="20"/>
          <w:lang w:val="es-ES"/>
        </w:rPr>
        <w:t xml:space="preserve">          Secretario</w:t>
      </w:r>
    </w:p>
    <w:sectPr w:rsidR="00402B36" w:rsidRPr="00E64271" w:rsidSect="0075110D">
      <w:foot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4FE9D" w14:textId="77777777" w:rsidR="00E52F50" w:rsidRDefault="00E52F50" w:rsidP="001A0BD0">
      <w:r>
        <w:separator/>
      </w:r>
    </w:p>
  </w:endnote>
  <w:endnote w:type="continuationSeparator" w:id="0">
    <w:p w14:paraId="3B1E328B" w14:textId="77777777" w:rsidR="00E52F50" w:rsidRDefault="00E52F50" w:rsidP="001A0BD0">
      <w:r>
        <w:continuationSeparator/>
      </w:r>
    </w:p>
  </w:endnote>
  <w:endnote w:type="continuationNotice" w:id="1">
    <w:p w14:paraId="78B25975" w14:textId="77777777" w:rsidR="00E52F50" w:rsidRDefault="00E52F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Italic">
    <w:altName w:val="Segoe UI Historic"/>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9427585"/>
      <w:docPartObj>
        <w:docPartGallery w:val="Page Numbers (Bottom of Page)"/>
        <w:docPartUnique/>
      </w:docPartObj>
    </w:sdtPr>
    <w:sdtEndPr/>
    <w:sdtContent>
      <w:p w14:paraId="7245F331" w14:textId="3B1988B8" w:rsidR="00884B86" w:rsidRDefault="00884B86">
        <w:pPr>
          <w:pStyle w:val="Piedepgina"/>
          <w:jc w:val="center"/>
        </w:pPr>
        <w:r>
          <w:fldChar w:fldCharType="begin"/>
        </w:r>
        <w:r>
          <w:instrText>PAGE   \* MERGEFORMAT</w:instrText>
        </w:r>
        <w:r>
          <w:fldChar w:fldCharType="separate"/>
        </w:r>
        <w:r w:rsidR="004146A8" w:rsidRPr="004146A8">
          <w:rPr>
            <w:noProof/>
            <w:lang w:val="es-ES"/>
          </w:rPr>
          <w:t>69</w:t>
        </w:r>
        <w:r>
          <w:fldChar w:fldCharType="end"/>
        </w:r>
      </w:p>
    </w:sdtContent>
  </w:sdt>
  <w:p w14:paraId="008F883B" w14:textId="77777777" w:rsidR="00884B86" w:rsidRDefault="00884B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CF196" w14:textId="77777777" w:rsidR="00E52F50" w:rsidRDefault="00E52F50" w:rsidP="001A0BD0">
      <w:r>
        <w:separator/>
      </w:r>
    </w:p>
  </w:footnote>
  <w:footnote w:type="continuationSeparator" w:id="0">
    <w:p w14:paraId="75833B0D" w14:textId="77777777" w:rsidR="00E52F50" w:rsidRDefault="00E52F50" w:rsidP="001A0BD0">
      <w:r>
        <w:continuationSeparator/>
      </w:r>
    </w:p>
  </w:footnote>
  <w:footnote w:type="continuationNotice" w:id="1">
    <w:p w14:paraId="5170864C" w14:textId="77777777" w:rsidR="00E52F50" w:rsidRDefault="00E52F50"/>
  </w:footnote>
  <w:footnote w:id="2">
    <w:p w14:paraId="2849D7E9" w14:textId="5FC938BA" w:rsidR="007345B4" w:rsidRPr="00AC1A4C" w:rsidRDefault="007345B4"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Con posterioridad a esta fecha, el Comité de Familiares de Detenidos-Desaparecidos en Honduras (COFADEH) y Alba Luz Deras se incorporaron como parte peticionaria ante la Comisión.</w:t>
      </w:r>
    </w:p>
  </w:footnote>
  <w:footnote w:id="3">
    <w:p w14:paraId="010663E1" w14:textId="22823C91" w:rsidR="0079346A" w:rsidRPr="00AC1A4C" w:rsidRDefault="0079346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El mismo fue notificado a las partes el </w:t>
      </w:r>
      <w:r w:rsidR="00E95BF5" w:rsidRPr="00AC1A4C">
        <w:rPr>
          <w:lang w:val="es-CR"/>
        </w:rPr>
        <w:t>1 de agosto de 2013</w:t>
      </w:r>
      <w:r w:rsidRPr="00AC1A4C">
        <w:rPr>
          <w:lang w:val="es-CR"/>
        </w:rPr>
        <w:t>.</w:t>
      </w:r>
    </w:p>
  </w:footnote>
  <w:footnote w:id="4">
    <w:p w14:paraId="09476ADB" w14:textId="3759E3C0" w:rsidR="00F76083" w:rsidRPr="00AC1A4C" w:rsidRDefault="00F76083" w:rsidP="00AC1A4C">
      <w:pPr>
        <w:pStyle w:val="Textonotapie"/>
        <w:tabs>
          <w:tab w:val="left" w:pos="709"/>
        </w:tabs>
        <w:spacing w:after="40"/>
        <w:jc w:val="both"/>
        <w:rPr>
          <w:b/>
          <w:lang w:val="es-CR"/>
        </w:rPr>
      </w:pPr>
      <w:r w:rsidRPr="00AC1A4C">
        <w:rPr>
          <w:rStyle w:val="Refdenotaalpie"/>
          <w:lang w:val="es-CR"/>
        </w:rPr>
        <w:footnoteRef/>
      </w:r>
      <w:r w:rsidRPr="00AC1A4C">
        <w:rPr>
          <w:lang w:val="es-CR"/>
        </w:rPr>
        <w:t xml:space="preserve"> </w:t>
      </w:r>
      <w:r w:rsidRPr="00AC1A4C">
        <w:rPr>
          <w:lang w:val="es-CR"/>
        </w:rPr>
        <w:tab/>
        <w:t xml:space="preserve">La Comisión designó como sus delegados ante la Corte, </w:t>
      </w:r>
      <w:r w:rsidR="00403374" w:rsidRPr="00AC1A4C">
        <w:rPr>
          <w:lang w:val="es-CR"/>
        </w:rPr>
        <w:t xml:space="preserve">al Comisionado Joel Hernández García y al entonces Secretario Ejecutivo Paulo Abrão, y </w:t>
      </w:r>
      <w:r w:rsidR="00AD67EE" w:rsidRPr="00AC1A4C">
        <w:rPr>
          <w:lang w:val="es-CR"/>
        </w:rPr>
        <w:t xml:space="preserve">como asesora y asesores legales </w:t>
      </w:r>
      <w:r w:rsidR="00403374" w:rsidRPr="00AC1A4C">
        <w:rPr>
          <w:lang w:val="es-CR"/>
        </w:rPr>
        <w:t>a Marisol Blanchard Vera, entonces Secretaria Ejecutiva Adjunta, Jorge Meza Flores, entonces especialista y actual Secretario Ejecutiv</w:t>
      </w:r>
      <w:r w:rsidR="00AD67EE" w:rsidRPr="00AC1A4C">
        <w:rPr>
          <w:lang w:val="es-CR"/>
        </w:rPr>
        <w:t>o</w:t>
      </w:r>
      <w:r w:rsidR="00403374" w:rsidRPr="00AC1A4C">
        <w:rPr>
          <w:lang w:val="es-CR"/>
        </w:rPr>
        <w:t xml:space="preserve"> Adjunt</w:t>
      </w:r>
      <w:r w:rsidR="00AD67EE" w:rsidRPr="00AC1A4C">
        <w:rPr>
          <w:lang w:val="es-CR"/>
        </w:rPr>
        <w:t>o de la C</w:t>
      </w:r>
      <w:r w:rsidR="009A13F5" w:rsidRPr="00AC1A4C">
        <w:rPr>
          <w:lang w:val="es-CR"/>
        </w:rPr>
        <w:t>omisión</w:t>
      </w:r>
      <w:r w:rsidR="00AD67EE" w:rsidRPr="00AC1A4C">
        <w:rPr>
          <w:lang w:val="es-CR"/>
        </w:rPr>
        <w:t>,</w:t>
      </w:r>
      <w:r w:rsidR="00403374" w:rsidRPr="00AC1A4C">
        <w:rPr>
          <w:lang w:val="es-CR"/>
        </w:rPr>
        <w:t xml:space="preserve"> y Erick Acuña, especialista de la Secretaría Ejecutiva de la C</w:t>
      </w:r>
      <w:r w:rsidR="009A13F5" w:rsidRPr="00AC1A4C">
        <w:rPr>
          <w:lang w:val="es-CR"/>
        </w:rPr>
        <w:t>omisión</w:t>
      </w:r>
      <w:r w:rsidRPr="00AC1A4C">
        <w:rPr>
          <w:lang w:val="es-CR"/>
        </w:rPr>
        <w:t>.</w:t>
      </w:r>
    </w:p>
  </w:footnote>
  <w:footnote w:id="5">
    <w:p w14:paraId="0AE472FB" w14:textId="47C42DF3" w:rsidR="00496A1D" w:rsidRPr="00AC1A4C" w:rsidRDefault="00496A1D" w:rsidP="00AC1A4C">
      <w:pPr>
        <w:pStyle w:val="Textonotapie"/>
        <w:tabs>
          <w:tab w:val="left" w:pos="709"/>
        </w:tabs>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El Estado designó como agentes en el caso a Lidia Estela Cardona Padilla, </w:t>
      </w:r>
      <w:r w:rsidR="00C73350" w:rsidRPr="00AC1A4C">
        <w:rPr>
          <w:lang w:val="es-CR"/>
        </w:rPr>
        <w:t xml:space="preserve">entonces </w:t>
      </w:r>
      <w:r w:rsidRPr="00AC1A4C">
        <w:rPr>
          <w:lang w:val="es-CR"/>
        </w:rPr>
        <w:t xml:space="preserve">Procuradora General de la República, Jacobo Cálix Hernández y Nelson Gerardo Melina Flores, abogados de la Procuraduría General de la República. El 30 de marzo de 2022 el Estado solicitó la actualización de sus agentes en el caso, designando a Manuel Antonio Díaz Galeas, Procurador General de la República, Tomás Emilio Andrade Rodas, Subprocurador General de la República, Nelson Gerardo Molina Flores y Jacobo Calix Hernández, abogados de la Procuraduría General de la República. </w:t>
      </w:r>
    </w:p>
  </w:footnote>
  <w:footnote w:id="6">
    <w:p w14:paraId="48C8EF0A" w14:textId="0788C226" w:rsidR="00C42677" w:rsidRPr="00AC1A4C" w:rsidRDefault="00C42677" w:rsidP="00AC1A4C">
      <w:pPr>
        <w:pStyle w:val="Textonotapie"/>
        <w:tabs>
          <w:tab w:val="left" w:pos="709"/>
        </w:tabs>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La representación de las presuntas víctimas fue ejercida por </w:t>
      </w:r>
      <w:r w:rsidR="009A13F5" w:rsidRPr="00AC1A4C">
        <w:rPr>
          <w:lang w:val="es-CR"/>
        </w:rPr>
        <w:t>e</w:t>
      </w:r>
      <w:r w:rsidRPr="00AC1A4C">
        <w:rPr>
          <w:lang w:val="es-CR"/>
        </w:rPr>
        <w:t>l Comité de Familiares de Detenidos Desaparecidos en Honduras (COFADEH)</w:t>
      </w:r>
      <w:r w:rsidR="009A13F5" w:rsidRPr="00AC1A4C">
        <w:rPr>
          <w:lang w:val="es-CR"/>
        </w:rPr>
        <w:t>,</w:t>
      </w:r>
      <w:r w:rsidRPr="00AC1A4C">
        <w:rPr>
          <w:lang w:val="es-CR"/>
        </w:rPr>
        <w:t xml:space="preserve"> la Federación Internacional de Derechos Humanos (FIDH), Alba Luz Deras García, Irma Isabel Deras García, Luis Rolando Deras García, Otilia Flores Ortiz, Herminio Deras Flores y Lorena Deras Flores.</w:t>
      </w:r>
    </w:p>
  </w:footnote>
  <w:footnote w:id="7">
    <w:p w14:paraId="68C5D74E" w14:textId="4691EAB5" w:rsidR="007E779B" w:rsidRPr="00AC1A4C" w:rsidRDefault="007E779B" w:rsidP="00AC1A4C">
      <w:pPr>
        <w:pStyle w:val="Textonotapie"/>
        <w:spacing w:after="40"/>
        <w:jc w:val="both"/>
        <w:rPr>
          <w:lang w:val="es-ES"/>
        </w:rPr>
      </w:pPr>
      <w:r w:rsidRPr="00AC1A4C">
        <w:rPr>
          <w:rStyle w:val="Refdenotaalpie"/>
        </w:rPr>
        <w:footnoteRef/>
      </w:r>
      <w:r w:rsidRPr="00AC1A4C">
        <w:t xml:space="preserve"> </w:t>
      </w:r>
      <w:r w:rsidRPr="00AC1A4C">
        <w:rPr>
          <w:lang w:val="es-ES"/>
        </w:rPr>
        <w:tab/>
      </w:r>
      <w:r w:rsidRPr="00AC1A4C">
        <w:rPr>
          <w:i/>
          <w:iCs/>
          <w:lang w:val="es-ES"/>
        </w:rPr>
        <w:t xml:space="preserve">Cfr. </w:t>
      </w:r>
      <w:r w:rsidRPr="00AC1A4C">
        <w:rPr>
          <w:i/>
          <w:iCs/>
          <w:lang w:val="es-CR"/>
        </w:rPr>
        <w:t>Caso Deras García y otros Vs. Honduras. Convocatoria a audiencia</w:t>
      </w:r>
      <w:r w:rsidRPr="00AC1A4C">
        <w:rPr>
          <w:lang w:val="es-CR"/>
        </w:rPr>
        <w:t xml:space="preserve">. Resolución del Presidente de la Corte Interamericana de Derechos Humanos de 31 de marzo de 2022. Disponible en: </w:t>
      </w:r>
      <w:hyperlink r:id="rId1" w:history="1">
        <w:r w:rsidRPr="00AC1A4C">
          <w:rPr>
            <w:rStyle w:val="Hipervnculo"/>
            <w:lang w:val="es-CR"/>
          </w:rPr>
          <w:t>https://www.corteidh.or.cr/docs/asuntos/deras_garcia_y_otros_31_03_22.pdf</w:t>
        </w:r>
      </w:hyperlink>
      <w:r w:rsidRPr="00AC1A4C">
        <w:rPr>
          <w:lang w:val="es-CR"/>
        </w:rPr>
        <w:t xml:space="preserve">. </w:t>
      </w:r>
    </w:p>
  </w:footnote>
  <w:footnote w:id="8">
    <w:p w14:paraId="39CF4762" w14:textId="4731EB3D" w:rsidR="00884B86" w:rsidRPr="00AC1A4C" w:rsidRDefault="00884B86" w:rsidP="00AC1A4C">
      <w:pPr>
        <w:pStyle w:val="Textonotapie"/>
        <w:tabs>
          <w:tab w:val="left" w:pos="709"/>
        </w:tabs>
        <w:spacing w:after="40"/>
        <w:jc w:val="both"/>
      </w:pPr>
      <w:r w:rsidRPr="00AC1A4C">
        <w:rPr>
          <w:rStyle w:val="Refdenotaalpie"/>
          <w:lang w:val="es-CR"/>
        </w:rPr>
        <w:footnoteRef/>
      </w:r>
      <w:r w:rsidRPr="00AC1A4C">
        <w:rPr>
          <w:lang w:val="es-CR"/>
        </w:rPr>
        <w:t xml:space="preserve"> </w:t>
      </w:r>
      <w:r w:rsidRPr="00AC1A4C">
        <w:rPr>
          <w:lang w:val="es-CR"/>
        </w:rPr>
        <w:tab/>
        <w:t xml:space="preserve">A esta audiencia comparecieron: a) por la Comisión Interamericana: </w:t>
      </w:r>
      <w:r w:rsidR="00184580" w:rsidRPr="00AC1A4C">
        <w:rPr>
          <w:lang w:val="es-CR"/>
        </w:rPr>
        <w:t xml:space="preserve">Carlos Bernal Pulido, </w:t>
      </w:r>
      <w:r w:rsidR="002711B4" w:rsidRPr="00AC1A4C">
        <w:rPr>
          <w:lang w:val="es-CR"/>
        </w:rPr>
        <w:t xml:space="preserve">Comisionado; </w:t>
      </w:r>
      <w:r w:rsidR="00184580" w:rsidRPr="00AC1A4C">
        <w:rPr>
          <w:lang w:val="es-CR"/>
        </w:rPr>
        <w:t>Jorge Meza Flores,</w:t>
      </w:r>
      <w:r w:rsidR="002711B4" w:rsidRPr="00AC1A4C">
        <w:rPr>
          <w:rFonts w:eastAsia="Times New Roman"/>
        </w:rPr>
        <w:t xml:space="preserve"> </w:t>
      </w:r>
      <w:r w:rsidR="002711B4" w:rsidRPr="00AC1A4C">
        <w:rPr>
          <w:lang w:val="es-CR"/>
        </w:rPr>
        <w:t>Secretario Ejecutivo Adjunto, y</w:t>
      </w:r>
      <w:r w:rsidR="00184580" w:rsidRPr="00AC1A4C">
        <w:rPr>
          <w:lang w:val="es-CR"/>
        </w:rPr>
        <w:t xml:space="preserve"> Carla Leiva</w:t>
      </w:r>
      <w:r w:rsidR="002711B4" w:rsidRPr="00AC1A4C">
        <w:rPr>
          <w:lang w:val="es-CR"/>
        </w:rPr>
        <w:t xml:space="preserve"> e Ignacio Bollier</w:t>
      </w:r>
      <w:r w:rsidR="00184580" w:rsidRPr="00AC1A4C">
        <w:rPr>
          <w:lang w:val="es-CR"/>
        </w:rPr>
        <w:t>, Asesora</w:t>
      </w:r>
      <w:r w:rsidR="008813F3" w:rsidRPr="00AC1A4C">
        <w:rPr>
          <w:lang w:val="es-CR"/>
        </w:rPr>
        <w:t xml:space="preserve"> y asesor</w:t>
      </w:r>
      <w:r w:rsidRPr="00AC1A4C">
        <w:rPr>
          <w:lang w:val="es-CR"/>
        </w:rPr>
        <w:t xml:space="preserve">; b) por los representantes: </w:t>
      </w:r>
      <w:r w:rsidR="006076AA" w:rsidRPr="00AC1A4C">
        <w:rPr>
          <w:lang w:val="es-CR"/>
        </w:rPr>
        <w:t>Berta Oliva de Nativí, Dora Emperatriz Oliva, Meri Agurcia, Elisa Quiroz</w:t>
      </w:r>
      <w:r w:rsidR="003E233C" w:rsidRPr="00AC1A4C">
        <w:rPr>
          <w:lang w:val="es-CR"/>
        </w:rPr>
        <w:t>,</w:t>
      </w:r>
      <w:r w:rsidR="006076AA" w:rsidRPr="00AC1A4C">
        <w:rPr>
          <w:lang w:val="es-CR"/>
        </w:rPr>
        <w:t xml:space="preserve"> Jimena Reyes, </w:t>
      </w:r>
      <w:r w:rsidR="003E233C" w:rsidRPr="00AC1A4C">
        <w:t>Lorena Deras Flores,</w:t>
      </w:r>
      <w:r w:rsidR="009679CC" w:rsidRPr="00AC1A4C">
        <w:t xml:space="preserve"> </w:t>
      </w:r>
      <w:r w:rsidR="003E233C" w:rsidRPr="00AC1A4C">
        <w:t>Alba Deras,</w:t>
      </w:r>
      <w:r w:rsidR="009679CC" w:rsidRPr="00AC1A4C">
        <w:t xml:space="preserve"> </w:t>
      </w:r>
      <w:r w:rsidR="003E233C" w:rsidRPr="00AC1A4C">
        <w:t>Héctor David Hércules Ramírez</w:t>
      </w:r>
      <w:r w:rsidR="009679CC" w:rsidRPr="00AC1A4C">
        <w:t xml:space="preserve">, </w:t>
      </w:r>
      <w:r w:rsidR="003E233C" w:rsidRPr="00AC1A4C">
        <w:t>María Dolores Hércules Ramírez</w:t>
      </w:r>
      <w:r w:rsidR="009679CC" w:rsidRPr="00AC1A4C">
        <w:t xml:space="preserve">, </w:t>
      </w:r>
      <w:r w:rsidR="003E233C" w:rsidRPr="00AC1A4C">
        <w:t>Viviana Ivonne Rosado Yanes</w:t>
      </w:r>
      <w:r w:rsidR="009679CC" w:rsidRPr="00AC1A4C">
        <w:t xml:space="preserve">, </w:t>
      </w:r>
      <w:r w:rsidR="003E233C" w:rsidRPr="00AC1A4C">
        <w:t>Marlen García Pineda</w:t>
      </w:r>
      <w:r w:rsidR="009679CC" w:rsidRPr="00AC1A4C">
        <w:t xml:space="preserve">, </w:t>
      </w:r>
      <w:r w:rsidR="003E233C" w:rsidRPr="00AC1A4C">
        <w:t>Lesly Banegas Frazier</w:t>
      </w:r>
      <w:bookmarkStart w:id="6" w:name="_Hlk102671604"/>
      <w:r w:rsidR="009679CC" w:rsidRPr="00AC1A4C">
        <w:t xml:space="preserve">, </w:t>
      </w:r>
      <w:r w:rsidR="003E233C" w:rsidRPr="00AC1A4C">
        <w:t>Herminio Deras Flores</w:t>
      </w:r>
      <w:r w:rsidR="009679CC" w:rsidRPr="00AC1A4C">
        <w:t xml:space="preserve">, </w:t>
      </w:r>
      <w:r w:rsidR="003E233C" w:rsidRPr="00AC1A4C">
        <w:t>Patricia Alejandra Chavarría Deras</w:t>
      </w:r>
      <w:r w:rsidR="009679CC" w:rsidRPr="00AC1A4C">
        <w:t xml:space="preserve">, </w:t>
      </w:r>
      <w:r w:rsidR="003E233C" w:rsidRPr="00AC1A4C">
        <w:t>Sandra Ivone Hernández Dera</w:t>
      </w:r>
      <w:r w:rsidR="009679CC" w:rsidRPr="00AC1A4C">
        <w:t xml:space="preserve">s, </w:t>
      </w:r>
      <w:r w:rsidR="003E233C" w:rsidRPr="00AC1A4C">
        <w:t>Marlon García Barahona</w:t>
      </w:r>
      <w:r w:rsidR="009679CC" w:rsidRPr="00AC1A4C">
        <w:t xml:space="preserve">, </w:t>
      </w:r>
      <w:r w:rsidR="003E233C" w:rsidRPr="00AC1A4C">
        <w:t>Giorgio Trucchi</w:t>
      </w:r>
      <w:bookmarkEnd w:id="6"/>
      <w:r w:rsidR="009679CC" w:rsidRPr="00AC1A4C">
        <w:t xml:space="preserve">, </w:t>
      </w:r>
      <w:r w:rsidR="003E233C" w:rsidRPr="00AC1A4C">
        <w:t>Nohemí Esther Pérez</w:t>
      </w:r>
      <w:r w:rsidR="009679CC" w:rsidRPr="00AC1A4C">
        <w:t xml:space="preserve">, </w:t>
      </w:r>
      <w:r w:rsidR="003E233C" w:rsidRPr="00AC1A4C">
        <w:t>Tomas Nativí Oliva, Lorena Suyapa Rubí, Claudia Suyapa Amaya y</w:t>
      </w:r>
      <w:r w:rsidR="009679CC" w:rsidRPr="00AC1A4C">
        <w:t xml:space="preserve"> </w:t>
      </w:r>
      <w:r w:rsidR="003E233C" w:rsidRPr="00AC1A4C">
        <w:rPr>
          <w:lang w:val="es-CR"/>
        </w:rPr>
        <w:t>Ninoska Lizeth</w:t>
      </w:r>
      <w:r w:rsidR="009679CC" w:rsidRPr="00AC1A4C">
        <w:rPr>
          <w:lang w:val="es-CR"/>
        </w:rPr>
        <w:t>,</w:t>
      </w:r>
      <w:r w:rsidR="003E233C" w:rsidRPr="00AC1A4C">
        <w:rPr>
          <w:lang w:val="es-CR"/>
        </w:rPr>
        <w:t xml:space="preserve"> </w:t>
      </w:r>
      <w:r w:rsidR="006076AA" w:rsidRPr="00AC1A4C">
        <w:rPr>
          <w:lang w:val="es-CR"/>
        </w:rPr>
        <w:t>y</w:t>
      </w:r>
      <w:r w:rsidRPr="00AC1A4C">
        <w:rPr>
          <w:lang w:val="es-CR"/>
        </w:rPr>
        <w:t xml:space="preserve"> c) por el Estado: </w:t>
      </w:r>
      <w:r w:rsidR="006076AA" w:rsidRPr="00AC1A4C">
        <w:rPr>
          <w:lang w:val="es-CR"/>
        </w:rPr>
        <w:t>Carlos Roberto Aguilar Pineda,</w:t>
      </w:r>
      <w:r w:rsidR="001A28EB" w:rsidRPr="00AC1A4C">
        <w:rPr>
          <w:rFonts w:eastAsia="Times New Roman" w:cs="Arial"/>
          <w:lang w:val="es-CR"/>
        </w:rPr>
        <w:t xml:space="preserve"> </w:t>
      </w:r>
      <w:r w:rsidR="001A28EB" w:rsidRPr="00AC1A4C">
        <w:rPr>
          <w:lang w:val="es-CR"/>
        </w:rPr>
        <w:t>Embajador de la República de Honduras en Costa Rica;</w:t>
      </w:r>
      <w:r w:rsidR="006076AA" w:rsidRPr="00AC1A4C">
        <w:rPr>
          <w:lang w:val="es-CR"/>
        </w:rPr>
        <w:t xml:space="preserve"> Manuel Antonio Díaz Galeas, </w:t>
      </w:r>
      <w:r w:rsidR="001A28EB" w:rsidRPr="00AC1A4C">
        <w:rPr>
          <w:lang w:val="es-CR"/>
        </w:rPr>
        <w:t xml:space="preserve">Procurador General de la República y Agente del Estado; </w:t>
      </w:r>
      <w:r w:rsidR="006076AA" w:rsidRPr="00AC1A4C">
        <w:rPr>
          <w:lang w:val="es-CR"/>
        </w:rPr>
        <w:t xml:space="preserve">Nelson Gerardo Molina Flores, </w:t>
      </w:r>
      <w:r w:rsidR="001A28EB" w:rsidRPr="00AC1A4C">
        <w:rPr>
          <w:lang w:val="es-CR"/>
        </w:rPr>
        <w:t xml:space="preserve">abogado de la Procuraduría General de la República y Agente Alterno; </w:t>
      </w:r>
      <w:r w:rsidR="006076AA" w:rsidRPr="00AC1A4C">
        <w:rPr>
          <w:lang w:val="es-CR"/>
        </w:rPr>
        <w:t>Sonia Azucena Escobar,</w:t>
      </w:r>
      <w:r w:rsidR="001A28EB" w:rsidRPr="00AC1A4C">
        <w:rPr>
          <w:rFonts w:eastAsia="Times New Roman" w:cs="Arial"/>
          <w:lang w:val="es-CR"/>
        </w:rPr>
        <w:t xml:space="preserve"> </w:t>
      </w:r>
      <w:r w:rsidR="001A28EB" w:rsidRPr="00AC1A4C">
        <w:rPr>
          <w:lang w:val="es-CR"/>
        </w:rPr>
        <w:t>abogada de la Procuraduría General de la República;</w:t>
      </w:r>
      <w:r w:rsidR="006076AA" w:rsidRPr="00AC1A4C">
        <w:rPr>
          <w:lang w:val="es-CR"/>
        </w:rPr>
        <w:t xml:space="preserve"> Coronel Elías Antonio Melgar Urbina,</w:t>
      </w:r>
      <w:r w:rsidR="001A28EB" w:rsidRPr="00AC1A4C">
        <w:rPr>
          <w:rFonts w:eastAsia="Times New Roman" w:cs="Arial"/>
          <w:lang w:val="es-CR"/>
        </w:rPr>
        <w:t xml:space="preserve"> </w:t>
      </w:r>
      <w:r w:rsidR="001A28EB" w:rsidRPr="00AC1A4C">
        <w:rPr>
          <w:lang w:val="es-CR"/>
        </w:rPr>
        <w:t>Subsecretario de Defensa Nacional de la Secretaría de Estado en el Despacho de Defensa Nacional;</w:t>
      </w:r>
      <w:r w:rsidR="006076AA" w:rsidRPr="00AC1A4C">
        <w:rPr>
          <w:lang w:val="es-CR"/>
        </w:rPr>
        <w:t xml:space="preserve"> Aura Amparo Forbes, </w:t>
      </w:r>
      <w:r w:rsidR="001A28EB" w:rsidRPr="00AC1A4C">
        <w:rPr>
          <w:lang w:val="es-CR"/>
        </w:rPr>
        <w:t xml:space="preserve">Teniente Auxiliar de Justicia Militar de la Secretaría de Estado en el Despacho de Defensa Nacional; </w:t>
      </w:r>
      <w:r w:rsidR="006076AA" w:rsidRPr="00AC1A4C">
        <w:rPr>
          <w:lang w:val="es-CR"/>
        </w:rPr>
        <w:t>Willy Antonio Mejía Cambar,</w:t>
      </w:r>
      <w:r w:rsidR="001A28EB" w:rsidRPr="00AC1A4C">
        <w:rPr>
          <w:rFonts w:eastAsia="Times New Roman" w:cs="Arial"/>
          <w:lang w:val="es-CR"/>
        </w:rPr>
        <w:t xml:space="preserve"> </w:t>
      </w:r>
      <w:r w:rsidR="001A28EB" w:rsidRPr="00AC1A4C">
        <w:rPr>
          <w:lang w:val="es-CR"/>
        </w:rPr>
        <w:t>Encargado de la Dirección de Control de Convencionalidad Jurídica de la Secretaría de Estado en el Despacho de Defensa Nacional;</w:t>
      </w:r>
      <w:r w:rsidR="006076AA" w:rsidRPr="00AC1A4C">
        <w:rPr>
          <w:lang w:val="es-CR"/>
        </w:rPr>
        <w:t xml:space="preserve"> María Daniella Rueda Carcamo</w:t>
      </w:r>
      <w:r w:rsidR="001A28EB" w:rsidRPr="00AC1A4C">
        <w:rPr>
          <w:lang w:val="es-CR"/>
        </w:rPr>
        <w:t>, Auxiliar Jurídico de la Procuraduría General de la República,</w:t>
      </w:r>
      <w:r w:rsidR="006076AA" w:rsidRPr="00AC1A4C">
        <w:rPr>
          <w:lang w:val="es-CR"/>
        </w:rPr>
        <w:t xml:space="preserve"> y Eduardo Alemán</w:t>
      </w:r>
      <w:r w:rsidR="001A28EB" w:rsidRPr="00AC1A4C">
        <w:rPr>
          <w:lang w:val="es-CR"/>
        </w:rPr>
        <w:t>, Asesor Legal del Despacho Ministerial de la Secretaría de Estado en el Despacho de Defensa Nacional</w:t>
      </w:r>
      <w:r w:rsidRPr="00AC1A4C">
        <w:rPr>
          <w:lang w:val="es-CR"/>
        </w:rPr>
        <w:t>.</w:t>
      </w:r>
    </w:p>
  </w:footnote>
  <w:footnote w:id="9">
    <w:p w14:paraId="3021E08B" w14:textId="2FD0FC54" w:rsidR="003E49B9" w:rsidRPr="00AC1A4C" w:rsidRDefault="003E49B9" w:rsidP="00AC1A4C">
      <w:pPr>
        <w:pStyle w:val="Textonotapie"/>
        <w:spacing w:after="40"/>
        <w:jc w:val="both"/>
        <w:rPr>
          <w:lang w:val="es-CR"/>
        </w:rPr>
      </w:pPr>
      <w:r w:rsidRPr="00AC1A4C">
        <w:rPr>
          <w:rStyle w:val="Refdenotaalpie"/>
        </w:rPr>
        <w:footnoteRef/>
      </w:r>
      <w:r w:rsidRPr="00AC1A4C">
        <w:t xml:space="preserve"> </w:t>
      </w:r>
      <w:r w:rsidRPr="00AC1A4C">
        <w:rPr>
          <w:lang w:val="es-ES"/>
        </w:rPr>
        <w:tab/>
        <w:t xml:space="preserve">Se requirió al Estado </w:t>
      </w:r>
      <w:r w:rsidRPr="00AC1A4C">
        <w:rPr>
          <w:lang w:val="es-CR"/>
        </w:rPr>
        <w:t xml:space="preserve">el </w:t>
      </w:r>
      <w:r w:rsidR="0046713C" w:rsidRPr="00AC1A4C">
        <w:rPr>
          <w:lang w:val="es-CR"/>
        </w:rPr>
        <w:t>“</w:t>
      </w:r>
      <w:r w:rsidRPr="00AC1A4C">
        <w:rPr>
          <w:lang w:val="es-CR"/>
        </w:rPr>
        <w:t>registro oficial de detención del señor Marco Tulio Regalado, donde se contemple la fecha de su detención, el nombre del centro de privación de libertad en que se encuentra y la fecha de su ingreso al referido centro</w:t>
      </w:r>
      <w:r w:rsidR="0046713C" w:rsidRPr="00AC1A4C">
        <w:rPr>
          <w:lang w:val="es-CR"/>
        </w:rPr>
        <w:t>”</w:t>
      </w:r>
      <w:r w:rsidRPr="00AC1A4C">
        <w:rPr>
          <w:lang w:val="es-CR"/>
        </w:rPr>
        <w:t>.</w:t>
      </w:r>
    </w:p>
  </w:footnote>
  <w:footnote w:id="10">
    <w:p w14:paraId="1F58DF95" w14:textId="45F16A10" w:rsidR="0066372A" w:rsidRPr="00AC1A4C" w:rsidRDefault="0066372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w:t>
      </w:r>
      <w:r w:rsidRPr="00AC1A4C">
        <w:rPr>
          <w:lang w:val="es-CR"/>
        </w:rPr>
        <w:t xml:space="preserve"> </w:t>
      </w:r>
      <w:r w:rsidRPr="00AC1A4C">
        <w:rPr>
          <w:i/>
          <w:iCs/>
          <w:lang w:val="es-CR"/>
        </w:rPr>
        <w:t>“Allanamiento Total del Caso CDH-16-202</w:t>
      </w:r>
      <w:r w:rsidR="00743CDA" w:rsidRPr="00AC1A4C">
        <w:rPr>
          <w:i/>
          <w:iCs/>
          <w:lang w:val="es-CR"/>
        </w:rPr>
        <w:t>0</w:t>
      </w:r>
      <w:r w:rsidRPr="00AC1A4C">
        <w:rPr>
          <w:i/>
          <w:iCs/>
          <w:lang w:val="es-CR"/>
        </w:rPr>
        <w:t xml:space="preserve"> Deras García y </w:t>
      </w:r>
      <w:r w:rsidR="00743CDA" w:rsidRPr="00AC1A4C">
        <w:rPr>
          <w:i/>
          <w:iCs/>
          <w:lang w:val="es-CR"/>
        </w:rPr>
        <w:t>o</w:t>
      </w:r>
      <w:r w:rsidRPr="00AC1A4C">
        <w:rPr>
          <w:i/>
          <w:iCs/>
          <w:lang w:val="es-CR"/>
        </w:rPr>
        <w:t>tros [Vs.] Honduras”</w:t>
      </w:r>
      <w:r w:rsidR="001D3BB8" w:rsidRPr="00AC1A4C">
        <w:rPr>
          <w:lang w:val="es-CR"/>
        </w:rPr>
        <w:t>, de 11 de mayo de 2022 (expediente de fondo, folios 483 a 500).</w:t>
      </w:r>
    </w:p>
  </w:footnote>
  <w:footnote w:id="11">
    <w:p w14:paraId="24F823DC" w14:textId="0BA0E01E" w:rsidR="00884B86" w:rsidRPr="00AC1A4C" w:rsidRDefault="00884B86" w:rsidP="00AC1A4C">
      <w:pPr>
        <w:pStyle w:val="Footnotes"/>
        <w:spacing w:after="40"/>
      </w:pPr>
      <w:r w:rsidRPr="00AC1A4C">
        <w:rPr>
          <w:rStyle w:val="Refdenotaalpie"/>
          <w:lang w:val="es-CR"/>
        </w:rPr>
        <w:footnoteRef/>
      </w:r>
      <w:r w:rsidRPr="00AC1A4C">
        <w:rPr>
          <w:vertAlign w:val="superscript"/>
        </w:rPr>
        <w:t xml:space="preserve"> </w:t>
      </w:r>
      <w:r w:rsidRPr="00AC1A4C">
        <w:tab/>
      </w:r>
      <w:r w:rsidRPr="00AC1A4C">
        <w:rPr>
          <w:rFonts w:eastAsia="Calibri"/>
          <w:i/>
          <w:iCs w:val="0"/>
          <w:spacing w:val="0"/>
          <w:lang w:bidi="ar-SA"/>
        </w:rPr>
        <w:t>Cfr. Caso Kimel Vs. Argentina. Fondo, Reparaciones y Costas</w:t>
      </w:r>
      <w:r w:rsidRPr="00AC1A4C">
        <w:rPr>
          <w:rFonts w:eastAsia="Calibri"/>
          <w:spacing w:val="0"/>
          <w:lang w:bidi="ar-SA"/>
        </w:rPr>
        <w:t>. Sentencia de 2 de mayo de 2008. Serie C No. 177, párr. 24</w:t>
      </w:r>
      <w:r w:rsidRPr="00AC1A4C">
        <w:t xml:space="preserve">, y </w:t>
      </w:r>
      <w:r w:rsidR="008827AC" w:rsidRPr="00AC1A4C">
        <w:rPr>
          <w:i/>
        </w:rPr>
        <w:t xml:space="preserve">Caso Guevara Díaz Vs. Costa Rica. Fondo, Reparaciones y Costas. </w:t>
      </w:r>
      <w:r w:rsidR="008827AC" w:rsidRPr="00AC1A4C">
        <w:rPr>
          <w:iCs w:val="0"/>
        </w:rPr>
        <w:t>Sentencia de 22 de junio de 2022.</w:t>
      </w:r>
      <w:r w:rsidR="008827AC" w:rsidRPr="00AC1A4C">
        <w:t xml:space="preserve"> Serie C No. 453, párr. 16.</w:t>
      </w:r>
      <w:r w:rsidR="008827AC" w:rsidRPr="00AC1A4C" w:rsidDel="008827AC">
        <w:t xml:space="preserve"> </w:t>
      </w:r>
    </w:p>
  </w:footnote>
  <w:footnote w:id="12">
    <w:p w14:paraId="361A5D69" w14:textId="4B523EC9" w:rsidR="00EE6DDA" w:rsidRPr="00AC1A4C" w:rsidRDefault="00EE6DD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Los representantes no presentaron hechos nuevos, sino hechos que aclaran y detallan aspectos que forman parte del marco fáctico contenido en el Informe de Fondo.</w:t>
      </w:r>
    </w:p>
  </w:footnote>
  <w:footnote w:id="13">
    <w:p w14:paraId="5E846445" w14:textId="70304D1F" w:rsidR="00884B86" w:rsidRPr="00AC1A4C" w:rsidRDefault="00884B86" w:rsidP="00AC1A4C">
      <w:pPr>
        <w:pStyle w:val="Textonotapie"/>
        <w:tabs>
          <w:tab w:val="left" w:pos="709"/>
        </w:tabs>
        <w:spacing w:after="40"/>
        <w:jc w:val="both"/>
        <w:rPr>
          <w:iCs/>
          <w:lang w:val="es-CR"/>
        </w:rPr>
      </w:pPr>
      <w:r w:rsidRPr="00AC1A4C">
        <w:rPr>
          <w:rStyle w:val="Refdenotaalpie"/>
          <w:lang w:val="es-CR"/>
        </w:rPr>
        <w:footnoteRef/>
      </w:r>
      <w:r w:rsidRPr="00AC1A4C">
        <w:rPr>
          <w:lang w:val="es-CR"/>
        </w:rPr>
        <w:t xml:space="preserve"> </w:t>
      </w:r>
      <w:r w:rsidRPr="00AC1A4C">
        <w:rPr>
          <w:lang w:val="es-CR"/>
        </w:rPr>
        <w:tab/>
      </w:r>
      <w:r w:rsidR="001068A9" w:rsidRPr="00AC1A4C">
        <w:rPr>
          <w:i/>
          <w:lang w:val="es-CR"/>
        </w:rPr>
        <w:t>Cfr.</w:t>
      </w:r>
      <w:r w:rsidR="001068A9" w:rsidRPr="00AC1A4C">
        <w:rPr>
          <w:lang w:val="es-CR"/>
        </w:rPr>
        <w:t xml:space="preserve"> </w:t>
      </w:r>
      <w:r w:rsidR="001068A9" w:rsidRPr="00AC1A4C">
        <w:rPr>
          <w:i/>
          <w:lang w:val="es-CR"/>
        </w:rPr>
        <w:t>Caso Benavides Cevallos Vs. Ecuador. Fondo, Reparaciones y Costas.</w:t>
      </w:r>
      <w:r w:rsidR="001068A9" w:rsidRPr="00AC1A4C">
        <w:rPr>
          <w:lang w:val="es-CR"/>
        </w:rPr>
        <w:t xml:space="preserve"> Sentencia de 19 de junio de 1998. Serie C No. 38, párr. 57, y</w:t>
      </w:r>
      <w:r w:rsidR="00B514BC" w:rsidRPr="00AC1A4C">
        <w:rPr>
          <w:lang w:val="es-CR"/>
        </w:rPr>
        <w:t xml:space="preserve"> </w:t>
      </w:r>
      <w:r w:rsidR="00B514BC" w:rsidRPr="00AC1A4C">
        <w:rPr>
          <w:i/>
          <w:iCs/>
          <w:lang w:val="es-CR"/>
        </w:rPr>
        <w:t>Caso Guevara Díaz Vs. Costa Rica</w:t>
      </w:r>
      <w:r w:rsidR="00B514BC" w:rsidRPr="00AC1A4C">
        <w:rPr>
          <w:i/>
          <w:lang w:val="es-CR"/>
        </w:rPr>
        <w:t xml:space="preserve">, supra, </w:t>
      </w:r>
      <w:r w:rsidR="00B514BC" w:rsidRPr="00AC1A4C">
        <w:rPr>
          <w:iCs/>
          <w:lang w:val="es-CR"/>
        </w:rPr>
        <w:t>párr. 22</w:t>
      </w:r>
      <w:r w:rsidRPr="00AC1A4C">
        <w:rPr>
          <w:iCs/>
          <w:shd w:val="clear" w:color="auto" w:fill="FFFFFF"/>
          <w:lang w:val="es-CR"/>
        </w:rPr>
        <w:t>.</w:t>
      </w:r>
    </w:p>
  </w:footnote>
  <w:footnote w:id="14">
    <w:p w14:paraId="445D05B2" w14:textId="7D7D07C9" w:rsidR="007C6704" w:rsidRPr="00AC1A4C" w:rsidRDefault="007C6704"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lang w:val="es-CR"/>
        </w:rPr>
        <w:t>Cfr.</w:t>
      </w:r>
      <w:r w:rsidRPr="00AC1A4C">
        <w:rPr>
          <w:lang w:val="es-CR"/>
        </w:rPr>
        <w:t xml:space="preserve"> </w:t>
      </w:r>
      <w:r w:rsidRPr="00AC1A4C">
        <w:rPr>
          <w:i/>
          <w:lang w:val="es-CR"/>
        </w:rPr>
        <w:t>Caso Tiu Tojín Vs. Guatemala. Fondo, Reparaciones y Costas.</w:t>
      </w:r>
      <w:r w:rsidRPr="00AC1A4C">
        <w:rPr>
          <w:lang w:val="es-CR"/>
        </w:rPr>
        <w:t xml:space="preserve"> Sentencia de 26 de noviembre de 2008. Serie C No. 190, párr. 26</w:t>
      </w:r>
      <w:r w:rsidR="00B61F53" w:rsidRPr="00AC1A4C">
        <w:rPr>
          <w:lang w:val="es-CR"/>
        </w:rPr>
        <w:t>,</w:t>
      </w:r>
      <w:r w:rsidRPr="00AC1A4C">
        <w:rPr>
          <w:lang w:val="es-CR"/>
        </w:rPr>
        <w:t xml:space="preserve"> y </w:t>
      </w:r>
      <w:r w:rsidR="0090442F" w:rsidRPr="00AC1A4C">
        <w:rPr>
          <w:i/>
          <w:iCs/>
          <w:lang w:val="es-CR"/>
        </w:rPr>
        <w:t>Caso Digna Ochoa y familiares Vs. México</w:t>
      </w:r>
      <w:r w:rsidR="0090442F" w:rsidRPr="00AC1A4C">
        <w:rPr>
          <w:lang w:val="es-CR"/>
        </w:rPr>
        <w:t xml:space="preserve">. </w:t>
      </w:r>
      <w:r w:rsidR="0090442F" w:rsidRPr="00AC1A4C">
        <w:rPr>
          <w:i/>
          <w:iCs/>
          <w:lang w:val="es-CR"/>
        </w:rPr>
        <w:t>Excepciones Preliminares, Fondo, Reparaciones y Costas</w:t>
      </w:r>
      <w:r w:rsidR="0090442F" w:rsidRPr="00AC1A4C">
        <w:rPr>
          <w:lang w:val="es-CR"/>
        </w:rPr>
        <w:t>. Sentencia de 25 de noviembre de 2021. Serie C No. 447, párr. 25.</w:t>
      </w:r>
    </w:p>
  </w:footnote>
  <w:footnote w:id="15">
    <w:p w14:paraId="225EC8D5" w14:textId="3F807BC6" w:rsidR="003923EB" w:rsidRPr="00AC1A4C" w:rsidRDefault="003923E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Las dos excepciones preliminares interpuestas por el Estado fueron: a) “control de legalidad del </w:t>
      </w:r>
      <w:r w:rsidR="00CA7DC4" w:rsidRPr="00AC1A4C">
        <w:rPr>
          <w:lang w:val="es-CR"/>
        </w:rPr>
        <w:t>[I]</w:t>
      </w:r>
      <w:r w:rsidRPr="00AC1A4C">
        <w:rPr>
          <w:lang w:val="es-CR"/>
        </w:rPr>
        <w:t xml:space="preserve">nforme de </w:t>
      </w:r>
      <w:r w:rsidR="00CA7DC4" w:rsidRPr="00AC1A4C">
        <w:rPr>
          <w:lang w:val="es-CR"/>
        </w:rPr>
        <w:t>[F]</w:t>
      </w:r>
      <w:r w:rsidRPr="00AC1A4C">
        <w:rPr>
          <w:lang w:val="es-CR"/>
        </w:rPr>
        <w:t xml:space="preserve">ondo </w:t>
      </w:r>
      <w:r w:rsidR="00350F14" w:rsidRPr="00AC1A4C">
        <w:rPr>
          <w:lang w:val="es-CR"/>
        </w:rPr>
        <w:t>N</w:t>
      </w:r>
      <w:r w:rsidR="00A22C21" w:rsidRPr="00AC1A4C">
        <w:rPr>
          <w:lang w:val="es-CR"/>
        </w:rPr>
        <w:t>o.</w:t>
      </w:r>
      <w:r w:rsidRPr="00AC1A4C">
        <w:rPr>
          <w:lang w:val="es-CR"/>
        </w:rPr>
        <w:t xml:space="preserve"> 158/19 respecto al sometimiento del caso a la competencia contenciosa de la Corte IDH”, y b) “falta de competencia parcial en </w:t>
      </w:r>
      <w:r w:rsidRPr="00AC1A4C">
        <w:rPr>
          <w:i/>
          <w:iCs/>
          <w:lang w:val="es-CR"/>
        </w:rPr>
        <w:t>ratione temporis</w:t>
      </w:r>
      <w:r w:rsidRPr="00AC1A4C">
        <w:rPr>
          <w:lang w:val="es-CR"/>
        </w:rPr>
        <w:t>”.</w:t>
      </w:r>
    </w:p>
  </w:footnote>
  <w:footnote w:id="16">
    <w:p w14:paraId="50B78606" w14:textId="2F506126" w:rsidR="009C229F" w:rsidRPr="00AC1A4C" w:rsidRDefault="009C229F" w:rsidP="00AC1A4C">
      <w:pPr>
        <w:pStyle w:val="Textonotapie"/>
        <w:spacing w:after="40"/>
        <w:jc w:val="both"/>
        <w:rPr>
          <w:lang w:val="es-ES"/>
        </w:rPr>
      </w:pPr>
      <w:r w:rsidRPr="00AC1A4C">
        <w:rPr>
          <w:rStyle w:val="Refdenotaalpie"/>
        </w:rPr>
        <w:footnoteRef/>
      </w:r>
      <w:r w:rsidRPr="00AC1A4C">
        <w:t xml:space="preserve"> </w:t>
      </w:r>
      <w:r w:rsidRPr="00AC1A4C">
        <w:rPr>
          <w:lang w:val="es-ES"/>
        </w:rPr>
        <w:tab/>
      </w:r>
      <w:r w:rsidRPr="00AC1A4C">
        <w:rPr>
          <w:lang w:val="es-CR"/>
        </w:rPr>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p>
  </w:footnote>
  <w:footnote w:id="17">
    <w:p w14:paraId="5028ACA9" w14:textId="680E551D" w:rsidR="00884B86" w:rsidRPr="00AC1A4C" w:rsidRDefault="00884B86" w:rsidP="00AC1A4C">
      <w:pPr>
        <w:pStyle w:val="Textonotapie"/>
        <w:tabs>
          <w:tab w:val="left" w:pos="709"/>
        </w:tabs>
        <w:snapToGrid w:val="0"/>
        <w:spacing w:after="40"/>
        <w:jc w:val="both"/>
        <w:rPr>
          <w:rFonts w:cs="Arial Unicode MS"/>
          <w:lang w:val="es-CR"/>
        </w:rPr>
      </w:pPr>
      <w:r w:rsidRPr="00AC1A4C">
        <w:rPr>
          <w:rStyle w:val="None"/>
          <w:vertAlign w:val="superscript"/>
          <w:lang w:val="es-CR"/>
        </w:rPr>
        <w:footnoteRef/>
      </w:r>
      <w:r w:rsidRPr="00AC1A4C">
        <w:rPr>
          <w:rStyle w:val="None"/>
          <w:rFonts w:eastAsia="Arial Unicode MS" w:cs="Arial Unicode MS"/>
          <w:lang w:val="es-CR"/>
        </w:rPr>
        <w:t xml:space="preserve"> </w:t>
      </w:r>
      <w:r w:rsidRPr="00AC1A4C">
        <w:rPr>
          <w:rStyle w:val="None"/>
          <w:rFonts w:eastAsia="Arial Unicode MS" w:cs="Arial Unicode MS"/>
          <w:lang w:val="es-CR"/>
        </w:rPr>
        <w:tab/>
      </w:r>
      <w:r w:rsidR="00470DA1" w:rsidRPr="00AC1A4C">
        <w:rPr>
          <w:rFonts w:eastAsia="Arial Unicode MS" w:cs="Arial Unicode MS"/>
          <w:i/>
          <w:lang w:val="es-CR"/>
        </w:rPr>
        <w:t>Cfr.</w:t>
      </w:r>
      <w:r w:rsidR="00470DA1" w:rsidRPr="00AC1A4C">
        <w:rPr>
          <w:rFonts w:eastAsia="Arial Unicode MS" w:cs="Arial Unicode MS"/>
          <w:lang w:val="es-CR"/>
        </w:rPr>
        <w:t xml:space="preserve"> </w:t>
      </w:r>
      <w:r w:rsidR="00470DA1" w:rsidRPr="00AC1A4C">
        <w:rPr>
          <w:rFonts w:cs="Arial Unicode MS"/>
          <w:lang w:val="es-CR"/>
        </w:rPr>
        <w:t>Artículo 57 del Reglamento; también</w:t>
      </w:r>
      <w:r w:rsidR="00470DA1" w:rsidRPr="00AC1A4C">
        <w:rPr>
          <w:rFonts w:eastAsia="Arial Unicode MS" w:cs="Arial Unicode MS"/>
          <w:i/>
          <w:iCs/>
          <w:lang w:val="es-CR"/>
        </w:rPr>
        <w:t xml:space="preserve"> Caso Velásquez Rodríguez Vs. Honduras. Fondo. </w:t>
      </w:r>
      <w:r w:rsidR="00470DA1" w:rsidRPr="00AC1A4C">
        <w:rPr>
          <w:rFonts w:eastAsia="Arial Unicode MS" w:cs="Arial Unicode MS"/>
          <w:lang w:val="es-CR"/>
        </w:rPr>
        <w:t xml:space="preserve">Sentencia de 29 de julio de 1988. Serie C No. 4, párr. 140, y </w:t>
      </w:r>
      <w:r w:rsidR="00644803" w:rsidRPr="00AC1A4C">
        <w:rPr>
          <w:i/>
          <w:iCs/>
          <w:lang w:val="es-CR"/>
        </w:rPr>
        <w:t>Caso Guevara Díaz Vs. Costa Rica</w:t>
      </w:r>
      <w:r w:rsidR="00644803" w:rsidRPr="00AC1A4C">
        <w:rPr>
          <w:i/>
          <w:lang w:val="es-CR"/>
        </w:rPr>
        <w:t xml:space="preserve">, supra, </w:t>
      </w:r>
      <w:r w:rsidR="00644803" w:rsidRPr="00AC1A4C">
        <w:rPr>
          <w:iCs/>
          <w:lang w:val="es-CR"/>
        </w:rPr>
        <w:t>párr. 24.</w:t>
      </w:r>
    </w:p>
  </w:footnote>
  <w:footnote w:id="18">
    <w:p w14:paraId="7778A83A" w14:textId="0EA7CFCC" w:rsidR="00223E00" w:rsidRPr="00AC1A4C" w:rsidRDefault="00223E00"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Estos documentos son los siguientes: </w:t>
      </w:r>
      <w:r w:rsidR="00CB0479" w:rsidRPr="00AC1A4C">
        <w:rPr>
          <w:lang w:val="es-CR"/>
        </w:rPr>
        <w:t xml:space="preserve">facturas y gastos efectuados por COFADEH </w:t>
      </w:r>
      <w:r w:rsidR="00B918BE" w:rsidRPr="00AC1A4C">
        <w:rPr>
          <w:lang w:val="es-CR"/>
        </w:rPr>
        <w:t xml:space="preserve">(anexo 1); </w:t>
      </w:r>
      <w:r w:rsidR="00CB0479" w:rsidRPr="00AC1A4C">
        <w:rPr>
          <w:lang w:val="es-CR"/>
        </w:rPr>
        <w:t xml:space="preserve">facturas y gastos efectuados por la familia Deras García </w:t>
      </w:r>
      <w:r w:rsidR="00B918BE" w:rsidRPr="00AC1A4C">
        <w:rPr>
          <w:lang w:val="es-CR"/>
        </w:rPr>
        <w:t>(anexo 2)</w:t>
      </w:r>
      <w:r w:rsidR="0079431D" w:rsidRPr="00AC1A4C">
        <w:rPr>
          <w:lang w:val="es-CR"/>
        </w:rPr>
        <w:t>, y</w:t>
      </w:r>
      <w:r w:rsidR="00B918BE" w:rsidRPr="00AC1A4C">
        <w:rPr>
          <w:lang w:val="es-CR"/>
        </w:rPr>
        <w:t xml:space="preserve"> </w:t>
      </w:r>
      <w:r w:rsidR="0079431D" w:rsidRPr="00AC1A4C">
        <w:rPr>
          <w:lang w:val="es-CR"/>
        </w:rPr>
        <w:t xml:space="preserve">facturas y gastos efectuados por FIDH </w:t>
      </w:r>
      <w:r w:rsidR="00B918BE" w:rsidRPr="00AC1A4C">
        <w:rPr>
          <w:lang w:val="es-CR"/>
        </w:rPr>
        <w:t>(anexo 3)</w:t>
      </w:r>
      <w:r w:rsidRPr="00AC1A4C">
        <w:rPr>
          <w:lang w:val="es-CR"/>
        </w:rPr>
        <w:t>.</w:t>
      </w:r>
    </w:p>
  </w:footnote>
  <w:footnote w:id="19">
    <w:p w14:paraId="5314289A" w14:textId="09AF04A6" w:rsidR="0065190E" w:rsidRPr="00AC1A4C" w:rsidRDefault="0065190E"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Se recibieron las declaraciones rendidas ante fedatario público (</w:t>
      </w:r>
      <w:r w:rsidRPr="00AC1A4C">
        <w:rPr>
          <w:i/>
          <w:iCs/>
          <w:lang w:val="es-CR"/>
        </w:rPr>
        <w:t>affidavit</w:t>
      </w:r>
      <w:r w:rsidRPr="00AC1A4C">
        <w:rPr>
          <w:lang w:val="es-CR"/>
        </w:rPr>
        <w:t xml:space="preserve">) de </w:t>
      </w:r>
      <w:r w:rsidR="0000454C" w:rsidRPr="00AC1A4C">
        <w:rPr>
          <w:lang w:val="es-CR"/>
        </w:rPr>
        <w:t>Alba Luz Deras García, Herminio Deras Flores, Fabián Omar Salvioli, José Eugenio Sosa Iglesias, Carmen Lastenia Martínez</w:t>
      </w:r>
      <w:r w:rsidR="00CB0479" w:rsidRPr="00AC1A4C">
        <w:rPr>
          <w:lang w:val="es-CR"/>
        </w:rPr>
        <w:t xml:space="preserve"> García</w:t>
      </w:r>
      <w:r w:rsidR="0000454C" w:rsidRPr="00AC1A4C">
        <w:rPr>
          <w:lang w:val="es-CR"/>
        </w:rPr>
        <w:t xml:space="preserve"> y Manuel Ollé Sesé</w:t>
      </w:r>
      <w:r w:rsidRPr="00AC1A4C">
        <w:rPr>
          <w:lang w:val="es-CR"/>
        </w:rPr>
        <w:t xml:space="preserve">, propuestas por los representantes, y la declaración de </w:t>
      </w:r>
      <w:r w:rsidR="0000454C" w:rsidRPr="00AC1A4C">
        <w:rPr>
          <w:lang w:val="es-CR"/>
        </w:rPr>
        <w:t>Luz Adriana Camargo Garzón</w:t>
      </w:r>
      <w:r w:rsidRPr="00AC1A4C">
        <w:rPr>
          <w:lang w:val="es-CR"/>
        </w:rPr>
        <w:t>, propuesta por l</w:t>
      </w:r>
      <w:r w:rsidR="00F7429A" w:rsidRPr="00AC1A4C">
        <w:rPr>
          <w:lang w:val="es-CR"/>
        </w:rPr>
        <w:t>a</w:t>
      </w:r>
      <w:r w:rsidRPr="00AC1A4C">
        <w:rPr>
          <w:lang w:val="es-CR"/>
        </w:rPr>
        <w:t xml:space="preserve"> </w:t>
      </w:r>
      <w:r w:rsidR="00F7429A" w:rsidRPr="00AC1A4C">
        <w:rPr>
          <w:lang w:val="es-CR"/>
        </w:rPr>
        <w:t>Comisión</w:t>
      </w:r>
      <w:r w:rsidRPr="00AC1A4C">
        <w:rPr>
          <w:lang w:val="es-CR"/>
        </w:rPr>
        <w:t xml:space="preserve">. </w:t>
      </w:r>
    </w:p>
  </w:footnote>
  <w:footnote w:id="20">
    <w:p w14:paraId="47668FDC" w14:textId="7E483E3E" w:rsidR="0065190E" w:rsidRPr="00AC1A4C" w:rsidRDefault="0065190E"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Se recibieron las declaraciones de </w:t>
      </w:r>
      <w:r w:rsidR="0000454C" w:rsidRPr="00AC1A4C">
        <w:rPr>
          <w:lang w:val="es-CR"/>
        </w:rPr>
        <w:t>Otilia Flores Ortiz, Irma Isabel Deras García</w:t>
      </w:r>
      <w:r w:rsidRPr="00AC1A4C">
        <w:rPr>
          <w:lang w:val="es-CR"/>
        </w:rPr>
        <w:t xml:space="preserve"> y </w:t>
      </w:r>
      <w:r w:rsidR="0000454C" w:rsidRPr="00AC1A4C">
        <w:rPr>
          <w:lang w:val="es-CR"/>
        </w:rPr>
        <w:t>Luis Rolando Deras García</w:t>
      </w:r>
      <w:r w:rsidRPr="00AC1A4C">
        <w:rPr>
          <w:lang w:val="es-CR"/>
        </w:rPr>
        <w:t>, propuest</w:t>
      </w:r>
      <w:r w:rsidR="0000454C" w:rsidRPr="00AC1A4C">
        <w:rPr>
          <w:lang w:val="es-CR"/>
        </w:rPr>
        <w:t>o</w:t>
      </w:r>
      <w:r w:rsidRPr="00AC1A4C">
        <w:rPr>
          <w:lang w:val="es-CR"/>
        </w:rPr>
        <w:t xml:space="preserve">s por los representantes. </w:t>
      </w:r>
    </w:p>
  </w:footnote>
  <w:footnote w:id="21">
    <w:p w14:paraId="44A9C4B0" w14:textId="2D56D2F6" w:rsidR="0065190E" w:rsidRPr="00AC1A4C" w:rsidRDefault="0065190E"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Los objetos de las declaraciones se encuentran establecidos en la Resolución del Presidente de la Corte de </w:t>
      </w:r>
      <w:r w:rsidR="00F7429A" w:rsidRPr="00AC1A4C">
        <w:rPr>
          <w:rFonts w:cs="Open Sans"/>
          <w:shd w:val="clear" w:color="auto" w:fill="FFFFFF"/>
          <w:lang w:val="es-CR"/>
        </w:rPr>
        <w:t>31 de marzo de 2022</w:t>
      </w:r>
      <w:r w:rsidRPr="00AC1A4C">
        <w:rPr>
          <w:lang w:val="es-CR"/>
        </w:rPr>
        <w:t xml:space="preserve">. </w:t>
      </w:r>
    </w:p>
  </w:footnote>
  <w:footnote w:id="22">
    <w:p w14:paraId="095315F4" w14:textId="597ECC11" w:rsidR="00C63B0B" w:rsidRPr="00AC1A4C" w:rsidRDefault="00C63B0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Las pruebas que sostienen los hechos </w:t>
      </w:r>
      <w:r w:rsidR="008C4A1E" w:rsidRPr="00AC1A4C">
        <w:rPr>
          <w:lang w:val="es-CR"/>
        </w:rPr>
        <w:t xml:space="preserve">y se encuentran en el expediente consisten, </w:t>
      </w:r>
      <w:r w:rsidR="008C4A1E" w:rsidRPr="00AC1A4C">
        <w:rPr>
          <w:i/>
          <w:iCs/>
          <w:lang w:val="es-CR"/>
        </w:rPr>
        <w:t>inter alia</w:t>
      </w:r>
      <w:r w:rsidR="008C4A1E" w:rsidRPr="00AC1A4C">
        <w:rPr>
          <w:lang w:val="es-CR"/>
        </w:rPr>
        <w:t>, e</w:t>
      </w:r>
      <w:r w:rsidR="0078438E" w:rsidRPr="00AC1A4C">
        <w:rPr>
          <w:lang w:val="es-CR"/>
        </w:rPr>
        <w:t>n</w:t>
      </w:r>
      <w:r w:rsidR="008C4A1E" w:rsidRPr="00AC1A4C">
        <w:rPr>
          <w:lang w:val="es-CR"/>
        </w:rPr>
        <w:t>: declaraciones de distintas víctimas, peritaje</w:t>
      </w:r>
      <w:r w:rsidR="00A55CD9" w:rsidRPr="00AC1A4C">
        <w:rPr>
          <w:lang w:val="es-CR"/>
        </w:rPr>
        <w:t xml:space="preserve">s, </w:t>
      </w:r>
      <w:r w:rsidR="00464FE6" w:rsidRPr="00AC1A4C">
        <w:rPr>
          <w:lang w:val="es-CR"/>
        </w:rPr>
        <w:t xml:space="preserve">copias de partes del expediente del proceso penal </w:t>
      </w:r>
      <w:r w:rsidR="00B56CFA" w:rsidRPr="00AC1A4C">
        <w:rPr>
          <w:lang w:val="es-CR"/>
        </w:rPr>
        <w:t>(</w:t>
      </w:r>
      <w:r w:rsidR="0078438E" w:rsidRPr="00AC1A4C">
        <w:rPr>
          <w:lang w:val="es-CR"/>
        </w:rPr>
        <w:t>e</w:t>
      </w:r>
      <w:r w:rsidR="00B56CFA" w:rsidRPr="00AC1A4C">
        <w:rPr>
          <w:lang w:val="es-CR"/>
        </w:rPr>
        <w:t xml:space="preserve">xpediente </w:t>
      </w:r>
      <w:r w:rsidR="0078438E" w:rsidRPr="00AC1A4C">
        <w:rPr>
          <w:lang w:val="es-CR"/>
        </w:rPr>
        <w:t>j</w:t>
      </w:r>
      <w:r w:rsidR="00B56CFA" w:rsidRPr="00AC1A4C">
        <w:rPr>
          <w:lang w:val="es-CR"/>
        </w:rPr>
        <w:t xml:space="preserve">udicial 7159-02) </w:t>
      </w:r>
      <w:r w:rsidR="00464FE6" w:rsidRPr="00AC1A4C">
        <w:rPr>
          <w:lang w:val="es-CR"/>
        </w:rPr>
        <w:t xml:space="preserve">iniciado a raíz de la muerte de Herminio Deras García, </w:t>
      </w:r>
      <w:r w:rsidR="00B56CFA" w:rsidRPr="00AC1A4C">
        <w:rPr>
          <w:lang w:val="es-CR"/>
        </w:rPr>
        <w:t>copia d</w:t>
      </w:r>
      <w:r w:rsidR="00917E52" w:rsidRPr="00AC1A4C">
        <w:rPr>
          <w:lang w:val="es-CR"/>
        </w:rPr>
        <w:t>e l</w:t>
      </w:r>
      <w:r w:rsidR="00B56CFA" w:rsidRPr="00AC1A4C">
        <w:rPr>
          <w:lang w:val="es-CR"/>
        </w:rPr>
        <w:t>a denuncia presenta</w:t>
      </w:r>
      <w:r w:rsidR="0086633B" w:rsidRPr="00AC1A4C">
        <w:rPr>
          <w:lang w:val="es-CR"/>
        </w:rPr>
        <w:t>da</w:t>
      </w:r>
      <w:r w:rsidR="00B56CFA" w:rsidRPr="00AC1A4C">
        <w:rPr>
          <w:lang w:val="es-CR"/>
        </w:rPr>
        <w:t xml:space="preserve"> por Otilia Flores Ortiz el 4 de febrero de 1983</w:t>
      </w:r>
      <w:r w:rsidR="00001B85" w:rsidRPr="00AC1A4C">
        <w:rPr>
          <w:lang w:val="es-CR"/>
        </w:rPr>
        <w:t xml:space="preserve">, </w:t>
      </w:r>
      <w:r w:rsidR="00917E52" w:rsidRPr="00AC1A4C">
        <w:rPr>
          <w:lang w:val="es-CR"/>
        </w:rPr>
        <w:t>i</w:t>
      </w:r>
      <w:r w:rsidR="00001B85" w:rsidRPr="00AC1A4C">
        <w:rPr>
          <w:lang w:val="es-CR"/>
        </w:rPr>
        <w:t xml:space="preserve">nforme de Amnistía Internacional sobre “violaciones de </w:t>
      </w:r>
      <w:r w:rsidR="00917E52" w:rsidRPr="00AC1A4C">
        <w:rPr>
          <w:lang w:val="es-CR"/>
        </w:rPr>
        <w:t xml:space="preserve">los </w:t>
      </w:r>
      <w:r w:rsidR="00001B85" w:rsidRPr="00AC1A4C">
        <w:rPr>
          <w:lang w:val="es-CR"/>
        </w:rPr>
        <w:t>derechos humanos en la década de 1980” en Honduras</w:t>
      </w:r>
      <w:r w:rsidR="00B56CFA" w:rsidRPr="00AC1A4C">
        <w:rPr>
          <w:lang w:val="es-CR"/>
        </w:rPr>
        <w:t xml:space="preserve"> </w:t>
      </w:r>
      <w:r w:rsidR="001F79BA" w:rsidRPr="00AC1A4C">
        <w:rPr>
          <w:lang w:val="es-CR"/>
        </w:rPr>
        <w:t>y notas de prensa de la época de los hechos</w:t>
      </w:r>
      <w:r w:rsidRPr="00AC1A4C">
        <w:rPr>
          <w:lang w:val="es-CR"/>
        </w:rPr>
        <w:t>.</w:t>
      </w:r>
    </w:p>
  </w:footnote>
  <w:footnote w:id="23">
    <w:p w14:paraId="51800A72" w14:textId="5763977E" w:rsidR="00D05E8A" w:rsidRPr="00AC1A4C" w:rsidRDefault="00D05E8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w:t>
      </w:r>
      <w:r w:rsidRPr="00AC1A4C">
        <w:rPr>
          <w:lang w:val="es-CR"/>
        </w:rPr>
        <w:t>.</w:t>
      </w:r>
      <w:r w:rsidRPr="00AC1A4C">
        <w:rPr>
          <w:i/>
          <w:iCs/>
          <w:lang w:val="es-CR"/>
        </w:rPr>
        <w:t xml:space="preserve"> Caso Velásquez Rodríguez Vs. Honduras. Fondo</w:t>
      </w:r>
      <w:r w:rsidRPr="00AC1A4C">
        <w:rPr>
          <w:lang w:val="es-CR"/>
        </w:rPr>
        <w:t>,</w:t>
      </w:r>
      <w:r w:rsidR="00003AFC" w:rsidRPr="00AC1A4C">
        <w:rPr>
          <w:lang w:val="es-CR"/>
        </w:rPr>
        <w:t xml:space="preserve"> </w:t>
      </w:r>
      <w:r w:rsidR="00003AFC" w:rsidRPr="00AC1A4C">
        <w:rPr>
          <w:i/>
          <w:iCs/>
          <w:lang w:val="es-CR"/>
        </w:rPr>
        <w:t>supra,</w:t>
      </w:r>
      <w:r w:rsidRPr="00AC1A4C">
        <w:rPr>
          <w:lang w:val="es-CR"/>
        </w:rPr>
        <w:t xml:space="preserve"> párrs. 147 y 148; </w:t>
      </w:r>
      <w:r w:rsidRPr="00AC1A4C">
        <w:rPr>
          <w:i/>
          <w:iCs/>
          <w:lang w:val="es-CR"/>
        </w:rPr>
        <w:t xml:space="preserve">Caso Godínez Cruz Vs. Honduras. Fondo. </w:t>
      </w:r>
      <w:r w:rsidRPr="00AC1A4C">
        <w:rPr>
          <w:lang w:val="es-CR"/>
        </w:rPr>
        <w:t xml:space="preserve">Sentencia de 20 de enero de 1989. Serie C No. 5, párr. 153; </w:t>
      </w:r>
      <w:r w:rsidRPr="00AC1A4C">
        <w:rPr>
          <w:i/>
          <w:iCs/>
          <w:lang w:val="es-CR"/>
        </w:rPr>
        <w:t>Caso Fairén Garbi y Solís Corrales Vs. Honduras. Fondo.</w:t>
      </w:r>
      <w:r w:rsidRPr="00AC1A4C">
        <w:rPr>
          <w:lang w:val="es-CR"/>
        </w:rPr>
        <w:t xml:space="preserve"> Sentencia de 15 de marzo de 1989. Serie C No. 6, párr. 112, y </w:t>
      </w:r>
      <w:r w:rsidRPr="00AC1A4C">
        <w:rPr>
          <w:i/>
          <w:iCs/>
          <w:lang w:val="es-CR"/>
        </w:rPr>
        <w:t>Caso Juan Humberto Sánchez Vs. Honduras. Excepción Preliminar, Fondo, Reparaciones y Costas.</w:t>
      </w:r>
      <w:r w:rsidRPr="00AC1A4C">
        <w:rPr>
          <w:lang w:val="es-CR"/>
        </w:rPr>
        <w:t xml:space="preserve"> Sentencia de 7 de junio de 2003. Serie C No. 99, párr. 70.1.</w:t>
      </w:r>
    </w:p>
  </w:footnote>
  <w:footnote w:id="24">
    <w:p w14:paraId="381D8890" w14:textId="610EDA0C" w:rsidR="00D05E8A" w:rsidRPr="00AC1A4C" w:rsidRDefault="00D05E8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Caso Juan Humberto Sánchez Vs. Honduras</w:t>
      </w:r>
      <w:r w:rsidR="004C3D4C" w:rsidRPr="00AC1A4C">
        <w:rPr>
          <w:i/>
          <w:iCs/>
          <w:lang w:val="es-CR"/>
        </w:rPr>
        <w:t xml:space="preserve">, </w:t>
      </w:r>
      <w:r w:rsidR="004C3D4C" w:rsidRPr="00AC1A4C">
        <w:rPr>
          <w:lang w:val="es-CR"/>
        </w:rPr>
        <w:t>supra</w:t>
      </w:r>
      <w:r w:rsidRPr="00AC1A4C">
        <w:rPr>
          <w:lang w:val="es-CR"/>
        </w:rPr>
        <w:t>, párr. 70.1.</w:t>
      </w:r>
    </w:p>
  </w:footnote>
  <w:footnote w:id="25">
    <w:p w14:paraId="526D0B6C" w14:textId="11CFF6C6" w:rsidR="00776C71" w:rsidRPr="00AC1A4C" w:rsidRDefault="00776C71"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i/>
          <w:iCs/>
          <w:lang w:val="es-CR"/>
        </w:rPr>
        <w:tab/>
      </w:r>
      <w:r w:rsidRPr="00AC1A4C">
        <w:rPr>
          <w:lang w:val="es-CR"/>
        </w:rPr>
        <w:t>Peritaje de Luz Adriana Camargo Garzón de 2 de mayo de 2022 (expediente de prueba, folio 2600).</w:t>
      </w:r>
    </w:p>
  </w:footnote>
  <w:footnote w:id="26">
    <w:p w14:paraId="07D22DE0" w14:textId="32BE6F0A" w:rsidR="009B00C7" w:rsidRPr="00AC1A4C" w:rsidRDefault="009B00C7"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i/>
          <w:iCs/>
          <w:lang w:val="es-CR"/>
        </w:rPr>
        <w:tab/>
      </w:r>
      <w:r w:rsidRPr="00AC1A4C">
        <w:rPr>
          <w:lang w:val="es-CR"/>
        </w:rPr>
        <w:t xml:space="preserve">Peritaje de </w:t>
      </w:r>
      <w:r w:rsidRPr="00AC1A4C">
        <w:t xml:space="preserve">José Eugenio Sosa Iglesias de </w:t>
      </w:r>
      <w:r w:rsidR="00C561AA" w:rsidRPr="00AC1A4C">
        <w:t>30</w:t>
      </w:r>
      <w:r w:rsidRPr="00AC1A4C">
        <w:t xml:space="preserve"> de </w:t>
      </w:r>
      <w:r w:rsidR="00C561AA" w:rsidRPr="00AC1A4C">
        <w:t>abril</w:t>
      </w:r>
      <w:r w:rsidRPr="00AC1A4C">
        <w:t xml:space="preserve"> de 2022</w:t>
      </w:r>
      <w:r w:rsidRPr="00AC1A4C">
        <w:rPr>
          <w:lang w:val="es-CR"/>
        </w:rPr>
        <w:t xml:space="preserve"> (expediente de prueba, folio </w:t>
      </w:r>
      <w:r w:rsidRPr="00AC1A4C">
        <w:t>23</w:t>
      </w:r>
      <w:r w:rsidR="00022A03" w:rsidRPr="00AC1A4C">
        <w:t>8</w:t>
      </w:r>
      <w:r w:rsidRPr="00AC1A4C">
        <w:t>6</w:t>
      </w:r>
      <w:r w:rsidRPr="00AC1A4C">
        <w:rPr>
          <w:lang w:val="es-CR"/>
        </w:rPr>
        <w:t>).</w:t>
      </w:r>
    </w:p>
  </w:footnote>
  <w:footnote w:id="27">
    <w:p w14:paraId="15757A7E" w14:textId="2A4DBE4C" w:rsidR="00825DB0" w:rsidRPr="00AC1A4C" w:rsidRDefault="00825DB0"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Según su hermana, Alba Deras García, “[c]omo asesor de sindicatos de la Costa Norte, [Herminio Deras García] ayudaba a sindicatos a negocia</w:t>
      </w:r>
      <w:r w:rsidR="007A187E" w:rsidRPr="00AC1A4C">
        <w:rPr>
          <w:lang w:val="es-CR"/>
        </w:rPr>
        <w:t>r</w:t>
      </w:r>
      <w:r w:rsidRPr="00AC1A4C">
        <w:rPr>
          <w:lang w:val="es-CR"/>
        </w:rPr>
        <w:t xml:space="preserve"> contratos colectivos. Ello</w:t>
      </w:r>
      <w:r w:rsidR="000F58FA" w:rsidRPr="00AC1A4C">
        <w:rPr>
          <w:lang w:val="es-CR"/>
        </w:rPr>
        <w:t xml:space="preserve"> </w:t>
      </w:r>
      <w:r w:rsidRPr="00AC1A4C">
        <w:rPr>
          <w:lang w:val="es-CR"/>
        </w:rPr>
        <w:t>causó preocupación porque los trabajadores planteaban demandas importantes a sus empleadores y en ocasiones lograban contratos colectivos muy buenos. Just</w:t>
      </w:r>
      <w:r w:rsidR="00254A64" w:rsidRPr="00AC1A4C">
        <w:rPr>
          <w:lang w:val="es-CR"/>
        </w:rPr>
        <w:t>amente</w:t>
      </w:r>
      <w:r w:rsidRPr="00AC1A4C">
        <w:rPr>
          <w:lang w:val="es-CR"/>
        </w:rPr>
        <w:t xml:space="preserve"> la negociación de un contrato colectivo importante</w:t>
      </w:r>
      <w:r w:rsidR="00254A64" w:rsidRPr="00AC1A4C">
        <w:rPr>
          <w:lang w:val="es-CR"/>
        </w:rPr>
        <w:t>,</w:t>
      </w:r>
      <w:r w:rsidRPr="00AC1A4C">
        <w:rPr>
          <w:lang w:val="es-CR"/>
        </w:rPr>
        <w:t xml:space="preserve"> que derivó en una gran huelga en 1979 fue el inicio de la violenta, sistemática y mortal persecución contra Herminio y otros sindicalistas y miembros del Partido Comunista, que fueron asesinados y/o desaparecidos y otros encarcelados”. Declaración de Alba </w:t>
      </w:r>
      <w:r w:rsidR="00E13C29" w:rsidRPr="00AC1A4C">
        <w:rPr>
          <w:lang w:val="es-CR"/>
        </w:rPr>
        <w:t xml:space="preserve">Luz </w:t>
      </w:r>
      <w:r w:rsidRPr="00AC1A4C">
        <w:rPr>
          <w:lang w:val="es-CR"/>
        </w:rPr>
        <w:t>Deras García</w:t>
      </w:r>
      <w:r w:rsidR="00254A64" w:rsidRPr="00AC1A4C">
        <w:rPr>
          <w:lang w:val="es-CR"/>
        </w:rPr>
        <w:t xml:space="preserve"> de 28 de abril de 2022</w:t>
      </w:r>
      <w:r w:rsidR="00E13C29" w:rsidRPr="00AC1A4C">
        <w:rPr>
          <w:lang w:val="es-CR"/>
        </w:rPr>
        <w:t xml:space="preserve"> (expediente de prueba, folio</w:t>
      </w:r>
      <w:r w:rsidR="00254A64" w:rsidRPr="00AC1A4C">
        <w:rPr>
          <w:lang w:val="es-CR"/>
        </w:rPr>
        <w:t>s</w:t>
      </w:r>
      <w:r w:rsidR="00E13C29" w:rsidRPr="00AC1A4C">
        <w:rPr>
          <w:lang w:val="es-CR"/>
        </w:rPr>
        <w:t xml:space="preserve"> 2361</w:t>
      </w:r>
      <w:r w:rsidR="00254A64" w:rsidRPr="00AC1A4C">
        <w:rPr>
          <w:lang w:val="es-CR"/>
        </w:rPr>
        <w:t xml:space="preserve"> a 2362</w:t>
      </w:r>
      <w:r w:rsidR="00E13C29" w:rsidRPr="00AC1A4C">
        <w:rPr>
          <w:lang w:val="es-CR"/>
        </w:rPr>
        <w:t>)</w:t>
      </w:r>
      <w:r w:rsidRPr="00AC1A4C">
        <w:rPr>
          <w:lang w:val="es-CR"/>
        </w:rPr>
        <w:t>.</w:t>
      </w:r>
    </w:p>
  </w:footnote>
  <w:footnote w:id="28">
    <w:p w14:paraId="3783A48C" w14:textId="67A12319" w:rsidR="00A00950" w:rsidRPr="00AC1A4C" w:rsidRDefault="00A00950"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Según su esposa, Otilia Flores Ortiz, Herminio Deras García era “asesor y educador laboral”. </w:t>
      </w:r>
      <w:r w:rsidRPr="00AC1A4C">
        <w:rPr>
          <w:i/>
          <w:iCs/>
          <w:lang w:val="es-CR"/>
        </w:rPr>
        <w:t>Cfr</w:t>
      </w:r>
      <w:r w:rsidRPr="00AC1A4C">
        <w:rPr>
          <w:lang w:val="es-CR"/>
        </w:rPr>
        <w:t xml:space="preserve">. Declaración de Otilia Flores Ortiz </w:t>
      </w:r>
      <w:r w:rsidR="000E4DAF" w:rsidRPr="00AC1A4C">
        <w:rPr>
          <w:lang w:val="es-CR"/>
        </w:rPr>
        <w:t>durante</w:t>
      </w:r>
      <w:r w:rsidRPr="00AC1A4C">
        <w:rPr>
          <w:lang w:val="es-CR"/>
        </w:rPr>
        <w:t xml:space="preserve"> la audiencia pública</w:t>
      </w:r>
      <w:r w:rsidR="00A64740" w:rsidRPr="00AC1A4C">
        <w:rPr>
          <w:lang w:val="es-CR"/>
        </w:rPr>
        <w:t xml:space="preserve"> del presente caso</w:t>
      </w:r>
      <w:r w:rsidRPr="00AC1A4C">
        <w:rPr>
          <w:lang w:val="es-CR"/>
        </w:rPr>
        <w:t xml:space="preserve">. </w:t>
      </w:r>
    </w:p>
  </w:footnote>
  <w:footnote w:id="29">
    <w:p w14:paraId="037ACF1D" w14:textId="17AA29F3" w:rsidR="00065C6A" w:rsidRPr="00AC1A4C" w:rsidRDefault="00065C6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Según su hermana, por medio de este periódico </w:t>
      </w:r>
      <w:r w:rsidR="00F74FD1" w:rsidRPr="00AC1A4C">
        <w:rPr>
          <w:lang w:val="es-CR"/>
        </w:rPr>
        <w:t xml:space="preserve">Herminio Deras García </w:t>
      </w:r>
      <w:r w:rsidRPr="00AC1A4C">
        <w:rPr>
          <w:lang w:val="es-CR"/>
        </w:rPr>
        <w:t>“daba su posición política sobre los acontecimientos de esa época en el país, hacía llamados a la lucha obrera, a la lucha sindical, a la unión de los sindicatos por un Honduras mejor</w:t>
      </w:r>
      <w:r w:rsidR="00C66FD5" w:rsidRPr="00AC1A4C">
        <w:rPr>
          <w:lang w:val="es-CR"/>
        </w:rPr>
        <w:t>.</w:t>
      </w:r>
      <w:r w:rsidRPr="00AC1A4C">
        <w:rPr>
          <w:lang w:val="es-CR"/>
        </w:rPr>
        <w:t xml:space="preserve"> Herminio […] tenía muchas habilidades para escribir y para plasmar sus pensamientos políticos ideológicos</w:t>
      </w:r>
      <w:r w:rsidR="00C66FD5" w:rsidRPr="00AC1A4C">
        <w:rPr>
          <w:lang w:val="es-CR"/>
        </w:rPr>
        <w:t>. N</w:t>
      </w:r>
      <w:r w:rsidRPr="00AC1A4C">
        <w:rPr>
          <w:lang w:val="es-CR"/>
        </w:rPr>
        <w:t>osotros siempre fuimos educados en la lectura, por él, y muchas veces nosotros le ayudábamos a distribuirlo […] y nos pedía que le ayudáramos a distribuir su pensamiento</w:t>
      </w:r>
      <w:r w:rsidR="007A187E" w:rsidRPr="00AC1A4C">
        <w:rPr>
          <w:lang w:val="es-CR"/>
        </w:rPr>
        <w:t>”</w:t>
      </w:r>
      <w:r w:rsidRPr="00AC1A4C">
        <w:rPr>
          <w:lang w:val="es-CR"/>
        </w:rPr>
        <w:t>. Declaración de Irma Isabel Deras García durante la audiencia pública</w:t>
      </w:r>
      <w:r w:rsidR="003D63AC" w:rsidRPr="00AC1A4C">
        <w:rPr>
          <w:lang w:val="es-CR"/>
        </w:rPr>
        <w:t xml:space="preserve"> del presente caso</w:t>
      </w:r>
      <w:r w:rsidRPr="00AC1A4C">
        <w:rPr>
          <w:lang w:val="es-CR"/>
        </w:rPr>
        <w:t>.</w:t>
      </w:r>
    </w:p>
  </w:footnote>
  <w:footnote w:id="30">
    <w:p w14:paraId="510D76D6" w14:textId="77777777" w:rsidR="00256AC4" w:rsidRPr="00AC1A4C" w:rsidRDefault="00256AC4" w:rsidP="00AC1A4C">
      <w:pPr>
        <w:autoSpaceDE w:val="0"/>
        <w:autoSpaceDN w:val="0"/>
        <w:adjustRightInd w:val="0"/>
        <w:spacing w:after="40"/>
        <w:jc w:val="both"/>
        <w:rPr>
          <w:rFonts w:ascii="Verdana" w:hAnsi="Verdana" w:cs="Arial"/>
          <w:b/>
          <w:bCs/>
          <w:sz w:val="16"/>
          <w:szCs w:val="16"/>
        </w:rPr>
      </w:pPr>
      <w:r w:rsidRPr="00AC1A4C">
        <w:rPr>
          <w:rStyle w:val="Refdenotaalpie"/>
          <w:rFonts w:ascii="Verdana" w:eastAsiaTheme="majorEastAsia" w:hAnsi="Verdana"/>
          <w:sz w:val="16"/>
          <w:szCs w:val="16"/>
        </w:rPr>
        <w:footnoteRef/>
      </w:r>
      <w:r w:rsidRPr="00AC1A4C">
        <w:rPr>
          <w:rFonts w:ascii="Verdana" w:hAnsi="Verdana"/>
          <w:sz w:val="16"/>
          <w:szCs w:val="16"/>
        </w:rPr>
        <w:t xml:space="preserve"> </w:t>
      </w:r>
      <w:r w:rsidRPr="00AC1A4C">
        <w:rPr>
          <w:rFonts w:ascii="Verdana" w:hAnsi="Verdana"/>
          <w:sz w:val="16"/>
          <w:szCs w:val="16"/>
        </w:rPr>
        <w:tab/>
        <w:t>E</w:t>
      </w:r>
      <w:r w:rsidRPr="00AC1A4C">
        <w:rPr>
          <w:rFonts w:ascii="Verdana" w:hAnsi="Verdana" w:cs="Arial"/>
          <w:sz w:val="16"/>
          <w:szCs w:val="16"/>
        </w:rPr>
        <w:t>n 1981, Otilia Flores Ortiz tenía 34 años y trabajaba para el Sistema de Registro de la Universidad Nacional Autónoma de Honduras, en el Centro Universitario de la Región Norte. Asimismo, era miembro activo del Sindicato de Trabajadores de la Universidad Nacional Autónoma de Honduras (SITRAUNAH).</w:t>
      </w:r>
    </w:p>
  </w:footnote>
  <w:footnote w:id="31">
    <w:p w14:paraId="2E22A874" w14:textId="7F22DF80" w:rsidR="00F122A6" w:rsidRPr="00AC1A4C" w:rsidRDefault="00F122A6"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Al respecto, Otilia Deras Flores declaró que </w:t>
      </w:r>
      <w:r w:rsidR="00353713" w:rsidRPr="00AC1A4C">
        <w:rPr>
          <w:lang w:val="es-CR"/>
        </w:rPr>
        <w:t>“en 1981 mi casa fue cateada, destruida, robaron todo, nos maltrataron</w:t>
      </w:r>
      <w:r w:rsidR="00120E17" w:rsidRPr="00AC1A4C">
        <w:rPr>
          <w:lang w:val="es-CR"/>
        </w:rPr>
        <w:t xml:space="preserve"> […]</w:t>
      </w:r>
      <w:r w:rsidR="002A27FC" w:rsidRPr="00AC1A4C">
        <w:rPr>
          <w:lang w:val="es-CR"/>
        </w:rPr>
        <w:t>.</w:t>
      </w:r>
      <w:r w:rsidR="00120E17" w:rsidRPr="00AC1A4C">
        <w:rPr>
          <w:lang w:val="es-CR"/>
        </w:rPr>
        <w:t xml:space="preserve"> Cuando allanaron la casa, […] [Elba Flores] protestó porque estaban destruyendo todo lo de la casa, y se estaban llevando todo lo de la casa. Herminio había iniciado un libro, a escribir un libro sobre reforma agraria, se lo llevaron, todo eso lo quemaron, no lo pude recuperar”</w:t>
      </w:r>
      <w:r w:rsidR="00353713" w:rsidRPr="00AC1A4C">
        <w:rPr>
          <w:lang w:val="es-CR"/>
        </w:rPr>
        <w:t>. Declaración de Otilia Flores Ortiz</w:t>
      </w:r>
      <w:r w:rsidR="002276BD" w:rsidRPr="00AC1A4C">
        <w:rPr>
          <w:lang w:val="es-CR"/>
        </w:rPr>
        <w:t xml:space="preserve">, </w:t>
      </w:r>
      <w:r w:rsidR="002276BD" w:rsidRPr="00AC1A4C">
        <w:rPr>
          <w:i/>
          <w:iCs/>
          <w:lang w:val="es-CR"/>
        </w:rPr>
        <w:t>supra</w:t>
      </w:r>
      <w:r w:rsidR="00353713" w:rsidRPr="00AC1A4C">
        <w:rPr>
          <w:lang w:val="es-CR"/>
        </w:rPr>
        <w:t>.</w:t>
      </w:r>
    </w:p>
  </w:footnote>
  <w:footnote w:id="32">
    <w:p w14:paraId="38B125B8" w14:textId="2EDE9612" w:rsidR="00636071" w:rsidRPr="00AC1A4C" w:rsidRDefault="00636071"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Elba Flores</w:t>
      </w:r>
      <w:r w:rsidRPr="00AC1A4C">
        <w:rPr>
          <w:rFonts w:cs="Arial"/>
          <w:lang w:val="es-CR"/>
        </w:rPr>
        <w:t xml:space="preserve"> </w:t>
      </w:r>
      <w:r w:rsidR="00A6089F" w:rsidRPr="00AC1A4C">
        <w:rPr>
          <w:rFonts w:cs="Arial"/>
          <w:lang w:val="es-CR"/>
        </w:rPr>
        <w:t xml:space="preserve">Ortiz </w:t>
      </w:r>
      <w:r w:rsidRPr="00AC1A4C">
        <w:rPr>
          <w:rFonts w:cs="Arial"/>
          <w:lang w:val="es-CR"/>
        </w:rPr>
        <w:t xml:space="preserve">tenía 23 años </w:t>
      </w:r>
      <w:r w:rsidR="00D6427C" w:rsidRPr="00AC1A4C">
        <w:rPr>
          <w:rFonts w:cs="Arial"/>
          <w:lang w:val="es-CR"/>
        </w:rPr>
        <w:t>en</w:t>
      </w:r>
      <w:r w:rsidRPr="00AC1A4C">
        <w:rPr>
          <w:rFonts w:cs="Arial"/>
          <w:lang w:val="es-CR"/>
        </w:rPr>
        <w:t xml:space="preserve"> la época. </w:t>
      </w:r>
    </w:p>
  </w:footnote>
  <w:footnote w:id="33">
    <w:p w14:paraId="5B967EAA" w14:textId="0C899F01" w:rsidR="00636071" w:rsidRPr="00AC1A4C" w:rsidRDefault="00636071" w:rsidP="00AC1A4C">
      <w:pPr>
        <w:autoSpaceDE w:val="0"/>
        <w:autoSpaceDN w:val="0"/>
        <w:adjustRightInd w:val="0"/>
        <w:spacing w:after="40"/>
        <w:jc w:val="both"/>
        <w:rPr>
          <w:rFonts w:ascii="Verdana" w:hAnsi="Verdana" w:cs="Arial"/>
          <w:sz w:val="16"/>
          <w:szCs w:val="16"/>
        </w:rPr>
      </w:pPr>
      <w:r w:rsidRPr="00AC1A4C">
        <w:rPr>
          <w:rStyle w:val="Refdenotaalpie"/>
          <w:rFonts w:ascii="Verdana" w:eastAsiaTheme="majorEastAsia" w:hAnsi="Verdana"/>
          <w:sz w:val="16"/>
          <w:szCs w:val="16"/>
        </w:rPr>
        <w:footnoteRef/>
      </w:r>
      <w:r w:rsidRPr="00AC1A4C">
        <w:rPr>
          <w:rFonts w:ascii="Verdana" w:hAnsi="Verdana"/>
          <w:sz w:val="16"/>
          <w:szCs w:val="16"/>
        </w:rPr>
        <w:t xml:space="preserve"> </w:t>
      </w:r>
      <w:r w:rsidRPr="00AC1A4C">
        <w:rPr>
          <w:rFonts w:ascii="Verdana" w:hAnsi="Verdana"/>
          <w:sz w:val="16"/>
          <w:szCs w:val="16"/>
        </w:rPr>
        <w:tab/>
      </w:r>
      <w:r w:rsidRPr="00AC1A4C">
        <w:rPr>
          <w:rFonts w:ascii="Verdana" w:hAnsi="Verdana" w:cs="Arial"/>
          <w:sz w:val="16"/>
          <w:szCs w:val="16"/>
        </w:rPr>
        <w:t>Lorena Deras Flores tenía 11 años</w:t>
      </w:r>
      <w:r w:rsidR="00D003E3" w:rsidRPr="00AC1A4C">
        <w:rPr>
          <w:rFonts w:ascii="Verdana" w:hAnsi="Verdana" w:cs="Arial"/>
          <w:sz w:val="16"/>
          <w:szCs w:val="16"/>
        </w:rPr>
        <w:t xml:space="preserve"> en la época</w:t>
      </w:r>
      <w:r w:rsidRPr="00AC1A4C">
        <w:rPr>
          <w:rFonts w:ascii="Verdana" w:hAnsi="Verdana" w:cs="Arial"/>
          <w:sz w:val="16"/>
          <w:szCs w:val="16"/>
        </w:rPr>
        <w:t>.</w:t>
      </w:r>
      <w:r w:rsidR="00D003E3" w:rsidRPr="00AC1A4C">
        <w:rPr>
          <w:rFonts w:ascii="Verdana" w:hAnsi="Verdana" w:cs="Arial"/>
          <w:sz w:val="16"/>
          <w:szCs w:val="16"/>
        </w:rPr>
        <w:t xml:space="preserve"> </w:t>
      </w:r>
    </w:p>
  </w:footnote>
  <w:footnote w:id="34">
    <w:p w14:paraId="3786224A" w14:textId="634058FF" w:rsidR="00636071" w:rsidRPr="00AC1A4C" w:rsidRDefault="00636071" w:rsidP="00AC1A4C">
      <w:pPr>
        <w:autoSpaceDE w:val="0"/>
        <w:autoSpaceDN w:val="0"/>
        <w:adjustRightInd w:val="0"/>
        <w:spacing w:after="40"/>
        <w:jc w:val="both"/>
        <w:rPr>
          <w:rFonts w:ascii="Verdana" w:hAnsi="Verdana" w:cs="Arial"/>
          <w:sz w:val="16"/>
          <w:szCs w:val="16"/>
        </w:rPr>
      </w:pPr>
      <w:r w:rsidRPr="00AC1A4C">
        <w:rPr>
          <w:rStyle w:val="Refdenotaalpie"/>
          <w:rFonts w:ascii="Verdana" w:eastAsiaTheme="majorEastAsia" w:hAnsi="Verdana"/>
          <w:sz w:val="16"/>
          <w:szCs w:val="16"/>
        </w:rPr>
        <w:footnoteRef/>
      </w:r>
      <w:r w:rsidRPr="00AC1A4C">
        <w:rPr>
          <w:rFonts w:ascii="Verdana" w:hAnsi="Verdana"/>
          <w:sz w:val="16"/>
          <w:szCs w:val="16"/>
        </w:rPr>
        <w:t xml:space="preserve"> </w:t>
      </w:r>
      <w:r w:rsidRPr="00AC1A4C">
        <w:rPr>
          <w:rFonts w:ascii="Verdana" w:hAnsi="Verdana"/>
          <w:sz w:val="16"/>
          <w:szCs w:val="16"/>
        </w:rPr>
        <w:tab/>
        <w:t xml:space="preserve">Herminio </w:t>
      </w:r>
      <w:r w:rsidRPr="00AC1A4C">
        <w:rPr>
          <w:rFonts w:ascii="Verdana" w:hAnsi="Verdana" w:cs="Arial"/>
          <w:sz w:val="16"/>
          <w:szCs w:val="16"/>
        </w:rPr>
        <w:t>Deras Flores tenía 7 años</w:t>
      </w:r>
      <w:r w:rsidR="00934178" w:rsidRPr="00AC1A4C">
        <w:rPr>
          <w:rFonts w:ascii="Verdana" w:hAnsi="Verdana" w:cs="Arial"/>
          <w:sz w:val="16"/>
          <w:szCs w:val="16"/>
        </w:rPr>
        <w:t xml:space="preserve"> </w:t>
      </w:r>
      <w:r w:rsidR="00D003E3" w:rsidRPr="00AC1A4C">
        <w:rPr>
          <w:rFonts w:ascii="Verdana" w:hAnsi="Verdana" w:cs="Arial"/>
          <w:sz w:val="16"/>
          <w:szCs w:val="16"/>
        </w:rPr>
        <w:t>en la época</w:t>
      </w:r>
      <w:r w:rsidRPr="00AC1A4C">
        <w:rPr>
          <w:rFonts w:ascii="Verdana" w:hAnsi="Verdana" w:cs="Arial"/>
          <w:sz w:val="16"/>
          <w:szCs w:val="16"/>
        </w:rPr>
        <w:t xml:space="preserve">. </w:t>
      </w:r>
    </w:p>
  </w:footnote>
  <w:footnote w:id="35">
    <w:p w14:paraId="62F19B60" w14:textId="07648579" w:rsidR="00EB009D" w:rsidRPr="00AC1A4C" w:rsidRDefault="00EB009D"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Otilia Flores </w:t>
      </w:r>
      <w:r w:rsidR="00D24DFB" w:rsidRPr="00AC1A4C">
        <w:rPr>
          <w:lang w:val="es-CR"/>
        </w:rPr>
        <w:t xml:space="preserve">Ortiz </w:t>
      </w:r>
      <w:r w:rsidRPr="00AC1A4C">
        <w:rPr>
          <w:lang w:val="es-CR"/>
        </w:rPr>
        <w:t>relató que “esa vez Herminio se pudo escapar gracias a que cuando iban a agredirlo con sus ametralladoras que le apuntaban, mis hijos lo abrazaron y ya no le pudieron disparar”. Declaración de Otilia Flores Ortiz durante la audiencia pública</w:t>
      </w:r>
      <w:r w:rsidR="00DE6F74" w:rsidRPr="00AC1A4C">
        <w:rPr>
          <w:lang w:val="es-CR"/>
        </w:rPr>
        <w:t xml:space="preserve"> del presente caso</w:t>
      </w:r>
      <w:r w:rsidRPr="00AC1A4C">
        <w:rPr>
          <w:lang w:val="es-CR"/>
        </w:rPr>
        <w:t xml:space="preserve">. </w:t>
      </w:r>
    </w:p>
  </w:footnote>
  <w:footnote w:id="36">
    <w:p w14:paraId="2FDE4541" w14:textId="6063E9E6" w:rsidR="00636071" w:rsidRPr="00AC1A4C" w:rsidRDefault="00636071" w:rsidP="00AC1A4C">
      <w:pPr>
        <w:pStyle w:val="Textonotapie"/>
        <w:spacing w:after="40"/>
        <w:jc w:val="both"/>
        <w:rPr>
          <w:b/>
          <w:bCs/>
          <w:lang w:val="es-CR"/>
        </w:rPr>
      </w:pPr>
      <w:r w:rsidRPr="00AC1A4C">
        <w:rPr>
          <w:rStyle w:val="Refdenotaalpie"/>
          <w:lang w:val="es-CR"/>
        </w:rPr>
        <w:footnoteRef/>
      </w:r>
      <w:r w:rsidRPr="00AC1A4C">
        <w:rPr>
          <w:lang w:val="es-CR"/>
        </w:rPr>
        <w:t xml:space="preserve"> </w:t>
      </w:r>
      <w:r w:rsidRPr="00AC1A4C">
        <w:rPr>
          <w:lang w:val="es-CR"/>
        </w:rPr>
        <w:tab/>
      </w:r>
      <w:r w:rsidR="00934178" w:rsidRPr="00AC1A4C">
        <w:rPr>
          <w:lang w:val="es-CR"/>
        </w:rPr>
        <w:t>Domingo Deras era constructor de profesión, y en 1983, tenía una empresa de bloques y mosaicos, además de una Carpintería desde 1981. R</w:t>
      </w:r>
      <w:r w:rsidRPr="00AC1A4C">
        <w:rPr>
          <w:lang w:val="es-CR"/>
        </w:rPr>
        <w:t xml:space="preserve">esidía con su familia en el </w:t>
      </w:r>
      <w:r w:rsidR="009807D4" w:rsidRPr="00AC1A4C">
        <w:rPr>
          <w:lang w:val="es-CR"/>
        </w:rPr>
        <w:t>b</w:t>
      </w:r>
      <w:r w:rsidRPr="00AC1A4C">
        <w:rPr>
          <w:lang w:val="es-CR"/>
        </w:rPr>
        <w:t>arrio San Francisco del Progreso, Yoro</w:t>
      </w:r>
      <w:r w:rsidR="00934178" w:rsidRPr="00AC1A4C">
        <w:rPr>
          <w:lang w:val="es-CR"/>
        </w:rPr>
        <w:t>.</w:t>
      </w:r>
    </w:p>
  </w:footnote>
  <w:footnote w:id="37">
    <w:p w14:paraId="1881CA06" w14:textId="679A3AB4" w:rsidR="00982ACE" w:rsidRPr="00AC1A4C" w:rsidRDefault="00982ACE"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Sobre el particular, la señora Otilia Flores Ortiz declaró: “yo me fui a recog</w:t>
      </w:r>
      <w:r w:rsidR="002276BD" w:rsidRPr="00AC1A4C">
        <w:rPr>
          <w:lang w:val="es-CR"/>
        </w:rPr>
        <w:t>[</w:t>
      </w:r>
      <w:r w:rsidRPr="00AC1A4C">
        <w:rPr>
          <w:lang w:val="es-CR"/>
        </w:rPr>
        <w:t>er</w:t>
      </w:r>
      <w:r w:rsidR="002276BD" w:rsidRPr="00AC1A4C">
        <w:rPr>
          <w:lang w:val="es-CR"/>
        </w:rPr>
        <w:t>]</w:t>
      </w:r>
      <w:r w:rsidRPr="00AC1A4C">
        <w:rPr>
          <w:lang w:val="es-CR"/>
        </w:rPr>
        <w:t xml:space="preserve"> [a Herminio Deras García], donde él me dijo que había caído, levanté a mis niños […] para que me acompañaran. Cuando yo llegué al lugar ya se lo había llevado la morgue. En la morgue no lo quisieron recibir y cuando llegué estaba acribillado todavía, lo tenían en la paila del carro, acribillado, y mis hijos vieron eso, solo recuerdo a Lorena que lloraba</w:t>
      </w:r>
      <w:r w:rsidR="001F6267" w:rsidRPr="00AC1A4C">
        <w:rPr>
          <w:lang w:val="es-CR"/>
        </w:rPr>
        <w:t>,</w:t>
      </w:r>
      <w:r w:rsidRPr="00AC1A4C">
        <w:rPr>
          <w:lang w:val="es-CR"/>
        </w:rPr>
        <w:t xml:space="preserve"> a </w:t>
      </w:r>
      <w:r w:rsidR="005568B5" w:rsidRPr="00AC1A4C">
        <w:rPr>
          <w:lang w:val="es-CR"/>
        </w:rPr>
        <w:t>Her</w:t>
      </w:r>
      <w:r w:rsidRPr="00AC1A4C">
        <w:rPr>
          <w:lang w:val="es-CR"/>
        </w:rPr>
        <w:t>minito que apretaba sus puñitos, los dientes los apretaba, lloraba, eso fue terrible, eso no se me puede olvidar, eso lo tengo grabado”. Declaración de Otilia Flores Ortiz</w:t>
      </w:r>
      <w:r w:rsidR="002276BD" w:rsidRPr="00AC1A4C">
        <w:rPr>
          <w:lang w:val="es-CR"/>
        </w:rPr>
        <w:t xml:space="preserve">, </w:t>
      </w:r>
      <w:r w:rsidR="002276BD" w:rsidRPr="00AC1A4C">
        <w:rPr>
          <w:i/>
          <w:iCs/>
          <w:lang w:val="es-CR"/>
        </w:rPr>
        <w:t>supra.</w:t>
      </w:r>
    </w:p>
  </w:footnote>
  <w:footnote w:id="38">
    <w:p w14:paraId="557E52FE" w14:textId="4116939B" w:rsidR="004055A0" w:rsidRPr="00AC1A4C" w:rsidRDefault="004055A0"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La señora Otilia Flores declaró que</w:t>
      </w:r>
      <w:r w:rsidR="00C9045E" w:rsidRPr="00AC1A4C">
        <w:rPr>
          <w:lang w:val="es-CR"/>
        </w:rPr>
        <w:t>:</w:t>
      </w:r>
      <w:r w:rsidRPr="00AC1A4C">
        <w:rPr>
          <w:lang w:val="es-CR"/>
        </w:rPr>
        <w:t xml:space="preserve"> “lo trasladaron ellos mismos, los militares</w:t>
      </w:r>
      <w:r w:rsidR="00A65955" w:rsidRPr="00AC1A4C">
        <w:rPr>
          <w:lang w:val="es-CR"/>
        </w:rPr>
        <w:t xml:space="preserve"> </w:t>
      </w:r>
      <w:r w:rsidRPr="00AC1A4C">
        <w:rPr>
          <w:lang w:val="es-CR"/>
        </w:rPr>
        <w:t>[el cuerpo del señor Deras García a la casa de la familia Deras Flores]. Me lo iban a tirar al suelo, les dije que por favor me esperaran, corrí y puse un plástico en el sofá para que me lo pusieran ahí”. Declaración de Otilia Flores Ortiz</w:t>
      </w:r>
      <w:r w:rsidR="00D121FF" w:rsidRPr="00AC1A4C">
        <w:rPr>
          <w:lang w:val="es-CR"/>
        </w:rPr>
        <w:t xml:space="preserve">, </w:t>
      </w:r>
      <w:r w:rsidR="00D121FF" w:rsidRPr="00AC1A4C">
        <w:rPr>
          <w:i/>
          <w:iCs/>
          <w:lang w:val="es-CR"/>
        </w:rPr>
        <w:t>supra</w:t>
      </w:r>
      <w:r w:rsidRPr="00AC1A4C">
        <w:rPr>
          <w:lang w:val="es-CR"/>
        </w:rPr>
        <w:t>.</w:t>
      </w:r>
    </w:p>
  </w:footnote>
  <w:footnote w:id="39">
    <w:p w14:paraId="6A4D757D" w14:textId="1CB10978" w:rsidR="00DC7187" w:rsidRPr="00AC1A4C" w:rsidRDefault="00DC7187"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Al respecto, Herminio Deras Flores declaró que “[e]l día de la muerte de mi papá, en 1983, recuerdo que mi mamá me despertó y nos dijo, a mí y a mi hermana, ‘levántense, mataron a su papá’. Mi mamá estaba muy emotiva y llorando, y también enojada y con rabia. Yo me sentía como un zombi: miraba todo lo que pasaba a mi alrededor, pero no sentía nada”. “[M]anejamos hasta la morgue, que era en el hospital creo. Ahí recuerdo ver a mi papá en la parte de atrás de un carro pickup, con su camisa llena de sangre. Estaba acostado y había policías alrededor del carro. Mi mamá lloraba. Recuerdo que un hombre vestido con ropa de policía dijo algo así como ‘al fin te fuiste, cerdo’. Es una imagen que me atormentará toda la vida”</w:t>
      </w:r>
      <w:r w:rsidR="00C9045E" w:rsidRPr="00AC1A4C">
        <w:rPr>
          <w:lang w:val="es-CR"/>
        </w:rPr>
        <w:t xml:space="preserve">. </w:t>
      </w:r>
      <w:r w:rsidR="004F532B" w:rsidRPr="00AC1A4C">
        <w:rPr>
          <w:lang w:val="es-CR"/>
        </w:rPr>
        <w:t xml:space="preserve">Declaración de Herminio Deras Flores </w:t>
      </w:r>
      <w:r w:rsidR="00C46D4E" w:rsidRPr="00AC1A4C">
        <w:rPr>
          <w:lang w:val="es-CR"/>
        </w:rPr>
        <w:t xml:space="preserve">de 2 de mayo de 2022 </w:t>
      </w:r>
      <w:r w:rsidRPr="00AC1A4C">
        <w:rPr>
          <w:lang w:val="es-CR"/>
        </w:rPr>
        <w:t>(expediente de prueba, folio</w:t>
      </w:r>
      <w:r w:rsidR="004F532B" w:rsidRPr="00AC1A4C">
        <w:rPr>
          <w:lang w:val="es-CR"/>
        </w:rPr>
        <w:t>s</w:t>
      </w:r>
      <w:r w:rsidRPr="00AC1A4C">
        <w:rPr>
          <w:lang w:val="es-CR"/>
        </w:rPr>
        <w:t xml:space="preserve"> 2371</w:t>
      </w:r>
      <w:r w:rsidR="004F532B" w:rsidRPr="00AC1A4C">
        <w:rPr>
          <w:lang w:val="es-CR"/>
        </w:rPr>
        <w:t xml:space="preserve"> y 2372</w:t>
      </w:r>
      <w:r w:rsidRPr="00AC1A4C">
        <w:rPr>
          <w:lang w:val="es-CR"/>
        </w:rPr>
        <w:t xml:space="preserve">). </w:t>
      </w:r>
    </w:p>
  </w:footnote>
  <w:footnote w:id="40">
    <w:p w14:paraId="565A3F39" w14:textId="6183D93F" w:rsidR="00BB3E76" w:rsidRPr="00AC1A4C" w:rsidRDefault="00BB3E76" w:rsidP="00AC1A4C">
      <w:pPr>
        <w:pStyle w:val="Textonotapie"/>
        <w:spacing w:after="40"/>
        <w:jc w:val="both"/>
        <w:rPr>
          <w:lang w:val="es-ES"/>
        </w:rPr>
      </w:pPr>
      <w:r w:rsidRPr="00AC1A4C">
        <w:rPr>
          <w:rStyle w:val="Refdenotaalpie"/>
        </w:rPr>
        <w:footnoteRef/>
      </w:r>
      <w:r w:rsidRPr="00AC1A4C">
        <w:t xml:space="preserve"> </w:t>
      </w:r>
      <w:r w:rsidRPr="00AC1A4C">
        <w:rPr>
          <w:lang w:val="es-ES"/>
        </w:rPr>
        <w:tab/>
        <w:t xml:space="preserve">Esta persona aparece identificada en el Informe de Fondo como: “Otilia Flores”. No obstante, esta Corte encuentra que el nombre de esta persona corresponde al indicado en la prueba aportada por los representantes. </w:t>
      </w:r>
      <w:r w:rsidRPr="00AC1A4C">
        <w:rPr>
          <w:i/>
          <w:iCs/>
          <w:lang w:val="es-ES"/>
        </w:rPr>
        <w:t>Cfr</w:t>
      </w:r>
      <w:r w:rsidRPr="00AC1A4C">
        <w:rPr>
          <w:lang w:val="es-ES"/>
        </w:rPr>
        <w:t>. Certificación de acta de nacimiento de Otilia Flores Ortiz (expediente de prueba, folio 2001).</w:t>
      </w:r>
    </w:p>
  </w:footnote>
  <w:footnote w:id="41">
    <w:p w14:paraId="429BC435" w14:textId="3D2185EE" w:rsidR="00BB3E76" w:rsidRPr="00AC1A4C" w:rsidRDefault="00BB3E76" w:rsidP="00AC1A4C">
      <w:pPr>
        <w:pStyle w:val="Textonotapie"/>
        <w:spacing w:after="40"/>
        <w:jc w:val="both"/>
        <w:rPr>
          <w:lang w:val="es-ES"/>
        </w:rPr>
      </w:pPr>
      <w:r w:rsidRPr="00AC1A4C">
        <w:rPr>
          <w:rStyle w:val="Refdenotaalpie"/>
        </w:rPr>
        <w:footnoteRef/>
      </w:r>
      <w:r w:rsidRPr="00AC1A4C">
        <w:t xml:space="preserve"> </w:t>
      </w:r>
      <w:r w:rsidRPr="00AC1A4C">
        <w:tab/>
      </w:r>
      <w:r w:rsidRPr="00AC1A4C">
        <w:rPr>
          <w:lang w:val="es-CR"/>
        </w:rPr>
        <w:t xml:space="preserve">Esta persona aparece identificada en el Informe de Fondo como: “María Eustaquia García”. No obstante, esta Corte encuentra que el nombre de esta persona corresponde al indicado en la prueba aportada por los representantes. </w:t>
      </w:r>
      <w:r w:rsidRPr="00AC1A4C">
        <w:rPr>
          <w:i/>
          <w:iCs/>
          <w:lang w:val="es-CR"/>
        </w:rPr>
        <w:t xml:space="preserve">Cfr. </w:t>
      </w:r>
      <w:r w:rsidRPr="00AC1A4C">
        <w:rPr>
          <w:lang w:val="es-CR"/>
        </w:rPr>
        <w:t>Certificado de acta de defunción de Eustaquia García Alvarado (expediente de prueba, folio 2015).</w:t>
      </w:r>
    </w:p>
  </w:footnote>
  <w:footnote w:id="42">
    <w:p w14:paraId="31B21C2E" w14:textId="71581E86" w:rsidR="00BB3E76" w:rsidRPr="00AC1A4C" w:rsidRDefault="00BB3E76" w:rsidP="00AC1A4C">
      <w:pPr>
        <w:pStyle w:val="Textonotapie"/>
        <w:spacing w:after="40"/>
        <w:jc w:val="both"/>
        <w:rPr>
          <w:lang w:val="es-ES"/>
        </w:rPr>
      </w:pPr>
      <w:r w:rsidRPr="00AC1A4C">
        <w:rPr>
          <w:rStyle w:val="Refdenotaalpie"/>
        </w:rPr>
        <w:footnoteRef/>
      </w:r>
      <w:r w:rsidRPr="00AC1A4C">
        <w:t xml:space="preserve"> </w:t>
      </w:r>
      <w:r w:rsidRPr="00AC1A4C">
        <w:tab/>
        <w:t xml:space="preserve">Esta persona aparece identificada en el Informe de Fondo como: “Domingo Deras”. No obstante, esta Corte encuentra que el nombre de esta persona corresponde al indicado en la prueba aportada por los representantes. </w:t>
      </w:r>
      <w:r w:rsidRPr="00AC1A4C">
        <w:rPr>
          <w:i/>
          <w:iCs/>
        </w:rPr>
        <w:t>Cfr</w:t>
      </w:r>
      <w:r w:rsidRPr="00AC1A4C">
        <w:t>. Certificado de acta de defunción de Domingo Deras Henríquez (expediente de prueba, folio 2014).</w:t>
      </w:r>
    </w:p>
  </w:footnote>
  <w:footnote w:id="43">
    <w:p w14:paraId="4B369504" w14:textId="335295EF" w:rsidR="00F35137" w:rsidRPr="00AC1A4C" w:rsidRDefault="00F35137" w:rsidP="00AC1A4C">
      <w:pPr>
        <w:pStyle w:val="Textonotapie"/>
        <w:spacing w:after="40"/>
        <w:jc w:val="both"/>
        <w:rPr>
          <w:i/>
          <w:iCs/>
          <w:lang w:val="es-ES"/>
        </w:rPr>
      </w:pPr>
      <w:r w:rsidRPr="00AC1A4C">
        <w:rPr>
          <w:rStyle w:val="Refdenotaalpie"/>
        </w:rPr>
        <w:footnoteRef/>
      </w:r>
      <w:r w:rsidRPr="00AC1A4C">
        <w:t xml:space="preserve"> </w:t>
      </w:r>
      <w:r w:rsidRPr="00AC1A4C">
        <w:tab/>
      </w:r>
      <w:r w:rsidRPr="00AC1A4C">
        <w:rPr>
          <w:lang w:val="es-CR"/>
        </w:rPr>
        <w:t>Si bien algunos escritos del caso se refieran a “Héctor Deras García”, su acta de nacimiento</w:t>
      </w:r>
      <w:r w:rsidR="00A85605" w:rsidRPr="00AC1A4C">
        <w:rPr>
          <w:lang w:val="es-CR"/>
        </w:rPr>
        <w:t xml:space="preserve"> y de defunción</w:t>
      </w:r>
      <w:r w:rsidRPr="00AC1A4C">
        <w:rPr>
          <w:lang w:val="es-CR"/>
        </w:rPr>
        <w:t xml:space="preserve"> indica</w:t>
      </w:r>
      <w:r w:rsidR="00A85605" w:rsidRPr="00AC1A4C">
        <w:rPr>
          <w:lang w:val="es-CR"/>
        </w:rPr>
        <w:t>n</w:t>
      </w:r>
      <w:r w:rsidRPr="00AC1A4C">
        <w:rPr>
          <w:lang w:val="es-CR"/>
        </w:rPr>
        <w:t xml:space="preserve"> solamente “Héctor García”. </w:t>
      </w:r>
      <w:r w:rsidR="00A85605" w:rsidRPr="00AC1A4C">
        <w:rPr>
          <w:i/>
          <w:iCs/>
          <w:lang w:val="es-CR"/>
        </w:rPr>
        <w:t xml:space="preserve">Cfr. </w:t>
      </w:r>
      <w:r w:rsidR="00A85605" w:rsidRPr="00AC1A4C">
        <w:rPr>
          <w:lang w:val="es-CR"/>
        </w:rPr>
        <w:t xml:space="preserve">Certificación de acta </w:t>
      </w:r>
      <w:r w:rsidR="00A85605" w:rsidRPr="00AC1A4C">
        <w:rPr>
          <w:lang w:val="es-ES"/>
        </w:rPr>
        <w:t xml:space="preserve">de nacimiento de </w:t>
      </w:r>
      <w:r w:rsidR="00A85605" w:rsidRPr="00AC1A4C">
        <w:rPr>
          <w:lang w:val="es-CR"/>
        </w:rPr>
        <w:t xml:space="preserve">Héctor García (expediente de prueba, folios 2005 y 2006), y </w:t>
      </w:r>
      <w:r w:rsidR="00A85605" w:rsidRPr="00AC1A4C">
        <w:t xml:space="preserve">Certificado de acta de defunción de </w:t>
      </w:r>
      <w:r w:rsidR="00A85605" w:rsidRPr="00AC1A4C">
        <w:rPr>
          <w:lang w:val="es-CR"/>
        </w:rPr>
        <w:t>Héctor García (expediente de prueba, folio 2007).</w:t>
      </w:r>
    </w:p>
  </w:footnote>
  <w:footnote w:id="44">
    <w:p w14:paraId="7019F53A" w14:textId="52CA157B" w:rsidR="000448FF" w:rsidRPr="00AC1A4C" w:rsidRDefault="000448FF" w:rsidP="00AC1A4C">
      <w:pPr>
        <w:pStyle w:val="Textonotapie"/>
        <w:spacing w:after="40"/>
        <w:jc w:val="both"/>
        <w:rPr>
          <w:lang w:val="es-ES"/>
        </w:rPr>
      </w:pPr>
      <w:r w:rsidRPr="00AC1A4C">
        <w:rPr>
          <w:rStyle w:val="Refdenotaalpie"/>
        </w:rPr>
        <w:footnoteRef/>
      </w:r>
      <w:r w:rsidRPr="00AC1A4C">
        <w:t xml:space="preserve"> </w:t>
      </w:r>
      <w:r w:rsidRPr="00AC1A4C">
        <w:tab/>
      </w:r>
      <w:r w:rsidRPr="00AC1A4C">
        <w:rPr>
          <w:lang w:val="es-CR"/>
        </w:rPr>
        <w:t>Esta persona aparece identificada en el Informe de Fondo como “José Herminio Deras García” o “</w:t>
      </w:r>
      <w:r w:rsidRPr="00AC1A4C">
        <w:rPr>
          <w:rFonts w:cs="Arial"/>
          <w:lang w:val="es-CR"/>
        </w:rPr>
        <w:t xml:space="preserve">José Herminio Deras Barahona”. </w:t>
      </w:r>
      <w:r w:rsidRPr="00AC1A4C">
        <w:rPr>
          <w:lang w:val="es-CR"/>
        </w:rPr>
        <w:t xml:space="preserve">Al respecto, esta Corte encuentra que el nombre de esta persona corresponde al indicado en la prueba aportada por los representantes. </w:t>
      </w:r>
      <w:r w:rsidRPr="00AC1A4C">
        <w:rPr>
          <w:i/>
          <w:iCs/>
          <w:lang w:val="es-CR"/>
        </w:rPr>
        <w:t xml:space="preserve">Cfr. </w:t>
      </w:r>
      <w:r w:rsidRPr="00AC1A4C">
        <w:rPr>
          <w:lang w:val="es-CR"/>
        </w:rPr>
        <w:t>Poder de representación otorgado por Herminio García</w:t>
      </w:r>
      <w:r w:rsidRPr="00AC1A4C">
        <w:rPr>
          <w:i/>
          <w:iCs/>
          <w:lang w:val="es-CR"/>
        </w:rPr>
        <w:t xml:space="preserve"> </w:t>
      </w:r>
      <w:r w:rsidRPr="00AC1A4C">
        <w:rPr>
          <w:lang w:val="es-CR"/>
        </w:rPr>
        <w:t>(expediente de prueba, folio 1821).</w:t>
      </w:r>
    </w:p>
  </w:footnote>
  <w:footnote w:id="45">
    <w:p w14:paraId="7434CD8E" w14:textId="77777777" w:rsidR="000448FF" w:rsidRPr="00AC1A4C" w:rsidRDefault="000448FF" w:rsidP="00AC1A4C">
      <w:pPr>
        <w:pStyle w:val="Textonotapie"/>
        <w:spacing w:after="40"/>
        <w:jc w:val="both"/>
        <w:rPr>
          <w:color w:val="7030A0"/>
          <w:lang w:val="es-CR"/>
        </w:rPr>
      </w:pPr>
      <w:r w:rsidRPr="00AC1A4C">
        <w:rPr>
          <w:rStyle w:val="Refdenotaalpie"/>
          <w:lang w:val="es-CR"/>
        </w:rPr>
        <w:footnoteRef/>
      </w:r>
      <w:r w:rsidRPr="00AC1A4C">
        <w:rPr>
          <w:lang w:val="es-CR"/>
        </w:rPr>
        <w:t xml:space="preserve"> </w:t>
      </w:r>
      <w:r w:rsidRPr="00AC1A4C">
        <w:rPr>
          <w:lang w:val="es-CR"/>
        </w:rPr>
        <w:tab/>
        <w:t xml:space="preserve">Esta persona aparece identificada en el Informe de Fondo como: “Marlen García”. No obstante, esta Corte encuentra que el nombre de esta persona corresponde al indicado en la prueba aportada por los representantes. </w:t>
      </w:r>
      <w:r w:rsidRPr="00AC1A4C">
        <w:rPr>
          <w:i/>
          <w:iCs/>
          <w:lang w:val="es-CR"/>
        </w:rPr>
        <w:t xml:space="preserve">Cfr. </w:t>
      </w:r>
      <w:r w:rsidRPr="00AC1A4C">
        <w:rPr>
          <w:lang w:val="es-CR"/>
        </w:rPr>
        <w:t>Certificación de acta de nacimiento de Marlen García Pineda</w:t>
      </w:r>
      <w:r w:rsidRPr="00AC1A4C">
        <w:rPr>
          <w:i/>
          <w:iCs/>
          <w:lang w:val="es-CR"/>
        </w:rPr>
        <w:t xml:space="preserve"> </w:t>
      </w:r>
      <w:r w:rsidRPr="00AC1A4C">
        <w:rPr>
          <w:lang w:val="es-CR"/>
        </w:rPr>
        <w:t>(expediente de prueba, folio 2009).</w:t>
      </w:r>
    </w:p>
  </w:footnote>
  <w:footnote w:id="46">
    <w:p w14:paraId="54466C4E" w14:textId="1851BC64" w:rsidR="000448FF" w:rsidRPr="00AC1A4C" w:rsidRDefault="000448FF" w:rsidP="00AC1A4C">
      <w:pPr>
        <w:pStyle w:val="Textonotapie"/>
        <w:spacing w:after="40"/>
        <w:jc w:val="both"/>
        <w:rPr>
          <w:lang w:val="es-ES"/>
        </w:rPr>
      </w:pPr>
      <w:r w:rsidRPr="00AC1A4C">
        <w:rPr>
          <w:rStyle w:val="Refdenotaalpie"/>
        </w:rPr>
        <w:footnoteRef/>
      </w:r>
      <w:r w:rsidRPr="00AC1A4C">
        <w:t xml:space="preserve"> </w:t>
      </w:r>
      <w:r w:rsidRPr="00AC1A4C">
        <w:tab/>
      </w:r>
      <w:r w:rsidRPr="00AC1A4C">
        <w:rPr>
          <w:lang w:val="es-CR"/>
        </w:rPr>
        <w:t xml:space="preserve">Esta persona aparece identificada en el Informe de Fondo como “Julio Cesar Chavarría Benegas” o “Julio Cesar Chavarría Banegas”. Al respecto, esta Corte encuentra que el nombre de esta persona corresponde al indicado en la prueba aportada por los representantes. </w:t>
      </w:r>
      <w:r w:rsidRPr="00AC1A4C">
        <w:rPr>
          <w:i/>
          <w:iCs/>
          <w:lang w:val="es-CR"/>
        </w:rPr>
        <w:t xml:space="preserve">Cfr. </w:t>
      </w:r>
      <w:r w:rsidRPr="00AC1A4C">
        <w:rPr>
          <w:lang w:val="es-CR"/>
        </w:rPr>
        <w:t>Certificación de acta de nacimiento de Julio Cesar Chavarría Banegas</w:t>
      </w:r>
      <w:r w:rsidRPr="00AC1A4C">
        <w:rPr>
          <w:i/>
          <w:iCs/>
          <w:lang w:val="es-CR"/>
        </w:rPr>
        <w:t xml:space="preserve"> </w:t>
      </w:r>
      <w:r w:rsidRPr="00AC1A4C">
        <w:rPr>
          <w:lang w:val="es-CR"/>
        </w:rPr>
        <w:t>(expediente de prueba, folio 2012).</w:t>
      </w:r>
    </w:p>
  </w:footnote>
  <w:footnote w:id="47">
    <w:p w14:paraId="0DC26458" w14:textId="4CC291AD" w:rsidR="00914142" w:rsidRPr="00AC1A4C" w:rsidRDefault="00914142"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Al respecto, la señora Alba Deras declaró: “[e]n 1975 me fui de Honduras a estudiar a Rumania. Posteriormente me casé con un cubano y en 1981 me fui a vivir a Cuba […] Pensé en volver a Honduras durante esos años, después de mis estudios, pero había una situación muy terrible de represión hacia mi familia, lo cual hacía imposible mi regreso de forma segura. Ni siquiera pude ir de visita durante muchos años, la primera vez que volví de visita desde que me fui en 1975 fue 18 años después, en 1993, y con mucho temor […] No volví antes porque mi familia siempre estuvo amenazada. Mis propios familiares me decían que yo no podía volver porque era peligroso, sobre todo porque había vivido en Cuba y el estigma adicional que eso significaba”. Declaración de Alba Luz Deras García</w:t>
      </w:r>
      <w:r w:rsidR="003006D7" w:rsidRPr="00AC1A4C">
        <w:rPr>
          <w:lang w:val="es-CR"/>
        </w:rPr>
        <w:t xml:space="preserve">, </w:t>
      </w:r>
      <w:r w:rsidR="003006D7" w:rsidRPr="00AC1A4C">
        <w:rPr>
          <w:i/>
          <w:iCs/>
          <w:lang w:val="es-CR"/>
        </w:rPr>
        <w:t>supra</w:t>
      </w:r>
      <w:r w:rsidRPr="00AC1A4C">
        <w:rPr>
          <w:lang w:val="es-CR"/>
        </w:rPr>
        <w:t xml:space="preserve"> (expediente de prueba, folio 2363).</w:t>
      </w:r>
    </w:p>
  </w:footnote>
  <w:footnote w:id="48">
    <w:p w14:paraId="0D86CF26" w14:textId="772A0003" w:rsidR="007C2092" w:rsidRPr="00AC1A4C" w:rsidRDefault="007C2092"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Al respeto, la señora Alba Deras </w:t>
      </w:r>
      <w:r w:rsidR="00211E26" w:rsidRPr="00AC1A4C">
        <w:rPr>
          <w:lang w:val="es-CR"/>
        </w:rPr>
        <w:t xml:space="preserve">García </w:t>
      </w:r>
      <w:r w:rsidRPr="00AC1A4C">
        <w:rPr>
          <w:lang w:val="es-CR"/>
        </w:rPr>
        <w:t>señaló: “Cuando se dio el golpe de Estado de 2009, estaba en El Progreso trabajando con una radio jesuita, Radio Progreso. Sentí mucho miedo y cuestioné mi decisión de volver a Honduras. Empecé a ir a protestas. Luego cerraron Radio Progreso, con la cual yo trabajaba, y ahí comencé a recibir amenazas”. Declaración de Alba Luz Deras García</w:t>
      </w:r>
      <w:r w:rsidR="003006D7" w:rsidRPr="00AC1A4C">
        <w:rPr>
          <w:lang w:val="es-CR"/>
        </w:rPr>
        <w:t xml:space="preserve">, </w:t>
      </w:r>
      <w:r w:rsidR="003006D7" w:rsidRPr="00AC1A4C">
        <w:rPr>
          <w:i/>
          <w:iCs/>
          <w:lang w:val="es-CR"/>
        </w:rPr>
        <w:t>supra</w:t>
      </w:r>
      <w:r w:rsidRPr="00AC1A4C">
        <w:rPr>
          <w:lang w:val="es-CR"/>
        </w:rPr>
        <w:t xml:space="preserve"> (expediente de prueba, folio 236</w:t>
      </w:r>
      <w:r w:rsidR="003006D7" w:rsidRPr="00AC1A4C">
        <w:rPr>
          <w:lang w:val="es-CR"/>
        </w:rPr>
        <w:t>5</w:t>
      </w:r>
      <w:r w:rsidRPr="00AC1A4C">
        <w:rPr>
          <w:lang w:val="es-CR"/>
        </w:rPr>
        <w:t>).</w:t>
      </w:r>
    </w:p>
  </w:footnote>
  <w:footnote w:id="49">
    <w:p w14:paraId="77D9032B" w14:textId="74D21906" w:rsidR="00EA0ADE" w:rsidRPr="00AC1A4C" w:rsidRDefault="00EA0ADE"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Héctor García era miembro del Sindicato de Trabajadores de la Tela Raild Road Company, del cual Herminio Deras García era asesor.</w:t>
      </w:r>
    </w:p>
  </w:footnote>
  <w:footnote w:id="50">
    <w:p w14:paraId="26E43B0B" w14:textId="152E656C" w:rsidR="001B2D39" w:rsidRPr="00AC1A4C" w:rsidRDefault="001B2D39" w:rsidP="00AC1A4C">
      <w:pPr>
        <w:pStyle w:val="Textonotapie"/>
        <w:spacing w:after="40"/>
        <w:jc w:val="both"/>
        <w:rPr>
          <w:i/>
          <w:iCs/>
          <w:lang w:val="es-CR"/>
        </w:rPr>
      </w:pPr>
      <w:r w:rsidRPr="00AC1A4C">
        <w:rPr>
          <w:rStyle w:val="Refdenotaalpie"/>
          <w:lang w:val="es-CR"/>
        </w:rPr>
        <w:footnoteRef/>
      </w:r>
      <w:r w:rsidRPr="00AC1A4C">
        <w:rPr>
          <w:lang w:val="es-CR"/>
        </w:rPr>
        <w:t xml:space="preserve"> </w:t>
      </w:r>
      <w:r w:rsidRPr="00AC1A4C">
        <w:rPr>
          <w:lang w:val="es-CR"/>
        </w:rPr>
        <w:tab/>
        <w:t>Irma Deras declaró que “estaba dormida, era media noche, escuché forcejeos en la ventana y pasos en el zinc […] empezaron a revolver los dormitorios, las camas, incluso la cuna en la que dormían mis hijos, que acababan de nacer, tenían aproximadamente unos 8 meses”.</w:t>
      </w:r>
      <w:r w:rsidR="008030F7" w:rsidRPr="00AC1A4C">
        <w:rPr>
          <w:lang w:val="es-CR"/>
        </w:rPr>
        <w:t xml:space="preserve"> Declaración de Irma Isabel Deras García, </w:t>
      </w:r>
      <w:r w:rsidR="008030F7" w:rsidRPr="00AC1A4C">
        <w:rPr>
          <w:i/>
          <w:iCs/>
          <w:lang w:val="es-CR"/>
        </w:rPr>
        <w:t xml:space="preserve">supra. </w:t>
      </w:r>
    </w:p>
  </w:footnote>
  <w:footnote w:id="51">
    <w:p w14:paraId="6294877C" w14:textId="177900D1" w:rsidR="00AB10D8" w:rsidRPr="00AC1A4C" w:rsidRDefault="00AB10D8"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003F7073" w:rsidRPr="00AC1A4C">
        <w:rPr>
          <w:lang w:val="es-CR"/>
        </w:rPr>
        <w:t>Luis Deras García</w:t>
      </w:r>
      <w:r w:rsidRPr="00AC1A4C">
        <w:rPr>
          <w:lang w:val="es-CR"/>
        </w:rPr>
        <w:t xml:space="preserve"> tenía 23 años y es el hermano menor de Herminio Deras</w:t>
      </w:r>
      <w:r w:rsidR="003F7073" w:rsidRPr="00AC1A4C">
        <w:rPr>
          <w:lang w:val="es-CR"/>
        </w:rPr>
        <w:t xml:space="preserve"> García</w:t>
      </w:r>
      <w:r w:rsidRPr="00AC1A4C">
        <w:rPr>
          <w:lang w:val="es-CR"/>
        </w:rPr>
        <w:t xml:space="preserve">. </w:t>
      </w:r>
    </w:p>
  </w:footnote>
  <w:footnote w:id="52">
    <w:p w14:paraId="3378BE47" w14:textId="25025959" w:rsidR="00A53EC3" w:rsidRPr="00AC1A4C" w:rsidRDefault="00A53EC3" w:rsidP="00AC1A4C">
      <w:pPr>
        <w:pStyle w:val="Textonotapie"/>
        <w:spacing w:after="40"/>
        <w:ind w:left="708" w:hanging="708"/>
        <w:jc w:val="both"/>
        <w:rPr>
          <w:lang w:val="es-CR"/>
        </w:rPr>
      </w:pPr>
      <w:r w:rsidRPr="00AC1A4C">
        <w:rPr>
          <w:rStyle w:val="Refdenotaalpie"/>
          <w:lang w:val="es-CR"/>
        </w:rPr>
        <w:footnoteRef/>
      </w:r>
      <w:r w:rsidRPr="00AC1A4C">
        <w:rPr>
          <w:lang w:val="es-CR"/>
        </w:rPr>
        <w:t xml:space="preserve"> </w:t>
      </w:r>
      <w:r w:rsidRPr="00AC1A4C">
        <w:rPr>
          <w:lang w:val="es-CR"/>
        </w:rPr>
        <w:tab/>
        <w:t xml:space="preserve">Luis Deras </w:t>
      </w:r>
      <w:r w:rsidR="00FF2C31" w:rsidRPr="00AC1A4C">
        <w:rPr>
          <w:lang w:val="es-CR"/>
        </w:rPr>
        <w:t xml:space="preserve">García </w:t>
      </w:r>
      <w:r w:rsidRPr="00AC1A4C">
        <w:rPr>
          <w:lang w:val="es-CR"/>
        </w:rPr>
        <w:t>subrayó que en las celdas de la DNI fue “torturado salvajemente”.</w:t>
      </w:r>
    </w:p>
  </w:footnote>
  <w:footnote w:id="53">
    <w:p w14:paraId="681B4A13" w14:textId="4053E7C8" w:rsidR="00CA26EA" w:rsidRPr="00AC1A4C" w:rsidRDefault="00CA26E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Según Luis Deras García y los representantes, esta consistía en “una práctica de tortura conocida como `la capucha´”.</w:t>
      </w:r>
    </w:p>
  </w:footnote>
  <w:footnote w:id="54">
    <w:p w14:paraId="51E22D3F" w14:textId="274187FC" w:rsidR="006E7161" w:rsidRPr="00AC1A4C" w:rsidRDefault="006E7161"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Al respecto, Luis Deras García indicó </w:t>
      </w:r>
      <w:r w:rsidR="00F4322E" w:rsidRPr="00AC1A4C">
        <w:rPr>
          <w:lang w:val="es-CR"/>
        </w:rPr>
        <w:t>que estuvo preso</w:t>
      </w:r>
      <w:r w:rsidR="00012D49" w:rsidRPr="00AC1A4C">
        <w:rPr>
          <w:lang w:val="es-CR"/>
        </w:rPr>
        <w:t xml:space="preserve"> allí</w:t>
      </w:r>
      <w:r w:rsidR="00F4322E" w:rsidRPr="00AC1A4C">
        <w:rPr>
          <w:lang w:val="es-CR"/>
        </w:rPr>
        <w:t xml:space="preserve"> tres días y que</w:t>
      </w:r>
      <w:r w:rsidR="003B64A4" w:rsidRPr="00AC1A4C">
        <w:rPr>
          <w:lang w:val="es-CR"/>
        </w:rPr>
        <w:t>:</w:t>
      </w:r>
      <w:r w:rsidR="00F4322E" w:rsidRPr="00AC1A4C">
        <w:rPr>
          <w:lang w:val="es-CR"/>
        </w:rPr>
        <w:t xml:space="preserve"> </w:t>
      </w:r>
      <w:r w:rsidR="00012D49" w:rsidRPr="00AC1A4C">
        <w:rPr>
          <w:lang w:val="es-CR"/>
        </w:rPr>
        <w:t xml:space="preserve">lo </w:t>
      </w:r>
      <w:r w:rsidRPr="00AC1A4C">
        <w:rPr>
          <w:lang w:val="es-CR"/>
        </w:rPr>
        <w:t xml:space="preserve">“tenían aislado, después de que </w:t>
      </w:r>
      <w:r w:rsidR="00012D49" w:rsidRPr="00AC1A4C">
        <w:rPr>
          <w:lang w:val="es-CR"/>
        </w:rPr>
        <w:t xml:space="preserve">me </w:t>
      </w:r>
      <w:r w:rsidRPr="00AC1A4C">
        <w:rPr>
          <w:lang w:val="es-CR"/>
        </w:rPr>
        <w:t>torturaban nunca me dieron agua ni comida, mis necesidades las hacía ahí”.</w:t>
      </w:r>
    </w:p>
  </w:footnote>
  <w:footnote w:id="55">
    <w:p w14:paraId="09787A24" w14:textId="51E2A7CD" w:rsidR="00D41575" w:rsidRPr="00AC1A4C" w:rsidRDefault="00D41575" w:rsidP="00AC1A4C">
      <w:pPr>
        <w:pStyle w:val="Textonotapie"/>
        <w:spacing w:after="40"/>
        <w:jc w:val="both"/>
        <w:rPr>
          <w:i/>
          <w:iCs/>
          <w:lang w:val="es-CR"/>
        </w:rPr>
      </w:pPr>
      <w:r w:rsidRPr="00AC1A4C">
        <w:rPr>
          <w:rStyle w:val="Refdenotaalpie"/>
          <w:lang w:val="es-CR"/>
        </w:rPr>
        <w:footnoteRef/>
      </w:r>
      <w:r w:rsidRPr="00AC1A4C">
        <w:rPr>
          <w:lang w:val="es-CR"/>
        </w:rPr>
        <w:t xml:space="preserve"> </w:t>
      </w:r>
      <w:r w:rsidRPr="00AC1A4C">
        <w:rPr>
          <w:lang w:val="es-CR"/>
        </w:rPr>
        <w:tab/>
        <w:t>Otilia Flores relató: “a mí me vino la menstruación, me llevaban a cambiarme a un cuarto que no tenía puertas […] nunca nos dieron ni nos ofrecieron en esos tres días ni agua”.</w:t>
      </w:r>
      <w:r w:rsidR="00D378DD" w:rsidRPr="00AC1A4C">
        <w:rPr>
          <w:lang w:val="es-CR"/>
        </w:rPr>
        <w:t xml:space="preserve"> Declaración de Otilia Flore</w:t>
      </w:r>
      <w:r w:rsidR="000A2D7A" w:rsidRPr="00AC1A4C">
        <w:rPr>
          <w:lang w:val="es-CR"/>
        </w:rPr>
        <w:t>s</w:t>
      </w:r>
      <w:r w:rsidR="00D378DD" w:rsidRPr="00AC1A4C">
        <w:rPr>
          <w:lang w:val="es-CR"/>
        </w:rPr>
        <w:t xml:space="preserve"> Ortiz, </w:t>
      </w:r>
      <w:r w:rsidR="00D378DD" w:rsidRPr="00AC1A4C">
        <w:rPr>
          <w:i/>
          <w:iCs/>
          <w:lang w:val="es-CR"/>
        </w:rPr>
        <w:t xml:space="preserve">supra. </w:t>
      </w:r>
    </w:p>
  </w:footnote>
  <w:footnote w:id="56">
    <w:p w14:paraId="4342C275" w14:textId="469148C1" w:rsidR="00EA6C11" w:rsidRPr="00AC1A4C" w:rsidRDefault="00EA6C11"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Según Otilia Flores, “al llegar a Tegucigalpa, </w:t>
      </w:r>
      <w:r w:rsidR="004E2805" w:rsidRPr="00AC1A4C">
        <w:rPr>
          <w:lang w:val="es-CR"/>
        </w:rPr>
        <w:t>[les</w:t>
      </w:r>
      <w:r w:rsidR="000A2D7A" w:rsidRPr="00AC1A4C">
        <w:rPr>
          <w:lang w:val="es-CR"/>
        </w:rPr>
        <w:t>]</w:t>
      </w:r>
      <w:r w:rsidRPr="00AC1A4C">
        <w:rPr>
          <w:lang w:val="es-CR"/>
        </w:rPr>
        <w:t xml:space="preserve"> encerraron en una celda, llena de lodo porque en ese tiempo llovía, hacía mucho frío, […] estuvi</w:t>
      </w:r>
      <w:r w:rsidR="004E2805" w:rsidRPr="00AC1A4C">
        <w:rPr>
          <w:lang w:val="es-CR"/>
        </w:rPr>
        <w:t>[eron]</w:t>
      </w:r>
      <w:r w:rsidRPr="00AC1A4C">
        <w:rPr>
          <w:lang w:val="es-CR"/>
        </w:rPr>
        <w:t xml:space="preserve"> tres días así, amarradas, vendadas, sin comer, sin beber agua, cuando llega</w:t>
      </w:r>
      <w:r w:rsidR="004E2805" w:rsidRPr="00AC1A4C">
        <w:rPr>
          <w:lang w:val="es-CR"/>
        </w:rPr>
        <w:t>[ron]</w:t>
      </w:r>
      <w:r w:rsidRPr="00AC1A4C">
        <w:rPr>
          <w:lang w:val="es-CR"/>
        </w:rPr>
        <w:t xml:space="preserve"> a Tegucigalpa </w:t>
      </w:r>
      <w:r w:rsidR="00007A57" w:rsidRPr="00AC1A4C">
        <w:rPr>
          <w:lang w:val="es-CR"/>
        </w:rPr>
        <w:t>[..]</w:t>
      </w:r>
      <w:r w:rsidRPr="00AC1A4C">
        <w:rPr>
          <w:lang w:val="es-CR"/>
        </w:rPr>
        <w:t xml:space="preserve">pusieron en fila </w:t>
      </w:r>
      <w:r w:rsidR="00007A57" w:rsidRPr="00AC1A4C">
        <w:rPr>
          <w:lang w:val="es-CR"/>
        </w:rPr>
        <w:t xml:space="preserve">[a] </w:t>
      </w:r>
      <w:r w:rsidRPr="00AC1A4C">
        <w:rPr>
          <w:lang w:val="es-CR"/>
        </w:rPr>
        <w:t>todos los que íba</w:t>
      </w:r>
      <w:r w:rsidR="004E2805" w:rsidRPr="00AC1A4C">
        <w:rPr>
          <w:lang w:val="es-CR"/>
        </w:rPr>
        <w:t>[n]</w:t>
      </w:r>
      <w:r w:rsidR="00007A57" w:rsidRPr="00AC1A4C">
        <w:rPr>
          <w:lang w:val="es-CR"/>
        </w:rPr>
        <w:t xml:space="preserve"> […]</w:t>
      </w:r>
      <w:r w:rsidRPr="00AC1A4C">
        <w:rPr>
          <w:lang w:val="es-CR"/>
        </w:rPr>
        <w:t xml:space="preserve">, sonaban sus armas como que </w:t>
      </w:r>
      <w:r w:rsidR="00007A57" w:rsidRPr="00AC1A4C">
        <w:rPr>
          <w:lang w:val="es-CR"/>
        </w:rPr>
        <w:t>[l</w:t>
      </w:r>
      <w:r w:rsidR="000A2D7A" w:rsidRPr="00AC1A4C">
        <w:rPr>
          <w:lang w:val="es-CR"/>
        </w:rPr>
        <w:t>a</w:t>
      </w:r>
      <w:r w:rsidR="00007A57" w:rsidRPr="00AC1A4C">
        <w:rPr>
          <w:lang w:val="es-CR"/>
        </w:rPr>
        <w:t>s]</w:t>
      </w:r>
      <w:r w:rsidRPr="00AC1A4C">
        <w:rPr>
          <w:lang w:val="es-CR"/>
        </w:rPr>
        <w:t xml:space="preserve"> iban a ametrallar, un acoso sicológico tremendo que no lo h</w:t>
      </w:r>
      <w:r w:rsidR="00007A57" w:rsidRPr="00AC1A4C">
        <w:rPr>
          <w:lang w:val="es-CR"/>
        </w:rPr>
        <w:t>[a]</w:t>
      </w:r>
      <w:r w:rsidRPr="00AC1A4C">
        <w:rPr>
          <w:lang w:val="es-CR"/>
        </w:rPr>
        <w:t xml:space="preserve"> podido superar</w:t>
      </w:r>
      <w:r w:rsidR="00500348" w:rsidRPr="00AC1A4C">
        <w:rPr>
          <w:lang w:val="es-CR"/>
        </w:rPr>
        <w:t xml:space="preserve"> […] Pens</w:t>
      </w:r>
      <w:r w:rsidR="00007A57" w:rsidRPr="00AC1A4C">
        <w:rPr>
          <w:lang w:val="es-CR"/>
        </w:rPr>
        <w:t>[ó]</w:t>
      </w:r>
      <w:r w:rsidR="00500348" w:rsidRPr="00AC1A4C">
        <w:rPr>
          <w:lang w:val="es-CR"/>
        </w:rPr>
        <w:t xml:space="preserve"> que no iba a volver a ver </w:t>
      </w:r>
      <w:r w:rsidR="00007A57" w:rsidRPr="00AC1A4C">
        <w:rPr>
          <w:lang w:val="es-CR"/>
        </w:rPr>
        <w:t>[a sus]</w:t>
      </w:r>
      <w:r w:rsidR="00500348" w:rsidRPr="00AC1A4C">
        <w:rPr>
          <w:lang w:val="es-CR"/>
        </w:rPr>
        <w:t>hijos</w:t>
      </w:r>
      <w:r w:rsidRPr="00AC1A4C">
        <w:rPr>
          <w:lang w:val="es-CR"/>
        </w:rPr>
        <w:t>”.</w:t>
      </w:r>
      <w:r w:rsidR="000A2D7A" w:rsidRPr="00AC1A4C">
        <w:rPr>
          <w:lang w:val="es-CR"/>
        </w:rPr>
        <w:t xml:space="preserve"> Declaración de Otilia Flores Ortiz, </w:t>
      </w:r>
      <w:r w:rsidR="000A2D7A" w:rsidRPr="00AC1A4C">
        <w:rPr>
          <w:i/>
          <w:iCs/>
          <w:lang w:val="es-CR"/>
        </w:rPr>
        <w:t>supra.</w:t>
      </w:r>
    </w:p>
  </w:footnote>
  <w:footnote w:id="57">
    <w:p w14:paraId="767EEA21" w14:textId="42BFC096" w:rsidR="001A214F" w:rsidRPr="00AC1A4C" w:rsidRDefault="001A214F"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Herminio Deras Flores declaró que estuvo “secuestrado con militares en </w:t>
      </w:r>
      <w:r w:rsidR="00DE165C" w:rsidRPr="00AC1A4C">
        <w:rPr>
          <w:lang w:val="es-CR"/>
        </w:rPr>
        <w:t>[su]</w:t>
      </w:r>
      <w:r w:rsidRPr="00AC1A4C">
        <w:rPr>
          <w:lang w:val="es-CR"/>
        </w:rPr>
        <w:t xml:space="preserve"> casa, junto con </w:t>
      </w:r>
      <w:r w:rsidR="00DE165C" w:rsidRPr="00AC1A4C">
        <w:rPr>
          <w:lang w:val="es-CR"/>
        </w:rPr>
        <w:t>[su]</w:t>
      </w:r>
      <w:r w:rsidRPr="00AC1A4C">
        <w:rPr>
          <w:lang w:val="es-CR"/>
        </w:rPr>
        <w:t xml:space="preserve"> hermana Lorena y </w:t>
      </w:r>
      <w:r w:rsidR="00DE165C" w:rsidRPr="00AC1A4C">
        <w:rPr>
          <w:lang w:val="es-CR"/>
        </w:rPr>
        <w:t>[su]</w:t>
      </w:r>
      <w:r w:rsidRPr="00AC1A4C">
        <w:rPr>
          <w:lang w:val="es-CR"/>
        </w:rPr>
        <w:t xml:space="preserve"> prima María del Carmen […]eran entre tres y cinco jóvenes militares. Estaban en nuestros cuartos dentro de la casa. Recuerdo que los militares estaban en el cuarto de mi mamá y nos limitaban el movimiento dentro de la misma casa - sólo a ciertas horas y a ciertos lugares […]. Durante esos días, yo casi no comía. Me acuerdo comer sentado en el suelo a veces, con el plato en las piernas cruzadas. También recuerdo irme a dormir a la cama y sentir que la ausencia de mis padres. No entendía porque había personas con uniforme en mi casa permanentemente y sentía mucho miedo: miedo por la incertidumbre, no sabía lo que pasaba ni lo que iba a pasar. […] Me di cuenta de que no era libre de expresarme, a pesar de mi edad. Tenía miedo </w:t>
      </w:r>
      <w:r w:rsidR="000A2D7A" w:rsidRPr="00AC1A4C">
        <w:rPr>
          <w:lang w:val="es-CR"/>
        </w:rPr>
        <w:t xml:space="preserve">[de] </w:t>
      </w:r>
      <w:r w:rsidRPr="00AC1A4C">
        <w:rPr>
          <w:lang w:val="es-CR"/>
        </w:rPr>
        <w:t>que me fueran a hacer daño”</w:t>
      </w:r>
      <w:r w:rsidR="000A2D7A" w:rsidRPr="00AC1A4C">
        <w:rPr>
          <w:lang w:val="es-CR"/>
        </w:rPr>
        <w:t xml:space="preserve">. </w:t>
      </w:r>
      <w:r w:rsidR="00495EDF" w:rsidRPr="00AC1A4C">
        <w:rPr>
          <w:lang w:val="es-CR"/>
        </w:rPr>
        <w:t xml:space="preserve">Declaración de Herminio Deras Flores, </w:t>
      </w:r>
      <w:r w:rsidR="00495EDF" w:rsidRPr="00AC1A4C">
        <w:rPr>
          <w:i/>
          <w:iCs/>
          <w:lang w:val="es-CR"/>
        </w:rPr>
        <w:t>supra</w:t>
      </w:r>
      <w:r w:rsidRPr="00AC1A4C">
        <w:rPr>
          <w:lang w:val="es-CR"/>
        </w:rPr>
        <w:t xml:space="preserve"> (expediente de prueba, folios 2370 </w:t>
      </w:r>
      <w:r w:rsidR="000A2D7A" w:rsidRPr="00AC1A4C">
        <w:rPr>
          <w:lang w:val="es-CR"/>
        </w:rPr>
        <w:t>y</w:t>
      </w:r>
      <w:r w:rsidRPr="00AC1A4C">
        <w:rPr>
          <w:lang w:val="es-CR"/>
        </w:rPr>
        <w:t xml:space="preserve"> 2371).</w:t>
      </w:r>
    </w:p>
  </w:footnote>
  <w:footnote w:id="58">
    <w:p w14:paraId="34E18C49" w14:textId="40FCE062" w:rsidR="008009DC" w:rsidRPr="00AC1A4C" w:rsidRDefault="008009DC"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Hija de Consuelo Deras García y sobrina de Herminio Deras García.</w:t>
      </w:r>
    </w:p>
  </w:footnote>
  <w:footnote w:id="59">
    <w:p w14:paraId="6F9D2698" w14:textId="64CF633E" w:rsidR="00487D33" w:rsidRPr="00AC1A4C" w:rsidRDefault="00487D33"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rFonts w:eastAsiaTheme="minorHAnsi" w:cs="Arial"/>
          <w:lang w:val="es-CR"/>
        </w:rPr>
        <w:t xml:space="preserve">Consuelo Deras García </w:t>
      </w:r>
      <w:r w:rsidR="002000D5" w:rsidRPr="00AC1A4C">
        <w:rPr>
          <w:rFonts w:eastAsiaTheme="minorHAnsi" w:cs="Arial"/>
          <w:lang w:val="es-CR"/>
        </w:rPr>
        <w:t>se encontraba en proceso de recuperación después de haber sufrido un derrame cerebral, que la mantuvo hospitalizada</w:t>
      </w:r>
      <w:r w:rsidR="00304F16" w:rsidRPr="00AC1A4C">
        <w:rPr>
          <w:rFonts w:eastAsiaTheme="minorHAnsi" w:cs="Arial"/>
          <w:lang w:val="es-CR"/>
        </w:rPr>
        <w:t>.</w:t>
      </w:r>
      <w:r w:rsidRPr="00AC1A4C">
        <w:rPr>
          <w:rFonts w:eastAsiaTheme="minorHAnsi" w:cs="Arial"/>
          <w:lang w:val="es-CR"/>
        </w:rPr>
        <w:t xml:space="preserve"> </w:t>
      </w:r>
    </w:p>
  </w:footnote>
  <w:footnote w:id="60">
    <w:p w14:paraId="3A78B8AC" w14:textId="0C4BC455" w:rsidR="00963037" w:rsidRPr="00AC1A4C" w:rsidRDefault="00963037"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Prima de los hermanos Deras García, compartía la residencia de la familia Deras García por razones laborales.</w:t>
      </w:r>
    </w:p>
  </w:footnote>
  <w:footnote w:id="61">
    <w:p w14:paraId="1104F243" w14:textId="0E61E4BF" w:rsidR="00C52A57" w:rsidRPr="00AC1A4C" w:rsidRDefault="00C52A57" w:rsidP="00AC1A4C">
      <w:pPr>
        <w:pStyle w:val="Textonotapie"/>
        <w:spacing w:after="40"/>
        <w:jc w:val="both"/>
        <w:rPr>
          <w:lang w:val="es-CR"/>
        </w:rPr>
      </w:pPr>
      <w:r w:rsidRPr="00AC1A4C">
        <w:rPr>
          <w:rStyle w:val="Refdenotaalpie"/>
          <w:lang w:val="es-CR"/>
        </w:rPr>
        <w:footnoteRef/>
      </w:r>
      <w:r w:rsidRPr="00AC1A4C">
        <w:rPr>
          <w:lang w:val="es-CR"/>
        </w:rPr>
        <w:t xml:space="preserve"> </w:t>
      </w:r>
      <w:r w:rsidR="00B72A1E" w:rsidRPr="00AC1A4C">
        <w:rPr>
          <w:lang w:val="es-CR"/>
        </w:rPr>
        <w:tab/>
        <w:t>Esposo de Consuelo Deras García y cuñado de Herminio Deras García.</w:t>
      </w:r>
    </w:p>
  </w:footnote>
  <w:footnote w:id="62">
    <w:p w14:paraId="73251024" w14:textId="2332926B" w:rsidR="00412B4A" w:rsidRPr="00AC1A4C" w:rsidRDefault="00412B4A"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Hijo de Héctor Deras García y hermano de Marlon Javier García Barahona.</w:t>
      </w:r>
    </w:p>
  </w:footnote>
  <w:footnote w:id="63">
    <w:p w14:paraId="01257B0D" w14:textId="4BE03966" w:rsidR="00D7060F" w:rsidRPr="00AC1A4C" w:rsidRDefault="00D7060F"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Esposo de Irma Deras García y cuñado de Herminio Deras García.</w:t>
      </w:r>
    </w:p>
  </w:footnote>
  <w:footnote w:id="64">
    <w:p w14:paraId="1D4957FB" w14:textId="7067835C" w:rsidR="006808B5" w:rsidRPr="00AC1A4C" w:rsidRDefault="006808B5"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Hijo de Héctor García</w:t>
      </w:r>
      <w:r w:rsidR="00000867" w:rsidRPr="00AC1A4C">
        <w:rPr>
          <w:lang w:val="es-CR"/>
        </w:rPr>
        <w:t xml:space="preserve"> y hermano de José Herminio García Barahona</w:t>
      </w:r>
      <w:r w:rsidRPr="00AC1A4C">
        <w:rPr>
          <w:lang w:val="es-CR"/>
        </w:rPr>
        <w:t>.</w:t>
      </w:r>
    </w:p>
  </w:footnote>
  <w:footnote w:id="65">
    <w:p w14:paraId="6BE932E6" w14:textId="6830E1CC" w:rsidR="002459B0" w:rsidRPr="00AC1A4C" w:rsidRDefault="002459B0"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Declaración de Irma Isabel Deras García</w:t>
      </w:r>
      <w:r w:rsidR="00AD4381" w:rsidRPr="00AC1A4C">
        <w:rPr>
          <w:i/>
          <w:iCs/>
          <w:lang w:val="es-CR"/>
        </w:rPr>
        <w:t>, supra.</w:t>
      </w:r>
      <w:r w:rsidRPr="00AC1A4C">
        <w:rPr>
          <w:i/>
          <w:iCs/>
          <w:lang w:val="es-CR"/>
        </w:rPr>
        <w:t xml:space="preserve">  </w:t>
      </w:r>
    </w:p>
  </w:footnote>
  <w:footnote w:id="66">
    <w:p w14:paraId="1DA22181" w14:textId="79202FC0" w:rsidR="00895141" w:rsidRPr="00AC1A4C" w:rsidRDefault="00895141"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w:t>
      </w:r>
      <w:r w:rsidRPr="00AC1A4C">
        <w:rPr>
          <w:lang w:val="es-CR"/>
        </w:rPr>
        <w:t xml:space="preserve"> Declaración de Irma Isabel Deras García rendida en la audiencia pública celebrada los días 10 y 11 de mayo de 2022.  </w:t>
      </w:r>
    </w:p>
  </w:footnote>
  <w:footnote w:id="67">
    <w:p w14:paraId="08BD9944" w14:textId="36533D41" w:rsidR="0003516E" w:rsidRPr="00AC1A4C" w:rsidRDefault="0003516E" w:rsidP="00AC1A4C">
      <w:pPr>
        <w:pStyle w:val="Textonotapie"/>
        <w:spacing w:after="40"/>
        <w:jc w:val="both"/>
        <w:rPr>
          <w:i/>
          <w:iCs/>
          <w:lang w:val="es-CR"/>
        </w:rPr>
      </w:pPr>
      <w:r w:rsidRPr="00AC1A4C">
        <w:rPr>
          <w:rStyle w:val="Refdenotaalpie"/>
          <w:lang w:val="es-CR"/>
        </w:rPr>
        <w:footnoteRef/>
      </w:r>
      <w:r w:rsidRPr="00AC1A4C">
        <w:rPr>
          <w:lang w:val="es-CR"/>
        </w:rPr>
        <w:t xml:space="preserve"> </w:t>
      </w:r>
      <w:r w:rsidRPr="00AC1A4C">
        <w:rPr>
          <w:lang w:val="es-CR"/>
        </w:rPr>
        <w:tab/>
        <w:t>Según Irma Deras García: “[n]os llevaron a un bus tapado, y nos fueron subiendo uno con uno, arrancaron y luego llegamos a la base aérea de San Pedro Sula[…]estando en el bus las esposas se amarraron tanto, tengo aquí la señal, pedí que me las movieran porque tenía sangre, uno de ellos decía que jodíamos, le dije también que escuchaba a un señor vomitar, y le dije mi papá, pensaba que en ese momento mi papá iba en la detención, le dije mi papá padece de la presión, por favor d</w:t>
      </w:r>
      <w:r w:rsidR="00EE5782" w:rsidRPr="00AC1A4C">
        <w:rPr>
          <w:lang w:val="es-CR"/>
        </w:rPr>
        <w:t>e</w:t>
      </w:r>
      <w:r w:rsidR="004F1A05" w:rsidRPr="00AC1A4C">
        <w:rPr>
          <w:lang w:val="es-CR"/>
        </w:rPr>
        <w:t>n</w:t>
      </w:r>
      <w:r w:rsidRPr="00AC1A4C">
        <w:rPr>
          <w:lang w:val="es-CR"/>
        </w:rPr>
        <w:t>le agua, porque estaba como vomitando, entonces me dijo: si ya le vamos a dar, pero no jodas. Llegamos al avión, vendados y amarrados […] escuchaba a Marlen llorar, a Sandra llorar, y yo decía no puedo ser, ellas están más pequeñas, debo de dar el ejemplo</w:t>
      </w:r>
      <w:r w:rsidR="00D0758E" w:rsidRPr="00AC1A4C">
        <w:rPr>
          <w:lang w:val="es-CR"/>
        </w:rPr>
        <w:t xml:space="preserve"> </w:t>
      </w:r>
      <w:r w:rsidRPr="00AC1A4C">
        <w:rPr>
          <w:lang w:val="es-CR"/>
        </w:rPr>
        <w:t>[, …] en el avión me decían te vamos a tirar a</w:t>
      </w:r>
      <w:r w:rsidR="00FD128E" w:rsidRPr="00AC1A4C">
        <w:rPr>
          <w:lang w:val="es-CR"/>
        </w:rPr>
        <w:t xml:space="preserve"> </w:t>
      </w:r>
      <w:r w:rsidRPr="00AC1A4C">
        <w:rPr>
          <w:lang w:val="es-CR"/>
        </w:rPr>
        <w:t>vos y a toda la familia al vacío, no vas a volver a ver nunca a tus hijos”. “Fuimos llevados a Tegucigalpa, […] nos llevaron a un lugar, nunca supe donde estábamos, y luego fuimos interrogados frecuentemente, preguntaban dónde estaban las armas, qué cómo se llamaba la célula guerrillera a la cual pertenecíamos, que nosotros queríamos volar el puente de la democracia, qué donde estaba la dinamita, estuvieron interrogándonos mucho, si</w:t>
      </w:r>
      <w:r w:rsidR="005B0871" w:rsidRPr="00AC1A4C">
        <w:rPr>
          <w:lang w:val="es-CR"/>
        </w:rPr>
        <w:t>n</w:t>
      </w:r>
      <w:r w:rsidRPr="00AC1A4C">
        <w:rPr>
          <w:lang w:val="es-CR"/>
        </w:rPr>
        <w:t xml:space="preserve"> tomar agua, sin darnos de comer y hubo un momento tipo 4:00 a.m., del día siguiente, que nos dejaron descansar”. “Hubo un momento en el que me guindaron, me pusieron capucha y luego también nos sacaban a hacer la tumba, decían ellos, nos daban una pala y nos decían: hagan el hoyo, porque aquí se van a quedar muertos”.</w:t>
      </w:r>
      <w:r w:rsidR="004F1A05" w:rsidRPr="00AC1A4C">
        <w:rPr>
          <w:lang w:val="es-CR"/>
        </w:rPr>
        <w:t xml:space="preserve"> Declaración de Irma Isabel Deras García, </w:t>
      </w:r>
      <w:r w:rsidR="004F1A05" w:rsidRPr="00AC1A4C">
        <w:rPr>
          <w:i/>
          <w:iCs/>
          <w:lang w:val="es-CR"/>
        </w:rPr>
        <w:t xml:space="preserve">supra. </w:t>
      </w:r>
    </w:p>
  </w:footnote>
  <w:footnote w:id="68">
    <w:p w14:paraId="3D061F92" w14:textId="509E1CD3" w:rsidR="00187223" w:rsidRPr="00AC1A4C" w:rsidRDefault="00187223"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Alba Deras</w:t>
      </w:r>
      <w:r w:rsidR="005019EE" w:rsidRPr="00AC1A4C">
        <w:rPr>
          <w:lang w:val="es-CR"/>
        </w:rPr>
        <w:t xml:space="preserve"> García</w:t>
      </w:r>
      <w:r w:rsidRPr="00AC1A4C">
        <w:rPr>
          <w:lang w:val="es-CR"/>
        </w:rPr>
        <w:t xml:space="preserve"> manifestó que la “persecución continua” a sus familiares “no es algo que ha vivido sólo la familia directa de Herminio, sino también sus descendientes: sus hijos, sus nietos y los hijos de mi hermano Luis. Todos en nuestra familia han sentido esa persecución, ese impacto en sus vidas, hasta la imposibilidad de acceder a empleos solo por el hecho de llevar el apellido Deras”. </w:t>
      </w:r>
      <w:r w:rsidR="005019EE" w:rsidRPr="00AC1A4C">
        <w:rPr>
          <w:lang w:val="es-CR"/>
        </w:rPr>
        <w:t xml:space="preserve">Declaración de Alba Luz Deras García, </w:t>
      </w:r>
      <w:r w:rsidR="005019EE" w:rsidRPr="00AC1A4C">
        <w:rPr>
          <w:i/>
          <w:iCs/>
          <w:lang w:val="es-CR"/>
        </w:rPr>
        <w:t>supra (</w:t>
      </w:r>
      <w:r w:rsidR="005019EE" w:rsidRPr="00AC1A4C">
        <w:rPr>
          <w:lang w:val="es-CR"/>
        </w:rPr>
        <w:t xml:space="preserve">expediente de prueba, folio </w:t>
      </w:r>
      <w:r w:rsidRPr="00AC1A4C">
        <w:rPr>
          <w:lang w:val="es-CR"/>
        </w:rPr>
        <w:t>2366</w:t>
      </w:r>
      <w:r w:rsidR="005019EE" w:rsidRPr="00AC1A4C">
        <w:rPr>
          <w:lang w:val="es-CR"/>
        </w:rPr>
        <w:t>).</w:t>
      </w:r>
    </w:p>
  </w:footnote>
  <w:footnote w:id="69">
    <w:p w14:paraId="4B7EDEA8" w14:textId="492FC134" w:rsidR="00160BB4" w:rsidRPr="00AC1A4C" w:rsidRDefault="00160BB4" w:rsidP="00AC1A4C">
      <w:pPr>
        <w:pStyle w:val="Textonotapie"/>
        <w:spacing w:after="40"/>
        <w:jc w:val="both"/>
        <w:rPr>
          <w:lang w:val="es-ES"/>
        </w:rPr>
      </w:pPr>
      <w:r w:rsidRPr="00AC1A4C">
        <w:rPr>
          <w:rStyle w:val="Refdenotaalpie"/>
        </w:rPr>
        <w:footnoteRef/>
      </w:r>
      <w:r w:rsidRPr="00AC1A4C">
        <w:t xml:space="preserve"> </w:t>
      </w:r>
      <w:r w:rsidRPr="00AC1A4C">
        <w:rPr>
          <w:lang w:val="es-ES"/>
        </w:rPr>
        <w:tab/>
        <w:t>Junto a ellas se encontraban Irma y Luis Deras García.</w:t>
      </w:r>
    </w:p>
  </w:footnote>
  <w:footnote w:id="70">
    <w:p w14:paraId="02DF3F1E" w14:textId="2FD770BD" w:rsidR="00F77F68" w:rsidRPr="00AC1A4C" w:rsidRDefault="00F77F68"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Al respecto, declaró que “[n]o fue fácil ir</w:t>
      </w:r>
      <w:r w:rsidR="00C46D4E" w:rsidRPr="00AC1A4C">
        <w:rPr>
          <w:lang w:val="es-CR"/>
        </w:rPr>
        <w:t>[s</w:t>
      </w:r>
      <w:r w:rsidRPr="00AC1A4C">
        <w:rPr>
          <w:lang w:val="es-CR"/>
        </w:rPr>
        <w:t>e</w:t>
      </w:r>
      <w:r w:rsidR="00C46D4E" w:rsidRPr="00AC1A4C">
        <w:rPr>
          <w:lang w:val="es-CR"/>
        </w:rPr>
        <w:t>]</w:t>
      </w:r>
      <w:r w:rsidRPr="00AC1A4C">
        <w:rPr>
          <w:lang w:val="es-CR"/>
        </w:rPr>
        <w:t xml:space="preserve"> de Honduras. Ello significó dejar a </w:t>
      </w:r>
      <w:r w:rsidR="00C46D4E" w:rsidRPr="00AC1A4C">
        <w:rPr>
          <w:lang w:val="es-CR"/>
        </w:rPr>
        <w:t>[su]</w:t>
      </w:r>
      <w:r w:rsidRPr="00AC1A4C">
        <w:rPr>
          <w:lang w:val="es-CR"/>
        </w:rPr>
        <w:t xml:space="preserve">mi familia, a todo lo que conocía, </w:t>
      </w:r>
      <w:r w:rsidR="00C46D4E" w:rsidRPr="00AC1A4C">
        <w:rPr>
          <w:lang w:val="es-CR"/>
        </w:rPr>
        <w:t>[su]</w:t>
      </w:r>
      <w:r w:rsidRPr="00AC1A4C">
        <w:rPr>
          <w:lang w:val="es-CR"/>
        </w:rPr>
        <w:t xml:space="preserve"> negocio, e ir</w:t>
      </w:r>
      <w:r w:rsidR="00C46D4E" w:rsidRPr="00AC1A4C">
        <w:rPr>
          <w:lang w:val="es-CR"/>
        </w:rPr>
        <w:t>[s</w:t>
      </w:r>
      <w:r w:rsidRPr="00AC1A4C">
        <w:rPr>
          <w:lang w:val="es-CR"/>
        </w:rPr>
        <w:t>e</w:t>
      </w:r>
      <w:r w:rsidR="00C46D4E" w:rsidRPr="00AC1A4C">
        <w:rPr>
          <w:lang w:val="es-CR"/>
        </w:rPr>
        <w:t>]</w:t>
      </w:r>
      <w:r w:rsidRPr="00AC1A4C">
        <w:rPr>
          <w:lang w:val="es-CR"/>
        </w:rPr>
        <w:t xml:space="preserve"> a algo desconocido”</w:t>
      </w:r>
      <w:r w:rsidR="00C46D4E" w:rsidRPr="00AC1A4C">
        <w:rPr>
          <w:lang w:val="es-CR"/>
        </w:rPr>
        <w:t xml:space="preserve">. Declaración de Herminio Deras Flores, </w:t>
      </w:r>
      <w:r w:rsidR="005019EE" w:rsidRPr="00AC1A4C">
        <w:rPr>
          <w:i/>
          <w:iCs/>
          <w:lang w:val="es-CR"/>
        </w:rPr>
        <w:t>supra</w:t>
      </w:r>
      <w:r w:rsidRPr="00AC1A4C">
        <w:rPr>
          <w:lang w:val="es-CR"/>
        </w:rPr>
        <w:t xml:space="preserve"> (expediente de prueba, folio 237</w:t>
      </w:r>
      <w:r w:rsidR="00C46D4E" w:rsidRPr="00AC1A4C">
        <w:rPr>
          <w:lang w:val="es-CR"/>
        </w:rPr>
        <w:t>5</w:t>
      </w:r>
      <w:r w:rsidRPr="00AC1A4C">
        <w:rPr>
          <w:lang w:val="es-CR"/>
        </w:rPr>
        <w:t>).</w:t>
      </w:r>
    </w:p>
  </w:footnote>
  <w:footnote w:id="71">
    <w:p w14:paraId="34928E3C" w14:textId="44BAF9F4" w:rsidR="00AB10D8" w:rsidRPr="00AC1A4C" w:rsidRDefault="00AB10D8"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E</w:t>
      </w:r>
      <w:r w:rsidR="00EE03C7" w:rsidRPr="00AC1A4C">
        <w:rPr>
          <w:lang w:val="es-CR"/>
        </w:rPr>
        <w:t>ste testigo</w:t>
      </w:r>
      <w:r w:rsidR="00AA05CD" w:rsidRPr="00AC1A4C">
        <w:rPr>
          <w:lang w:val="es-CR"/>
        </w:rPr>
        <w:t xml:space="preserve"> fue el oficial de tránsito qu</w:t>
      </w:r>
      <w:r w:rsidR="004E7336" w:rsidRPr="00AC1A4C">
        <w:rPr>
          <w:lang w:val="es-CR"/>
        </w:rPr>
        <w:t>e</w:t>
      </w:r>
      <w:r w:rsidR="00AA05CD" w:rsidRPr="00AC1A4C">
        <w:rPr>
          <w:lang w:val="es-CR"/>
        </w:rPr>
        <w:t xml:space="preserve"> interceptó el vehículo de Herminio Deras García el 29 de enero de 1983, </w:t>
      </w:r>
      <w:r w:rsidRPr="00AC1A4C">
        <w:rPr>
          <w:lang w:val="es-CR"/>
        </w:rPr>
        <w:t xml:space="preserve">presenció cómo Marco Tulio Regalado </w:t>
      </w:r>
      <w:r w:rsidR="003B40DC" w:rsidRPr="00AC1A4C">
        <w:rPr>
          <w:lang w:val="es-CR"/>
        </w:rPr>
        <w:t xml:space="preserve">Hernández </w:t>
      </w:r>
      <w:r w:rsidRPr="00AC1A4C">
        <w:rPr>
          <w:lang w:val="es-CR"/>
        </w:rPr>
        <w:t>y otros agentes ingresaron al vehículo del señor Deras García, y</w:t>
      </w:r>
      <w:r w:rsidR="0028038A" w:rsidRPr="00AC1A4C">
        <w:rPr>
          <w:lang w:val="es-CR"/>
        </w:rPr>
        <w:t xml:space="preserve"> fue</w:t>
      </w:r>
      <w:r w:rsidRPr="00AC1A4C">
        <w:rPr>
          <w:lang w:val="es-CR"/>
        </w:rPr>
        <w:t xml:space="preserve"> quien encontró el cuerpo del señor Deras García sin vida luego de haber escuchado un disparo de bala.</w:t>
      </w:r>
    </w:p>
  </w:footnote>
  <w:footnote w:id="72">
    <w:p w14:paraId="75676012" w14:textId="3EFC4214" w:rsidR="00AB10D8" w:rsidRPr="00AC1A4C" w:rsidRDefault="00AB10D8"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008733D1" w:rsidRPr="00AC1A4C">
        <w:rPr>
          <w:lang w:val="es-CR"/>
        </w:rPr>
        <w:t>E</w:t>
      </w:r>
      <w:r w:rsidRPr="00AC1A4C">
        <w:rPr>
          <w:lang w:val="es-CR"/>
        </w:rPr>
        <w:t>l recurso de casación interpuesto por la defensa del señor Regalado</w:t>
      </w:r>
      <w:r w:rsidR="00E77A02" w:rsidRPr="00AC1A4C">
        <w:rPr>
          <w:lang w:val="es-CR"/>
        </w:rPr>
        <w:t xml:space="preserve"> Hernández</w:t>
      </w:r>
      <w:r w:rsidRPr="00AC1A4C">
        <w:rPr>
          <w:lang w:val="es-CR"/>
        </w:rPr>
        <w:t xml:space="preserve"> se declaró sin lugar el 5 de marzo de 2009. </w:t>
      </w:r>
    </w:p>
  </w:footnote>
  <w:footnote w:id="73">
    <w:p w14:paraId="19DD8F4C" w14:textId="7715BDAA" w:rsidR="00AB10D8" w:rsidRPr="00AC1A4C" w:rsidRDefault="00AB10D8" w:rsidP="00AC1A4C">
      <w:pPr>
        <w:autoSpaceDE w:val="0"/>
        <w:autoSpaceDN w:val="0"/>
        <w:adjustRightInd w:val="0"/>
        <w:spacing w:after="40"/>
        <w:jc w:val="both"/>
        <w:rPr>
          <w:rFonts w:ascii="Verdana" w:hAnsi="Verdana" w:cs="Arial"/>
          <w:sz w:val="16"/>
          <w:szCs w:val="16"/>
        </w:rPr>
      </w:pPr>
      <w:r w:rsidRPr="00AC1A4C">
        <w:rPr>
          <w:rStyle w:val="Refdenotaalpie"/>
          <w:rFonts w:ascii="Verdana" w:eastAsiaTheme="majorEastAsia" w:hAnsi="Verdana"/>
          <w:sz w:val="16"/>
          <w:szCs w:val="16"/>
        </w:rPr>
        <w:footnoteRef/>
      </w:r>
      <w:r w:rsidRPr="00AC1A4C">
        <w:rPr>
          <w:rFonts w:ascii="Verdana" w:hAnsi="Verdana"/>
          <w:sz w:val="16"/>
          <w:szCs w:val="16"/>
        </w:rPr>
        <w:t xml:space="preserve"> </w:t>
      </w:r>
      <w:r w:rsidRPr="00AC1A4C">
        <w:rPr>
          <w:rFonts w:ascii="Verdana" w:hAnsi="Verdana"/>
          <w:sz w:val="16"/>
          <w:szCs w:val="16"/>
        </w:rPr>
        <w:tab/>
      </w:r>
      <w:r w:rsidR="008733D1" w:rsidRPr="00AC1A4C">
        <w:rPr>
          <w:rFonts w:ascii="Verdana" w:hAnsi="Verdana"/>
          <w:sz w:val="16"/>
          <w:szCs w:val="16"/>
        </w:rPr>
        <w:t>Según los representantes, l</w:t>
      </w:r>
      <w:r w:rsidRPr="00AC1A4C">
        <w:rPr>
          <w:rFonts w:ascii="Verdana" w:hAnsi="Verdana" w:cs="Arial"/>
          <w:sz w:val="16"/>
          <w:szCs w:val="16"/>
        </w:rPr>
        <w:t xml:space="preserve">a Fiscal del caso en su momento expresó a los familiares </w:t>
      </w:r>
      <w:r w:rsidR="008733D1" w:rsidRPr="00AC1A4C">
        <w:rPr>
          <w:rFonts w:ascii="Verdana" w:hAnsi="Verdana" w:cs="Arial"/>
          <w:sz w:val="16"/>
          <w:szCs w:val="16"/>
        </w:rPr>
        <w:t xml:space="preserve">de Herminio Deras García </w:t>
      </w:r>
      <w:r w:rsidRPr="00AC1A4C">
        <w:rPr>
          <w:rFonts w:ascii="Verdana" w:hAnsi="Verdana" w:cs="Arial"/>
          <w:sz w:val="16"/>
          <w:szCs w:val="16"/>
        </w:rPr>
        <w:t xml:space="preserve">que el Tribunal extravió documentos sustanciales, como el recurso de </w:t>
      </w:r>
      <w:r w:rsidR="00515A49" w:rsidRPr="00AC1A4C">
        <w:rPr>
          <w:rFonts w:ascii="Verdana" w:hAnsi="Verdana" w:cs="Arial"/>
          <w:sz w:val="16"/>
          <w:szCs w:val="16"/>
        </w:rPr>
        <w:t>a</w:t>
      </w:r>
      <w:r w:rsidRPr="00AC1A4C">
        <w:rPr>
          <w:rFonts w:ascii="Verdana" w:hAnsi="Verdana" w:cs="Arial"/>
          <w:sz w:val="16"/>
          <w:szCs w:val="16"/>
        </w:rPr>
        <w:t>pelación contra la sentencia absolutoria del 17 de marzo de 2004 a favor de Marco Tulio Regalado</w:t>
      </w:r>
      <w:r w:rsidR="00E77A02" w:rsidRPr="00AC1A4C">
        <w:rPr>
          <w:rFonts w:ascii="Verdana" w:hAnsi="Verdana" w:cs="Arial"/>
          <w:sz w:val="16"/>
          <w:szCs w:val="16"/>
        </w:rPr>
        <w:t xml:space="preserve"> </w:t>
      </w:r>
      <w:r w:rsidR="00E77A02" w:rsidRPr="00AC1A4C">
        <w:rPr>
          <w:rFonts w:ascii="Verdana" w:hAnsi="Verdana"/>
          <w:sz w:val="16"/>
          <w:szCs w:val="16"/>
        </w:rPr>
        <w:t>Hernández</w:t>
      </w:r>
      <w:r w:rsidRPr="00AC1A4C">
        <w:rPr>
          <w:rFonts w:ascii="Verdana" w:hAnsi="Verdana" w:cs="Arial"/>
          <w:sz w:val="16"/>
          <w:szCs w:val="16"/>
        </w:rPr>
        <w:t>.</w:t>
      </w:r>
    </w:p>
  </w:footnote>
  <w:footnote w:id="74">
    <w:p w14:paraId="3F776DC1" w14:textId="6A92F719" w:rsidR="00D17EAF" w:rsidRPr="00AC1A4C" w:rsidRDefault="00D17EAF" w:rsidP="00AC1A4C">
      <w:pPr>
        <w:pStyle w:val="Textonotapie"/>
        <w:spacing w:after="40"/>
        <w:jc w:val="both"/>
      </w:pPr>
      <w:r w:rsidRPr="00AC1A4C">
        <w:rPr>
          <w:rStyle w:val="Refdenotaalpie"/>
        </w:rPr>
        <w:footnoteRef/>
      </w:r>
      <w:r w:rsidRPr="00AC1A4C">
        <w:t xml:space="preserve"> </w:t>
      </w:r>
      <w:r w:rsidRPr="00AC1A4C">
        <w:tab/>
      </w:r>
      <w:r w:rsidRPr="00AC1A4C">
        <w:rPr>
          <w:i/>
          <w:iCs/>
        </w:rPr>
        <w:t>Cfr.</w:t>
      </w:r>
      <w:r w:rsidR="00FF1EAF" w:rsidRPr="00AC1A4C">
        <w:rPr>
          <w:i/>
          <w:iCs/>
        </w:rPr>
        <w:t xml:space="preserve"> </w:t>
      </w:r>
      <w:r w:rsidR="005C2973" w:rsidRPr="00AC1A4C">
        <w:rPr>
          <w:i/>
          <w:iCs/>
          <w:lang w:val="es-CR"/>
        </w:rPr>
        <w:t xml:space="preserve">Caso Movilla Galarcio y otros Vs. Colombia. Fondo, Reparaciones y Costas. </w:t>
      </w:r>
      <w:r w:rsidR="005C2973" w:rsidRPr="00AC1A4C">
        <w:rPr>
          <w:lang w:val="es-CR"/>
        </w:rPr>
        <w:t>Sentencia de 22 de junio de 2022. Serie C No. 452, párr. 120.</w:t>
      </w:r>
    </w:p>
  </w:footnote>
  <w:footnote w:id="75">
    <w:p w14:paraId="28399A2A" w14:textId="5983EB43" w:rsidR="00F3312E" w:rsidRPr="00AC1A4C" w:rsidRDefault="00F3312E" w:rsidP="00AC1A4C">
      <w:pPr>
        <w:autoSpaceDE w:val="0"/>
        <w:autoSpaceDN w:val="0"/>
        <w:adjustRightInd w:val="0"/>
        <w:spacing w:after="40"/>
        <w:jc w:val="both"/>
        <w:rPr>
          <w:rFonts w:ascii="Verdana" w:hAnsi="Verdana" w:cs="Arial"/>
          <w:sz w:val="16"/>
          <w:szCs w:val="16"/>
        </w:rPr>
      </w:pPr>
      <w:r w:rsidRPr="00AC1A4C">
        <w:rPr>
          <w:rStyle w:val="Refdenotaalpie"/>
          <w:rFonts w:ascii="Verdana" w:eastAsiaTheme="majorEastAsia" w:hAnsi="Verdana"/>
          <w:sz w:val="16"/>
          <w:szCs w:val="16"/>
        </w:rPr>
        <w:footnoteRef/>
      </w:r>
      <w:r w:rsidRPr="00AC1A4C">
        <w:rPr>
          <w:rFonts w:ascii="Verdana" w:hAnsi="Verdana"/>
          <w:sz w:val="16"/>
          <w:szCs w:val="16"/>
        </w:rPr>
        <w:t xml:space="preserve"> </w:t>
      </w:r>
      <w:r w:rsidRPr="00AC1A4C">
        <w:rPr>
          <w:rFonts w:ascii="Verdana" w:hAnsi="Verdana"/>
          <w:sz w:val="16"/>
          <w:szCs w:val="16"/>
        </w:rPr>
        <w:tab/>
      </w:r>
      <w:r w:rsidR="00C567FD" w:rsidRPr="00AC1A4C">
        <w:rPr>
          <w:rFonts w:ascii="Verdana" w:hAnsi="Verdana"/>
          <w:i/>
          <w:iCs/>
          <w:sz w:val="16"/>
          <w:szCs w:val="16"/>
        </w:rPr>
        <w:t xml:space="preserve">Cfr. </w:t>
      </w:r>
      <w:r w:rsidR="008B467A" w:rsidRPr="00AC1A4C">
        <w:rPr>
          <w:rFonts w:ascii="Verdana" w:hAnsi="Verdana"/>
          <w:i/>
          <w:iCs/>
          <w:sz w:val="16"/>
          <w:szCs w:val="16"/>
        </w:rPr>
        <w:t xml:space="preserve">Caso Lagos del Campo Vs. Perú. Excepciones Preliminares, Fondo, Reparaciones y Costas. </w:t>
      </w:r>
      <w:r w:rsidR="008B467A" w:rsidRPr="00AC1A4C">
        <w:rPr>
          <w:rFonts w:ascii="Verdana" w:hAnsi="Verdana"/>
          <w:sz w:val="16"/>
          <w:szCs w:val="16"/>
        </w:rPr>
        <w:t>Sentencia de 31 de agosto de 2017. Serie C No. 340, párr. 96, y</w:t>
      </w:r>
      <w:r w:rsidR="008B467A" w:rsidRPr="00AC1A4C">
        <w:rPr>
          <w:rFonts w:ascii="Verdana" w:hAnsi="Verdana"/>
          <w:i/>
          <w:iCs/>
          <w:sz w:val="16"/>
          <w:szCs w:val="16"/>
        </w:rPr>
        <w:t xml:space="preserve"> </w:t>
      </w:r>
      <w:r w:rsidRPr="00AC1A4C">
        <w:rPr>
          <w:rFonts w:ascii="Verdana" w:hAnsi="Verdana"/>
          <w:i/>
          <w:iCs/>
          <w:sz w:val="16"/>
          <w:szCs w:val="16"/>
        </w:rPr>
        <w:t>Derechos a la libertad sindical, negociación colectiva y huelga, y su relación con otros derechos, con perspectiva de género (interpretación y alcance de los artículos 13, 15, 16, 24, 25 y 26, en relación con los artículos 1.1 y 2 de la Convención Americana sobre Derechos Humanos, 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w:t>
      </w:r>
      <w:r w:rsidRPr="00AC1A4C">
        <w:rPr>
          <w:rFonts w:ascii="Verdana" w:hAnsi="Verdana"/>
          <w:sz w:val="16"/>
          <w:szCs w:val="16"/>
        </w:rPr>
        <w:t>. Opinión Consultiva OC-27/21 de 5 de mayo de 2021. Serie A No. 27, párr. 138</w:t>
      </w:r>
      <w:r w:rsidRPr="00AC1A4C">
        <w:rPr>
          <w:rFonts w:ascii="Verdana" w:hAnsi="Verdana" w:cs="Arial"/>
          <w:sz w:val="16"/>
          <w:szCs w:val="16"/>
        </w:rPr>
        <w:t>.</w:t>
      </w:r>
      <w:r w:rsidR="00C567FD" w:rsidRPr="00AC1A4C">
        <w:rPr>
          <w:rFonts w:ascii="Verdana" w:hAnsi="Verdana" w:cs="Arial"/>
          <w:sz w:val="16"/>
          <w:szCs w:val="16"/>
        </w:rPr>
        <w:t xml:space="preserve"> </w:t>
      </w:r>
    </w:p>
  </w:footnote>
  <w:footnote w:id="76">
    <w:p w14:paraId="46948352" w14:textId="231E5D4A" w:rsidR="0083283B" w:rsidRPr="00AC1A4C" w:rsidRDefault="0083283B" w:rsidP="00AC1A4C">
      <w:pPr>
        <w:pStyle w:val="Textonotapie"/>
        <w:spacing w:after="40"/>
        <w:jc w:val="both"/>
        <w:rPr>
          <w:lang w:val="es-CR"/>
        </w:rPr>
      </w:pPr>
      <w:r w:rsidRPr="00AC1A4C">
        <w:rPr>
          <w:rStyle w:val="Refdenotaalpie"/>
        </w:rPr>
        <w:footnoteRef/>
      </w:r>
      <w:r w:rsidRPr="00AC1A4C">
        <w:t xml:space="preserve"> </w:t>
      </w:r>
      <w:r w:rsidRPr="00AC1A4C">
        <w:rPr>
          <w:lang w:val="es-CR"/>
        </w:rPr>
        <w:tab/>
        <w:t>L</w:t>
      </w:r>
      <w:r w:rsidR="00A1179A" w:rsidRPr="00AC1A4C">
        <w:rPr>
          <w:lang w:val="es-CR"/>
        </w:rPr>
        <w:t>os representantes señalaron que l</w:t>
      </w:r>
      <w:r w:rsidRPr="00AC1A4C">
        <w:rPr>
          <w:lang w:val="es-CR"/>
        </w:rPr>
        <w:t>a violación del artículo 2</w:t>
      </w:r>
      <w:r w:rsidR="00A1179A" w:rsidRPr="00AC1A4C">
        <w:rPr>
          <w:lang w:val="es-CR"/>
        </w:rPr>
        <w:t xml:space="preserve"> de la Convención Americana</w:t>
      </w:r>
      <w:r w:rsidRPr="00AC1A4C">
        <w:rPr>
          <w:lang w:val="es-CR"/>
        </w:rPr>
        <w:t xml:space="preserve"> está relacionada al hecho de que la ejecución extrajudicial de Herminio Deras García sucedió bajo un marco de la institucionalización de la llamada doctrina de </w:t>
      </w:r>
      <w:r w:rsidR="00EB1CD3" w:rsidRPr="00AC1A4C">
        <w:rPr>
          <w:lang w:val="es-CR"/>
        </w:rPr>
        <w:t xml:space="preserve">la </w:t>
      </w:r>
      <w:r w:rsidRPr="00AC1A4C">
        <w:rPr>
          <w:lang w:val="es-CR"/>
        </w:rPr>
        <w:t>seguridad nacional y la selección de personas como enemigas o peligrosas.</w:t>
      </w:r>
      <w:r w:rsidR="00383274" w:rsidRPr="00AC1A4C">
        <w:rPr>
          <w:lang w:val="es-CR"/>
        </w:rPr>
        <w:t xml:space="preserve"> La Corte considera violado el ar</w:t>
      </w:r>
      <w:r w:rsidR="00594642" w:rsidRPr="00AC1A4C">
        <w:rPr>
          <w:lang w:val="es-CR"/>
        </w:rPr>
        <w:t xml:space="preserve">tículo 2 de la Convención con base en el reconocimiento </w:t>
      </w:r>
      <w:r w:rsidR="0094094B" w:rsidRPr="00AC1A4C">
        <w:rPr>
          <w:lang w:val="es-CR"/>
        </w:rPr>
        <w:t xml:space="preserve">de responsabilidad </w:t>
      </w:r>
      <w:r w:rsidR="00594642" w:rsidRPr="00AC1A4C">
        <w:rPr>
          <w:lang w:val="es-CR"/>
        </w:rPr>
        <w:t>del</w:t>
      </w:r>
      <w:r w:rsidR="00383274" w:rsidRPr="00AC1A4C">
        <w:rPr>
          <w:lang w:val="es-CR"/>
        </w:rPr>
        <w:t xml:space="preserve"> Estado</w:t>
      </w:r>
      <w:r w:rsidR="0094094B" w:rsidRPr="00AC1A4C">
        <w:rPr>
          <w:lang w:val="es-CR"/>
        </w:rPr>
        <w:t xml:space="preserve"> respecto a esta disposición</w:t>
      </w:r>
      <w:r w:rsidR="00594642" w:rsidRPr="00AC1A4C">
        <w:rPr>
          <w:lang w:val="es-CR"/>
        </w:rPr>
        <w:t xml:space="preserve"> (</w:t>
      </w:r>
      <w:r w:rsidR="00594642" w:rsidRPr="00AC1A4C">
        <w:rPr>
          <w:i/>
          <w:iCs/>
          <w:lang w:val="es-CR"/>
        </w:rPr>
        <w:t>supra</w:t>
      </w:r>
      <w:r w:rsidR="00594642" w:rsidRPr="00AC1A4C">
        <w:rPr>
          <w:lang w:val="es-CR"/>
        </w:rPr>
        <w:t xml:space="preserve"> párr. </w:t>
      </w:r>
      <w:r w:rsidR="000C7478" w:rsidRPr="00AC1A4C">
        <w:rPr>
          <w:lang w:val="es-CR"/>
        </w:rPr>
        <w:t>1</w:t>
      </w:r>
      <w:r w:rsidR="00EB1CD3" w:rsidRPr="00AC1A4C">
        <w:rPr>
          <w:lang w:val="es-CR"/>
        </w:rPr>
        <w:t>8</w:t>
      </w:r>
      <w:r w:rsidR="00594642" w:rsidRPr="00AC1A4C">
        <w:rPr>
          <w:lang w:val="es-CR"/>
        </w:rPr>
        <w:t>)</w:t>
      </w:r>
      <w:r w:rsidR="0094094B" w:rsidRPr="00AC1A4C">
        <w:rPr>
          <w:lang w:val="es-CR"/>
        </w:rPr>
        <w:t>.</w:t>
      </w:r>
    </w:p>
  </w:footnote>
  <w:footnote w:id="77">
    <w:p w14:paraId="33BA5EC4" w14:textId="47B4FE52" w:rsidR="007A3FE3" w:rsidRPr="00AC1A4C" w:rsidRDefault="007A3FE3" w:rsidP="00AC1A4C">
      <w:pPr>
        <w:pStyle w:val="Textonotapie"/>
        <w:spacing w:after="40"/>
        <w:jc w:val="both"/>
        <w:rPr>
          <w:lang w:val="es-ES"/>
        </w:rPr>
      </w:pPr>
      <w:r w:rsidRPr="00AC1A4C">
        <w:rPr>
          <w:rStyle w:val="Refdenotaalpie"/>
        </w:rPr>
        <w:footnoteRef/>
      </w:r>
      <w:r w:rsidRPr="00AC1A4C">
        <w:t xml:space="preserve"> </w:t>
      </w:r>
      <w:r w:rsidRPr="00AC1A4C">
        <w:rPr>
          <w:lang w:val="es-ES"/>
        </w:rPr>
        <w:tab/>
        <w:t xml:space="preserve">Peritaje de </w:t>
      </w:r>
      <w:r w:rsidRPr="00AC1A4C">
        <w:rPr>
          <w:lang w:val="es-CR"/>
        </w:rPr>
        <w:t>Carmen Lastenia Martínez García</w:t>
      </w:r>
      <w:r w:rsidRPr="00AC1A4C">
        <w:rPr>
          <w:lang w:val="es-ES"/>
        </w:rPr>
        <w:t xml:space="preserve"> de 30 de marzo de 2021 (expediente de prueba, folios 2450 a 2452).</w:t>
      </w:r>
    </w:p>
  </w:footnote>
  <w:footnote w:id="78">
    <w:p w14:paraId="640F42AC" w14:textId="3A7C9758" w:rsidR="00C71F2D" w:rsidRPr="00AC1A4C" w:rsidRDefault="00C71F2D" w:rsidP="00AC1A4C">
      <w:pPr>
        <w:pStyle w:val="Textonotapie"/>
        <w:spacing w:after="40"/>
        <w:jc w:val="both"/>
        <w:rPr>
          <w:lang w:val="es-ES"/>
        </w:rPr>
      </w:pPr>
      <w:r w:rsidRPr="00AC1A4C">
        <w:rPr>
          <w:rStyle w:val="Refdenotaalpie"/>
        </w:rPr>
        <w:footnoteRef/>
      </w:r>
      <w:r w:rsidRPr="00AC1A4C">
        <w:t xml:space="preserve"> </w:t>
      </w:r>
      <w:r w:rsidRPr="00AC1A4C">
        <w:rPr>
          <w:lang w:val="es-ES"/>
        </w:rPr>
        <w:tab/>
      </w:r>
      <w:r w:rsidR="009C4F22" w:rsidRPr="009C4F22">
        <w:rPr>
          <w:lang w:val="es-ES"/>
        </w:rPr>
        <w:t>Otilia Flores Ortiz, Lorena Deras Flores</w:t>
      </w:r>
      <w:r w:rsidR="009C4F22">
        <w:rPr>
          <w:lang w:val="es-ES"/>
        </w:rPr>
        <w:t xml:space="preserve">, </w:t>
      </w:r>
      <w:r w:rsidR="009C4F22" w:rsidRPr="009C4F22">
        <w:rPr>
          <w:lang w:val="es-ES"/>
        </w:rPr>
        <w:t>Herminio Deras Flores, Eustaquia García Alvarado, Domingo Deras Henríquez, Irma Isabel Deras García, Consuelo Deras García, Luis Rolando Deras García, Héctor García, Marlen García Pineda, José Herminio García, Sandra Ivón Hernández Deras, Marlon Javier García Barahona, Julio Cesar Chavarría Banegas, Elba Flores Ortiz, y Cristóbal Rufino Hernández Pérez.</w:t>
      </w:r>
      <w:r w:rsidR="00175738">
        <w:rPr>
          <w:lang w:val="es-ES"/>
        </w:rPr>
        <w:t xml:space="preserve"> </w:t>
      </w:r>
      <w:r w:rsidR="009753F3" w:rsidRPr="00AC1A4C">
        <w:rPr>
          <w:lang w:val="es-ES"/>
        </w:rPr>
        <w:t>El</w:t>
      </w:r>
      <w:r w:rsidRPr="00AC1A4C">
        <w:rPr>
          <w:lang w:val="es-ES"/>
        </w:rPr>
        <w:t xml:space="preserve"> únic</w:t>
      </w:r>
      <w:r w:rsidR="009753F3" w:rsidRPr="00AC1A4C">
        <w:rPr>
          <w:lang w:val="es-ES"/>
        </w:rPr>
        <w:t>o</w:t>
      </w:r>
      <w:r w:rsidRPr="00AC1A4C">
        <w:rPr>
          <w:lang w:val="es-ES"/>
        </w:rPr>
        <w:t xml:space="preserve"> familiar que no es considerad</w:t>
      </w:r>
      <w:r w:rsidR="009753F3" w:rsidRPr="00AC1A4C">
        <w:rPr>
          <w:lang w:val="es-ES"/>
        </w:rPr>
        <w:t>o</w:t>
      </w:r>
      <w:r w:rsidRPr="00AC1A4C">
        <w:rPr>
          <w:lang w:val="es-ES"/>
        </w:rPr>
        <w:t xml:space="preserve"> víctima de estas violaciones </w:t>
      </w:r>
      <w:r w:rsidR="000D3B6E" w:rsidRPr="00AC1A4C">
        <w:rPr>
          <w:lang w:val="es-ES"/>
        </w:rPr>
        <w:t xml:space="preserve">específicas </w:t>
      </w:r>
      <w:r w:rsidRPr="00AC1A4C">
        <w:rPr>
          <w:lang w:val="es-ES"/>
        </w:rPr>
        <w:t>es la</w:t>
      </w:r>
      <w:r w:rsidR="000D3B6E" w:rsidRPr="00AC1A4C">
        <w:rPr>
          <w:lang w:val="es-ES"/>
        </w:rPr>
        <w:t xml:space="preserve"> </w:t>
      </w:r>
      <w:r w:rsidRPr="00AC1A4C">
        <w:rPr>
          <w:lang w:val="es-ES"/>
        </w:rPr>
        <w:t xml:space="preserve">señora </w:t>
      </w:r>
      <w:r w:rsidR="000D3B6E" w:rsidRPr="00AC1A4C">
        <w:rPr>
          <w:lang w:val="es-ES"/>
        </w:rPr>
        <w:t>Alba Luz Deras García</w:t>
      </w:r>
      <w:r w:rsidRPr="00AC1A4C">
        <w:rPr>
          <w:lang w:val="es-ES"/>
        </w:rPr>
        <w:t xml:space="preserve">, </w:t>
      </w:r>
      <w:r w:rsidR="009C4F22" w:rsidRPr="00AC1A4C">
        <w:rPr>
          <w:lang w:val="es-ES"/>
        </w:rPr>
        <w:t>hermana de Herminio Deras García</w:t>
      </w:r>
      <w:r w:rsidR="009C4F22">
        <w:rPr>
          <w:lang w:val="es-ES"/>
        </w:rPr>
        <w:t xml:space="preserve">, </w:t>
      </w:r>
      <w:r w:rsidRPr="00AC1A4C">
        <w:rPr>
          <w:lang w:val="es-ES"/>
        </w:rPr>
        <w:t>toda vez que se encontraba fuera del país en esa época</w:t>
      </w:r>
      <w:r w:rsidR="005E1D1F" w:rsidRPr="00AC1A4C">
        <w:rPr>
          <w:lang w:val="es-ES"/>
        </w:rPr>
        <w:t xml:space="preserve">, </w:t>
      </w:r>
      <w:r w:rsidR="00AB33BB" w:rsidRPr="00AC1A4C">
        <w:rPr>
          <w:lang w:val="es-ES"/>
        </w:rPr>
        <w:t>en exilio forzado (</w:t>
      </w:r>
      <w:r w:rsidR="00AB33BB" w:rsidRPr="00AC1A4C">
        <w:rPr>
          <w:i/>
          <w:iCs/>
          <w:lang w:val="es-ES"/>
        </w:rPr>
        <w:t>supra</w:t>
      </w:r>
      <w:r w:rsidR="00AB33BB" w:rsidRPr="00AC1A4C">
        <w:rPr>
          <w:lang w:val="es-ES"/>
        </w:rPr>
        <w:t xml:space="preserve"> párr. 87), </w:t>
      </w:r>
      <w:r w:rsidR="005E1D1F" w:rsidRPr="00AC1A4C">
        <w:rPr>
          <w:lang w:val="es-ES"/>
        </w:rPr>
        <w:t>de modo que no fue sometida a los allanamientos de las viviendas de la familia, las detenciones arbitrarias, torturas y las demás violaciones declaradas</w:t>
      </w:r>
      <w:r w:rsidRPr="00AC1A4C">
        <w:rPr>
          <w:lang w:val="es-ES"/>
        </w:rPr>
        <w:t>.</w:t>
      </w:r>
    </w:p>
  </w:footnote>
  <w:footnote w:id="79">
    <w:p w14:paraId="47BC1085" w14:textId="40F358A5" w:rsidR="00FF277B" w:rsidRPr="00AC1A4C" w:rsidRDefault="00FF277B" w:rsidP="00AC1A4C">
      <w:pPr>
        <w:pStyle w:val="Textonotapie"/>
        <w:spacing w:after="40"/>
        <w:jc w:val="both"/>
        <w:rPr>
          <w:rFonts w:cs="Verdana"/>
          <w:iCs/>
          <w:lang w:val="es-CR"/>
        </w:rPr>
      </w:pPr>
      <w:r w:rsidRPr="00AC1A4C">
        <w:rPr>
          <w:rStyle w:val="Refdenotaalpie"/>
          <w:lang w:val="es-CR"/>
        </w:rPr>
        <w:footnoteRef/>
      </w:r>
      <w:r w:rsidRPr="00AC1A4C">
        <w:rPr>
          <w:lang w:val="es-CR"/>
        </w:rPr>
        <w:t xml:space="preserve"> </w:t>
      </w:r>
      <w:r w:rsidRPr="00AC1A4C">
        <w:rPr>
          <w:lang w:val="es-CR"/>
        </w:rPr>
        <w:tab/>
      </w:r>
      <w:r w:rsidRPr="00AC1A4C">
        <w:rPr>
          <w:rFonts w:cs="Verdana"/>
          <w:i/>
          <w:lang w:val="es-CR"/>
        </w:rPr>
        <w:t xml:space="preserve">Cfr. Caso Velásquez Rodríguez Vs. Honduras. Reparaciones y Costas. </w:t>
      </w:r>
      <w:r w:rsidRPr="00AC1A4C">
        <w:rPr>
          <w:rFonts w:cs="Verdana"/>
          <w:iCs/>
          <w:lang w:val="es-CR"/>
        </w:rPr>
        <w:t>Sentencia de 21 de julio de 1989. Serie C No. 7, párr. 25</w:t>
      </w:r>
      <w:r w:rsidRPr="00AC1A4C">
        <w:rPr>
          <w:rFonts w:cs="Verdana"/>
          <w:i/>
          <w:lang w:val="es-CR"/>
        </w:rPr>
        <w:t xml:space="preserve">, y </w:t>
      </w:r>
      <w:r w:rsidR="002F4924" w:rsidRPr="00AC1A4C">
        <w:rPr>
          <w:rFonts w:cs="Verdana"/>
          <w:i/>
          <w:lang w:val="es-CR"/>
        </w:rPr>
        <w:t>Caso Guevara Díaz Vs. Costa Rica</w:t>
      </w:r>
      <w:r w:rsidR="002F616C" w:rsidRPr="00AC1A4C">
        <w:rPr>
          <w:rFonts w:cs="Verdana"/>
          <w:i/>
          <w:lang w:val="es-CR"/>
        </w:rPr>
        <w:t xml:space="preserve">, supra, </w:t>
      </w:r>
      <w:r w:rsidR="002F616C" w:rsidRPr="00AC1A4C">
        <w:rPr>
          <w:rFonts w:cs="Verdana"/>
          <w:iCs/>
          <w:lang w:val="es-CR"/>
        </w:rPr>
        <w:t>párr. 83.</w:t>
      </w:r>
    </w:p>
  </w:footnote>
  <w:footnote w:id="80">
    <w:p w14:paraId="14D2AB1E" w14:textId="57A32C3F" w:rsidR="00FF277B" w:rsidRPr="00AC1A4C" w:rsidRDefault="00FF277B" w:rsidP="00AC1A4C">
      <w:pPr>
        <w:pStyle w:val="Textonotapie"/>
        <w:spacing w:after="40"/>
        <w:jc w:val="both"/>
        <w:rPr>
          <w:rFonts w:cs="Verdana"/>
          <w:lang w:val="es-CR"/>
        </w:rPr>
      </w:pPr>
      <w:r w:rsidRPr="00AC1A4C">
        <w:rPr>
          <w:rStyle w:val="Refdenotaalpie"/>
          <w:lang w:val="es-CR"/>
        </w:rPr>
        <w:footnoteRef/>
      </w:r>
      <w:r w:rsidRPr="00AC1A4C">
        <w:rPr>
          <w:lang w:val="es-CR"/>
        </w:rPr>
        <w:t xml:space="preserve"> </w:t>
      </w:r>
      <w:r w:rsidRPr="00AC1A4C">
        <w:rPr>
          <w:lang w:val="es-CR"/>
        </w:rPr>
        <w:tab/>
      </w:r>
      <w:r w:rsidRPr="00AC1A4C">
        <w:rPr>
          <w:rFonts w:cs="Verdana"/>
          <w:i/>
          <w:lang w:val="es-CR"/>
        </w:rPr>
        <w:t>Cfr.</w:t>
      </w:r>
      <w:r w:rsidRPr="00AC1A4C">
        <w:rPr>
          <w:rFonts w:cs="Verdana"/>
          <w:lang w:val="es-CR"/>
        </w:rPr>
        <w:t xml:space="preserve"> </w:t>
      </w:r>
      <w:r w:rsidRPr="00AC1A4C">
        <w:rPr>
          <w:rFonts w:cs="Verdana"/>
          <w:i/>
          <w:lang w:val="es-CR"/>
        </w:rPr>
        <w:t>Caso Velásquez Rodríguez Vs. Honduras</w:t>
      </w:r>
      <w:r w:rsidRPr="00AC1A4C">
        <w:rPr>
          <w:rFonts w:cs="Verdana"/>
          <w:lang w:val="es-CR"/>
        </w:rPr>
        <w:t xml:space="preserve">, supra, párr. 26, y </w:t>
      </w:r>
      <w:r w:rsidRPr="00AC1A4C">
        <w:rPr>
          <w:rFonts w:cs="Verdana"/>
          <w:i/>
          <w:lang w:val="es-CR"/>
        </w:rPr>
        <w:t>Caso Movilla Galarcio y otros Vs. Colombia</w:t>
      </w:r>
      <w:r w:rsidR="0045027A" w:rsidRPr="00AC1A4C">
        <w:rPr>
          <w:rFonts w:cs="Verdana"/>
          <w:i/>
          <w:lang w:val="es-CR"/>
        </w:rPr>
        <w:t xml:space="preserve">, supra, </w:t>
      </w:r>
      <w:r w:rsidRPr="00AC1A4C">
        <w:rPr>
          <w:rFonts w:cs="Verdana"/>
          <w:iCs/>
          <w:lang w:val="es-CR"/>
        </w:rPr>
        <w:t>párr. 190</w:t>
      </w:r>
      <w:r w:rsidR="006F66EB" w:rsidRPr="00AC1A4C">
        <w:rPr>
          <w:rFonts w:cs="Verdana"/>
          <w:iCs/>
          <w:lang w:val="es-CR"/>
        </w:rPr>
        <w:t>.</w:t>
      </w:r>
    </w:p>
  </w:footnote>
  <w:footnote w:id="81">
    <w:p w14:paraId="70FB477B" w14:textId="55F5D803"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rFonts w:cs="Verdana"/>
          <w:i/>
          <w:lang w:val="es-CR"/>
        </w:rPr>
        <w:t>Cfr. Caso Cantoral Benavides Vs. Perú. Reparaciones y Costas</w:t>
      </w:r>
      <w:r w:rsidRPr="00AC1A4C">
        <w:rPr>
          <w:rFonts w:cs="Verdana"/>
          <w:lang w:val="es-CR"/>
        </w:rPr>
        <w:t>. Sentencia de 3 de diciembre de 2001. Serie C No. 88, párrs. 79 a 81, y</w:t>
      </w:r>
      <w:r w:rsidRPr="00AC1A4C">
        <w:rPr>
          <w:rFonts w:cs="Verdana"/>
          <w:i/>
          <w:lang w:val="es-CR"/>
        </w:rPr>
        <w:t xml:space="preserve"> Caso Movilla Galarcio y otros Vs. Colombia</w:t>
      </w:r>
      <w:r w:rsidR="0045027A" w:rsidRPr="00AC1A4C">
        <w:rPr>
          <w:rFonts w:cs="Verdana"/>
          <w:i/>
          <w:lang w:val="es-CR"/>
        </w:rPr>
        <w:t>, supra</w:t>
      </w:r>
      <w:r w:rsidRPr="00AC1A4C">
        <w:rPr>
          <w:rFonts w:cs="Verdana"/>
          <w:iCs/>
          <w:lang w:val="es-CR"/>
        </w:rPr>
        <w:t>, párr. 190</w:t>
      </w:r>
      <w:r w:rsidRPr="00AC1A4C">
        <w:rPr>
          <w:lang w:val="es-CR"/>
        </w:rPr>
        <w:t>.</w:t>
      </w:r>
    </w:p>
  </w:footnote>
  <w:footnote w:id="82">
    <w:p w14:paraId="72F2329D" w14:textId="2A834D86" w:rsidR="00FF277B" w:rsidRPr="00AC1A4C" w:rsidRDefault="00FF277B" w:rsidP="00AC1A4C">
      <w:pPr>
        <w:pStyle w:val="Textonotapie"/>
        <w:spacing w:after="40"/>
        <w:jc w:val="both"/>
        <w:rPr>
          <w:rFonts w:cs="Verdana"/>
          <w:iCs/>
          <w:lang w:val="es-CR"/>
        </w:rPr>
      </w:pPr>
      <w:r w:rsidRPr="00AC1A4C">
        <w:rPr>
          <w:rStyle w:val="Refdenotaalpie"/>
          <w:lang w:val="es-CR"/>
        </w:rPr>
        <w:footnoteRef/>
      </w:r>
      <w:r w:rsidRPr="00AC1A4C">
        <w:rPr>
          <w:lang w:val="es-CR"/>
        </w:rPr>
        <w:t xml:space="preserve"> </w:t>
      </w:r>
      <w:r w:rsidRPr="00AC1A4C">
        <w:rPr>
          <w:lang w:val="es-CR"/>
        </w:rPr>
        <w:tab/>
      </w:r>
      <w:r w:rsidRPr="00AC1A4C">
        <w:rPr>
          <w:rFonts w:cs="Verdana"/>
          <w:i/>
          <w:lang w:val="es-CR"/>
        </w:rPr>
        <w:t>Cfr.</w:t>
      </w:r>
      <w:r w:rsidRPr="00AC1A4C">
        <w:rPr>
          <w:rFonts w:cs="Verdana"/>
          <w:lang w:val="es-CR"/>
        </w:rPr>
        <w:t xml:space="preserve"> </w:t>
      </w:r>
      <w:r w:rsidRPr="00AC1A4C">
        <w:rPr>
          <w:rFonts w:cs="Verdana"/>
          <w:i/>
          <w:lang w:val="es-CR"/>
        </w:rPr>
        <w:t xml:space="preserve">Caso Ticona Estrada Vs. Bolivia. Fondo, Reparaciones y Costas. </w:t>
      </w:r>
      <w:r w:rsidRPr="00AC1A4C">
        <w:rPr>
          <w:rFonts w:cs="Verdana"/>
          <w:iCs/>
          <w:lang w:val="es-CR"/>
        </w:rPr>
        <w:t>Sentencia de 27 de noviembre de 2008. Serie C No. 191, párr. 110, y</w:t>
      </w:r>
      <w:r w:rsidRPr="00AC1A4C">
        <w:rPr>
          <w:rFonts w:cs="Verdana"/>
          <w:i/>
          <w:lang w:val="es-CR"/>
        </w:rPr>
        <w:t xml:space="preserve"> </w:t>
      </w:r>
      <w:r w:rsidR="00DC6E92" w:rsidRPr="00AC1A4C">
        <w:rPr>
          <w:rFonts w:cs="Verdana"/>
          <w:i/>
          <w:lang w:val="es-CR"/>
        </w:rPr>
        <w:t xml:space="preserve">Caso Guevara Díaz Vs. Costa Rica, supra, </w:t>
      </w:r>
      <w:r w:rsidR="00DC6E92" w:rsidRPr="00AC1A4C">
        <w:rPr>
          <w:rFonts w:cs="Verdana"/>
          <w:iCs/>
          <w:lang w:val="es-CR"/>
        </w:rPr>
        <w:t>párr. 83.</w:t>
      </w:r>
    </w:p>
  </w:footnote>
  <w:footnote w:id="83">
    <w:p w14:paraId="508CB7D5" w14:textId="536CE1C7" w:rsidR="00FF277B" w:rsidRPr="00AC1A4C" w:rsidRDefault="00FF277B" w:rsidP="00AC1A4C">
      <w:pPr>
        <w:autoSpaceDE w:val="0"/>
        <w:autoSpaceDN w:val="0"/>
        <w:spacing w:after="40"/>
        <w:jc w:val="both"/>
        <w:rPr>
          <w:rFonts w:ascii="Verdana" w:hAnsi="Verdana"/>
          <w:iCs/>
          <w:sz w:val="16"/>
          <w:szCs w:val="16"/>
          <w:lang w:eastAsia="es-PE"/>
        </w:rPr>
      </w:pPr>
      <w:r w:rsidRPr="00AC1A4C">
        <w:rPr>
          <w:rStyle w:val="Refdenotaalpie"/>
          <w:rFonts w:ascii="Verdana" w:eastAsia="Calibri" w:hAnsi="Verdana"/>
          <w:sz w:val="16"/>
          <w:szCs w:val="16"/>
        </w:rPr>
        <w:footnoteRef/>
      </w:r>
      <w:r w:rsidRPr="00AC1A4C">
        <w:rPr>
          <w:rFonts w:ascii="Verdana" w:hAnsi="Verdana" w:cs="Verdana"/>
          <w:bCs/>
          <w:sz w:val="16"/>
          <w:szCs w:val="16"/>
        </w:rPr>
        <w:tab/>
      </w:r>
      <w:r w:rsidRPr="00AC1A4C">
        <w:rPr>
          <w:rFonts w:ascii="Verdana" w:hAnsi="Verdana"/>
          <w:i/>
          <w:sz w:val="16"/>
          <w:szCs w:val="16"/>
        </w:rPr>
        <w:t>Cfr.</w:t>
      </w:r>
      <w:r w:rsidRPr="00AC1A4C">
        <w:rPr>
          <w:rFonts w:ascii="Verdana" w:hAnsi="Verdana"/>
          <w:bCs/>
          <w:i/>
          <w:sz w:val="16"/>
          <w:szCs w:val="16"/>
        </w:rPr>
        <w:t xml:space="preserve"> Caso Velásquez Rodríguez Vs. Honduras. </w:t>
      </w:r>
      <w:r w:rsidRPr="00AC1A4C">
        <w:rPr>
          <w:rFonts w:ascii="Verdana" w:hAnsi="Verdana"/>
          <w:i/>
          <w:sz w:val="16"/>
          <w:szCs w:val="16"/>
        </w:rPr>
        <w:t>Reparaciones y Costas, supra</w:t>
      </w:r>
      <w:r w:rsidRPr="00AC1A4C">
        <w:rPr>
          <w:rFonts w:ascii="Verdana" w:hAnsi="Verdana"/>
          <w:sz w:val="16"/>
          <w:szCs w:val="16"/>
        </w:rPr>
        <w:t xml:space="preserve">, </w:t>
      </w:r>
      <w:r w:rsidRPr="00AC1A4C">
        <w:rPr>
          <w:rFonts w:ascii="Verdana" w:hAnsi="Verdana"/>
          <w:iCs/>
          <w:sz w:val="16"/>
          <w:szCs w:val="16"/>
          <w:lang w:eastAsia="es-PE"/>
        </w:rPr>
        <w:t>párrs. 25 y 26, y</w:t>
      </w:r>
      <w:r w:rsidRPr="00AC1A4C">
        <w:rPr>
          <w:rFonts w:ascii="Verdana" w:hAnsi="Verdana"/>
          <w:i/>
          <w:sz w:val="16"/>
          <w:szCs w:val="16"/>
          <w:lang w:eastAsia="es-PE"/>
        </w:rPr>
        <w:t xml:space="preserve"> Caso Movilla Galarcio y otros Vs. Colombia</w:t>
      </w:r>
      <w:r w:rsidR="00DC6E92" w:rsidRPr="00AC1A4C">
        <w:rPr>
          <w:rFonts w:ascii="Verdana" w:hAnsi="Verdana"/>
          <w:i/>
          <w:sz w:val="16"/>
          <w:szCs w:val="16"/>
          <w:lang w:eastAsia="es-PE"/>
        </w:rPr>
        <w:t xml:space="preserve">, supra, </w:t>
      </w:r>
      <w:r w:rsidRPr="00AC1A4C">
        <w:rPr>
          <w:rFonts w:ascii="Verdana" w:hAnsi="Verdana"/>
          <w:sz w:val="16"/>
          <w:szCs w:val="16"/>
          <w:lang w:eastAsia="es-PE"/>
        </w:rPr>
        <w:t>párr. 192</w:t>
      </w:r>
      <w:r w:rsidR="000D098D" w:rsidRPr="00AC1A4C">
        <w:rPr>
          <w:rFonts w:ascii="Verdana" w:hAnsi="Verdana"/>
          <w:sz w:val="16"/>
          <w:szCs w:val="16"/>
          <w:lang w:eastAsia="es-PE"/>
        </w:rPr>
        <w:t>.</w:t>
      </w:r>
    </w:p>
  </w:footnote>
  <w:footnote w:id="84">
    <w:p w14:paraId="78455EEB" w14:textId="59088221"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lang w:val="es-CR"/>
        </w:rPr>
        <w:t>Cfr</w:t>
      </w:r>
      <w:r w:rsidRPr="00AC1A4C">
        <w:rPr>
          <w:lang w:val="es-CR"/>
        </w:rPr>
        <w:t xml:space="preserve">. </w:t>
      </w:r>
      <w:r w:rsidRPr="00AC1A4C">
        <w:rPr>
          <w:i/>
          <w:lang w:val="es-CR"/>
        </w:rPr>
        <w:t>Caso Del Caracazo Vs. Venezuela. Reparaciones y Costas.</w:t>
      </w:r>
      <w:r w:rsidRPr="00AC1A4C">
        <w:rPr>
          <w:lang w:val="es-CR"/>
        </w:rPr>
        <w:t xml:space="preserve"> Sentencia de 29 de agosto de 2002. Serie C No. 95, párr. 118, y </w:t>
      </w:r>
      <w:r w:rsidRPr="00AC1A4C">
        <w:rPr>
          <w:i/>
          <w:iCs/>
          <w:lang w:val="es-CR"/>
        </w:rPr>
        <w:t>Caso</w:t>
      </w:r>
      <w:r w:rsidR="006F66EB" w:rsidRPr="00AC1A4C">
        <w:rPr>
          <w:rFonts w:cs="Verdana"/>
          <w:i/>
          <w:lang w:val="es-CR"/>
        </w:rPr>
        <w:t xml:space="preserve"> Movilla Galarcio y otros Vs. Colombia, supra, </w:t>
      </w:r>
      <w:r w:rsidR="006F66EB" w:rsidRPr="00AC1A4C">
        <w:rPr>
          <w:rFonts w:cs="Verdana"/>
          <w:iCs/>
          <w:lang w:val="es-CR"/>
        </w:rPr>
        <w:t>párr. 200.</w:t>
      </w:r>
    </w:p>
  </w:footnote>
  <w:footnote w:id="85">
    <w:p w14:paraId="18574719" w14:textId="7023DC79"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 xml:space="preserve">Cfr. </w:t>
      </w:r>
      <w:r w:rsidRPr="00AC1A4C">
        <w:rPr>
          <w:rFonts w:cs="Open Sans"/>
          <w:i/>
          <w:iCs/>
          <w:shd w:val="clear" w:color="auto" w:fill="FFFFFF"/>
          <w:lang w:val="es-CR"/>
        </w:rPr>
        <w:t>Caso Cepeda Vargas Vs. Colombia. Excepciones Preliminares, Fondo, Reparaciones y Costas</w:t>
      </w:r>
      <w:r w:rsidRPr="00AC1A4C">
        <w:rPr>
          <w:rFonts w:cs="Open Sans"/>
          <w:shd w:val="clear" w:color="auto" w:fill="FFFFFF"/>
          <w:lang w:val="es-CR"/>
        </w:rPr>
        <w:t xml:space="preserve">. Sentencia de 26 de mayo de 2010. Serie C No. 213, </w:t>
      </w:r>
      <w:r w:rsidRPr="00AC1A4C">
        <w:rPr>
          <w:lang w:val="es-CR"/>
        </w:rPr>
        <w:t>párr. 119</w:t>
      </w:r>
      <w:r w:rsidR="00A93D98" w:rsidRPr="00AC1A4C">
        <w:rPr>
          <w:lang w:val="es-CR"/>
        </w:rPr>
        <w:t>.</w:t>
      </w:r>
    </w:p>
  </w:footnote>
  <w:footnote w:id="86">
    <w:p w14:paraId="25FE5489" w14:textId="5E677CB7"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Mutadis Mutandis</w:t>
      </w:r>
      <w:r w:rsidRPr="00AC1A4C">
        <w:rPr>
          <w:lang w:val="es-CR"/>
        </w:rPr>
        <w:t xml:space="preserve">. Peritaje </w:t>
      </w:r>
      <w:r w:rsidR="00450BDC" w:rsidRPr="00AC1A4C">
        <w:rPr>
          <w:lang w:val="es-CR"/>
        </w:rPr>
        <w:t xml:space="preserve">de </w:t>
      </w:r>
      <w:r w:rsidRPr="00AC1A4C">
        <w:rPr>
          <w:lang w:val="es-CR"/>
        </w:rPr>
        <w:t>Luz Adriana Camargo Garzón</w:t>
      </w:r>
      <w:r w:rsidR="00450BDC" w:rsidRPr="00AC1A4C">
        <w:rPr>
          <w:lang w:val="es-CR"/>
        </w:rPr>
        <w:t xml:space="preserve"> </w:t>
      </w:r>
      <w:r w:rsidRPr="00AC1A4C">
        <w:rPr>
          <w:lang w:val="es-CR"/>
        </w:rPr>
        <w:t>(expediente de prueba, folio</w:t>
      </w:r>
      <w:r w:rsidR="001B657D" w:rsidRPr="00AC1A4C">
        <w:rPr>
          <w:lang w:val="es-CR"/>
        </w:rPr>
        <w:t>s</w:t>
      </w:r>
      <w:r w:rsidRPr="00AC1A4C">
        <w:rPr>
          <w:lang w:val="es-CR"/>
        </w:rPr>
        <w:t xml:space="preserve"> 2586 a 2602).</w:t>
      </w:r>
    </w:p>
  </w:footnote>
  <w:footnote w:id="87">
    <w:p w14:paraId="28FDC637" w14:textId="00D61855"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t>Los representantes solicitaron que, con motivo de la alegada obligación de investigar los hechos del presente caso, el Estado divulgue pública y ampliamente los resultados de las investigaciones, para que la sociedad hondureña los conozca, ya que esta medida no solo beneficiaría a los familiares sino también a la sociedad como un todo.</w:t>
      </w:r>
    </w:p>
  </w:footnote>
  <w:footnote w:id="88">
    <w:p w14:paraId="2AA9F988" w14:textId="56E63DF8" w:rsidR="00FF277B" w:rsidRPr="00AC1A4C" w:rsidRDefault="00FF277B" w:rsidP="00AC1A4C">
      <w:pPr>
        <w:spacing w:after="40"/>
        <w:jc w:val="both"/>
        <w:rPr>
          <w:rFonts w:ascii="Verdana" w:hAnsi="Verdana"/>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r>
      <w:r w:rsidRPr="00AC1A4C">
        <w:rPr>
          <w:rFonts w:ascii="Verdana" w:hAnsi="Verdana"/>
          <w:i/>
          <w:iCs/>
          <w:sz w:val="16"/>
          <w:szCs w:val="16"/>
        </w:rPr>
        <w:t>Cfr. Caso del Caracazo Vs. Venezuela. Reparaciones y Costas</w:t>
      </w:r>
      <w:r w:rsidR="00401038" w:rsidRPr="00AC1A4C">
        <w:rPr>
          <w:rFonts w:ascii="Verdana" w:hAnsi="Verdana"/>
          <w:i/>
          <w:iCs/>
          <w:sz w:val="16"/>
          <w:szCs w:val="16"/>
        </w:rPr>
        <w:t>, supra</w:t>
      </w:r>
      <w:r w:rsidRPr="00AC1A4C">
        <w:rPr>
          <w:rFonts w:ascii="Verdana" w:hAnsi="Verdana"/>
          <w:sz w:val="16"/>
          <w:szCs w:val="16"/>
        </w:rPr>
        <w:t xml:space="preserve">, párr.118, y </w:t>
      </w:r>
      <w:r w:rsidRPr="00AC1A4C">
        <w:rPr>
          <w:rFonts w:ascii="Verdana" w:hAnsi="Verdana"/>
          <w:i/>
          <w:iCs/>
          <w:sz w:val="16"/>
          <w:szCs w:val="16"/>
        </w:rPr>
        <w:t xml:space="preserve">Caso Maidanik y otros Vs. Uruguay. Fondo y Reparaciones. </w:t>
      </w:r>
      <w:r w:rsidRPr="00AC1A4C">
        <w:rPr>
          <w:rFonts w:ascii="Verdana" w:hAnsi="Verdana"/>
          <w:sz w:val="16"/>
          <w:szCs w:val="16"/>
        </w:rPr>
        <w:t>Sentencia de 15 de noviembre de 2021. Serie C No. 444, párr. 215.</w:t>
      </w:r>
    </w:p>
  </w:footnote>
  <w:footnote w:id="89">
    <w:p w14:paraId="55D6B02B" w14:textId="2102D561"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lang w:val="es-CR"/>
        </w:rPr>
        <w:t>Cfr</w:t>
      </w:r>
      <w:r w:rsidRPr="00AC1A4C">
        <w:rPr>
          <w:lang w:val="es-CR"/>
        </w:rPr>
        <w:t xml:space="preserve">. </w:t>
      </w:r>
      <w:r w:rsidRPr="00AC1A4C">
        <w:rPr>
          <w:i/>
          <w:lang w:val="es-CR"/>
        </w:rPr>
        <w:t>Caso Barrios Altos Vs. Perú. Fondo.</w:t>
      </w:r>
      <w:r w:rsidRPr="00AC1A4C">
        <w:rPr>
          <w:lang w:val="es-CR"/>
        </w:rPr>
        <w:t xml:space="preserve"> Sentencia de 14 de marzo de 2001. Serie C No. 75, párr. 41, y </w:t>
      </w:r>
      <w:r w:rsidR="00CC32C2" w:rsidRPr="00AC1A4C">
        <w:rPr>
          <w:i/>
          <w:iCs/>
          <w:lang w:val="es-CR"/>
        </w:rPr>
        <w:t>C</w:t>
      </w:r>
      <w:r w:rsidRPr="00AC1A4C">
        <w:rPr>
          <w:i/>
          <w:iCs/>
          <w:lang w:val="es-CR"/>
        </w:rPr>
        <w:t>aso Casierra Quiñonez Y Otros Vs. Ecuador. Excepción preliminar, Fondo y Reparaciones</w:t>
      </w:r>
      <w:r w:rsidRPr="00AC1A4C">
        <w:rPr>
          <w:lang w:val="es-CR"/>
        </w:rPr>
        <w:t>. Sentencia de 11 de mayo de 2022</w:t>
      </w:r>
      <w:r w:rsidRPr="00AC1A4C">
        <w:rPr>
          <w:rFonts w:cs="Open Sans"/>
          <w:shd w:val="clear" w:color="auto" w:fill="FFFFFF"/>
          <w:lang w:val="es-CR"/>
        </w:rPr>
        <w:t xml:space="preserve">. </w:t>
      </w:r>
      <w:r w:rsidR="00CC32C2" w:rsidRPr="00AC1A4C">
        <w:rPr>
          <w:rFonts w:cs="Open Sans"/>
          <w:shd w:val="clear" w:color="auto" w:fill="FFFFFF"/>
          <w:lang w:val="es-CR"/>
        </w:rPr>
        <w:t>Serie C No. 450</w:t>
      </w:r>
      <w:r w:rsidRPr="00AC1A4C">
        <w:rPr>
          <w:rFonts w:cs="Open Sans"/>
          <w:shd w:val="clear" w:color="auto" w:fill="FFFFFF"/>
          <w:lang w:val="es-CR"/>
        </w:rPr>
        <w:t>, párr. 177.</w:t>
      </w:r>
    </w:p>
  </w:footnote>
  <w:footnote w:id="90">
    <w:p w14:paraId="283152B1" w14:textId="04C0B672"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La Corte advierte que el perito Salvioli señaló la necesidad </w:t>
      </w:r>
      <w:r w:rsidR="00CC32C2" w:rsidRPr="00AC1A4C">
        <w:rPr>
          <w:lang w:val="es-CR"/>
        </w:rPr>
        <w:t xml:space="preserve">de </w:t>
      </w:r>
      <w:r w:rsidRPr="00AC1A4C">
        <w:rPr>
          <w:lang w:val="es-CR"/>
        </w:rPr>
        <w:t>“clarificar los marcos de actuación de la Fiscalía Especial de Derechos Humanos, de manera tal que su labor no se vea entorpecida por la Fiscalía Especial de Delitos contra la Vida, que debe inhibirse de actuar cuando los hechos revelen la posible actuación directa o indirecta de agentes del Estado, comprometiendo la responsabilidad de éste por violación a los derechos humanos”</w:t>
      </w:r>
      <w:r w:rsidR="00CC32C2" w:rsidRPr="00AC1A4C">
        <w:rPr>
          <w:lang w:val="es-CR"/>
        </w:rPr>
        <w:t xml:space="preserve">. Peritaje de Fabián Omar Salvioli de 21 de abril de 2022 </w:t>
      </w:r>
      <w:r w:rsidRPr="00AC1A4C">
        <w:rPr>
          <w:lang w:val="es-CR"/>
        </w:rPr>
        <w:t>(expediente de prueba, folio 2358).</w:t>
      </w:r>
    </w:p>
  </w:footnote>
  <w:footnote w:id="91">
    <w:p w14:paraId="073E0774" w14:textId="2ACDFC7A" w:rsidR="00FF277B" w:rsidRPr="00AC1A4C" w:rsidRDefault="00FF277B" w:rsidP="00AC1A4C">
      <w:pPr>
        <w:autoSpaceDE w:val="0"/>
        <w:autoSpaceDN w:val="0"/>
        <w:adjustRightInd w:val="0"/>
        <w:spacing w:after="40"/>
        <w:jc w:val="both"/>
        <w:rPr>
          <w:rFonts w:ascii="Verdana" w:hAnsi="Verdana" w:cs="Open Sans"/>
          <w:color w:val="494848"/>
          <w:sz w:val="16"/>
          <w:szCs w:val="16"/>
          <w:shd w:val="clear" w:color="auto" w:fill="FFFFFF"/>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r>
      <w:r w:rsidRPr="00AC1A4C">
        <w:rPr>
          <w:rFonts w:ascii="Verdana" w:hAnsi="Verdana"/>
          <w:i/>
          <w:sz w:val="16"/>
          <w:szCs w:val="16"/>
        </w:rPr>
        <w:t>Cfr.</w:t>
      </w:r>
      <w:r w:rsidRPr="00AC1A4C">
        <w:rPr>
          <w:rFonts w:ascii="Verdana" w:hAnsi="Verdana"/>
          <w:b/>
          <w:i/>
          <w:sz w:val="16"/>
          <w:szCs w:val="16"/>
        </w:rPr>
        <w:t xml:space="preserve"> </w:t>
      </w:r>
      <w:r w:rsidRPr="00AC1A4C">
        <w:rPr>
          <w:rFonts w:ascii="Verdana" w:hAnsi="Verdana"/>
          <w:i/>
          <w:sz w:val="16"/>
          <w:szCs w:val="16"/>
        </w:rPr>
        <w:t>Caso Velásquez Rodríguez Vs. Honduras. Fondo</w:t>
      </w:r>
      <w:r w:rsidRPr="00AC1A4C">
        <w:rPr>
          <w:rFonts w:ascii="Verdana" w:hAnsi="Verdana"/>
          <w:sz w:val="16"/>
          <w:szCs w:val="16"/>
        </w:rPr>
        <w:t xml:space="preserve">, </w:t>
      </w:r>
      <w:r w:rsidR="00003AFC" w:rsidRPr="00AC1A4C">
        <w:rPr>
          <w:rFonts w:ascii="Verdana" w:hAnsi="Verdana"/>
          <w:i/>
          <w:iCs/>
          <w:sz w:val="16"/>
          <w:szCs w:val="16"/>
        </w:rPr>
        <w:t xml:space="preserve">supra, </w:t>
      </w:r>
      <w:r w:rsidRPr="00AC1A4C">
        <w:rPr>
          <w:rFonts w:ascii="Verdana" w:hAnsi="Verdana"/>
          <w:sz w:val="16"/>
          <w:szCs w:val="16"/>
        </w:rPr>
        <w:t xml:space="preserve">párr. 174; </w:t>
      </w:r>
      <w:r w:rsidRPr="00AC1A4C">
        <w:rPr>
          <w:rFonts w:ascii="Verdana" w:hAnsi="Verdana"/>
          <w:i/>
          <w:iCs/>
          <w:sz w:val="16"/>
          <w:szCs w:val="16"/>
        </w:rPr>
        <w:t>1</w:t>
      </w:r>
      <w:r w:rsidRPr="00AC1A4C">
        <w:rPr>
          <w:rFonts w:ascii="Verdana" w:hAnsi="Verdana" w:cs="Open Sans"/>
          <w:i/>
          <w:iCs/>
          <w:sz w:val="16"/>
          <w:szCs w:val="16"/>
          <w:shd w:val="clear" w:color="auto" w:fill="FFFFFF"/>
        </w:rPr>
        <w:t>2 Casos Guatemaltecos Vs. Guatemala. Supervisión de Cumplimiento de Sentencia.</w:t>
      </w:r>
      <w:r w:rsidRPr="00AC1A4C">
        <w:rPr>
          <w:rFonts w:ascii="Verdana" w:hAnsi="Verdana" w:cs="Open Sans"/>
          <w:sz w:val="16"/>
          <w:szCs w:val="16"/>
          <w:shd w:val="clear" w:color="auto" w:fill="FFFFFF"/>
        </w:rPr>
        <w:t xml:space="preserve"> Resolución de la Corte Interamericana de Derechos Humanos de 24 de noviembre de 2015, párr. 40, y </w:t>
      </w:r>
      <w:r w:rsidRPr="00AC1A4C">
        <w:rPr>
          <w:rFonts w:ascii="Verdana" w:hAnsi="Verdana" w:cs="Open Sans"/>
          <w:i/>
          <w:iCs/>
          <w:sz w:val="16"/>
          <w:szCs w:val="16"/>
          <w:shd w:val="clear" w:color="auto" w:fill="FFFFFF"/>
        </w:rPr>
        <w:t>Caso Masacre de la Aldea Los Josefinos Vs. Guatemala. Excepción Preliminar, Fondo, Reparaciones y Costas.</w:t>
      </w:r>
      <w:r w:rsidRPr="00AC1A4C">
        <w:rPr>
          <w:rFonts w:ascii="Verdana" w:hAnsi="Verdana" w:cs="Open Sans"/>
          <w:sz w:val="16"/>
          <w:szCs w:val="16"/>
          <w:shd w:val="clear" w:color="auto" w:fill="FFFFFF"/>
        </w:rPr>
        <w:t xml:space="preserve"> Sentencia de 3 de noviembre de 2021. Serie C No. 442, párr. 143</w:t>
      </w:r>
      <w:r w:rsidR="00A93D98" w:rsidRPr="00AC1A4C">
        <w:rPr>
          <w:rFonts w:ascii="Verdana" w:hAnsi="Verdana" w:cs="Open Sans"/>
          <w:sz w:val="16"/>
          <w:szCs w:val="16"/>
          <w:shd w:val="clear" w:color="auto" w:fill="FFFFFF"/>
        </w:rPr>
        <w:t>.</w:t>
      </w:r>
    </w:p>
  </w:footnote>
  <w:footnote w:id="92">
    <w:p w14:paraId="71B094A0" w14:textId="75AB9AD2"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t>Tras la dete</w:t>
      </w:r>
      <w:r w:rsidR="00C012C6" w:rsidRPr="00AC1A4C">
        <w:rPr>
          <w:lang w:val="es-CR"/>
        </w:rPr>
        <w:t>n</w:t>
      </w:r>
      <w:r w:rsidRPr="00AC1A4C">
        <w:rPr>
          <w:lang w:val="es-CR"/>
        </w:rPr>
        <w:t xml:space="preserve">ción de 8 de junio de 1984, los familiares del señor Deras García y otras “personas detenidas” fueron “acusa[dos] de terroristas y de atentar contra la seguridad del Estado bajo el delito de [s]edición”. A propósito, los parientes de las personas detenidas y la abogada </w:t>
      </w:r>
      <w:r w:rsidR="009B12AA" w:rsidRPr="00AC1A4C">
        <w:rPr>
          <w:lang w:val="es-CR"/>
        </w:rPr>
        <w:t xml:space="preserve">y </w:t>
      </w:r>
      <w:r w:rsidRPr="00AC1A4C">
        <w:rPr>
          <w:lang w:val="es-CR"/>
        </w:rPr>
        <w:t>esposa de</w:t>
      </w:r>
      <w:r w:rsidR="009B12AA" w:rsidRPr="00AC1A4C">
        <w:rPr>
          <w:lang w:val="es-CR"/>
        </w:rPr>
        <w:t xml:space="preserve"> otra persona </w:t>
      </w:r>
      <w:r w:rsidRPr="00AC1A4C">
        <w:rPr>
          <w:lang w:val="es-CR"/>
        </w:rPr>
        <w:t xml:space="preserve">también </w:t>
      </w:r>
      <w:r w:rsidR="00045016" w:rsidRPr="00AC1A4C">
        <w:rPr>
          <w:lang w:val="es-CR"/>
        </w:rPr>
        <w:t>detenida</w:t>
      </w:r>
      <w:r w:rsidRPr="00AC1A4C">
        <w:rPr>
          <w:lang w:val="es-CR"/>
        </w:rPr>
        <w:t xml:space="preserve"> presentaron ante el Juez de Letras de Seccional de El Progreso un habeas corpus, el cual fue rechazado. El 11 de junio de 1984, “los miembros de la familia Deras y el resto de detenidos llegaron […] al Juzgado Seccional de Letras de El Progreso Yoro”, sin embargo, “por falta de pruebas a los detenidos se les decretó libertad provisional, aunque “debieron pagar una fianza colectiva por el delito de [s]edición”. Inicialmente el total detenidos era de 24 personas, pero </w:t>
      </w:r>
      <w:r w:rsidR="006846A8" w:rsidRPr="00AC1A4C">
        <w:rPr>
          <w:lang w:val="es-CR"/>
        </w:rPr>
        <w:t xml:space="preserve">al día siguiente, </w:t>
      </w:r>
      <w:r w:rsidRPr="00AC1A4C">
        <w:rPr>
          <w:lang w:val="es-CR"/>
        </w:rPr>
        <w:t xml:space="preserve">el </w:t>
      </w:r>
      <w:r w:rsidR="006846A8" w:rsidRPr="00AC1A4C">
        <w:rPr>
          <w:lang w:val="es-CR"/>
        </w:rPr>
        <w:t>9</w:t>
      </w:r>
      <w:r w:rsidRPr="00AC1A4C">
        <w:rPr>
          <w:lang w:val="es-CR"/>
        </w:rPr>
        <w:t xml:space="preserve"> de junio de 1984 fueron liberados Domingo Deras</w:t>
      </w:r>
      <w:r w:rsidR="006846A8" w:rsidRPr="00AC1A4C">
        <w:rPr>
          <w:lang w:val="es-CR"/>
        </w:rPr>
        <w:t xml:space="preserve"> Henríquez,</w:t>
      </w:r>
      <w:r w:rsidRPr="00AC1A4C">
        <w:rPr>
          <w:lang w:val="es-CR"/>
        </w:rPr>
        <w:t xml:space="preserve"> José Herminio</w:t>
      </w:r>
      <w:r w:rsidR="006846A8" w:rsidRPr="00AC1A4C">
        <w:rPr>
          <w:lang w:val="es-CR"/>
        </w:rPr>
        <w:t xml:space="preserve"> García</w:t>
      </w:r>
      <w:r w:rsidRPr="00AC1A4C">
        <w:rPr>
          <w:lang w:val="es-CR"/>
        </w:rPr>
        <w:t xml:space="preserve"> y Consuelo Deras García. Así, Irma Deras García, Marlen García Pineda, Sandra Ivón Hernández, Julio Cesar Chavarría Banegas, Cristóbal Rufino Hernández y Hector García fueron liberados hasta el 11 de junio de 1984. </w:t>
      </w:r>
      <w:r w:rsidR="006B329E" w:rsidRPr="00AC1A4C">
        <w:rPr>
          <w:lang w:val="es-CR"/>
        </w:rPr>
        <w:t>De otra parte,</w:t>
      </w:r>
      <w:r w:rsidRPr="00AC1A4C">
        <w:rPr>
          <w:lang w:val="es-CR"/>
        </w:rPr>
        <w:t xml:space="preserve"> el 26 de noviembre de 1981 Otilia Flores y Elba Flores Ortiz “fueron obligadas a firmar una hoja en blanco; fichadas, y fotografiadas con placas colgando de su cuello con el número correspondiente</w:t>
      </w:r>
      <w:r w:rsidR="00265C3E" w:rsidRPr="00AC1A4C">
        <w:rPr>
          <w:lang w:val="es-CR"/>
        </w:rPr>
        <w:t>”</w:t>
      </w:r>
      <w:r w:rsidRPr="00AC1A4C">
        <w:rPr>
          <w:lang w:val="es-CR"/>
        </w:rPr>
        <w:t>.</w:t>
      </w:r>
      <w:r w:rsidR="006846A8" w:rsidRPr="00AC1A4C">
        <w:rPr>
          <w:lang w:val="es-CR"/>
        </w:rPr>
        <w:t xml:space="preserve"> </w:t>
      </w:r>
      <w:r w:rsidR="006846A8" w:rsidRPr="00AC1A4C">
        <w:rPr>
          <w:i/>
          <w:iCs/>
          <w:lang w:val="es-CR"/>
        </w:rPr>
        <w:t xml:space="preserve">Cfr. </w:t>
      </w:r>
      <w:r w:rsidR="006846A8" w:rsidRPr="00AC1A4C">
        <w:rPr>
          <w:lang w:val="es-CR"/>
        </w:rPr>
        <w:t>Escrito de solicitudes, argumentos y prueba (expediente de fondo, folio</w:t>
      </w:r>
      <w:r w:rsidR="0097702C" w:rsidRPr="00AC1A4C">
        <w:rPr>
          <w:lang w:val="es-CR"/>
        </w:rPr>
        <w:t xml:space="preserve">s 109 y 166), </w:t>
      </w:r>
      <w:r w:rsidR="00B27E2D" w:rsidRPr="00AC1A4C">
        <w:rPr>
          <w:lang w:val="es-CR"/>
        </w:rPr>
        <w:t>Artículo titulado como "Liberan bajo fianza a arresta” en el periódico “Tiempo” de 12 de junio de 1984 (expediente de prueba, folio 1954)</w:t>
      </w:r>
      <w:r w:rsidR="006846A8" w:rsidRPr="00AC1A4C">
        <w:rPr>
          <w:lang w:val="es-CR"/>
        </w:rPr>
        <w:t xml:space="preserve">. </w:t>
      </w:r>
    </w:p>
  </w:footnote>
  <w:footnote w:id="93">
    <w:p w14:paraId="1E42B3C4" w14:textId="77777777"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Mutatis mutandis</w:t>
      </w:r>
      <w:r w:rsidRPr="00AC1A4C">
        <w:rPr>
          <w:lang w:val="es-CR"/>
        </w:rPr>
        <w:t xml:space="preserve">. </w:t>
      </w:r>
      <w:r w:rsidRPr="00AC1A4C">
        <w:rPr>
          <w:i/>
          <w:iCs/>
          <w:lang w:val="es-CR"/>
        </w:rPr>
        <w:t xml:space="preserve">Caso Palacio Urrutia y otros Vs. Ecuador. Fondo, Reparaciones y Costas. </w:t>
      </w:r>
      <w:r w:rsidRPr="00AC1A4C">
        <w:rPr>
          <w:lang w:val="es-CR"/>
        </w:rPr>
        <w:t>Sentencia de 24 de noviembre de 2021. Serie C No. 446, párr. 171.</w:t>
      </w:r>
    </w:p>
  </w:footnote>
  <w:footnote w:id="94">
    <w:p w14:paraId="7FF72092" w14:textId="09D63155" w:rsidR="00FF277B" w:rsidRPr="00AC1A4C" w:rsidRDefault="00FF277B" w:rsidP="00AC1A4C">
      <w:pPr>
        <w:spacing w:after="40"/>
        <w:jc w:val="both"/>
        <w:rPr>
          <w:rFonts w:ascii="Verdana" w:hAnsi="Verdana"/>
          <w:sz w:val="16"/>
          <w:szCs w:val="16"/>
          <w:lang w:eastAsia="es-CR"/>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r>
      <w:r w:rsidRPr="00AC1A4C">
        <w:rPr>
          <w:rFonts w:ascii="Verdana" w:hAnsi="Verdana"/>
          <w:i/>
          <w:iCs/>
          <w:sz w:val="16"/>
          <w:szCs w:val="16"/>
        </w:rPr>
        <w:t>Cfr. Caso Kawas Fernández Vs. Honduras. Fondo, Reparaciones y Costas</w:t>
      </w:r>
      <w:r w:rsidRPr="00AC1A4C">
        <w:rPr>
          <w:rFonts w:ascii="Verdana" w:hAnsi="Verdana"/>
          <w:sz w:val="16"/>
          <w:szCs w:val="16"/>
        </w:rPr>
        <w:t>. Sentencia de 3 de abril de 2009. Serie C No. 196, párr. 209</w:t>
      </w:r>
      <w:r w:rsidRPr="00AC1A4C">
        <w:rPr>
          <w:rFonts w:ascii="Verdana" w:hAnsi="Verdana" w:cs="Arial"/>
          <w:sz w:val="16"/>
          <w:szCs w:val="16"/>
          <w:shd w:val="clear" w:color="auto" w:fill="FFFFFF"/>
        </w:rPr>
        <w:t xml:space="preserve">, y </w:t>
      </w:r>
      <w:r w:rsidRPr="00AC1A4C">
        <w:rPr>
          <w:rFonts w:ascii="Verdana" w:hAnsi="Verdana"/>
          <w:i/>
          <w:iCs/>
          <w:sz w:val="16"/>
          <w:szCs w:val="16"/>
        </w:rPr>
        <w:t>Caso Casierra Quiñonez y otros Vs. Ecuador</w:t>
      </w:r>
      <w:r w:rsidR="009B12AA" w:rsidRPr="00AC1A4C">
        <w:rPr>
          <w:rFonts w:ascii="Verdana" w:hAnsi="Verdana"/>
          <w:i/>
          <w:iCs/>
          <w:sz w:val="16"/>
          <w:szCs w:val="16"/>
        </w:rPr>
        <w:t>, supra</w:t>
      </w:r>
      <w:r w:rsidRPr="00AC1A4C">
        <w:rPr>
          <w:rFonts w:ascii="Verdana" w:hAnsi="Verdana"/>
          <w:sz w:val="16"/>
          <w:szCs w:val="16"/>
        </w:rPr>
        <w:t>, párr. 1</w:t>
      </w:r>
      <w:r w:rsidR="007B081C" w:rsidRPr="00AC1A4C">
        <w:rPr>
          <w:rFonts w:ascii="Verdana" w:hAnsi="Verdana"/>
          <w:sz w:val="16"/>
          <w:szCs w:val="16"/>
        </w:rPr>
        <w:t>88</w:t>
      </w:r>
      <w:r w:rsidRPr="00AC1A4C">
        <w:rPr>
          <w:rFonts w:ascii="Verdana" w:hAnsi="Verdana"/>
          <w:sz w:val="16"/>
          <w:szCs w:val="16"/>
        </w:rPr>
        <w:t xml:space="preserve">. </w:t>
      </w:r>
    </w:p>
  </w:footnote>
  <w:footnote w:id="95">
    <w:p w14:paraId="04B61620" w14:textId="23D3236C" w:rsidR="000B3DE9" w:rsidRPr="00AC1A4C" w:rsidRDefault="000B3DE9"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 xml:space="preserve">Véase, </w:t>
      </w:r>
      <w:r w:rsidRPr="00AC1A4C">
        <w:rPr>
          <w:lang w:val="es-CR"/>
        </w:rPr>
        <w:t xml:space="preserve">por ejemplo, </w:t>
      </w:r>
      <w:r w:rsidRPr="00AC1A4C">
        <w:rPr>
          <w:i/>
          <w:iCs/>
          <w:lang w:val="es-CR"/>
        </w:rPr>
        <w:t xml:space="preserve">Caso Maidanik y otros Vs. Uruguay. Fondo y Reparaciones, supra, </w:t>
      </w:r>
      <w:r w:rsidRPr="00AC1A4C">
        <w:rPr>
          <w:lang w:val="es-CR"/>
        </w:rPr>
        <w:t xml:space="preserve">párr. 227, y </w:t>
      </w:r>
      <w:r w:rsidRPr="00AC1A4C">
        <w:rPr>
          <w:i/>
          <w:iCs/>
          <w:lang w:val="es-CR"/>
        </w:rPr>
        <w:t xml:space="preserve">Caso Casierra Quiñonez y otros Vs. Ecuador, supra, </w:t>
      </w:r>
      <w:r w:rsidRPr="00AC1A4C">
        <w:rPr>
          <w:lang w:val="es-CR"/>
        </w:rPr>
        <w:t>párr. 188</w:t>
      </w:r>
      <w:r w:rsidR="00406C10" w:rsidRPr="00AC1A4C">
        <w:rPr>
          <w:lang w:val="es-CR"/>
        </w:rPr>
        <w:t>.</w:t>
      </w:r>
      <w:r w:rsidRPr="00AC1A4C">
        <w:rPr>
          <w:lang w:val="es-CR"/>
        </w:rPr>
        <w:t xml:space="preserve"> </w:t>
      </w:r>
    </w:p>
  </w:footnote>
  <w:footnote w:id="96">
    <w:p w14:paraId="6CED3A94" w14:textId="32C74E5A"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r>
      <w:r w:rsidR="000B3DE9" w:rsidRPr="00AC1A4C">
        <w:rPr>
          <w:i/>
          <w:iCs/>
          <w:lang w:val="es-CR"/>
        </w:rPr>
        <w:t xml:space="preserve">Cfr. </w:t>
      </w:r>
      <w:r w:rsidRPr="00AC1A4C">
        <w:rPr>
          <w:i/>
          <w:iCs/>
          <w:lang w:val="es-CR"/>
        </w:rPr>
        <w:t>Caso Manuela y otros Vs. El Salvador. Excepciones preliminares, Fondo, Reparaciones y Costas</w:t>
      </w:r>
      <w:r w:rsidRPr="00AC1A4C">
        <w:rPr>
          <w:lang w:val="es-CR"/>
        </w:rPr>
        <w:t>. Sentencia de 2 de noviembre de 2021. Serie C No. 441, párr. 282.</w:t>
      </w:r>
    </w:p>
  </w:footnote>
  <w:footnote w:id="97">
    <w:p w14:paraId="63ED3E65" w14:textId="608A4EDB" w:rsidR="00FF277B" w:rsidRPr="00AC1A4C" w:rsidRDefault="00FF277B" w:rsidP="00AC1A4C">
      <w:pPr>
        <w:pStyle w:val="Textonotapie"/>
        <w:tabs>
          <w:tab w:val="left" w:pos="567"/>
        </w:tabs>
        <w:spacing w:after="40"/>
        <w:jc w:val="both"/>
      </w:pPr>
      <w:r w:rsidRPr="00AC1A4C">
        <w:rPr>
          <w:rStyle w:val="Refdenotaalpie"/>
        </w:rPr>
        <w:footnoteRef/>
      </w:r>
      <w:r w:rsidRPr="00AC1A4C">
        <w:t xml:space="preserve"> </w:t>
      </w:r>
      <w:r w:rsidRPr="00AC1A4C">
        <w:tab/>
      </w:r>
      <w:r w:rsidRPr="00AC1A4C">
        <w:rPr>
          <w:i/>
        </w:rPr>
        <w:t>Cfr</w:t>
      </w:r>
      <w:r w:rsidRPr="00AC1A4C">
        <w:t xml:space="preserve">. </w:t>
      </w:r>
      <w:r w:rsidRPr="00AC1A4C">
        <w:rPr>
          <w:i/>
        </w:rPr>
        <w:t>Caso Cantoral Benavides Vs. Perú. Reparaciones y Costas.</w:t>
      </w:r>
      <w:r w:rsidRPr="00AC1A4C">
        <w:t xml:space="preserve"> Sentencia de 3 de diciembre de 2001. Serie C No. 88, párr. 79, </w:t>
      </w:r>
      <w:r w:rsidRPr="00AC1A4C">
        <w:rPr>
          <w:i/>
        </w:rPr>
        <w:t xml:space="preserve">y </w:t>
      </w:r>
      <w:r w:rsidR="000A3553" w:rsidRPr="00AC1A4C">
        <w:rPr>
          <w:i/>
        </w:rPr>
        <w:t xml:space="preserve">Caso Guevara Díaz Vs. Costa Rica, supra, </w:t>
      </w:r>
      <w:r w:rsidR="000A3553" w:rsidRPr="00AC1A4C">
        <w:rPr>
          <w:iCs/>
        </w:rPr>
        <w:t>párr. 92</w:t>
      </w:r>
      <w:r w:rsidR="00B36DF3" w:rsidRPr="00AC1A4C">
        <w:rPr>
          <w:iCs/>
        </w:rPr>
        <w:t>.</w:t>
      </w:r>
    </w:p>
  </w:footnote>
  <w:footnote w:id="98">
    <w:p w14:paraId="147B7AF8" w14:textId="32C8E873"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t xml:space="preserve">Véase, por ejemplo, </w:t>
      </w:r>
      <w:r w:rsidRPr="00AC1A4C">
        <w:rPr>
          <w:i/>
          <w:iCs/>
          <w:lang w:val="es-CR"/>
        </w:rPr>
        <w:t>Caso del Penal Miguel Castro Castro Vs. Perú. Fondo, Reparaciones y Costas</w:t>
      </w:r>
      <w:r w:rsidRPr="00AC1A4C">
        <w:rPr>
          <w:lang w:val="es-CR"/>
        </w:rPr>
        <w:t xml:space="preserve">. Sentencia de 25 de noviembre de 2006. Serie C No. 160, párr. 445, </w:t>
      </w:r>
      <w:r w:rsidRPr="00AC1A4C">
        <w:rPr>
          <w:rFonts w:cs="Open Sans"/>
          <w:i/>
          <w:iCs/>
          <w:shd w:val="clear" w:color="auto" w:fill="FFFFFF"/>
          <w:lang w:val="es-CR"/>
        </w:rPr>
        <w:t xml:space="preserve">Caso Pavez Pavez Vs. Chile. Fondo, Reparaciones y Costas. </w:t>
      </w:r>
      <w:r w:rsidRPr="00AC1A4C">
        <w:rPr>
          <w:rFonts w:cs="Open Sans"/>
          <w:shd w:val="clear" w:color="auto" w:fill="FFFFFF"/>
          <w:lang w:val="es-CR"/>
        </w:rPr>
        <w:t>Sentencia de 4 de febrero de 2022. Serie C No. 449, párr. 173</w:t>
      </w:r>
      <w:r w:rsidR="004D6B34" w:rsidRPr="00AC1A4C">
        <w:rPr>
          <w:rFonts w:cs="Open Sans"/>
          <w:shd w:val="clear" w:color="auto" w:fill="FFFFFF"/>
          <w:lang w:val="es-CR"/>
        </w:rPr>
        <w:t xml:space="preserve">, y </w:t>
      </w:r>
      <w:r w:rsidR="004D6B34" w:rsidRPr="00AC1A4C">
        <w:rPr>
          <w:rFonts w:cs="Open Sans"/>
          <w:i/>
          <w:iCs/>
          <w:shd w:val="clear" w:color="auto" w:fill="FFFFFF"/>
          <w:lang w:val="es-CR"/>
        </w:rPr>
        <w:t xml:space="preserve">Caso Movilla Galarcio y otros Vs. Colombia, supra, </w:t>
      </w:r>
      <w:r w:rsidR="004D6B34" w:rsidRPr="00AC1A4C">
        <w:rPr>
          <w:rFonts w:cs="Open Sans"/>
          <w:shd w:val="clear" w:color="auto" w:fill="FFFFFF"/>
          <w:lang w:val="es-CR"/>
        </w:rPr>
        <w:t>párr. 225.</w:t>
      </w:r>
    </w:p>
  </w:footnote>
  <w:footnote w:id="99">
    <w:p w14:paraId="602945E5" w14:textId="521D8B84"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t xml:space="preserve">Los representantes solicitaron, como parte de una política pública integral dirigida a la promoción de la memoria histórica: (a) “instituir una política pública de memoria que garantice a los ciudadanos que serán reconocidos como víctimas y reconocer que históricamente han generado procesos para desconocerlos, y acceder a este reconocimiento con garantías”, y “que incluya garantías suficientes para proteger el ejercicio de las victimas a su participación”; (b) que el Estado realice “estrategias activas de difusión y sensibilización dirigidas a la sociedad civil a los efectos de estimular su involucramiento en la formulación de políticas públicas de memoria”. Dichas estrategias deben incluir campañas informativas y la formulación de mecanismos y actividades que inciten a la más amplia participación, y (c) como eventuales medidas de reparación colectiva para el sindicalismo hondureño, que no ha sido reparado del daño alegado causado por la aplicación de la Doctrina de Seguridad Nacional: “realizar una investigación general con casos demostrativos que recopile la violencia contra los sindicalistas; enumere los daños y recomiende medidas de reparación colectiva”. Indicaron que </w:t>
      </w:r>
      <w:r w:rsidR="00755EE5" w:rsidRPr="00AC1A4C">
        <w:rPr>
          <w:lang w:val="es-CR"/>
        </w:rPr>
        <w:t>l</w:t>
      </w:r>
      <w:r w:rsidRPr="00AC1A4C">
        <w:rPr>
          <w:lang w:val="es-CR"/>
        </w:rPr>
        <w:t>a investigación debe ser realizada por una comisión independiente con facultades de revisar archivos militares y policiales, y recomendar medidas de reparación que sean de obligatorio cumplimiento. La comisión debe de gozar de la asesoría de la</w:t>
      </w:r>
      <w:r w:rsidR="00B717E1" w:rsidRPr="00AC1A4C">
        <w:rPr>
          <w:lang w:val="es-CR"/>
        </w:rPr>
        <w:t xml:space="preserve"> Oficina del Alto Comisionado de las Naciones Unidas para los Derechos Humanos (</w:t>
      </w:r>
      <w:r w:rsidRPr="00AC1A4C">
        <w:rPr>
          <w:lang w:val="es-CR"/>
        </w:rPr>
        <w:t>OACNUDH</w:t>
      </w:r>
      <w:r w:rsidR="00B717E1" w:rsidRPr="00AC1A4C">
        <w:rPr>
          <w:lang w:val="es-CR"/>
        </w:rPr>
        <w:t>)</w:t>
      </w:r>
      <w:r w:rsidRPr="00AC1A4C">
        <w:rPr>
          <w:lang w:val="es-CR"/>
        </w:rPr>
        <w:t xml:space="preserve">. Así mismo debe de tener la potestad de recomendar que se traslade a la Fiscalía Especial de Derechos Humanos, los archivos de inteligencia en los que figuren nombres de sindicalistas y organizaciones sindicales por el sólo hecho de ejercer su actividad sindical. </w:t>
      </w:r>
      <w:r w:rsidR="00755EE5" w:rsidRPr="00AC1A4C">
        <w:rPr>
          <w:lang w:val="es-CR"/>
        </w:rPr>
        <w:t xml:space="preserve">También solicitaron que se realizara, </w:t>
      </w:r>
      <w:r w:rsidRPr="00AC1A4C">
        <w:rPr>
          <w:lang w:val="es-CR"/>
        </w:rPr>
        <w:t xml:space="preserve">por 5 años como mínimo, una campaña de promoción y sensibilización de las libertades sindicales con el nombre de Herminio Deras. </w:t>
      </w:r>
    </w:p>
  </w:footnote>
  <w:footnote w:id="100">
    <w:p w14:paraId="2A6B5F2C" w14:textId="4B69812B"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t xml:space="preserve">Los representantes solicitaron que la Ley de Memoria Histórica tenga un alcance territorial y presencia en aquellas zonas donde se produjo el mayor número de casos; recuperare “los sitios simbólicos y restaurarlos si fuese pertinente”, y “alcanzar aquellas victimas que aún viven el exilio”, y crear “un mecanismo de Verdad y Reparación, que reconstruya el [m]odus operandi de la década de los años ochenta y emita un informe”. </w:t>
      </w:r>
      <w:r w:rsidR="00B717E1" w:rsidRPr="00AC1A4C">
        <w:rPr>
          <w:lang w:val="es-CR"/>
        </w:rPr>
        <w:t>Al respecto,</w:t>
      </w:r>
      <w:r w:rsidRPr="00AC1A4C">
        <w:rPr>
          <w:lang w:val="es-CR"/>
        </w:rPr>
        <w:t xml:space="preserve"> </w:t>
      </w:r>
      <w:r w:rsidR="00B717E1" w:rsidRPr="00AC1A4C">
        <w:rPr>
          <w:lang w:val="es-CR"/>
        </w:rPr>
        <w:t>l</w:t>
      </w:r>
      <w:r w:rsidRPr="00AC1A4C">
        <w:rPr>
          <w:lang w:val="es-CR"/>
        </w:rPr>
        <w:t xml:space="preserve">a Corte advierte que los representantes no indicaron cómo la recuperación de “sitios simbólicos” y su posible restauración guarda vinculación con los hechos del presento caso, y a su vez, este Tribunal no cuenta con referencia alguna. Además, observa que, dentro del contenido de la ley de memoria histórica ordenada se encuentra </w:t>
      </w:r>
      <w:r w:rsidRPr="00AC1A4C">
        <w:rPr>
          <w:rFonts w:eastAsiaTheme="minorEastAsia" w:cs="Cambria"/>
          <w:bCs/>
          <w:lang w:val="es-CR" w:eastAsia="es-CR"/>
        </w:rPr>
        <w:t>investigar los hechos constitutivos de graves violaciones a los derechos humanos durante la represión</w:t>
      </w:r>
      <w:r w:rsidRPr="00AC1A4C">
        <w:rPr>
          <w:lang w:val="es-CR"/>
        </w:rPr>
        <w:t xml:space="preserve"> dentro del contexto informado</w:t>
      </w:r>
      <w:r w:rsidRPr="00AC1A4C">
        <w:t xml:space="preserve">. </w:t>
      </w:r>
      <w:r w:rsidRPr="00AC1A4C">
        <w:rPr>
          <w:lang w:val="es-CR"/>
        </w:rPr>
        <w:t>Por tanto, la Corte no ordenar</w:t>
      </w:r>
      <w:r w:rsidRPr="00AC1A4C">
        <w:t>á</w:t>
      </w:r>
      <w:r w:rsidRPr="00AC1A4C">
        <w:rPr>
          <w:lang w:val="es-CR"/>
        </w:rPr>
        <w:t xml:space="preserve"> estos extremos de la solicitud.</w:t>
      </w:r>
    </w:p>
  </w:footnote>
  <w:footnote w:id="101">
    <w:p w14:paraId="742EF3EC" w14:textId="129A9EAA" w:rsidR="00FF277B" w:rsidRPr="00AC1A4C" w:rsidRDefault="00FF277B" w:rsidP="00AC1A4C">
      <w:pPr>
        <w:pStyle w:val="Textonotapie"/>
        <w:spacing w:after="40"/>
        <w:jc w:val="both"/>
        <w:rPr>
          <w:b/>
          <w:bCs/>
          <w:lang w:val="es-CR"/>
        </w:rPr>
      </w:pPr>
      <w:r w:rsidRPr="00AC1A4C">
        <w:rPr>
          <w:rStyle w:val="Refdenotaalpie"/>
          <w:lang w:val="es-CR"/>
        </w:rPr>
        <w:footnoteRef/>
      </w:r>
      <w:r w:rsidRPr="00AC1A4C">
        <w:rPr>
          <w:lang w:val="es-CR"/>
        </w:rPr>
        <w:t xml:space="preserve"> </w:t>
      </w:r>
      <w:r w:rsidRPr="00AC1A4C">
        <w:rPr>
          <w:lang w:val="es-CR"/>
        </w:rPr>
        <w:tab/>
        <w:t xml:space="preserve">La Corte nota que el Estado se comprometió a ejecutar esta medida como política de preservación de archivos y sitios de conciencia no solicitada de manera específica por los representantes. Sin embargo, se advierte que, los representantes habían solicitado, en creación de una ley de memoria histórica, “incluir medidas de conservación contra la manipulación en la información” y “[p]reservar el olvido la memoria colectiva de los hechos de esta etapa particular de la historia del país” haciendo referencia a la aplicación de la Doctrina de Seguridad Nacional. </w:t>
      </w:r>
    </w:p>
  </w:footnote>
  <w:footnote w:id="102">
    <w:p w14:paraId="485095E0" w14:textId="50C58E24" w:rsidR="00FF277B" w:rsidRPr="00AC1A4C" w:rsidRDefault="00FF277B" w:rsidP="00AC1A4C">
      <w:pPr>
        <w:pStyle w:val="Textonotapie"/>
        <w:spacing w:after="40"/>
        <w:jc w:val="both"/>
        <w:rPr>
          <w:b/>
          <w:bCs/>
          <w:lang w:val="es-CR"/>
        </w:rPr>
      </w:pPr>
      <w:r w:rsidRPr="00AC1A4C">
        <w:rPr>
          <w:rStyle w:val="Refdenotaalpie"/>
          <w:lang w:val="es-CR"/>
        </w:rPr>
        <w:footnoteRef/>
      </w:r>
      <w:r w:rsidRPr="00AC1A4C">
        <w:rPr>
          <w:lang w:val="es-CR"/>
        </w:rPr>
        <w:t xml:space="preserve"> </w:t>
      </w:r>
      <w:r w:rsidRPr="00AC1A4C">
        <w:rPr>
          <w:lang w:val="es-CR"/>
        </w:rPr>
        <w:tab/>
        <w:t xml:space="preserve">Los representantes mencionaron que el monto deriva de los alegados allanamientos, detenciones, tiroteos, y torturas, así como ante las movilizaciones por la búsqueda de las personas detenidas, interposición de denuncias en los tribunales y organismos no gubernamentales de derechos humanos, y por "moviliz[ar]" a los medios de comunicación. </w:t>
      </w:r>
    </w:p>
  </w:footnote>
  <w:footnote w:id="103">
    <w:p w14:paraId="56929701" w14:textId="1E8690E8"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t xml:space="preserve">Los representantes indicaron que estos gastos se refieren a: </w:t>
      </w:r>
      <w:r w:rsidRPr="00AC1A4C">
        <w:rPr>
          <w:rFonts w:cs="Arial"/>
          <w:lang w:val="es-CR"/>
        </w:rPr>
        <w:t>reparación de puertas y ventanas</w:t>
      </w:r>
      <w:r w:rsidRPr="00AC1A4C">
        <w:rPr>
          <w:lang w:val="es-CR"/>
        </w:rPr>
        <w:t xml:space="preserve">, </w:t>
      </w:r>
      <w:r w:rsidR="0064093C" w:rsidRPr="00AC1A4C">
        <w:rPr>
          <w:rFonts w:cs="Arial"/>
          <w:lang w:val="es-CR"/>
        </w:rPr>
        <w:t xml:space="preserve">movilizaciones, </w:t>
      </w:r>
      <w:r w:rsidR="0064093C" w:rsidRPr="00AC1A4C">
        <w:rPr>
          <w:lang w:val="es-CR"/>
        </w:rPr>
        <w:t>alimentación</w:t>
      </w:r>
      <w:r w:rsidRPr="00AC1A4C">
        <w:rPr>
          <w:lang w:val="es-CR"/>
        </w:rPr>
        <w:t>, medicamentos, hospitalizaciones, tratamiento psiquiátrico y funerales</w:t>
      </w:r>
      <w:r w:rsidRPr="00AC1A4C">
        <w:rPr>
          <w:rFonts w:cs="Arial"/>
          <w:lang w:val="es-CR"/>
        </w:rPr>
        <w:t>.</w:t>
      </w:r>
    </w:p>
  </w:footnote>
  <w:footnote w:id="104">
    <w:p w14:paraId="50B7D907" w14:textId="2B71DF96" w:rsidR="00FF277B" w:rsidRPr="00AC1A4C" w:rsidRDefault="00FF277B" w:rsidP="00AC1A4C">
      <w:pPr>
        <w:pStyle w:val="Textonotapie"/>
        <w:spacing w:after="40"/>
        <w:jc w:val="both"/>
        <w:rPr>
          <w:lang w:val="es-CR"/>
        </w:rPr>
      </w:pPr>
      <w:r w:rsidRPr="00AC1A4C">
        <w:rPr>
          <w:rStyle w:val="Refdenotaalpie"/>
        </w:rPr>
        <w:footnoteRef/>
      </w:r>
      <w:r w:rsidRPr="00AC1A4C">
        <w:t xml:space="preserve"> </w:t>
      </w:r>
      <w:r w:rsidRPr="00AC1A4C">
        <w:rPr>
          <w:lang w:val="es-CR"/>
        </w:rPr>
        <w:tab/>
        <w:t>Los representantes indicaron que estos gastos se refieren a: r</w:t>
      </w:r>
      <w:r w:rsidRPr="00AC1A4C">
        <w:rPr>
          <w:rFonts w:cs="Arial"/>
          <w:lang w:val="es-CR"/>
        </w:rPr>
        <w:t xml:space="preserve">eparación de </w:t>
      </w:r>
      <w:r w:rsidR="006D4A7C" w:rsidRPr="00AC1A4C">
        <w:rPr>
          <w:rFonts w:cs="Arial"/>
          <w:lang w:val="es-CR"/>
        </w:rPr>
        <w:t>v</w:t>
      </w:r>
      <w:r w:rsidRPr="00AC1A4C">
        <w:rPr>
          <w:rFonts w:cs="Arial"/>
          <w:lang w:val="es-CR"/>
        </w:rPr>
        <w:t>ehículo, reparación de puertas y ventanas, movilización y funerales.</w:t>
      </w:r>
    </w:p>
  </w:footnote>
  <w:footnote w:id="105">
    <w:p w14:paraId="380DCF50" w14:textId="692752DE"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 xml:space="preserve">Según los representantes, </w:t>
      </w:r>
      <w:r w:rsidR="000D2061" w:rsidRPr="00AC1A4C">
        <w:rPr>
          <w:rFonts w:ascii="Verdana" w:hAnsi="Verdana"/>
          <w:sz w:val="16"/>
          <w:szCs w:val="16"/>
        </w:rPr>
        <w:t xml:space="preserve">el señor </w:t>
      </w:r>
      <w:r w:rsidRPr="00AC1A4C">
        <w:rPr>
          <w:rFonts w:ascii="Verdana" w:hAnsi="Verdana" w:cs="Arial"/>
          <w:sz w:val="16"/>
          <w:szCs w:val="16"/>
        </w:rPr>
        <w:t xml:space="preserve">Domingo Deras era constructor. En 1983, tenía una empresa de bloques y mosaicos, y una </w:t>
      </w:r>
      <w:r w:rsidR="00755EE5" w:rsidRPr="00AC1A4C">
        <w:rPr>
          <w:rFonts w:ascii="Verdana" w:hAnsi="Verdana" w:cs="Arial"/>
          <w:sz w:val="16"/>
          <w:szCs w:val="16"/>
        </w:rPr>
        <w:t>c</w:t>
      </w:r>
      <w:r w:rsidRPr="00AC1A4C">
        <w:rPr>
          <w:rFonts w:ascii="Verdana" w:hAnsi="Verdana" w:cs="Arial"/>
          <w:sz w:val="16"/>
          <w:szCs w:val="16"/>
        </w:rPr>
        <w:t>arpintería desde 1981. Cuando iniciaron los allanamientos a la residencia de su hijo Herminio Deras García, los representantes expresaron que comenzó a experimentar pérdidas por los días que no atendía el negocio por acompañar a su nuera Otilia Flores Ortiz a realizar denuncias. Sostuvieron que estas “pérdidas fueron más evidentes y notorias desde 1983, después de la ejecución de su hijo Herminio”, siendo que “la estigmatización se hizo más fuerte y nadie lo contrataba</w:t>
      </w:r>
      <w:r w:rsidR="000D2061" w:rsidRPr="00AC1A4C">
        <w:rPr>
          <w:rFonts w:ascii="Verdana" w:hAnsi="Verdana" w:cs="Arial"/>
          <w:sz w:val="16"/>
          <w:szCs w:val="16"/>
        </w:rPr>
        <w:t>”</w:t>
      </w:r>
      <w:r w:rsidRPr="00AC1A4C">
        <w:rPr>
          <w:rFonts w:ascii="Verdana" w:hAnsi="Verdana" w:cs="Arial"/>
          <w:sz w:val="16"/>
          <w:szCs w:val="16"/>
        </w:rPr>
        <w:t>, pero también por haber realiz</w:t>
      </w:r>
      <w:r w:rsidR="000D2061" w:rsidRPr="00AC1A4C">
        <w:rPr>
          <w:rFonts w:ascii="Verdana" w:hAnsi="Verdana" w:cs="Arial"/>
          <w:sz w:val="16"/>
          <w:szCs w:val="16"/>
        </w:rPr>
        <w:t>ado</w:t>
      </w:r>
      <w:r w:rsidRPr="00AC1A4C">
        <w:rPr>
          <w:rFonts w:ascii="Verdana" w:hAnsi="Verdana" w:cs="Arial"/>
          <w:sz w:val="16"/>
          <w:szCs w:val="16"/>
        </w:rPr>
        <w:t xml:space="preserve"> diligencias para la búsqueda de justicia. Asimismo, indicaron que “descuidó” los negocios por la </w:t>
      </w:r>
      <w:r w:rsidR="000D2061" w:rsidRPr="00AC1A4C">
        <w:rPr>
          <w:rFonts w:ascii="Verdana" w:hAnsi="Verdana" w:cs="Arial"/>
          <w:sz w:val="16"/>
          <w:szCs w:val="16"/>
        </w:rPr>
        <w:t>“</w:t>
      </w:r>
      <w:r w:rsidRPr="00AC1A4C">
        <w:rPr>
          <w:rFonts w:ascii="Verdana" w:hAnsi="Verdana" w:cs="Arial"/>
          <w:sz w:val="16"/>
          <w:szCs w:val="16"/>
        </w:rPr>
        <w:t>pena</w:t>
      </w:r>
      <w:r w:rsidR="000D2061" w:rsidRPr="00AC1A4C">
        <w:rPr>
          <w:rFonts w:ascii="Verdana" w:hAnsi="Verdana" w:cs="Arial"/>
          <w:sz w:val="16"/>
          <w:szCs w:val="16"/>
        </w:rPr>
        <w:t>”</w:t>
      </w:r>
      <w:r w:rsidRPr="00AC1A4C">
        <w:rPr>
          <w:rFonts w:ascii="Verdana" w:hAnsi="Verdana" w:cs="Arial"/>
          <w:sz w:val="16"/>
          <w:szCs w:val="16"/>
        </w:rPr>
        <w:t xml:space="preserve">, y por no haber sido “contenido psicológicamente” se dedicó al consumo de alcohol “en forma excesiva”. </w:t>
      </w:r>
    </w:p>
  </w:footnote>
  <w:footnote w:id="106">
    <w:p w14:paraId="04D70DE0" w14:textId="1B4777DB"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 xml:space="preserve">Según los representantes, Marlen García Pineda </w:t>
      </w:r>
      <w:r w:rsidRPr="00AC1A4C">
        <w:rPr>
          <w:rFonts w:ascii="Verdana" w:hAnsi="Verdana" w:cs="Arial"/>
          <w:sz w:val="16"/>
          <w:szCs w:val="16"/>
        </w:rPr>
        <w:t>trabajaba como dependienta en una tienda de zapatos, tenía 21 años y ganaba 180 lempiras mensuales (</w:t>
      </w:r>
      <w:r w:rsidR="00605EE3" w:rsidRPr="00AC1A4C">
        <w:rPr>
          <w:rFonts w:ascii="Verdana" w:hAnsi="Verdana" w:cs="Arial"/>
          <w:sz w:val="16"/>
          <w:szCs w:val="16"/>
        </w:rPr>
        <w:t>USD</w:t>
      </w:r>
      <w:r w:rsidRPr="00AC1A4C">
        <w:rPr>
          <w:rFonts w:ascii="Verdana" w:hAnsi="Verdana" w:cs="Arial"/>
          <w:sz w:val="16"/>
          <w:szCs w:val="16"/>
        </w:rPr>
        <w:t>$</w:t>
      </w:r>
      <w:r w:rsidR="00605EE3" w:rsidRPr="00AC1A4C">
        <w:rPr>
          <w:rFonts w:ascii="Verdana" w:hAnsi="Verdana" w:cs="Arial"/>
          <w:sz w:val="16"/>
          <w:szCs w:val="16"/>
        </w:rPr>
        <w:t xml:space="preserve"> </w:t>
      </w:r>
      <w:r w:rsidRPr="00AC1A4C">
        <w:rPr>
          <w:rFonts w:ascii="Verdana" w:hAnsi="Verdana" w:cs="Arial"/>
          <w:sz w:val="16"/>
          <w:szCs w:val="16"/>
        </w:rPr>
        <w:t>90), sin embargo, a raíz de la detención y la publicación de esta en 1984, fue despedida, así durante un año no logró encontrar empleo. Sostuvieron que, el cálculo de los salarios dejados de percibir se realizó considerando el salario que percibía al momento de su despido, aunado a un salario adicional, que de acuerdo con la legislación hondureña todos los trabajadores tienen derecho al pago del décimo tercer de salario, en concepto de aguinaldo.</w:t>
      </w:r>
    </w:p>
  </w:footnote>
  <w:footnote w:id="107">
    <w:p w14:paraId="493C0DBC" w14:textId="1FCDDB4F"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 xml:space="preserve">Según los representantes, Sandra Ivon Hernández Deras </w:t>
      </w:r>
      <w:r w:rsidRPr="00AC1A4C">
        <w:rPr>
          <w:rFonts w:ascii="Verdana" w:hAnsi="Verdana" w:cs="Arial"/>
          <w:sz w:val="16"/>
          <w:szCs w:val="16"/>
        </w:rPr>
        <w:t>trabajaba como dependienta en una tienda donde ganaba 180 lempiras mensuales (</w:t>
      </w:r>
      <w:r w:rsidR="00605EE3" w:rsidRPr="00AC1A4C">
        <w:rPr>
          <w:rFonts w:ascii="Verdana" w:hAnsi="Verdana" w:cs="Arial"/>
          <w:sz w:val="16"/>
          <w:szCs w:val="16"/>
        </w:rPr>
        <w:t>USD</w:t>
      </w:r>
      <w:r w:rsidRPr="00AC1A4C">
        <w:rPr>
          <w:rFonts w:ascii="Verdana" w:hAnsi="Verdana" w:cs="Arial"/>
          <w:sz w:val="16"/>
          <w:szCs w:val="16"/>
        </w:rPr>
        <w:t>$</w:t>
      </w:r>
      <w:r w:rsidR="00605EE3" w:rsidRPr="00AC1A4C">
        <w:rPr>
          <w:rFonts w:ascii="Verdana" w:hAnsi="Verdana" w:cs="Arial"/>
          <w:sz w:val="16"/>
          <w:szCs w:val="16"/>
        </w:rPr>
        <w:t xml:space="preserve"> </w:t>
      </w:r>
      <w:r w:rsidRPr="00AC1A4C">
        <w:rPr>
          <w:rFonts w:ascii="Verdana" w:hAnsi="Verdana" w:cs="Arial"/>
          <w:sz w:val="16"/>
          <w:szCs w:val="16"/>
        </w:rPr>
        <w:t xml:space="preserve">90). No obstante, indicaron que, a raíz de la detención y la publicación de esta en 1984, fue despedida. Agregaron que cuando regreso a su centro de trabajo, la propietaria le dijo que </w:t>
      </w:r>
      <w:r w:rsidR="00605EE3" w:rsidRPr="00AC1A4C">
        <w:rPr>
          <w:rFonts w:ascii="Verdana" w:hAnsi="Verdana" w:cs="Arial"/>
          <w:sz w:val="16"/>
          <w:szCs w:val="16"/>
        </w:rPr>
        <w:t>“</w:t>
      </w:r>
      <w:r w:rsidRPr="00AC1A4C">
        <w:rPr>
          <w:rFonts w:ascii="Verdana" w:hAnsi="Verdana" w:cs="Arial"/>
          <w:sz w:val="16"/>
          <w:szCs w:val="16"/>
        </w:rPr>
        <w:t>por comunista era peligroso tenerla en su negocio</w:t>
      </w:r>
      <w:r w:rsidR="00605EE3" w:rsidRPr="00AC1A4C">
        <w:rPr>
          <w:rFonts w:ascii="Verdana" w:hAnsi="Verdana" w:cs="Arial"/>
          <w:sz w:val="16"/>
          <w:szCs w:val="16"/>
        </w:rPr>
        <w:t>”.</w:t>
      </w:r>
      <w:r w:rsidRPr="00AC1A4C">
        <w:rPr>
          <w:rFonts w:ascii="Verdana" w:hAnsi="Verdana" w:cs="Arial"/>
          <w:sz w:val="16"/>
          <w:szCs w:val="16"/>
        </w:rPr>
        <w:t xml:space="preserve"> </w:t>
      </w:r>
    </w:p>
  </w:footnote>
  <w:footnote w:id="108">
    <w:p w14:paraId="1FE7CA74" w14:textId="37633BDE"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 xml:space="preserve">Según los representantes, Consuelo Deras García </w:t>
      </w:r>
      <w:r w:rsidRPr="00AC1A4C">
        <w:rPr>
          <w:rFonts w:ascii="Verdana" w:hAnsi="Verdana" w:cs="Arial"/>
          <w:sz w:val="16"/>
          <w:szCs w:val="16"/>
        </w:rPr>
        <w:t>era modista de profesión. En 1984 ganaba con su trabajo un promedio de 150 lempiras mensuales (</w:t>
      </w:r>
      <w:r w:rsidR="00190DE7" w:rsidRPr="00AC1A4C">
        <w:rPr>
          <w:rFonts w:ascii="Verdana" w:hAnsi="Verdana" w:cs="Arial"/>
          <w:sz w:val="16"/>
          <w:szCs w:val="16"/>
        </w:rPr>
        <w:t>USD</w:t>
      </w:r>
      <w:r w:rsidRPr="00AC1A4C">
        <w:rPr>
          <w:rFonts w:ascii="Verdana" w:hAnsi="Verdana" w:cs="Arial"/>
          <w:sz w:val="16"/>
          <w:szCs w:val="16"/>
        </w:rPr>
        <w:t xml:space="preserve">$ 75). Indicaron que, en junio de 1984, cuando fue detenida, dejó de trabajar por cinco días. </w:t>
      </w:r>
    </w:p>
  </w:footnote>
  <w:footnote w:id="109">
    <w:p w14:paraId="1A4E7FDC" w14:textId="17260D96"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Según los representantes</w:t>
      </w:r>
      <w:r w:rsidRPr="00AC1A4C">
        <w:rPr>
          <w:rFonts w:ascii="Verdana" w:hAnsi="Verdana" w:cs="Arial"/>
          <w:sz w:val="16"/>
          <w:szCs w:val="16"/>
        </w:rPr>
        <w:t xml:space="preserve">, Julio Cesar Chavarría Banegas se desempeñaba como motorista en 1984. Como consecuencia de la detención, en junio de 1984, </w:t>
      </w:r>
      <w:r w:rsidR="00190DE7" w:rsidRPr="00AC1A4C">
        <w:rPr>
          <w:rFonts w:ascii="Verdana" w:hAnsi="Verdana" w:cs="Arial"/>
          <w:sz w:val="16"/>
          <w:szCs w:val="16"/>
        </w:rPr>
        <w:t xml:space="preserve">habría </w:t>
      </w:r>
      <w:r w:rsidRPr="00AC1A4C">
        <w:rPr>
          <w:rFonts w:ascii="Verdana" w:hAnsi="Verdana" w:cs="Arial"/>
          <w:sz w:val="16"/>
          <w:szCs w:val="16"/>
        </w:rPr>
        <w:t>dej</w:t>
      </w:r>
      <w:r w:rsidR="00190DE7" w:rsidRPr="00AC1A4C">
        <w:rPr>
          <w:rFonts w:ascii="Verdana" w:hAnsi="Verdana" w:cs="Arial"/>
          <w:sz w:val="16"/>
          <w:szCs w:val="16"/>
        </w:rPr>
        <w:t>ado</w:t>
      </w:r>
      <w:r w:rsidRPr="00AC1A4C">
        <w:rPr>
          <w:rFonts w:ascii="Verdana" w:hAnsi="Verdana" w:cs="Arial"/>
          <w:sz w:val="16"/>
          <w:szCs w:val="16"/>
        </w:rPr>
        <w:t xml:space="preserve"> de percibir </w:t>
      </w:r>
      <w:r w:rsidR="00190DE7" w:rsidRPr="00AC1A4C">
        <w:rPr>
          <w:rFonts w:ascii="Verdana" w:hAnsi="Verdana" w:cs="Arial"/>
          <w:sz w:val="16"/>
          <w:szCs w:val="16"/>
        </w:rPr>
        <w:t>USD</w:t>
      </w:r>
      <w:r w:rsidRPr="00AC1A4C">
        <w:rPr>
          <w:rFonts w:ascii="Verdana" w:hAnsi="Verdana" w:cs="Arial"/>
          <w:sz w:val="16"/>
          <w:szCs w:val="16"/>
        </w:rPr>
        <w:t xml:space="preserve">$12.50. </w:t>
      </w:r>
    </w:p>
  </w:footnote>
  <w:footnote w:id="110">
    <w:p w14:paraId="508BEBD8" w14:textId="29E3EF5D"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Según los representantes</w:t>
      </w:r>
      <w:r w:rsidRPr="00AC1A4C">
        <w:rPr>
          <w:rFonts w:ascii="Verdana" w:hAnsi="Verdana" w:cs="Arial"/>
          <w:sz w:val="16"/>
          <w:szCs w:val="16"/>
        </w:rPr>
        <w:t xml:space="preserve">, Héctor García era constructor en 1984, después de haber perdido su trabajo en la </w:t>
      </w:r>
      <w:r w:rsidRPr="00AC1A4C">
        <w:rPr>
          <w:rFonts w:ascii="Verdana" w:hAnsi="Verdana" w:cs="Arial"/>
          <w:i/>
          <w:iCs/>
          <w:sz w:val="16"/>
          <w:szCs w:val="16"/>
        </w:rPr>
        <w:t>Tela Raild Road Company</w:t>
      </w:r>
      <w:r w:rsidRPr="00AC1A4C">
        <w:rPr>
          <w:rFonts w:ascii="Verdana" w:hAnsi="Verdana" w:cs="Arial"/>
          <w:sz w:val="16"/>
          <w:szCs w:val="16"/>
        </w:rPr>
        <w:t xml:space="preserve">, por sus actividades sindicales. Sostuvieron que, por los contratos que ejecutaba, ganaba 300 Lempiras. </w:t>
      </w:r>
    </w:p>
  </w:footnote>
  <w:footnote w:id="111">
    <w:p w14:paraId="22E39DE7" w14:textId="28627B48" w:rsidR="00FF277B" w:rsidRPr="00AC1A4C" w:rsidRDefault="00FF277B" w:rsidP="00AC1A4C">
      <w:pPr>
        <w:autoSpaceDE w:val="0"/>
        <w:autoSpaceDN w:val="0"/>
        <w:adjustRightInd w:val="0"/>
        <w:spacing w:after="40"/>
        <w:jc w:val="both"/>
        <w:rPr>
          <w:rFonts w:ascii="Verdana" w:hAnsi="Verdana" w:cs="Arial"/>
          <w:sz w:val="16"/>
          <w:szCs w:val="16"/>
        </w:rPr>
      </w:pPr>
      <w:r w:rsidRPr="00AC1A4C">
        <w:rPr>
          <w:rStyle w:val="Refdenotaalpie"/>
          <w:rFonts w:ascii="Verdana" w:hAnsi="Verdana"/>
          <w:sz w:val="16"/>
          <w:szCs w:val="16"/>
        </w:rPr>
        <w:footnoteRef/>
      </w:r>
      <w:r w:rsidRPr="00AC1A4C">
        <w:rPr>
          <w:rFonts w:ascii="Verdana" w:hAnsi="Verdana"/>
          <w:sz w:val="16"/>
          <w:szCs w:val="16"/>
        </w:rPr>
        <w:t xml:space="preserve"> </w:t>
      </w:r>
      <w:r w:rsidRPr="00AC1A4C">
        <w:rPr>
          <w:rFonts w:ascii="Verdana" w:hAnsi="Verdana"/>
          <w:sz w:val="16"/>
          <w:szCs w:val="16"/>
        </w:rPr>
        <w:tab/>
        <w:t>Según los representantes</w:t>
      </w:r>
      <w:r w:rsidRPr="00AC1A4C">
        <w:rPr>
          <w:rFonts w:ascii="Verdana" w:hAnsi="Verdana" w:cs="Arial"/>
          <w:sz w:val="16"/>
          <w:szCs w:val="16"/>
        </w:rPr>
        <w:t xml:space="preserve">, Cristóbal Rufino Hernández trabajaba como vigilante en 1984. Como consecuencia de la alegada detención ilegal, por cinco días, dejó de percibir </w:t>
      </w:r>
      <w:r w:rsidR="00732823" w:rsidRPr="00AC1A4C">
        <w:rPr>
          <w:rFonts w:ascii="Verdana" w:hAnsi="Verdana" w:cs="Arial"/>
          <w:sz w:val="16"/>
          <w:szCs w:val="16"/>
        </w:rPr>
        <w:t>USD</w:t>
      </w:r>
      <w:r w:rsidRPr="00AC1A4C">
        <w:rPr>
          <w:rFonts w:ascii="Verdana" w:hAnsi="Verdana" w:cs="Arial"/>
          <w:sz w:val="16"/>
          <w:szCs w:val="16"/>
        </w:rPr>
        <w:t>$</w:t>
      </w:r>
      <w:r w:rsidR="00732823" w:rsidRPr="00AC1A4C">
        <w:rPr>
          <w:rFonts w:ascii="Verdana" w:hAnsi="Verdana" w:cs="Arial"/>
          <w:sz w:val="16"/>
          <w:szCs w:val="16"/>
        </w:rPr>
        <w:t xml:space="preserve"> </w:t>
      </w:r>
      <w:r w:rsidRPr="00AC1A4C">
        <w:rPr>
          <w:rFonts w:ascii="Verdana" w:hAnsi="Verdana" w:cs="Arial"/>
          <w:sz w:val="16"/>
          <w:szCs w:val="16"/>
        </w:rPr>
        <w:t xml:space="preserve">10. </w:t>
      </w:r>
    </w:p>
  </w:footnote>
  <w:footnote w:id="112">
    <w:p w14:paraId="112D77FE" w14:textId="65205158" w:rsidR="00FF277B" w:rsidRPr="00AC1A4C" w:rsidRDefault="00FF277B" w:rsidP="00AC1A4C">
      <w:pPr>
        <w:pStyle w:val="Textonotapie"/>
        <w:spacing w:after="40"/>
        <w:jc w:val="both"/>
        <w:rPr>
          <w:b/>
          <w:bCs/>
          <w:lang w:val="es-CR"/>
        </w:rPr>
      </w:pPr>
      <w:r w:rsidRPr="00AC1A4C">
        <w:rPr>
          <w:rStyle w:val="Refdenotaalpie"/>
          <w:lang w:val="es-CR"/>
        </w:rPr>
        <w:footnoteRef/>
      </w:r>
      <w:r w:rsidRPr="00AC1A4C">
        <w:rPr>
          <w:lang w:val="es-CR"/>
        </w:rPr>
        <w:t xml:space="preserve"> </w:t>
      </w:r>
      <w:r w:rsidRPr="00AC1A4C">
        <w:rPr>
          <w:lang w:val="es-CR"/>
        </w:rPr>
        <w:tab/>
        <w:t xml:space="preserve">Indicaron que el cálculo se efectuó con base en su ingreso mensual, los alegados 21 años con 8 meses que le hubiesen quedado por vivir, y los siguientes beneficios regulados en el Código Laboral hondureño: cesantía, vacaciones, aguinaldo y catorceavo mes. </w:t>
      </w:r>
    </w:p>
  </w:footnote>
  <w:footnote w:id="113">
    <w:p w14:paraId="18611348" w14:textId="5BC20FB9" w:rsidR="00FF277B" w:rsidRPr="00AC1A4C" w:rsidRDefault="00FF277B" w:rsidP="00AC1A4C">
      <w:pPr>
        <w:pStyle w:val="Textonotapie"/>
        <w:spacing w:after="40"/>
        <w:jc w:val="both"/>
        <w:rPr>
          <w:rFonts w:cs="Verdana"/>
          <w:i/>
          <w:lang w:bidi="en-US"/>
        </w:rPr>
      </w:pPr>
      <w:r w:rsidRPr="00AC1A4C">
        <w:rPr>
          <w:rStyle w:val="Refdenotaalpie"/>
          <w:lang w:val="es-CR"/>
        </w:rPr>
        <w:footnoteRef/>
      </w:r>
      <w:r w:rsidRPr="00AC1A4C">
        <w:rPr>
          <w:lang w:val="es-CR"/>
        </w:rPr>
        <w:t xml:space="preserve"> </w:t>
      </w:r>
      <w:r w:rsidRPr="00AC1A4C">
        <w:rPr>
          <w:lang w:val="es-CR"/>
        </w:rPr>
        <w:tab/>
      </w:r>
      <w:r w:rsidRPr="00AC1A4C">
        <w:rPr>
          <w:i/>
          <w:spacing w:val="-4"/>
          <w:lang w:val="es-CR"/>
        </w:rPr>
        <w:t>Cfr.</w:t>
      </w:r>
      <w:r w:rsidRPr="00AC1A4C">
        <w:rPr>
          <w:spacing w:val="-4"/>
          <w:lang w:val="es-CR"/>
        </w:rPr>
        <w:t xml:space="preserve"> </w:t>
      </w:r>
      <w:r w:rsidRPr="00AC1A4C">
        <w:rPr>
          <w:i/>
          <w:spacing w:val="-4"/>
          <w:lang w:val="es-CR"/>
        </w:rPr>
        <w:t xml:space="preserve">Caso Bámaca Velásquez Vs. Guatemala. Reparaciones y Costas. </w:t>
      </w:r>
      <w:r w:rsidRPr="00AC1A4C">
        <w:rPr>
          <w:spacing w:val="-4"/>
          <w:lang w:val="es-CR"/>
        </w:rPr>
        <w:t>Sentencia de 22 de febrero de 2002. Serie C No. 91, párr. 43, y</w:t>
      </w:r>
      <w:r w:rsidRPr="00AC1A4C">
        <w:rPr>
          <w:rFonts w:cs="Verdana"/>
          <w:lang w:val="es-CR" w:bidi="en-US"/>
        </w:rPr>
        <w:t xml:space="preserve"> </w:t>
      </w:r>
      <w:r w:rsidRPr="00AC1A4C">
        <w:rPr>
          <w:rFonts w:cs="Verdana"/>
          <w:i/>
          <w:lang w:val="es-CR" w:bidi="en-US"/>
        </w:rPr>
        <w:t>Caso</w:t>
      </w:r>
      <w:r w:rsidR="00D842AC" w:rsidRPr="00AC1A4C">
        <w:rPr>
          <w:rFonts w:cs="Verdana"/>
          <w:i/>
          <w:lang w:bidi="en-US"/>
        </w:rPr>
        <w:t xml:space="preserve"> Guevara Díaz Vs. Costa Rica, supra, </w:t>
      </w:r>
      <w:r w:rsidR="00D842AC" w:rsidRPr="00AC1A4C">
        <w:rPr>
          <w:rFonts w:cs="Verdana"/>
          <w:iCs/>
          <w:lang w:val="es-CR" w:bidi="en-US"/>
        </w:rPr>
        <w:t>párr. 103.</w:t>
      </w:r>
      <w:r w:rsidR="00D842AC" w:rsidRPr="00AC1A4C">
        <w:rPr>
          <w:rFonts w:cs="Verdana"/>
          <w:i/>
          <w:lang w:val="es-CR" w:bidi="en-US"/>
        </w:rPr>
        <w:t xml:space="preserve"> </w:t>
      </w:r>
    </w:p>
  </w:footnote>
  <w:footnote w:id="114">
    <w:p w14:paraId="5F2D79FC" w14:textId="01E636D3"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de la "Panel Blanca" (Paniagua Morales y otros) Vs. Guatemala. Reparaciones y Costas.</w:t>
      </w:r>
      <w:r w:rsidRPr="00AC1A4C">
        <w:rPr>
          <w:lang w:val="es-CR"/>
        </w:rPr>
        <w:t xml:space="preserve"> Sentencia de 25 de mayo de 2001. Serie C No. 76, párr. 79; </w:t>
      </w:r>
      <w:r w:rsidRPr="00AC1A4C">
        <w:rPr>
          <w:i/>
          <w:iCs/>
          <w:lang w:val="es-CR"/>
        </w:rPr>
        <w:t xml:space="preserve">Caso Ríos Avalos y otro Vs. Paraguay. Fondo, Reparaciones y Costas. </w:t>
      </w:r>
      <w:r w:rsidRPr="00AC1A4C">
        <w:rPr>
          <w:lang w:val="es-CR"/>
        </w:rPr>
        <w:t xml:space="preserve">Sentencia de 19 de agosto de 2021. Serie C No. 429, párr. 205, y </w:t>
      </w:r>
      <w:r w:rsidR="00D842AC" w:rsidRPr="00AC1A4C">
        <w:rPr>
          <w:i/>
          <w:iCs/>
          <w:lang w:val="es-CR"/>
        </w:rPr>
        <w:t>Caso Movilla Galarcio y otros Vs. Colombia</w:t>
      </w:r>
      <w:r w:rsidR="00D842AC" w:rsidRPr="00AC1A4C">
        <w:rPr>
          <w:lang w:val="es-CR"/>
        </w:rPr>
        <w:t xml:space="preserve">, </w:t>
      </w:r>
      <w:r w:rsidR="00D842AC" w:rsidRPr="00AC1A4C">
        <w:rPr>
          <w:i/>
          <w:iCs/>
          <w:lang w:val="es-CR"/>
        </w:rPr>
        <w:t xml:space="preserve">supra, </w:t>
      </w:r>
      <w:r w:rsidR="00D842AC" w:rsidRPr="00AC1A4C">
        <w:rPr>
          <w:lang w:val="es-CR"/>
        </w:rPr>
        <w:t>párr. 243.</w:t>
      </w:r>
    </w:p>
  </w:footnote>
  <w:footnote w:id="115">
    <w:p w14:paraId="6EADA7AA" w14:textId="4E181B17" w:rsidR="00FF277B" w:rsidRPr="00AC1A4C" w:rsidRDefault="00FF277B" w:rsidP="00AC1A4C">
      <w:pPr>
        <w:pStyle w:val="Textonotapie"/>
        <w:spacing w:after="40"/>
        <w:jc w:val="both"/>
        <w:rPr>
          <w:rFonts w:cs="Verdana"/>
          <w:i/>
          <w:lang w:bidi="en-US"/>
        </w:rPr>
      </w:pPr>
      <w:r w:rsidRPr="00AC1A4C">
        <w:rPr>
          <w:rStyle w:val="Refdenotaalpie"/>
        </w:rPr>
        <w:footnoteRef/>
      </w:r>
      <w:r w:rsidRPr="00AC1A4C">
        <w:t xml:space="preserve"> </w:t>
      </w:r>
      <w:r w:rsidRPr="00AC1A4C">
        <w:tab/>
      </w:r>
      <w:r w:rsidRPr="00AC1A4C">
        <w:rPr>
          <w:i/>
          <w:iCs/>
        </w:rPr>
        <w:t xml:space="preserve">Caso de los “Niños de la Calle” (Villagrán Morales y otros) Vs. Guatemala. Reparaciones y Costas. </w:t>
      </w:r>
      <w:r w:rsidRPr="00AC1A4C">
        <w:t>Sentencia de 26 de mayo de 2001. Serie C No. 77, párr. 84</w:t>
      </w:r>
      <w:r w:rsidR="00D842AC" w:rsidRPr="00AC1A4C">
        <w:t>,</w:t>
      </w:r>
      <w:r w:rsidRPr="00AC1A4C">
        <w:t xml:space="preserve"> y </w:t>
      </w:r>
      <w:r w:rsidRPr="00AC1A4C">
        <w:rPr>
          <w:i/>
          <w:iCs/>
        </w:rPr>
        <w:t xml:space="preserve">Caso </w:t>
      </w:r>
      <w:r w:rsidR="00D842AC" w:rsidRPr="00AC1A4C">
        <w:rPr>
          <w:rFonts w:cs="Verdana"/>
          <w:i/>
          <w:lang w:bidi="en-US"/>
        </w:rPr>
        <w:t>Guevara Díaz Vs. Costa Rica, supra,</w:t>
      </w:r>
      <w:r w:rsidR="00D842AC" w:rsidRPr="00AC1A4C">
        <w:rPr>
          <w:rFonts w:cs="Verdana"/>
          <w:iCs/>
          <w:lang w:bidi="en-US"/>
        </w:rPr>
        <w:t xml:space="preserve"> </w:t>
      </w:r>
      <w:r w:rsidR="00D842AC" w:rsidRPr="00AC1A4C">
        <w:rPr>
          <w:rFonts w:cs="Verdana"/>
          <w:iCs/>
          <w:lang w:val="es-CR" w:bidi="en-US"/>
        </w:rPr>
        <w:t>párr. 108.</w:t>
      </w:r>
      <w:r w:rsidR="00D842AC" w:rsidRPr="00AC1A4C">
        <w:rPr>
          <w:rFonts w:cs="Verdana"/>
          <w:i/>
          <w:lang w:val="es-CR" w:bidi="en-US"/>
        </w:rPr>
        <w:t xml:space="preserve"> </w:t>
      </w:r>
    </w:p>
  </w:footnote>
  <w:footnote w:id="116">
    <w:p w14:paraId="17060CE9" w14:textId="1E2C92F1" w:rsidR="00FF277B" w:rsidRPr="00AC1A4C" w:rsidRDefault="00FF277B" w:rsidP="00AC1A4C">
      <w:pPr>
        <w:pStyle w:val="Textonotapie"/>
        <w:spacing w:after="40"/>
        <w:jc w:val="both"/>
        <w:rPr>
          <w:iCs/>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de la "Panel Blanca" (Paniagua Morales y otros) Vs. Guatemala. Reparaciones y Costas.</w:t>
      </w:r>
      <w:r w:rsidRPr="00AC1A4C">
        <w:rPr>
          <w:lang w:val="es-CR"/>
        </w:rPr>
        <w:t xml:space="preserve"> Sentencia de 25 de mayo de 2001. Serie C No. 76, párr. 79,</w:t>
      </w:r>
      <w:r w:rsidRPr="00AC1A4C">
        <w:rPr>
          <w:rFonts w:cs="Verdana"/>
          <w:iCs/>
          <w:lang w:val="es-CR"/>
        </w:rPr>
        <w:t xml:space="preserve"> y</w:t>
      </w:r>
      <w:r w:rsidRPr="00AC1A4C">
        <w:rPr>
          <w:rFonts w:cs="Verdana"/>
          <w:i/>
          <w:lang w:val="es-CR"/>
        </w:rPr>
        <w:t xml:space="preserve"> Caso Movilla Galarcio y otros Vs. Colombia</w:t>
      </w:r>
      <w:r w:rsidR="005A11A9" w:rsidRPr="00AC1A4C">
        <w:rPr>
          <w:rFonts w:cs="Verdana"/>
          <w:i/>
          <w:lang w:val="es-CR"/>
        </w:rPr>
        <w:t>, supra,</w:t>
      </w:r>
      <w:r w:rsidRPr="00AC1A4C">
        <w:rPr>
          <w:rFonts w:cs="Verdana"/>
          <w:lang w:val="es-CR"/>
        </w:rPr>
        <w:t xml:space="preserve"> párr. 243.</w:t>
      </w:r>
    </w:p>
  </w:footnote>
  <w:footnote w:id="117">
    <w:p w14:paraId="5E2A0CB3" w14:textId="77777777"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Baena Ricardo y otros Vs. Panamá. Competencia</w:t>
      </w:r>
      <w:r w:rsidRPr="00AC1A4C">
        <w:rPr>
          <w:lang w:val="es-CR"/>
        </w:rPr>
        <w:t>. Sentencia de 28 de noviembre de 2003. Serie C No. 104, párr. 83, y</w:t>
      </w:r>
      <w:r w:rsidRPr="00AC1A4C">
        <w:rPr>
          <w:rFonts w:cs="Open Sans"/>
          <w:shd w:val="clear" w:color="auto" w:fill="FFFFFF"/>
          <w:lang w:val="es-CR"/>
        </w:rPr>
        <w:t xml:space="preserve"> </w:t>
      </w:r>
      <w:r w:rsidRPr="00AC1A4C">
        <w:rPr>
          <w:rFonts w:cs="Open Sans"/>
          <w:i/>
          <w:iCs/>
          <w:shd w:val="clear" w:color="auto" w:fill="FFFFFF"/>
          <w:lang w:val="es-CR"/>
        </w:rPr>
        <w:t>Caso Tarazona Arrieta y otros, Canales Huapaya y otros, Wong Ho Wing, Zegarra Marín y Lagos del Campo Vs. Perú</w:t>
      </w:r>
      <w:r w:rsidRPr="00AC1A4C">
        <w:rPr>
          <w:rFonts w:cs="Open Sans"/>
          <w:shd w:val="clear" w:color="auto" w:fill="FFFFFF"/>
          <w:lang w:val="es-CR"/>
        </w:rPr>
        <w:t xml:space="preserve">. </w:t>
      </w:r>
      <w:r w:rsidRPr="00AC1A4C">
        <w:rPr>
          <w:rFonts w:cs="Open Sans"/>
          <w:i/>
          <w:iCs/>
          <w:shd w:val="clear" w:color="auto" w:fill="FFFFFF"/>
          <w:lang w:val="es-CR"/>
        </w:rPr>
        <w:t>Supervisión de Cumplimiento de Sentencia</w:t>
      </w:r>
      <w:r w:rsidRPr="00AC1A4C">
        <w:rPr>
          <w:rFonts w:cs="Open Sans"/>
          <w:shd w:val="clear" w:color="auto" w:fill="FFFFFF"/>
          <w:lang w:val="es-CR"/>
        </w:rPr>
        <w:t>. Resolución de la Corte Interamericana de Derechos Humanos de 5 de abril de 2022, párr. 17.</w:t>
      </w:r>
    </w:p>
  </w:footnote>
  <w:footnote w:id="118">
    <w:p w14:paraId="0E3628DD" w14:textId="527D0677"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Mutatis mutandis</w:t>
      </w:r>
      <w:r w:rsidRPr="00AC1A4C">
        <w:rPr>
          <w:lang w:val="es-CR"/>
        </w:rPr>
        <w:t xml:space="preserve">. </w:t>
      </w:r>
      <w:r w:rsidRPr="00AC1A4C">
        <w:rPr>
          <w:i/>
          <w:iCs/>
          <w:lang w:val="es-CR"/>
        </w:rPr>
        <w:t>Caso Maidanik y otros Vs. Uruguay</w:t>
      </w:r>
      <w:r w:rsidR="00504D7B" w:rsidRPr="00AC1A4C">
        <w:rPr>
          <w:i/>
          <w:iCs/>
          <w:lang w:val="es-CR"/>
        </w:rPr>
        <w:t>, supra</w:t>
      </w:r>
      <w:r w:rsidRPr="00AC1A4C">
        <w:rPr>
          <w:lang w:val="es-CR"/>
        </w:rPr>
        <w:t>, párr. 275.</w:t>
      </w:r>
    </w:p>
  </w:footnote>
  <w:footnote w:id="119">
    <w:p w14:paraId="4ECA6719" w14:textId="2A552157"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w:t>
      </w:r>
      <w:r w:rsidRPr="00AC1A4C">
        <w:rPr>
          <w:lang w:val="es-CR"/>
        </w:rPr>
        <w:t xml:space="preserve">. </w:t>
      </w:r>
      <w:r w:rsidRPr="00AC1A4C">
        <w:rPr>
          <w:i/>
          <w:iCs/>
          <w:lang w:val="es-CR"/>
        </w:rPr>
        <w:t>Caso Maidanik y otros Vs. Uruguay</w:t>
      </w:r>
      <w:r w:rsidR="00504D7B" w:rsidRPr="00AC1A4C">
        <w:rPr>
          <w:lang w:val="es-CR"/>
        </w:rPr>
        <w:t xml:space="preserve">, </w:t>
      </w:r>
      <w:r w:rsidR="00504D7B" w:rsidRPr="00AC1A4C">
        <w:rPr>
          <w:i/>
          <w:iCs/>
          <w:lang w:val="es-CR"/>
        </w:rPr>
        <w:t>supra</w:t>
      </w:r>
      <w:r w:rsidRPr="00AC1A4C">
        <w:rPr>
          <w:lang w:val="es-CR"/>
        </w:rPr>
        <w:t>, párr. 276.</w:t>
      </w:r>
    </w:p>
  </w:footnote>
  <w:footnote w:id="120">
    <w:p w14:paraId="45E2087E" w14:textId="07479D05"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Garrido y Baigorria Vs. Argentina. Reparaciones y Costas.</w:t>
      </w:r>
      <w:r w:rsidRPr="00AC1A4C">
        <w:rPr>
          <w:lang w:val="es-CR"/>
        </w:rPr>
        <w:t xml:space="preserve"> Sentencia de 27 de agosto de 1998. Serie C No. 39, párrs. 82, </w:t>
      </w:r>
      <w:bookmarkStart w:id="66" w:name="_Hlk114750354"/>
      <w:r w:rsidRPr="00AC1A4C">
        <w:rPr>
          <w:lang w:val="es-CR"/>
        </w:rPr>
        <w:t>y</w:t>
      </w:r>
      <w:r w:rsidR="00504D7B" w:rsidRPr="00AC1A4C">
        <w:rPr>
          <w:i/>
          <w:iCs/>
        </w:rPr>
        <w:t xml:space="preserve"> Caso </w:t>
      </w:r>
      <w:r w:rsidR="00504D7B" w:rsidRPr="00AC1A4C">
        <w:rPr>
          <w:rFonts w:cs="Verdana"/>
          <w:i/>
          <w:lang w:bidi="en-US"/>
        </w:rPr>
        <w:t>Guevara Díaz Vs. Costa Rica, supra,</w:t>
      </w:r>
      <w:r w:rsidR="00504D7B" w:rsidRPr="00AC1A4C">
        <w:rPr>
          <w:rFonts w:cs="Verdana"/>
          <w:iCs/>
          <w:lang w:bidi="en-US"/>
        </w:rPr>
        <w:t xml:space="preserve"> </w:t>
      </w:r>
      <w:r w:rsidR="00504D7B" w:rsidRPr="00AC1A4C">
        <w:rPr>
          <w:rFonts w:cs="Verdana"/>
          <w:iCs/>
          <w:lang w:val="es-CR" w:bidi="en-US"/>
        </w:rPr>
        <w:t>párr. 112</w:t>
      </w:r>
      <w:bookmarkEnd w:id="66"/>
      <w:r w:rsidRPr="00AC1A4C">
        <w:rPr>
          <w:rFonts w:cs="Verdana"/>
          <w:lang w:val="es-CR"/>
        </w:rPr>
        <w:t>.</w:t>
      </w:r>
    </w:p>
  </w:footnote>
  <w:footnote w:id="121">
    <w:p w14:paraId="0B6C9E85" w14:textId="26EB1E06"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Garrido y Baigorria Vs. Argentina, supra</w:t>
      </w:r>
      <w:r w:rsidRPr="00AC1A4C">
        <w:rPr>
          <w:lang w:val="es-CR"/>
        </w:rPr>
        <w:t xml:space="preserve">, párr. 79, y </w:t>
      </w:r>
      <w:r w:rsidRPr="00AC1A4C">
        <w:rPr>
          <w:rFonts w:cs="Verdana"/>
          <w:i/>
          <w:lang w:val="es-CR"/>
        </w:rPr>
        <w:t>Caso Movilla Galarcio y otros Vs. Colombia</w:t>
      </w:r>
      <w:r w:rsidR="00BF2468" w:rsidRPr="00AC1A4C">
        <w:rPr>
          <w:rFonts w:cs="Verdana"/>
          <w:i/>
          <w:lang w:val="es-CR"/>
        </w:rPr>
        <w:t>, supra</w:t>
      </w:r>
      <w:r w:rsidRPr="00AC1A4C">
        <w:rPr>
          <w:rFonts w:cs="Verdana"/>
          <w:lang w:val="es-CR"/>
        </w:rPr>
        <w:t>, párr. 252.</w:t>
      </w:r>
    </w:p>
  </w:footnote>
  <w:footnote w:id="122">
    <w:p w14:paraId="610A1880" w14:textId="7CCEBC32"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Chaparro Álvarez y Lapo Íñiguez Vs. Ecuador. Excepciones Preliminares, Fondo, Reparaciones y Costas</w:t>
      </w:r>
      <w:r w:rsidRPr="00AC1A4C">
        <w:rPr>
          <w:lang w:val="es-CR"/>
        </w:rPr>
        <w:t>. Sentencia de 21 de noviembre de 2007. Serie C No. 170, párr. 277, y</w:t>
      </w:r>
      <w:bookmarkStart w:id="67" w:name="_Hlk109296086"/>
      <w:r w:rsidRPr="00AC1A4C">
        <w:rPr>
          <w:lang w:val="es-CR"/>
        </w:rPr>
        <w:t xml:space="preserve"> </w:t>
      </w:r>
      <w:r w:rsidRPr="00AC1A4C">
        <w:rPr>
          <w:rFonts w:cs="Verdana"/>
          <w:i/>
          <w:lang w:val="es-CR"/>
        </w:rPr>
        <w:t>Caso Movilla Galarcio y otros Vs. Colombia</w:t>
      </w:r>
      <w:r w:rsidR="00BF2468" w:rsidRPr="00AC1A4C">
        <w:rPr>
          <w:rFonts w:cs="Verdana"/>
          <w:i/>
          <w:lang w:val="es-CR"/>
        </w:rPr>
        <w:t xml:space="preserve">, supra, </w:t>
      </w:r>
      <w:r w:rsidRPr="00AC1A4C">
        <w:rPr>
          <w:rFonts w:cs="Verdana"/>
          <w:lang w:val="es-CR"/>
        </w:rPr>
        <w:t>párr. 252.</w:t>
      </w:r>
      <w:r w:rsidRPr="00AC1A4C">
        <w:rPr>
          <w:lang w:val="es-CR"/>
        </w:rPr>
        <w:t xml:space="preserve"> </w:t>
      </w:r>
      <w:bookmarkEnd w:id="67"/>
    </w:p>
  </w:footnote>
  <w:footnote w:id="123">
    <w:p w14:paraId="5B5ACB94" w14:textId="5975CBC8" w:rsidR="00FF277B" w:rsidRPr="00AC1A4C" w:rsidRDefault="00FF277B" w:rsidP="00AC1A4C">
      <w:pPr>
        <w:pStyle w:val="Textonotapie"/>
        <w:spacing w:after="40"/>
        <w:jc w:val="both"/>
        <w:rPr>
          <w:lang w:val="es-CR"/>
        </w:rPr>
      </w:pPr>
      <w:r w:rsidRPr="00AC1A4C">
        <w:rPr>
          <w:rStyle w:val="Refdenotaalpie"/>
          <w:lang w:val="es-CR"/>
        </w:rPr>
        <w:footnoteRef/>
      </w:r>
      <w:r w:rsidRPr="00AC1A4C">
        <w:rPr>
          <w:lang w:val="es-CR"/>
        </w:rPr>
        <w:t xml:space="preserve"> </w:t>
      </w:r>
      <w:r w:rsidRPr="00AC1A4C">
        <w:rPr>
          <w:lang w:val="es-CR"/>
        </w:rPr>
        <w:tab/>
      </w:r>
      <w:r w:rsidRPr="00AC1A4C">
        <w:rPr>
          <w:i/>
          <w:iCs/>
          <w:lang w:val="es-CR"/>
        </w:rPr>
        <w:t>Cfr. Caso Ibsen Cárdenas e Ibsen Peña Vs. Bolivia, supra</w:t>
      </w:r>
      <w:r w:rsidRPr="00AC1A4C">
        <w:rPr>
          <w:lang w:val="es-CR"/>
        </w:rPr>
        <w:t xml:space="preserve"> párr. 291, y</w:t>
      </w:r>
      <w:r w:rsidR="009D7247" w:rsidRPr="00AC1A4C">
        <w:rPr>
          <w:i/>
          <w:iCs/>
          <w:lang w:val="es-CR"/>
        </w:rPr>
        <w:t xml:space="preserve"> Caso </w:t>
      </w:r>
      <w:r w:rsidR="009D7247" w:rsidRPr="00AC1A4C">
        <w:rPr>
          <w:i/>
          <w:lang w:val="es-CR"/>
        </w:rPr>
        <w:t>Guevara Díaz Vs. Costa Rica, supra,</w:t>
      </w:r>
      <w:r w:rsidR="009D7247" w:rsidRPr="00AC1A4C">
        <w:rPr>
          <w:iCs/>
          <w:lang w:val="es-CR"/>
        </w:rPr>
        <w:t xml:space="preserve"> párr. 113</w:t>
      </w:r>
      <w:r w:rsidR="00F03F7A" w:rsidRPr="00AC1A4C">
        <w:rPr>
          <w:iCs/>
          <w:lang w:val="es-C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5E12716"/>
    <w:multiLevelType w:val="hybridMultilevel"/>
    <w:tmpl w:val="7F9C1E92"/>
    <w:lvl w:ilvl="0" w:tplc="83CA6614">
      <w:start w:val="3"/>
      <w:numFmt w:val="upperLetter"/>
      <w:lvlText w:val="%1."/>
      <w:lvlJc w:val="left"/>
      <w:pPr>
        <w:ind w:left="262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234CE"/>
    <w:multiLevelType w:val="hybridMultilevel"/>
    <w:tmpl w:val="E13A2E22"/>
    <w:lvl w:ilvl="0" w:tplc="8FAC4B8A">
      <w:start w:val="6"/>
      <w:numFmt w:val="upperLetter"/>
      <w:lvlText w:val="%1."/>
      <w:lvlJc w:val="left"/>
      <w:pPr>
        <w:ind w:left="262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10A7"/>
    <w:multiLevelType w:val="hybridMultilevel"/>
    <w:tmpl w:val="5F8C1ABE"/>
    <w:lvl w:ilvl="0" w:tplc="140A0015">
      <w:start w:val="1"/>
      <w:numFmt w:val="upperLetter"/>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E493809"/>
    <w:multiLevelType w:val="hybridMultilevel"/>
    <w:tmpl w:val="33A8FD22"/>
    <w:lvl w:ilvl="0" w:tplc="3EDE479A">
      <w:start w:val="2"/>
      <w:numFmt w:val="upperLetter"/>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5" w15:restartNumberingAfterBreak="0">
    <w:nsid w:val="0EFA350F"/>
    <w:multiLevelType w:val="hybridMultilevel"/>
    <w:tmpl w:val="2A44F86C"/>
    <w:lvl w:ilvl="0" w:tplc="0090D744">
      <w:start w:val="1"/>
      <w:numFmt w:val="lowerLetter"/>
      <w:lvlText w:val="%1)"/>
      <w:lvlJc w:val="left"/>
      <w:pPr>
        <w:ind w:left="720" w:hanging="360"/>
      </w:pPr>
      <w:rPr>
        <w:rFonts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39A353D"/>
    <w:multiLevelType w:val="hybridMultilevel"/>
    <w:tmpl w:val="BB44B0E2"/>
    <w:lvl w:ilvl="0" w:tplc="A35C7B0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3F776E3"/>
    <w:multiLevelType w:val="hybridMultilevel"/>
    <w:tmpl w:val="24842998"/>
    <w:lvl w:ilvl="0" w:tplc="32BA8CC8">
      <w:start w:val="1"/>
      <w:numFmt w:val="decimal"/>
      <w:lvlText w:val="%1."/>
      <w:lvlJc w:val="left"/>
      <w:pPr>
        <w:ind w:left="720" w:hanging="360"/>
      </w:pPr>
      <w:rPr>
        <w:rFonts w:ascii="Verdana" w:hAnsi="Verdana" w:hint="default"/>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6B23CE6"/>
    <w:multiLevelType w:val="hybridMultilevel"/>
    <w:tmpl w:val="F45ACAD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9A549DD"/>
    <w:multiLevelType w:val="hybridMultilevel"/>
    <w:tmpl w:val="011CF12E"/>
    <w:lvl w:ilvl="0" w:tplc="21AE684E">
      <w:start w:val="1"/>
      <w:numFmt w:val="upperLetter"/>
      <w:lvlText w:val="%1."/>
      <w:lvlJc w:val="left"/>
      <w:pPr>
        <w:ind w:left="720" w:hanging="360"/>
      </w:pPr>
      <w:rPr>
        <w:rFonts w:asciiTheme="minorHAnsi" w:hAnsiTheme="minorHAnsi"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C6144C9"/>
    <w:multiLevelType w:val="hybridMultilevel"/>
    <w:tmpl w:val="CFF0C922"/>
    <w:lvl w:ilvl="0" w:tplc="AAD2F022">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E3318AB"/>
    <w:multiLevelType w:val="hybridMultilevel"/>
    <w:tmpl w:val="1BEA52DA"/>
    <w:lvl w:ilvl="0" w:tplc="43DE2C9E">
      <w:start w:val="4"/>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A32F8"/>
    <w:multiLevelType w:val="hybridMultilevel"/>
    <w:tmpl w:val="0C0CA54A"/>
    <w:lvl w:ilvl="0" w:tplc="078E3188">
      <w:start w:val="4"/>
      <w:numFmt w:val="upperLetter"/>
      <w:lvlText w:val="%1."/>
      <w:lvlJc w:val="left"/>
      <w:pPr>
        <w:ind w:left="262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759EF"/>
    <w:multiLevelType w:val="hybridMultilevel"/>
    <w:tmpl w:val="02F8261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18F7B00"/>
    <w:multiLevelType w:val="hybridMultilevel"/>
    <w:tmpl w:val="BA201682"/>
    <w:lvl w:ilvl="0" w:tplc="E4FC29EC">
      <w:start w:val="1"/>
      <w:numFmt w:val="decimal"/>
      <w:lvlText w:val="%1."/>
      <w:lvlJc w:val="left"/>
      <w:pPr>
        <w:ind w:left="360" w:hanging="360"/>
      </w:pPr>
      <w:rPr>
        <w:rFonts w:ascii="Verdana" w:eastAsia="Calibri" w:hAnsi="Verdana" w:hint="default"/>
        <w:b w:val="0"/>
        <w:i w:val="0"/>
        <w:strike w:val="0"/>
        <w:color w:val="auto"/>
        <w:sz w:val="20"/>
        <w:szCs w:val="20"/>
      </w:rPr>
    </w:lvl>
    <w:lvl w:ilvl="1" w:tplc="04090019" w:tentative="1">
      <w:start w:val="1"/>
      <w:numFmt w:val="lowerLetter"/>
      <w:lvlText w:val="%2."/>
      <w:lvlJc w:val="left"/>
      <w:pPr>
        <w:ind w:left="-380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2366" w:hanging="360"/>
      </w:pPr>
    </w:lvl>
    <w:lvl w:ilvl="4" w:tplc="04090019" w:tentative="1">
      <w:start w:val="1"/>
      <w:numFmt w:val="lowerLetter"/>
      <w:lvlText w:val="%5."/>
      <w:lvlJc w:val="left"/>
      <w:pPr>
        <w:ind w:left="-1646" w:hanging="360"/>
      </w:pPr>
    </w:lvl>
    <w:lvl w:ilvl="5" w:tplc="0409001B" w:tentative="1">
      <w:start w:val="1"/>
      <w:numFmt w:val="lowerRoman"/>
      <w:lvlText w:val="%6."/>
      <w:lvlJc w:val="right"/>
      <w:pPr>
        <w:ind w:left="-926" w:hanging="180"/>
      </w:pPr>
    </w:lvl>
    <w:lvl w:ilvl="6" w:tplc="0409000F" w:tentative="1">
      <w:start w:val="1"/>
      <w:numFmt w:val="decimal"/>
      <w:lvlText w:val="%7."/>
      <w:lvlJc w:val="left"/>
      <w:pPr>
        <w:ind w:left="-206" w:hanging="360"/>
      </w:pPr>
    </w:lvl>
    <w:lvl w:ilvl="7" w:tplc="04090019" w:tentative="1">
      <w:start w:val="1"/>
      <w:numFmt w:val="lowerLetter"/>
      <w:lvlText w:val="%8."/>
      <w:lvlJc w:val="left"/>
      <w:pPr>
        <w:ind w:left="514" w:hanging="360"/>
      </w:pPr>
    </w:lvl>
    <w:lvl w:ilvl="8" w:tplc="0409001B" w:tentative="1">
      <w:start w:val="1"/>
      <w:numFmt w:val="lowerRoman"/>
      <w:lvlText w:val="%9."/>
      <w:lvlJc w:val="right"/>
      <w:pPr>
        <w:ind w:left="1234" w:hanging="180"/>
      </w:pPr>
    </w:lvl>
  </w:abstractNum>
  <w:abstractNum w:abstractNumId="15" w15:restartNumberingAfterBreak="0">
    <w:nsid w:val="33FF6F31"/>
    <w:multiLevelType w:val="hybridMultilevel"/>
    <w:tmpl w:val="DFDCB816"/>
    <w:lvl w:ilvl="0" w:tplc="649E8D40">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8215D9"/>
    <w:multiLevelType w:val="hybridMultilevel"/>
    <w:tmpl w:val="A3581640"/>
    <w:lvl w:ilvl="0" w:tplc="1676F6E6">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2754350"/>
    <w:multiLevelType w:val="hybridMultilevel"/>
    <w:tmpl w:val="0C0CA54A"/>
    <w:lvl w:ilvl="0" w:tplc="FFFFFFFF">
      <w:start w:val="4"/>
      <w:numFmt w:val="upperLetter"/>
      <w:lvlText w:val="%1."/>
      <w:lvlJc w:val="left"/>
      <w:pPr>
        <w:ind w:left="2628"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A42396"/>
    <w:multiLevelType w:val="multilevel"/>
    <w:tmpl w:val="E80A7DE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4A544E1D"/>
    <w:multiLevelType w:val="hybridMultilevel"/>
    <w:tmpl w:val="F13C36F2"/>
    <w:lvl w:ilvl="0" w:tplc="C31CBCEA">
      <w:start w:val="1"/>
      <w:numFmt w:val="lowerLetter"/>
      <w:lvlText w:val="%1)"/>
      <w:lvlJc w:val="left"/>
      <w:pPr>
        <w:ind w:left="720" w:hanging="360"/>
      </w:pPr>
      <w:rPr>
        <w:rFonts w:cs="Times" w:hint="default"/>
        <w:b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4AE31E6A"/>
    <w:multiLevelType w:val="hybridMultilevel"/>
    <w:tmpl w:val="BBC4D864"/>
    <w:lvl w:ilvl="0" w:tplc="22A0D6C0">
      <w:start w:val="1"/>
      <w:numFmt w:val="upperLetter"/>
      <w:lvlText w:val="%1."/>
      <w:lvlJc w:val="left"/>
      <w:pPr>
        <w:ind w:left="1068" w:hanging="360"/>
      </w:pPr>
      <w:rPr>
        <w:b/>
        <w:i/>
      </w:rPr>
    </w:lvl>
    <w:lvl w:ilvl="1" w:tplc="8A068718">
      <w:start w:val="1"/>
      <w:numFmt w:val="lowerLetter"/>
      <w:lvlText w:val="%2."/>
      <w:lvlJc w:val="left"/>
      <w:pPr>
        <w:ind w:left="1353" w:hanging="360"/>
      </w:pPr>
      <w:rPr>
        <w:rFonts w:hint="default"/>
        <w:i w:val="0"/>
      </w:r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1" w15:restartNumberingAfterBreak="0">
    <w:nsid w:val="4C077F9A"/>
    <w:multiLevelType w:val="hybridMultilevel"/>
    <w:tmpl w:val="16D8C212"/>
    <w:lvl w:ilvl="0" w:tplc="FFFFFFFF">
      <w:start w:val="5"/>
      <w:numFmt w:val="upperLetter"/>
      <w:lvlText w:val="%1."/>
      <w:lvlJc w:val="left"/>
      <w:pPr>
        <w:ind w:left="2628"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366D43"/>
    <w:multiLevelType w:val="hybridMultilevel"/>
    <w:tmpl w:val="D1BE0240"/>
    <w:lvl w:ilvl="0" w:tplc="E84A0D6E">
      <w:start w:val="1"/>
      <w:numFmt w:val="upperRoman"/>
      <w:pStyle w:val="Ttulo"/>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CCD1B5F"/>
    <w:multiLevelType w:val="hybridMultilevel"/>
    <w:tmpl w:val="DC904284"/>
    <w:lvl w:ilvl="0" w:tplc="AA7E235C">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4EBD5D3D"/>
    <w:multiLevelType w:val="hybridMultilevel"/>
    <w:tmpl w:val="667C38BE"/>
    <w:lvl w:ilvl="0" w:tplc="46048414">
      <w:start w:val="1"/>
      <w:numFmt w:val="decimal"/>
      <w:lvlText w:val="%1."/>
      <w:lvlJc w:val="left"/>
      <w:pPr>
        <w:ind w:left="2628" w:hanging="360"/>
      </w:pPr>
      <w:rPr>
        <w:rFonts w:ascii="Verdana" w:hAnsi="Verdana" w:hint="default"/>
        <w:b w:val="0"/>
        <w:i w:val="0"/>
        <w:iCs w:val="0"/>
        <w:strike w:val="0"/>
        <w:color w:val="auto"/>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4EC945E1"/>
    <w:multiLevelType w:val="hybridMultilevel"/>
    <w:tmpl w:val="16D8C212"/>
    <w:lvl w:ilvl="0" w:tplc="DD582E0A">
      <w:start w:val="5"/>
      <w:numFmt w:val="upperLetter"/>
      <w:lvlText w:val="%1."/>
      <w:lvlJc w:val="left"/>
      <w:pPr>
        <w:ind w:left="262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067169"/>
    <w:multiLevelType w:val="hybridMultilevel"/>
    <w:tmpl w:val="3F8AFB58"/>
    <w:lvl w:ilvl="0" w:tplc="E4901FBE">
      <w:start w:val="1"/>
      <w:numFmt w:val="decimal"/>
      <w:lvlText w:val="%1."/>
      <w:lvlJc w:val="left"/>
      <w:pPr>
        <w:ind w:left="117" w:hanging="567"/>
      </w:pPr>
      <w:rPr>
        <w:rFonts w:ascii="Verdana" w:eastAsia="Verdana" w:hAnsi="Verdana" w:cs="Verdana" w:hint="default"/>
        <w:w w:val="99"/>
        <w:sz w:val="20"/>
        <w:szCs w:val="20"/>
      </w:rPr>
    </w:lvl>
    <w:lvl w:ilvl="1" w:tplc="1E54D860">
      <w:numFmt w:val="bullet"/>
      <w:lvlText w:val="•"/>
      <w:lvlJc w:val="left"/>
      <w:pPr>
        <w:ind w:left="1072" w:hanging="567"/>
      </w:pPr>
      <w:rPr>
        <w:rFonts w:hint="default"/>
      </w:rPr>
    </w:lvl>
    <w:lvl w:ilvl="2" w:tplc="8A54503E">
      <w:numFmt w:val="bullet"/>
      <w:lvlText w:val="•"/>
      <w:lvlJc w:val="left"/>
      <w:pPr>
        <w:ind w:left="2024" w:hanging="567"/>
      </w:pPr>
      <w:rPr>
        <w:rFonts w:hint="default"/>
      </w:rPr>
    </w:lvl>
    <w:lvl w:ilvl="3" w:tplc="CC986438">
      <w:numFmt w:val="bullet"/>
      <w:lvlText w:val="•"/>
      <w:lvlJc w:val="left"/>
      <w:pPr>
        <w:ind w:left="2976" w:hanging="567"/>
      </w:pPr>
      <w:rPr>
        <w:rFonts w:hint="default"/>
      </w:rPr>
    </w:lvl>
    <w:lvl w:ilvl="4" w:tplc="19A093CE">
      <w:numFmt w:val="bullet"/>
      <w:lvlText w:val="•"/>
      <w:lvlJc w:val="left"/>
      <w:pPr>
        <w:ind w:left="3928" w:hanging="567"/>
      </w:pPr>
      <w:rPr>
        <w:rFonts w:hint="default"/>
      </w:rPr>
    </w:lvl>
    <w:lvl w:ilvl="5" w:tplc="E6E0C096">
      <w:numFmt w:val="bullet"/>
      <w:lvlText w:val="•"/>
      <w:lvlJc w:val="left"/>
      <w:pPr>
        <w:ind w:left="4880" w:hanging="567"/>
      </w:pPr>
      <w:rPr>
        <w:rFonts w:hint="default"/>
      </w:rPr>
    </w:lvl>
    <w:lvl w:ilvl="6" w:tplc="EF82ECD6">
      <w:numFmt w:val="bullet"/>
      <w:lvlText w:val="•"/>
      <w:lvlJc w:val="left"/>
      <w:pPr>
        <w:ind w:left="5832" w:hanging="567"/>
      </w:pPr>
      <w:rPr>
        <w:rFonts w:hint="default"/>
      </w:rPr>
    </w:lvl>
    <w:lvl w:ilvl="7" w:tplc="4E1A926C">
      <w:numFmt w:val="bullet"/>
      <w:lvlText w:val="•"/>
      <w:lvlJc w:val="left"/>
      <w:pPr>
        <w:ind w:left="6784" w:hanging="567"/>
      </w:pPr>
      <w:rPr>
        <w:rFonts w:hint="default"/>
      </w:rPr>
    </w:lvl>
    <w:lvl w:ilvl="8" w:tplc="D2267714">
      <w:numFmt w:val="bullet"/>
      <w:lvlText w:val="•"/>
      <w:lvlJc w:val="left"/>
      <w:pPr>
        <w:ind w:left="7736" w:hanging="567"/>
      </w:pPr>
      <w:rPr>
        <w:rFonts w:hint="default"/>
      </w:rPr>
    </w:lvl>
  </w:abstractNum>
  <w:abstractNum w:abstractNumId="27" w15:restartNumberingAfterBreak="0">
    <w:nsid w:val="55C93AC8"/>
    <w:multiLevelType w:val="hybridMultilevel"/>
    <w:tmpl w:val="3766AE78"/>
    <w:lvl w:ilvl="0" w:tplc="D5ACD098">
      <w:start w:val="1"/>
      <w:numFmt w:val="decimal"/>
      <w:lvlText w:val="%1."/>
      <w:lvlJc w:val="left"/>
      <w:pPr>
        <w:ind w:left="5811" w:hanging="708"/>
      </w:pPr>
      <w:rPr>
        <w:rFonts w:ascii="Verdana" w:hAnsi="Verdana" w:hint="default"/>
        <w:b w:val="0"/>
        <w:i w:val="0"/>
        <w:strike w:val="0"/>
        <w:color w:val="auto"/>
        <w:sz w:val="20"/>
        <w:szCs w:val="20"/>
        <w:vertAlign w:val="baseline"/>
      </w:rPr>
    </w:lvl>
    <w:lvl w:ilvl="1" w:tplc="140A0019">
      <w:start w:val="1"/>
      <w:numFmt w:val="lowerLetter"/>
      <w:lvlText w:val="%2."/>
      <w:lvlJc w:val="left"/>
      <w:pPr>
        <w:ind w:left="371" w:hanging="360"/>
      </w:pPr>
    </w:lvl>
    <w:lvl w:ilvl="2" w:tplc="140A001B" w:tentative="1">
      <w:start w:val="1"/>
      <w:numFmt w:val="lowerRoman"/>
      <w:lvlText w:val="%3."/>
      <w:lvlJc w:val="right"/>
      <w:pPr>
        <w:ind w:left="1091" w:hanging="180"/>
      </w:pPr>
    </w:lvl>
    <w:lvl w:ilvl="3" w:tplc="140A000F" w:tentative="1">
      <w:start w:val="1"/>
      <w:numFmt w:val="decimal"/>
      <w:lvlText w:val="%4."/>
      <w:lvlJc w:val="left"/>
      <w:pPr>
        <w:ind w:left="1811" w:hanging="360"/>
      </w:pPr>
    </w:lvl>
    <w:lvl w:ilvl="4" w:tplc="140A0019" w:tentative="1">
      <w:start w:val="1"/>
      <w:numFmt w:val="lowerLetter"/>
      <w:lvlText w:val="%5."/>
      <w:lvlJc w:val="left"/>
      <w:pPr>
        <w:ind w:left="2531" w:hanging="360"/>
      </w:pPr>
    </w:lvl>
    <w:lvl w:ilvl="5" w:tplc="140A001B" w:tentative="1">
      <w:start w:val="1"/>
      <w:numFmt w:val="lowerRoman"/>
      <w:lvlText w:val="%6."/>
      <w:lvlJc w:val="right"/>
      <w:pPr>
        <w:ind w:left="3251" w:hanging="180"/>
      </w:pPr>
    </w:lvl>
    <w:lvl w:ilvl="6" w:tplc="140A000F" w:tentative="1">
      <w:start w:val="1"/>
      <w:numFmt w:val="decimal"/>
      <w:lvlText w:val="%7."/>
      <w:lvlJc w:val="left"/>
      <w:pPr>
        <w:ind w:left="3971" w:hanging="360"/>
      </w:pPr>
    </w:lvl>
    <w:lvl w:ilvl="7" w:tplc="140A0019" w:tentative="1">
      <w:start w:val="1"/>
      <w:numFmt w:val="lowerLetter"/>
      <w:lvlText w:val="%8."/>
      <w:lvlJc w:val="left"/>
      <w:pPr>
        <w:ind w:left="4691" w:hanging="360"/>
      </w:pPr>
    </w:lvl>
    <w:lvl w:ilvl="8" w:tplc="140A001B" w:tentative="1">
      <w:start w:val="1"/>
      <w:numFmt w:val="lowerRoman"/>
      <w:lvlText w:val="%9."/>
      <w:lvlJc w:val="right"/>
      <w:pPr>
        <w:ind w:left="5411" w:hanging="180"/>
      </w:pPr>
    </w:lvl>
  </w:abstractNum>
  <w:abstractNum w:abstractNumId="28" w15:restartNumberingAfterBreak="0">
    <w:nsid w:val="560D659E"/>
    <w:multiLevelType w:val="hybridMultilevel"/>
    <w:tmpl w:val="60262D20"/>
    <w:lvl w:ilvl="0" w:tplc="83502C66">
      <w:start w:val="14"/>
      <w:numFmt w:val="decimal"/>
      <w:lvlText w:val="%1."/>
      <w:lvlJc w:val="left"/>
      <w:pPr>
        <w:ind w:left="720" w:hanging="360"/>
      </w:pPr>
      <w:rPr>
        <w:rFonts w:ascii="Verdana" w:hAnsi="Verdana" w:hint="default"/>
        <w:b w:val="0"/>
        <w:i w:val="0"/>
        <w:strike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56B23306"/>
    <w:multiLevelType w:val="hybridMultilevel"/>
    <w:tmpl w:val="BD062A8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56D03256"/>
    <w:multiLevelType w:val="hybridMultilevel"/>
    <w:tmpl w:val="012C69B2"/>
    <w:lvl w:ilvl="0" w:tplc="140A000F">
      <w:start w:val="1"/>
      <w:numFmt w:val="decimal"/>
      <w:lvlText w:val="%1."/>
      <w:lvlJc w:val="left"/>
      <w:pPr>
        <w:ind w:left="2770" w:hanging="360"/>
      </w:pPr>
      <w:rPr>
        <w:rFonts w:hint="default"/>
        <w:b w:val="0"/>
      </w:rPr>
    </w:lvl>
    <w:lvl w:ilvl="1" w:tplc="58A4E1AA">
      <w:start w:val="1"/>
      <w:numFmt w:val="lowerLetter"/>
      <w:lvlText w:val="%2."/>
      <w:lvlJc w:val="left"/>
      <w:pPr>
        <w:ind w:left="1440" w:hanging="360"/>
      </w:pPr>
      <w:rPr>
        <w:b/>
        <w:bCs w:val="0"/>
        <w:i w:val="0"/>
        <w:iCs/>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5956002A"/>
    <w:multiLevelType w:val="hybridMultilevel"/>
    <w:tmpl w:val="B70CD568"/>
    <w:lvl w:ilvl="0" w:tplc="F5BCB67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5993340F"/>
    <w:multiLevelType w:val="hybridMultilevel"/>
    <w:tmpl w:val="AB6AA132"/>
    <w:lvl w:ilvl="0" w:tplc="5DC22EFE">
      <w:start w:val="7"/>
      <w:numFmt w:val="upperLetter"/>
      <w:lvlText w:val="%1."/>
      <w:lvlJc w:val="left"/>
      <w:pPr>
        <w:ind w:left="262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245C34"/>
    <w:multiLevelType w:val="multilevel"/>
    <w:tmpl w:val="D5162FEA"/>
    <w:lvl w:ilvl="0">
      <w:start w:val="299"/>
      <w:numFmt w:val="decimal"/>
      <w:lvlText w:val="%1."/>
      <w:lvlJc w:val="left"/>
      <w:pPr>
        <w:ind w:left="7938" w:hanging="567"/>
      </w:pPr>
      <w:rPr>
        <w:rFonts w:ascii="Verdana" w:eastAsia="Verdana" w:hAnsi="Verdana" w:cs="Verdana" w:hint="default"/>
        <w:w w:val="100"/>
        <w:sz w:val="20"/>
        <w:szCs w:val="20"/>
        <w:vertAlign w:val="baseline"/>
      </w:rPr>
    </w:lvl>
    <w:lvl w:ilvl="1">
      <w:start w:val="1"/>
      <w:numFmt w:val="upperLetter"/>
      <w:lvlText w:val="%2."/>
      <w:lvlJc w:val="left"/>
      <w:pPr>
        <w:ind w:left="839" w:hanging="361"/>
      </w:pPr>
      <w:rPr>
        <w:rFonts w:ascii="Verdana" w:eastAsia="Verdana" w:hAnsi="Verdana" w:cs="Verdana" w:hint="default"/>
        <w:b/>
        <w:bCs/>
        <w:spacing w:val="-2"/>
        <w:w w:val="99"/>
        <w:sz w:val="20"/>
        <w:szCs w:val="20"/>
      </w:rPr>
    </w:lvl>
    <w:lvl w:ilvl="2">
      <w:start w:val="1"/>
      <w:numFmt w:val="decimal"/>
      <w:lvlText w:val="C.%3"/>
      <w:lvlJc w:val="left"/>
      <w:pPr>
        <w:ind w:left="839" w:hanging="662"/>
      </w:pPr>
      <w:rPr>
        <w:rFonts w:hint="default"/>
        <w:b w:val="0"/>
        <w:bCs/>
        <w:i/>
        <w:color w:val="auto"/>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34" w15:restartNumberingAfterBreak="0">
    <w:nsid w:val="5CF4411C"/>
    <w:multiLevelType w:val="hybridMultilevel"/>
    <w:tmpl w:val="05F04678"/>
    <w:lvl w:ilvl="0" w:tplc="F8CEBBCA">
      <w:start w:val="8"/>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055696"/>
    <w:multiLevelType w:val="hybridMultilevel"/>
    <w:tmpl w:val="02F826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D6B2C60"/>
    <w:multiLevelType w:val="hybridMultilevel"/>
    <w:tmpl w:val="7F9C1E92"/>
    <w:lvl w:ilvl="0" w:tplc="FFFFFFFF">
      <w:start w:val="3"/>
      <w:numFmt w:val="upperLetter"/>
      <w:lvlText w:val="%1."/>
      <w:lvlJc w:val="left"/>
      <w:pPr>
        <w:ind w:left="2628"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AF6639"/>
    <w:multiLevelType w:val="hybridMultilevel"/>
    <w:tmpl w:val="A3581640"/>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9F94B5F"/>
    <w:multiLevelType w:val="hybridMultilevel"/>
    <w:tmpl w:val="A3581640"/>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994840"/>
    <w:multiLevelType w:val="hybridMultilevel"/>
    <w:tmpl w:val="BBDEB716"/>
    <w:lvl w:ilvl="0" w:tplc="783C291C">
      <w:start w:val="1"/>
      <w:numFmt w:val="upperLetter"/>
      <w:pStyle w:val="Ttulo2"/>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0" w15:restartNumberingAfterBreak="0">
    <w:nsid w:val="6E771565"/>
    <w:multiLevelType w:val="hybridMultilevel"/>
    <w:tmpl w:val="13761E6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41" w15:restartNumberingAfterBreak="0">
    <w:nsid w:val="6F1A13DF"/>
    <w:multiLevelType w:val="hybridMultilevel"/>
    <w:tmpl w:val="7E8E9DFA"/>
    <w:lvl w:ilvl="0" w:tplc="49B61B2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05A6F5C"/>
    <w:multiLevelType w:val="hybridMultilevel"/>
    <w:tmpl w:val="4F3038A2"/>
    <w:lvl w:ilvl="0" w:tplc="0B9EED4E">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C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B7608196">
      <w:start w:val="1"/>
      <w:numFmt w:val="lowerLetter"/>
      <w:lvlText w:val="%4."/>
      <w:lvlJc w:val="left"/>
      <w:pPr>
        <w:ind w:left="1125" w:hanging="405"/>
      </w:pPr>
      <w:rPr>
        <w:rFonts w:hint="default"/>
      </w:rPr>
    </w:lvl>
    <w:lvl w:ilvl="4" w:tplc="4FCCDE7A">
      <w:start w:val="1"/>
      <w:numFmt w:val="lowerLetter"/>
      <w:lvlText w:val="%5)"/>
      <w:lvlJc w:val="left"/>
      <w:pPr>
        <w:ind w:left="1110" w:hanging="39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9227096"/>
    <w:multiLevelType w:val="hybridMultilevel"/>
    <w:tmpl w:val="02F826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354707"/>
    <w:multiLevelType w:val="hybridMultilevel"/>
    <w:tmpl w:val="62D26802"/>
    <w:lvl w:ilvl="0" w:tplc="98A461BC">
      <w:start w:val="1"/>
      <w:numFmt w:val="decimal"/>
      <w:lvlText w:val="%1."/>
      <w:lvlJc w:val="left"/>
      <w:pPr>
        <w:ind w:left="6070"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45" w15:restartNumberingAfterBreak="0">
    <w:nsid w:val="7B05361B"/>
    <w:multiLevelType w:val="hybridMultilevel"/>
    <w:tmpl w:val="1BEA52DA"/>
    <w:lvl w:ilvl="0" w:tplc="FFFFFFFF">
      <w:start w:val="4"/>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BB80CE3"/>
    <w:multiLevelType w:val="hybridMultilevel"/>
    <w:tmpl w:val="1EB446C2"/>
    <w:lvl w:ilvl="0" w:tplc="FFFFFFFF">
      <w:start w:val="1"/>
      <w:numFmt w:val="decimal"/>
      <w:lvlText w:val="%1."/>
      <w:lvlJc w:val="left"/>
      <w:pPr>
        <w:ind w:left="643"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7" w15:restartNumberingAfterBreak="0">
    <w:nsid w:val="7CE64D32"/>
    <w:multiLevelType w:val="hybridMultilevel"/>
    <w:tmpl w:val="1E248EDA"/>
    <w:lvl w:ilvl="0" w:tplc="C55A862A">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R"/>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pStyle w:val="Ttulo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 w15:restartNumberingAfterBreak="0">
    <w:nsid w:val="7E3046EA"/>
    <w:multiLevelType w:val="multilevel"/>
    <w:tmpl w:val="71B81A8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7F180697"/>
    <w:multiLevelType w:val="hybridMultilevel"/>
    <w:tmpl w:val="2206CB6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73999312">
    <w:abstractNumId w:val="22"/>
  </w:num>
  <w:num w:numId="2" w16cid:durableId="929702322">
    <w:abstractNumId w:val="24"/>
  </w:num>
  <w:num w:numId="3" w16cid:durableId="297301523">
    <w:abstractNumId w:val="8"/>
  </w:num>
  <w:num w:numId="4" w16cid:durableId="676005922">
    <w:abstractNumId w:val="39"/>
  </w:num>
  <w:num w:numId="5" w16cid:durableId="501168463">
    <w:abstractNumId w:val="40"/>
  </w:num>
  <w:num w:numId="6" w16cid:durableId="211158993">
    <w:abstractNumId w:val="0"/>
  </w:num>
  <w:num w:numId="7" w16cid:durableId="439229583">
    <w:abstractNumId w:val="39"/>
    <w:lvlOverride w:ilvl="0">
      <w:startOverride w:val="1"/>
    </w:lvlOverride>
  </w:num>
  <w:num w:numId="8" w16cid:durableId="785124733">
    <w:abstractNumId w:val="4"/>
  </w:num>
  <w:num w:numId="9" w16cid:durableId="1034841791">
    <w:abstractNumId w:val="39"/>
    <w:lvlOverride w:ilvl="0">
      <w:startOverride w:val="1"/>
    </w:lvlOverride>
  </w:num>
  <w:num w:numId="10" w16cid:durableId="1386681812">
    <w:abstractNumId w:val="39"/>
    <w:lvlOverride w:ilvl="0">
      <w:startOverride w:val="1"/>
    </w:lvlOverride>
  </w:num>
  <w:num w:numId="11" w16cid:durableId="3561247">
    <w:abstractNumId w:val="47"/>
  </w:num>
  <w:num w:numId="12" w16cid:durableId="2121796821">
    <w:abstractNumId w:val="16"/>
  </w:num>
  <w:num w:numId="13" w16cid:durableId="1268658220">
    <w:abstractNumId w:val="26"/>
  </w:num>
  <w:num w:numId="14" w16cid:durableId="1612130962">
    <w:abstractNumId w:val="6"/>
  </w:num>
  <w:num w:numId="15" w16cid:durableId="9265739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8340525">
    <w:abstractNumId w:val="33"/>
  </w:num>
  <w:num w:numId="17" w16cid:durableId="1728188750">
    <w:abstractNumId w:val="39"/>
  </w:num>
  <w:num w:numId="18" w16cid:durableId="786587498">
    <w:abstractNumId w:val="44"/>
  </w:num>
  <w:num w:numId="19" w16cid:durableId="565383614">
    <w:abstractNumId w:val="0"/>
  </w:num>
  <w:num w:numId="20" w16cid:durableId="1059479689">
    <w:abstractNumId w:val="23"/>
  </w:num>
  <w:num w:numId="21" w16cid:durableId="964195090">
    <w:abstractNumId w:val="7"/>
  </w:num>
  <w:num w:numId="22" w16cid:durableId="762920012">
    <w:abstractNumId w:val="39"/>
    <w:lvlOverride w:ilvl="0">
      <w:startOverride w:val="1"/>
    </w:lvlOverride>
  </w:num>
  <w:num w:numId="23" w16cid:durableId="1916817999">
    <w:abstractNumId w:val="20"/>
  </w:num>
  <w:num w:numId="24" w16cid:durableId="1158577047">
    <w:abstractNumId w:val="27"/>
  </w:num>
  <w:num w:numId="25" w16cid:durableId="1158619299">
    <w:abstractNumId w:val="42"/>
  </w:num>
  <w:num w:numId="26" w16cid:durableId="2050450470">
    <w:abstractNumId w:val="42"/>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5127339">
    <w:abstractNumId w:val="3"/>
  </w:num>
  <w:num w:numId="28" w16cid:durableId="495465349">
    <w:abstractNumId w:val="10"/>
  </w:num>
  <w:num w:numId="29" w16cid:durableId="179199349">
    <w:abstractNumId w:val="9"/>
  </w:num>
  <w:num w:numId="30" w16cid:durableId="330376060">
    <w:abstractNumId w:val="39"/>
    <w:lvlOverride w:ilvl="0">
      <w:startOverride w:val="1"/>
    </w:lvlOverride>
  </w:num>
  <w:num w:numId="31" w16cid:durableId="1874803779">
    <w:abstractNumId w:val="39"/>
  </w:num>
  <w:num w:numId="32" w16cid:durableId="1183594123">
    <w:abstractNumId w:val="41"/>
  </w:num>
  <w:num w:numId="33" w16cid:durableId="911045788">
    <w:abstractNumId w:val="18"/>
  </w:num>
  <w:num w:numId="34" w16cid:durableId="1363095040">
    <w:abstractNumId w:val="48"/>
  </w:num>
  <w:num w:numId="35" w16cid:durableId="241959207">
    <w:abstractNumId w:val="31"/>
  </w:num>
  <w:num w:numId="36" w16cid:durableId="1992902073">
    <w:abstractNumId w:val="30"/>
  </w:num>
  <w:num w:numId="37" w16cid:durableId="2024045130">
    <w:abstractNumId w:val="14"/>
  </w:num>
  <w:num w:numId="38" w16cid:durableId="1879009329">
    <w:abstractNumId w:val="14"/>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2021637">
    <w:abstractNumId w:val="13"/>
  </w:num>
  <w:num w:numId="40" w16cid:durableId="775712727">
    <w:abstractNumId w:val="43"/>
  </w:num>
  <w:num w:numId="41" w16cid:durableId="1985505246">
    <w:abstractNumId w:val="35"/>
  </w:num>
  <w:num w:numId="42" w16cid:durableId="800391665">
    <w:abstractNumId w:val="19"/>
  </w:num>
  <w:num w:numId="43" w16cid:durableId="432630154">
    <w:abstractNumId w:val="5"/>
  </w:num>
  <w:num w:numId="44" w16cid:durableId="786512015">
    <w:abstractNumId w:val="38"/>
  </w:num>
  <w:num w:numId="45" w16cid:durableId="129716650">
    <w:abstractNumId w:val="11"/>
  </w:num>
  <w:num w:numId="46" w16cid:durableId="1766999623">
    <w:abstractNumId w:val="45"/>
  </w:num>
  <w:num w:numId="47" w16cid:durableId="510294241">
    <w:abstractNumId w:val="15"/>
  </w:num>
  <w:num w:numId="48" w16cid:durableId="610668837">
    <w:abstractNumId w:val="29"/>
  </w:num>
  <w:num w:numId="49" w16cid:durableId="1570573262">
    <w:abstractNumId w:val="28"/>
  </w:num>
  <w:num w:numId="50" w16cid:durableId="1550149403">
    <w:abstractNumId w:val="37"/>
  </w:num>
  <w:num w:numId="51" w16cid:durableId="928848009">
    <w:abstractNumId w:val="1"/>
  </w:num>
  <w:num w:numId="52" w16cid:durableId="365915635">
    <w:abstractNumId w:val="36"/>
  </w:num>
  <w:num w:numId="53" w16cid:durableId="1298023559">
    <w:abstractNumId w:val="12"/>
  </w:num>
  <w:num w:numId="54" w16cid:durableId="128596280">
    <w:abstractNumId w:val="17"/>
  </w:num>
  <w:num w:numId="55" w16cid:durableId="1579748918">
    <w:abstractNumId w:val="25"/>
  </w:num>
  <w:num w:numId="56" w16cid:durableId="14311112">
    <w:abstractNumId w:val="21"/>
  </w:num>
  <w:num w:numId="57" w16cid:durableId="618604189">
    <w:abstractNumId w:val="2"/>
  </w:num>
  <w:num w:numId="58" w16cid:durableId="1567955924">
    <w:abstractNumId w:val="32"/>
  </w:num>
  <w:num w:numId="59" w16cid:durableId="1912930429">
    <w:abstractNumId w:val="34"/>
  </w:num>
  <w:num w:numId="60" w16cid:durableId="1213541828">
    <w:abstractNumId w:val="46"/>
  </w:num>
  <w:num w:numId="61" w16cid:durableId="3671846">
    <w:abstractNumId w:val="4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04E"/>
    <w:rsid w:val="000003E8"/>
    <w:rsid w:val="00000449"/>
    <w:rsid w:val="00000867"/>
    <w:rsid w:val="00001B85"/>
    <w:rsid w:val="0000346D"/>
    <w:rsid w:val="00003AFC"/>
    <w:rsid w:val="0000454C"/>
    <w:rsid w:val="00004BCF"/>
    <w:rsid w:val="00004C40"/>
    <w:rsid w:val="00006740"/>
    <w:rsid w:val="0000678D"/>
    <w:rsid w:val="00007419"/>
    <w:rsid w:val="00007A57"/>
    <w:rsid w:val="00007E62"/>
    <w:rsid w:val="000116B1"/>
    <w:rsid w:val="00011978"/>
    <w:rsid w:val="00012D49"/>
    <w:rsid w:val="00012DED"/>
    <w:rsid w:val="00012FF0"/>
    <w:rsid w:val="000134D0"/>
    <w:rsid w:val="00014833"/>
    <w:rsid w:val="00014AC1"/>
    <w:rsid w:val="00014E18"/>
    <w:rsid w:val="0001555D"/>
    <w:rsid w:val="00015EF2"/>
    <w:rsid w:val="00017078"/>
    <w:rsid w:val="00017265"/>
    <w:rsid w:val="000173C2"/>
    <w:rsid w:val="00017B1F"/>
    <w:rsid w:val="00017D17"/>
    <w:rsid w:val="00020172"/>
    <w:rsid w:val="0002142B"/>
    <w:rsid w:val="000219CD"/>
    <w:rsid w:val="0002269F"/>
    <w:rsid w:val="00022A03"/>
    <w:rsid w:val="000238DA"/>
    <w:rsid w:val="000239AB"/>
    <w:rsid w:val="00024119"/>
    <w:rsid w:val="00024517"/>
    <w:rsid w:val="000261F2"/>
    <w:rsid w:val="00026760"/>
    <w:rsid w:val="000279AD"/>
    <w:rsid w:val="00027A2D"/>
    <w:rsid w:val="0003254C"/>
    <w:rsid w:val="0003276C"/>
    <w:rsid w:val="0003479D"/>
    <w:rsid w:val="00034944"/>
    <w:rsid w:val="00034E7A"/>
    <w:rsid w:val="0003516E"/>
    <w:rsid w:val="00035902"/>
    <w:rsid w:val="0003702C"/>
    <w:rsid w:val="00037292"/>
    <w:rsid w:val="00037CC3"/>
    <w:rsid w:val="00037FFD"/>
    <w:rsid w:val="0004003B"/>
    <w:rsid w:val="00042284"/>
    <w:rsid w:val="00042AA7"/>
    <w:rsid w:val="00043D50"/>
    <w:rsid w:val="00043D5F"/>
    <w:rsid w:val="000448FF"/>
    <w:rsid w:val="00045016"/>
    <w:rsid w:val="00045770"/>
    <w:rsid w:val="00046ED5"/>
    <w:rsid w:val="00047FF8"/>
    <w:rsid w:val="00050795"/>
    <w:rsid w:val="00050D47"/>
    <w:rsid w:val="0005182E"/>
    <w:rsid w:val="00051A8C"/>
    <w:rsid w:val="00052260"/>
    <w:rsid w:val="00052852"/>
    <w:rsid w:val="00053B19"/>
    <w:rsid w:val="00054A00"/>
    <w:rsid w:val="0005597D"/>
    <w:rsid w:val="0005607D"/>
    <w:rsid w:val="00056E21"/>
    <w:rsid w:val="0005769E"/>
    <w:rsid w:val="00060306"/>
    <w:rsid w:val="000603F3"/>
    <w:rsid w:val="00061309"/>
    <w:rsid w:val="000619F4"/>
    <w:rsid w:val="0006228E"/>
    <w:rsid w:val="0006267D"/>
    <w:rsid w:val="00065238"/>
    <w:rsid w:val="00065C6A"/>
    <w:rsid w:val="00066B14"/>
    <w:rsid w:val="0006792D"/>
    <w:rsid w:val="00067B68"/>
    <w:rsid w:val="000709B9"/>
    <w:rsid w:val="00070EC3"/>
    <w:rsid w:val="00070F2C"/>
    <w:rsid w:val="00072CE4"/>
    <w:rsid w:val="00072FDF"/>
    <w:rsid w:val="00074312"/>
    <w:rsid w:val="00074A0B"/>
    <w:rsid w:val="00074DEF"/>
    <w:rsid w:val="00074EC3"/>
    <w:rsid w:val="00076A92"/>
    <w:rsid w:val="00080120"/>
    <w:rsid w:val="000804DF"/>
    <w:rsid w:val="0008060A"/>
    <w:rsid w:val="00081442"/>
    <w:rsid w:val="00081B43"/>
    <w:rsid w:val="00081C73"/>
    <w:rsid w:val="00083E0D"/>
    <w:rsid w:val="00084E33"/>
    <w:rsid w:val="00085C60"/>
    <w:rsid w:val="00085D97"/>
    <w:rsid w:val="00085DC3"/>
    <w:rsid w:val="00086721"/>
    <w:rsid w:val="0008769E"/>
    <w:rsid w:val="00087B55"/>
    <w:rsid w:val="00087FE1"/>
    <w:rsid w:val="00090AFE"/>
    <w:rsid w:val="00090B96"/>
    <w:rsid w:val="00091628"/>
    <w:rsid w:val="00092A28"/>
    <w:rsid w:val="00092A9D"/>
    <w:rsid w:val="00093684"/>
    <w:rsid w:val="00093A01"/>
    <w:rsid w:val="00094386"/>
    <w:rsid w:val="00095150"/>
    <w:rsid w:val="000954F9"/>
    <w:rsid w:val="0009578C"/>
    <w:rsid w:val="00095ADD"/>
    <w:rsid w:val="00097BCB"/>
    <w:rsid w:val="000A058F"/>
    <w:rsid w:val="000A0683"/>
    <w:rsid w:val="000A08D2"/>
    <w:rsid w:val="000A14F5"/>
    <w:rsid w:val="000A1811"/>
    <w:rsid w:val="000A1DDC"/>
    <w:rsid w:val="000A1E23"/>
    <w:rsid w:val="000A1ED8"/>
    <w:rsid w:val="000A2287"/>
    <w:rsid w:val="000A2D7A"/>
    <w:rsid w:val="000A2E02"/>
    <w:rsid w:val="000A300A"/>
    <w:rsid w:val="000A3553"/>
    <w:rsid w:val="000A388C"/>
    <w:rsid w:val="000A3BEF"/>
    <w:rsid w:val="000A58E0"/>
    <w:rsid w:val="000A5A3E"/>
    <w:rsid w:val="000A6F5D"/>
    <w:rsid w:val="000A7128"/>
    <w:rsid w:val="000B0FC7"/>
    <w:rsid w:val="000B192E"/>
    <w:rsid w:val="000B1B0B"/>
    <w:rsid w:val="000B1BF5"/>
    <w:rsid w:val="000B1D13"/>
    <w:rsid w:val="000B2287"/>
    <w:rsid w:val="000B3786"/>
    <w:rsid w:val="000B389C"/>
    <w:rsid w:val="000B3DE9"/>
    <w:rsid w:val="000B4506"/>
    <w:rsid w:val="000B53C6"/>
    <w:rsid w:val="000B54F1"/>
    <w:rsid w:val="000B619D"/>
    <w:rsid w:val="000B776C"/>
    <w:rsid w:val="000B7BE7"/>
    <w:rsid w:val="000B7F5E"/>
    <w:rsid w:val="000C117C"/>
    <w:rsid w:val="000C17DA"/>
    <w:rsid w:val="000C1E1F"/>
    <w:rsid w:val="000C2BDD"/>
    <w:rsid w:val="000C5065"/>
    <w:rsid w:val="000C508C"/>
    <w:rsid w:val="000C5636"/>
    <w:rsid w:val="000C5B48"/>
    <w:rsid w:val="000C6626"/>
    <w:rsid w:val="000C6B45"/>
    <w:rsid w:val="000C7478"/>
    <w:rsid w:val="000C79FC"/>
    <w:rsid w:val="000D065B"/>
    <w:rsid w:val="000D08BA"/>
    <w:rsid w:val="000D08DD"/>
    <w:rsid w:val="000D098D"/>
    <w:rsid w:val="000D0F59"/>
    <w:rsid w:val="000D15C0"/>
    <w:rsid w:val="000D1761"/>
    <w:rsid w:val="000D2061"/>
    <w:rsid w:val="000D26FB"/>
    <w:rsid w:val="000D3B6E"/>
    <w:rsid w:val="000D3FE4"/>
    <w:rsid w:val="000D40F4"/>
    <w:rsid w:val="000D459C"/>
    <w:rsid w:val="000D4909"/>
    <w:rsid w:val="000D73C7"/>
    <w:rsid w:val="000E010A"/>
    <w:rsid w:val="000E01EC"/>
    <w:rsid w:val="000E03C0"/>
    <w:rsid w:val="000E154D"/>
    <w:rsid w:val="000E1CBA"/>
    <w:rsid w:val="000E27B9"/>
    <w:rsid w:val="000E4005"/>
    <w:rsid w:val="000E46D2"/>
    <w:rsid w:val="000E4B62"/>
    <w:rsid w:val="000E4DAF"/>
    <w:rsid w:val="000E57A5"/>
    <w:rsid w:val="000E5ADF"/>
    <w:rsid w:val="000E5E72"/>
    <w:rsid w:val="000E5E99"/>
    <w:rsid w:val="000E6576"/>
    <w:rsid w:val="000E6D36"/>
    <w:rsid w:val="000E7054"/>
    <w:rsid w:val="000E794A"/>
    <w:rsid w:val="000E7B22"/>
    <w:rsid w:val="000F0500"/>
    <w:rsid w:val="000F2B9C"/>
    <w:rsid w:val="000F3ADA"/>
    <w:rsid w:val="000F3B4D"/>
    <w:rsid w:val="000F4136"/>
    <w:rsid w:val="000F4515"/>
    <w:rsid w:val="000F4875"/>
    <w:rsid w:val="000F4A66"/>
    <w:rsid w:val="000F4B0E"/>
    <w:rsid w:val="000F52B8"/>
    <w:rsid w:val="000F58FA"/>
    <w:rsid w:val="000F5A8E"/>
    <w:rsid w:val="000F66F4"/>
    <w:rsid w:val="000F6C5F"/>
    <w:rsid w:val="000F73D1"/>
    <w:rsid w:val="000F7E99"/>
    <w:rsid w:val="0010057C"/>
    <w:rsid w:val="001007F6"/>
    <w:rsid w:val="0010080D"/>
    <w:rsid w:val="00101B0C"/>
    <w:rsid w:val="0010212F"/>
    <w:rsid w:val="001028A5"/>
    <w:rsid w:val="00102DE7"/>
    <w:rsid w:val="001030E5"/>
    <w:rsid w:val="00103188"/>
    <w:rsid w:val="00104138"/>
    <w:rsid w:val="00104279"/>
    <w:rsid w:val="0010483D"/>
    <w:rsid w:val="00104C31"/>
    <w:rsid w:val="0010534B"/>
    <w:rsid w:val="00105B50"/>
    <w:rsid w:val="00105C56"/>
    <w:rsid w:val="00105E2F"/>
    <w:rsid w:val="00106300"/>
    <w:rsid w:val="001068A9"/>
    <w:rsid w:val="00106C79"/>
    <w:rsid w:val="00106FAE"/>
    <w:rsid w:val="00107714"/>
    <w:rsid w:val="00110064"/>
    <w:rsid w:val="00110FB0"/>
    <w:rsid w:val="00111EBD"/>
    <w:rsid w:val="00112636"/>
    <w:rsid w:val="00112B49"/>
    <w:rsid w:val="00113D89"/>
    <w:rsid w:val="00113FF0"/>
    <w:rsid w:val="0011475C"/>
    <w:rsid w:val="00114D42"/>
    <w:rsid w:val="00114FB2"/>
    <w:rsid w:val="001154A4"/>
    <w:rsid w:val="00115742"/>
    <w:rsid w:val="001164ED"/>
    <w:rsid w:val="00116D22"/>
    <w:rsid w:val="001173B7"/>
    <w:rsid w:val="001176D9"/>
    <w:rsid w:val="001177FC"/>
    <w:rsid w:val="00120B7C"/>
    <w:rsid w:val="00120E17"/>
    <w:rsid w:val="00122022"/>
    <w:rsid w:val="00122292"/>
    <w:rsid w:val="001234C4"/>
    <w:rsid w:val="00124025"/>
    <w:rsid w:val="00124073"/>
    <w:rsid w:val="00124583"/>
    <w:rsid w:val="001245DE"/>
    <w:rsid w:val="0012561D"/>
    <w:rsid w:val="001263B3"/>
    <w:rsid w:val="001270EF"/>
    <w:rsid w:val="001271F1"/>
    <w:rsid w:val="001277DE"/>
    <w:rsid w:val="00127B40"/>
    <w:rsid w:val="001303E9"/>
    <w:rsid w:val="00131562"/>
    <w:rsid w:val="00131712"/>
    <w:rsid w:val="00131FC9"/>
    <w:rsid w:val="00131FDA"/>
    <w:rsid w:val="001331F2"/>
    <w:rsid w:val="0013342A"/>
    <w:rsid w:val="0013389B"/>
    <w:rsid w:val="00133A3D"/>
    <w:rsid w:val="00133CE9"/>
    <w:rsid w:val="001347FA"/>
    <w:rsid w:val="00134AA3"/>
    <w:rsid w:val="00135561"/>
    <w:rsid w:val="0013567B"/>
    <w:rsid w:val="001361F8"/>
    <w:rsid w:val="00136376"/>
    <w:rsid w:val="001369ED"/>
    <w:rsid w:val="00140028"/>
    <w:rsid w:val="00140094"/>
    <w:rsid w:val="00140954"/>
    <w:rsid w:val="0014142D"/>
    <w:rsid w:val="00141D4B"/>
    <w:rsid w:val="0014245C"/>
    <w:rsid w:val="00143350"/>
    <w:rsid w:val="00143B5A"/>
    <w:rsid w:val="00143F1B"/>
    <w:rsid w:val="00146215"/>
    <w:rsid w:val="00146BC2"/>
    <w:rsid w:val="00146DC3"/>
    <w:rsid w:val="0014706C"/>
    <w:rsid w:val="0014799A"/>
    <w:rsid w:val="00150B39"/>
    <w:rsid w:val="00151468"/>
    <w:rsid w:val="001514EE"/>
    <w:rsid w:val="0015187C"/>
    <w:rsid w:val="00151BE2"/>
    <w:rsid w:val="001544B6"/>
    <w:rsid w:val="0015471E"/>
    <w:rsid w:val="00154980"/>
    <w:rsid w:val="001567C2"/>
    <w:rsid w:val="00157153"/>
    <w:rsid w:val="001601AC"/>
    <w:rsid w:val="00160BB4"/>
    <w:rsid w:val="00161044"/>
    <w:rsid w:val="00161AB9"/>
    <w:rsid w:val="00161B66"/>
    <w:rsid w:val="00161E83"/>
    <w:rsid w:val="00162118"/>
    <w:rsid w:val="00162925"/>
    <w:rsid w:val="00162CFC"/>
    <w:rsid w:val="00163B9A"/>
    <w:rsid w:val="00163F4C"/>
    <w:rsid w:val="001649B6"/>
    <w:rsid w:val="0016536D"/>
    <w:rsid w:val="001657A1"/>
    <w:rsid w:val="001659F6"/>
    <w:rsid w:val="0016635A"/>
    <w:rsid w:val="001667C1"/>
    <w:rsid w:val="00166A0A"/>
    <w:rsid w:val="00166DA1"/>
    <w:rsid w:val="00167840"/>
    <w:rsid w:val="00167C87"/>
    <w:rsid w:val="00170FD5"/>
    <w:rsid w:val="00172C55"/>
    <w:rsid w:val="00173A55"/>
    <w:rsid w:val="00173CB9"/>
    <w:rsid w:val="00174DA1"/>
    <w:rsid w:val="001752B4"/>
    <w:rsid w:val="00175738"/>
    <w:rsid w:val="00176260"/>
    <w:rsid w:val="001768CF"/>
    <w:rsid w:val="001768F0"/>
    <w:rsid w:val="001774EF"/>
    <w:rsid w:val="00180089"/>
    <w:rsid w:val="001804CE"/>
    <w:rsid w:val="00181A93"/>
    <w:rsid w:val="001823B5"/>
    <w:rsid w:val="00182A4C"/>
    <w:rsid w:val="00182D1D"/>
    <w:rsid w:val="001835AD"/>
    <w:rsid w:val="00183D8A"/>
    <w:rsid w:val="001842B6"/>
    <w:rsid w:val="00184580"/>
    <w:rsid w:val="00184FCB"/>
    <w:rsid w:val="0018507D"/>
    <w:rsid w:val="00185686"/>
    <w:rsid w:val="00186BF4"/>
    <w:rsid w:val="0018702B"/>
    <w:rsid w:val="00187223"/>
    <w:rsid w:val="00187DD9"/>
    <w:rsid w:val="001901D1"/>
    <w:rsid w:val="00190677"/>
    <w:rsid w:val="00190775"/>
    <w:rsid w:val="00190C41"/>
    <w:rsid w:val="00190CD2"/>
    <w:rsid w:val="00190DE7"/>
    <w:rsid w:val="001921F1"/>
    <w:rsid w:val="00193212"/>
    <w:rsid w:val="001934E8"/>
    <w:rsid w:val="00193557"/>
    <w:rsid w:val="00194685"/>
    <w:rsid w:val="00194B32"/>
    <w:rsid w:val="00194D95"/>
    <w:rsid w:val="00195AA2"/>
    <w:rsid w:val="0019637C"/>
    <w:rsid w:val="00197DCA"/>
    <w:rsid w:val="001A0A0D"/>
    <w:rsid w:val="001A0B71"/>
    <w:rsid w:val="001A0BD0"/>
    <w:rsid w:val="001A1459"/>
    <w:rsid w:val="001A214F"/>
    <w:rsid w:val="001A28EB"/>
    <w:rsid w:val="001A3833"/>
    <w:rsid w:val="001A46A4"/>
    <w:rsid w:val="001A50C5"/>
    <w:rsid w:val="001A50D3"/>
    <w:rsid w:val="001A5C12"/>
    <w:rsid w:val="001A650E"/>
    <w:rsid w:val="001A68DE"/>
    <w:rsid w:val="001A6E50"/>
    <w:rsid w:val="001A7118"/>
    <w:rsid w:val="001A7ABB"/>
    <w:rsid w:val="001B008A"/>
    <w:rsid w:val="001B059F"/>
    <w:rsid w:val="001B0B10"/>
    <w:rsid w:val="001B0F77"/>
    <w:rsid w:val="001B2D39"/>
    <w:rsid w:val="001B404A"/>
    <w:rsid w:val="001B42DE"/>
    <w:rsid w:val="001B5291"/>
    <w:rsid w:val="001B64C7"/>
    <w:rsid w:val="001B657D"/>
    <w:rsid w:val="001C0047"/>
    <w:rsid w:val="001C01D2"/>
    <w:rsid w:val="001C0879"/>
    <w:rsid w:val="001C0A18"/>
    <w:rsid w:val="001C3756"/>
    <w:rsid w:val="001C3965"/>
    <w:rsid w:val="001C4162"/>
    <w:rsid w:val="001C4222"/>
    <w:rsid w:val="001C4745"/>
    <w:rsid w:val="001C474B"/>
    <w:rsid w:val="001C5C75"/>
    <w:rsid w:val="001C73D4"/>
    <w:rsid w:val="001C741C"/>
    <w:rsid w:val="001C74CE"/>
    <w:rsid w:val="001C76BF"/>
    <w:rsid w:val="001C7E73"/>
    <w:rsid w:val="001D04DC"/>
    <w:rsid w:val="001D058A"/>
    <w:rsid w:val="001D09F3"/>
    <w:rsid w:val="001D0B60"/>
    <w:rsid w:val="001D0F80"/>
    <w:rsid w:val="001D17F9"/>
    <w:rsid w:val="001D19EA"/>
    <w:rsid w:val="001D28DA"/>
    <w:rsid w:val="001D3292"/>
    <w:rsid w:val="001D33F7"/>
    <w:rsid w:val="001D3A68"/>
    <w:rsid w:val="001D3B95"/>
    <w:rsid w:val="001D3BB8"/>
    <w:rsid w:val="001D495C"/>
    <w:rsid w:val="001D4BC6"/>
    <w:rsid w:val="001D4CDB"/>
    <w:rsid w:val="001D5DED"/>
    <w:rsid w:val="001D5EFD"/>
    <w:rsid w:val="001D6D2B"/>
    <w:rsid w:val="001D70A3"/>
    <w:rsid w:val="001D78B8"/>
    <w:rsid w:val="001D7BAC"/>
    <w:rsid w:val="001E0DDD"/>
    <w:rsid w:val="001E170E"/>
    <w:rsid w:val="001E19B5"/>
    <w:rsid w:val="001E24AE"/>
    <w:rsid w:val="001E2502"/>
    <w:rsid w:val="001E2731"/>
    <w:rsid w:val="001E29FA"/>
    <w:rsid w:val="001E2AED"/>
    <w:rsid w:val="001E383E"/>
    <w:rsid w:val="001E3955"/>
    <w:rsid w:val="001E3996"/>
    <w:rsid w:val="001E3C84"/>
    <w:rsid w:val="001E4473"/>
    <w:rsid w:val="001E49A4"/>
    <w:rsid w:val="001E4AF5"/>
    <w:rsid w:val="001E5A3E"/>
    <w:rsid w:val="001E6CA1"/>
    <w:rsid w:val="001E7555"/>
    <w:rsid w:val="001F0332"/>
    <w:rsid w:val="001F1838"/>
    <w:rsid w:val="001F1A07"/>
    <w:rsid w:val="001F3D3A"/>
    <w:rsid w:val="001F3DA2"/>
    <w:rsid w:val="001F50AB"/>
    <w:rsid w:val="001F5FA1"/>
    <w:rsid w:val="001F6267"/>
    <w:rsid w:val="001F6693"/>
    <w:rsid w:val="001F6B50"/>
    <w:rsid w:val="001F7477"/>
    <w:rsid w:val="001F79BA"/>
    <w:rsid w:val="002000D5"/>
    <w:rsid w:val="002006F5"/>
    <w:rsid w:val="00200D2C"/>
    <w:rsid w:val="00201A1F"/>
    <w:rsid w:val="00201C17"/>
    <w:rsid w:val="0020216F"/>
    <w:rsid w:val="002025F9"/>
    <w:rsid w:val="00203E71"/>
    <w:rsid w:val="00204560"/>
    <w:rsid w:val="00204903"/>
    <w:rsid w:val="002050FB"/>
    <w:rsid w:val="00205D0B"/>
    <w:rsid w:val="002068BB"/>
    <w:rsid w:val="00206901"/>
    <w:rsid w:val="00206F28"/>
    <w:rsid w:val="00207CD1"/>
    <w:rsid w:val="002103E7"/>
    <w:rsid w:val="00210F2E"/>
    <w:rsid w:val="002110C7"/>
    <w:rsid w:val="00211E26"/>
    <w:rsid w:val="00213190"/>
    <w:rsid w:val="00213FE1"/>
    <w:rsid w:val="0021401B"/>
    <w:rsid w:val="0021483F"/>
    <w:rsid w:val="00214AD1"/>
    <w:rsid w:val="00215DBF"/>
    <w:rsid w:val="00216E40"/>
    <w:rsid w:val="00216FFB"/>
    <w:rsid w:val="00217164"/>
    <w:rsid w:val="00217743"/>
    <w:rsid w:val="00217B8D"/>
    <w:rsid w:val="00217BCE"/>
    <w:rsid w:val="00217EB6"/>
    <w:rsid w:val="002218BF"/>
    <w:rsid w:val="00222B89"/>
    <w:rsid w:val="00223E00"/>
    <w:rsid w:val="00224579"/>
    <w:rsid w:val="00225163"/>
    <w:rsid w:val="00225263"/>
    <w:rsid w:val="00225393"/>
    <w:rsid w:val="0022567B"/>
    <w:rsid w:val="002259C5"/>
    <w:rsid w:val="0022694C"/>
    <w:rsid w:val="00226D61"/>
    <w:rsid w:val="00227030"/>
    <w:rsid w:val="0022703F"/>
    <w:rsid w:val="002276BD"/>
    <w:rsid w:val="0023035F"/>
    <w:rsid w:val="00230F34"/>
    <w:rsid w:val="00231AA4"/>
    <w:rsid w:val="00231D28"/>
    <w:rsid w:val="0023208F"/>
    <w:rsid w:val="00233E98"/>
    <w:rsid w:val="002350E8"/>
    <w:rsid w:val="0023520B"/>
    <w:rsid w:val="00236A48"/>
    <w:rsid w:val="00236BA5"/>
    <w:rsid w:val="00236E4E"/>
    <w:rsid w:val="002376D3"/>
    <w:rsid w:val="00237A10"/>
    <w:rsid w:val="00237B3E"/>
    <w:rsid w:val="00242636"/>
    <w:rsid w:val="00243129"/>
    <w:rsid w:val="0024493B"/>
    <w:rsid w:val="00245013"/>
    <w:rsid w:val="002456AF"/>
    <w:rsid w:val="002459B0"/>
    <w:rsid w:val="002462C2"/>
    <w:rsid w:val="00246835"/>
    <w:rsid w:val="0024703F"/>
    <w:rsid w:val="00247571"/>
    <w:rsid w:val="00247AEF"/>
    <w:rsid w:val="00250BBB"/>
    <w:rsid w:val="00251C1B"/>
    <w:rsid w:val="00252B81"/>
    <w:rsid w:val="0025332F"/>
    <w:rsid w:val="0025418A"/>
    <w:rsid w:val="00254A64"/>
    <w:rsid w:val="00254D05"/>
    <w:rsid w:val="002555CF"/>
    <w:rsid w:val="002563BA"/>
    <w:rsid w:val="00256AC4"/>
    <w:rsid w:val="00257766"/>
    <w:rsid w:val="002609A4"/>
    <w:rsid w:val="00260D38"/>
    <w:rsid w:val="00261312"/>
    <w:rsid w:val="002616F3"/>
    <w:rsid w:val="00261E16"/>
    <w:rsid w:val="002620CF"/>
    <w:rsid w:val="002621AD"/>
    <w:rsid w:val="002627EC"/>
    <w:rsid w:val="00262C6B"/>
    <w:rsid w:val="00263B96"/>
    <w:rsid w:val="00263C8F"/>
    <w:rsid w:val="00263EA3"/>
    <w:rsid w:val="00265C3E"/>
    <w:rsid w:val="002665E9"/>
    <w:rsid w:val="002673E7"/>
    <w:rsid w:val="00267736"/>
    <w:rsid w:val="00267951"/>
    <w:rsid w:val="002704B0"/>
    <w:rsid w:val="00270B08"/>
    <w:rsid w:val="00270C55"/>
    <w:rsid w:val="00270C57"/>
    <w:rsid w:val="0027119F"/>
    <w:rsid w:val="002711B4"/>
    <w:rsid w:val="0027218C"/>
    <w:rsid w:val="00272342"/>
    <w:rsid w:val="00272C59"/>
    <w:rsid w:val="002737C9"/>
    <w:rsid w:val="00273BBE"/>
    <w:rsid w:val="002742CE"/>
    <w:rsid w:val="00274547"/>
    <w:rsid w:val="00274ECC"/>
    <w:rsid w:val="00275917"/>
    <w:rsid w:val="002766FB"/>
    <w:rsid w:val="00276C53"/>
    <w:rsid w:val="00277F71"/>
    <w:rsid w:val="00277F83"/>
    <w:rsid w:val="0028038A"/>
    <w:rsid w:val="002807DA"/>
    <w:rsid w:val="0028191E"/>
    <w:rsid w:val="00282701"/>
    <w:rsid w:val="00283B26"/>
    <w:rsid w:val="002842A5"/>
    <w:rsid w:val="002844F8"/>
    <w:rsid w:val="002845B5"/>
    <w:rsid w:val="002853EB"/>
    <w:rsid w:val="00285570"/>
    <w:rsid w:val="00285ACA"/>
    <w:rsid w:val="002862AD"/>
    <w:rsid w:val="00286D83"/>
    <w:rsid w:val="00287303"/>
    <w:rsid w:val="00290678"/>
    <w:rsid w:val="00291F12"/>
    <w:rsid w:val="0029229A"/>
    <w:rsid w:val="00292C9F"/>
    <w:rsid w:val="00292CC8"/>
    <w:rsid w:val="002938B0"/>
    <w:rsid w:val="00294436"/>
    <w:rsid w:val="00294A1B"/>
    <w:rsid w:val="00294AB3"/>
    <w:rsid w:val="00296B58"/>
    <w:rsid w:val="00296E8C"/>
    <w:rsid w:val="002970BF"/>
    <w:rsid w:val="002971A8"/>
    <w:rsid w:val="0029725A"/>
    <w:rsid w:val="002A03B1"/>
    <w:rsid w:val="002A0433"/>
    <w:rsid w:val="002A0BBE"/>
    <w:rsid w:val="002A18D6"/>
    <w:rsid w:val="002A234D"/>
    <w:rsid w:val="002A27FC"/>
    <w:rsid w:val="002A37D5"/>
    <w:rsid w:val="002A482F"/>
    <w:rsid w:val="002A5553"/>
    <w:rsid w:val="002A578D"/>
    <w:rsid w:val="002A5840"/>
    <w:rsid w:val="002A6186"/>
    <w:rsid w:val="002A65F4"/>
    <w:rsid w:val="002A696A"/>
    <w:rsid w:val="002A6B6B"/>
    <w:rsid w:val="002A6EBD"/>
    <w:rsid w:val="002A768F"/>
    <w:rsid w:val="002A7A7A"/>
    <w:rsid w:val="002A7F9F"/>
    <w:rsid w:val="002B061D"/>
    <w:rsid w:val="002B1669"/>
    <w:rsid w:val="002B1FD2"/>
    <w:rsid w:val="002B2346"/>
    <w:rsid w:val="002B27AE"/>
    <w:rsid w:val="002B2BED"/>
    <w:rsid w:val="002B2C7B"/>
    <w:rsid w:val="002B2FA8"/>
    <w:rsid w:val="002B4C8B"/>
    <w:rsid w:val="002B533E"/>
    <w:rsid w:val="002B549A"/>
    <w:rsid w:val="002B63DF"/>
    <w:rsid w:val="002B775F"/>
    <w:rsid w:val="002C027D"/>
    <w:rsid w:val="002C0420"/>
    <w:rsid w:val="002C0FBA"/>
    <w:rsid w:val="002C1F41"/>
    <w:rsid w:val="002C245C"/>
    <w:rsid w:val="002C275D"/>
    <w:rsid w:val="002C2963"/>
    <w:rsid w:val="002C30D6"/>
    <w:rsid w:val="002C3277"/>
    <w:rsid w:val="002C32FB"/>
    <w:rsid w:val="002C3756"/>
    <w:rsid w:val="002C42FE"/>
    <w:rsid w:val="002C4697"/>
    <w:rsid w:val="002C4910"/>
    <w:rsid w:val="002C5820"/>
    <w:rsid w:val="002C64BA"/>
    <w:rsid w:val="002C6DE4"/>
    <w:rsid w:val="002C75AD"/>
    <w:rsid w:val="002C77BF"/>
    <w:rsid w:val="002C7E6B"/>
    <w:rsid w:val="002D02D4"/>
    <w:rsid w:val="002D1860"/>
    <w:rsid w:val="002D1DAC"/>
    <w:rsid w:val="002D2F92"/>
    <w:rsid w:val="002D3239"/>
    <w:rsid w:val="002D3282"/>
    <w:rsid w:val="002D345F"/>
    <w:rsid w:val="002D4029"/>
    <w:rsid w:val="002D40E7"/>
    <w:rsid w:val="002D487C"/>
    <w:rsid w:val="002D4880"/>
    <w:rsid w:val="002D5DAB"/>
    <w:rsid w:val="002D6445"/>
    <w:rsid w:val="002D660A"/>
    <w:rsid w:val="002D67CA"/>
    <w:rsid w:val="002D6B3B"/>
    <w:rsid w:val="002D7CED"/>
    <w:rsid w:val="002E027B"/>
    <w:rsid w:val="002E08CA"/>
    <w:rsid w:val="002E0B5B"/>
    <w:rsid w:val="002E0B61"/>
    <w:rsid w:val="002E0C79"/>
    <w:rsid w:val="002E15C2"/>
    <w:rsid w:val="002E1B66"/>
    <w:rsid w:val="002E2B25"/>
    <w:rsid w:val="002E3B2F"/>
    <w:rsid w:val="002E4B40"/>
    <w:rsid w:val="002E5BA1"/>
    <w:rsid w:val="002E6CCB"/>
    <w:rsid w:val="002E7346"/>
    <w:rsid w:val="002F0ABA"/>
    <w:rsid w:val="002F0D8D"/>
    <w:rsid w:val="002F23CC"/>
    <w:rsid w:val="002F26CC"/>
    <w:rsid w:val="002F35DB"/>
    <w:rsid w:val="002F377D"/>
    <w:rsid w:val="002F4924"/>
    <w:rsid w:val="002F4B1B"/>
    <w:rsid w:val="002F4EA0"/>
    <w:rsid w:val="002F5135"/>
    <w:rsid w:val="002F5203"/>
    <w:rsid w:val="002F570A"/>
    <w:rsid w:val="002F580B"/>
    <w:rsid w:val="002F5B03"/>
    <w:rsid w:val="002F616C"/>
    <w:rsid w:val="002F710B"/>
    <w:rsid w:val="0030054C"/>
    <w:rsid w:val="003006D7"/>
    <w:rsid w:val="003020FD"/>
    <w:rsid w:val="003025E7"/>
    <w:rsid w:val="003026A1"/>
    <w:rsid w:val="00302971"/>
    <w:rsid w:val="00303A81"/>
    <w:rsid w:val="00303AA4"/>
    <w:rsid w:val="00303BE7"/>
    <w:rsid w:val="00304353"/>
    <w:rsid w:val="00304F16"/>
    <w:rsid w:val="003057B0"/>
    <w:rsid w:val="00305E62"/>
    <w:rsid w:val="00305F85"/>
    <w:rsid w:val="00307023"/>
    <w:rsid w:val="00307604"/>
    <w:rsid w:val="00307738"/>
    <w:rsid w:val="0030796E"/>
    <w:rsid w:val="00310047"/>
    <w:rsid w:val="0031013C"/>
    <w:rsid w:val="0031015C"/>
    <w:rsid w:val="00310883"/>
    <w:rsid w:val="00310A62"/>
    <w:rsid w:val="00311300"/>
    <w:rsid w:val="003125F7"/>
    <w:rsid w:val="0031418F"/>
    <w:rsid w:val="00314588"/>
    <w:rsid w:val="003153FE"/>
    <w:rsid w:val="003162B8"/>
    <w:rsid w:val="003163DC"/>
    <w:rsid w:val="00317721"/>
    <w:rsid w:val="00317F70"/>
    <w:rsid w:val="003203BC"/>
    <w:rsid w:val="00320A90"/>
    <w:rsid w:val="0032246B"/>
    <w:rsid w:val="00322F0F"/>
    <w:rsid w:val="003235F8"/>
    <w:rsid w:val="0032415B"/>
    <w:rsid w:val="003243F8"/>
    <w:rsid w:val="00324EC5"/>
    <w:rsid w:val="003250C9"/>
    <w:rsid w:val="0032576D"/>
    <w:rsid w:val="00325A57"/>
    <w:rsid w:val="00325A58"/>
    <w:rsid w:val="00325D81"/>
    <w:rsid w:val="003260D1"/>
    <w:rsid w:val="0032610A"/>
    <w:rsid w:val="003266AD"/>
    <w:rsid w:val="003272A6"/>
    <w:rsid w:val="00327638"/>
    <w:rsid w:val="00327CB3"/>
    <w:rsid w:val="00330489"/>
    <w:rsid w:val="003304D3"/>
    <w:rsid w:val="00330577"/>
    <w:rsid w:val="00331240"/>
    <w:rsid w:val="00331770"/>
    <w:rsid w:val="00331F35"/>
    <w:rsid w:val="003323E6"/>
    <w:rsid w:val="00332902"/>
    <w:rsid w:val="0033326E"/>
    <w:rsid w:val="00333873"/>
    <w:rsid w:val="003346E6"/>
    <w:rsid w:val="00334882"/>
    <w:rsid w:val="00334E4E"/>
    <w:rsid w:val="003357E2"/>
    <w:rsid w:val="00335958"/>
    <w:rsid w:val="00335EFF"/>
    <w:rsid w:val="0033759D"/>
    <w:rsid w:val="0033789D"/>
    <w:rsid w:val="00341127"/>
    <w:rsid w:val="00341803"/>
    <w:rsid w:val="00341E9B"/>
    <w:rsid w:val="0034217A"/>
    <w:rsid w:val="003424F3"/>
    <w:rsid w:val="0034384D"/>
    <w:rsid w:val="00343957"/>
    <w:rsid w:val="00343CE1"/>
    <w:rsid w:val="00344F99"/>
    <w:rsid w:val="003454D6"/>
    <w:rsid w:val="00345EAF"/>
    <w:rsid w:val="0034698E"/>
    <w:rsid w:val="003469D4"/>
    <w:rsid w:val="003473B7"/>
    <w:rsid w:val="00350F14"/>
    <w:rsid w:val="00351298"/>
    <w:rsid w:val="003517D5"/>
    <w:rsid w:val="003527EA"/>
    <w:rsid w:val="00353546"/>
    <w:rsid w:val="00353713"/>
    <w:rsid w:val="00355321"/>
    <w:rsid w:val="00355958"/>
    <w:rsid w:val="00355F45"/>
    <w:rsid w:val="00356004"/>
    <w:rsid w:val="0035638F"/>
    <w:rsid w:val="00356D40"/>
    <w:rsid w:val="00356FDF"/>
    <w:rsid w:val="0035788C"/>
    <w:rsid w:val="00357DB1"/>
    <w:rsid w:val="003619B9"/>
    <w:rsid w:val="00361CCF"/>
    <w:rsid w:val="00362200"/>
    <w:rsid w:val="003623BE"/>
    <w:rsid w:val="0036240A"/>
    <w:rsid w:val="0036345E"/>
    <w:rsid w:val="003651DA"/>
    <w:rsid w:val="00366644"/>
    <w:rsid w:val="0037046F"/>
    <w:rsid w:val="00372012"/>
    <w:rsid w:val="00373138"/>
    <w:rsid w:val="00373C83"/>
    <w:rsid w:val="00373EFF"/>
    <w:rsid w:val="003741AD"/>
    <w:rsid w:val="003748D6"/>
    <w:rsid w:val="00374E4C"/>
    <w:rsid w:val="00374FF7"/>
    <w:rsid w:val="003759F3"/>
    <w:rsid w:val="00375A4C"/>
    <w:rsid w:val="00375A92"/>
    <w:rsid w:val="00375DC8"/>
    <w:rsid w:val="0037627F"/>
    <w:rsid w:val="0037744C"/>
    <w:rsid w:val="00377D0C"/>
    <w:rsid w:val="0038065F"/>
    <w:rsid w:val="003810C9"/>
    <w:rsid w:val="003815B6"/>
    <w:rsid w:val="00381D18"/>
    <w:rsid w:val="00381D74"/>
    <w:rsid w:val="003820E7"/>
    <w:rsid w:val="003828C8"/>
    <w:rsid w:val="00382E67"/>
    <w:rsid w:val="00383274"/>
    <w:rsid w:val="00383845"/>
    <w:rsid w:val="003842E1"/>
    <w:rsid w:val="003852B7"/>
    <w:rsid w:val="003858E4"/>
    <w:rsid w:val="0038599B"/>
    <w:rsid w:val="00385C12"/>
    <w:rsid w:val="00385DD2"/>
    <w:rsid w:val="00385DF3"/>
    <w:rsid w:val="003866B5"/>
    <w:rsid w:val="003867D2"/>
    <w:rsid w:val="003868A2"/>
    <w:rsid w:val="0038769A"/>
    <w:rsid w:val="00391133"/>
    <w:rsid w:val="0039155E"/>
    <w:rsid w:val="00391E24"/>
    <w:rsid w:val="003923E8"/>
    <w:rsid w:val="003923EB"/>
    <w:rsid w:val="00392D25"/>
    <w:rsid w:val="00392F9D"/>
    <w:rsid w:val="00393B2C"/>
    <w:rsid w:val="00393DF3"/>
    <w:rsid w:val="00394058"/>
    <w:rsid w:val="00394106"/>
    <w:rsid w:val="00394513"/>
    <w:rsid w:val="0039509B"/>
    <w:rsid w:val="00395581"/>
    <w:rsid w:val="0039585F"/>
    <w:rsid w:val="003964EB"/>
    <w:rsid w:val="00397645"/>
    <w:rsid w:val="003A024B"/>
    <w:rsid w:val="003A2ADF"/>
    <w:rsid w:val="003A2E87"/>
    <w:rsid w:val="003A3004"/>
    <w:rsid w:val="003A35A7"/>
    <w:rsid w:val="003A523A"/>
    <w:rsid w:val="003A5EFA"/>
    <w:rsid w:val="003A61BD"/>
    <w:rsid w:val="003A6392"/>
    <w:rsid w:val="003A709B"/>
    <w:rsid w:val="003A736C"/>
    <w:rsid w:val="003A742D"/>
    <w:rsid w:val="003B0398"/>
    <w:rsid w:val="003B0643"/>
    <w:rsid w:val="003B06FB"/>
    <w:rsid w:val="003B0854"/>
    <w:rsid w:val="003B08C2"/>
    <w:rsid w:val="003B0B24"/>
    <w:rsid w:val="003B0BF9"/>
    <w:rsid w:val="003B0D71"/>
    <w:rsid w:val="003B14D0"/>
    <w:rsid w:val="003B165D"/>
    <w:rsid w:val="003B16C4"/>
    <w:rsid w:val="003B2737"/>
    <w:rsid w:val="003B2989"/>
    <w:rsid w:val="003B3123"/>
    <w:rsid w:val="003B3402"/>
    <w:rsid w:val="003B40DC"/>
    <w:rsid w:val="003B5679"/>
    <w:rsid w:val="003B5804"/>
    <w:rsid w:val="003B5E8E"/>
    <w:rsid w:val="003B604C"/>
    <w:rsid w:val="003B64A4"/>
    <w:rsid w:val="003B6660"/>
    <w:rsid w:val="003B6B24"/>
    <w:rsid w:val="003B6F39"/>
    <w:rsid w:val="003C01BA"/>
    <w:rsid w:val="003C0CD8"/>
    <w:rsid w:val="003C107D"/>
    <w:rsid w:val="003C2389"/>
    <w:rsid w:val="003C295D"/>
    <w:rsid w:val="003C370D"/>
    <w:rsid w:val="003C46D4"/>
    <w:rsid w:val="003C4FEF"/>
    <w:rsid w:val="003C5B37"/>
    <w:rsid w:val="003C7BFA"/>
    <w:rsid w:val="003C7F25"/>
    <w:rsid w:val="003D0EA8"/>
    <w:rsid w:val="003D165E"/>
    <w:rsid w:val="003D20EA"/>
    <w:rsid w:val="003D333A"/>
    <w:rsid w:val="003D3370"/>
    <w:rsid w:val="003D34C9"/>
    <w:rsid w:val="003D46C3"/>
    <w:rsid w:val="003D4DD5"/>
    <w:rsid w:val="003D4E10"/>
    <w:rsid w:val="003D63AC"/>
    <w:rsid w:val="003E046C"/>
    <w:rsid w:val="003E0668"/>
    <w:rsid w:val="003E0B23"/>
    <w:rsid w:val="003E0C3C"/>
    <w:rsid w:val="003E1004"/>
    <w:rsid w:val="003E232C"/>
    <w:rsid w:val="003E233C"/>
    <w:rsid w:val="003E26E3"/>
    <w:rsid w:val="003E2C5C"/>
    <w:rsid w:val="003E395B"/>
    <w:rsid w:val="003E3F8D"/>
    <w:rsid w:val="003E4735"/>
    <w:rsid w:val="003E49B9"/>
    <w:rsid w:val="003E4FE2"/>
    <w:rsid w:val="003E52F6"/>
    <w:rsid w:val="003E5B2E"/>
    <w:rsid w:val="003E6DB8"/>
    <w:rsid w:val="003F0162"/>
    <w:rsid w:val="003F07B2"/>
    <w:rsid w:val="003F08DE"/>
    <w:rsid w:val="003F2FAA"/>
    <w:rsid w:val="003F344B"/>
    <w:rsid w:val="003F375D"/>
    <w:rsid w:val="003F3E48"/>
    <w:rsid w:val="003F3F55"/>
    <w:rsid w:val="003F3F74"/>
    <w:rsid w:val="003F3F92"/>
    <w:rsid w:val="003F7073"/>
    <w:rsid w:val="003F79E4"/>
    <w:rsid w:val="003F7A5B"/>
    <w:rsid w:val="004000B6"/>
    <w:rsid w:val="004005A9"/>
    <w:rsid w:val="00401038"/>
    <w:rsid w:val="0040263D"/>
    <w:rsid w:val="00402B36"/>
    <w:rsid w:val="00402DC4"/>
    <w:rsid w:val="004030BB"/>
    <w:rsid w:val="00403374"/>
    <w:rsid w:val="00404E2C"/>
    <w:rsid w:val="0040527D"/>
    <w:rsid w:val="004055A0"/>
    <w:rsid w:val="00405FF0"/>
    <w:rsid w:val="00406723"/>
    <w:rsid w:val="00406B69"/>
    <w:rsid w:val="00406C10"/>
    <w:rsid w:val="00406E5A"/>
    <w:rsid w:val="0040742F"/>
    <w:rsid w:val="00407886"/>
    <w:rsid w:val="00410222"/>
    <w:rsid w:val="00410B75"/>
    <w:rsid w:val="00411103"/>
    <w:rsid w:val="00411460"/>
    <w:rsid w:val="00412B4A"/>
    <w:rsid w:val="004130C2"/>
    <w:rsid w:val="0041380C"/>
    <w:rsid w:val="00413BBA"/>
    <w:rsid w:val="004146A8"/>
    <w:rsid w:val="0041795B"/>
    <w:rsid w:val="00417E95"/>
    <w:rsid w:val="004206DA"/>
    <w:rsid w:val="00420E40"/>
    <w:rsid w:val="0042176A"/>
    <w:rsid w:val="00422E7B"/>
    <w:rsid w:val="004243A6"/>
    <w:rsid w:val="004247A2"/>
    <w:rsid w:val="00424B87"/>
    <w:rsid w:val="00424C65"/>
    <w:rsid w:val="004252F6"/>
    <w:rsid w:val="0042540B"/>
    <w:rsid w:val="00425E7B"/>
    <w:rsid w:val="00426D35"/>
    <w:rsid w:val="004270B4"/>
    <w:rsid w:val="0043050D"/>
    <w:rsid w:val="00430C06"/>
    <w:rsid w:val="00431A34"/>
    <w:rsid w:val="00431E96"/>
    <w:rsid w:val="0043236F"/>
    <w:rsid w:val="004324B5"/>
    <w:rsid w:val="00432C02"/>
    <w:rsid w:val="00433340"/>
    <w:rsid w:val="0043334A"/>
    <w:rsid w:val="004338D9"/>
    <w:rsid w:val="004338F1"/>
    <w:rsid w:val="00433B84"/>
    <w:rsid w:val="00433D3F"/>
    <w:rsid w:val="0043417B"/>
    <w:rsid w:val="00434BF6"/>
    <w:rsid w:val="00435314"/>
    <w:rsid w:val="00435C66"/>
    <w:rsid w:val="00435CCC"/>
    <w:rsid w:val="0043623A"/>
    <w:rsid w:val="00437640"/>
    <w:rsid w:val="00437803"/>
    <w:rsid w:val="0043787D"/>
    <w:rsid w:val="00440811"/>
    <w:rsid w:val="0044131C"/>
    <w:rsid w:val="004417B4"/>
    <w:rsid w:val="00442B40"/>
    <w:rsid w:val="004448CF"/>
    <w:rsid w:val="00450246"/>
    <w:rsid w:val="0045027A"/>
    <w:rsid w:val="00450479"/>
    <w:rsid w:val="00450B46"/>
    <w:rsid w:val="00450BDC"/>
    <w:rsid w:val="00450CDD"/>
    <w:rsid w:val="00451378"/>
    <w:rsid w:val="00453CA4"/>
    <w:rsid w:val="00453E63"/>
    <w:rsid w:val="00453EA0"/>
    <w:rsid w:val="0045409E"/>
    <w:rsid w:val="00454434"/>
    <w:rsid w:val="004549E4"/>
    <w:rsid w:val="004551B0"/>
    <w:rsid w:val="00455CA0"/>
    <w:rsid w:val="00455DFC"/>
    <w:rsid w:val="004561A6"/>
    <w:rsid w:val="00457169"/>
    <w:rsid w:val="004578FC"/>
    <w:rsid w:val="00457A53"/>
    <w:rsid w:val="00457E3F"/>
    <w:rsid w:val="0046056D"/>
    <w:rsid w:val="004608C8"/>
    <w:rsid w:val="0046192E"/>
    <w:rsid w:val="00461FAC"/>
    <w:rsid w:val="0046284C"/>
    <w:rsid w:val="00462E1D"/>
    <w:rsid w:val="004640A7"/>
    <w:rsid w:val="0046438A"/>
    <w:rsid w:val="004643E9"/>
    <w:rsid w:val="00464554"/>
    <w:rsid w:val="00464FE6"/>
    <w:rsid w:val="004659AB"/>
    <w:rsid w:val="00466A65"/>
    <w:rsid w:val="00466C2F"/>
    <w:rsid w:val="00466D13"/>
    <w:rsid w:val="0046713C"/>
    <w:rsid w:val="00467573"/>
    <w:rsid w:val="004678CE"/>
    <w:rsid w:val="0047019B"/>
    <w:rsid w:val="00470556"/>
    <w:rsid w:val="0047060B"/>
    <w:rsid w:val="00470DA1"/>
    <w:rsid w:val="004714E0"/>
    <w:rsid w:val="0047165E"/>
    <w:rsid w:val="00471C29"/>
    <w:rsid w:val="00471F01"/>
    <w:rsid w:val="004725F3"/>
    <w:rsid w:val="0047308B"/>
    <w:rsid w:val="00473226"/>
    <w:rsid w:val="00473B8C"/>
    <w:rsid w:val="004744FD"/>
    <w:rsid w:val="00474D12"/>
    <w:rsid w:val="00475190"/>
    <w:rsid w:val="004755AC"/>
    <w:rsid w:val="00475AA7"/>
    <w:rsid w:val="00476A11"/>
    <w:rsid w:val="00477F13"/>
    <w:rsid w:val="0048005C"/>
    <w:rsid w:val="0048025B"/>
    <w:rsid w:val="00481108"/>
    <w:rsid w:val="004813A0"/>
    <w:rsid w:val="0048193E"/>
    <w:rsid w:val="00481C00"/>
    <w:rsid w:val="00482E34"/>
    <w:rsid w:val="00483838"/>
    <w:rsid w:val="004847BD"/>
    <w:rsid w:val="00484D59"/>
    <w:rsid w:val="00484DBE"/>
    <w:rsid w:val="00487179"/>
    <w:rsid w:val="004874FD"/>
    <w:rsid w:val="0048760F"/>
    <w:rsid w:val="004878A0"/>
    <w:rsid w:val="00487D33"/>
    <w:rsid w:val="00487EB4"/>
    <w:rsid w:val="00490A63"/>
    <w:rsid w:val="00490E56"/>
    <w:rsid w:val="0049134B"/>
    <w:rsid w:val="00491F57"/>
    <w:rsid w:val="0049231A"/>
    <w:rsid w:val="004924CE"/>
    <w:rsid w:val="0049320A"/>
    <w:rsid w:val="004936EC"/>
    <w:rsid w:val="00493B59"/>
    <w:rsid w:val="004942DE"/>
    <w:rsid w:val="004948CB"/>
    <w:rsid w:val="00494EBE"/>
    <w:rsid w:val="004959D6"/>
    <w:rsid w:val="00495DE2"/>
    <w:rsid w:val="00495EDF"/>
    <w:rsid w:val="00495FAE"/>
    <w:rsid w:val="004962EE"/>
    <w:rsid w:val="004968D0"/>
    <w:rsid w:val="00496A1D"/>
    <w:rsid w:val="00496A37"/>
    <w:rsid w:val="00497193"/>
    <w:rsid w:val="004975BD"/>
    <w:rsid w:val="00497FAE"/>
    <w:rsid w:val="004A090D"/>
    <w:rsid w:val="004A096A"/>
    <w:rsid w:val="004A127D"/>
    <w:rsid w:val="004A1957"/>
    <w:rsid w:val="004A2188"/>
    <w:rsid w:val="004A2257"/>
    <w:rsid w:val="004A23F2"/>
    <w:rsid w:val="004A3DDA"/>
    <w:rsid w:val="004A4EC6"/>
    <w:rsid w:val="004A5B9A"/>
    <w:rsid w:val="004A6332"/>
    <w:rsid w:val="004A6844"/>
    <w:rsid w:val="004A68D4"/>
    <w:rsid w:val="004A6AE5"/>
    <w:rsid w:val="004A7011"/>
    <w:rsid w:val="004A771F"/>
    <w:rsid w:val="004A7AC3"/>
    <w:rsid w:val="004B0A60"/>
    <w:rsid w:val="004B14A5"/>
    <w:rsid w:val="004B1D49"/>
    <w:rsid w:val="004B2F28"/>
    <w:rsid w:val="004B4130"/>
    <w:rsid w:val="004B43F5"/>
    <w:rsid w:val="004B48C8"/>
    <w:rsid w:val="004B4AC7"/>
    <w:rsid w:val="004B4ACE"/>
    <w:rsid w:val="004B5D45"/>
    <w:rsid w:val="004B5DF2"/>
    <w:rsid w:val="004B64CC"/>
    <w:rsid w:val="004B7327"/>
    <w:rsid w:val="004B73A5"/>
    <w:rsid w:val="004C039D"/>
    <w:rsid w:val="004C0CFF"/>
    <w:rsid w:val="004C0EED"/>
    <w:rsid w:val="004C1429"/>
    <w:rsid w:val="004C1B51"/>
    <w:rsid w:val="004C1DB1"/>
    <w:rsid w:val="004C3D4C"/>
    <w:rsid w:val="004C4818"/>
    <w:rsid w:val="004C4DB0"/>
    <w:rsid w:val="004C4E55"/>
    <w:rsid w:val="004C66CD"/>
    <w:rsid w:val="004C6A2A"/>
    <w:rsid w:val="004C7198"/>
    <w:rsid w:val="004C7533"/>
    <w:rsid w:val="004C7887"/>
    <w:rsid w:val="004C7B61"/>
    <w:rsid w:val="004C7FBE"/>
    <w:rsid w:val="004D0208"/>
    <w:rsid w:val="004D0AE2"/>
    <w:rsid w:val="004D0EC1"/>
    <w:rsid w:val="004D1D3F"/>
    <w:rsid w:val="004D1FDB"/>
    <w:rsid w:val="004D3751"/>
    <w:rsid w:val="004D6703"/>
    <w:rsid w:val="004D6B34"/>
    <w:rsid w:val="004D6C89"/>
    <w:rsid w:val="004E103E"/>
    <w:rsid w:val="004E189D"/>
    <w:rsid w:val="004E1E1A"/>
    <w:rsid w:val="004E2805"/>
    <w:rsid w:val="004E2CEF"/>
    <w:rsid w:val="004E2D89"/>
    <w:rsid w:val="004E2EE2"/>
    <w:rsid w:val="004E3213"/>
    <w:rsid w:val="004E3AEA"/>
    <w:rsid w:val="004E5928"/>
    <w:rsid w:val="004E69CA"/>
    <w:rsid w:val="004E71AC"/>
    <w:rsid w:val="004E7336"/>
    <w:rsid w:val="004E737C"/>
    <w:rsid w:val="004E7DEA"/>
    <w:rsid w:val="004F0135"/>
    <w:rsid w:val="004F107A"/>
    <w:rsid w:val="004F16A4"/>
    <w:rsid w:val="004F1A05"/>
    <w:rsid w:val="004F1ACE"/>
    <w:rsid w:val="004F36D9"/>
    <w:rsid w:val="004F3BA5"/>
    <w:rsid w:val="004F532B"/>
    <w:rsid w:val="004F5337"/>
    <w:rsid w:val="004F5F59"/>
    <w:rsid w:val="00500348"/>
    <w:rsid w:val="005013F0"/>
    <w:rsid w:val="0050142A"/>
    <w:rsid w:val="005019EE"/>
    <w:rsid w:val="00503283"/>
    <w:rsid w:val="00504D7B"/>
    <w:rsid w:val="00504DFB"/>
    <w:rsid w:val="00505755"/>
    <w:rsid w:val="00505D2C"/>
    <w:rsid w:val="0050606B"/>
    <w:rsid w:val="00507283"/>
    <w:rsid w:val="00507AC1"/>
    <w:rsid w:val="00510F90"/>
    <w:rsid w:val="005113A4"/>
    <w:rsid w:val="0051293A"/>
    <w:rsid w:val="00512F7D"/>
    <w:rsid w:val="00513555"/>
    <w:rsid w:val="00513EA8"/>
    <w:rsid w:val="005144F9"/>
    <w:rsid w:val="005146E6"/>
    <w:rsid w:val="005151C2"/>
    <w:rsid w:val="005158C1"/>
    <w:rsid w:val="00515A49"/>
    <w:rsid w:val="00516F9D"/>
    <w:rsid w:val="0051778B"/>
    <w:rsid w:val="005200D2"/>
    <w:rsid w:val="005208D4"/>
    <w:rsid w:val="005209B0"/>
    <w:rsid w:val="00520C04"/>
    <w:rsid w:val="0052147B"/>
    <w:rsid w:val="005215EE"/>
    <w:rsid w:val="00521DE3"/>
    <w:rsid w:val="00522CDC"/>
    <w:rsid w:val="00523586"/>
    <w:rsid w:val="0052490C"/>
    <w:rsid w:val="00526205"/>
    <w:rsid w:val="00526248"/>
    <w:rsid w:val="005263A5"/>
    <w:rsid w:val="00526509"/>
    <w:rsid w:val="00526D93"/>
    <w:rsid w:val="005273CA"/>
    <w:rsid w:val="00527737"/>
    <w:rsid w:val="005279FB"/>
    <w:rsid w:val="00527F62"/>
    <w:rsid w:val="00531580"/>
    <w:rsid w:val="0053262A"/>
    <w:rsid w:val="00532F3F"/>
    <w:rsid w:val="0053328C"/>
    <w:rsid w:val="00533AB7"/>
    <w:rsid w:val="00533BEA"/>
    <w:rsid w:val="00533E1D"/>
    <w:rsid w:val="00534C3D"/>
    <w:rsid w:val="00535602"/>
    <w:rsid w:val="0053613A"/>
    <w:rsid w:val="00536FA9"/>
    <w:rsid w:val="00537C1F"/>
    <w:rsid w:val="00541BA2"/>
    <w:rsid w:val="005425BC"/>
    <w:rsid w:val="00542960"/>
    <w:rsid w:val="00542BDA"/>
    <w:rsid w:val="00542F96"/>
    <w:rsid w:val="00543A29"/>
    <w:rsid w:val="00543F48"/>
    <w:rsid w:val="00544874"/>
    <w:rsid w:val="00544AF0"/>
    <w:rsid w:val="005451BA"/>
    <w:rsid w:val="00545ED6"/>
    <w:rsid w:val="00546586"/>
    <w:rsid w:val="00546C71"/>
    <w:rsid w:val="00547C9D"/>
    <w:rsid w:val="00551A21"/>
    <w:rsid w:val="00552B5B"/>
    <w:rsid w:val="0055383E"/>
    <w:rsid w:val="005543DE"/>
    <w:rsid w:val="00554423"/>
    <w:rsid w:val="005550AE"/>
    <w:rsid w:val="00555499"/>
    <w:rsid w:val="005568B5"/>
    <w:rsid w:val="00556A79"/>
    <w:rsid w:val="00556DF0"/>
    <w:rsid w:val="00556F74"/>
    <w:rsid w:val="00557C11"/>
    <w:rsid w:val="00557C73"/>
    <w:rsid w:val="005601E0"/>
    <w:rsid w:val="005611E1"/>
    <w:rsid w:val="00562044"/>
    <w:rsid w:val="005620E3"/>
    <w:rsid w:val="005631B4"/>
    <w:rsid w:val="0056345E"/>
    <w:rsid w:val="00563D5B"/>
    <w:rsid w:val="0056407C"/>
    <w:rsid w:val="00564310"/>
    <w:rsid w:val="005648D3"/>
    <w:rsid w:val="00565446"/>
    <w:rsid w:val="00565B3A"/>
    <w:rsid w:val="00565EC3"/>
    <w:rsid w:val="00565F38"/>
    <w:rsid w:val="00566AAF"/>
    <w:rsid w:val="00566B63"/>
    <w:rsid w:val="00567300"/>
    <w:rsid w:val="005707B0"/>
    <w:rsid w:val="0057096A"/>
    <w:rsid w:val="005721F2"/>
    <w:rsid w:val="005725EA"/>
    <w:rsid w:val="0057264E"/>
    <w:rsid w:val="00572793"/>
    <w:rsid w:val="005732CE"/>
    <w:rsid w:val="0057356B"/>
    <w:rsid w:val="005741E7"/>
    <w:rsid w:val="005749AA"/>
    <w:rsid w:val="005749F5"/>
    <w:rsid w:val="0057510D"/>
    <w:rsid w:val="0057575A"/>
    <w:rsid w:val="00576246"/>
    <w:rsid w:val="00576643"/>
    <w:rsid w:val="005768F6"/>
    <w:rsid w:val="00577E40"/>
    <w:rsid w:val="005800C8"/>
    <w:rsid w:val="005829CD"/>
    <w:rsid w:val="00582E7F"/>
    <w:rsid w:val="00584329"/>
    <w:rsid w:val="00585043"/>
    <w:rsid w:val="005869B2"/>
    <w:rsid w:val="00587DBF"/>
    <w:rsid w:val="00590829"/>
    <w:rsid w:val="0059093C"/>
    <w:rsid w:val="0059159B"/>
    <w:rsid w:val="0059242A"/>
    <w:rsid w:val="00592BDC"/>
    <w:rsid w:val="00593444"/>
    <w:rsid w:val="00594639"/>
    <w:rsid w:val="00594642"/>
    <w:rsid w:val="00594C76"/>
    <w:rsid w:val="00594CBE"/>
    <w:rsid w:val="00596145"/>
    <w:rsid w:val="005971DB"/>
    <w:rsid w:val="00597B0A"/>
    <w:rsid w:val="005A0707"/>
    <w:rsid w:val="005A11A9"/>
    <w:rsid w:val="005A1F21"/>
    <w:rsid w:val="005A2295"/>
    <w:rsid w:val="005A2A03"/>
    <w:rsid w:val="005A2FC2"/>
    <w:rsid w:val="005A36C4"/>
    <w:rsid w:val="005A38E6"/>
    <w:rsid w:val="005A49EE"/>
    <w:rsid w:val="005A4B27"/>
    <w:rsid w:val="005A5421"/>
    <w:rsid w:val="005A55F5"/>
    <w:rsid w:val="005A56E2"/>
    <w:rsid w:val="005A5936"/>
    <w:rsid w:val="005A5EC9"/>
    <w:rsid w:val="005A7722"/>
    <w:rsid w:val="005A77A9"/>
    <w:rsid w:val="005A7E68"/>
    <w:rsid w:val="005B074D"/>
    <w:rsid w:val="005B07CB"/>
    <w:rsid w:val="005B0871"/>
    <w:rsid w:val="005B08A6"/>
    <w:rsid w:val="005B0B2E"/>
    <w:rsid w:val="005B0F45"/>
    <w:rsid w:val="005B12FF"/>
    <w:rsid w:val="005B2AF3"/>
    <w:rsid w:val="005B32DD"/>
    <w:rsid w:val="005B35F9"/>
    <w:rsid w:val="005B3784"/>
    <w:rsid w:val="005B3B17"/>
    <w:rsid w:val="005B3D70"/>
    <w:rsid w:val="005B4564"/>
    <w:rsid w:val="005B5A57"/>
    <w:rsid w:val="005B7792"/>
    <w:rsid w:val="005B78FC"/>
    <w:rsid w:val="005B7AAE"/>
    <w:rsid w:val="005C1B60"/>
    <w:rsid w:val="005C1C8B"/>
    <w:rsid w:val="005C2151"/>
    <w:rsid w:val="005C2973"/>
    <w:rsid w:val="005C38A6"/>
    <w:rsid w:val="005C4982"/>
    <w:rsid w:val="005C4D5C"/>
    <w:rsid w:val="005C4FCD"/>
    <w:rsid w:val="005C519C"/>
    <w:rsid w:val="005C5731"/>
    <w:rsid w:val="005C59EC"/>
    <w:rsid w:val="005C59F0"/>
    <w:rsid w:val="005C6815"/>
    <w:rsid w:val="005C6E9B"/>
    <w:rsid w:val="005D0913"/>
    <w:rsid w:val="005D1156"/>
    <w:rsid w:val="005D1628"/>
    <w:rsid w:val="005D16E7"/>
    <w:rsid w:val="005D2F43"/>
    <w:rsid w:val="005D4586"/>
    <w:rsid w:val="005D55BD"/>
    <w:rsid w:val="005D6871"/>
    <w:rsid w:val="005D6EC9"/>
    <w:rsid w:val="005D7EF5"/>
    <w:rsid w:val="005E017A"/>
    <w:rsid w:val="005E04FD"/>
    <w:rsid w:val="005E0679"/>
    <w:rsid w:val="005E0B3C"/>
    <w:rsid w:val="005E0C60"/>
    <w:rsid w:val="005E1724"/>
    <w:rsid w:val="005E1D1F"/>
    <w:rsid w:val="005E23F6"/>
    <w:rsid w:val="005E29E5"/>
    <w:rsid w:val="005E2A0D"/>
    <w:rsid w:val="005E3390"/>
    <w:rsid w:val="005E3819"/>
    <w:rsid w:val="005E3ABB"/>
    <w:rsid w:val="005E3BB7"/>
    <w:rsid w:val="005E498D"/>
    <w:rsid w:val="005E4CE2"/>
    <w:rsid w:val="005E4E10"/>
    <w:rsid w:val="005E5115"/>
    <w:rsid w:val="005E5775"/>
    <w:rsid w:val="005E5948"/>
    <w:rsid w:val="005E61B7"/>
    <w:rsid w:val="005E647E"/>
    <w:rsid w:val="005E6D77"/>
    <w:rsid w:val="005E768C"/>
    <w:rsid w:val="005F1055"/>
    <w:rsid w:val="005F1BBF"/>
    <w:rsid w:val="005F204B"/>
    <w:rsid w:val="005F29F0"/>
    <w:rsid w:val="005F3BC4"/>
    <w:rsid w:val="005F42B8"/>
    <w:rsid w:val="005F4646"/>
    <w:rsid w:val="005F4A62"/>
    <w:rsid w:val="005F54CE"/>
    <w:rsid w:val="005F5BA8"/>
    <w:rsid w:val="005F5DD6"/>
    <w:rsid w:val="005F604E"/>
    <w:rsid w:val="005F6398"/>
    <w:rsid w:val="005F6815"/>
    <w:rsid w:val="005F70DF"/>
    <w:rsid w:val="00600107"/>
    <w:rsid w:val="00602B20"/>
    <w:rsid w:val="006030BC"/>
    <w:rsid w:val="0060407F"/>
    <w:rsid w:val="00604AC3"/>
    <w:rsid w:val="00604DC5"/>
    <w:rsid w:val="0060533A"/>
    <w:rsid w:val="006055EE"/>
    <w:rsid w:val="00605EE3"/>
    <w:rsid w:val="006061F2"/>
    <w:rsid w:val="006066CC"/>
    <w:rsid w:val="006076AA"/>
    <w:rsid w:val="00607C90"/>
    <w:rsid w:val="00607EFE"/>
    <w:rsid w:val="00610315"/>
    <w:rsid w:val="006122B3"/>
    <w:rsid w:val="006126AD"/>
    <w:rsid w:val="006127F3"/>
    <w:rsid w:val="00612C56"/>
    <w:rsid w:val="00613550"/>
    <w:rsid w:val="0061399D"/>
    <w:rsid w:val="00613B9B"/>
    <w:rsid w:val="00613F12"/>
    <w:rsid w:val="00614010"/>
    <w:rsid w:val="0061423C"/>
    <w:rsid w:val="00615354"/>
    <w:rsid w:val="00616282"/>
    <w:rsid w:val="0061637F"/>
    <w:rsid w:val="00616B53"/>
    <w:rsid w:val="006172BB"/>
    <w:rsid w:val="00622514"/>
    <w:rsid w:val="00622879"/>
    <w:rsid w:val="00623189"/>
    <w:rsid w:val="006244AD"/>
    <w:rsid w:val="00624D7F"/>
    <w:rsid w:val="006252AB"/>
    <w:rsid w:val="006266DE"/>
    <w:rsid w:val="00627822"/>
    <w:rsid w:val="0063047D"/>
    <w:rsid w:val="00632DB9"/>
    <w:rsid w:val="00633323"/>
    <w:rsid w:val="00634560"/>
    <w:rsid w:val="006349BA"/>
    <w:rsid w:val="00636071"/>
    <w:rsid w:val="006360A7"/>
    <w:rsid w:val="00636F0B"/>
    <w:rsid w:val="00637A12"/>
    <w:rsid w:val="0064065D"/>
    <w:rsid w:val="0064093C"/>
    <w:rsid w:val="00640A17"/>
    <w:rsid w:val="00640C1F"/>
    <w:rsid w:val="00640EE9"/>
    <w:rsid w:val="006429DF"/>
    <w:rsid w:val="00643026"/>
    <w:rsid w:val="00643F61"/>
    <w:rsid w:val="006445D1"/>
    <w:rsid w:val="00644803"/>
    <w:rsid w:val="006458AE"/>
    <w:rsid w:val="00645C47"/>
    <w:rsid w:val="006467C6"/>
    <w:rsid w:val="00646D6F"/>
    <w:rsid w:val="00646E2C"/>
    <w:rsid w:val="00646E37"/>
    <w:rsid w:val="006473FF"/>
    <w:rsid w:val="00647944"/>
    <w:rsid w:val="00647C53"/>
    <w:rsid w:val="006500A6"/>
    <w:rsid w:val="0065048D"/>
    <w:rsid w:val="00650CED"/>
    <w:rsid w:val="0065131C"/>
    <w:rsid w:val="006517A3"/>
    <w:rsid w:val="0065190E"/>
    <w:rsid w:val="00651DF0"/>
    <w:rsid w:val="00651FB4"/>
    <w:rsid w:val="006522F4"/>
    <w:rsid w:val="00652306"/>
    <w:rsid w:val="006529A4"/>
    <w:rsid w:val="00653302"/>
    <w:rsid w:val="00653993"/>
    <w:rsid w:val="006539DF"/>
    <w:rsid w:val="00653D39"/>
    <w:rsid w:val="00653D54"/>
    <w:rsid w:val="00654776"/>
    <w:rsid w:val="00655872"/>
    <w:rsid w:val="00655E8F"/>
    <w:rsid w:val="006566CD"/>
    <w:rsid w:val="006567AA"/>
    <w:rsid w:val="006576B5"/>
    <w:rsid w:val="0066077F"/>
    <w:rsid w:val="00661296"/>
    <w:rsid w:val="006612B6"/>
    <w:rsid w:val="00661F62"/>
    <w:rsid w:val="00662BF7"/>
    <w:rsid w:val="006632EB"/>
    <w:rsid w:val="0066372A"/>
    <w:rsid w:val="00664E26"/>
    <w:rsid w:val="006653A6"/>
    <w:rsid w:val="00665769"/>
    <w:rsid w:val="00665E07"/>
    <w:rsid w:val="0066676D"/>
    <w:rsid w:val="00666BA7"/>
    <w:rsid w:val="00667311"/>
    <w:rsid w:val="00667C06"/>
    <w:rsid w:val="00667F5D"/>
    <w:rsid w:val="006709D5"/>
    <w:rsid w:val="00671183"/>
    <w:rsid w:val="00671E15"/>
    <w:rsid w:val="00671E63"/>
    <w:rsid w:val="00671F52"/>
    <w:rsid w:val="00672254"/>
    <w:rsid w:val="006722B1"/>
    <w:rsid w:val="00672767"/>
    <w:rsid w:val="006735EA"/>
    <w:rsid w:val="00673B2E"/>
    <w:rsid w:val="006758F3"/>
    <w:rsid w:val="00675A34"/>
    <w:rsid w:val="00675C72"/>
    <w:rsid w:val="00675E34"/>
    <w:rsid w:val="00676596"/>
    <w:rsid w:val="006770A0"/>
    <w:rsid w:val="006772A2"/>
    <w:rsid w:val="00677DF5"/>
    <w:rsid w:val="006808B5"/>
    <w:rsid w:val="006810B2"/>
    <w:rsid w:val="006810BA"/>
    <w:rsid w:val="00681E72"/>
    <w:rsid w:val="00682DD2"/>
    <w:rsid w:val="00683308"/>
    <w:rsid w:val="006846A8"/>
    <w:rsid w:val="00685858"/>
    <w:rsid w:val="006860F7"/>
    <w:rsid w:val="006876FE"/>
    <w:rsid w:val="00691128"/>
    <w:rsid w:val="00691422"/>
    <w:rsid w:val="006926BE"/>
    <w:rsid w:val="00693044"/>
    <w:rsid w:val="00693281"/>
    <w:rsid w:val="00694FDE"/>
    <w:rsid w:val="00695147"/>
    <w:rsid w:val="00695568"/>
    <w:rsid w:val="00695914"/>
    <w:rsid w:val="00697205"/>
    <w:rsid w:val="006A0531"/>
    <w:rsid w:val="006A0F01"/>
    <w:rsid w:val="006A1112"/>
    <w:rsid w:val="006A33D2"/>
    <w:rsid w:val="006A424C"/>
    <w:rsid w:val="006A507E"/>
    <w:rsid w:val="006A7C7D"/>
    <w:rsid w:val="006B03E9"/>
    <w:rsid w:val="006B075F"/>
    <w:rsid w:val="006B0788"/>
    <w:rsid w:val="006B153B"/>
    <w:rsid w:val="006B1726"/>
    <w:rsid w:val="006B1BB6"/>
    <w:rsid w:val="006B2052"/>
    <w:rsid w:val="006B329E"/>
    <w:rsid w:val="006B3F83"/>
    <w:rsid w:val="006B4458"/>
    <w:rsid w:val="006B474E"/>
    <w:rsid w:val="006B4FE7"/>
    <w:rsid w:val="006B505C"/>
    <w:rsid w:val="006B5504"/>
    <w:rsid w:val="006B661A"/>
    <w:rsid w:val="006B6D12"/>
    <w:rsid w:val="006B768E"/>
    <w:rsid w:val="006B772E"/>
    <w:rsid w:val="006C02F9"/>
    <w:rsid w:val="006C0360"/>
    <w:rsid w:val="006C1840"/>
    <w:rsid w:val="006C3820"/>
    <w:rsid w:val="006C45BE"/>
    <w:rsid w:val="006C473C"/>
    <w:rsid w:val="006C51A0"/>
    <w:rsid w:val="006C5574"/>
    <w:rsid w:val="006C5596"/>
    <w:rsid w:val="006C650F"/>
    <w:rsid w:val="006C6AA5"/>
    <w:rsid w:val="006C6BEF"/>
    <w:rsid w:val="006C6F58"/>
    <w:rsid w:val="006D1B13"/>
    <w:rsid w:val="006D4076"/>
    <w:rsid w:val="006D44D9"/>
    <w:rsid w:val="006D4A26"/>
    <w:rsid w:val="006D4A7C"/>
    <w:rsid w:val="006D4E14"/>
    <w:rsid w:val="006D5FF9"/>
    <w:rsid w:val="006D603C"/>
    <w:rsid w:val="006D6279"/>
    <w:rsid w:val="006D6BB4"/>
    <w:rsid w:val="006D766E"/>
    <w:rsid w:val="006D7BD3"/>
    <w:rsid w:val="006E0BAE"/>
    <w:rsid w:val="006E1BE4"/>
    <w:rsid w:val="006E20B7"/>
    <w:rsid w:val="006E2918"/>
    <w:rsid w:val="006E2BC1"/>
    <w:rsid w:val="006E3339"/>
    <w:rsid w:val="006E3CDC"/>
    <w:rsid w:val="006E48A6"/>
    <w:rsid w:val="006E4972"/>
    <w:rsid w:val="006E4B34"/>
    <w:rsid w:val="006E4CC6"/>
    <w:rsid w:val="006E5338"/>
    <w:rsid w:val="006E588C"/>
    <w:rsid w:val="006E5E98"/>
    <w:rsid w:val="006E5EA5"/>
    <w:rsid w:val="006E6203"/>
    <w:rsid w:val="006E666B"/>
    <w:rsid w:val="006E689C"/>
    <w:rsid w:val="006E7161"/>
    <w:rsid w:val="006F00C6"/>
    <w:rsid w:val="006F0963"/>
    <w:rsid w:val="006F0EC6"/>
    <w:rsid w:val="006F1C25"/>
    <w:rsid w:val="006F2142"/>
    <w:rsid w:val="006F2917"/>
    <w:rsid w:val="006F2A56"/>
    <w:rsid w:val="006F2B0F"/>
    <w:rsid w:val="006F44C7"/>
    <w:rsid w:val="006F54CE"/>
    <w:rsid w:val="006F5F3C"/>
    <w:rsid w:val="006F601E"/>
    <w:rsid w:val="006F66EB"/>
    <w:rsid w:val="006F6835"/>
    <w:rsid w:val="006F70FA"/>
    <w:rsid w:val="006F71CB"/>
    <w:rsid w:val="00700613"/>
    <w:rsid w:val="00701667"/>
    <w:rsid w:val="007016C4"/>
    <w:rsid w:val="00701E68"/>
    <w:rsid w:val="00702556"/>
    <w:rsid w:val="00703308"/>
    <w:rsid w:val="00703D0B"/>
    <w:rsid w:val="00704323"/>
    <w:rsid w:val="00704CDF"/>
    <w:rsid w:val="00705200"/>
    <w:rsid w:val="007052BA"/>
    <w:rsid w:val="00705377"/>
    <w:rsid w:val="00705D53"/>
    <w:rsid w:val="00707203"/>
    <w:rsid w:val="00711643"/>
    <w:rsid w:val="007138FD"/>
    <w:rsid w:val="007146D1"/>
    <w:rsid w:val="00716BD5"/>
    <w:rsid w:val="0072016C"/>
    <w:rsid w:val="00720B61"/>
    <w:rsid w:val="00721857"/>
    <w:rsid w:val="00721AEB"/>
    <w:rsid w:val="00721EF9"/>
    <w:rsid w:val="0072258F"/>
    <w:rsid w:val="0072313B"/>
    <w:rsid w:val="007233F3"/>
    <w:rsid w:val="007234A3"/>
    <w:rsid w:val="007234C7"/>
    <w:rsid w:val="00724262"/>
    <w:rsid w:val="0072471A"/>
    <w:rsid w:val="00725569"/>
    <w:rsid w:val="00725E6B"/>
    <w:rsid w:val="00725E71"/>
    <w:rsid w:val="00726687"/>
    <w:rsid w:val="00726DD6"/>
    <w:rsid w:val="00726ED2"/>
    <w:rsid w:val="00727A98"/>
    <w:rsid w:val="00727DAC"/>
    <w:rsid w:val="00731441"/>
    <w:rsid w:val="0073197C"/>
    <w:rsid w:val="00731E5F"/>
    <w:rsid w:val="00732823"/>
    <w:rsid w:val="0073330C"/>
    <w:rsid w:val="00733A9B"/>
    <w:rsid w:val="00733C53"/>
    <w:rsid w:val="00734033"/>
    <w:rsid w:val="007345B4"/>
    <w:rsid w:val="00734823"/>
    <w:rsid w:val="00734C44"/>
    <w:rsid w:val="00734F56"/>
    <w:rsid w:val="00736E16"/>
    <w:rsid w:val="00737008"/>
    <w:rsid w:val="0073717A"/>
    <w:rsid w:val="00737B2C"/>
    <w:rsid w:val="00737E0A"/>
    <w:rsid w:val="007400AF"/>
    <w:rsid w:val="00740831"/>
    <w:rsid w:val="00740EE8"/>
    <w:rsid w:val="00742383"/>
    <w:rsid w:val="00742684"/>
    <w:rsid w:val="0074286F"/>
    <w:rsid w:val="0074333D"/>
    <w:rsid w:val="00743426"/>
    <w:rsid w:val="007436EF"/>
    <w:rsid w:val="00743CDA"/>
    <w:rsid w:val="0074440F"/>
    <w:rsid w:val="00744E7D"/>
    <w:rsid w:val="007455D3"/>
    <w:rsid w:val="007462BD"/>
    <w:rsid w:val="007462FA"/>
    <w:rsid w:val="007477EB"/>
    <w:rsid w:val="00747BFD"/>
    <w:rsid w:val="00747EDF"/>
    <w:rsid w:val="00750118"/>
    <w:rsid w:val="00751077"/>
    <w:rsid w:val="0075110D"/>
    <w:rsid w:val="00751E8F"/>
    <w:rsid w:val="00752125"/>
    <w:rsid w:val="007525B9"/>
    <w:rsid w:val="00752D05"/>
    <w:rsid w:val="0075324C"/>
    <w:rsid w:val="00753423"/>
    <w:rsid w:val="00753CAF"/>
    <w:rsid w:val="007542A6"/>
    <w:rsid w:val="00754443"/>
    <w:rsid w:val="007550FC"/>
    <w:rsid w:val="00755EE5"/>
    <w:rsid w:val="00755F27"/>
    <w:rsid w:val="0075607D"/>
    <w:rsid w:val="007567E0"/>
    <w:rsid w:val="007569DB"/>
    <w:rsid w:val="007571D5"/>
    <w:rsid w:val="0076035B"/>
    <w:rsid w:val="00761F22"/>
    <w:rsid w:val="007627AA"/>
    <w:rsid w:val="00762D23"/>
    <w:rsid w:val="00763338"/>
    <w:rsid w:val="00764891"/>
    <w:rsid w:val="007649BE"/>
    <w:rsid w:val="00764FB0"/>
    <w:rsid w:val="00766048"/>
    <w:rsid w:val="00766149"/>
    <w:rsid w:val="00766A45"/>
    <w:rsid w:val="00766FCF"/>
    <w:rsid w:val="007678B4"/>
    <w:rsid w:val="0077099F"/>
    <w:rsid w:val="00770F04"/>
    <w:rsid w:val="0077119B"/>
    <w:rsid w:val="007714C6"/>
    <w:rsid w:val="007723F6"/>
    <w:rsid w:val="0077305C"/>
    <w:rsid w:val="00774835"/>
    <w:rsid w:val="00776C71"/>
    <w:rsid w:val="00776D33"/>
    <w:rsid w:val="00777984"/>
    <w:rsid w:val="0078017B"/>
    <w:rsid w:val="0078043C"/>
    <w:rsid w:val="00780A7D"/>
    <w:rsid w:val="00781894"/>
    <w:rsid w:val="00781A97"/>
    <w:rsid w:val="007821DA"/>
    <w:rsid w:val="007822A2"/>
    <w:rsid w:val="0078438E"/>
    <w:rsid w:val="00786BEC"/>
    <w:rsid w:val="00787144"/>
    <w:rsid w:val="0078733B"/>
    <w:rsid w:val="00787D4D"/>
    <w:rsid w:val="00787F04"/>
    <w:rsid w:val="00790091"/>
    <w:rsid w:val="0079010B"/>
    <w:rsid w:val="0079086C"/>
    <w:rsid w:val="00791797"/>
    <w:rsid w:val="00791B37"/>
    <w:rsid w:val="00792933"/>
    <w:rsid w:val="00792A12"/>
    <w:rsid w:val="00793251"/>
    <w:rsid w:val="0079346A"/>
    <w:rsid w:val="00793B2D"/>
    <w:rsid w:val="0079431D"/>
    <w:rsid w:val="00794507"/>
    <w:rsid w:val="00794D12"/>
    <w:rsid w:val="0079524C"/>
    <w:rsid w:val="00795FD2"/>
    <w:rsid w:val="00797275"/>
    <w:rsid w:val="0079743E"/>
    <w:rsid w:val="0079771A"/>
    <w:rsid w:val="007978D6"/>
    <w:rsid w:val="007A0CFB"/>
    <w:rsid w:val="007A11B9"/>
    <w:rsid w:val="007A11D0"/>
    <w:rsid w:val="007A14D9"/>
    <w:rsid w:val="007A187E"/>
    <w:rsid w:val="007A19F1"/>
    <w:rsid w:val="007A354A"/>
    <w:rsid w:val="007A3FE3"/>
    <w:rsid w:val="007A4AD2"/>
    <w:rsid w:val="007A4FD1"/>
    <w:rsid w:val="007A546F"/>
    <w:rsid w:val="007A580A"/>
    <w:rsid w:val="007A5BF1"/>
    <w:rsid w:val="007A5F30"/>
    <w:rsid w:val="007A6315"/>
    <w:rsid w:val="007A6E79"/>
    <w:rsid w:val="007A7162"/>
    <w:rsid w:val="007A7283"/>
    <w:rsid w:val="007B00C8"/>
    <w:rsid w:val="007B081C"/>
    <w:rsid w:val="007B0D65"/>
    <w:rsid w:val="007B0EBD"/>
    <w:rsid w:val="007B0FCE"/>
    <w:rsid w:val="007B10A9"/>
    <w:rsid w:val="007B12E9"/>
    <w:rsid w:val="007B1E85"/>
    <w:rsid w:val="007B23F9"/>
    <w:rsid w:val="007B247F"/>
    <w:rsid w:val="007B2504"/>
    <w:rsid w:val="007B3016"/>
    <w:rsid w:val="007B347E"/>
    <w:rsid w:val="007B3F46"/>
    <w:rsid w:val="007B422D"/>
    <w:rsid w:val="007B511E"/>
    <w:rsid w:val="007B58E4"/>
    <w:rsid w:val="007B5A4F"/>
    <w:rsid w:val="007B5F4D"/>
    <w:rsid w:val="007B61A7"/>
    <w:rsid w:val="007B6DA8"/>
    <w:rsid w:val="007B6FCF"/>
    <w:rsid w:val="007B7E03"/>
    <w:rsid w:val="007B7E9B"/>
    <w:rsid w:val="007C0736"/>
    <w:rsid w:val="007C0CE2"/>
    <w:rsid w:val="007C15E5"/>
    <w:rsid w:val="007C2092"/>
    <w:rsid w:val="007C2CEE"/>
    <w:rsid w:val="007C34C5"/>
    <w:rsid w:val="007C4098"/>
    <w:rsid w:val="007C542B"/>
    <w:rsid w:val="007C5960"/>
    <w:rsid w:val="007C5D24"/>
    <w:rsid w:val="007C62CE"/>
    <w:rsid w:val="007C6704"/>
    <w:rsid w:val="007C6954"/>
    <w:rsid w:val="007C6ED2"/>
    <w:rsid w:val="007C709A"/>
    <w:rsid w:val="007C7409"/>
    <w:rsid w:val="007C757B"/>
    <w:rsid w:val="007C7A73"/>
    <w:rsid w:val="007C7DCC"/>
    <w:rsid w:val="007D0020"/>
    <w:rsid w:val="007D0088"/>
    <w:rsid w:val="007D05ED"/>
    <w:rsid w:val="007D06F0"/>
    <w:rsid w:val="007D1E66"/>
    <w:rsid w:val="007D3554"/>
    <w:rsid w:val="007D3570"/>
    <w:rsid w:val="007D392A"/>
    <w:rsid w:val="007D4C34"/>
    <w:rsid w:val="007D50CD"/>
    <w:rsid w:val="007D66B2"/>
    <w:rsid w:val="007D6A2A"/>
    <w:rsid w:val="007D7147"/>
    <w:rsid w:val="007D7192"/>
    <w:rsid w:val="007D7195"/>
    <w:rsid w:val="007D737C"/>
    <w:rsid w:val="007E08C7"/>
    <w:rsid w:val="007E090B"/>
    <w:rsid w:val="007E16F6"/>
    <w:rsid w:val="007E1A6B"/>
    <w:rsid w:val="007E3B7B"/>
    <w:rsid w:val="007E40AE"/>
    <w:rsid w:val="007E4DB9"/>
    <w:rsid w:val="007E50E6"/>
    <w:rsid w:val="007E529B"/>
    <w:rsid w:val="007E5EED"/>
    <w:rsid w:val="007E60D8"/>
    <w:rsid w:val="007E6FB9"/>
    <w:rsid w:val="007E779B"/>
    <w:rsid w:val="007E7D44"/>
    <w:rsid w:val="007E7D86"/>
    <w:rsid w:val="007F05CA"/>
    <w:rsid w:val="007F079B"/>
    <w:rsid w:val="007F1007"/>
    <w:rsid w:val="007F10CA"/>
    <w:rsid w:val="007F1BA0"/>
    <w:rsid w:val="007F1FDB"/>
    <w:rsid w:val="007F2766"/>
    <w:rsid w:val="007F29DB"/>
    <w:rsid w:val="007F2BB6"/>
    <w:rsid w:val="007F320C"/>
    <w:rsid w:val="007F3E95"/>
    <w:rsid w:val="007F6168"/>
    <w:rsid w:val="007F62C8"/>
    <w:rsid w:val="007F7663"/>
    <w:rsid w:val="00800386"/>
    <w:rsid w:val="008009DC"/>
    <w:rsid w:val="00800A66"/>
    <w:rsid w:val="008017B3"/>
    <w:rsid w:val="00801C68"/>
    <w:rsid w:val="00801DD3"/>
    <w:rsid w:val="008030F7"/>
    <w:rsid w:val="00803129"/>
    <w:rsid w:val="00803342"/>
    <w:rsid w:val="00803406"/>
    <w:rsid w:val="00803AA1"/>
    <w:rsid w:val="00803B47"/>
    <w:rsid w:val="00804142"/>
    <w:rsid w:val="008059C1"/>
    <w:rsid w:val="00805A69"/>
    <w:rsid w:val="0080609F"/>
    <w:rsid w:val="00806598"/>
    <w:rsid w:val="00806B56"/>
    <w:rsid w:val="00806BCA"/>
    <w:rsid w:val="00810892"/>
    <w:rsid w:val="00810A72"/>
    <w:rsid w:val="00811351"/>
    <w:rsid w:val="00811929"/>
    <w:rsid w:val="00811E0E"/>
    <w:rsid w:val="00811EF7"/>
    <w:rsid w:val="0081256E"/>
    <w:rsid w:val="00812CDE"/>
    <w:rsid w:val="00813428"/>
    <w:rsid w:val="008134EF"/>
    <w:rsid w:val="0081419E"/>
    <w:rsid w:val="00814ABB"/>
    <w:rsid w:val="008152C7"/>
    <w:rsid w:val="0081652F"/>
    <w:rsid w:val="008166BC"/>
    <w:rsid w:val="008175EA"/>
    <w:rsid w:val="00817BED"/>
    <w:rsid w:val="00817C38"/>
    <w:rsid w:val="0082038B"/>
    <w:rsid w:val="0082057E"/>
    <w:rsid w:val="00820B6D"/>
    <w:rsid w:val="0082209D"/>
    <w:rsid w:val="0082294E"/>
    <w:rsid w:val="0082377A"/>
    <w:rsid w:val="00823B7A"/>
    <w:rsid w:val="00825B16"/>
    <w:rsid w:val="00825DB0"/>
    <w:rsid w:val="0082654D"/>
    <w:rsid w:val="00826D10"/>
    <w:rsid w:val="00826DEF"/>
    <w:rsid w:val="00827246"/>
    <w:rsid w:val="00827672"/>
    <w:rsid w:val="00830325"/>
    <w:rsid w:val="008303F3"/>
    <w:rsid w:val="00831692"/>
    <w:rsid w:val="00832302"/>
    <w:rsid w:val="00832438"/>
    <w:rsid w:val="0083283B"/>
    <w:rsid w:val="0083312C"/>
    <w:rsid w:val="00834039"/>
    <w:rsid w:val="00834182"/>
    <w:rsid w:val="0083440B"/>
    <w:rsid w:val="00835A08"/>
    <w:rsid w:val="008363D1"/>
    <w:rsid w:val="0083733B"/>
    <w:rsid w:val="00837A29"/>
    <w:rsid w:val="00837C56"/>
    <w:rsid w:val="008400B5"/>
    <w:rsid w:val="00840378"/>
    <w:rsid w:val="00840652"/>
    <w:rsid w:val="008406C4"/>
    <w:rsid w:val="008413D6"/>
    <w:rsid w:val="008413F2"/>
    <w:rsid w:val="0084524D"/>
    <w:rsid w:val="00845B2A"/>
    <w:rsid w:val="00845D89"/>
    <w:rsid w:val="00845DED"/>
    <w:rsid w:val="00846759"/>
    <w:rsid w:val="008472C5"/>
    <w:rsid w:val="0084730D"/>
    <w:rsid w:val="00850295"/>
    <w:rsid w:val="0085043F"/>
    <w:rsid w:val="0085306C"/>
    <w:rsid w:val="0085352F"/>
    <w:rsid w:val="00853C96"/>
    <w:rsid w:val="008565F6"/>
    <w:rsid w:val="00857B1C"/>
    <w:rsid w:val="008606D9"/>
    <w:rsid w:val="00860928"/>
    <w:rsid w:val="00860992"/>
    <w:rsid w:val="00861054"/>
    <w:rsid w:val="00861659"/>
    <w:rsid w:val="008618B6"/>
    <w:rsid w:val="00862399"/>
    <w:rsid w:val="00862C94"/>
    <w:rsid w:val="00862CFB"/>
    <w:rsid w:val="00863527"/>
    <w:rsid w:val="008646F7"/>
    <w:rsid w:val="00865CD0"/>
    <w:rsid w:val="00865CF2"/>
    <w:rsid w:val="00866071"/>
    <w:rsid w:val="0086633B"/>
    <w:rsid w:val="00867DCB"/>
    <w:rsid w:val="00870854"/>
    <w:rsid w:val="008708DE"/>
    <w:rsid w:val="0087284D"/>
    <w:rsid w:val="00872FD3"/>
    <w:rsid w:val="008733D1"/>
    <w:rsid w:val="0087496C"/>
    <w:rsid w:val="00874BA7"/>
    <w:rsid w:val="00874E88"/>
    <w:rsid w:val="00875915"/>
    <w:rsid w:val="00875F96"/>
    <w:rsid w:val="00876259"/>
    <w:rsid w:val="00876AC5"/>
    <w:rsid w:val="00876D7C"/>
    <w:rsid w:val="00877B73"/>
    <w:rsid w:val="00880455"/>
    <w:rsid w:val="00880BA0"/>
    <w:rsid w:val="008813F3"/>
    <w:rsid w:val="0088170F"/>
    <w:rsid w:val="00881854"/>
    <w:rsid w:val="00882572"/>
    <w:rsid w:val="008827AC"/>
    <w:rsid w:val="00882A3D"/>
    <w:rsid w:val="00883358"/>
    <w:rsid w:val="00883B5C"/>
    <w:rsid w:val="00884476"/>
    <w:rsid w:val="008849C8"/>
    <w:rsid w:val="00884B86"/>
    <w:rsid w:val="00884F36"/>
    <w:rsid w:val="008851A0"/>
    <w:rsid w:val="00886D0B"/>
    <w:rsid w:val="00887487"/>
    <w:rsid w:val="008877FE"/>
    <w:rsid w:val="00887D56"/>
    <w:rsid w:val="00887DF3"/>
    <w:rsid w:val="00890096"/>
    <w:rsid w:val="0089062C"/>
    <w:rsid w:val="008906B4"/>
    <w:rsid w:val="008909AB"/>
    <w:rsid w:val="00891409"/>
    <w:rsid w:val="00893176"/>
    <w:rsid w:val="00893694"/>
    <w:rsid w:val="00894231"/>
    <w:rsid w:val="0089423B"/>
    <w:rsid w:val="00895141"/>
    <w:rsid w:val="00895671"/>
    <w:rsid w:val="0089593C"/>
    <w:rsid w:val="00895B33"/>
    <w:rsid w:val="00895F1A"/>
    <w:rsid w:val="008966A5"/>
    <w:rsid w:val="008969E8"/>
    <w:rsid w:val="00896AE1"/>
    <w:rsid w:val="008976AC"/>
    <w:rsid w:val="008977D1"/>
    <w:rsid w:val="008A04F8"/>
    <w:rsid w:val="008A0627"/>
    <w:rsid w:val="008A0FB1"/>
    <w:rsid w:val="008A2026"/>
    <w:rsid w:val="008A28AB"/>
    <w:rsid w:val="008A2D62"/>
    <w:rsid w:val="008A2E3A"/>
    <w:rsid w:val="008A2E66"/>
    <w:rsid w:val="008A322B"/>
    <w:rsid w:val="008A3C08"/>
    <w:rsid w:val="008A3DB8"/>
    <w:rsid w:val="008A4109"/>
    <w:rsid w:val="008A4911"/>
    <w:rsid w:val="008A4962"/>
    <w:rsid w:val="008A4AA4"/>
    <w:rsid w:val="008A50D8"/>
    <w:rsid w:val="008A5741"/>
    <w:rsid w:val="008A6233"/>
    <w:rsid w:val="008A64EC"/>
    <w:rsid w:val="008A686E"/>
    <w:rsid w:val="008A7A80"/>
    <w:rsid w:val="008B1217"/>
    <w:rsid w:val="008B165E"/>
    <w:rsid w:val="008B1A21"/>
    <w:rsid w:val="008B1A7C"/>
    <w:rsid w:val="008B2413"/>
    <w:rsid w:val="008B276A"/>
    <w:rsid w:val="008B2905"/>
    <w:rsid w:val="008B2945"/>
    <w:rsid w:val="008B2BDF"/>
    <w:rsid w:val="008B3001"/>
    <w:rsid w:val="008B301C"/>
    <w:rsid w:val="008B3437"/>
    <w:rsid w:val="008B358F"/>
    <w:rsid w:val="008B381E"/>
    <w:rsid w:val="008B434F"/>
    <w:rsid w:val="008B4667"/>
    <w:rsid w:val="008B467A"/>
    <w:rsid w:val="008B49D9"/>
    <w:rsid w:val="008B60F4"/>
    <w:rsid w:val="008B73B9"/>
    <w:rsid w:val="008B7FF2"/>
    <w:rsid w:val="008C03AB"/>
    <w:rsid w:val="008C0536"/>
    <w:rsid w:val="008C10F2"/>
    <w:rsid w:val="008C1572"/>
    <w:rsid w:val="008C28C7"/>
    <w:rsid w:val="008C29B6"/>
    <w:rsid w:val="008C3195"/>
    <w:rsid w:val="008C341E"/>
    <w:rsid w:val="008C35A4"/>
    <w:rsid w:val="008C4605"/>
    <w:rsid w:val="008C4859"/>
    <w:rsid w:val="008C4A1E"/>
    <w:rsid w:val="008C588E"/>
    <w:rsid w:val="008C59D8"/>
    <w:rsid w:val="008C7795"/>
    <w:rsid w:val="008C7800"/>
    <w:rsid w:val="008D13BB"/>
    <w:rsid w:val="008D19BF"/>
    <w:rsid w:val="008D1D7C"/>
    <w:rsid w:val="008D20D6"/>
    <w:rsid w:val="008D2563"/>
    <w:rsid w:val="008D3C19"/>
    <w:rsid w:val="008D3F32"/>
    <w:rsid w:val="008D4447"/>
    <w:rsid w:val="008D4D2F"/>
    <w:rsid w:val="008D5A5B"/>
    <w:rsid w:val="008D62B3"/>
    <w:rsid w:val="008D63D8"/>
    <w:rsid w:val="008D7119"/>
    <w:rsid w:val="008D78D2"/>
    <w:rsid w:val="008D7949"/>
    <w:rsid w:val="008D7D17"/>
    <w:rsid w:val="008E2159"/>
    <w:rsid w:val="008E423E"/>
    <w:rsid w:val="008E58FA"/>
    <w:rsid w:val="008E5D9E"/>
    <w:rsid w:val="008E5E58"/>
    <w:rsid w:val="008E6088"/>
    <w:rsid w:val="008E6A13"/>
    <w:rsid w:val="008E7E93"/>
    <w:rsid w:val="008F02C1"/>
    <w:rsid w:val="008F14DD"/>
    <w:rsid w:val="008F1A9C"/>
    <w:rsid w:val="008F1EE9"/>
    <w:rsid w:val="008F20AB"/>
    <w:rsid w:val="008F2B3E"/>
    <w:rsid w:val="008F2C14"/>
    <w:rsid w:val="008F2CB7"/>
    <w:rsid w:val="008F30D4"/>
    <w:rsid w:val="008F3A0D"/>
    <w:rsid w:val="008F43CA"/>
    <w:rsid w:val="008F4C17"/>
    <w:rsid w:val="008F4DCD"/>
    <w:rsid w:val="008F5281"/>
    <w:rsid w:val="008F54D6"/>
    <w:rsid w:val="008F6174"/>
    <w:rsid w:val="008F6224"/>
    <w:rsid w:val="008F6514"/>
    <w:rsid w:val="008F77A0"/>
    <w:rsid w:val="009001BD"/>
    <w:rsid w:val="00900416"/>
    <w:rsid w:val="00900714"/>
    <w:rsid w:val="0090099A"/>
    <w:rsid w:val="009019F1"/>
    <w:rsid w:val="00901EED"/>
    <w:rsid w:val="00902145"/>
    <w:rsid w:val="00902E53"/>
    <w:rsid w:val="009043CB"/>
    <w:rsid w:val="0090442F"/>
    <w:rsid w:val="00904A47"/>
    <w:rsid w:val="00905FB7"/>
    <w:rsid w:val="0090737C"/>
    <w:rsid w:val="00907B04"/>
    <w:rsid w:val="00907D0E"/>
    <w:rsid w:val="00910577"/>
    <w:rsid w:val="009106F1"/>
    <w:rsid w:val="00911394"/>
    <w:rsid w:val="00912AD0"/>
    <w:rsid w:val="009136BE"/>
    <w:rsid w:val="00913BD3"/>
    <w:rsid w:val="00913FEE"/>
    <w:rsid w:val="00914142"/>
    <w:rsid w:val="009144D5"/>
    <w:rsid w:val="00914A01"/>
    <w:rsid w:val="00914E33"/>
    <w:rsid w:val="00914F27"/>
    <w:rsid w:val="00915C50"/>
    <w:rsid w:val="00915CBC"/>
    <w:rsid w:val="009171EB"/>
    <w:rsid w:val="009179BF"/>
    <w:rsid w:val="00917E52"/>
    <w:rsid w:val="009200A8"/>
    <w:rsid w:val="00920840"/>
    <w:rsid w:val="00921612"/>
    <w:rsid w:val="00921A48"/>
    <w:rsid w:val="00922D0C"/>
    <w:rsid w:val="0092313B"/>
    <w:rsid w:val="00923848"/>
    <w:rsid w:val="009241FA"/>
    <w:rsid w:val="009244D5"/>
    <w:rsid w:val="009253E7"/>
    <w:rsid w:val="009257B9"/>
    <w:rsid w:val="009259B9"/>
    <w:rsid w:val="00925CA5"/>
    <w:rsid w:val="00926705"/>
    <w:rsid w:val="009303E2"/>
    <w:rsid w:val="00931157"/>
    <w:rsid w:val="00931B67"/>
    <w:rsid w:val="00931D84"/>
    <w:rsid w:val="0093227F"/>
    <w:rsid w:val="009330FD"/>
    <w:rsid w:val="00934178"/>
    <w:rsid w:val="009346BA"/>
    <w:rsid w:val="00934A86"/>
    <w:rsid w:val="00934F3F"/>
    <w:rsid w:val="00935635"/>
    <w:rsid w:val="00935884"/>
    <w:rsid w:val="00935F5A"/>
    <w:rsid w:val="0093663B"/>
    <w:rsid w:val="00940111"/>
    <w:rsid w:val="0094094B"/>
    <w:rsid w:val="00941DFF"/>
    <w:rsid w:val="00942519"/>
    <w:rsid w:val="0094271A"/>
    <w:rsid w:val="009428C5"/>
    <w:rsid w:val="00943366"/>
    <w:rsid w:val="00943ADD"/>
    <w:rsid w:val="00944820"/>
    <w:rsid w:val="009454E8"/>
    <w:rsid w:val="009462F5"/>
    <w:rsid w:val="0095153F"/>
    <w:rsid w:val="00952328"/>
    <w:rsid w:val="009531AE"/>
    <w:rsid w:val="00953E03"/>
    <w:rsid w:val="00953E2B"/>
    <w:rsid w:val="00954669"/>
    <w:rsid w:val="00954A1D"/>
    <w:rsid w:val="00954E2A"/>
    <w:rsid w:val="009550E7"/>
    <w:rsid w:val="0095535E"/>
    <w:rsid w:val="0095538F"/>
    <w:rsid w:val="0095587A"/>
    <w:rsid w:val="0095692E"/>
    <w:rsid w:val="00956DAD"/>
    <w:rsid w:val="009571E0"/>
    <w:rsid w:val="009574CB"/>
    <w:rsid w:val="0095797E"/>
    <w:rsid w:val="0096024E"/>
    <w:rsid w:val="0096075B"/>
    <w:rsid w:val="00960F1C"/>
    <w:rsid w:val="0096123D"/>
    <w:rsid w:val="00961DF7"/>
    <w:rsid w:val="00963037"/>
    <w:rsid w:val="00963CAA"/>
    <w:rsid w:val="0096599A"/>
    <w:rsid w:val="00965C23"/>
    <w:rsid w:val="00966064"/>
    <w:rsid w:val="009664DA"/>
    <w:rsid w:val="00966C02"/>
    <w:rsid w:val="009679CC"/>
    <w:rsid w:val="009704E2"/>
    <w:rsid w:val="00970918"/>
    <w:rsid w:val="00970E30"/>
    <w:rsid w:val="00971CBF"/>
    <w:rsid w:val="00972C0D"/>
    <w:rsid w:val="00972E86"/>
    <w:rsid w:val="009730E9"/>
    <w:rsid w:val="00973653"/>
    <w:rsid w:val="00973ABA"/>
    <w:rsid w:val="0097519F"/>
    <w:rsid w:val="009753F3"/>
    <w:rsid w:val="00975EFB"/>
    <w:rsid w:val="0097702C"/>
    <w:rsid w:val="0098072B"/>
    <w:rsid w:val="009807D4"/>
    <w:rsid w:val="009812B9"/>
    <w:rsid w:val="0098180F"/>
    <w:rsid w:val="00981839"/>
    <w:rsid w:val="00981A03"/>
    <w:rsid w:val="0098268D"/>
    <w:rsid w:val="00982ACE"/>
    <w:rsid w:val="009830A6"/>
    <w:rsid w:val="0098339F"/>
    <w:rsid w:val="009839DC"/>
    <w:rsid w:val="0098413E"/>
    <w:rsid w:val="0098414E"/>
    <w:rsid w:val="009850B7"/>
    <w:rsid w:val="009852CA"/>
    <w:rsid w:val="00985663"/>
    <w:rsid w:val="009859A5"/>
    <w:rsid w:val="00985C96"/>
    <w:rsid w:val="00985DC0"/>
    <w:rsid w:val="009860CE"/>
    <w:rsid w:val="00986528"/>
    <w:rsid w:val="0098733F"/>
    <w:rsid w:val="009873BD"/>
    <w:rsid w:val="00987CC1"/>
    <w:rsid w:val="0099036F"/>
    <w:rsid w:val="00990D86"/>
    <w:rsid w:val="00991A64"/>
    <w:rsid w:val="00991F7A"/>
    <w:rsid w:val="009928BD"/>
    <w:rsid w:val="00992A2C"/>
    <w:rsid w:val="00993852"/>
    <w:rsid w:val="00993CDB"/>
    <w:rsid w:val="0099504A"/>
    <w:rsid w:val="0099631B"/>
    <w:rsid w:val="00996B5D"/>
    <w:rsid w:val="00996EFB"/>
    <w:rsid w:val="0099785B"/>
    <w:rsid w:val="009A0503"/>
    <w:rsid w:val="009A090F"/>
    <w:rsid w:val="009A0994"/>
    <w:rsid w:val="009A13F5"/>
    <w:rsid w:val="009A142F"/>
    <w:rsid w:val="009A1AD4"/>
    <w:rsid w:val="009A1C6A"/>
    <w:rsid w:val="009A1FFA"/>
    <w:rsid w:val="009A274B"/>
    <w:rsid w:val="009A3A8E"/>
    <w:rsid w:val="009A40DE"/>
    <w:rsid w:val="009A421C"/>
    <w:rsid w:val="009A4555"/>
    <w:rsid w:val="009A45D1"/>
    <w:rsid w:val="009A4744"/>
    <w:rsid w:val="009A4B1C"/>
    <w:rsid w:val="009A5F07"/>
    <w:rsid w:val="009A6548"/>
    <w:rsid w:val="009A6C84"/>
    <w:rsid w:val="009B00C7"/>
    <w:rsid w:val="009B0A0B"/>
    <w:rsid w:val="009B12AA"/>
    <w:rsid w:val="009B1697"/>
    <w:rsid w:val="009B1827"/>
    <w:rsid w:val="009B1CE9"/>
    <w:rsid w:val="009B2A15"/>
    <w:rsid w:val="009B2BB9"/>
    <w:rsid w:val="009B2F0C"/>
    <w:rsid w:val="009B32EF"/>
    <w:rsid w:val="009B3A61"/>
    <w:rsid w:val="009B4BF0"/>
    <w:rsid w:val="009B4D39"/>
    <w:rsid w:val="009B5CC0"/>
    <w:rsid w:val="009B69E1"/>
    <w:rsid w:val="009B790A"/>
    <w:rsid w:val="009B7BB1"/>
    <w:rsid w:val="009C046F"/>
    <w:rsid w:val="009C0AB8"/>
    <w:rsid w:val="009C1693"/>
    <w:rsid w:val="009C1B67"/>
    <w:rsid w:val="009C229F"/>
    <w:rsid w:val="009C238F"/>
    <w:rsid w:val="009C2394"/>
    <w:rsid w:val="009C28F7"/>
    <w:rsid w:val="009C3983"/>
    <w:rsid w:val="009C3FE2"/>
    <w:rsid w:val="009C40C3"/>
    <w:rsid w:val="009C459B"/>
    <w:rsid w:val="009C4758"/>
    <w:rsid w:val="009C4F22"/>
    <w:rsid w:val="009C66F1"/>
    <w:rsid w:val="009C676E"/>
    <w:rsid w:val="009C7B07"/>
    <w:rsid w:val="009C7DED"/>
    <w:rsid w:val="009D008D"/>
    <w:rsid w:val="009D0849"/>
    <w:rsid w:val="009D0954"/>
    <w:rsid w:val="009D0FFF"/>
    <w:rsid w:val="009D1B12"/>
    <w:rsid w:val="009D1B44"/>
    <w:rsid w:val="009D220D"/>
    <w:rsid w:val="009D27BD"/>
    <w:rsid w:val="009D2AB6"/>
    <w:rsid w:val="009D2D17"/>
    <w:rsid w:val="009D2D3A"/>
    <w:rsid w:val="009D2F3D"/>
    <w:rsid w:val="009D2FA2"/>
    <w:rsid w:val="009D3370"/>
    <w:rsid w:val="009D3D3A"/>
    <w:rsid w:val="009D449A"/>
    <w:rsid w:val="009D6448"/>
    <w:rsid w:val="009D69D0"/>
    <w:rsid w:val="009D69EF"/>
    <w:rsid w:val="009D6B7F"/>
    <w:rsid w:val="009D6C7A"/>
    <w:rsid w:val="009D6CBF"/>
    <w:rsid w:val="009D7247"/>
    <w:rsid w:val="009E0008"/>
    <w:rsid w:val="009E02FA"/>
    <w:rsid w:val="009E0313"/>
    <w:rsid w:val="009E038A"/>
    <w:rsid w:val="009E1290"/>
    <w:rsid w:val="009E2210"/>
    <w:rsid w:val="009E2864"/>
    <w:rsid w:val="009E30AD"/>
    <w:rsid w:val="009E30F7"/>
    <w:rsid w:val="009E389A"/>
    <w:rsid w:val="009E44F0"/>
    <w:rsid w:val="009E4609"/>
    <w:rsid w:val="009E4C57"/>
    <w:rsid w:val="009E59BF"/>
    <w:rsid w:val="009E6517"/>
    <w:rsid w:val="009E654B"/>
    <w:rsid w:val="009E7C86"/>
    <w:rsid w:val="009E7DF0"/>
    <w:rsid w:val="009F0067"/>
    <w:rsid w:val="009F13EB"/>
    <w:rsid w:val="009F272A"/>
    <w:rsid w:val="009F2FBD"/>
    <w:rsid w:val="009F39B1"/>
    <w:rsid w:val="009F4381"/>
    <w:rsid w:val="009F4A70"/>
    <w:rsid w:val="009F4D71"/>
    <w:rsid w:val="009F5612"/>
    <w:rsid w:val="009F5C76"/>
    <w:rsid w:val="009F60A8"/>
    <w:rsid w:val="009F735D"/>
    <w:rsid w:val="009F75A2"/>
    <w:rsid w:val="009F7C5D"/>
    <w:rsid w:val="00A00950"/>
    <w:rsid w:val="00A01013"/>
    <w:rsid w:val="00A01281"/>
    <w:rsid w:val="00A0129E"/>
    <w:rsid w:val="00A013C1"/>
    <w:rsid w:val="00A01DF5"/>
    <w:rsid w:val="00A0248C"/>
    <w:rsid w:val="00A039C6"/>
    <w:rsid w:val="00A03C8C"/>
    <w:rsid w:val="00A03F87"/>
    <w:rsid w:val="00A041FD"/>
    <w:rsid w:val="00A05CB6"/>
    <w:rsid w:val="00A06133"/>
    <w:rsid w:val="00A07053"/>
    <w:rsid w:val="00A071E6"/>
    <w:rsid w:val="00A07265"/>
    <w:rsid w:val="00A072E4"/>
    <w:rsid w:val="00A07AFD"/>
    <w:rsid w:val="00A07ECB"/>
    <w:rsid w:val="00A114E6"/>
    <w:rsid w:val="00A1179A"/>
    <w:rsid w:val="00A14020"/>
    <w:rsid w:val="00A15362"/>
    <w:rsid w:val="00A15849"/>
    <w:rsid w:val="00A15BDA"/>
    <w:rsid w:val="00A15CF7"/>
    <w:rsid w:val="00A15DA1"/>
    <w:rsid w:val="00A1637E"/>
    <w:rsid w:val="00A165D0"/>
    <w:rsid w:val="00A1692B"/>
    <w:rsid w:val="00A1731F"/>
    <w:rsid w:val="00A2094E"/>
    <w:rsid w:val="00A21651"/>
    <w:rsid w:val="00A21EDB"/>
    <w:rsid w:val="00A22687"/>
    <w:rsid w:val="00A22C21"/>
    <w:rsid w:val="00A2383A"/>
    <w:rsid w:val="00A24114"/>
    <w:rsid w:val="00A24145"/>
    <w:rsid w:val="00A24E0D"/>
    <w:rsid w:val="00A25B40"/>
    <w:rsid w:val="00A25D5E"/>
    <w:rsid w:val="00A25FF0"/>
    <w:rsid w:val="00A26BEC"/>
    <w:rsid w:val="00A27487"/>
    <w:rsid w:val="00A278C7"/>
    <w:rsid w:val="00A301A5"/>
    <w:rsid w:val="00A30248"/>
    <w:rsid w:val="00A30F25"/>
    <w:rsid w:val="00A32913"/>
    <w:rsid w:val="00A32F15"/>
    <w:rsid w:val="00A359FF"/>
    <w:rsid w:val="00A36351"/>
    <w:rsid w:val="00A36923"/>
    <w:rsid w:val="00A36A89"/>
    <w:rsid w:val="00A36D47"/>
    <w:rsid w:val="00A36EE4"/>
    <w:rsid w:val="00A36F69"/>
    <w:rsid w:val="00A374E8"/>
    <w:rsid w:val="00A37E39"/>
    <w:rsid w:val="00A403F4"/>
    <w:rsid w:val="00A40C6A"/>
    <w:rsid w:val="00A413DA"/>
    <w:rsid w:val="00A41CEB"/>
    <w:rsid w:val="00A4258A"/>
    <w:rsid w:val="00A42C78"/>
    <w:rsid w:val="00A453A2"/>
    <w:rsid w:val="00A45F5E"/>
    <w:rsid w:val="00A460D2"/>
    <w:rsid w:val="00A463DA"/>
    <w:rsid w:val="00A464E6"/>
    <w:rsid w:val="00A469FE"/>
    <w:rsid w:val="00A46B07"/>
    <w:rsid w:val="00A47474"/>
    <w:rsid w:val="00A47F02"/>
    <w:rsid w:val="00A504C6"/>
    <w:rsid w:val="00A50CE3"/>
    <w:rsid w:val="00A51ADB"/>
    <w:rsid w:val="00A520C8"/>
    <w:rsid w:val="00A525BD"/>
    <w:rsid w:val="00A53EC3"/>
    <w:rsid w:val="00A54286"/>
    <w:rsid w:val="00A5462E"/>
    <w:rsid w:val="00A54DE5"/>
    <w:rsid w:val="00A54EC0"/>
    <w:rsid w:val="00A550B7"/>
    <w:rsid w:val="00A554D8"/>
    <w:rsid w:val="00A558FE"/>
    <w:rsid w:val="00A55CD9"/>
    <w:rsid w:val="00A562C7"/>
    <w:rsid w:val="00A565DA"/>
    <w:rsid w:val="00A566F7"/>
    <w:rsid w:val="00A57395"/>
    <w:rsid w:val="00A576B3"/>
    <w:rsid w:val="00A5799B"/>
    <w:rsid w:val="00A57E69"/>
    <w:rsid w:val="00A57F35"/>
    <w:rsid w:val="00A60849"/>
    <w:rsid w:val="00A6089F"/>
    <w:rsid w:val="00A6148A"/>
    <w:rsid w:val="00A61C50"/>
    <w:rsid w:val="00A62D77"/>
    <w:rsid w:val="00A63246"/>
    <w:rsid w:val="00A64740"/>
    <w:rsid w:val="00A64E4F"/>
    <w:rsid w:val="00A658B9"/>
    <w:rsid w:val="00A65955"/>
    <w:rsid w:val="00A6601D"/>
    <w:rsid w:val="00A662F6"/>
    <w:rsid w:val="00A663D3"/>
    <w:rsid w:val="00A70219"/>
    <w:rsid w:val="00A7101B"/>
    <w:rsid w:val="00A713C3"/>
    <w:rsid w:val="00A725EB"/>
    <w:rsid w:val="00A73355"/>
    <w:rsid w:val="00A73C05"/>
    <w:rsid w:val="00A74910"/>
    <w:rsid w:val="00A74BCD"/>
    <w:rsid w:val="00A74E99"/>
    <w:rsid w:val="00A75479"/>
    <w:rsid w:val="00A7571C"/>
    <w:rsid w:val="00A75D97"/>
    <w:rsid w:val="00A7601A"/>
    <w:rsid w:val="00A76168"/>
    <w:rsid w:val="00A8048F"/>
    <w:rsid w:val="00A80648"/>
    <w:rsid w:val="00A80BAF"/>
    <w:rsid w:val="00A82C37"/>
    <w:rsid w:val="00A831D1"/>
    <w:rsid w:val="00A83CC6"/>
    <w:rsid w:val="00A841CC"/>
    <w:rsid w:val="00A8494B"/>
    <w:rsid w:val="00A84D0F"/>
    <w:rsid w:val="00A85605"/>
    <w:rsid w:val="00A857CA"/>
    <w:rsid w:val="00A86C80"/>
    <w:rsid w:val="00A8726D"/>
    <w:rsid w:val="00A87DF0"/>
    <w:rsid w:val="00A9131A"/>
    <w:rsid w:val="00A91FE5"/>
    <w:rsid w:val="00A936DF"/>
    <w:rsid w:val="00A93D98"/>
    <w:rsid w:val="00A94AD5"/>
    <w:rsid w:val="00A94DA4"/>
    <w:rsid w:val="00A95604"/>
    <w:rsid w:val="00A95F8E"/>
    <w:rsid w:val="00A962AD"/>
    <w:rsid w:val="00A96FEB"/>
    <w:rsid w:val="00A97BB0"/>
    <w:rsid w:val="00AA00A0"/>
    <w:rsid w:val="00AA04E0"/>
    <w:rsid w:val="00AA05CD"/>
    <w:rsid w:val="00AA1952"/>
    <w:rsid w:val="00AA37BE"/>
    <w:rsid w:val="00AA401A"/>
    <w:rsid w:val="00AA422D"/>
    <w:rsid w:val="00AA477E"/>
    <w:rsid w:val="00AA494D"/>
    <w:rsid w:val="00AA49BF"/>
    <w:rsid w:val="00AA529F"/>
    <w:rsid w:val="00AA5E78"/>
    <w:rsid w:val="00AA5F67"/>
    <w:rsid w:val="00AA665A"/>
    <w:rsid w:val="00AA6AA9"/>
    <w:rsid w:val="00AA6C13"/>
    <w:rsid w:val="00AA701E"/>
    <w:rsid w:val="00AA746E"/>
    <w:rsid w:val="00AB0A1C"/>
    <w:rsid w:val="00AB10D8"/>
    <w:rsid w:val="00AB1AA3"/>
    <w:rsid w:val="00AB22CB"/>
    <w:rsid w:val="00AB279F"/>
    <w:rsid w:val="00AB31C2"/>
    <w:rsid w:val="00AB33BB"/>
    <w:rsid w:val="00AB395B"/>
    <w:rsid w:val="00AB3CD5"/>
    <w:rsid w:val="00AB448D"/>
    <w:rsid w:val="00AB4FAF"/>
    <w:rsid w:val="00AB57D5"/>
    <w:rsid w:val="00AB5C36"/>
    <w:rsid w:val="00AB619D"/>
    <w:rsid w:val="00AB637B"/>
    <w:rsid w:val="00AB7B5B"/>
    <w:rsid w:val="00AB7C52"/>
    <w:rsid w:val="00AC0539"/>
    <w:rsid w:val="00AC0609"/>
    <w:rsid w:val="00AC19BE"/>
    <w:rsid w:val="00AC1A4C"/>
    <w:rsid w:val="00AC1D10"/>
    <w:rsid w:val="00AC27F8"/>
    <w:rsid w:val="00AC28FD"/>
    <w:rsid w:val="00AC3B6F"/>
    <w:rsid w:val="00AC4232"/>
    <w:rsid w:val="00AC4671"/>
    <w:rsid w:val="00AC55AE"/>
    <w:rsid w:val="00AC5916"/>
    <w:rsid w:val="00AC629A"/>
    <w:rsid w:val="00AC68F2"/>
    <w:rsid w:val="00AC6B4E"/>
    <w:rsid w:val="00AD1CBF"/>
    <w:rsid w:val="00AD22FE"/>
    <w:rsid w:val="00AD3007"/>
    <w:rsid w:val="00AD398D"/>
    <w:rsid w:val="00AD4381"/>
    <w:rsid w:val="00AD4D96"/>
    <w:rsid w:val="00AD53B1"/>
    <w:rsid w:val="00AD5D0E"/>
    <w:rsid w:val="00AD5E01"/>
    <w:rsid w:val="00AD60A1"/>
    <w:rsid w:val="00AD67EE"/>
    <w:rsid w:val="00AD6844"/>
    <w:rsid w:val="00AD6F38"/>
    <w:rsid w:val="00AE005A"/>
    <w:rsid w:val="00AE06CF"/>
    <w:rsid w:val="00AE13F4"/>
    <w:rsid w:val="00AE32DE"/>
    <w:rsid w:val="00AE38BD"/>
    <w:rsid w:val="00AE42D1"/>
    <w:rsid w:val="00AE43E0"/>
    <w:rsid w:val="00AE5177"/>
    <w:rsid w:val="00AE51E6"/>
    <w:rsid w:val="00AE5907"/>
    <w:rsid w:val="00AE7056"/>
    <w:rsid w:val="00AE794C"/>
    <w:rsid w:val="00AF012B"/>
    <w:rsid w:val="00AF0E4F"/>
    <w:rsid w:val="00AF1BD9"/>
    <w:rsid w:val="00AF1E9E"/>
    <w:rsid w:val="00AF2D5F"/>
    <w:rsid w:val="00AF2E49"/>
    <w:rsid w:val="00AF2EFA"/>
    <w:rsid w:val="00AF3311"/>
    <w:rsid w:val="00AF4528"/>
    <w:rsid w:val="00AF4DFC"/>
    <w:rsid w:val="00AF4E76"/>
    <w:rsid w:val="00AF50EB"/>
    <w:rsid w:val="00AF518A"/>
    <w:rsid w:val="00AF5671"/>
    <w:rsid w:val="00AF5CAD"/>
    <w:rsid w:val="00AF63A3"/>
    <w:rsid w:val="00AF646D"/>
    <w:rsid w:val="00AF72A1"/>
    <w:rsid w:val="00AF7AD5"/>
    <w:rsid w:val="00B0074D"/>
    <w:rsid w:val="00B01EFF"/>
    <w:rsid w:val="00B022F9"/>
    <w:rsid w:val="00B02611"/>
    <w:rsid w:val="00B0262E"/>
    <w:rsid w:val="00B02A47"/>
    <w:rsid w:val="00B02B0A"/>
    <w:rsid w:val="00B03586"/>
    <w:rsid w:val="00B0387A"/>
    <w:rsid w:val="00B03F36"/>
    <w:rsid w:val="00B04197"/>
    <w:rsid w:val="00B0491D"/>
    <w:rsid w:val="00B0567E"/>
    <w:rsid w:val="00B056F7"/>
    <w:rsid w:val="00B058C3"/>
    <w:rsid w:val="00B06134"/>
    <w:rsid w:val="00B11A1D"/>
    <w:rsid w:val="00B11A4F"/>
    <w:rsid w:val="00B12041"/>
    <w:rsid w:val="00B12377"/>
    <w:rsid w:val="00B12D74"/>
    <w:rsid w:val="00B12DD8"/>
    <w:rsid w:val="00B13524"/>
    <w:rsid w:val="00B13BAB"/>
    <w:rsid w:val="00B150DB"/>
    <w:rsid w:val="00B15AF7"/>
    <w:rsid w:val="00B17255"/>
    <w:rsid w:val="00B178B5"/>
    <w:rsid w:val="00B17BCA"/>
    <w:rsid w:val="00B206C8"/>
    <w:rsid w:val="00B2183F"/>
    <w:rsid w:val="00B21D6E"/>
    <w:rsid w:val="00B22281"/>
    <w:rsid w:val="00B22D45"/>
    <w:rsid w:val="00B233AB"/>
    <w:rsid w:val="00B23436"/>
    <w:rsid w:val="00B23586"/>
    <w:rsid w:val="00B240AA"/>
    <w:rsid w:val="00B2470E"/>
    <w:rsid w:val="00B269B9"/>
    <w:rsid w:val="00B26E23"/>
    <w:rsid w:val="00B27065"/>
    <w:rsid w:val="00B27726"/>
    <w:rsid w:val="00B277B6"/>
    <w:rsid w:val="00B27E2D"/>
    <w:rsid w:val="00B31DAA"/>
    <w:rsid w:val="00B3296C"/>
    <w:rsid w:val="00B32D90"/>
    <w:rsid w:val="00B32F23"/>
    <w:rsid w:val="00B33A6C"/>
    <w:rsid w:val="00B34C1F"/>
    <w:rsid w:val="00B34EF1"/>
    <w:rsid w:val="00B34F64"/>
    <w:rsid w:val="00B35581"/>
    <w:rsid w:val="00B36C36"/>
    <w:rsid w:val="00B36DF3"/>
    <w:rsid w:val="00B374C0"/>
    <w:rsid w:val="00B40405"/>
    <w:rsid w:val="00B40F65"/>
    <w:rsid w:val="00B41707"/>
    <w:rsid w:val="00B41B81"/>
    <w:rsid w:val="00B41CFF"/>
    <w:rsid w:val="00B4235C"/>
    <w:rsid w:val="00B42A0F"/>
    <w:rsid w:val="00B42B0D"/>
    <w:rsid w:val="00B42EAC"/>
    <w:rsid w:val="00B437AD"/>
    <w:rsid w:val="00B4429E"/>
    <w:rsid w:val="00B44EFF"/>
    <w:rsid w:val="00B45503"/>
    <w:rsid w:val="00B45575"/>
    <w:rsid w:val="00B45DCB"/>
    <w:rsid w:val="00B47ACA"/>
    <w:rsid w:val="00B47FD3"/>
    <w:rsid w:val="00B5103C"/>
    <w:rsid w:val="00B5136A"/>
    <w:rsid w:val="00B514BC"/>
    <w:rsid w:val="00B514FC"/>
    <w:rsid w:val="00B52F9D"/>
    <w:rsid w:val="00B53E98"/>
    <w:rsid w:val="00B54C35"/>
    <w:rsid w:val="00B55238"/>
    <w:rsid w:val="00B55902"/>
    <w:rsid w:val="00B56263"/>
    <w:rsid w:val="00B56510"/>
    <w:rsid w:val="00B565FC"/>
    <w:rsid w:val="00B56CFA"/>
    <w:rsid w:val="00B57185"/>
    <w:rsid w:val="00B572CB"/>
    <w:rsid w:val="00B574F2"/>
    <w:rsid w:val="00B6049C"/>
    <w:rsid w:val="00B604E8"/>
    <w:rsid w:val="00B60FB7"/>
    <w:rsid w:val="00B612CB"/>
    <w:rsid w:val="00B6133A"/>
    <w:rsid w:val="00B61AE0"/>
    <w:rsid w:val="00B61AFE"/>
    <w:rsid w:val="00B61D49"/>
    <w:rsid w:val="00B61E48"/>
    <w:rsid w:val="00B61F53"/>
    <w:rsid w:val="00B62922"/>
    <w:rsid w:val="00B62E78"/>
    <w:rsid w:val="00B62EF8"/>
    <w:rsid w:val="00B634C4"/>
    <w:rsid w:val="00B63F30"/>
    <w:rsid w:val="00B64196"/>
    <w:rsid w:val="00B64463"/>
    <w:rsid w:val="00B6447F"/>
    <w:rsid w:val="00B64EC5"/>
    <w:rsid w:val="00B6520A"/>
    <w:rsid w:val="00B65268"/>
    <w:rsid w:val="00B659B0"/>
    <w:rsid w:val="00B66F11"/>
    <w:rsid w:val="00B67AC0"/>
    <w:rsid w:val="00B703C9"/>
    <w:rsid w:val="00B71441"/>
    <w:rsid w:val="00B716AC"/>
    <w:rsid w:val="00B717E1"/>
    <w:rsid w:val="00B718C5"/>
    <w:rsid w:val="00B72A1E"/>
    <w:rsid w:val="00B72AD1"/>
    <w:rsid w:val="00B72CB4"/>
    <w:rsid w:val="00B73631"/>
    <w:rsid w:val="00B73EAE"/>
    <w:rsid w:val="00B73F43"/>
    <w:rsid w:val="00B74798"/>
    <w:rsid w:val="00B74EE5"/>
    <w:rsid w:val="00B75493"/>
    <w:rsid w:val="00B758B3"/>
    <w:rsid w:val="00B7598E"/>
    <w:rsid w:val="00B75D37"/>
    <w:rsid w:val="00B764DB"/>
    <w:rsid w:val="00B769CC"/>
    <w:rsid w:val="00B774B7"/>
    <w:rsid w:val="00B8035D"/>
    <w:rsid w:val="00B808D5"/>
    <w:rsid w:val="00B80BBB"/>
    <w:rsid w:val="00B80F81"/>
    <w:rsid w:val="00B81258"/>
    <w:rsid w:val="00B813F1"/>
    <w:rsid w:val="00B8276E"/>
    <w:rsid w:val="00B82910"/>
    <w:rsid w:val="00B837EB"/>
    <w:rsid w:val="00B83DA6"/>
    <w:rsid w:val="00B84815"/>
    <w:rsid w:val="00B84949"/>
    <w:rsid w:val="00B85EA7"/>
    <w:rsid w:val="00B867D9"/>
    <w:rsid w:val="00B86C96"/>
    <w:rsid w:val="00B87462"/>
    <w:rsid w:val="00B87CF4"/>
    <w:rsid w:val="00B9044B"/>
    <w:rsid w:val="00B90B89"/>
    <w:rsid w:val="00B90CE8"/>
    <w:rsid w:val="00B910D6"/>
    <w:rsid w:val="00B918BE"/>
    <w:rsid w:val="00B922FF"/>
    <w:rsid w:val="00B92419"/>
    <w:rsid w:val="00B92482"/>
    <w:rsid w:val="00B93004"/>
    <w:rsid w:val="00B931FF"/>
    <w:rsid w:val="00B93CBC"/>
    <w:rsid w:val="00B93FF4"/>
    <w:rsid w:val="00B94A3E"/>
    <w:rsid w:val="00B94E0F"/>
    <w:rsid w:val="00B95F1A"/>
    <w:rsid w:val="00BA123B"/>
    <w:rsid w:val="00BA13D5"/>
    <w:rsid w:val="00BA14D5"/>
    <w:rsid w:val="00BA184B"/>
    <w:rsid w:val="00BA1A1C"/>
    <w:rsid w:val="00BA24F8"/>
    <w:rsid w:val="00BA2E99"/>
    <w:rsid w:val="00BA2EFE"/>
    <w:rsid w:val="00BA3B38"/>
    <w:rsid w:val="00BA3E03"/>
    <w:rsid w:val="00BA42DB"/>
    <w:rsid w:val="00BA449F"/>
    <w:rsid w:val="00BA528C"/>
    <w:rsid w:val="00BA5D09"/>
    <w:rsid w:val="00BA6B9D"/>
    <w:rsid w:val="00BA6CC1"/>
    <w:rsid w:val="00BA77D7"/>
    <w:rsid w:val="00BB004D"/>
    <w:rsid w:val="00BB089B"/>
    <w:rsid w:val="00BB0B6D"/>
    <w:rsid w:val="00BB0CEF"/>
    <w:rsid w:val="00BB1155"/>
    <w:rsid w:val="00BB1890"/>
    <w:rsid w:val="00BB3A69"/>
    <w:rsid w:val="00BB3CE5"/>
    <w:rsid w:val="00BB3E76"/>
    <w:rsid w:val="00BB413E"/>
    <w:rsid w:val="00BB470A"/>
    <w:rsid w:val="00BB49E6"/>
    <w:rsid w:val="00BB4CBF"/>
    <w:rsid w:val="00BB563D"/>
    <w:rsid w:val="00BB58E2"/>
    <w:rsid w:val="00BB6CAF"/>
    <w:rsid w:val="00BB7917"/>
    <w:rsid w:val="00BB7B0C"/>
    <w:rsid w:val="00BB7BFD"/>
    <w:rsid w:val="00BC013B"/>
    <w:rsid w:val="00BC0D54"/>
    <w:rsid w:val="00BC117B"/>
    <w:rsid w:val="00BC26F0"/>
    <w:rsid w:val="00BC29F4"/>
    <w:rsid w:val="00BC3A59"/>
    <w:rsid w:val="00BC4C05"/>
    <w:rsid w:val="00BC4CB6"/>
    <w:rsid w:val="00BC5028"/>
    <w:rsid w:val="00BC5A8D"/>
    <w:rsid w:val="00BC5E42"/>
    <w:rsid w:val="00BC6863"/>
    <w:rsid w:val="00BC7123"/>
    <w:rsid w:val="00BC77A7"/>
    <w:rsid w:val="00BC7D15"/>
    <w:rsid w:val="00BD199B"/>
    <w:rsid w:val="00BD26F1"/>
    <w:rsid w:val="00BD3D7A"/>
    <w:rsid w:val="00BD4691"/>
    <w:rsid w:val="00BD4D42"/>
    <w:rsid w:val="00BD59FA"/>
    <w:rsid w:val="00BD5BB9"/>
    <w:rsid w:val="00BD6185"/>
    <w:rsid w:val="00BD65A5"/>
    <w:rsid w:val="00BD6820"/>
    <w:rsid w:val="00BD6C95"/>
    <w:rsid w:val="00BD7407"/>
    <w:rsid w:val="00BD7AAE"/>
    <w:rsid w:val="00BD7DE3"/>
    <w:rsid w:val="00BE0A28"/>
    <w:rsid w:val="00BE0A2E"/>
    <w:rsid w:val="00BE0B07"/>
    <w:rsid w:val="00BE1674"/>
    <w:rsid w:val="00BE1956"/>
    <w:rsid w:val="00BE1E49"/>
    <w:rsid w:val="00BE3CA3"/>
    <w:rsid w:val="00BE3F47"/>
    <w:rsid w:val="00BE40F8"/>
    <w:rsid w:val="00BE4367"/>
    <w:rsid w:val="00BE57E6"/>
    <w:rsid w:val="00BE588E"/>
    <w:rsid w:val="00BE5906"/>
    <w:rsid w:val="00BE59A2"/>
    <w:rsid w:val="00BF182D"/>
    <w:rsid w:val="00BF1F48"/>
    <w:rsid w:val="00BF2234"/>
    <w:rsid w:val="00BF2468"/>
    <w:rsid w:val="00BF3449"/>
    <w:rsid w:val="00BF3491"/>
    <w:rsid w:val="00BF35FA"/>
    <w:rsid w:val="00BF3E3F"/>
    <w:rsid w:val="00BF3F5F"/>
    <w:rsid w:val="00BF4537"/>
    <w:rsid w:val="00BF4E64"/>
    <w:rsid w:val="00BF4F2E"/>
    <w:rsid w:val="00BF5718"/>
    <w:rsid w:val="00BF62AE"/>
    <w:rsid w:val="00BF6471"/>
    <w:rsid w:val="00BF65CE"/>
    <w:rsid w:val="00BF6DF0"/>
    <w:rsid w:val="00BF7495"/>
    <w:rsid w:val="00C00143"/>
    <w:rsid w:val="00C012C6"/>
    <w:rsid w:val="00C014E4"/>
    <w:rsid w:val="00C017D3"/>
    <w:rsid w:val="00C0199C"/>
    <w:rsid w:val="00C02A34"/>
    <w:rsid w:val="00C0322A"/>
    <w:rsid w:val="00C032AD"/>
    <w:rsid w:val="00C035EB"/>
    <w:rsid w:val="00C03B99"/>
    <w:rsid w:val="00C0485B"/>
    <w:rsid w:val="00C04C4C"/>
    <w:rsid w:val="00C05408"/>
    <w:rsid w:val="00C061E4"/>
    <w:rsid w:val="00C069E5"/>
    <w:rsid w:val="00C06E6F"/>
    <w:rsid w:val="00C07637"/>
    <w:rsid w:val="00C0794F"/>
    <w:rsid w:val="00C07ED5"/>
    <w:rsid w:val="00C10087"/>
    <w:rsid w:val="00C10857"/>
    <w:rsid w:val="00C10BA9"/>
    <w:rsid w:val="00C11581"/>
    <w:rsid w:val="00C12820"/>
    <w:rsid w:val="00C12CAA"/>
    <w:rsid w:val="00C1309B"/>
    <w:rsid w:val="00C143E3"/>
    <w:rsid w:val="00C143F1"/>
    <w:rsid w:val="00C154D7"/>
    <w:rsid w:val="00C15E30"/>
    <w:rsid w:val="00C1626F"/>
    <w:rsid w:val="00C1636E"/>
    <w:rsid w:val="00C20C5C"/>
    <w:rsid w:val="00C2153F"/>
    <w:rsid w:val="00C215F5"/>
    <w:rsid w:val="00C2199D"/>
    <w:rsid w:val="00C21AC8"/>
    <w:rsid w:val="00C21E73"/>
    <w:rsid w:val="00C2444F"/>
    <w:rsid w:val="00C2478A"/>
    <w:rsid w:val="00C24FB8"/>
    <w:rsid w:val="00C26FDE"/>
    <w:rsid w:val="00C308B8"/>
    <w:rsid w:val="00C31A00"/>
    <w:rsid w:val="00C320D9"/>
    <w:rsid w:val="00C326E4"/>
    <w:rsid w:val="00C32F70"/>
    <w:rsid w:val="00C33418"/>
    <w:rsid w:val="00C336C8"/>
    <w:rsid w:val="00C341C2"/>
    <w:rsid w:val="00C34488"/>
    <w:rsid w:val="00C347CA"/>
    <w:rsid w:val="00C34CDE"/>
    <w:rsid w:val="00C350BE"/>
    <w:rsid w:val="00C369C3"/>
    <w:rsid w:val="00C36C19"/>
    <w:rsid w:val="00C374A7"/>
    <w:rsid w:val="00C3792A"/>
    <w:rsid w:val="00C402DC"/>
    <w:rsid w:val="00C407F4"/>
    <w:rsid w:val="00C40A3C"/>
    <w:rsid w:val="00C40AC0"/>
    <w:rsid w:val="00C40FFC"/>
    <w:rsid w:val="00C4114C"/>
    <w:rsid w:val="00C418CB"/>
    <w:rsid w:val="00C41CA1"/>
    <w:rsid w:val="00C41DD0"/>
    <w:rsid w:val="00C41F4F"/>
    <w:rsid w:val="00C422ED"/>
    <w:rsid w:val="00C42677"/>
    <w:rsid w:val="00C42FBF"/>
    <w:rsid w:val="00C432FB"/>
    <w:rsid w:val="00C43514"/>
    <w:rsid w:val="00C44113"/>
    <w:rsid w:val="00C44B80"/>
    <w:rsid w:val="00C45210"/>
    <w:rsid w:val="00C458B6"/>
    <w:rsid w:val="00C46028"/>
    <w:rsid w:val="00C46D4E"/>
    <w:rsid w:val="00C47EEF"/>
    <w:rsid w:val="00C50036"/>
    <w:rsid w:val="00C50221"/>
    <w:rsid w:val="00C5107E"/>
    <w:rsid w:val="00C51486"/>
    <w:rsid w:val="00C51CC0"/>
    <w:rsid w:val="00C51E86"/>
    <w:rsid w:val="00C523D7"/>
    <w:rsid w:val="00C52A57"/>
    <w:rsid w:val="00C5334F"/>
    <w:rsid w:val="00C53581"/>
    <w:rsid w:val="00C5361B"/>
    <w:rsid w:val="00C53940"/>
    <w:rsid w:val="00C53E9E"/>
    <w:rsid w:val="00C543AB"/>
    <w:rsid w:val="00C5471B"/>
    <w:rsid w:val="00C55B31"/>
    <w:rsid w:val="00C561AA"/>
    <w:rsid w:val="00C5650B"/>
    <w:rsid w:val="00C56575"/>
    <w:rsid w:val="00C567FD"/>
    <w:rsid w:val="00C57529"/>
    <w:rsid w:val="00C5752E"/>
    <w:rsid w:val="00C57E55"/>
    <w:rsid w:val="00C60AF7"/>
    <w:rsid w:val="00C615DC"/>
    <w:rsid w:val="00C6278B"/>
    <w:rsid w:val="00C62ADB"/>
    <w:rsid w:val="00C63B0B"/>
    <w:rsid w:val="00C65270"/>
    <w:rsid w:val="00C653B2"/>
    <w:rsid w:val="00C6544E"/>
    <w:rsid w:val="00C65B51"/>
    <w:rsid w:val="00C65E99"/>
    <w:rsid w:val="00C66371"/>
    <w:rsid w:val="00C66D15"/>
    <w:rsid w:val="00C66FD5"/>
    <w:rsid w:val="00C67299"/>
    <w:rsid w:val="00C704DE"/>
    <w:rsid w:val="00C70F8E"/>
    <w:rsid w:val="00C71B28"/>
    <w:rsid w:val="00C71D16"/>
    <w:rsid w:val="00C71F2D"/>
    <w:rsid w:val="00C7201D"/>
    <w:rsid w:val="00C73350"/>
    <w:rsid w:val="00C73724"/>
    <w:rsid w:val="00C739FA"/>
    <w:rsid w:val="00C73BF7"/>
    <w:rsid w:val="00C73DA2"/>
    <w:rsid w:val="00C745C8"/>
    <w:rsid w:val="00C76D06"/>
    <w:rsid w:val="00C76D4B"/>
    <w:rsid w:val="00C77F30"/>
    <w:rsid w:val="00C80281"/>
    <w:rsid w:val="00C80440"/>
    <w:rsid w:val="00C804A6"/>
    <w:rsid w:val="00C806D5"/>
    <w:rsid w:val="00C80938"/>
    <w:rsid w:val="00C81794"/>
    <w:rsid w:val="00C8194B"/>
    <w:rsid w:val="00C81957"/>
    <w:rsid w:val="00C822AB"/>
    <w:rsid w:val="00C82A8F"/>
    <w:rsid w:val="00C83638"/>
    <w:rsid w:val="00C83C1B"/>
    <w:rsid w:val="00C842B0"/>
    <w:rsid w:val="00C8478B"/>
    <w:rsid w:val="00C85D5F"/>
    <w:rsid w:val="00C86000"/>
    <w:rsid w:val="00C871F4"/>
    <w:rsid w:val="00C87C78"/>
    <w:rsid w:val="00C9045E"/>
    <w:rsid w:val="00C90B36"/>
    <w:rsid w:val="00C91063"/>
    <w:rsid w:val="00C911FB"/>
    <w:rsid w:val="00C91401"/>
    <w:rsid w:val="00C92EB8"/>
    <w:rsid w:val="00C93141"/>
    <w:rsid w:val="00C9589C"/>
    <w:rsid w:val="00C95CC7"/>
    <w:rsid w:val="00C95E93"/>
    <w:rsid w:val="00C967F8"/>
    <w:rsid w:val="00C97071"/>
    <w:rsid w:val="00C97D45"/>
    <w:rsid w:val="00CA0578"/>
    <w:rsid w:val="00CA166B"/>
    <w:rsid w:val="00CA253A"/>
    <w:rsid w:val="00CA26EA"/>
    <w:rsid w:val="00CA35B1"/>
    <w:rsid w:val="00CA43E4"/>
    <w:rsid w:val="00CA4B4A"/>
    <w:rsid w:val="00CA5200"/>
    <w:rsid w:val="00CA5D96"/>
    <w:rsid w:val="00CA6C93"/>
    <w:rsid w:val="00CA703F"/>
    <w:rsid w:val="00CA7DC4"/>
    <w:rsid w:val="00CB039F"/>
    <w:rsid w:val="00CB0479"/>
    <w:rsid w:val="00CB051F"/>
    <w:rsid w:val="00CB09E0"/>
    <w:rsid w:val="00CB12FA"/>
    <w:rsid w:val="00CB1AFA"/>
    <w:rsid w:val="00CB23D7"/>
    <w:rsid w:val="00CB35A5"/>
    <w:rsid w:val="00CB3A6F"/>
    <w:rsid w:val="00CB471E"/>
    <w:rsid w:val="00CB4B38"/>
    <w:rsid w:val="00CB6D06"/>
    <w:rsid w:val="00CB6E5C"/>
    <w:rsid w:val="00CB7178"/>
    <w:rsid w:val="00CC03B1"/>
    <w:rsid w:val="00CC103A"/>
    <w:rsid w:val="00CC1097"/>
    <w:rsid w:val="00CC13B6"/>
    <w:rsid w:val="00CC1C39"/>
    <w:rsid w:val="00CC2D9A"/>
    <w:rsid w:val="00CC32C2"/>
    <w:rsid w:val="00CC3383"/>
    <w:rsid w:val="00CC3EC0"/>
    <w:rsid w:val="00CC4105"/>
    <w:rsid w:val="00CC4502"/>
    <w:rsid w:val="00CC4973"/>
    <w:rsid w:val="00CC4BBA"/>
    <w:rsid w:val="00CC5027"/>
    <w:rsid w:val="00CC5A6D"/>
    <w:rsid w:val="00CC6080"/>
    <w:rsid w:val="00CC76D7"/>
    <w:rsid w:val="00CC7767"/>
    <w:rsid w:val="00CC7D80"/>
    <w:rsid w:val="00CD14B3"/>
    <w:rsid w:val="00CD1541"/>
    <w:rsid w:val="00CD157A"/>
    <w:rsid w:val="00CD1AFF"/>
    <w:rsid w:val="00CD2DE1"/>
    <w:rsid w:val="00CD2E16"/>
    <w:rsid w:val="00CD3CD7"/>
    <w:rsid w:val="00CD52C9"/>
    <w:rsid w:val="00CD5576"/>
    <w:rsid w:val="00CD57CD"/>
    <w:rsid w:val="00CD59A9"/>
    <w:rsid w:val="00CD6FAB"/>
    <w:rsid w:val="00CD785F"/>
    <w:rsid w:val="00CD7E04"/>
    <w:rsid w:val="00CE08A7"/>
    <w:rsid w:val="00CE0E92"/>
    <w:rsid w:val="00CE0F49"/>
    <w:rsid w:val="00CE151F"/>
    <w:rsid w:val="00CE2548"/>
    <w:rsid w:val="00CE3112"/>
    <w:rsid w:val="00CE327C"/>
    <w:rsid w:val="00CE3E52"/>
    <w:rsid w:val="00CE3E7D"/>
    <w:rsid w:val="00CE4C09"/>
    <w:rsid w:val="00CE5454"/>
    <w:rsid w:val="00CE5477"/>
    <w:rsid w:val="00CE7164"/>
    <w:rsid w:val="00CE720F"/>
    <w:rsid w:val="00CE72F1"/>
    <w:rsid w:val="00CE797E"/>
    <w:rsid w:val="00CE79D2"/>
    <w:rsid w:val="00CF076B"/>
    <w:rsid w:val="00CF213F"/>
    <w:rsid w:val="00CF22E5"/>
    <w:rsid w:val="00CF239F"/>
    <w:rsid w:val="00CF283F"/>
    <w:rsid w:val="00CF3149"/>
    <w:rsid w:val="00CF367A"/>
    <w:rsid w:val="00CF667B"/>
    <w:rsid w:val="00CF6797"/>
    <w:rsid w:val="00CF747E"/>
    <w:rsid w:val="00CF76D2"/>
    <w:rsid w:val="00CF79CA"/>
    <w:rsid w:val="00CF7D9D"/>
    <w:rsid w:val="00D003E3"/>
    <w:rsid w:val="00D02C58"/>
    <w:rsid w:val="00D03355"/>
    <w:rsid w:val="00D03576"/>
    <w:rsid w:val="00D03689"/>
    <w:rsid w:val="00D04028"/>
    <w:rsid w:val="00D044A9"/>
    <w:rsid w:val="00D04A17"/>
    <w:rsid w:val="00D04BAD"/>
    <w:rsid w:val="00D04C80"/>
    <w:rsid w:val="00D04F34"/>
    <w:rsid w:val="00D04F47"/>
    <w:rsid w:val="00D05382"/>
    <w:rsid w:val="00D056C7"/>
    <w:rsid w:val="00D05DF2"/>
    <w:rsid w:val="00D05E8A"/>
    <w:rsid w:val="00D06341"/>
    <w:rsid w:val="00D06809"/>
    <w:rsid w:val="00D06D03"/>
    <w:rsid w:val="00D0758E"/>
    <w:rsid w:val="00D077C1"/>
    <w:rsid w:val="00D07BC1"/>
    <w:rsid w:val="00D07BD9"/>
    <w:rsid w:val="00D10C66"/>
    <w:rsid w:val="00D11D0E"/>
    <w:rsid w:val="00D121FF"/>
    <w:rsid w:val="00D1256B"/>
    <w:rsid w:val="00D13671"/>
    <w:rsid w:val="00D138F9"/>
    <w:rsid w:val="00D147DF"/>
    <w:rsid w:val="00D16F77"/>
    <w:rsid w:val="00D17347"/>
    <w:rsid w:val="00D175CF"/>
    <w:rsid w:val="00D17EAF"/>
    <w:rsid w:val="00D2044A"/>
    <w:rsid w:val="00D21594"/>
    <w:rsid w:val="00D21A0B"/>
    <w:rsid w:val="00D21C10"/>
    <w:rsid w:val="00D224DA"/>
    <w:rsid w:val="00D24DFB"/>
    <w:rsid w:val="00D25179"/>
    <w:rsid w:val="00D256F6"/>
    <w:rsid w:val="00D2595D"/>
    <w:rsid w:val="00D26335"/>
    <w:rsid w:val="00D27227"/>
    <w:rsid w:val="00D30386"/>
    <w:rsid w:val="00D31060"/>
    <w:rsid w:val="00D32226"/>
    <w:rsid w:val="00D325CA"/>
    <w:rsid w:val="00D32868"/>
    <w:rsid w:val="00D32D74"/>
    <w:rsid w:val="00D333A7"/>
    <w:rsid w:val="00D335E2"/>
    <w:rsid w:val="00D33A71"/>
    <w:rsid w:val="00D33D63"/>
    <w:rsid w:val="00D33F2D"/>
    <w:rsid w:val="00D34660"/>
    <w:rsid w:val="00D34F64"/>
    <w:rsid w:val="00D353C5"/>
    <w:rsid w:val="00D35A22"/>
    <w:rsid w:val="00D35E20"/>
    <w:rsid w:val="00D3644A"/>
    <w:rsid w:val="00D36B75"/>
    <w:rsid w:val="00D378DD"/>
    <w:rsid w:val="00D41575"/>
    <w:rsid w:val="00D4261C"/>
    <w:rsid w:val="00D42757"/>
    <w:rsid w:val="00D42ABB"/>
    <w:rsid w:val="00D4387F"/>
    <w:rsid w:val="00D43D49"/>
    <w:rsid w:val="00D4424C"/>
    <w:rsid w:val="00D44379"/>
    <w:rsid w:val="00D44FCB"/>
    <w:rsid w:val="00D45B12"/>
    <w:rsid w:val="00D46216"/>
    <w:rsid w:val="00D50346"/>
    <w:rsid w:val="00D504CE"/>
    <w:rsid w:val="00D50CDE"/>
    <w:rsid w:val="00D51922"/>
    <w:rsid w:val="00D51A40"/>
    <w:rsid w:val="00D5242F"/>
    <w:rsid w:val="00D52B43"/>
    <w:rsid w:val="00D53F1D"/>
    <w:rsid w:val="00D556DB"/>
    <w:rsid w:val="00D55D9C"/>
    <w:rsid w:val="00D56589"/>
    <w:rsid w:val="00D5720A"/>
    <w:rsid w:val="00D57F62"/>
    <w:rsid w:val="00D604B7"/>
    <w:rsid w:val="00D60556"/>
    <w:rsid w:val="00D60687"/>
    <w:rsid w:val="00D61BB2"/>
    <w:rsid w:val="00D62073"/>
    <w:rsid w:val="00D626FB"/>
    <w:rsid w:val="00D62AD3"/>
    <w:rsid w:val="00D630F5"/>
    <w:rsid w:val="00D63280"/>
    <w:rsid w:val="00D6427C"/>
    <w:rsid w:val="00D64A10"/>
    <w:rsid w:val="00D65BE2"/>
    <w:rsid w:val="00D65CFF"/>
    <w:rsid w:val="00D671A2"/>
    <w:rsid w:val="00D672D4"/>
    <w:rsid w:val="00D674C6"/>
    <w:rsid w:val="00D67AF5"/>
    <w:rsid w:val="00D702C8"/>
    <w:rsid w:val="00D7060F"/>
    <w:rsid w:val="00D70C54"/>
    <w:rsid w:val="00D71A60"/>
    <w:rsid w:val="00D7347A"/>
    <w:rsid w:val="00D73E03"/>
    <w:rsid w:val="00D74034"/>
    <w:rsid w:val="00D7456B"/>
    <w:rsid w:val="00D74C94"/>
    <w:rsid w:val="00D75AE8"/>
    <w:rsid w:val="00D75B03"/>
    <w:rsid w:val="00D76178"/>
    <w:rsid w:val="00D76505"/>
    <w:rsid w:val="00D76DC9"/>
    <w:rsid w:val="00D76E3C"/>
    <w:rsid w:val="00D76F73"/>
    <w:rsid w:val="00D77ADD"/>
    <w:rsid w:val="00D77B43"/>
    <w:rsid w:val="00D77B81"/>
    <w:rsid w:val="00D77CC0"/>
    <w:rsid w:val="00D818CE"/>
    <w:rsid w:val="00D81B4C"/>
    <w:rsid w:val="00D81EA6"/>
    <w:rsid w:val="00D82F42"/>
    <w:rsid w:val="00D842AC"/>
    <w:rsid w:val="00D8456A"/>
    <w:rsid w:val="00D85183"/>
    <w:rsid w:val="00D85458"/>
    <w:rsid w:val="00D870FF"/>
    <w:rsid w:val="00D871D8"/>
    <w:rsid w:val="00D87989"/>
    <w:rsid w:val="00D87A7A"/>
    <w:rsid w:val="00D87C7E"/>
    <w:rsid w:val="00D90282"/>
    <w:rsid w:val="00D90FE9"/>
    <w:rsid w:val="00D915B9"/>
    <w:rsid w:val="00D91614"/>
    <w:rsid w:val="00D91DF2"/>
    <w:rsid w:val="00D91FF1"/>
    <w:rsid w:val="00D921AC"/>
    <w:rsid w:val="00D93C3C"/>
    <w:rsid w:val="00D94C03"/>
    <w:rsid w:val="00D958BA"/>
    <w:rsid w:val="00D9639D"/>
    <w:rsid w:val="00D9667C"/>
    <w:rsid w:val="00D96CBA"/>
    <w:rsid w:val="00DA1422"/>
    <w:rsid w:val="00DA2BD8"/>
    <w:rsid w:val="00DA343C"/>
    <w:rsid w:val="00DA366B"/>
    <w:rsid w:val="00DA45FF"/>
    <w:rsid w:val="00DA6471"/>
    <w:rsid w:val="00DA745A"/>
    <w:rsid w:val="00DA7E3A"/>
    <w:rsid w:val="00DB094C"/>
    <w:rsid w:val="00DB14BA"/>
    <w:rsid w:val="00DB172A"/>
    <w:rsid w:val="00DB1A02"/>
    <w:rsid w:val="00DB2546"/>
    <w:rsid w:val="00DB2A5D"/>
    <w:rsid w:val="00DB2E63"/>
    <w:rsid w:val="00DB5136"/>
    <w:rsid w:val="00DB59B5"/>
    <w:rsid w:val="00DB7385"/>
    <w:rsid w:val="00DB7735"/>
    <w:rsid w:val="00DB7EFC"/>
    <w:rsid w:val="00DB7F99"/>
    <w:rsid w:val="00DC08C6"/>
    <w:rsid w:val="00DC0A1A"/>
    <w:rsid w:val="00DC18D3"/>
    <w:rsid w:val="00DC1E31"/>
    <w:rsid w:val="00DC210D"/>
    <w:rsid w:val="00DC27F9"/>
    <w:rsid w:val="00DC4145"/>
    <w:rsid w:val="00DC4B6D"/>
    <w:rsid w:val="00DC5852"/>
    <w:rsid w:val="00DC5AB6"/>
    <w:rsid w:val="00DC6E92"/>
    <w:rsid w:val="00DC70A9"/>
    <w:rsid w:val="00DC7187"/>
    <w:rsid w:val="00DC7204"/>
    <w:rsid w:val="00DC72C3"/>
    <w:rsid w:val="00DC7F27"/>
    <w:rsid w:val="00DD03BD"/>
    <w:rsid w:val="00DD0585"/>
    <w:rsid w:val="00DD06D3"/>
    <w:rsid w:val="00DD172F"/>
    <w:rsid w:val="00DD1C8C"/>
    <w:rsid w:val="00DD1DE0"/>
    <w:rsid w:val="00DD25B2"/>
    <w:rsid w:val="00DD2A5C"/>
    <w:rsid w:val="00DD2BC5"/>
    <w:rsid w:val="00DD3038"/>
    <w:rsid w:val="00DD320C"/>
    <w:rsid w:val="00DD3510"/>
    <w:rsid w:val="00DD3634"/>
    <w:rsid w:val="00DD3728"/>
    <w:rsid w:val="00DD3D4D"/>
    <w:rsid w:val="00DD3E0B"/>
    <w:rsid w:val="00DD4456"/>
    <w:rsid w:val="00DD50F6"/>
    <w:rsid w:val="00DD547F"/>
    <w:rsid w:val="00DD5CD9"/>
    <w:rsid w:val="00DD6AAC"/>
    <w:rsid w:val="00DD6C5A"/>
    <w:rsid w:val="00DD7780"/>
    <w:rsid w:val="00DE0575"/>
    <w:rsid w:val="00DE0C24"/>
    <w:rsid w:val="00DE0C95"/>
    <w:rsid w:val="00DE13CE"/>
    <w:rsid w:val="00DE165C"/>
    <w:rsid w:val="00DE17D4"/>
    <w:rsid w:val="00DE18B0"/>
    <w:rsid w:val="00DE1FEF"/>
    <w:rsid w:val="00DE2395"/>
    <w:rsid w:val="00DE36BB"/>
    <w:rsid w:val="00DE3DE3"/>
    <w:rsid w:val="00DE43E7"/>
    <w:rsid w:val="00DE5444"/>
    <w:rsid w:val="00DE5794"/>
    <w:rsid w:val="00DE5DCF"/>
    <w:rsid w:val="00DE6F74"/>
    <w:rsid w:val="00DE7B3A"/>
    <w:rsid w:val="00DF1152"/>
    <w:rsid w:val="00DF1B1A"/>
    <w:rsid w:val="00DF1EBD"/>
    <w:rsid w:val="00DF20AE"/>
    <w:rsid w:val="00DF2440"/>
    <w:rsid w:val="00DF2DE6"/>
    <w:rsid w:val="00DF329B"/>
    <w:rsid w:val="00DF3800"/>
    <w:rsid w:val="00DF4516"/>
    <w:rsid w:val="00DF567E"/>
    <w:rsid w:val="00DF76E9"/>
    <w:rsid w:val="00DF7FEB"/>
    <w:rsid w:val="00E0011A"/>
    <w:rsid w:val="00E008AA"/>
    <w:rsid w:val="00E008B9"/>
    <w:rsid w:val="00E014AE"/>
    <w:rsid w:val="00E02BCB"/>
    <w:rsid w:val="00E0305F"/>
    <w:rsid w:val="00E03250"/>
    <w:rsid w:val="00E039AD"/>
    <w:rsid w:val="00E06A3E"/>
    <w:rsid w:val="00E06E37"/>
    <w:rsid w:val="00E0744D"/>
    <w:rsid w:val="00E07670"/>
    <w:rsid w:val="00E07A31"/>
    <w:rsid w:val="00E115C9"/>
    <w:rsid w:val="00E12125"/>
    <w:rsid w:val="00E129C5"/>
    <w:rsid w:val="00E12C0D"/>
    <w:rsid w:val="00E134C9"/>
    <w:rsid w:val="00E13761"/>
    <w:rsid w:val="00E13BA7"/>
    <w:rsid w:val="00E13C29"/>
    <w:rsid w:val="00E13D19"/>
    <w:rsid w:val="00E14E07"/>
    <w:rsid w:val="00E14F6D"/>
    <w:rsid w:val="00E15FBC"/>
    <w:rsid w:val="00E174F8"/>
    <w:rsid w:val="00E17728"/>
    <w:rsid w:val="00E206EE"/>
    <w:rsid w:val="00E219FD"/>
    <w:rsid w:val="00E2310F"/>
    <w:rsid w:val="00E240F7"/>
    <w:rsid w:val="00E24BE7"/>
    <w:rsid w:val="00E25474"/>
    <w:rsid w:val="00E255F2"/>
    <w:rsid w:val="00E26C55"/>
    <w:rsid w:val="00E2742F"/>
    <w:rsid w:val="00E30365"/>
    <w:rsid w:val="00E310C6"/>
    <w:rsid w:val="00E32EBF"/>
    <w:rsid w:val="00E3338C"/>
    <w:rsid w:val="00E339AA"/>
    <w:rsid w:val="00E33DE2"/>
    <w:rsid w:val="00E34BA5"/>
    <w:rsid w:val="00E357A1"/>
    <w:rsid w:val="00E367B1"/>
    <w:rsid w:val="00E36CD9"/>
    <w:rsid w:val="00E4002E"/>
    <w:rsid w:val="00E40B4E"/>
    <w:rsid w:val="00E40BE7"/>
    <w:rsid w:val="00E40D35"/>
    <w:rsid w:val="00E410C5"/>
    <w:rsid w:val="00E418D7"/>
    <w:rsid w:val="00E41A33"/>
    <w:rsid w:val="00E420A8"/>
    <w:rsid w:val="00E42473"/>
    <w:rsid w:val="00E4253D"/>
    <w:rsid w:val="00E42807"/>
    <w:rsid w:val="00E42ABB"/>
    <w:rsid w:val="00E42E4B"/>
    <w:rsid w:val="00E43645"/>
    <w:rsid w:val="00E437EC"/>
    <w:rsid w:val="00E4597E"/>
    <w:rsid w:val="00E46206"/>
    <w:rsid w:val="00E4628C"/>
    <w:rsid w:val="00E50FD2"/>
    <w:rsid w:val="00E51C58"/>
    <w:rsid w:val="00E51C6C"/>
    <w:rsid w:val="00E52A0B"/>
    <w:rsid w:val="00E52C05"/>
    <w:rsid w:val="00E52F50"/>
    <w:rsid w:val="00E534A0"/>
    <w:rsid w:val="00E5430D"/>
    <w:rsid w:val="00E54791"/>
    <w:rsid w:val="00E54B22"/>
    <w:rsid w:val="00E54D5B"/>
    <w:rsid w:val="00E54F28"/>
    <w:rsid w:val="00E55B2B"/>
    <w:rsid w:val="00E564E6"/>
    <w:rsid w:val="00E60077"/>
    <w:rsid w:val="00E60F38"/>
    <w:rsid w:val="00E6131E"/>
    <w:rsid w:val="00E61C3B"/>
    <w:rsid w:val="00E6243F"/>
    <w:rsid w:val="00E6265B"/>
    <w:rsid w:val="00E62795"/>
    <w:rsid w:val="00E6350F"/>
    <w:rsid w:val="00E63D0E"/>
    <w:rsid w:val="00E64271"/>
    <w:rsid w:val="00E649E6"/>
    <w:rsid w:val="00E65DD8"/>
    <w:rsid w:val="00E66D02"/>
    <w:rsid w:val="00E67F89"/>
    <w:rsid w:val="00E71317"/>
    <w:rsid w:val="00E718E8"/>
    <w:rsid w:val="00E727D2"/>
    <w:rsid w:val="00E73834"/>
    <w:rsid w:val="00E73F09"/>
    <w:rsid w:val="00E73FB7"/>
    <w:rsid w:val="00E75522"/>
    <w:rsid w:val="00E7552E"/>
    <w:rsid w:val="00E77760"/>
    <w:rsid w:val="00E77A02"/>
    <w:rsid w:val="00E81C18"/>
    <w:rsid w:val="00E82136"/>
    <w:rsid w:val="00E83351"/>
    <w:rsid w:val="00E83B8E"/>
    <w:rsid w:val="00E847D8"/>
    <w:rsid w:val="00E850B4"/>
    <w:rsid w:val="00E869AE"/>
    <w:rsid w:val="00E86F2D"/>
    <w:rsid w:val="00E90860"/>
    <w:rsid w:val="00E91060"/>
    <w:rsid w:val="00E9165D"/>
    <w:rsid w:val="00E92087"/>
    <w:rsid w:val="00E921DA"/>
    <w:rsid w:val="00E92BD4"/>
    <w:rsid w:val="00E93F82"/>
    <w:rsid w:val="00E94810"/>
    <w:rsid w:val="00E94DF2"/>
    <w:rsid w:val="00E94F6E"/>
    <w:rsid w:val="00E95327"/>
    <w:rsid w:val="00E9543B"/>
    <w:rsid w:val="00E95BF5"/>
    <w:rsid w:val="00EA0ADE"/>
    <w:rsid w:val="00EA1F55"/>
    <w:rsid w:val="00EA2724"/>
    <w:rsid w:val="00EA2AB7"/>
    <w:rsid w:val="00EA3898"/>
    <w:rsid w:val="00EA3D31"/>
    <w:rsid w:val="00EA5424"/>
    <w:rsid w:val="00EA64CD"/>
    <w:rsid w:val="00EA6579"/>
    <w:rsid w:val="00EA6C11"/>
    <w:rsid w:val="00EA733F"/>
    <w:rsid w:val="00EA745E"/>
    <w:rsid w:val="00EA7694"/>
    <w:rsid w:val="00EA79C5"/>
    <w:rsid w:val="00EB009D"/>
    <w:rsid w:val="00EB033D"/>
    <w:rsid w:val="00EB0683"/>
    <w:rsid w:val="00EB070A"/>
    <w:rsid w:val="00EB157F"/>
    <w:rsid w:val="00EB1CD3"/>
    <w:rsid w:val="00EB26BF"/>
    <w:rsid w:val="00EB2842"/>
    <w:rsid w:val="00EB28A2"/>
    <w:rsid w:val="00EB2B32"/>
    <w:rsid w:val="00EB2CAE"/>
    <w:rsid w:val="00EB2D4D"/>
    <w:rsid w:val="00EB2D4E"/>
    <w:rsid w:val="00EB319E"/>
    <w:rsid w:val="00EB3359"/>
    <w:rsid w:val="00EB74E4"/>
    <w:rsid w:val="00EC01CB"/>
    <w:rsid w:val="00EC16C6"/>
    <w:rsid w:val="00EC2651"/>
    <w:rsid w:val="00EC2856"/>
    <w:rsid w:val="00EC39F7"/>
    <w:rsid w:val="00EC3B25"/>
    <w:rsid w:val="00EC4986"/>
    <w:rsid w:val="00EC4F0E"/>
    <w:rsid w:val="00EC6DE4"/>
    <w:rsid w:val="00EC6F97"/>
    <w:rsid w:val="00EC7263"/>
    <w:rsid w:val="00EC7659"/>
    <w:rsid w:val="00EC76B2"/>
    <w:rsid w:val="00EC7A78"/>
    <w:rsid w:val="00ED0EFD"/>
    <w:rsid w:val="00ED0FB8"/>
    <w:rsid w:val="00ED1D6F"/>
    <w:rsid w:val="00ED1F75"/>
    <w:rsid w:val="00ED3F38"/>
    <w:rsid w:val="00ED3F3D"/>
    <w:rsid w:val="00ED4702"/>
    <w:rsid w:val="00ED49A7"/>
    <w:rsid w:val="00ED4AA4"/>
    <w:rsid w:val="00ED55F7"/>
    <w:rsid w:val="00ED5EE7"/>
    <w:rsid w:val="00ED6B19"/>
    <w:rsid w:val="00ED7195"/>
    <w:rsid w:val="00ED7214"/>
    <w:rsid w:val="00ED7B55"/>
    <w:rsid w:val="00ED7BC4"/>
    <w:rsid w:val="00EE03C7"/>
    <w:rsid w:val="00EE0F34"/>
    <w:rsid w:val="00EE13DA"/>
    <w:rsid w:val="00EE1FF9"/>
    <w:rsid w:val="00EE2235"/>
    <w:rsid w:val="00EE2433"/>
    <w:rsid w:val="00EE2ECB"/>
    <w:rsid w:val="00EE2FE0"/>
    <w:rsid w:val="00EE38F9"/>
    <w:rsid w:val="00EE3EB4"/>
    <w:rsid w:val="00EE4588"/>
    <w:rsid w:val="00EE49CD"/>
    <w:rsid w:val="00EE4B9B"/>
    <w:rsid w:val="00EE4D87"/>
    <w:rsid w:val="00EE5782"/>
    <w:rsid w:val="00EE5A9D"/>
    <w:rsid w:val="00EE5DB2"/>
    <w:rsid w:val="00EE6DDA"/>
    <w:rsid w:val="00EE7D01"/>
    <w:rsid w:val="00EF045A"/>
    <w:rsid w:val="00EF07A8"/>
    <w:rsid w:val="00EF199F"/>
    <w:rsid w:val="00EF269A"/>
    <w:rsid w:val="00EF27A7"/>
    <w:rsid w:val="00EF384C"/>
    <w:rsid w:val="00EF3F30"/>
    <w:rsid w:val="00EF4480"/>
    <w:rsid w:val="00EF4A57"/>
    <w:rsid w:val="00EF4EBE"/>
    <w:rsid w:val="00EF511D"/>
    <w:rsid w:val="00EF5BCF"/>
    <w:rsid w:val="00EF5F11"/>
    <w:rsid w:val="00EF608D"/>
    <w:rsid w:val="00EF66DE"/>
    <w:rsid w:val="00EF6F1C"/>
    <w:rsid w:val="00EF79FE"/>
    <w:rsid w:val="00EF7E3A"/>
    <w:rsid w:val="00F01963"/>
    <w:rsid w:val="00F021EE"/>
    <w:rsid w:val="00F036AB"/>
    <w:rsid w:val="00F03F7A"/>
    <w:rsid w:val="00F04031"/>
    <w:rsid w:val="00F041C0"/>
    <w:rsid w:val="00F047E7"/>
    <w:rsid w:val="00F059FF"/>
    <w:rsid w:val="00F06307"/>
    <w:rsid w:val="00F074E3"/>
    <w:rsid w:val="00F11573"/>
    <w:rsid w:val="00F11926"/>
    <w:rsid w:val="00F122A6"/>
    <w:rsid w:val="00F12DCB"/>
    <w:rsid w:val="00F1357A"/>
    <w:rsid w:val="00F13F3D"/>
    <w:rsid w:val="00F14C8F"/>
    <w:rsid w:val="00F14DF9"/>
    <w:rsid w:val="00F1504D"/>
    <w:rsid w:val="00F1529B"/>
    <w:rsid w:val="00F15495"/>
    <w:rsid w:val="00F159D1"/>
    <w:rsid w:val="00F16A59"/>
    <w:rsid w:val="00F17487"/>
    <w:rsid w:val="00F176EF"/>
    <w:rsid w:val="00F217C4"/>
    <w:rsid w:val="00F21819"/>
    <w:rsid w:val="00F21C00"/>
    <w:rsid w:val="00F21CAD"/>
    <w:rsid w:val="00F232D8"/>
    <w:rsid w:val="00F23493"/>
    <w:rsid w:val="00F238B1"/>
    <w:rsid w:val="00F23C7F"/>
    <w:rsid w:val="00F263CB"/>
    <w:rsid w:val="00F2646D"/>
    <w:rsid w:val="00F26C97"/>
    <w:rsid w:val="00F26D2C"/>
    <w:rsid w:val="00F27275"/>
    <w:rsid w:val="00F27961"/>
    <w:rsid w:val="00F303F4"/>
    <w:rsid w:val="00F30607"/>
    <w:rsid w:val="00F30741"/>
    <w:rsid w:val="00F314EC"/>
    <w:rsid w:val="00F31A3D"/>
    <w:rsid w:val="00F31C4A"/>
    <w:rsid w:val="00F3312E"/>
    <w:rsid w:val="00F3389B"/>
    <w:rsid w:val="00F33D1A"/>
    <w:rsid w:val="00F33F4D"/>
    <w:rsid w:val="00F350BA"/>
    <w:rsid w:val="00F35137"/>
    <w:rsid w:val="00F358FE"/>
    <w:rsid w:val="00F359B5"/>
    <w:rsid w:val="00F35BB8"/>
    <w:rsid w:val="00F35D12"/>
    <w:rsid w:val="00F35F2B"/>
    <w:rsid w:val="00F36199"/>
    <w:rsid w:val="00F4005B"/>
    <w:rsid w:val="00F405C2"/>
    <w:rsid w:val="00F40B8C"/>
    <w:rsid w:val="00F415EE"/>
    <w:rsid w:val="00F419E3"/>
    <w:rsid w:val="00F41A32"/>
    <w:rsid w:val="00F41BC0"/>
    <w:rsid w:val="00F424C8"/>
    <w:rsid w:val="00F4322E"/>
    <w:rsid w:val="00F4572E"/>
    <w:rsid w:val="00F45BBC"/>
    <w:rsid w:val="00F46AB2"/>
    <w:rsid w:val="00F47280"/>
    <w:rsid w:val="00F50386"/>
    <w:rsid w:val="00F508F1"/>
    <w:rsid w:val="00F52473"/>
    <w:rsid w:val="00F533AE"/>
    <w:rsid w:val="00F53D05"/>
    <w:rsid w:val="00F53DA9"/>
    <w:rsid w:val="00F55376"/>
    <w:rsid w:val="00F56045"/>
    <w:rsid w:val="00F56049"/>
    <w:rsid w:val="00F56185"/>
    <w:rsid w:val="00F569F0"/>
    <w:rsid w:val="00F570CD"/>
    <w:rsid w:val="00F573DD"/>
    <w:rsid w:val="00F60572"/>
    <w:rsid w:val="00F61043"/>
    <w:rsid w:val="00F62513"/>
    <w:rsid w:val="00F62725"/>
    <w:rsid w:val="00F62B71"/>
    <w:rsid w:val="00F62BF2"/>
    <w:rsid w:val="00F634E4"/>
    <w:rsid w:val="00F63CBE"/>
    <w:rsid w:val="00F63E08"/>
    <w:rsid w:val="00F64263"/>
    <w:rsid w:val="00F64D61"/>
    <w:rsid w:val="00F659B9"/>
    <w:rsid w:val="00F65CB5"/>
    <w:rsid w:val="00F66466"/>
    <w:rsid w:val="00F666A4"/>
    <w:rsid w:val="00F66EE2"/>
    <w:rsid w:val="00F66F7B"/>
    <w:rsid w:val="00F67FE9"/>
    <w:rsid w:val="00F70AA2"/>
    <w:rsid w:val="00F70E58"/>
    <w:rsid w:val="00F71355"/>
    <w:rsid w:val="00F7165B"/>
    <w:rsid w:val="00F7256A"/>
    <w:rsid w:val="00F73371"/>
    <w:rsid w:val="00F73BDE"/>
    <w:rsid w:val="00F73E29"/>
    <w:rsid w:val="00F7428E"/>
    <w:rsid w:val="00F7429A"/>
    <w:rsid w:val="00F743C0"/>
    <w:rsid w:val="00F7460F"/>
    <w:rsid w:val="00F74A64"/>
    <w:rsid w:val="00F74EEC"/>
    <w:rsid w:val="00F74FD1"/>
    <w:rsid w:val="00F75043"/>
    <w:rsid w:val="00F75C1C"/>
    <w:rsid w:val="00F75FD1"/>
    <w:rsid w:val="00F76083"/>
    <w:rsid w:val="00F77117"/>
    <w:rsid w:val="00F773F2"/>
    <w:rsid w:val="00F777DC"/>
    <w:rsid w:val="00F77F68"/>
    <w:rsid w:val="00F80517"/>
    <w:rsid w:val="00F80F8B"/>
    <w:rsid w:val="00F82E85"/>
    <w:rsid w:val="00F82FE7"/>
    <w:rsid w:val="00F8331F"/>
    <w:rsid w:val="00F83F1B"/>
    <w:rsid w:val="00F8420F"/>
    <w:rsid w:val="00F84460"/>
    <w:rsid w:val="00F84F09"/>
    <w:rsid w:val="00F85579"/>
    <w:rsid w:val="00F866AF"/>
    <w:rsid w:val="00F86A75"/>
    <w:rsid w:val="00F87AA1"/>
    <w:rsid w:val="00F900C8"/>
    <w:rsid w:val="00F90B07"/>
    <w:rsid w:val="00F91229"/>
    <w:rsid w:val="00F91574"/>
    <w:rsid w:val="00F9159E"/>
    <w:rsid w:val="00F91FD4"/>
    <w:rsid w:val="00F93290"/>
    <w:rsid w:val="00F936C9"/>
    <w:rsid w:val="00F937DC"/>
    <w:rsid w:val="00F93850"/>
    <w:rsid w:val="00F9480E"/>
    <w:rsid w:val="00F95892"/>
    <w:rsid w:val="00F95FA5"/>
    <w:rsid w:val="00F97555"/>
    <w:rsid w:val="00FA05BC"/>
    <w:rsid w:val="00FA0924"/>
    <w:rsid w:val="00FA1A32"/>
    <w:rsid w:val="00FA1DCE"/>
    <w:rsid w:val="00FA2D17"/>
    <w:rsid w:val="00FA2F42"/>
    <w:rsid w:val="00FA3078"/>
    <w:rsid w:val="00FA54E0"/>
    <w:rsid w:val="00FA575E"/>
    <w:rsid w:val="00FA5AAF"/>
    <w:rsid w:val="00FA6D2C"/>
    <w:rsid w:val="00FA72BB"/>
    <w:rsid w:val="00FA74BA"/>
    <w:rsid w:val="00FA7BA8"/>
    <w:rsid w:val="00FB0BA4"/>
    <w:rsid w:val="00FB13AB"/>
    <w:rsid w:val="00FB28D2"/>
    <w:rsid w:val="00FB29EA"/>
    <w:rsid w:val="00FB3297"/>
    <w:rsid w:val="00FB3933"/>
    <w:rsid w:val="00FB4261"/>
    <w:rsid w:val="00FB48BB"/>
    <w:rsid w:val="00FB591D"/>
    <w:rsid w:val="00FB6CA4"/>
    <w:rsid w:val="00FB6CF4"/>
    <w:rsid w:val="00FB79A1"/>
    <w:rsid w:val="00FC09F5"/>
    <w:rsid w:val="00FC10B6"/>
    <w:rsid w:val="00FC1637"/>
    <w:rsid w:val="00FC17CF"/>
    <w:rsid w:val="00FC1D4C"/>
    <w:rsid w:val="00FC3459"/>
    <w:rsid w:val="00FC3F3C"/>
    <w:rsid w:val="00FC3F72"/>
    <w:rsid w:val="00FC4979"/>
    <w:rsid w:val="00FC5EEC"/>
    <w:rsid w:val="00FC60C3"/>
    <w:rsid w:val="00FC742B"/>
    <w:rsid w:val="00FC7583"/>
    <w:rsid w:val="00FC7CF3"/>
    <w:rsid w:val="00FD00C5"/>
    <w:rsid w:val="00FD0993"/>
    <w:rsid w:val="00FD0F4F"/>
    <w:rsid w:val="00FD1270"/>
    <w:rsid w:val="00FD128E"/>
    <w:rsid w:val="00FD13EE"/>
    <w:rsid w:val="00FD1A62"/>
    <w:rsid w:val="00FD256A"/>
    <w:rsid w:val="00FD2BE0"/>
    <w:rsid w:val="00FD4396"/>
    <w:rsid w:val="00FD4811"/>
    <w:rsid w:val="00FD6351"/>
    <w:rsid w:val="00FD6880"/>
    <w:rsid w:val="00FD688E"/>
    <w:rsid w:val="00FD734C"/>
    <w:rsid w:val="00FE051A"/>
    <w:rsid w:val="00FE08B9"/>
    <w:rsid w:val="00FE1485"/>
    <w:rsid w:val="00FE2264"/>
    <w:rsid w:val="00FE32EC"/>
    <w:rsid w:val="00FE3E79"/>
    <w:rsid w:val="00FE4A1F"/>
    <w:rsid w:val="00FE5699"/>
    <w:rsid w:val="00FE57CE"/>
    <w:rsid w:val="00FE583F"/>
    <w:rsid w:val="00FE5871"/>
    <w:rsid w:val="00FE67A2"/>
    <w:rsid w:val="00FE6E1A"/>
    <w:rsid w:val="00FE7E73"/>
    <w:rsid w:val="00FF1679"/>
    <w:rsid w:val="00FF1A1E"/>
    <w:rsid w:val="00FF1EAF"/>
    <w:rsid w:val="00FF1F8E"/>
    <w:rsid w:val="00FF277B"/>
    <w:rsid w:val="00FF2C31"/>
    <w:rsid w:val="00FF2E38"/>
    <w:rsid w:val="00FF33DD"/>
    <w:rsid w:val="00FF3472"/>
    <w:rsid w:val="00FF3E0A"/>
    <w:rsid w:val="00FF3E38"/>
    <w:rsid w:val="00FF4524"/>
    <w:rsid w:val="00FF4795"/>
    <w:rsid w:val="00FF5A6E"/>
    <w:rsid w:val="00FF5D3C"/>
    <w:rsid w:val="00FF62E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B330C"/>
  <w15:chartTrackingRefBased/>
  <w15:docId w15:val="{E17B48A7-8CA6-E249-A85A-688E450A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8D6"/>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1"/>
    <w:qFormat/>
    <w:rsid w:val="001A0BD0"/>
    <w:pPr>
      <w:autoSpaceDE w:val="0"/>
      <w:autoSpaceDN w:val="0"/>
      <w:adjustRightInd w:val="0"/>
      <w:ind w:firstLine="284"/>
      <w:jc w:val="center"/>
      <w:outlineLvl w:val="0"/>
    </w:pPr>
    <w:rPr>
      <w:rFonts w:ascii="Verdana" w:eastAsia="Calibri" w:hAnsi="Verdana" w:cs="Verdana"/>
      <w:b/>
      <w:bCs/>
      <w:sz w:val="20"/>
      <w:szCs w:val="20"/>
      <w:lang w:val="es-ES_tradnl" w:eastAsia="en-US"/>
    </w:rPr>
  </w:style>
  <w:style w:type="paragraph" w:styleId="Ttulo2">
    <w:name w:val="heading 2"/>
    <w:basedOn w:val="Normal"/>
    <w:next w:val="Normal"/>
    <w:link w:val="Ttulo2Car"/>
    <w:uiPriority w:val="1"/>
    <w:unhideWhenUsed/>
    <w:qFormat/>
    <w:rsid w:val="00167C87"/>
    <w:pPr>
      <w:numPr>
        <w:numId w:val="4"/>
      </w:numPr>
      <w:pBdr>
        <w:top w:val="nil"/>
      </w:pBdr>
      <w:jc w:val="both"/>
      <w:outlineLvl w:val="1"/>
    </w:pPr>
    <w:rPr>
      <w:rFonts w:ascii="Verdana" w:eastAsiaTheme="majorEastAsia" w:hAnsi="Verdana" w:cstheme="majorBidi"/>
      <w:b/>
      <w:sz w:val="20"/>
      <w:szCs w:val="20"/>
      <w:lang w:val="es-ES_tradnl" w:eastAsia="en-US"/>
    </w:rPr>
  </w:style>
  <w:style w:type="paragraph" w:styleId="Ttulo3">
    <w:name w:val="heading 3"/>
    <w:basedOn w:val="Normal"/>
    <w:next w:val="Normal"/>
    <w:link w:val="Ttulo3Car"/>
    <w:uiPriority w:val="1"/>
    <w:unhideWhenUsed/>
    <w:qFormat/>
    <w:rsid w:val="00BC0D54"/>
    <w:pPr>
      <w:keepNext/>
      <w:keepLines/>
      <w:ind w:left="708" w:firstLine="708"/>
      <w:outlineLvl w:val="2"/>
    </w:pPr>
    <w:rPr>
      <w:rFonts w:ascii="Verdana" w:eastAsiaTheme="majorEastAsia" w:hAnsi="Verdana" w:cstheme="majorBidi"/>
      <w:b/>
      <w:i/>
      <w:sz w:val="20"/>
      <w:szCs w:val="20"/>
      <w:lang w:val="es-ES_tradnl" w:eastAsia="en-US"/>
    </w:rPr>
  </w:style>
  <w:style w:type="paragraph" w:styleId="Ttulo4">
    <w:name w:val="heading 4"/>
    <w:basedOn w:val="Prrafodelista"/>
    <w:next w:val="Normal"/>
    <w:link w:val="Ttulo4Car"/>
    <w:uiPriority w:val="9"/>
    <w:unhideWhenUsed/>
    <w:qFormat/>
    <w:rsid w:val="00167C87"/>
    <w:pPr>
      <w:spacing w:after="0" w:line="240" w:lineRule="auto"/>
      <w:ind w:left="708" w:firstLine="708"/>
      <w:contextualSpacing w:val="0"/>
      <w:jc w:val="both"/>
      <w:outlineLvl w:val="3"/>
    </w:pPr>
    <w:rPr>
      <w:rFonts w:ascii="Verdana" w:eastAsia="Times New Roman" w:hAnsi="Verdana" w:cs="Times New Roman"/>
      <w:i/>
      <w:sz w:val="20"/>
      <w:szCs w:val="20"/>
      <w:u w:val="single"/>
      <w:lang w:val="es-ES_tradnl" w:eastAsia="es-CL"/>
    </w:rPr>
  </w:style>
  <w:style w:type="paragraph" w:styleId="Ttulo5">
    <w:name w:val="heading 5"/>
    <w:basedOn w:val="Normal"/>
    <w:next w:val="Normal"/>
    <w:link w:val="Ttulo5Car"/>
    <w:uiPriority w:val="9"/>
    <w:semiHidden/>
    <w:unhideWhenUsed/>
    <w:qFormat/>
    <w:rsid w:val="00167C87"/>
    <w:pPr>
      <w:keepNext/>
      <w:keepLines/>
      <w:spacing w:before="40"/>
      <w:outlineLvl w:val="4"/>
    </w:pPr>
    <w:rPr>
      <w:rFonts w:asciiTheme="majorHAnsi" w:eastAsiaTheme="majorEastAsia" w:hAnsiTheme="majorHAnsi" w:cstheme="majorBidi"/>
      <w:color w:val="2E74B5" w:themeColor="accent1" w:themeShade="BF"/>
      <w:sz w:val="16"/>
      <w:szCs w:val="16"/>
      <w:lang w:val="es-ES_tradnl" w:eastAsia="en-US"/>
    </w:rPr>
  </w:style>
  <w:style w:type="paragraph" w:styleId="Ttulo6">
    <w:name w:val="heading 6"/>
    <w:basedOn w:val="Ttulo5"/>
    <w:next w:val="Normal"/>
    <w:link w:val="Ttulo6Car"/>
    <w:uiPriority w:val="9"/>
    <w:qFormat/>
    <w:rsid w:val="00167C87"/>
    <w:pPr>
      <w:keepNext w:val="0"/>
      <w:keepLines w:val="0"/>
      <w:numPr>
        <w:ilvl w:val="4"/>
        <w:numId w:val="11"/>
      </w:numPr>
      <w:spacing w:before="0"/>
      <w:jc w:val="both"/>
      <w:outlineLvl w:val="5"/>
    </w:pPr>
    <w:rPr>
      <w:rFonts w:ascii="Verdana" w:eastAsia="Times New Roman" w:hAnsi="Verdana" w:cs="Times New Roman"/>
      <w:color w:val="auto"/>
      <w:spacing w:val="-2"/>
      <w:sz w:val="20"/>
      <w:szCs w:val="20"/>
      <w:lang w:eastAsia="x-none"/>
    </w:rPr>
  </w:style>
  <w:style w:type="paragraph" w:styleId="Ttulo7">
    <w:name w:val="heading 7"/>
    <w:basedOn w:val="Normal"/>
    <w:next w:val="Normal"/>
    <w:link w:val="Ttulo7Car"/>
    <w:uiPriority w:val="9"/>
    <w:semiHidden/>
    <w:unhideWhenUsed/>
    <w:qFormat/>
    <w:rsid w:val="008C10F2"/>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Footnote Text Char Char Char Char Char,Footnote Text Char Char Char Char,Footnote reference,FA Fu,Footnote Text Char Char Char,FA Fu Car,FA Fu Car Car,Footnote Text Cha,FA Fußnotentext,FA Fuﬂnotentext,FA Fu?notentext,Ca,C,ft,FA Fu?notente"/>
    <w:basedOn w:val="Normal"/>
    <w:link w:val="TextonotapieCar"/>
    <w:unhideWhenUsed/>
    <w:qFormat/>
    <w:rsid w:val="001A0BD0"/>
    <w:rPr>
      <w:rFonts w:ascii="Verdana" w:eastAsia="Calibri" w:hAnsi="Verdana"/>
      <w:sz w:val="16"/>
      <w:szCs w:val="16"/>
      <w:lang w:val="es-ES_tradnl" w:eastAsia="en-US"/>
    </w:rPr>
  </w:style>
  <w:style w:type="character" w:customStyle="1" w:styleId="TextonotapieCar">
    <w:name w:val="Texto nota pie Car"/>
    <w:aliases w:val="Footnote Text Char Char Char Char Char Car,Footnote Text Char Char Char Char Car,Footnote reference Car,FA Fu Car1,Footnote Text Char Char Char Car,FA Fu Car Car1,FA Fu Car Car Car,Footnote Text Cha Car,FA Fußnotentext Car,Ca Car"/>
    <w:basedOn w:val="Fuentedeprrafopredeter"/>
    <w:link w:val="Textonotapie"/>
    <w:qFormat/>
    <w:rsid w:val="001A0BD0"/>
    <w:rPr>
      <w:rFonts w:ascii="Verdana" w:eastAsia="Calibri" w:hAnsi="Verdana" w:cs="Times New Roman"/>
      <w:sz w:val="16"/>
      <w:szCs w:val="16"/>
      <w:lang w:val="es-ES_tradnl"/>
    </w:rPr>
  </w:style>
  <w:style w:type="character" w:styleId="Refdenotaalpie">
    <w:name w:val="footnote reference"/>
    <w:aliases w:val="Texto de nota al pie,Appel note de bas de page,Footnotes refss,Footnote number,referencia nota al pie,BVI fnr,f,4_G,16 Point,Superscript 6 Point,Footnote Reference Char3,Footnote Reference Char1 Char,Footnote Reference Char Char Char"/>
    <w:link w:val="4GChar"/>
    <w:uiPriority w:val="99"/>
    <w:unhideWhenUsed/>
    <w:qFormat/>
    <w:rsid w:val="001A0BD0"/>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1A0BD0"/>
    <w:pPr>
      <w:jc w:val="both"/>
    </w:pPr>
    <w:rPr>
      <w:rFonts w:asciiTheme="minorHAnsi" w:eastAsiaTheme="minorHAnsi" w:hAnsiTheme="minorHAnsi" w:cstheme="minorBidi"/>
      <w:sz w:val="22"/>
      <w:szCs w:val="22"/>
      <w:vertAlign w:val="superscript"/>
      <w:lang w:eastAsia="en-US"/>
    </w:rPr>
  </w:style>
  <w:style w:type="paragraph" w:styleId="Ttulo">
    <w:name w:val="Title"/>
    <w:basedOn w:val="Normal"/>
    <w:link w:val="TtuloCar"/>
    <w:qFormat/>
    <w:rsid w:val="001A0BD0"/>
    <w:pPr>
      <w:numPr>
        <w:numId w:val="1"/>
      </w:numPr>
      <w:jc w:val="both"/>
    </w:pPr>
    <w:rPr>
      <w:rFonts w:ascii="Verdana" w:hAnsi="Verdana"/>
      <w:b/>
      <w:sz w:val="20"/>
      <w:szCs w:val="20"/>
      <w:lang w:val="es-ES_tradnl" w:eastAsia="es-ES" w:bidi="en-US"/>
    </w:rPr>
  </w:style>
  <w:style w:type="character" w:customStyle="1" w:styleId="TtuloCar">
    <w:name w:val="Título Car"/>
    <w:basedOn w:val="Fuentedeprrafopredeter"/>
    <w:link w:val="Ttulo"/>
    <w:rsid w:val="001A0BD0"/>
    <w:rPr>
      <w:rFonts w:ascii="Verdana" w:eastAsia="Times New Roman" w:hAnsi="Verdana" w:cs="Times New Roman"/>
      <w:b/>
      <w:sz w:val="20"/>
      <w:szCs w:val="20"/>
      <w:lang w:val="es-ES_tradnl" w:eastAsia="es-ES" w:bidi="en-US"/>
    </w:rPr>
  </w:style>
  <w:style w:type="paragraph" w:styleId="Prrafodelista">
    <w:name w:val="List Paragraph"/>
    <w:aliases w:val="Párrafo de lista1,List Paragraph1,Colorful List - Accent 11,List Paragraph2,Footnote,Lista vistosa - Énfasis 11,Subtle Emphasis1,Footnote1,List Paragraph11,Parrafos"/>
    <w:basedOn w:val="Normal"/>
    <w:link w:val="PrrafodelistaCar"/>
    <w:uiPriority w:val="34"/>
    <w:qFormat/>
    <w:rsid w:val="001A0BD0"/>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Ttulo1Car">
    <w:name w:val="Título 1 Car"/>
    <w:basedOn w:val="Fuentedeprrafopredeter"/>
    <w:link w:val="Ttulo1"/>
    <w:uiPriority w:val="9"/>
    <w:rsid w:val="001A0BD0"/>
    <w:rPr>
      <w:rFonts w:ascii="Verdana" w:eastAsia="Calibri" w:hAnsi="Verdana" w:cs="Verdana"/>
      <w:b/>
      <w:bCs/>
      <w:sz w:val="20"/>
      <w:szCs w:val="20"/>
      <w:lang w:val="es-ES_tradnl"/>
    </w:rPr>
  </w:style>
  <w:style w:type="character" w:styleId="Hipervnculo">
    <w:name w:val="Hyperlink"/>
    <w:basedOn w:val="Fuentedeprrafopredeter"/>
    <w:uiPriority w:val="99"/>
    <w:unhideWhenUsed/>
    <w:rsid w:val="003C5B37"/>
    <w:rPr>
      <w:color w:val="0563C1" w:themeColor="hyperlink"/>
      <w:u w:val="single"/>
    </w:rPr>
  </w:style>
  <w:style w:type="paragraph" w:styleId="Textodeglobo">
    <w:name w:val="Balloon Text"/>
    <w:basedOn w:val="Normal"/>
    <w:link w:val="TextodegloboCar"/>
    <w:uiPriority w:val="99"/>
    <w:semiHidden/>
    <w:unhideWhenUsed/>
    <w:rsid w:val="003C5B37"/>
    <w:rPr>
      <w:rFonts w:ascii="Segoe UI" w:eastAsia="Calibri" w:hAnsi="Segoe UI" w:cs="Segoe UI"/>
      <w:sz w:val="18"/>
      <w:szCs w:val="18"/>
      <w:lang w:val="es-ES_tradnl" w:eastAsia="en-US"/>
    </w:rPr>
  </w:style>
  <w:style w:type="character" w:customStyle="1" w:styleId="TextodegloboCar">
    <w:name w:val="Texto de globo Car"/>
    <w:basedOn w:val="Fuentedeprrafopredeter"/>
    <w:link w:val="Textodeglobo"/>
    <w:uiPriority w:val="99"/>
    <w:semiHidden/>
    <w:rsid w:val="003C5B37"/>
    <w:rPr>
      <w:rFonts w:ascii="Segoe UI" w:eastAsia="Calibri" w:hAnsi="Segoe UI" w:cs="Segoe UI"/>
      <w:sz w:val="18"/>
      <w:szCs w:val="18"/>
      <w:lang w:val="es-ES_tradnl"/>
    </w:rPr>
  </w:style>
  <w:style w:type="character" w:customStyle="1" w:styleId="Ttulo2Car">
    <w:name w:val="Título 2 Car"/>
    <w:basedOn w:val="Fuentedeprrafopredeter"/>
    <w:link w:val="Ttulo2"/>
    <w:uiPriority w:val="1"/>
    <w:rsid w:val="00167C87"/>
    <w:rPr>
      <w:rFonts w:ascii="Verdana" w:eastAsiaTheme="majorEastAsia" w:hAnsi="Verdana" w:cstheme="majorBidi"/>
      <w:b/>
      <w:sz w:val="20"/>
      <w:szCs w:val="20"/>
      <w:lang w:val="es-ES_tradnl"/>
    </w:rPr>
  </w:style>
  <w:style w:type="character" w:customStyle="1" w:styleId="Ttulo3Car">
    <w:name w:val="Título 3 Car"/>
    <w:basedOn w:val="Fuentedeprrafopredeter"/>
    <w:link w:val="Ttulo3"/>
    <w:uiPriority w:val="9"/>
    <w:rsid w:val="00BC0D54"/>
    <w:rPr>
      <w:rFonts w:ascii="Verdana" w:eastAsiaTheme="majorEastAsia" w:hAnsi="Verdana" w:cstheme="majorBidi"/>
      <w:b/>
      <w:i/>
      <w:sz w:val="20"/>
      <w:szCs w:val="20"/>
      <w:lang w:val="es-ES_tradnl"/>
    </w:rPr>
  </w:style>
  <w:style w:type="character" w:customStyle="1" w:styleId="Ttulo4Car">
    <w:name w:val="Título 4 Car"/>
    <w:basedOn w:val="Fuentedeprrafopredeter"/>
    <w:link w:val="Ttulo4"/>
    <w:uiPriority w:val="9"/>
    <w:rsid w:val="00167C87"/>
    <w:rPr>
      <w:rFonts w:ascii="Verdana" w:eastAsia="Times New Roman" w:hAnsi="Verdana" w:cs="Times New Roman"/>
      <w:i/>
      <w:sz w:val="20"/>
      <w:szCs w:val="20"/>
      <w:u w:val="single"/>
      <w:lang w:val="es-ES_tradnl" w:eastAsia="es-CL"/>
    </w:rPr>
  </w:style>
  <w:style w:type="character" w:customStyle="1" w:styleId="Ttulo5Car">
    <w:name w:val="Título 5 Car"/>
    <w:basedOn w:val="Fuentedeprrafopredeter"/>
    <w:link w:val="Ttulo5"/>
    <w:uiPriority w:val="9"/>
    <w:semiHidden/>
    <w:rsid w:val="00167C87"/>
    <w:rPr>
      <w:rFonts w:asciiTheme="majorHAnsi" w:eastAsiaTheme="majorEastAsia" w:hAnsiTheme="majorHAnsi" w:cstheme="majorBidi"/>
      <w:color w:val="2E74B5" w:themeColor="accent1" w:themeShade="BF"/>
      <w:sz w:val="16"/>
      <w:szCs w:val="16"/>
      <w:lang w:val="es-ES_tradnl"/>
    </w:rPr>
  </w:style>
  <w:style w:type="character" w:customStyle="1" w:styleId="Ttulo6Car">
    <w:name w:val="Título 6 Car"/>
    <w:basedOn w:val="Fuentedeprrafopredeter"/>
    <w:link w:val="Ttulo6"/>
    <w:uiPriority w:val="9"/>
    <w:rsid w:val="00167C87"/>
    <w:rPr>
      <w:rFonts w:ascii="Verdana" w:eastAsia="Times New Roman" w:hAnsi="Verdana" w:cs="Times New Roman"/>
      <w:spacing w:val="-2"/>
      <w:sz w:val="20"/>
      <w:szCs w:val="20"/>
      <w:lang w:val="es-ES_tradnl" w:eastAsia="x-none"/>
    </w:rPr>
  </w:style>
  <w:style w:type="character" w:styleId="Textoennegrita">
    <w:name w:val="Strong"/>
    <w:aliases w:val="Heading 2.1"/>
    <w:uiPriority w:val="22"/>
    <w:qFormat/>
    <w:rsid w:val="00167C87"/>
    <w:rPr>
      <w:b/>
      <w:bCs/>
    </w:rPr>
  </w:style>
  <w:style w:type="character" w:customStyle="1" w:styleId="PrrafodelistaCar">
    <w:name w:val="Párrafo de lista Car"/>
    <w:aliases w:val="Párrafo de lista1 Car,List Paragraph1 Car,Colorful List - Accent 11 Car,List Paragraph2 Car,Footnote Car,Lista vistosa - Énfasis 11 Car,Subtle Emphasis1 Car,Footnote1 Car,List Paragraph11 Car,Parrafos Car"/>
    <w:link w:val="Prrafodelista"/>
    <w:uiPriority w:val="34"/>
    <w:rsid w:val="00167C87"/>
  </w:style>
  <w:style w:type="paragraph" w:customStyle="1" w:styleId="Default">
    <w:name w:val="Default"/>
    <w:rsid w:val="00167C87"/>
    <w:pPr>
      <w:autoSpaceDE w:val="0"/>
      <w:autoSpaceDN w:val="0"/>
      <w:adjustRightInd w:val="0"/>
      <w:spacing w:after="0" w:line="240" w:lineRule="auto"/>
    </w:pPr>
    <w:rPr>
      <w:rFonts w:ascii="Verdana" w:eastAsia="Calibri" w:hAnsi="Verdana" w:cs="Verdana"/>
      <w:color w:val="000000"/>
      <w:sz w:val="16"/>
      <w:szCs w:val="16"/>
      <w:lang w:val="en-US"/>
    </w:rPr>
  </w:style>
  <w:style w:type="paragraph" w:customStyle="1" w:styleId="Footnotes">
    <w:name w:val="**. Footnotes"/>
    <w:basedOn w:val="Textonotapie"/>
    <w:link w:val="FootnotesChar"/>
    <w:autoRedefine/>
    <w:qFormat/>
    <w:rsid w:val="008827AC"/>
    <w:pPr>
      <w:tabs>
        <w:tab w:val="left" w:pos="709"/>
      </w:tabs>
      <w:spacing w:after="60"/>
      <w:jc w:val="both"/>
    </w:pPr>
    <w:rPr>
      <w:rFonts w:eastAsia="Times New Roman" w:cs="Palatino-Italic"/>
      <w:iCs/>
      <w:spacing w:val="-4"/>
      <w:lang w:val="es-ES" w:bidi="en-US"/>
    </w:rPr>
  </w:style>
  <w:style w:type="character" w:customStyle="1" w:styleId="FootnotesChar">
    <w:name w:val="**. Footnotes Char"/>
    <w:link w:val="Footnotes"/>
    <w:rsid w:val="008827AC"/>
    <w:rPr>
      <w:rFonts w:ascii="Verdana" w:eastAsia="Times New Roman" w:hAnsi="Verdana" w:cs="Palatino-Italic"/>
      <w:iCs/>
      <w:spacing w:val="-4"/>
      <w:sz w:val="16"/>
      <w:szCs w:val="16"/>
      <w:lang w:val="es-ES" w:bidi="en-US"/>
    </w:rPr>
  </w:style>
  <w:style w:type="paragraph" w:customStyle="1" w:styleId="PrrafodeSentencia">
    <w:name w:val="*. Párrafo de Sentencia"/>
    <w:basedOn w:val="Normal"/>
    <w:next w:val="Normal"/>
    <w:link w:val="PrrafodeSentenciaChar"/>
    <w:qFormat/>
    <w:rsid w:val="00167C87"/>
    <w:pPr>
      <w:numPr>
        <w:numId w:val="6"/>
      </w:numPr>
      <w:tabs>
        <w:tab w:val="left" w:pos="567"/>
      </w:tabs>
      <w:jc w:val="both"/>
    </w:pPr>
    <w:rPr>
      <w:rFonts w:ascii="Verdana" w:eastAsia="Batang" w:hAnsi="Verdana" w:cstheme="minorBidi"/>
      <w:spacing w:val="-4"/>
      <w:sz w:val="20"/>
      <w:szCs w:val="22"/>
    </w:rPr>
  </w:style>
  <w:style w:type="character" w:customStyle="1" w:styleId="PrrafodeSentenciaChar">
    <w:name w:val="*. Párrafo de Sentencia Char"/>
    <w:link w:val="PrrafodeSentencia"/>
    <w:locked/>
    <w:rsid w:val="00167C87"/>
    <w:rPr>
      <w:rFonts w:ascii="Verdana" w:eastAsia="Batang" w:hAnsi="Verdana"/>
      <w:spacing w:val="-4"/>
      <w:sz w:val="20"/>
      <w:lang w:eastAsia="es-MX"/>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167C87"/>
    <w:pPr>
      <w:spacing w:after="160" w:line="240" w:lineRule="exact"/>
    </w:pPr>
    <w:rPr>
      <w:rFonts w:asciiTheme="minorHAnsi" w:eastAsiaTheme="minorHAnsi" w:hAnsiTheme="minorHAnsi" w:cstheme="minorBidi"/>
      <w:sz w:val="22"/>
      <w:szCs w:val="22"/>
      <w:vertAlign w:val="superscript"/>
      <w:lang w:val="en-US" w:eastAsia="en-US"/>
    </w:rPr>
  </w:style>
  <w:style w:type="character" w:customStyle="1" w:styleId="None">
    <w:name w:val="None"/>
    <w:rsid w:val="00167C87"/>
  </w:style>
  <w:style w:type="paragraph" w:customStyle="1" w:styleId="StyleHeading2LatinTimesNewRomanAsianBatang12ptN">
    <w:name w:val="Style Heading 2 + (Latin) Times New Roman (Asian) Batang 12 pt N..."/>
    <w:basedOn w:val="Ttulo2"/>
    <w:next w:val="Normal"/>
    <w:uiPriority w:val="99"/>
    <w:rsid w:val="00167C87"/>
    <w:pPr>
      <w:tabs>
        <w:tab w:val="left" w:pos="426"/>
        <w:tab w:val="num" w:pos="576"/>
      </w:tabs>
      <w:spacing w:line="276" w:lineRule="auto"/>
      <w:ind w:left="576" w:hanging="576"/>
    </w:pPr>
    <w:rPr>
      <w:rFonts w:ascii="Times New Roman" w:eastAsia="Batang" w:hAnsi="Times New Roman" w:cs="Times New Roman"/>
      <w:b w:val="0"/>
      <w:bCs/>
      <w:color w:val="365F91"/>
      <w:sz w:val="24"/>
      <w:lang w:val="es-CR" w:eastAsia="es-ES"/>
    </w:rPr>
  </w:style>
  <w:style w:type="paragraph" w:customStyle="1" w:styleId="1">
    <w:name w:val="1"/>
    <w:basedOn w:val="Normal"/>
    <w:uiPriority w:val="99"/>
    <w:rsid w:val="00167C87"/>
    <w:pPr>
      <w:spacing w:after="160" w:line="240" w:lineRule="exact"/>
    </w:pPr>
    <w:rPr>
      <w:rFonts w:ascii="Verdana" w:hAnsi="Verdana"/>
      <w:sz w:val="16"/>
      <w:szCs w:val="22"/>
      <w:vertAlign w:val="superscript"/>
      <w:lang w:eastAsia="en-US"/>
    </w:rPr>
  </w:style>
  <w:style w:type="paragraph" w:styleId="Textoindependiente">
    <w:name w:val="Body Text"/>
    <w:basedOn w:val="Normal"/>
    <w:link w:val="TextoindependienteCar"/>
    <w:uiPriority w:val="1"/>
    <w:qFormat/>
    <w:rsid w:val="00167C87"/>
    <w:pPr>
      <w:widowControl w:val="0"/>
      <w:autoSpaceDE w:val="0"/>
      <w:autoSpaceDN w:val="0"/>
    </w:pPr>
    <w:rPr>
      <w:rFonts w:ascii="Verdana" w:eastAsia="Verdana" w:hAnsi="Verdana" w:cs="Verdana"/>
      <w:sz w:val="20"/>
      <w:szCs w:val="20"/>
      <w:lang w:val="en-US" w:eastAsia="en-US"/>
    </w:rPr>
  </w:style>
  <w:style w:type="character" w:customStyle="1" w:styleId="TextoindependienteCar">
    <w:name w:val="Texto independiente Car"/>
    <w:basedOn w:val="Fuentedeprrafopredeter"/>
    <w:link w:val="Textoindependiente"/>
    <w:uiPriority w:val="1"/>
    <w:rsid w:val="00167C87"/>
    <w:rPr>
      <w:rFonts w:ascii="Verdana" w:eastAsia="Verdana" w:hAnsi="Verdana" w:cs="Verdana"/>
      <w:sz w:val="20"/>
      <w:szCs w:val="20"/>
      <w:lang w:val="en-US"/>
    </w:rPr>
  </w:style>
  <w:style w:type="character" w:customStyle="1" w:styleId="PrrafodelistaCar1">
    <w:name w:val="Párrafo de lista Car1"/>
    <w:basedOn w:val="Fuentedeprrafopredeter"/>
    <w:uiPriority w:val="99"/>
    <w:locked/>
    <w:rsid w:val="00167C87"/>
    <w:rPr>
      <w:rFonts w:ascii="Verdana" w:hAnsi="Verdana" w:cs="Verdana"/>
      <w:sz w:val="20"/>
      <w:szCs w:val="20"/>
    </w:rPr>
  </w:style>
  <w:style w:type="paragraph" w:styleId="Encabezado">
    <w:name w:val="header"/>
    <w:aliases w:val="encabezado"/>
    <w:basedOn w:val="Normal"/>
    <w:link w:val="EncabezadoCar"/>
    <w:uiPriority w:val="99"/>
    <w:unhideWhenUsed/>
    <w:rsid w:val="00BC0D54"/>
    <w:pPr>
      <w:tabs>
        <w:tab w:val="center" w:pos="4252"/>
        <w:tab w:val="right" w:pos="8504"/>
      </w:tabs>
    </w:pPr>
    <w:rPr>
      <w:rFonts w:ascii="Verdana" w:eastAsia="Calibri" w:hAnsi="Verdana"/>
      <w:sz w:val="16"/>
      <w:szCs w:val="16"/>
      <w:lang w:val="es-ES_tradnl" w:eastAsia="en-US"/>
    </w:rPr>
  </w:style>
  <w:style w:type="character" w:customStyle="1" w:styleId="EncabezadoCar">
    <w:name w:val="Encabezado Car"/>
    <w:aliases w:val="encabezado Car"/>
    <w:basedOn w:val="Fuentedeprrafopredeter"/>
    <w:link w:val="Encabezado"/>
    <w:uiPriority w:val="99"/>
    <w:rsid w:val="00BC0D54"/>
    <w:rPr>
      <w:rFonts w:ascii="Verdana" w:eastAsia="Calibri" w:hAnsi="Verdana" w:cs="Times New Roman"/>
      <w:sz w:val="16"/>
      <w:szCs w:val="16"/>
      <w:lang w:val="es-ES_tradnl"/>
    </w:rPr>
  </w:style>
  <w:style w:type="paragraph" w:styleId="Piedepgina">
    <w:name w:val="footer"/>
    <w:basedOn w:val="Normal"/>
    <w:link w:val="PiedepginaCar"/>
    <w:uiPriority w:val="99"/>
    <w:unhideWhenUsed/>
    <w:rsid w:val="00BC0D54"/>
    <w:pPr>
      <w:tabs>
        <w:tab w:val="center" w:pos="4252"/>
        <w:tab w:val="right" w:pos="8504"/>
      </w:tabs>
    </w:pPr>
    <w:rPr>
      <w:rFonts w:ascii="Verdana" w:eastAsia="Calibri" w:hAnsi="Verdana"/>
      <w:sz w:val="16"/>
      <w:szCs w:val="16"/>
      <w:lang w:val="es-ES_tradnl" w:eastAsia="en-US"/>
    </w:rPr>
  </w:style>
  <w:style w:type="character" w:customStyle="1" w:styleId="PiedepginaCar">
    <w:name w:val="Pie de página Car"/>
    <w:basedOn w:val="Fuentedeprrafopredeter"/>
    <w:link w:val="Piedepgina"/>
    <w:uiPriority w:val="99"/>
    <w:rsid w:val="00BC0D54"/>
    <w:rPr>
      <w:rFonts w:ascii="Verdana" w:eastAsia="Calibri" w:hAnsi="Verdana" w:cs="Times New Roman"/>
      <w:sz w:val="16"/>
      <w:szCs w:val="16"/>
      <w:lang w:val="es-ES_tradnl"/>
    </w:rPr>
  </w:style>
  <w:style w:type="paragraph" w:styleId="TtuloTDC">
    <w:name w:val="TOC Heading"/>
    <w:basedOn w:val="Ttulo1"/>
    <w:next w:val="Normal"/>
    <w:uiPriority w:val="39"/>
    <w:unhideWhenUsed/>
    <w:qFormat/>
    <w:rsid w:val="009A45D1"/>
    <w:pPr>
      <w:keepNext/>
      <w:keepLines/>
      <w:autoSpaceDE/>
      <w:autoSpaceDN/>
      <w:adjustRightInd/>
      <w:spacing w:before="240" w:line="259" w:lineRule="auto"/>
      <w:ind w:firstLine="0"/>
      <w:jc w:val="left"/>
      <w:outlineLvl w:val="9"/>
    </w:pPr>
    <w:rPr>
      <w:rFonts w:asciiTheme="majorHAnsi" w:eastAsiaTheme="majorEastAsia" w:hAnsiTheme="majorHAnsi" w:cstheme="majorBidi"/>
      <w:b w:val="0"/>
      <w:bCs w:val="0"/>
      <w:color w:val="2E74B5" w:themeColor="accent1" w:themeShade="BF"/>
      <w:sz w:val="32"/>
      <w:szCs w:val="32"/>
      <w:lang w:eastAsia="es-ES_tradnl"/>
    </w:rPr>
  </w:style>
  <w:style w:type="paragraph" w:styleId="TDC1">
    <w:name w:val="toc 1"/>
    <w:basedOn w:val="Normal"/>
    <w:next w:val="Normal"/>
    <w:autoRedefine/>
    <w:uiPriority w:val="39"/>
    <w:unhideWhenUsed/>
    <w:rsid w:val="009B1827"/>
    <w:pPr>
      <w:tabs>
        <w:tab w:val="right" w:leader="dot" w:pos="8828"/>
      </w:tabs>
    </w:pPr>
    <w:rPr>
      <w:rFonts w:ascii="Verdana" w:eastAsia="Calibri" w:hAnsi="Verdana"/>
      <w:b/>
      <w:bCs/>
      <w:noProof/>
      <w:sz w:val="20"/>
      <w:szCs w:val="20"/>
      <w:lang w:val="es-ES_tradnl" w:eastAsia="en-US"/>
    </w:rPr>
  </w:style>
  <w:style w:type="paragraph" w:styleId="TDC2">
    <w:name w:val="toc 2"/>
    <w:basedOn w:val="Normal"/>
    <w:next w:val="Normal"/>
    <w:autoRedefine/>
    <w:uiPriority w:val="39"/>
    <w:unhideWhenUsed/>
    <w:rsid w:val="009D27BD"/>
    <w:pPr>
      <w:tabs>
        <w:tab w:val="left" w:pos="660"/>
        <w:tab w:val="right" w:leader="dot" w:pos="8828"/>
      </w:tabs>
      <w:spacing w:after="100"/>
      <w:ind w:left="160"/>
    </w:pPr>
    <w:rPr>
      <w:rFonts w:ascii="Verdana" w:eastAsia="Calibri" w:hAnsi="Verdana"/>
      <w:sz w:val="16"/>
      <w:szCs w:val="16"/>
      <w:lang w:val="es-ES_tradnl" w:eastAsia="en-US"/>
    </w:rPr>
  </w:style>
  <w:style w:type="paragraph" w:styleId="TDC3">
    <w:name w:val="toc 3"/>
    <w:basedOn w:val="Normal"/>
    <w:next w:val="Normal"/>
    <w:autoRedefine/>
    <w:uiPriority w:val="39"/>
    <w:unhideWhenUsed/>
    <w:rsid w:val="007E7D44"/>
    <w:pPr>
      <w:tabs>
        <w:tab w:val="right" w:leader="dot" w:pos="8828"/>
      </w:tabs>
      <w:spacing w:after="40"/>
      <w:ind w:left="317"/>
    </w:pPr>
    <w:rPr>
      <w:rFonts w:ascii="Verdana" w:eastAsia="Calibri" w:hAnsi="Verdana"/>
      <w:sz w:val="16"/>
      <w:szCs w:val="16"/>
      <w:lang w:val="es-ES_tradnl" w:eastAsia="en-US"/>
    </w:rPr>
  </w:style>
  <w:style w:type="character" w:styleId="Refdecomentario">
    <w:name w:val="annotation reference"/>
    <w:basedOn w:val="Fuentedeprrafopredeter"/>
    <w:uiPriority w:val="99"/>
    <w:semiHidden/>
    <w:unhideWhenUsed/>
    <w:rsid w:val="003D333A"/>
    <w:rPr>
      <w:sz w:val="16"/>
      <w:szCs w:val="16"/>
    </w:rPr>
  </w:style>
  <w:style w:type="paragraph" w:styleId="Textocomentario">
    <w:name w:val="annotation text"/>
    <w:basedOn w:val="Normal"/>
    <w:link w:val="TextocomentarioCar"/>
    <w:uiPriority w:val="99"/>
    <w:unhideWhenUsed/>
    <w:rsid w:val="003D333A"/>
    <w:rPr>
      <w:rFonts w:ascii="Verdana" w:eastAsia="Calibri" w:hAnsi="Verdana"/>
      <w:sz w:val="20"/>
      <w:szCs w:val="20"/>
      <w:lang w:val="es-ES_tradnl" w:eastAsia="en-US"/>
    </w:rPr>
  </w:style>
  <w:style w:type="character" w:customStyle="1" w:styleId="TextocomentarioCar">
    <w:name w:val="Texto comentario Car"/>
    <w:basedOn w:val="Fuentedeprrafopredeter"/>
    <w:link w:val="Textocomentario"/>
    <w:uiPriority w:val="99"/>
    <w:rsid w:val="003D333A"/>
    <w:rPr>
      <w:rFonts w:ascii="Verdana" w:eastAsia="Calibri" w:hAnsi="Verdana"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3D333A"/>
    <w:rPr>
      <w:b/>
      <w:bCs/>
    </w:rPr>
  </w:style>
  <w:style w:type="character" w:customStyle="1" w:styleId="AsuntodelcomentarioCar">
    <w:name w:val="Asunto del comentario Car"/>
    <w:basedOn w:val="TextocomentarioCar"/>
    <w:link w:val="Asuntodelcomentario"/>
    <w:uiPriority w:val="99"/>
    <w:semiHidden/>
    <w:rsid w:val="003D333A"/>
    <w:rPr>
      <w:rFonts w:ascii="Verdana" w:eastAsia="Calibri" w:hAnsi="Verdana" w:cs="Times New Roman"/>
      <w:b/>
      <w:bCs/>
      <w:sz w:val="20"/>
      <w:szCs w:val="20"/>
      <w:lang w:val="es-ES_tradnl"/>
    </w:rPr>
  </w:style>
  <w:style w:type="character" w:styleId="Hipervnculovisitado">
    <w:name w:val="FollowedHyperlink"/>
    <w:basedOn w:val="Fuentedeprrafopredeter"/>
    <w:uiPriority w:val="99"/>
    <w:semiHidden/>
    <w:unhideWhenUsed/>
    <w:rsid w:val="00AD3007"/>
    <w:rPr>
      <w:color w:val="954F72" w:themeColor="followedHyperlink"/>
      <w:u w:val="single"/>
    </w:rPr>
  </w:style>
  <w:style w:type="paragraph" w:styleId="NormalWeb">
    <w:name w:val="Normal (Web)"/>
    <w:basedOn w:val="Normal"/>
    <w:uiPriority w:val="99"/>
    <w:unhideWhenUsed/>
    <w:rsid w:val="000F2B9C"/>
    <w:pPr>
      <w:widowControl w:val="0"/>
      <w:adjustRightInd w:val="0"/>
      <w:spacing w:line="360" w:lineRule="atLeast"/>
      <w:jc w:val="both"/>
      <w:textAlignment w:val="baseline"/>
    </w:pPr>
    <w:rPr>
      <w:rFonts w:ascii="Verdana" w:hAnsi="Verdana"/>
      <w:lang w:eastAsia="es-CR"/>
    </w:rPr>
  </w:style>
  <w:style w:type="character" w:styleId="Nmerodelnea">
    <w:name w:val="line number"/>
    <w:basedOn w:val="Fuentedeprrafopredeter"/>
    <w:uiPriority w:val="99"/>
    <w:semiHidden/>
    <w:unhideWhenUsed/>
    <w:rsid w:val="00BB7BFD"/>
  </w:style>
  <w:style w:type="character" w:customStyle="1" w:styleId="apple-converted-space">
    <w:name w:val="apple-converted-space"/>
    <w:basedOn w:val="Fuentedeprrafopredeter"/>
    <w:rsid w:val="0033759D"/>
  </w:style>
  <w:style w:type="paragraph" w:customStyle="1" w:styleId="citaindirecta">
    <w:name w:val="cita indirecta"/>
    <w:basedOn w:val="Normal"/>
    <w:uiPriority w:val="99"/>
    <w:rsid w:val="004959D6"/>
    <w:pPr>
      <w:ind w:left="708"/>
      <w:jc w:val="both"/>
    </w:pPr>
    <w:rPr>
      <w:rFonts w:ascii="Verdana" w:eastAsiaTheme="minorHAnsi" w:hAnsi="Verdana"/>
      <w:sz w:val="20"/>
      <w:szCs w:val="20"/>
      <w:lang w:val="es-ES_tradnl"/>
    </w:rPr>
  </w:style>
  <w:style w:type="character" w:styleId="Mencinsinresolver">
    <w:name w:val="Unresolved Mention"/>
    <w:basedOn w:val="Fuentedeprrafopredeter"/>
    <w:uiPriority w:val="99"/>
    <w:semiHidden/>
    <w:unhideWhenUsed/>
    <w:rsid w:val="00A15362"/>
    <w:rPr>
      <w:color w:val="605E5C"/>
      <w:shd w:val="clear" w:color="auto" w:fill="E1DFDD"/>
    </w:rPr>
  </w:style>
  <w:style w:type="paragraph" w:styleId="Sinespaciado">
    <w:name w:val="No Spacing"/>
    <w:link w:val="SinespaciadoCar"/>
    <w:uiPriority w:val="1"/>
    <w:qFormat/>
    <w:rsid w:val="002D6445"/>
    <w:pPr>
      <w:spacing w:after="0" w:line="240" w:lineRule="auto"/>
    </w:pPr>
    <w:rPr>
      <w:rFonts w:eastAsia="MS Mincho"/>
      <w:lang w:val="en-US"/>
    </w:rPr>
  </w:style>
  <w:style w:type="paragraph" w:styleId="Textodebloque">
    <w:name w:val="Block Text"/>
    <w:basedOn w:val="Normal"/>
    <w:uiPriority w:val="99"/>
    <w:unhideWhenUsed/>
    <w:rsid w:val="002D6445"/>
    <w:pPr>
      <w:tabs>
        <w:tab w:val="left" w:pos="851"/>
      </w:tabs>
      <w:autoSpaceDE w:val="0"/>
      <w:autoSpaceDN w:val="0"/>
      <w:adjustRightInd w:val="0"/>
      <w:ind w:left="567" w:right="571"/>
      <w:jc w:val="both"/>
    </w:pPr>
    <w:rPr>
      <w:rFonts w:ascii="Verdana" w:eastAsia="MS Mincho" w:hAnsi="Verdana" w:cs="Arial"/>
      <w:sz w:val="20"/>
      <w:szCs w:val="20"/>
      <w:lang w:eastAsia="en-US"/>
    </w:rPr>
  </w:style>
  <w:style w:type="paragraph" w:styleId="Revisin">
    <w:name w:val="Revision"/>
    <w:hidden/>
    <w:uiPriority w:val="99"/>
    <w:semiHidden/>
    <w:rsid w:val="002D6445"/>
    <w:pPr>
      <w:spacing w:after="0" w:line="240" w:lineRule="auto"/>
    </w:pPr>
    <w:rPr>
      <w:rFonts w:eastAsia="MS Mincho"/>
      <w:lang w:val="es-EC"/>
    </w:rPr>
  </w:style>
  <w:style w:type="table" w:styleId="Tablaconcuadrcula">
    <w:name w:val="Table Grid"/>
    <w:basedOn w:val="Tablanormal"/>
    <w:uiPriority w:val="59"/>
    <w:unhideWhenUsed/>
    <w:rsid w:val="002D6445"/>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D6445"/>
    <w:pPr>
      <w:autoSpaceDE w:val="0"/>
      <w:autoSpaceDN w:val="0"/>
      <w:adjustRightInd w:val="0"/>
      <w:ind w:left="50"/>
    </w:pPr>
    <w:rPr>
      <w:rFonts w:ascii="Cambria" w:eastAsia="MS Mincho" w:hAnsi="Cambria" w:cs="Cambria"/>
      <w:lang w:val="es-ES" w:eastAsia="en-US"/>
    </w:rPr>
  </w:style>
  <w:style w:type="paragraph" w:customStyle="1" w:styleId="Numberedparagraphs">
    <w:name w:val="Numbered paragraphs"/>
    <w:basedOn w:val="Normal"/>
    <w:link w:val="NumberedparagraphsCar"/>
    <w:qFormat/>
    <w:rsid w:val="00565EC3"/>
    <w:pPr>
      <w:numPr>
        <w:numId w:val="26"/>
      </w:numPr>
      <w:spacing w:after="200"/>
      <w:jc w:val="both"/>
    </w:pPr>
    <w:rPr>
      <w:rFonts w:ascii="Verdana" w:eastAsia="MS Mincho" w:hAnsi="Verdana"/>
      <w:color w:val="000000"/>
      <w:sz w:val="20"/>
      <w:szCs w:val="20"/>
      <w:lang w:val="es-ES_tradnl" w:eastAsia="en-US"/>
    </w:rPr>
  </w:style>
  <w:style w:type="character" w:customStyle="1" w:styleId="NumberedparagraphsCar">
    <w:name w:val="Numbered paragraphs Car"/>
    <w:basedOn w:val="Fuentedeprrafopredeter"/>
    <w:link w:val="Numberedparagraphs"/>
    <w:rsid w:val="00565EC3"/>
    <w:rPr>
      <w:rFonts w:ascii="Verdana" w:eastAsia="MS Mincho" w:hAnsi="Verdana" w:cs="Times New Roman"/>
      <w:color w:val="000000"/>
      <w:sz w:val="20"/>
      <w:szCs w:val="20"/>
      <w:lang w:val="es-ES_tradnl"/>
    </w:rPr>
  </w:style>
  <w:style w:type="character" w:customStyle="1" w:styleId="sb8d990e2">
    <w:name w:val="sb8d990e2"/>
    <w:basedOn w:val="Fuentedeprrafopredeter"/>
    <w:rsid w:val="00565EC3"/>
  </w:style>
  <w:style w:type="character" w:customStyle="1" w:styleId="apple-style-span">
    <w:name w:val="apple-style-span"/>
    <w:basedOn w:val="Fuentedeprrafopredeter"/>
    <w:rsid w:val="00565EC3"/>
  </w:style>
  <w:style w:type="character" w:customStyle="1" w:styleId="FootnoteAnchor">
    <w:name w:val="Footnote Anchor"/>
    <w:rsid w:val="00464554"/>
    <w:rPr>
      <w:vertAlign w:val="superscript"/>
    </w:rPr>
  </w:style>
  <w:style w:type="character" w:styleId="nfasis">
    <w:name w:val="Emphasis"/>
    <w:basedOn w:val="Fuentedeprrafopredeter"/>
    <w:uiPriority w:val="20"/>
    <w:qFormat/>
    <w:rsid w:val="00780A7D"/>
    <w:rPr>
      <w:i/>
      <w:iCs/>
    </w:rPr>
  </w:style>
  <w:style w:type="character" w:customStyle="1" w:styleId="Estilo1Car">
    <w:name w:val="Estilo1 Car"/>
    <w:basedOn w:val="Fuentedeprrafopredeter"/>
    <w:link w:val="Estilo1"/>
    <w:locked/>
    <w:rsid w:val="00667311"/>
    <w:rPr>
      <w:rFonts w:ascii="Verdana" w:eastAsia="Batang" w:hAnsi="Verdana" w:cs="Times"/>
      <w:i/>
      <w:sz w:val="20"/>
      <w:szCs w:val="24"/>
      <w:lang w:val="es-ES_tradnl"/>
    </w:rPr>
  </w:style>
  <w:style w:type="paragraph" w:customStyle="1" w:styleId="Estilo1">
    <w:name w:val="Estilo1"/>
    <w:basedOn w:val="Normal"/>
    <w:link w:val="Estilo1Car"/>
    <w:qFormat/>
    <w:rsid w:val="00667311"/>
    <w:pPr>
      <w:spacing w:after="120"/>
      <w:ind w:left="2018" w:right="6" w:hanging="180"/>
      <w:jc w:val="both"/>
    </w:pPr>
    <w:rPr>
      <w:rFonts w:ascii="Verdana" w:eastAsia="Batang" w:hAnsi="Verdana" w:cs="Times"/>
      <w:i/>
      <w:sz w:val="20"/>
      <w:lang w:val="es-ES_tradnl" w:eastAsia="en-US"/>
    </w:rPr>
  </w:style>
  <w:style w:type="character" w:customStyle="1" w:styleId="SinespaciadoCar">
    <w:name w:val="Sin espaciado Car"/>
    <w:basedOn w:val="Fuentedeprrafopredeter"/>
    <w:link w:val="Sinespaciado"/>
    <w:uiPriority w:val="1"/>
    <w:rsid w:val="00667311"/>
    <w:rPr>
      <w:rFonts w:eastAsia="MS Mincho"/>
      <w:lang w:val="en-US"/>
    </w:rPr>
  </w:style>
  <w:style w:type="character" w:customStyle="1" w:styleId="Ttulo7Car">
    <w:name w:val="Título 7 Car"/>
    <w:basedOn w:val="Fuentedeprrafopredeter"/>
    <w:link w:val="Ttulo7"/>
    <w:uiPriority w:val="9"/>
    <w:rsid w:val="008C10F2"/>
    <w:rPr>
      <w:rFonts w:asciiTheme="majorHAnsi" w:eastAsiaTheme="majorEastAsia" w:hAnsiTheme="majorHAnsi" w:cstheme="majorBidi"/>
      <w:i/>
      <w:iCs/>
      <w:color w:val="1F4D78" w:themeColor="accent1" w:themeShade="7F"/>
      <w:sz w:val="24"/>
      <w:szCs w:val="24"/>
      <w:lang w:eastAsia="es-MX"/>
    </w:rPr>
  </w:style>
  <w:style w:type="character" w:customStyle="1" w:styleId="normaltextrun">
    <w:name w:val="normaltextrun"/>
    <w:basedOn w:val="Fuentedeprrafopredeter"/>
    <w:rsid w:val="000F0500"/>
  </w:style>
  <w:style w:type="paragraph" w:styleId="Textonotaalfinal">
    <w:name w:val="endnote text"/>
    <w:basedOn w:val="Normal"/>
    <w:link w:val="TextonotaalfinalCar"/>
    <w:rsid w:val="003E233C"/>
    <w:rPr>
      <w:rFonts w:ascii="Garamond" w:hAnsi="Garamond"/>
      <w:sz w:val="20"/>
      <w:szCs w:val="20"/>
      <w:lang w:val="es-ES_tradnl" w:eastAsia="en-US"/>
    </w:rPr>
  </w:style>
  <w:style w:type="character" w:customStyle="1" w:styleId="TextonotaalfinalCar">
    <w:name w:val="Texto nota al final Car"/>
    <w:basedOn w:val="Fuentedeprrafopredeter"/>
    <w:link w:val="Textonotaalfinal"/>
    <w:rsid w:val="003E233C"/>
    <w:rPr>
      <w:rFonts w:ascii="Garamond" w:eastAsia="Times New Roman" w:hAnsi="Garamond" w:cs="Times New Roman"/>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38735">
      <w:bodyDiv w:val="1"/>
      <w:marLeft w:val="0"/>
      <w:marRight w:val="0"/>
      <w:marTop w:val="0"/>
      <w:marBottom w:val="0"/>
      <w:divBdr>
        <w:top w:val="none" w:sz="0" w:space="0" w:color="auto"/>
        <w:left w:val="none" w:sz="0" w:space="0" w:color="auto"/>
        <w:bottom w:val="none" w:sz="0" w:space="0" w:color="auto"/>
        <w:right w:val="none" w:sz="0" w:space="0" w:color="auto"/>
      </w:divBdr>
      <w:divsChild>
        <w:div w:id="62604847">
          <w:marLeft w:val="0"/>
          <w:marRight w:val="0"/>
          <w:marTop w:val="0"/>
          <w:marBottom w:val="0"/>
          <w:divBdr>
            <w:top w:val="none" w:sz="0" w:space="0" w:color="auto"/>
            <w:left w:val="none" w:sz="0" w:space="0" w:color="auto"/>
            <w:bottom w:val="none" w:sz="0" w:space="0" w:color="auto"/>
            <w:right w:val="none" w:sz="0" w:space="0" w:color="auto"/>
          </w:divBdr>
          <w:divsChild>
            <w:div w:id="1657110163">
              <w:marLeft w:val="0"/>
              <w:marRight w:val="0"/>
              <w:marTop w:val="0"/>
              <w:marBottom w:val="0"/>
              <w:divBdr>
                <w:top w:val="none" w:sz="0" w:space="0" w:color="auto"/>
                <w:left w:val="none" w:sz="0" w:space="0" w:color="auto"/>
                <w:bottom w:val="none" w:sz="0" w:space="0" w:color="auto"/>
                <w:right w:val="none" w:sz="0" w:space="0" w:color="auto"/>
              </w:divBdr>
              <w:divsChild>
                <w:div w:id="12775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0242">
      <w:bodyDiv w:val="1"/>
      <w:marLeft w:val="0"/>
      <w:marRight w:val="0"/>
      <w:marTop w:val="0"/>
      <w:marBottom w:val="0"/>
      <w:divBdr>
        <w:top w:val="none" w:sz="0" w:space="0" w:color="auto"/>
        <w:left w:val="none" w:sz="0" w:space="0" w:color="auto"/>
        <w:bottom w:val="none" w:sz="0" w:space="0" w:color="auto"/>
        <w:right w:val="none" w:sz="0" w:space="0" w:color="auto"/>
      </w:divBdr>
    </w:div>
    <w:div w:id="100534495">
      <w:bodyDiv w:val="1"/>
      <w:marLeft w:val="0"/>
      <w:marRight w:val="0"/>
      <w:marTop w:val="0"/>
      <w:marBottom w:val="0"/>
      <w:divBdr>
        <w:top w:val="none" w:sz="0" w:space="0" w:color="auto"/>
        <w:left w:val="none" w:sz="0" w:space="0" w:color="auto"/>
        <w:bottom w:val="none" w:sz="0" w:space="0" w:color="auto"/>
        <w:right w:val="none" w:sz="0" w:space="0" w:color="auto"/>
      </w:divBdr>
    </w:div>
    <w:div w:id="171335250">
      <w:bodyDiv w:val="1"/>
      <w:marLeft w:val="0"/>
      <w:marRight w:val="0"/>
      <w:marTop w:val="0"/>
      <w:marBottom w:val="0"/>
      <w:divBdr>
        <w:top w:val="none" w:sz="0" w:space="0" w:color="auto"/>
        <w:left w:val="none" w:sz="0" w:space="0" w:color="auto"/>
        <w:bottom w:val="none" w:sz="0" w:space="0" w:color="auto"/>
        <w:right w:val="none" w:sz="0" w:space="0" w:color="auto"/>
      </w:divBdr>
      <w:divsChild>
        <w:div w:id="1590381757">
          <w:marLeft w:val="0"/>
          <w:marRight w:val="0"/>
          <w:marTop w:val="0"/>
          <w:marBottom w:val="0"/>
          <w:divBdr>
            <w:top w:val="none" w:sz="0" w:space="0" w:color="auto"/>
            <w:left w:val="none" w:sz="0" w:space="0" w:color="auto"/>
            <w:bottom w:val="none" w:sz="0" w:space="0" w:color="auto"/>
            <w:right w:val="none" w:sz="0" w:space="0" w:color="auto"/>
          </w:divBdr>
          <w:divsChild>
            <w:div w:id="1938639272">
              <w:marLeft w:val="0"/>
              <w:marRight w:val="0"/>
              <w:marTop w:val="0"/>
              <w:marBottom w:val="0"/>
              <w:divBdr>
                <w:top w:val="none" w:sz="0" w:space="0" w:color="auto"/>
                <w:left w:val="none" w:sz="0" w:space="0" w:color="auto"/>
                <w:bottom w:val="none" w:sz="0" w:space="0" w:color="auto"/>
                <w:right w:val="none" w:sz="0" w:space="0" w:color="auto"/>
              </w:divBdr>
              <w:divsChild>
                <w:div w:id="1914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2913">
      <w:bodyDiv w:val="1"/>
      <w:marLeft w:val="0"/>
      <w:marRight w:val="0"/>
      <w:marTop w:val="0"/>
      <w:marBottom w:val="0"/>
      <w:divBdr>
        <w:top w:val="none" w:sz="0" w:space="0" w:color="auto"/>
        <w:left w:val="none" w:sz="0" w:space="0" w:color="auto"/>
        <w:bottom w:val="none" w:sz="0" w:space="0" w:color="auto"/>
        <w:right w:val="none" w:sz="0" w:space="0" w:color="auto"/>
      </w:divBdr>
      <w:divsChild>
        <w:div w:id="1207451089">
          <w:marLeft w:val="0"/>
          <w:marRight w:val="0"/>
          <w:marTop w:val="0"/>
          <w:marBottom w:val="0"/>
          <w:divBdr>
            <w:top w:val="none" w:sz="0" w:space="0" w:color="auto"/>
            <w:left w:val="none" w:sz="0" w:space="0" w:color="auto"/>
            <w:bottom w:val="none" w:sz="0" w:space="0" w:color="auto"/>
            <w:right w:val="none" w:sz="0" w:space="0" w:color="auto"/>
          </w:divBdr>
          <w:divsChild>
            <w:div w:id="92286974">
              <w:marLeft w:val="0"/>
              <w:marRight w:val="0"/>
              <w:marTop w:val="0"/>
              <w:marBottom w:val="0"/>
              <w:divBdr>
                <w:top w:val="none" w:sz="0" w:space="0" w:color="auto"/>
                <w:left w:val="none" w:sz="0" w:space="0" w:color="auto"/>
                <w:bottom w:val="none" w:sz="0" w:space="0" w:color="auto"/>
                <w:right w:val="none" w:sz="0" w:space="0" w:color="auto"/>
              </w:divBdr>
              <w:divsChild>
                <w:div w:id="16009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06935">
      <w:bodyDiv w:val="1"/>
      <w:marLeft w:val="0"/>
      <w:marRight w:val="0"/>
      <w:marTop w:val="0"/>
      <w:marBottom w:val="0"/>
      <w:divBdr>
        <w:top w:val="none" w:sz="0" w:space="0" w:color="auto"/>
        <w:left w:val="none" w:sz="0" w:space="0" w:color="auto"/>
        <w:bottom w:val="none" w:sz="0" w:space="0" w:color="auto"/>
        <w:right w:val="none" w:sz="0" w:space="0" w:color="auto"/>
      </w:divBdr>
      <w:divsChild>
        <w:div w:id="1376198188">
          <w:marLeft w:val="0"/>
          <w:marRight w:val="0"/>
          <w:marTop w:val="0"/>
          <w:marBottom w:val="0"/>
          <w:divBdr>
            <w:top w:val="none" w:sz="0" w:space="0" w:color="auto"/>
            <w:left w:val="none" w:sz="0" w:space="0" w:color="auto"/>
            <w:bottom w:val="none" w:sz="0" w:space="0" w:color="auto"/>
            <w:right w:val="none" w:sz="0" w:space="0" w:color="auto"/>
          </w:divBdr>
          <w:divsChild>
            <w:div w:id="562445352">
              <w:marLeft w:val="0"/>
              <w:marRight w:val="0"/>
              <w:marTop w:val="0"/>
              <w:marBottom w:val="0"/>
              <w:divBdr>
                <w:top w:val="none" w:sz="0" w:space="0" w:color="auto"/>
                <w:left w:val="none" w:sz="0" w:space="0" w:color="auto"/>
                <w:bottom w:val="none" w:sz="0" w:space="0" w:color="auto"/>
                <w:right w:val="none" w:sz="0" w:space="0" w:color="auto"/>
              </w:divBdr>
              <w:divsChild>
                <w:div w:id="6049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13829">
      <w:bodyDiv w:val="1"/>
      <w:marLeft w:val="0"/>
      <w:marRight w:val="0"/>
      <w:marTop w:val="0"/>
      <w:marBottom w:val="0"/>
      <w:divBdr>
        <w:top w:val="none" w:sz="0" w:space="0" w:color="auto"/>
        <w:left w:val="none" w:sz="0" w:space="0" w:color="auto"/>
        <w:bottom w:val="none" w:sz="0" w:space="0" w:color="auto"/>
        <w:right w:val="none" w:sz="0" w:space="0" w:color="auto"/>
      </w:divBdr>
    </w:div>
    <w:div w:id="331882112">
      <w:bodyDiv w:val="1"/>
      <w:marLeft w:val="0"/>
      <w:marRight w:val="0"/>
      <w:marTop w:val="0"/>
      <w:marBottom w:val="0"/>
      <w:divBdr>
        <w:top w:val="none" w:sz="0" w:space="0" w:color="auto"/>
        <w:left w:val="none" w:sz="0" w:space="0" w:color="auto"/>
        <w:bottom w:val="none" w:sz="0" w:space="0" w:color="auto"/>
        <w:right w:val="none" w:sz="0" w:space="0" w:color="auto"/>
      </w:divBdr>
      <w:divsChild>
        <w:div w:id="1113942127">
          <w:marLeft w:val="0"/>
          <w:marRight w:val="0"/>
          <w:marTop w:val="0"/>
          <w:marBottom w:val="0"/>
          <w:divBdr>
            <w:top w:val="none" w:sz="0" w:space="0" w:color="auto"/>
            <w:left w:val="none" w:sz="0" w:space="0" w:color="auto"/>
            <w:bottom w:val="none" w:sz="0" w:space="0" w:color="auto"/>
            <w:right w:val="none" w:sz="0" w:space="0" w:color="auto"/>
          </w:divBdr>
          <w:divsChild>
            <w:div w:id="757168705">
              <w:marLeft w:val="0"/>
              <w:marRight w:val="0"/>
              <w:marTop w:val="0"/>
              <w:marBottom w:val="0"/>
              <w:divBdr>
                <w:top w:val="none" w:sz="0" w:space="0" w:color="auto"/>
                <w:left w:val="none" w:sz="0" w:space="0" w:color="auto"/>
                <w:bottom w:val="none" w:sz="0" w:space="0" w:color="auto"/>
                <w:right w:val="none" w:sz="0" w:space="0" w:color="auto"/>
              </w:divBdr>
              <w:divsChild>
                <w:div w:id="9051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41949">
      <w:bodyDiv w:val="1"/>
      <w:marLeft w:val="0"/>
      <w:marRight w:val="0"/>
      <w:marTop w:val="0"/>
      <w:marBottom w:val="0"/>
      <w:divBdr>
        <w:top w:val="none" w:sz="0" w:space="0" w:color="auto"/>
        <w:left w:val="none" w:sz="0" w:space="0" w:color="auto"/>
        <w:bottom w:val="none" w:sz="0" w:space="0" w:color="auto"/>
        <w:right w:val="none" w:sz="0" w:space="0" w:color="auto"/>
      </w:divBdr>
      <w:divsChild>
        <w:div w:id="445082505">
          <w:marLeft w:val="0"/>
          <w:marRight w:val="0"/>
          <w:marTop w:val="0"/>
          <w:marBottom w:val="0"/>
          <w:divBdr>
            <w:top w:val="none" w:sz="0" w:space="0" w:color="auto"/>
            <w:left w:val="none" w:sz="0" w:space="0" w:color="auto"/>
            <w:bottom w:val="none" w:sz="0" w:space="0" w:color="auto"/>
            <w:right w:val="none" w:sz="0" w:space="0" w:color="auto"/>
          </w:divBdr>
          <w:divsChild>
            <w:div w:id="417364848">
              <w:marLeft w:val="0"/>
              <w:marRight w:val="0"/>
              <w:marTop w:val="0"/>
              <w:marBottom w:val="0"/>
              <w:divBdr>
                <w:top w:val="none" w:sz="0" w:space="0" w:color="auto"/>
                <w:left w:val="none" w:sz="0" w:space="0" w:color="auto"/>
                <w:bottom w:val="none" w:sz="0" w:space="0" w:color="auto"/>
                <w:right w:val="none" w:sz="0" w:space="0" w:color="auto"/>
              </w:divBdr>
              <w:divsChild>
                <w:div w:id="3910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713465">
      <w:bodyDiv w:val="1"/>
      <w:marLeft w:val="0"/>
      <w:marRight w:val="0"/>
      <w:marTop w:val="0"/>
      <w:marBottom w:val="0"/>
      <w:divBdr>
        <w:top w:val="none" w:sz="0" w:space="0" w:color="auto"/>
        <w:left w:val="none" w:sz="0" w:space="0" w:color="auto"/>
        <w:bottom w:val="none" w:sz="0" w:space="0" w:color="auto"/>
        <w:right w:val="none" w:sz="0" w:space="0" w:color="auto"/>
      </w:divBdr>
      <w:divsChild>
        <w:div w:id="156193762">
          <w:marLeft w:val="0"/>
          <w:marRight w:val="0"/>
          <w:marTop w:val="0"/>
          <w:marBottom w:val="0"/>
          <w:divBdr>
            <w:top w:val="none" w:sz="0" w:space="0" w:color="auto"/>
            <w:left w:val="none" w:sz="0" w:space="0" w:color="auto"/>
            <w:bottom w:val="none" w:sz="0" w:space="0" w:color="auto"/>
            <w:right w:val="none" w:sz="0" w:space="0" w:color="auto"/>
          </w:divBdr>
          <w:divsChild>
            <w:div w:id="1099059106">
              <w:marLeft w:val="0"/>
              <w:marRight w:val="0"/>
              <w:marTop w:val="0"/>
              <w:marBottom w:val="0"/>
              <w:divBdr>
                <w:top w:val="none" w:sz="0" w:space="0" w:color="auto"/>
                <w:left w:val="none" w:sz="0" w:space="0" w:color="auto"/>
                <w:bottom w:val="none" w:sz="0" w:space="0" w:color="auto"/>
                <w:right w:val="none" w:sz="0" w:space="0" w:color="auto"/>
              </w:divBdr>
              <w:divsChild>
                <w:div w:id="4565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639585">
      <w:bodyDiv w:val="1"/>
      <w:marLeft w:val="0"/>
      <w:marRight w:val="0"/>
      <w:marTop w:val="0"/>
      <w:marBottom w:val="0"/>
      <w:divBdr>
        <w:top w:val="none" w:sz="0" w:space="0" w:color="auto"/>
        <w:left w:val="none" w:sz="0" w:space="0" w:color="auto"/>
        <w:bottom w:val="none" w:sz="0" w:space="0" w:color="auto"/>
        <w:right w:val="none" w:sz="0" w:space="0" w:color="auto"/>
      </w:divBdr>
      <w:divsChild>
        <w:div w:id="997028759">
          <w:marLeft w:val="0"/>
          <w:marRight w:val="0"/>
          <w:marTop w:val="0"/>
          <w:marBottom w:val="0"/>
          <w:divBdr>
            <w:top w:val="none" w:sz="0" w:space="0" w:color="auto"/>
            <w:left w:val="none" w:sz="0" w:space="0" w:color="auto"/>
            <w:bottom w:val="none" w:sz="0" w:space="0" w:color="auto"/>
            <w:right w:val="none" w:sz="0" w:space="0" w:color="auto"/>
          </w:divBdr>
          <w:divsChild>
            <w:div w:id="2071690774">
              <w:marLeft w:val="0"/>
              <w:marRight w:val="0"/>
              <w:marTop w:val="0"/>
              <w:marBottom w:val="0"/>
              <w:divBdr>
                <w:top w:val="none" w:sz="0" w:space="0" w:color="auto"/>
                <w:left w:val="none" w:sz="0" w:space="0" w:color="auto"/>
                <w:bottom w:val="none" w:sz="0" w:space="0" w:color="auto"/>
                <w:right w:val="none" w:sz="0" w:space="0" w:color="auto"/>
              </w:divBdr>
              <w:divsChild>
                <w:div w:id="1255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01626">
      <w:bodyDiv w:val="1"/>
      <w:marLeft w:val="0"/>
      <w:marRight w:val="0"/>
      <w:marTop w:val="0"/>
      <w:marBottom w:val="0"/>
      <w:divBdr>
        <w:top w:val="none" w:sz="0" w:space="0" w:color="auto"/>
        <w:left w:val="none" w:sz="0" w:space="0" w:color="auto"/>
        <w:bottom w:val="none" w:sz="0" w:space="0" w:color="auto"/>
        <w:right w:val="none" w:sz="0" w:space="0" w:color="auto"/>
      </w:divBdr>
    </w:div>
    <w:div w:id="463237248">
      <w:bodyDiv w:val="1"/>
      <w:marLeft w:val="0"/>
      <w:marRight w:val="0"/>
      <w:marTop w:val="0"/>
      <w:marBottom w:val="0"/>
      <w:divBdr>
        <w:top w:val="none" w:sz="0" w:space="0" w:color="auto"/>
        <w:left w:val="none" w:sz="0" w:space="0" w:color="auto"/>
        <w:bottom w:val="none" w:sz="0" w:space="0" w:color="auto"/>
        <w:right w:val="none" w:sz="0" w:space="0" w:color="auto"/>
      </w:divBdr>
      <w:divsChild>
        <w:div w:id="1882329253">
          <w:marLeft w:val="0"/>
          <w:marRight w:val="0"/>
          <w:marTop w:val="0"/>
          <w:marBottom w:val="0"/>
          <w:divBdr>
            <w:top w:val="none" w:sz="0" w:space="0" w:color="auto"/>
            <w:left w:val="none" w:sz="0" w:space="0" w:color="auto"/>
            <w:bottom w:val="none" w:sz="0" w:space="0" w:color="auto"/>
            <w:right w:val="none" w:sz="0" w:space="0" w:color="auto"/>
          </w:divBdr>
          <w:divsChild>
            <w:div w:id="1250310448">
              <w:marLeft w:val="0"/>
              <w:marRight w:val="0"/>
              <w:marTop w:val="0"/>
              <w:marBottom w:val="0"/>
              <w:divBdr>
                <w:top w:val="none" w:sz="0" w:space="0" w:color="auto"/>
                <w:left w:val="none" w:sz="0" w:space="0" w:color="auto"/>
                <w:bottom w:val="none" w:sz="0" w:space="0" w:color="auto"/>
                <w:right w:val="none" w:sz="0" w:space="0" w:color="auto"/>
              </w:divBdr>
              <w:divsChild>
                <w:div w:id="13779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5270">
      <w:bodyDiv w:val="1"/>
      <w:marLeft w:val="0"/>
      <w:marRight w:val="0"/>
      <w:marTop w:val="0"/>
      <w:marBottom w:val="0"/>
      <w:divBdr>
        <w:top w:val="none" w:sz="0" w:space="0" w:color="auto"/>
        <w:left w:val="none" w:sz="0" w:space="0" w:color="auto"/>
        <w:bottom w:val="none" w:sz="0" w:space="0" w:color="auto"/>
        <w:right w:val="none" w:sz="0" w:space="0" w:color="auto"/>
      </w:divBdr>
      <w:divsChild>
        <w:div w:id="1375234313">
          <w:marLeft w:val="0"/>
          <w:marRight w:val="0"/>
          <w:marTop w:val="0"/>
          <w:marBottom w:val="0"/>
          <w:divBdr>
            <w:top w:val="none" w:sz="0" w:space="0" w:color="auto"/>
            <w:left w:val="none" w:sz="0" w:space="0" w:color="auto"/>
            <w:bottom w:val="none" w:sz="0" w:space="0" w:color="auto"/>
            <w:right w:val="none" w:sz="0" w:space="0" w:color="auto"/>
          </w:divBdr>
          <w:divsChild>
            <w:div w:id="1946887253">
              <w:marLeft w:val="0"/>
              <w:marRight w:val="0"/>
              <w:marTop w:val="0"/>
              <w:marBottom w:val="0"/>
              <w:divBdr>
                <w:top w:val="none" w:sz="0" w:space="0" w:color="auto"/>
                <w:left w:val="none" w:sz="0" w:space="0" w:color="auto"/>
                <w:bottom w:val="none" w:sz="0" w:space="0" w:color="auto"/>
                <w:right w:val="none" w:sz="0" w:space="0" w:color="auto"/>
              </w:divBdr>
              <w:divsChild>
                <w:div w:id="11945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7159">
      <w:bodyDiv w:val="1"/>
      <w:marLeft w:val="0"/>
      <w:marRight w:val="0"/>
      <w:marTop w:val="0"/>
      <w:marBottom w:val="0"/>
      <w:divBdr>
        <w:top w:val="none" w:sz="0" w:space="0" w:color="auto"/>
        <w:left w:val="none" w:sz="0" w:space="0" w:color="auto"/>
        <w:bottom w:val="none" w:sz="0" w:space="0" w:color="auto"/>
        <w:right w:val="none" w:sz="0" w:space="0" w:color="auto"/>
      </w:divBdr>
    </w:div>
    <w:div w:id="541787503">
      <w:bodyDiv w:val="1"/>
      <w:marLeft w:val="0"/>
      <w:marRight w:val="0"/>
      <w:marTop w:val="0"/>
      <w:marBottom w:val="0"/>
      <w:divBdr>
        <w:top w:val="none" w:sz="0" w:space="0" w:color="auto"/>
        <w:left w:val="none" w:sz="0" w:space="0" w:color="auto"/>
        <w:bottom w:val="none" w:sz="0" w:space="0" w:color="auto"/>
        <w:right w:val="none" w:sz="0" w:space="0" w:color="auto"/>
      </w:divBdr>
      <w:divsChild>
        <w:div w:id="1239051693">
          <w:marLeft w:val="0"/>
          <w:marRight w:val="0"/>
          <w:marTop w:val="0"/>
          <w:marBottom w:val="0"/>
          <w:divBdr>
            <w:top w:val="none" w:sz="0" w:space="0" w:color="auto"/>
            <w:left w:val="none" w:sz="0" w:space="0" w:color="auto"/>
            <w:bottom w:val="none" w:sz="0" w:space="0" w:color="auto"/>
            <w:right w:val="none" w:sz="0" w:space="0" w:color="auto"/>
          </w:divBdr>
          <w:divsChild>
            <w:div w:id="1159540474">
              <w:marLeft w:val="0"/>
              <w:marRight w:val="0"/>
              <w:marTop w:val="0"/>
              <w:marBottom w:val="0"/>
              <w:divBdr>
                <w:top w:val="none" w:sz="0" w:space="0" w:color="auto"/>
                <w:left w:val="none" w:sz="0" w:space="0" w:color="auto"/>
                <w:bottom w:val="none" w:sz="0" w:space="0" w:color="auto"/>
                <w:right w:val="none" w:sz="0" w:space="0" w:color="auto"/>
              </w:divBdr>
              <w:divsChild>
                <w:div w:id="7082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83347">
      <w:bodyDiv w:val="1"/>
      <w:marLeft w:val="0"/>
      <w:marRight w:val="0"/>
      <w:marTop w:val="0"/>
      <w:marBottom w:val="0"/>
      <w:divBdr>
        <w:top w:val="none" w:sz="0" w:space="0" w:color="auto"/>
        <w:left w:val="none" w:sz="0" w:space="0" w:color="auto"/>
        <w:bottom w:val="none" w:sz="0" w:space="0" w:color="auto"/>
        <w:right w:val="none" w:sz="0" w:space="0" w:color="auto"/>
      </w:divBdr>
      <w:divsChild>
        <w:div w:id="764232039">
          <w:marLeft w:val="0"/>
          <w:marRight w:val="0"/>
          <w:marTop w:val="0"/>
          <w:marBottom w:val="0"/>
          <w:divBdr>
            <w:top w:val="none" w:sz="0" w:space="0" w:color="auto"/>
            <w:left w:val="none" w:sz="0" w:space="0" w:color="auto"/>
            <w:bottom w:val="none" w:sz="0" w:space="0" w:color="auto"/>
            <w:right w:val="none" w:sz="0" w:space="0" w:color="auto"/>
          </w:divBdr>
          <w:divsChild>
            <w:div w:id="1167357741">
              <w:marLeft w:val="0"/>
              <w:marRight w:val="0"/>
              <w:marTop w:val="0"/>
              <w:marBottom w:val="0"/>
              <w:divBdr>
                <w:top w:val="none" w:sz="0" w:space="0" w:color="auto"/>
                <w:left w:val="none" w:sz="0" w:space="0" w:color="auto"/>
                <w:bottom w:val="none" w:sz="0" w:space="0" w:color="auto"/>
                <w:right w:val="none" w:sz="0" w:space="0" w:color="auto"/>
              </w:divBdr>
              <w:divsChild>
                <w:div w:id="5324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17123">
      <w:bodyDiv w:val="1"/>
      <w:marLeft w:val="0"/>
      <w:marRight w:val="0"/>
      <w:marTop w:val="0"/>
      <w:marBottom w:val="0"/>
      <w:divBdr>
        <w:top w:val="none" w:sz="0" w:space="0" w:color="auto"/>
        <w:left w:val="none" w:sz="0" w:space="0" w:color="auto"/>
        <w:bottom w:val="none" w:sz="0" w:space="0" w:color="auto"/>
        <w:right w:val="none" w:sz="0" w:space="0" w:color="auto"/>
      </w:divBdr>
      <w:divsChild>
        <w:div w:id="1172724867">
          <w:marLeft w:val="0"/>
          <w:marRight w:val="0"/>
          <w:marTop w:val="0"/>
          <w:marBottom w:val="0"/>
          <w:divBdr>
            <w:top w:val="none" w:sz="0" w:space="0" w:color="auto"/>
            <w:left w:val="none" w:sz="0" w:space="0" w:color="auto"/>
            <w:bottom w:val="none" w:sz="0" w:space="0" w:color="auto"/>
            <w:right w:val="none" w:sz="0" w:space="0" w:color="auto"/>
          </w:divBdr>
          <w:divsChild>
            <w:div w:id="526212274">
              <w:marLeft w:val="0"/>
              <w:marRight w:val="0"/>
              <w:marTop w:val="0"/>
              <w:marBottom w:val="0"/>
              <w:divBdr>
                <w:top w:val="none" w:sz="0" w:space="0" w:color="auto"/>
                <w:left w:val="none" w:sz="0" w:space="0" w:color="auto"/>
                <w:bottom w:val="none" w:sz="0" w:space="0" w:color="auto"/>
                <w:right w:val="none" w:sz="0" w:space="0" w:color="auto"/>
              </w:divBdr>
              <w:divsChild>
                <w:div w:id="2879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8144">
      <w:bodyDiv w:val="1"/>
      <w:marLeft w:val="0"/>
      <w:marRight w:val="0"/>
      <w:marTop w:val="0"/>
      <w:marBottom w:val="0"/>
      <w:divBdr>
        <w:top w:val="none" w:sz="0" w:space="0" w:color="auto"/>
        <w:left w:val="none" w:sz="0" w:space="0" w:color="auto"/>
        <w:bottom w:val="none" w:sz="0" w:space="0" w:color="auto"/>
        <w:right w:val="none" w:sz="0" w:space="0" w:color="auto"/>
      </w:divBdr>
    </w:div>
    <w:div w:id="744958182">
      <w:bodyDiv w:val="1"/>
      <w:marLeft w:val="0"/>
      <w:marRight w:val="0"/>
      <w:marTop w:val="0"/>
      <w:marBottom w:val="0"/>
      <w:divBdr>
        <w:top w:val="none" w:sz="0" w:space="0" w:color="auto"/>
        <w:left w:val="none" w:sz="0" w:space="0" w:color="auto"/>
        <w:bottom w:val="none" w:sz="0" w:space="0" w:color="auto"/>
        <w:right w:val="none" w:sz="0" w:space="0" w:color="auto"/>
      </w:divBdr>
      <w:divsChild>
        <w:div w:id="239677021">
          <w:marLeft w:val="0"/>
          <w:marRight w:val="0"/>
          <w:marTop w:val="0"/>
          <w:marBottom w:val="0"/>
          <w:divBdr>
            <w:top w:val="none" w:sz="0" w:space="0" w:color="auto"/>
            <w:left w:val="none" w:sz="0" w:space="0" w:color="auto"/>
            <w:bottom w:val="none" w:sz="0" w:space="0" w:color="auto"/>
            <w:right w:val="none" w:sz="0" w:space="0" w:color="auto"/>
          </w:divBdr>
          <w:divsChild>
            <w:div w:id="1126854804">
              <w:marLeft w:val="0"/>
              <w:marRight w:val="0"/>
              <w:marTop w:val="0"/>
              <w:marBottom w:val="0"/>
              <w:divBdr>
                <w:top w:val="none" w:sz="0" w:space="0" w:color="auto"/>
                <w:left w:val="none" w:sz="0" w:space="0" w:color="auto"/>
                <w:bottom w:val="none" w:sz="0" w:space="0" w:color="auto"/>
                <w:right w:val="none" w:sz="0" w:space="0" w:color="auto"/>
              </w:divBdr>
              <w:divsChild>
                <w:div w:id="19603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064280">
      <w:bodyDiv w:val="1"/>
      <w:marLeft w:val="0"/>
      <w:marRight w:val="0"/>
      <w:marTop w:val="0"/>
      <w:marBottom w:val="0"/>
      <w:divBdr>
        <w:top w:val="none" w:sz="0" w:space="0" w:color="auto"/>
        <w:left w:val="none" w:sz="0" w:space="0" w:color="auto"/>
        <w:bottom w:val="none" w:sz="0" w:space="0" w:color="auto"/>
        <w:right w:val="none" w:sz="0" w:space="0" w:color="auto"/>
      </w:divBdr>
    </w:div>
    <w:div w:id="778062079">
      <w:bodyDiv w:val="1"/>
      <w:marLeft w:val="0"/>
      <w:marRight w:val="0"/>
      <w:marTop w:val="0"/>
      <w:marBottom w:val="0"/>
      <w:divBdr>
        <w:top w:val="none" w:sz="0" w:space="0" w:color="auto"/>
        <w:left w:val="none" w:sz="0" w:space="0" w:color="auto"/>
        <w:bottom w:val="none" w:sz="0" w:space="0" w:color="auto"/>
        <w:right w:val="none" w:sz="0" w:space="0" w:color="auto"/>
      </w:divBdr>
      <w:divsChild>
        <w:div w:id="496846631">
          <w:marLeft w:val="0"/>
          <w:marRight w:val="0"/>
          <w:marTop w:val="0"/>
          <w:marBottom w:val="0"/>
          <w:divBdr>
            <w:top w:val="none" w:sz="0" w:space="0" w:color="auto"/>
            <w:left w:val="none" w:sz="0" w:space="0" w:color="auto"/>
            <w:bottom w:val="none" w:sz="0" w:space="0" w:color="auto"/>
            <w:right w:val="none" w:sz="0" w:space="0" w:color="auto"/>
          </w:divBdr>
          <w:divsChild>
            <w:div w:id="1758483112">
              <w:marLeft w:val="0"/>
              <w:marRight w:val="0"/>
              <w:marTop w:val="0"/>
              <w:marBottom w:val="0"/>
              <w:divBdr>
                <w:top w:val="none" w:sz="0" w:space="0" w:color="auto"/>
                <w:left w:val="none" w:sz="0" w:space="0" w:color="auto"/>
                <w:bottom w:val="none" w:sz="0" w:space="0" w:color="auto"/>
                <w:right w:val="none" w:sz="0" w:space="0" w:color="auto"/>
              </w:divBdr>
              <w:divsChild>
                <w:div w:id="5386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26233">
      <w:bodyDiv w:val="1"/>
      <w:marLeft w:val="0"/>
      <w:marRight w:val="0"/>
      <w:marTop w:val="0"/>
      <w:marBottom w:val="0"/>
      <w:divBdr>
        <w:top w:val="none" w:sz="0" w:space="0" w:color="auto"/>
        <w:left w:val="none" w:sz="0" w:space="0" w:color="auto"/>
        <w:bottom w:val="none" w:sz="0" w:space="0" w:color="auto"/>
        <w:right w:val="none" w:sz="0" w:space="0" w:color="auto"/>
      </w:divBdr>
      <w:divsChild>
        <w:div w:id="950237811">
          <w:marLeft w:val="0"/>
          <w:marRight w:val="0"/>
          <w:marTop w:val="0"/>
          <w:marBottom w:val="0"/>
          <w:divBdr>
            <w:top w:val="none" w:sz="0" w:space="0" w:color="auto"/>
            <w:left w:val="none" w:sz="0" w:space="0" w:color="auto"/>
            <w:bottom w:val="none" w:sz="0" w:space="0" w:color="auto"/>
            <w:right w:val="none" w:sz="0" w:space="0" w:color="auto"/>
          </w:divBdr>
          <w:divsChild>
            <w:div w:id="85003263">
              <w:marLeft w:val="0"/>
              <w:marRight w:val="0"/>
              <w:marTop w:val="0"/>
              <w:marBottom w:val="0"/>
              <w:divBdr>
                <w:top w:val="none" w:sz="0" w:space="0" w:color="auto"/>
                <w:left w:val="none" w:sz="0" w:space="0" w:color="auto"/>
                <w:bottom w:val="none" w:sz="0" w:space="0" w:color="auto"/>
                <w:right w:val="none" w:sz="0" w:space="0" w:color="auto"/>
              </w:divBdr>
              <w:divsChild>
                <w:div w:id="11306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2416">
      <w:bodyDiv w:val="1"/>
      <w:marLeft w:val="0"/>
      <w:marRight w:val="0"/>
      <w:marTop w:val="0"/>
      <w:marBottom w:val="0"/>
      <w:divBdr>
        <w:top w:val="none" w:sz="0" w:space="0" w:color="auto"/>
        <w:left w:val="none" w:sz="0" w:space="0" w:color="auto"/>
        <w:bottom w:val="none" w:sz="0" w:space="0" w:color="auto"/>
        <w:right w:val="none" w:sz="0" w:space="0" w:color="auto"/>
      </w:divBdr>
      <w:divsChild>
        <w:div w:id="362444336">
          <w:marLeft w:val="0"/>
          <w:marRight w:val="0"/>
          <w:marTop w:val="0"/>
          <w:marBottom w:val="0"/>
          <w:divBdr>
            <w:top w:val="none" w:sz="0" w:space="0" w:color="auto"/>
            <w:left w:val="none" w:sz="0" w:space="0" w:color="auto"/>
            <w:bottom w:val="none" w:sz="0" w:space="0" w:color="auto"/>
            <w:right w:val="none" w:sz="0" w:space="0" w:color="auto"/>
          </w:divBdr>
          <w:divsChild>
            <w:div w:id="422459907">
              <w:marLeft w:val="0"/>
              <w:marRight w:val="0"/>
              <w:marTop w:val="0"/>
              <w:marBottom w:val="0"/>
              <w:divBdr>
                <w:top w:val="none" w:sz="0" w:space="0" w:color="auto"/>
                <w:left w:val="none" w:sz="0" w:space="0" w:color="auto"/>
                <w:bottom w:val="none" w:sz="0" w:space="0" w:color="auto"/>
                <w:right w:val="none" w:sz="0" w:space="0" w:color="auto"/>
              </w:divBdr>
              <w:divsChild>
                <w:div w:id="6764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42239">
      <w:bodyDiv w:val="1"/>
      <w:marLeft w:val="0"/>
      <w:marRight w:val="0"/>
      <w:marTop w:val="0"/>
      <w:marBottom w:val="0"/>
      <w:divBdr>
        <w:top w:val="none" w:sz="0" w:space="0" w:color="auto"/>
        <w:left w:val="none" w:sz="0" w:space="0" w:color="auto"/>
        <w:bottom w:val="none" w:sz="0" w:space="0" w:color="auto"/>
        <w:right w:val="none" w:sz="0" w:space="0" w:color="auto"/>
      </w:divBdr>
      <w:divsChild>
        <w:div w:id="866795152">
          <w:marLeft w:val="0"/>
          <w:marRight w:val="0"/>
          <w:marTop w:val="0"/>
          <w:marBottom w:val="0"/>
          <w:divBdr>
            <w:top w:val="none" w:sz="0" w:space="0" w:color="auto"/>
            <w:left w:val="none" w:sz="0" w:space="0" w:color="auto"/>
            <w:bottom w:val="none" w:sz="0" w:space="0" w:color="auto"/>
            <w:right w:val="none" w:sz="0" w:space="0" w:color="auto"/>
          </w:divBdr>
          <w:divsChild>
            <w:div w:id="517740180">
              <w:marLeft w:val="0"/>
              <w:marRight w:val="0"/>
              <w:marTop w:val="0"/>
              <w:marBottom w:val="0"/>
              <w:divBdr>
                <w:top w:val="none" w:sz="0" w:space="0" w:color="auto"/>
                <w:left w:val="none" w:sz="0" w:space="0" w:color="auto"/>
                <w:bottom w:val="none" w:sz="0" w:space="0" w:color="auto"/>
                <w:right w:val="none" w:sz="0" w:space="0" w:color="auto"/>
              </w:divBdr>
              <w:divsChild>
                <w:div w:id="2103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03082">
      <w:bodyDiv w:val="1"/>
      <w:marLeft w:val="0"/>
      <w:marRight w:val="0"/>
      <w:marTop w:val="0"/>
      <w:marBottom w:val="0"/>
      <w:divBdr>
        <w:top w:val="none" w:sz="0" w:space="0" w:color="auto"/>
        <w:left w:val="none" w:sz="0" w:space="0" w:color="auto"/>
        <w:bottom w:val="none" w:sz="0" w:space="0" w:color="auto"/>
        <w:right w:val="none" w:sz="0" w:space="0" w:color="auto"/>
      </w:divBdr>
      <w:divsChild>
        <w:div w:id="2115981939">
          <w:marLeft w:val="0"/>
          <w:marRight w:val="0"/>
          <w:marTop w:val="0"/>
          <w:marBottom w:val="0"/>
          <w:divBdr>
            <w:top w:val="none" w:sz="0" w:space="0" w:color="auto"/>
            <w:left w:val="none" w:sz="0" w:space="0" w:color="auto"/>
            <w:bottom w:val="none" w:sz="0" w:space="0" w:color="auto"/>
            <w:right w:val="none" w:sz="0" w:space="0" w:color="auto"/>
          </w:divBdr>
          <w:divsChild>
            <w:div w:id="651914197">
              <w:marLeft w:val="0"/>
              <w:marRight w:val="0"/>
              <w:marTop w:val="0"/>
              <w:marBottom w:val="0"/>
              <w:divBdr>
                <w:top w:val="none" w:sz="0" w:space="0" w:color="auto"/>
                <w:left w:val="none" w:sz="0" w:space="0" w:color="auto"/>
                <w:bottom w:val="none" w:sz="0" w:space="0" w:color="auto"/>
                <w:right w:val="none" w:sz="0" w:space="0" w:color="auto"/>
              </w:divBdr>
              <w:divsChild>
                <w:div w:id="10075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44551">
      <w:bodyDiv w:val="1"/>
      <w:marLeft w:val="0"/>
      <w:marRight w:val="0"/>
      <w:marTop w:val="0"/>
      <w:marBottom w:val="0"/>
      <w:divBdr>
        <w:top w:val="none" w:sz="0" w:space="0" w:color="auto"/>
        <w:left w:val="none" w:sz="0" w:space="0" w:color="auto"/>
        <w:bottom w:val="none" w:sz="0" w:space="0" w:color="auto"/>
        <w:right w:val="none" w:sz="0" w:space="0" w:color="auto"/>
      </w:divBdr>
      <w:divsChild>
        <w:div w:id="2046710124">
          <w:marLeft w:val="0"/>
          <w:marRight w:val="0"/>
          <w:marTop w:val="0"/>
          <w:marBottom w:val="0"/>
          <w:divBdr>
            <w:top w:val="none" w:sz="0" w:space="0" w:color="auto"/>
            <w:left w:val="none" w:sz="0" w:space="0" w:color="auto"/>
            <w:bottom w:val="none" w:sz="0" w:space="0" w:color="auto"/>
            <w:right w:val="none" w:sz="0" w:space="0" w:color="auto"/>
          </w:divBdr>
          <w:divsChild>
            <w:div w:id="134301817">
              <w:marLeft w:val="0"/>
              <w:marRight w:val="0"/>
              <w:marTop w:val="0"/>
              <w:marBottom w:val="0"/>
              <w:divBdr>
                <w:top w:val="none" w:sz="0" w:space="0" w:color="auto"/>
                <w:left w:val="none" w:sz="0" w:space="0" w:color="auto"/>
                <w:bottom w:val="none" w:sz="0" w:space="0" w:color="auto"/>
                <w:right w:val="none" w:sz="0" w:space="0" w:color="auto"/>
              </w:divBdr>
              <w:divsChild>
                <w:div w:id="14393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065425">
      <w:bodyDiv w:val="1"/>
      <w:marLeft w:val="0"/>
      <w:marRight w:val="0"/>
      <w:marTop w:val="0"/>
      <w:marBottom w:val="0"/>
      <w:divBdr>
        <w:top w:val="none" w:sz="0" w:space="0" w:color="auto"/>
        <w:left w:val="none" w:sz="0" w:space="0" w:color="auto"/>
        <w:bottom w:val="none" w:sz="0" w:space="0" w:color="auto"/>
        <w:right w:val="none" w:sz="0" w:space="0" w:color="auto"/>
      </w:divBdr>
      <w:divsChild>
        <w:div w:id="259921209">
          <w:marLeft w:val="0"/>
          <w:marRight w:val="0"/>
          <w:marTop w:val="0"/>
          <w:marBottom w:val="0"/>
          <w:divBdr>
            <w:top w:val="none" w:sz="0" w:space="0" w:color="auto"/>
            <w:left w:val="none" w:sz="0" w:space="0" w:color="auto"/>
            <w:bottom w:val="none" w:sz="0" w:space="0" w:color="auto"/>
            <w:right w:val="none" w:sz="0" w:space="0" w:color="auto"/>
          </w:divBdr>
          <w:divsChild>
            <w:div w:id="612711118">
              <w:marLeft w:val="0"/>
              <w:marRight w:val="0"/>
              <w:marTop w:val="0"/>
              <w:marBottom w:val="0"/>
              <w:divBdr>
                <w:top w:val="none" w:sz="0" w:space="0" w:color="auto"/>
                <w:left w:val="none" w:sz="0" w:space="0" w:color="auto"/>
                <w:bottom w:val="none" w:sz="0" w:space="0" w:color="auto"/>
                <w:right w:val="none" w:sz="0" w:space="0" w:color="auto"/>
              </w:divBdr>
              <w:divsChild>
                <w:div w:id="21444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056614">
      <w:bodyDiv w:val="1"/>
      <w:marLeft w:val="0"/>
      <w:marRight w:val="0"/>
      <w:marTop w:val="0"/>
      <w:marBottom w:val="0"/>
      <w:divBdr>
        <w:top w:val="none" w:sz="0" w:space="0" w:color="auto"/>
        <w:left w:val="none" w:sz="0" w:space="0" w:color="auto"/>
        <w:bottom w:val="none" w:sz="0" w:space="0" w:color="auto"/>
        <w:right w:val="none" w:sz="0" w:space="0" w:color="auto"/>
      </w:divBdr>
      <w:divsChild>
        <w:div w:id="1843397307">
          <w:marLeft w:val="0"/>
          <w:marRight w:val="0"/>
          <w:marTop w:val="0"/>
          <w:marBottom w:val="0"/>
          <w:divBdr>
            <w:top w:val="none" w:sz="0" w:space="0" w:color="auto"/>
            <w:left w:val="none" w:sz="0" w:space="0" w:color="auto"/>
            <w:bottom w:val="none" w:sz="0" w:space="0" w:color="auto"/>
            <w:right w:val="none" w:sz="0" w:space="0" w:color="auto"/>
          </w:divBdr>
          <w:divsChild>
            <w:div w:id="1195532291">
              <w:marLeft w:val="0"/>
              <w:marRight w:val="0"/>
              <w:marTop w:val="0"/>
              <w:marBottom w:val="0"/>
              <w:divBdr>
                <w:top w:val="none" w:sz="0" w:space="0" w:color="auto"/>
                <w:left w:val="none" w:sz="0" w:space="0" w:color="auto"/>
                <w:bottom w:val="none" w:sz="0" w:space="0" w:color="auto"/>
                <w:right w:val="none" w:sz="0" w:space="0" w:color="auto"/>
              </w:divBdr>
              <w:divsChild>
                <w:div w:id="9005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561682">
      <w:bodyDiv w:val="1"/>
      <w:marLeft w:val="0"/>
      <w:marRight w:val="0"/>
      <w:marTop w:val="0"/>
      <w:marBottom w:val="0"/>
      <w:divBdr>
        <w:top w:val="none" w:sz="0" w:space="0" w:color="auto"/>
        <w:left w:val="none" w:sz="0" w:space="0" w:color="auto"/>
        <w:bottom w:val="none" w:sz="0" w:space="0" w:color="auto"/>
        <w:right w:val="none" w:sz="0" w:space="0" w:color="auto"/>
      </w:divBdr>
    </w:div>
    <w:div w:id="1057778813">
      <w:bodyDiv w:val="1"/>
      <w:marLeft w:val="0"/>
      <w:marRight w:val="0"/>
      <w:marTop w:val="0"/>
      <w:marBottom w:val="0"/>
      <w:divBdr>
        <w:top w:val="none" w:sz="0" w:space="0" w:color="auto"/>
        <w:left w:val="none" w:sz="0" w:space="0" w:color="auto"/>
        <w:bottom w:val="none" w:sz="0" w:space="0" w:color="auto"/>
        <w:right w:val="none" w:sz="0" w:space="0" w:color="auto"/>
      </w:divBdr>
      <w:divsChild>
        <w:div w:id="346493081">
          <w:marLeft w:val="0"/>
          <w:marRight w:val="0"/>
          <w:marTop w:val="0"/>
          <w:marBottom w:val="0"/>
          <w:divBdr>
            <w:top w:val="none" w:sz="0" w:space="0" w:color="auto"/>
            <w:left w:val="none" w:sz="0" w:space="0" w:color="auto"/>
            <w:bottom w:val="none" w:sz="0" w:space="0" w:color="auto"/>
            <w:right w:val="none" w:sz="0" w:space="0" w:color="auto"/>
          </w:divBdr>
          <w:divsChild>
            <w:div w:id="528761884">
              <w:marLeft w:val="0"/>
              <w:marRight w:val="0"/>
              <w:marTop w:val="0"/>
              <w:marBottom w:val="0"/>
              <w:divBdr>
                <w:top w:val="none" w:sz="0" w:space="0" w:color="auto"/>
                <w:left w:val="none" w:sz="0" w:space="0" w:color="auto"/>
                <w:bottom w:val="none" w:sz="0" w:space="0" w:color="auto"/>
                <w:right w:val="none" w:sz="0" w:space="0" w:color="auto"/>
              </w:divBdr>
              <w:divsChild>
                <w:div w:id="20588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18028">
      <w:bodyDiv w:val="1"/>
      <w:marLeft w:val="0"/>
      <w:marRight w:val="0"/>
      <w:marTop w:val="0"/>
      <w:marBottom w:val="0"/>
      <w:divBdr>
        <w:top w:val="none" w:sz="0" w:space="0" w:color="auto"/>
        <w:left w:val="none" w:sz="0" w:space="0" w:color="auto"/>
        <w:bottom w:val="none" w:sz="0" w:space="0" w:color="auto"/>
        <w:right w:val="none" w:sz="0" w:space="0" w:color="auto"/>
      </w:divBdr>
      <w:divsChild>
        <w:div w:id="1605192224">
          <w:marLeft w:val="0"/>
          <w:marRight w:val="0"/>
          <w:marTop w:val="0"/>
          <w:marBottom w:val="0"/>
          <w:divBdr>
            <w:top w:val="none" w:sz="0" w:space="0" w:color="auto"/>
            <w:left w:val="none" w:sz="0" w:space="0" w:color="auto"/>
            <w:bottom w:val="none" w:sz="0" w:space="0" w:color="auto"/>
            <w:right w:val="none" w:sz="0" w:space="0" w:color="auto"/>
          </w:divBdr>
          <w:divsChild>
            <w:div w:id="1048870750">
              <w:marLeft w:val="0"/>
              <w:marRight w:val="0"/>
              <w:marTop w:val="0"/>
              <w:marBottom w:val="0"/>
              <w:divBdr>
                <w:top w:val="none" w:sz="0" w:space="0" w:color="auto"/>
                <w:left w:val="none" w:sz="0" w:space="0" w:color="auto"/>
                <w:bottom w:val="none" w:sz="0" w:space="0" w:color="auto"/>
                <w:right w:val="none" w:sz="0" w:space="0" w:color="auto"/>
              </w:divBdr>
              <w:divsChild>
                <w:div w:id="8129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12854">
      <w:bodyDiv w:val="1"/>
      <w:marLeft w:val="0"/>
      <w:marRight w:val="0"/>
      <w:marTop w:val="0"/>
      <w:marBottom w:val="0"/>
      <w:divBdr>
        <w:top w:val="none" w:sz="0" w:space="0" w:color="auto"/>
        <w:left w:val="none" w:sz="0" w:space="0" w:color="auto"/>
        <w:bottom w:val="none" w:sz="0" w:space="0" w:color="auto"/>
        <w:right w:val="none" w:sz="0" w:space="0" w:color="auto"/>
      </w:divBdr>
    </w:div>
    <w:div w:id="1232078468">
      <w:bodyDiv w:val="1"/>
      <w:marLeft w:val="0"/>
      <w:marRight w:val="0"/>
      <w:marTop w:val="0"/>
      <w:marBottom w:val="0"/>
      <w:divBdr>
        <w:top w:val="none" w:sz="0" w:space="0" w:color="auto"/>
        <w:left w:val="none" w:sz="0" w:space="0" w:color="auto"/>
        <w:bottom w:val="none" w:sz="0" w:space="0" w:color="auto"/>
        <w:right w:val="none" w:sz="0" w:space="0" w:color="auto"/>
      </w:divBdr>
      <w:divsChild>
        <w:div w:id="8917916">
          <w:marLeft w:val="0"/>
          <w:marRight w:val="0"/>
          <w:marTop w:val="0"/>
          <w:marBottom w:val="0"/>
          <w:divBdr>
            <w:top w:val="none" w:sz="0" w:space="0" w:color="auto"/>
            <w:left w:val="none" w:sz="0" w:space="0" w:color="auto"/>
            <w:bottom w:val="none" w:sz="0" w:space="0" w:color="auto"/>
            <w:right w:val="none" w:sz="0" w:space="0" w:color="auto"/>
          </w:divBdr>
          <w:divsChild>
            <w:div w:id="1677535398">
              <w:marLeft w:val="0"/>
              <w:marRight w:val="0"/>
              <w:marTop w:val="0"/>
              <w:marBottom w:val="0"/>
              <w:divBdr>
                <w:top w:val="none" w:sz="0" w:space="0" w:color="auto"/>
                <w:left w:val="none" w:sz="0" w:space="0" w:color="auto"/>
                <w:bottom w:val="none" w:sz="0" w:space="0" w:color="auto"/>
                <w:right w:val="none" w:sz="0" w:space="0" w:color="auto"/>
              </w:divBdr>
              <w:divsChild>
                <w:div w:id="48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55107">
      <w:bodyDiv w:val="1"/>
      <w:marLeft w:val="0"/>
      <w:marRight w:val="0"/>
      <w:marTop w:val="0"/>
      <w:marBottom w:val="0"/>
      <w:divBdr>
        <w:top w:val="none" w:sz="0" w:space="0" w:color="auto"/>
        <w:left w:val="none" w:sz="0" w:space="0" w:color="auto"/>
        <w:bottom w:val="none" w:sz="0" w:space="0" w:color="auto"/>
        <w:right w:val="none" w:sz="0" w:space="0" w:color="auto"/>
      </w:divBdr>
      <w:divsChild>
        <w:div w:id="337973918">
          <w:marLeft w:val="0"/>
          <w:marRight w:val="0"/>
          <w:marTop w:val="0"/>
          <w:marBottom w:val="0"/>
          <w:divBdr>
            <w:top w:val="none" w:sz="0" w:space="0" w:color="auto"/>
            <w:left w:val="none" w:sz="0" w:space="0" w:color="auto"/>
            <w:bottom w:val="none" w:sz="0" w:space="0" w:color="auto"/>
            <w:right w:val="none" w:sz="0" w:space="0" w:color="auto"/>
          </w:divBdr>
          <w:divsChild>
            <w:div w:id="1319769537">
              <w:marLeft w:val="0"/>
              <w:marRight w:val="0"/>
              <w:marTop w:val="0"/>
              <w:marBottom w:val="0"/>
              <w:divBdr>
                <w:top w:val="none" w:sz="0" w:space="0" w:color="auto"/>
                <w:left w:val="none" w:sz="0" w:space="0" w:color="auto"/>
                <w:bottom w:val="none" w:sz="0" w:space="0" w:color="auto"/>
                <w:right w:val="none" w:sz="0" w:space="0" w:color="auto"/>
              </w:divBdr>
              <w:divsChild>
                <w:div w:id="20566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49525">
      <w:bodyDiv w:val="1"/>
      <w:marLeft w:val="0"/>
      <w:marRight w:val="0"/>
      <w:marTop w:val="0"/>
      <w:marBottom w:val="0"/>
      <w:divBdr>
        <w:top w:val="none" w:sz="0" w:space="0" w:color="auto"/>
        <w:left w:val="none" w:sz="0" w:space="0" w:color="auto"/>
        <w:bottom w:val="none" w:sz="0" w:space="0" w:color="auto"/>
        <w:right w:val="none" w:sz="0" w:space="0" w:color="auto"/>
      </w:divBdr>
    </w:div>
    <w:div w:id="1336416290">
      <w:bodyDiv w:val="1"/>
      <w:marLeft w:val="0"/>
      <w:marRight w:val="0"/>
      <w:marTop w:val="0"/>
      <w:marBottom w:val="0"/>
      <w:divBdr>
        <w:top w:val="none" w:sz="0" w:space="0" w:color="auto"/>
        <w:left w:val="none" w:sz="0" w:space="0" w:color="auto"/>
        <w:bottom w:val="none" w:sz="0" w:space="0" w:color="auto"/>
        <w:right w:val="none" w:sz="0" w:space="0" w:color="auto"/>
      </w:divBdr>
    </w:div>
    <w:div w:id="1440373598">
      <w:bodyDiv w:val="1"/>
      <w:marLeft w:val="0"/>
      <w:marRight w:val="0"/>
      <w:marTop w:val="0"/>
      <w:marBottom w:val="0"/>
      <w:divBdr>
        <w:top w:val="none" w:sz="0" w:space="0" w:color="auto"/>
        <w:left w:val="none" w:sz="0" w:space="0" w:color="auto"/>
        <w:bottom w:val="none" w:sz="0" w:space="0" w:color="auto"/>
        <w:right w:val="none" w:sz="0" w:space="0" w:color="auto"/>
      </w:divBdr>
    </w:div>
    <w:div w:id="1452087977">
      <w:bodyDiv w:val="1"/>
      <w:marLeft w:val="0"/>
      <w:marRight w:val="0"/>
      <w:marTop w:val="0"/>
      <w:marBottom w:val="0"/>
      <w:divBdr>
        <w:top w:val="none" w:sz="0" w:space="0" w:color="auto"/>
        <w:left w:val="none" w:sz="0" w:space="0" w:color="auto"/>
        <w:bottom w:val="none" w:sz="0" w:space="0" w:color="auto"/>
        <w:right w:val="none" w:sz="0" w:space="0" w:color="auto"/>
      </w:divBdr>
      <w:divsChild>
        <w:div w:id="1434084488">
          <w:marLeft w:val="0"/>
          <w:marRight w:val="0"/>
          <w:marTop w:val="0"/>
          <w:marBottom w:val="0"/>
          <w:divBdr>
            <w:top w:val="none" w:sz="0" w:space="0" w:color="auto"/>
            <w:left w:val="none" w:sz="0" w:space="0" w:color="auto"/>
            <w:bottom w:val="none" w:sz="0" w:space="0" w:color="auto"/>
            <w:right w:val="none" w:sz="0" w:space="0" w:color="auto"/>
          </w:divBdr>
          <w:divsChild>
            <w:div w:id="1224487378">
              <w:marLeft w:val="0"/>
              <w:marRight w:val="0"/>
              <w:marTop w:val="0"/>
              <w:marBottom w:val="0"/>
              <w:divBdr>
                <w:top w:val="none" w:sz="0" w:space="0" w:color="auto"/>
                <w:left w:val="none" w:sz="0" w:space="0" w:color="auto"/>
                <w:bottom w:val="none" w:sz="0" w:space="0" w:color="auto"/>
                <w:right w:val="none" w:sz="0" w:space="0" w:color="auto"/>
              </w:divBdr>
              <w:divsChild>
                <w:div w:id="13043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96528">
      <w:bodyDiv w:val="1"/>
      <w:marLeft w:val="0"/>
      <w:marRight w:val="0"/>
      <w:marTop w:val="0"/>
      <w:marBottom w:val="0"/>
      <w:divBdr>
        <w:top w:val="none" w:sz="0" w:space="0" w:color="auto"/>
        <w:left w:val="none" w:sz="0" w:space="0" w:color="auto"/>
        <w:bottom w:val="none" w:sz="0" w:space="0" w:color="auto"/>
        <w:right w:val="none" w:sz="0" w:space="0" w:color="auto"/>
      </w:divBdr>
      <w:divsChild>
        <w:div w:id="185750459">
          <w:marLeft w:val="0"/>
          <w:marRight w:val="0"/>
          <w:marTop w:val="0"/>
          <w:marBottom w:val="0"/>
          <w:divBdr>
            <w:top w:val="none" w:sz="0" w:space="0" w:color="auto"/>
            <w:left w:val="none" w:sz="0" w:space="0" w:color="auto"/>
            <w:bottom w:val="none" w:sz="0" w:space="0" w:color="auto"/>
            <w:right w:val="none" w:sz="0" w:space="0" w:color="auto"/>
          </w:divBdr>
          <w:divsChild>
            <w:div w:id="661616825">
              <w:marLeft w:val="0"/>
              <w:marRight w:val="0"/>
              <w:marTop w:val="0"/>
              <w:marBottom w:val="0"/>
              <w:divBdr>
                <w:top w:val="none" w:sz="0" w:space="0" w:color="auto"/>
                <w:left w:val="none" w:sz="0" w:space="0" w:color="auto"/>
                <w:bottom w:val="none" w:sz="0" w:space="0" w:color="auto"/>
                <w:right w:val="none" w:sz="0" w:space="0" w:color="auto"/>
              </w:divBdr>
              <w:divsChild>
                <w:div w:id="70563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68296">
      <w:bodyDiv w:val="1"/>
      <w:marLeft w:val="0"/>
      <w:marRight w:val="0"/>
      <w:marTop w:val="0"/>
      <w:marBottom w:val="0"/>
      <w:divBdr>
        <w:top w:val="none" w:sz="0" w:space="0" w:color="auto"/>
        <w:left w:val="none" w:sz="0" w:space="0" w:color="auto"/>
        <w:bottom w:val="none" w:sz="0" w:space="0" w:color="auto"/>
        <w:right w:val="none" w:sz="0" w:space="0" w:color="auto"/>
      </w:divBdr>
    </w:div>
    <w:div w:id="1686202728">
      <w:bodyDiv w:val="1"/>
      <w:marLeft w:val="0"/>
      <w:marRight w:val="0"/>
      <w:marTop w:val="0"/>
      <w:marBottom w:val="0"/>
      <w:divBdr>
        <w:top w:val="none" w:sz="0" w:space="0" w:color="auto"/>
        <w:left w:val="none" w:sz="0" w:space="0" w:color="auto"/>
        <w:bottom w:val="none" w:sz="0" w:space="0" w:color="auto"/>
        <w:right w:val="none" w:sz="0" w:space="0" w:color="auto"/>
      </w:divBdr>
      <w:divsChild>
        <w:div w:id="1783263132">
          <w:marLeft w:val="0"/>
          <w:marRight w:val="0"/>
          <w:marTop w:val="0"/>
          <w:marBottom w:val="0"/>
          <w:divBdr>
            <w:top w:val="none" w:sz="0" w:space="0" w:color="auto"/>
            <w:left w:val="none" w:sz="0" w:space="0" w:color="auto"/>
            <w:bottom w:val="none" w:sz="0" w:space="0" w:color="auto"/>
            <w:right w:val="none" w:sz="0" w:space="0" w:color="auto"/>
          </w:divBdr>
          <w:divsChild>
            <w:div w:id="1050493572">
              <w:marLeft w:val="0"/>
              <w:marRight w:val="0"/>
              <w:marTop w:val="0"/>
              <w:marBottom w:val="0"/>
              <w:divBdr>
                <w:top w:val="none" w:sz="0" w:space="0" w:color="auto"/>
                <w:left w:val="none" w:sz="0" w:space="0" w:color="auto"/>
                <w:bottom w:val="none" w:sz="0" w:space="0" w:color="auto"/>
                <w:right w:val="none" w:sz="0" w:space="0" w:color="auto"/>
              </w:divBdr>
              <w:divsChild>
                <w:div w:id="20301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4086">
      <w:bodyDiv w:val="1"/>
      <w:marLeft w:val="0"/>
      <w:marRight w:val="0"/>
      <w:marTop w:val="0"/>
      <w:marBottom w:val="0"/>
      <w:divBdr>
        <w:top w:val="none" w:sz="0" w:space="0" w:color="auto"/>
        <w:left w:val="none" w:sz="0" w:space="0" w:color="auto"/>
        <w:bottom w:val="none" w:sz="0" w:space="0" w:color="auto"/>
        <w:right w:val="none" w:sz="0" w:space="0" w:color="auto"/>
      </w:divBdr>
      <w:divsChild>
        <w:div w:id="339744355">
          <w:marLeft w:val="0"/>
          <w:marRight w:val="0"/>
          <w:marTop w:val="0"/>
          <w:marBottom w:val="0"/>
          <w:divBdr>
            <w:top w:val="none" w:sz="0" w:space="0" w:color="auto"/>
            <w:left w:val="none" w:sz="0" w:space="0" w:color="auto"/>
            <w:bottom w:val="none" w:sz="0" w:space="0" w:color="auto"/>
            <w:right w:val="none" w:sz="0" w:space="0" w:color="auto"/>
          </w:divBdr>
          <w:divsChild>
            <w:div w:id="1365594398">
              <w:marLeft w:val="0"/>
              <w:marRight w:val="0"/>
              <w:marTop w:val="0"/>
              <w:marBottom w:val="0"/>
              <w:divBdr>
                <w:top w:val="none" w:sz="0" w:space="0" w:color="auto"/>
                <w:left w:val="none" w:sz="0" w:space="0" w:color="auto"/>
                <w:bottom w:val="none" w:sz="0" w:space="0" w:color="auto"/>
                <w:right w:val="none" w:sz="0" w:space="0" w:color="auto"/>
              </w:divBdr>
              <w:divsChild>
                <w:div w:id="9421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83156">
      <w:bodyDiv w:val="1"/>
      <w:marLeft w:val="0"/>
      <w:marRight w:val="0"/>
      <w:marTop w:val="0"/>
      <w:marBottom w:val="0"/>
      <w:divBdr>
        <w:top w:val="none" w:sz="0" w:space="0" w:color="auto"/>
        <w:left w:val="none" w:sz="0" w:space="0" w:color="auto"/>
        <w:bottom w:val="none" w:sz="0" w:space="0" w:color="auto"/>
        <w:right w:val="none" w:sz="0" w:space="0" w:color="auto"/>
      </w:divBdr>
      <w:divsChild>
        <w:div w:id="1289314870">
          <w:marLeft w:val="0"/>
          <w:marRight w:val="0"/>
          <w:marTop w:val="0"/>
          <w:marBottom w:val="0"/>
          <w:divBdr>
            <w:top w:val="none" w:sz="0" w:space="0" w:color="auto"/>
            <w:left w:val="none" w:sz="0" w:space="0" w:color="auto"/>
            <w:bottom w:val="none" w:sz="0" w:space="0" w:color="auto"/>
            <w:right w:val="none" w:sz="0" w:space="0" w:color="auto"/>
          </w:divBdr>
          <w:divsChild>
            <w:div w:id="1379432015">
              <w:marLeft w:val="0"/>
              <w:marRight w:val="0"/>
              <w:marTop w:val="0"/>
              <w:marBottom w:val="0"/>
              <w:divBdr>
                <w:top w:val="none" w:sz="0" w:space="0" w:color="auto"/>
                <w:left w:val="none" w:sz="0" w:space="0" w:color="auto"/>
                <w:bottom w:val="none" w:sz="0" w:space="0" w:color="auto"/>
                <w:right w:val="none" w:sz="0" w:space="0" w:color="auto"/>
              </w:divBdr>
              <w:divsChild>
                <w:div w:id="13894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90745">
      <w:bodyDiv w:val="1"/>
      <w:marLeft w:val="0"/>
      <w:marRight w:val="0"/>
      <w:marTop w:val="0"/>
      <w:marBottom w:val="0"/>
      <w:divBdr>
        <w:top w:val="none" w:sz="0" w:space="0" w:color="auto"/>
        <w:left w:val="none" w:sz="0" w:space="0" w:color="auto"/>
        <w:bottom w:val="none" w:sz="0" w:space="0" w:color="auto"/>
        <w:right w:val="none" w:sz="0" w:space="0" w:color="auto"/>
      </w:divBdr>
      <w:divsChild>
        <w:div w:id="1403721949">
          <w:marLeft w:val="0"/>
          <w:marRight w:val="0"/>
          <w:marTop w:val="0"/>
          <w:marBottom w:val="0"/>
          <w:divBdr>
            <w:top w:val="none" w:sz="0" w:space="0" w:color="auto"/>
            <w:left w:val="none" w:sz="0" w:space="0" w:color="auto"/>
            <w:bottom w:val="none" w:sz="0" w:space="0" w:color="auto"/>
            <w:right w:val="none" w:sz="0" w:space="0" w:color="auto"/>
          </w:divBdr>
          <w:divsChild>
            <w:div w:id="1333144781">
              <w:marLeft w:val="0"/>
              <w:marRight w:val="0"/>
              <w:marTop w:val="0"/>
              <w:marBottom w:val="0"/>
              <w:divBdr>
                <w:top w:val="none" w:sz="0" w:space="0" w:color="auto"/>
                <w:left w:val="none" w:sz="0" w:space="0" w:color="auto"/>
                <w:bottom w:val="none" w:sz="0" w:space="0" w:color="auto"/>
                <w:right w:val="none" w:sz="0" w:space="0" w:color="auto"/>
              </w:divBdr>
              <w:divsChild>
                <w:div w:id="9838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58571">
      <w:bodyDiv w:val="1"/>
      <w:marLeft w:val="0"/>
      <w:marRight w:val="0"/>
      <w:marTop w:val="0"/>
      <w:marBottom w:val="0"/>
      <w:divBdr>
        <w:top w:val="none" w:sz="0" w:space="0" w:color="auto"/>
        <w:left w:val="none" w:sz="0" w:space="0" w:color="auto"/>
        <w:bottom w:val="none" w:sz="0" w:space="0" w:color="auto"/>
        <w:right w:val="none" w:sz="0" w:space="0" w:color="auto"/>
      </w:divBdr>
    </w:div>
    <w:div w:id="1774125577">
      <w:bodyDiv w:val="1"/>
      <w:marLeft w:val="0"/>
      <w:marRight w:val="0"/>
      <w:marTop w:val="0"/>
      <w:marBottom w:val="0"/>
      <w:divBdr>
        <w:top w:val="none" w:sz="0" w:space="0" w:color="auto"/>
        <w:left w:val="none" w:sz="0" w:space="0" w:color="auto"/>
        <w:bottom w:val="none" w:sz="0" w:space="0" w:color="auto"/>
        <w:right w:val="none" w:sz="0" w:space="0" w:color="auto"/>
      </w:divBdr>
    </w:div>
    <w:div w:id="1774594312">
      <w:bodyDiv w:val="1"/>
      <w:marLeft w:val="0"/>
      <w:marRight w:val="0"/>
      <w:marTop w:val="0"/>
      <w:marBottom w:val="0"/>
      <w:divBdr>
        <w:top w:val="none" w:sz="0" w:space="0" w:color="auto"/>
        <w:left w:val="none" w:sz="0" w:space="0" w:color="auto"/>
        <w:bottom w:val="none" w:sz="0" w:space="0" w:color="auto"/>
        <w:right w:val="none" w:sz="0" w:space="0" w:color="auto"/>
      </w:divBdr>
      <w:divsChild>
        <w:div w:id="228031910">
          <w:marLeft w:val="0"/>
          <w:marRight w:val="0"/>
          <w:marTop w:val="0"/>
          <w:marBottom w:val="0"/>
          <w:divBdr>
            <w:top w:val="none" w:sz="0" w:space="0" w:color="auto"/>
            <w:left w:val="none" w:sz="0" w:space="0" w:color="auto"/>
            <w:bottom w:val="none" w:sz="0" w:space="0" w:color="auto"/>
            <w:right w:val="none" w:sz="0" w:space="0" w:color="auto"/>
          </w:divBdr>
          <w:divsChild>
            <w:div w:id="686953300">
              <w:marLeft w:val="0"/>
              <w:marRight w:val="0"/>
              <w:marTop w:val="0"/>
              <w:marBottom w:val="0"/>
              <w:divBdr>
                <w:top w:val="none" w:sz="0" w:space="0" w:color="auto"/>
                <w:left w:val="none" w:sz="0" w:space="0" w:color="auto"/>
                <w:bottom w:val="none" w:sz="0" w:space="0" w:color="auto"/>
                <w:right w:val="none" w:sz="0" w:space="0" w:color="auto"/>
              </w:divBdr>
              <w:divsChild>
                <w:div w:id="160026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463108">
      <w:bodyDiv w:val="1"/>
      <w:marLeft w:val="0"/>
      <w:marRight w:val="0"/>
      <w:marTop w:val="0"/>
      <w:marBottom w:val="0"/>
      <w:divBdr>
        <w:top w:val="none" w:sz="0" w:space="0" w:color="auto"/>
        <w:left w:val="none" w:sz="0" w:space="0" w:color="auto"/>
        <w:bottom w:val="none" w:sz="0" w:space="0" w:color="auto"/>
        <w:right w:val="none" w:sz="0" w:space="0" w:color="auto"/>
      </w:divBdr>
      <w:divsChild>
        <w:div w:id="848175900">
          <w:marLeft w:val="0"/>
          <w:marRight w:val="0"/>
          <w:marTop w:val="0"/>
          <w:marBottom w:val="0"/>
          <w:divBdr>
            <w:top w:val="none" w:sz="0" w:space="0" w:color="auto"/>
            <w:left w:val="none" w:sz="0" w:space="0" w:color="auto"/>
            <w:bottom w:val="none" w:sz="0" w:space="0" w:color="auto"/>
            <w:right w:val="none" w:sz="0" w:space="0" w:color="auto"/>
          </w:divBdr>
          <w:divsChild>
            <w:div w:id="2823191">
              <w:marLeft w:val="0"/>
              <w:marRight w:val="0"/>
              <w:marTop w:val="0"/>
              <w:marBottom w:val="0"/>
              <w:divBdr>
                <w:top w:val="none" w:sz="0" w:space="0" w:color="auto"/>
                <w:left w:val="none" w:sz="0" w:space="0" w:color="auto"/>
                <w:bottom w:val="none" w:sz="0" w:space="0" w:color="auto"/>
                <w:right w:val="none" w:sz="0" w:space="0" w:color="auto"/>
              </w:divBdr>
              <w:divsChild>
                <w:div w:id="10781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7496">
      <w:bodyDiv w:val="1"/>
      <w:marLeft w:val="0"/>
      <w:marRight w:val="0"/>
      <w:marTop w:val="0"/>
      <w:marBottom w:val="0"/>
      <w:divBdr>
        <w:top w:val="none" w:sz="0" w:space="0" w:color="auto"/>
        <w:left w:val="none" w:sz="0" w:space="0" w:color="auto"/>
        <w:bottom w:val="none" w:sz="0" w:space="0" w:color="auto"/>
        <w:right w:val="none" w:sz="0" w:space="0" w:color="auto"/>
      </w:divBdr>
      <w:divsChild>
        <w:div w:id="484246711">
          <w:marLeft w:val="0"/>
          <w:marRight w:val="0"/>
          <w:marTop w:val="0"/>
          <w:marBottom w:val="0"/>
          <w:divBdr>
            <w:top w:val="none" w:sz="0" w:space="0" w:color="auto"/>
            <w:left w:val="none" w:sz="0" w:space="0" w:color="auto"/>
            <w:bottom w:val="none" w:sz="0" w:space="0" w:color="auto"/>
            <w:right w:val="none" w:sz="0" w:space="0" w:color="auto"/>
          </w:divBdr>
          <w:divsChild>
            <w:div w:id="2136368946">
              <w:marLeft w:val="0"/>
              <w:marRight w:val="0"/>
              <w:marTop w:val="0"/>
              <w:marBottom w:val="0"/>
              <w:divBdr>
                <w:top w:val="none" w:sz="0" w:space="0" w:color="auto"/>
                <w:left w:val="none" w:sz="0" w:space="0" w:color="auto"/>
                <w:bottom w:val="none" w:sz="0" w:space="0" w:color="auto"/>
                <w:right w:val="none" w:sz="0" w:space="0" w:color="auto"/>
              </w:divBdr>
              <w:divsChild>
                <w:div w:id="14019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8544">
      <w:bodyDiv w:val="1"/>
      <w:marLeft w:val="0"/>
      <w:marRight w:val="0"/>
      <w:marTop w:val="0"/>
      <w:marBottom w:val="0"/>
      <w:divBdr>
        <w:top w:val="none" w:sz="0" w:space="0" w:color="auto"/>
        <w:left w:val="none" w:sz="0" w:space="0" w:color="auto"/>
        <w:bottom w:val="none" w:sz="0" w:space="0" w:color="auto"/>
        <w:right w:val="none" w:sz="0" w:space="0" w:color="auto"/>
      </w:divBdr>
    </w:div>
    <w:div w:id="1866401724">
      <w:bodyDiv w:val="1"/>
      <w:marLeft w:val="0"/>
      <w:marRight w:val="0"/>
      <w:marTop w:val="0"/>
      <w:marBottom w:val="0"/>
      <w:divBdr>
        <w:top w:val="none" w:sz="0" w:space="0" w:color="auto"/>
        <w:left w:val="none" w:sz="0" w:space="0" w:color="auto"/>
        <w:bottom w:val="none" w:sz="0" w:space="0" w:color="auto"/>
        <w:right w:val="none" w:sz="0" w:space="0" w:color="auto"/>
      </w:divBdr>
    </w:div>
    <w:div w:id="1870484763">
      <w:bodyDiv w:val="1"/>
      <w:marLeft w:val="0"/>
      <w:marRight w:val="0"/>
      <w:marTop w:val="0"/>
      <w:marBottom w:val="0"/>
      <w:divBdr>
        <w:top w:val="none" w:sz="0" w:space="0" w:color="auto"/>
        <w:left w:val="none" w:sz="0" w:space="0" w:color="auto"/>
        <w:bottom w:val="none" w:sz="0" w:space="0" w:color="auto"/>
        <w:right w:val="none" w:sz="0" w:space="0" w:color="auto"/>
      </w:divBdr>
    </w:div>
    <w:div w:id="1921790579">
      <w:bodyDiv w:val="1"/>
      <w:marLeft w:val="0"/>
      <w:marRight w:val="0"/>
      <w:marTop w:val="0"/>
      <w:marBottom w:val="0"/>
      <w:divBdr>
        <w:top w:val="none" w:sz="0" w:space="0" w:color="auto"/>
        <w:left w:val="none" w:sz="0" w:space="0" w:color="auto"/>
        <w:bottom w:val="none" w:sz="0" w:space="0" w:color="auto"/>
        <w:right w:val="none" w:sz="0" w:space="0" w:color="auto"/>
      </w:divBdr>
      <w:divsChild>
        <w:div w:id="1568610632">
          <w:marLeft w:val="0"/>
          <w:marRight w:val="0"/>
          <w:marTop w:val="0"/>
          <w:marBottom w:val="0"/>
          <w:divBdr>
            <w:top w:val="none" w:sz="0" w:space="0" w:color="auto"/>
            <w:left w:val="none" w:sz="0" w:space="0" w:color="auto"/>
            <w:bottom w:val="none" w:sz="0" w:space="0" w:color="auto"/>
            <w:right w:val="none" w:sz="0" w:space="0" w:color="auto"/>
          </w:divBdr>
          <w:divsChild>
            <w:div w:id="744769013">
              <w:marLeft w:val="0"/>
              <w:marRight w:val="0"/>
              <w:marTop w:val="0"/>
              <w:marBottom w:val="0"/>
              <w:divBdr>
                <w:top w:val="none" w:sz="0" w:space="0" w:color="auto"/>
                <w:left w:val="none" w:sz="0" w:space="0" w:color="auto"/>
                <w:bottom w:val="none" w:sz="0" w:space="0" w:color="auto"/>
                <w:right w:val="none" w:sz="0" w:space="0" w:color="auto"/>
              </w:divBdr>
              <w:divsChild>
                <w:div w:id="7303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73">
      <w:bodyDiv w:val="1"/>
      <w:marLeft w:val="0"/>
      <w:marRight w:val="0"/>
      <w:marTop w:val="0"/>
      <w:marBottom w:val="0"/>
      <w:divBdr>
        <w:top w:val="none" w:sz="0" w:space="0" w:color="auto"/>
        <w:left w:val="none" w:sz="0" w:space="0" w:color="auto"/>
        <w:bottom w:val="none" w:sz="0" w:space="0" w:color="auto"/>
        <w:right w:val="none" w:sz="0" w:space="0" w:color="auto"/>
      </w:divBdr>
    </w:div>
    <w:div w:id="1972325210">
      <w:bodyDiv w:val="1"/>
      <w:marLeft w:val="0"/>
      <w:marRight w:val="0"/>
      <w:marTop w:val="0"/>
      <w:marBottom w:val="0"/>
      <w:divBdr>
        <w:top w:val="none" w:sz="0" w:space="0" w:color="auto"/>
        <w:left w:val="none" w:sz="0" w:space="0" w:color="auto"/>
        <w:bottom w:val="none" w:sz="0" w:space="0" w:color="auto"/>
        <w:right w:val="none" w:sz="0" w:space="0" w:color="auto"/>
      </w:divBdr>
    </w:div>
    <w:div w:id="1986423971">
      <w:bodyDiv w:val="1"/>
      <w:marLeft w:val="0"/>
      <w:marRight w:val="0"/>
      <w:marTop w:val="0"/>
      <w:marBottom w:val="0"/>
      <w:divBdr>
        <w:top w:val="none" w:sz="0" w:space="0" w:color="auto"/>
        <w:left w:val="none" w:sz="0" w:space="0" w:color="auto"/>
        <w:bottom w:val="none" w:sz="0" w:space="0" w:color="auto"/>
        <w:right w:val="none" w:sz="0" w:space="0" w:color="auto"/>
      </w:divBdr>
    </w:div>
    <w:div w:id="1991978941">
      <w:bodyDiv w:val="1"/>
      <w:marLeft w:val="0"/>
      <w:marRight w:val="0"/>
      <w:marTop w:val="0"/>
      <w:marBottom w:val="0"/>
      <w:divBdr>
        <w:top w:val="none" w:sz="0" w:space="0" w:color="auto"/>
        <w:left w:val="none" w:sz="0" w:space="0" w:color="auto"/>
        <w:bottom w:val="none" w:sz="0" w:space="0" w:color="auto"/>
        <w:right w:val="none" w:sz="0" w:space="0" w:color="auto"/>
      </w:divBdr>
      <w:divsChild>
        <w:div w:id="1419787128">
          <w:marLeft w:val="0"/>
          <w:marRight w:val="0"/>
          <w:marTop w:val="0"/>
          <w:marBottom w:val="0"/>
          <w:divBdr>
            <w:top w:val="none" w:sz="0" w:space="0" w:color="auto"/>
            <w:left w:val="none" w:sz="0" w:space="0" w:color="auto"/>
            <w:bottom w:val="none" w:sz="0" w:space="0" w:color="auto"/>
            <w:right w:val="none" w:sz="0" w:space="0" w:color="auto"/>
          </w:divBdr>
          <w:divsChild>
            <w:div w:id="653291386">
              <w:marLeft w:val="0"/>
              <w:marRight w:val="0"/>
              <w:marTop w:val="0"/>
              <w:marBottom w:val="0"/>
              <w:divBdr>
                <w:top w:val="none" w:sz="0" w:space="0" w:color="auto"/>
                <w:left w:val="none" w:sz="0" w:space="0" w:color="auto"/>
                <w:bottom w:val="none" w:sz="0" w:space="0" w:color="auto"/>
                <w:right w:val="none" w:sz="0" w:space="0" w:color="auto"/>
              </w:divBdr>
              <w:divsChild>
                <w:div w:id="8306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767029">
      <w:bodyDiv w:val="1"/>
      <w:marLeft w:val="0"/>
      <w:marRight w:val="0"/>
      <w:marTop w:val="0"/>
      <w:marBottom w:val="0"/>
      <w:divBdr>
        <w:top w:val="none" w:sz="0" w:space="0" w:color="auto"/>
        <w:left w:val="none" w:sz="0" w:space="0" w:color="auto"/>
        <w:bottom w:val="none" w:sz="0" w:space="0" w:color="auto"/>
        <w:right w:val="none" w:sz="0" w:space="0" w:color="auto"/>
      </w:divBdr>
      <w:divsChild>
        <w:div w:id="180365365">
          <w:marLeft w:val="0"/>
          <w:marRight w:val="0"/>
          <w:marTop w:val="0"/>
          <w:marBottom w:val="0"/>
          <w:divBdr>
            <w:top w:val="none" w:sz="0" w:space="0" w:color="auto"/>
            <w:left w:val="none" w:sz="0" w:space="0" w:color="auto"/>
            <w:bottom w:val="none" w:sz="0" w:space="0" w:color="auto"/>
            <w:right w:val="none" w:sz="0" w:space="0" w:color="auto"/>
          </w:divBdr>
          <w:divsChild>
            <w:div w:id="1458262125">
              <w:marLeft w:val="0"/>
              <w:marRight w:val="0"/>
              <w:marTop w:val="0"/>
              <w:marBottom w:val="0"/>
              <w:divBdr>
                <w:top w:val="none" w:sz="0" w:space="0" w:color="auto"/>
                <w:left w:val="none" w:sz="0" w:space="0" w:color="auto"/>
                <w:bottom w:val="none" w:sz="0" w:space="0" w:color="auto"/>
                <w:right w:val="none" w:sz="0" w:space="0" w:color="auto"/>
              </w:divBdr>
              <w:divsChild>
                <w:div w:id="1231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8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corteidh.or.cr/docs/asuntos/deras_garcia_y_otros_31_03_22.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7DE81-0C48-4C50-87CB-03E9F8EB2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22</Pages>
  <Words>18258</Words>
  <Characters>100419</Characters>
  <Application>Microsoft Office Word</Application>
  <DocSecurity>0</DocSecurity>
  <Lines>836</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118441</CharactersWithSpaces>
  <SharedDoc>false</SharedDoc>
  <HLinks>
    <vt:vector size="300" baseType="variant">
      <vt:variant>
        <vt:i4>1638503</vt:i4>
      </vt:variant>
      <vt:variant>
        <vt:i4>285</vt:i4>
      </vt:variant>
      <vt:variant>
        <vt:i4>0</vt:i4>
      </vt:variant>
      <vt:variant>
        <vt:i4>5</vt:i4>
      </vt:variant>
      <vt:variant>
        <vt:lpwstr/>
      </vt:variant>
      <vt:variant>
        <vt:lpwstr>_bookmark269</vt:lpwstr>
      </vt:variant>
      <vt:variant>
        <vt:i4>1572967</vt:i4>
      </vt:variant>
      <vt:variant>
        <vt:i4>282</vt:i4>
      </vt:variant>
      <vt:variant>
        <vt:i4>0</vt:i4>
      </vt:variant>
      <vt:variant>
        <vt:i4>5</vt:i4>
      </vt:variant>
      <vt:variant>
        <vt:lpwstr/>
      </vt:variant>
      <vt:variant>
        <vt:lpwstr>_bookmark268</vt:lpwstr>
      </vt:variant>
      <vt:variant>
        <vt:i4>1507431</vt:i4>
      </vt:variant>
      <vt:variant>
        <vt:i4>279</vt:i4>
      </vt:variant>
      <vt:variant>
        <vt:i4>0</vt:i4>
      </vt:variant>
      <vt:variant>
        <vt:i4>5</vt:i4>
      </vt:variant>
      <vt:variant>
        <vt:lpwstr/>
      </vt:variant>
      <vt:variant>
        <vt:lpwstr>_bookmark267</vt:lpwstr>
      </vt:variant>
      <vt:variant>
        <vt:i4>1966130</vt:i4>
      </vt:variant>
      <vt:variant>
        <vt:i4>272</vt:i4>
      </vt:variant>
      <vt:variant>
        <vt:i4>0</vt:i4>
      </vt:variant>
      <vt:variant>
        <vt:i4>5</vt:i4>
      </vt:variant>
      <vt:variant>
        <vt:lpwstr/>
      </vt:variant>
      <vt:variant>
        <vt:lpwstr>_Toc100939097</vt:lpwstr>
      </vt:variant>
      <vt:variant>
        <vt:i4>1966130</vt:i4>
      </vt:variant>
      <vt:variant>
        <vt:i4>266</vt:i4>
      </vt:variant>
      <vt:variant>
        <vt:i4>0</vt:i4>
      </vt:variant>
      <vt:variant>
        <vt:i4>5</vt:i4>
      </vt:variant>
      <vt:variant>
        <vt:lpwstr/>
      </vt:variant>
      <vt:variant>
        <vt:lpwstr>_Toc100939096</vt:lpwstr>
      </vt:variant>
      <vt:variant>
        <vt:i4>1966130</vt:i4>
      </vt:variant>
      <vt:variant>
        <vt:i4>260</vt:i4>
      </vt:variant>
      <vt:variant>
        <vt:i4>0</vt:i4>
      </vt:variant>
      <vt:variant>
        <vt:i4>5</vt:i4>
      </vt:variant>
      <vt:variant>
        <vt:lpwstr/>
      </vt:variant>
      <vt:variant>
        <vt:lpwstr>_Toc100939095</vt:lpwstr>
      </vt:variant>
      <vt:variant>
        <vt:i4>1966130</vt:i4>
      </vt:variant>
      <vt:variant>
        <vt:i4>254</vt:i4>
      </vt:variant>
      <vt:variant>
        <vt:i4>0</vt:i4>
      </vt:variant>
      <vt:variant>
        <vt:i4>5</vt:i4>
      </vt:variant>
      <vt:variant>
        <vt:lpwstr/>
      </vt:variant>
      <vt:variant>
        <vt:lpwstr>_Toc100939094</vt:lpwstr>
      </vt:variant>
      <vt:variant>
        <vt:i4>1966130</vt:i4>
      </vt:variant>
      <vt:variant>
        <vt:i4>248</vt:i4>
      </vt:variant>
      <vt:variant>
        <vt:i4>0</vt:i4>
      </vt:variant>
      <vt:variant>
        <vt:i4>5</vt:i4>
      </vt:variant>
      <vt:variant>
        <vt:lpwstr/>
      </vt:variant>
      <vt:variant>
        <vt:lpwstr>_Toc100939093</vt:lpwstr>
      </vt:variant>
      <vt:variant>
        <vt:i4>1966130</vt:i4>
      </vt:variant>
      <vt:variant>
        <vt:i4>242</vt:i4>
      </vt:variant>
      <vt:variant>
        <vt:i4>0</vt:i4>
      </vt:variant>
      <vt:variant>
        <vt:i4>5</vt:i4>
      </vt:variant>
      <vt:variant>
        <vt:lpwstr/>
      </vt:variant>
      <vt:variant>
        <vt:lpwstr>_Toc100939092</vt:lpwstr>
      </vt:variant>
      <vt:variant>
        <vt:i4>1966130</vt:i4>
      </vt:variant>
      <vt:variant>
        <vt:i4>236</vt:i4>
      </vt:variant>
      <vt:variant>
        <vt:i4>0</vt:i4>
      </vt:variant>
      <vt:variant>
        <vt:i4>5</vt:i4>
      </vt:variant>
      <vt:variant>
        <vt:lpwstr/>
      </vt:variant>
      <vt:variant>
        <vt:lpwstr>_Toc100939091</vt:lpwstr>
      </vt:variant>
      <vt:variant>
        <vt:i4>1966130</vt:i4>
      </vt:variant>
      <vt:variant>
        <vt:i4>230</vt:i4>
      </vt:variant>
      <vt:variant>
        <vt:i4>0</vt:i4>
      </vt:variant>
      <vt:variant>
        <vt:i4>5</vt:i4>
      </vt:variant>
      <vt:variant>
        <vt:lpwstr/>
      </vt:variant>
      <vt:variant>
        <vt:lpwstr>_Toc100939090</vt:lpwstr>
      </vt:variant>
      <vt:variant>
        <vt:i4>2031666</vt:i4>
      </vt:variant>
      <vt:variant>
        <vt:i4>224</vt:i4>
      </vt:variant>
      <vt:variant>
        <vt:i4>0</vt:i4>
      </vt:variant>
      <vt:variant>
        <vt:i4>5</vt:i4>
      </vt:variant>
      <vt:variant>
        <vt:lpwstr/>
      </vt:variant>
      <vt:variant>
        <vt:lpwstr>_Toc100939089</vt:lpwstr>
      </vt:variant>
      <vt:variant>
        <vt:i4>2031666</vt:i4>
      </vt:variant>
      <vt:variant>
        <vt:i4>218</vt:i4>
      </vt:variant>
      <vt:variant>
        <vt:i4>0</vt:i4>
      </vt:variant>
      <vt:variant>
        <vt:i4>5</vt:i4>
      </vt:variant>
      <vt:variant>
        <vt:lpwstr/>
      </vt:variant>
      <vt:variant>
        <vt:lpwstr>_Toc100939088</vt:lpwstr>
      </vt:variant>
      <vt:variant>
        <vt:i4>2031666</vt:i4>
      </vt:variant>
      <vt:variant>
        <vt:i4>212</vt:i4>
      </vt:variant>
      <vt:variant>
        <vt:i4>0</vt:i4>
      </vt:variant>
      <vt:variant>
        <vt:i4>5</vt:i4>
      </vt:variant>
      <vt:variant>
        <vt:lpwstr/>
      </vt:variant>
      <vt:variant>
        <vt:lpwstr>_Toc100939087</vt:lpwstr>
      </vt:variant>
      <vt:variant>
        <vt:i4>2031666</vt:i4>
      </vt:variant>
      <vt:variant>
        <vt:i4>206</vt:i4>
      </vt:variant>
      <vt:variant>
        <vt:i4>0</vt:i4>
      </vt:variant>
      <vt:variant>
        <vt:i4>5</vt:i4>
      </vt:variant>
      <vt:variant>
        <vt:lpwstr/>
      </vt:variant>
      <vt:variant>
        <vt:lpwstr>_Toc100939086</vt:lpwstr>
      </vt:variant>
      <vt:variant>
        <vt:i4>2031666</vt:i4>
      </vt:variant>
      <vt:variant>
        <vt:i4>200</vt:i4>
      </vt:variant>
      <vt:variant>
        <vt:i4>0</vt:i4>
      </vt:variant>
      <vt:variant>
        <vt:i4>5</vt:i4>
      </vt:variant>
      <vt:variant>
        <vt:lpwstr/>
      </vt:variant>
      <vt:variant>
        <vt:lpwstr>_Toc100939085</vt:lpwstr>
      </vt:variant>
      <vt:variant>
        <vt:i4>2031666</vt:i4>
      </vt:variant>
      <vt:variant>
        <vt:i4>194</vt:i4>
      </vt:variant>
      <vt:variant>
        <vt:i4>0</vt:i4>
      </vt:variant>
      <vt:variant>
        <vt:i4>5</vt:i4>
      </vt:variant>
      <vt:variant>
        <vt:lpwstr/>
      </vt:variant>
      <vt:variant>
        <vt:lpwstr>_Toc100939084</vt:lpwstr>
      </vt:variant>
      <vt:variant>
        <vt:i4>2031666</vt:i4>
      </vt:variant>
      <vt:variant>
        <vt:i4>188</vt:i4>
      </vt:variant>
      <vt:variant>
        <vt:i4>0</vt:i4>
      </vt:variant>
      <vt:variant>
        <vt:i4>5</vt:i4>
      </vt:variant>
      <vt:variant>
        <vt:lpwstr/>
      </vt:variant>
      <vt:variant>
        <vt:lpwstr>_Toc100939083</vt:lpwstr>
      </vt:variant>
      <vt:variant>
        <vt:i4>2031666</vt:i4>
      </vt:variant>
      <vt:variant>
        <vt:i4>182</vt:i4>
      </vt:variant>
      <vt:variant>
        <vt:i4>0</vt:i4>
      </vt:variant>
      <vt:variant>
        <vt:i4>5</vt:i4>
      </vt:variant>
      <vt:variant>
        <vt:lpwstr/>
      </vt:variant>
      <vt:variant>
        <vt:lpwstr>_Toc100939082</vt:lpwstr>
      </vt:variant>
      <vt:variant>
        <vt:i4>2031666</vt:i4>
      </vt:variant>
      <vt:variant>
        <vt:i4>176</vt:i4>
      </vt:variant>
      <vt:variant>
        <vt:i4>0</vt:i4>
      </vt:variant>
      <vt:variant>
        <vt:i4>5</vt:i4>
      </vt:variant>
      <vt:variant>
        <vt:lpwstr/>
      </vt:variant>
      <vt:variant>
        <vt:lpwstr>_Toc100939081</vt:lpwstr>
      </vt:variant>
      <vt:variant>
        <vt:i4>2031666</vt:i4>
      </vt:variant>
      <vt:variant>
        <vt:i4>170</vt:i4>
      </vt:variant>
      <vt:variant>
        <vt:i4>0</vt:i4>
      </vt:variant>
      <vt:variant>
        <vt:i4>5</vt:i4>
      </vt:variant>
      <vt:variant>
        <vt:lpwstr/>
      </vt:variant>
      <vt:variant>
        <vt:lpwstr>_Toc100939080</vt:lpwstr>
      </vt:variant>
      <vt:variant>
        <vt:i4>1048626</vt:i4>
      </vt:variant>
      <vt:variant>
        <vt:i4>164</vt:i4>
      </vt:variant>
      <vt:variant>
        <vt:i4>0</vt:i4>
      </vt:variant>
      <vt:variant>
        <vt:i4>5</vt:i4>
      </vt:variant>
      <vt:variant>
        <vt:lpwstr/>
      </vt:variant>
      <vt:variant>
        <vt:lpwstr>_Toc100939079</vt:lpwstr>
      </vt:variant>
      <vt:variant>
        <vt:i4>1048626</vt:i4>
      </vt:variant>
      <vt:variant>
        <vt:i4>158</vt:i4>
      </vt:variant>
      <vt:variant>
        <vt:i4>0</vt:i4>
      </vt:variant>
      <vt:variant>
        <vt:i4>5</vt:i4>
      </vt:variant>
      <vt:variant>
        <vt:lpwstr/>
      </vt:variant>
      <vt:variant>
        <vt:lpwstr>_Toc100939078</vt:lpwstr>
      </vt:variant>
      <vt:variant>
        <vt:i4>1048626</vt:i4>
      </vt:variant>
      <vt:variant>
        <vt:i4>152</vt:i4>
      </vt:variant>
      <vt:variant>
        <vt:i4>0</vt:i4>
      </vt:variant>
      <vt:variant>
        <vt:i4>5</vt:i4>
      </vt:variant>
      <vt:variant>
        <vt:lpwstr/>
      </vt:variant>
      <vt:variant>
        <vt:lpwstr>_Toc100939077</vt:lpwstr>
      </vt:variant>
      <vt:variant>
        <vt:i4>1048626</vt:i4>
      </vt:variant>
      <vt:variant>
        <vt:i4>146</vt:i4>
      </vt:variant>
      <vt:variant>
        <vt:i4>0</vt:i4>
      </vt:variant>
      <vt:variant>
        <vt:i4>5</vt:i4>
      </vt:variant>
      <vt:variant>
        <vt:lpwstr/>
      </vt:variant>
      <vt:variant>
        <vt:lpwstr>_Toc100939076</vt:lpwstr>
      </vt:variant>
      <vt:variant>
        <vt:i4>1048626</vt:i4>
      </vt:variant>
      <vt:variant>
        <vt:i4>140</vt:i4>
      </vt:variant>
      <vt:variant>
        <vt:i4>0</vt:i4>
      </vt:variant>
      <vt:variant>
        <vt:i4>5</vt:i4>
      </vt:variant>
      <vt:variant>
        <vt:lpwstr/>
      </vt:variant>
      <vt:variant>
        <vt:lpwstr>_Toc100939075</vt:lpwstr>
      </vt:variant>
      <vt:variant>
        <vt:i4>1048626</vt:i4>
      </vt:variant>
      <vt:variant>
        <vt:i4>134</vt:i4>
      </vt:variant>
      <vt:variant>
        <vt:i4>0</vt:i4>
      </vt:variant>
      <vt:variant>
        <vt:i4>5</vt:i4>
      </vt:variant>
      <vt:variant>
        <vt:lpwstr/>
      </vt:variant>
      <vt:variant>
        <vt:lpwstr>_Toc100939074</vt:lpwstr>
      </vt:variant>
      <vt:variant>
        <vt:i4>1048626</vt:i4>
      </vt:variant>
      <vt:variant>
        <vt:i4>128</vt:i4>
      </vt:variant>
      <vt:variant>
        <vt:i4>0</vt:i4>
      </vt:variant>
      <vt:variant>
        <vt:i4>5</vt:i4>
      </vt:variant>
      <vt:variant>
        <vt:lpwstr/>
      </vt:variant>
      <vt:variant>
        <vt:lpwstr>_Toc100939073</vt:lpwstr>
      </vt:variant>
      <vt:variant>
        <vt:i4>1048626</vt:i4>
      </vt:variant>
      <vt:variant>
        <vt:i4>122</vt:i4>
      </vt:variant>
      <vt:variant>
        <vt:i4>0</vt:i4>
      </vt:variant>
      <vt:variant>
        <vt:i4>5</vt:i4>
      </vt:variant>
      <vt:variant>
        <vt:lpwstr/>
      </vt:variant>
      <vt:variant>
        <vt:lpwstr>_Toc100939072</vt:lpwstr>
      </vt:variant>
      <vt:variant>
        <vt:i4>1048626</vt:i4>
      </vt:variant>
      <vt:variant>
        <vt:i4>116</vt:i4>
      </vt:variant>
      <vt:variant>
        <vt:i4>0</vt:i4>
      </vt:variant>
      <vt:variant>
        <vt:i4>5</vt:i4>
      </vt:variant>
      <vt:variant>
        <vt:lpwstr/>
      </vt:variant>
      <vt:variant>
        <vt:lpwstr>_Toc100939071</vt:lpwstr>
      </vt:variant>
      <vt:variant>
        <vt:i4>1048626</vt:i4>
      </vt:variant>
      <vt:variant>
        <vt:i4>110</vt:i4>
      </vt:variant>
      <vt:variant>
        <vt:i4>0</vt:i4>
      </vt:variant>
      <vt:variant>
        <vt:i4>5</vt:i4>
      </vt:variant>
      <vt:variant>
        <vt:lpwstr/>
      </vt:variant>
      <vt:variant>
        <vt:lpwstr>_Toc100939070</vt:lpwstr>
      </vt:variant>
      <vt:variant>
        <vt:i4>1114162</vt:i4>
      </vt:variant>
      <vt:variant>
        <vt:i4>104</vt:i4>
      </vt:variant>
      <vt:variant>
        <vt:i4>0</vt:i4>
      </vt:variant>
      <vt:variant>
        <vt:i4>5</vt:i4>
      </vt:variant>
      <vt:variant>
        <vt:lpwstr/>
      </vt:variant>
      <vt:variant>
        <vt:lpwstr>_Toc100939069</vt:lpwstr>
      </vt:variant>
      <vt:variant>
        <vt:i4>1114162</vt:i4>
      </vt:variant>
      <vt:variant>
        <vt:i4>98</vt:i4>
      </vt:variant>
      <vt:variant>
        <vt:i4>0</vt:i4>
      </vt:variant>
      <vt:variant>
        <vt:i4>5</vt:i4>
      </vt:variant>
      <vt:variant>
        <vt:lpwstr/>
      </vt:variant>
      <vt:variant>
        <vt:lpwstr>_Toc100939068</vt:lpwstr>
      </vt:variant>
      <vt:variant>
        <vt:i4>1114162</vt:i4>
      </vt:variant>
      <vt:variant>
        <vt:i4>92</vt:i4>
      </vt:variant>
      <vt:variant>
        <vt:i4>0</vt:i4>
      </vt:variant>
      <vt:variant>
        <vt:i4>5</vt:i4>
      </vt:variant>
      <vt:variant>
        <vt:lpwstr/>
      </vt:variant>
      <vt:variant>
        <vt:lpwstr>_Toc100939067</vt:lpwstr>
      </vt:variant>
      <vt:variant>
        <vt:i4>1114162</vt:i4>
      </vt:variant>
      <vt:variant>
        <vt:i4>86</vt:i4>
      </vt:variant>
      <vt:variant>
        <vt:i4>0</vt:i4>
      </vt:variant>
      <vt:variant>
        <vt:i4>5</vt:i4>
      </vt:variant>
      <vt:variant>
        <vt:lpwstr/>
      </vt:variant>
      <vt:variant>
        <vt:lpwstr>_Toc100939066</vt:lpwstr>
      </vt:variant>
      <vt:variant>
        <vt:i4>1114162</vt:i4>
      </vt:variant>
      <vt:variant>
        <vt:i4>80</vt:i4>
      </vt:variant>
      <vt:variant>
        <vt:i4>0</vt:i4>
      </vt:variant>
      <vt:variant>
        <vt:i4>5</vt:i4>
      </vt:variant>
      <vt:variant>
        <vt:lpwstr/>
      </vt:variant>
      <vt:variant>
        <vt:lpwstr>_Toc100939065</vt:lpwstr>
      </vt:variant>
      <vt:variant>
        <vt:i4>1114162</vt:i4>
      </vt:variant>
      <vt:variant>
        <vt:i4>74</vt:i4>
      </vt:variant>
      <vt:variant>
        <vt:i4>0</vt:i4>
      </vt:variant>
      <vt:variant>
        <vt:i4>5</vt:i4>
      </vt:variant>
      <vt:variant>
        <vt:lpwstr/>
      </vt:variant>
      <vt:variant>
        <vt:lpwstr>_Toc100939064</vt:lpwstr>
      </vt:variant>
      <vt:variant>
        <vt:i4>1114162</vt:i4>
      </vt:variant>
      <vt:variant>
        <vt:i4>68</vt:i4>
      </vt:variant>
      <vt:variant>
        <vt:i4>0</vt:i4>
      </vt:variant>
      <vt:variant>
        <vt:i4>5</vt:i4>
      </vt:variant>
      <vt:variant>
        <vt:lpwstr/>
      </vt:variant>
      <vt:variant>
        <vt:lpwstr>_Toc100939063</vt:lpwstr>
      </vt:variant>
      <vt:variant>
        <vt:i4>1114162</vt:i4>
      </vt:variant>
      <vt:variant>
        <vt:i4>62</vt:i4>
      </vt:variant>
      <vt:variant>
        <vt:i4>0</vt:i4>
      </vt:variant>
      <vt:variant>
        <vt:i4>5</vt:i4>
      </vt:variant>
      <vt:variant>
        <vt:lpwstr/>
      </vt:variant>
      <vt:variant>
        <vt:lpwstr>_Toc100939062</vt:lpwstr>
      </vt:variant>
      <vt:variant>
        <vt:i4>1114162</vt:i4>
      </vt:variant>
      <vt:variant>
        <vt:i4>56</vt:i4>
      </vt:variant>
      <vt:variant>
        <vt:i4>0</vt:i4>
      </vt:variant>
      <vt:variant>
        <vt:i4>5</vt:i4>
      </vt:variant>
      <vt:variant>
        <vt:lpwstr/>
      </vt:variant>
      <vt:variant>
        <vt:lpwstr>_Toc100939061</vt:lpwstr>
      </vt:variant>
      <vt:variant>
        <vt:i4>1114162</vt:i4>
      </vt:variant>
      <vt:variant>
        <vt:i4>50</vt:i4>
      </vt:variant>
      <vt:variant>
        <vt:i4>0</vt:i4>
      </vt:variant>
      <vt:variant>
        <vt:i4>5</vt:i4>
      </vt:variant>
      <vt:variant>
        <vt:lpwstr/>
      </vt:variant>
      <vt:variant>
        <vt:lpwstr>_Toc100939060</vt:lpwstr>
      </vt:variant>
      <vt:variant>
        <vt:i4>1179698</vt:i4>
      </vt:variant>
      <vt:variant>
        <vt:i4>44</vt:i4>
      </vt:variant>
      <vt:variant>
        <vt:i4>0</vt:i4>
      </vt:variant>
      <vt:variant>
        <vt:i4>5</vt:i4>
      </vt:variant>
      <vt:variant>
        <vt:lpwstr/>
      </vt:variant>
      <vt:variant>
        <vt:lpwstr>_Toc100939059</vt:lpwstr>
      </vt:variant>
      <vt:variant>
        <vt:i4>1179698</vt:i4>
      </vt:variant>
      <vt:variant>
        <vt:i4>38</vt:i4>
      </vt:variant>
      <vt:variant>
        <vt:i4>0</vt:i4>
      </vt:variant>
      <vt:variant>
        <vt:i4>5</vt:i4>
      </vt:variant>
      <vt:variant>
        <vt:lpwstr/>
      </vt:variant>
      <vt:variant>
        <vt:lpwstr>_Toc100939058</vt:lpwstr>
      </vt:variant>
      <vt:variant>
        <vt:i4>1179698</vt:i4>
      </vt:variant>
      <vt:variant>
        <vt:i4>32</vt:i4>
      </vt:variant>
      <vt:variant>
        <vt:i4>0</vt:i4>
      </vt:variant>
      <vt:variant>
        <vt:i4>5</vt:i4>
      </vt:variant>
      <vt:variant>
        <vt:lpwstr/>
      </vt:variant>
      <vt:variant>
        <vt:lpwstr>_Toc100939057</vt:lpwstr>
      </vt:variant>
      <vt:variant>
        <vt:i4>1179698</vt:i4>
      </vt:variant>
      <vt:variant>
        <vt:i4>26</vt:i4>
      </vt:variant>
      <vt:variant>
        <vt:i4>0</vt:i4>
      </vt:variant>
      <vt:variant>
        <vt:i4>5</vt:i4>
      </vt:variant>
      <vt:variant>
        <vt:lpwstr/>
      </vt:variant>
      <vt:variant>
        <vt:lpwstr>_Toc100939056</vt:lpwstr>
      </vt:variant>
      <vt:variant>
        <vt:i4>1179698</vt:i4>
      </vt:variant>
      <vt:variant>
        <vt:i4>20</vt:i4>
      </vt:variant>
      <vt:variant>
        <vt:i4>0</vt:i4>
      </vt:variant>
      <vt:variant>
        <vt:i4>5</vt:i4>
      </vt:variant>
      <vt:variant>
        <vt:lpwstr/>
      </vt:variant>
      <vt:variant>
        <vt:lpwstr>_Toc100939055</vt:lpwstr>
      </vt:variant>
      <vt:variant>
        <vt:i4>1179698</vt:i4>
      </vt:variant>
      <vt:variant>
        <vt:i4>14</vt:i4>
      </vt:variant>
      <vt:variant>
        <vt:i4>0</vt:i4>
      </vt:variant>
      <vt:variant>
        <vt:i4>5</vt:i4>
      </vt:variant>
      <vt:variant>
        <vt:lpwstr/>
      </vt:variant>
      <vt:variant>
        <vt:lpwstr>_Toc100939054</vt:lpwstr>
      </vt:variant>
      <vt:variant>
        <vt:i4>1179698</vt:i4>
      </vt:variant>
      <vt:variant>
        <vt:i4>8</vt:i4>
      </vt:variant>
      <vt:variant>
        <vt:i4>0</vt:i4>
      </vt:variant>
      <vt:variant>
        <vt:i4>5</vt:i4>
      </vt:variant>
      <vt:variant>
        <vt:lpwstr/>
      </vt:variant>
      <vt:variant>
        <vt:lpwstr>_Toc100939053</vt:lpwstr>
      </vt:variant>
      <vt:variant>
        <vt:i4>1179698</vt:i4>
      </vt:variant>
      <vt:variant>
        <vt:i4>2</vt:i4>
      </vt:variant>
      <vt:variant>
        <vt:i4>0</vt:i4>
      </vt:variant>
      <vt:variant>
        <vt:i4>5</vt:i4>
      </vt:variant>
      <vt:variant>
        <vt:lpwstr/>
      </vt:variant>
      <vt:variant>
        <vt:lpwstr>_Toc100939052</vt:lpwstr>
      </vt:variant>
      <vt:variant>
        <vt:i4>851981</vt:i4>
      </vt:variant>
      <vt:variant>
        <vt:i4>0</vt:i4>
      </vt:variant>
      <vt:variant>
        <vt:i4>0</vt:i4>
      </vt:variant>
      <vt:variant>
        <vt:i4>5</vt:i4>
      </vt:variant>
      <vt:variant>
        <vt:lpwstr>https://www.corteidh.or.cr/docs/asuntos/guevara_diaz_17_02_22.pdf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Isaac Valerin</cp:lastModifiedBy>
  <cp:revision>8</cp:revision>
  <cp:lastPrinted>2022-10-03T16:22:00Z</cp:lastPrinted>
  <dcterms:created xsi:type="dcterms:W3CDTF">2022-09-29T01:39:00Z</dcterms:created>
  <dcterms:modified xsi:type="dcterms:W3CDTF">2022-10-03T16:22:00Z</dcterms:modified>
</cp:coreProperties>
</file>