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AAA36D" w14:textId="77777777" w:rsidR="00C66E22" w:rsidRPr="00F85154" w:rsidRDefault="00C66E22" w:rsidP="004330E3">
      <w:pPr>
        <w:pStyle w:val="Encabezado"/>
        <w:jc w:val="both"/>
        <w:rPr>
          <w:rFonts w:ascii="Verdana" w:hAnsi="Verdana"/>
          <w:sz w:val="20"/>
          <w:szCs w:val="20"/>
          <w:lang w:val="es-CR"/>
        </w:rPr>
      </w:pPr>
    </w:p>
    <w:p w14:paraId="424C50EF" w14:textId="77777777" w:rsidR="00C66E22" w:rsidRPr="00DF1416" w:rsidRDefault="00C66E22" w:rsidP="004330E3">
      <w:pPr>
        <w:pStyle w:val="Encabezado"/>
        <w:jc w:val="both"/>
        <w:rPr>
          <w:rFonts w:ascii="Verdana" w:hAnsi="Verdana"/>
          <w:sz w:val="20"/>
          <w:szCs w:val="20"/>
          <w:lang w:val="pt-BR"/>
        </w:rPr>
      </w:pPr>
    </w:p>
    <w:p w14:paraId="04C9AD7B" w14:textId="77777777" w:rsidR="00C66E22" w:rsidRPr="00DF1416" w:rsidRDefault="00C66E22" w:rsidP="004330E3">
      <w:pPr>
        <w:pStyle w:val="Encabezado"/>
        <w:jc w:val="both"/>
        <w:rPr>
          <w:rFonts w:ascii="Verdana" w:hAnsi="Verdana"/>
          <w:sz w:val="20"/>
          <w:szCs w:val="20"/>
          <w:lang w:val="pt-BR"/>
        </w:rPr>
      </w:pPr>
    </w:p>
    <w:p w14:paraId="4810F431" w14:textId="77777777" w:rsidR="00C66E22" w:rsidRPr="00DF1416" w:rsidRDefault="00C66E22" w:rsidP="004330E3">
      <w:pPr>
        <w:pStyle w:val="Encabezado"/>
        <w:jc w:val="both"/>
        <w:rPr>
          <w:rFonts w:ascii="Verdana" w:hAnsi="Verdana"/>
          <w:sz w:val="20"/>
          <w:szCs w:val="20"/>
          <w:lang w:val="pt-BR"/>
        </w:rPr>
      </w:pPr>
    </w:p>
    <w:p w14:paraId="065743C5" w14:textId="77777777" w:rsidR="00684CFF" w:rsidRPr="002D393D" w:rsidRDefault="00684CFF" w:rsidP="004330E3">
      <w:pPr>
        <w:pStyle w:val="Ttulo"/>
        <w:ind w:left="708" w:right="-138" w:hanging="708"/>
        <w:rPr>
          <w:rFonts w:ascii="Verdana" w:eastAsia="MS Mincho" w:hAnsi="Verdana"/>
          <w:bCs/>
          <w:sz w:val="20"/>
          <w:szCs w:val="20"/>
          <w:lang w:val="es-ES"/>
        </w:rPr>
      </w:pPr>
    </w:p>
    <w:p w14:paraId="7FCD7C5A" w14:textId="77777777" w:rsidR="00684CFF" w:rsidRPr="002D393D" w:rsidRDefault="00684CFF" w:rsidP="004330E3">
      <w:pPr>
        <w:pStyle w:val="Ttulo"/>
        <w:ind w:right="-138"/>
        <w:rPr>
          <w:rFonts w:ascii="Verdana" w:eastAsia="MS Mincho" w:hAnsi="Verdana"/>
          <w:bCs/>
          <w:sz w:val="20"/>
          <w:szCs w:val="20"/>
        </w:rPr>
      </w:pPr>
    </w:p>
    <w:p w14:paraId="09288B86" w14:textId="77777777" w:rsidR="00684CFF" w:rsidRPr="002D393D" w:rsidRDefault="00684CFF" w:rsidP="004330E3">
      <w:pPr>
        <w:pStyle w:val="Ttulo"/>
        <w:ind w:right="-138"/>
        <w:rPr>
          <w:rFonts w:ascii="Verdana" w:eastAsia="MS Mincho" w:hAnsi="Verdana"/>
          <w:bCs/>
          <w:sz w:val="20"/>
          <w:szCs w:val="20"/>
        </w:rPr>
      </w:pPr>
    </w:p>
    <w:p w14:paraId="737D4CD9" w14:textId="77777777" w:rsidR="00684CFF" w:rsidRPr="002D393D" w:rsidRDefault="00684CFF" w:rsidP="004330E3">
      <w:pPr>
        <w:pStyle w:val="Ttulo"/>
        <w:ind w:right="-138"/>
        <w:rPr>
          <w:rFonts w:ascii="Verdana" w:eastAsia="MS Mincho" w:hAnsi="Verdana"/>
          <w:bCs/>
          <w:sz w:val="20"/>
          <w:szCs w:val="20"/>
        </w:rPr>
      </w:pPr>
    </w:p>
    <w:p w14:paraId="28FA1160" w14:textId="77777777" w:rsidR="00684CFF" w:rsidRPr="002D393D" w:rsidRDefault="00684CFF" w:rsidP="004330E3">
      <w:pPr>
        <w:pStyle w:val="Ttulo"/>
        <w:ind w:right="-138"/>
        <w:rPr>
          <w:rFonts w:ascii="Verdana" w:eastAsia="MS Mincho" w:hAnsi="Verdana"/>
          <w:bCs/>
          <w:sz w:val="20"/>
          <w:szCs w:val="20"/>
        </w:rPr>
      </w:pPr>
    </w:p>
    <w:p w14:paraId="1C79631F" w14:textId="77777777" w:rsidR="00684CFF" w:rsidRPr="002D393D" w:rsidRDefault="00684CFF" w:rsidP="004330E3">
      <w:pPr>
        <w:pStyle w:val="Ttulo"/>
        <w:ind w:right="-138"/>
        <w:rPr>
          <w:rFonts w:ascii="Verdana" w:eastAsia="MS Mincho" w:hAnsi="Verdana"/>
          <w:bCs/>
          <w:sz w:val="20"/>
          <w:szCs w:val="20"/>
        </w:rPr>
      </w:pPr>
    </w:p>
    <w:p w14:paraId="77DC6E88" w14:textId="77777777" w:rsidR="00684CFF" w:rsidRPr="002D393D" w:rsidRDefault="00684CFF" w:rsidP="004330E3">
      <w:pPr>
        <w:pStyle w:val="Ttulo"/>
        <w:ind w:right="-138"/>
        <w:rPr>
          <w:rFonts w:ascii="Verdana" w:eastAsia="MS Mincho" w:hAnsi="Verdana"/>
          <w:bCs/>
          <w:sz w:val="20"/>
          <w:szCs w:val="20"/>
        </w:rPr>
      </w:pPr>
    </w:p>
    <w:p w14:paraId="5E89422D" w14:textId="77777777" w:rsidR="00684CFF" w:rsidRPr="002D393D" w:rsidRDefault="00684CFF" w:rsidP="004330E3">
      <w:pPr>
        <w:pStyle w:val="Ttulo"/>
        <w:ind w:right="-138"/>
        <w:rPr>
          <w:rFonts w:ascii="Verdana" w:eastAsia="MS Mincho" w:hAnsi="Verdana"/>
          <w:bCs/>
          <w:sz w:val="20"/>
          <w:szCs w:val="20"/>
        </w:rPr>
      </w:pPr>
    </w:p>
    <w:p w14:paraId="52BCB268" w14:textId="77777777" w:rsidR="00684CFF" w:rsidRPr="00684CFF" w:rsidRDefault="00684CFF" w:rsidP="004330E3">
      <w:pPr>
        <w:pStyle w:val="Ttulo"/>
        <w:ind w:right="-138"/>
        <w:jc w:val="center"/>
        <w:rPr>
          <w:rFonts w:ascii="Verdana" w:eastAsia="MS Mincho" w:hAnsi="Verdana"/>
          <w:b/>
          <w:bCs/>
          <w:sz w:val="20"/>
          <w:szCs w:val="20"/>
        </w:rPr>
      </w:pPr>
      <w:r w:rsidRPr="00684CFF">
        <w:rPr>
          <w:rFonts w:ascii="Verdana" w:eastAsia="MS Mincho" w:hAnsi="Verdana"/>
          <w:b/>
          <w:bCs/>
          <w:sz w:val="20"/>
          <w:szCs w:val="20"/>
        </w:rPr>
        <w:t>CORTE INTERAMERICANA DE DERECHOS HUMANOS</w:t>
      </w:r>
    </w:p>
    <w:p w14:paraId="2C151580" w14:textId="77777777" w:rsidR="00684CFF" w:rsidRPr="002D393D" w:rsidRDefault="00684CFF" w:rsidP="004330E3">
      <w:pPr>
        <w:rPr>
          <w:rFonts w:ascii="Verdana" w:hAnsi="Verdana"/>
          <w:sz w:val="20"/>
          <w:szCs w:val="20"/>
        </w:rPr>
      </w:pPr>
    </w:p>
    <w:p w14:paraId="3FE6A18C" w14:textId="77777777" w:rsidR="00684CFF" w:rsidRPr="00684CFF" w:rsidRDefault="00684CFF" w:rsidP="004330E3">
      <w:pPr>
        <w:autoSpaceDE w:val="0"/>
        <w:autoSpaceDN w:val="0"/>
        <w:adjustRightInd w:val="0"/>
        <w:jc w:val="center"/>
        <w:rPr>
          <w:rFonts w:ascii="Verdana" w:eastAsia="MS Mincho" w:hAnsi="Verdana"/>
          <w:b/>
          <w:bCs/>
          <w:sz w:val="20"/>
          <w:szCs w:val="20"/>
          <w:lang w:eastAsia="es-ES" w:bidi="en-US"/>
        </w:rPr>
      </w:pPr>
      <w:r w:rsidRPr="00684CFF">
        <w:rPr>
          <w:rFonts w:ascii="Verdana" w:eastAsia="MS Mincho" w:hAnsi="Verdana"/>
          <w:b/>
          <w:bCs/>
          <w:sz w:val="20"/>
          <w:szCs w:val="20"/>
          <w:lang w:eastAsia="es-ES" w:bidi="en-US"/>
        </w:rPr>
        <w:t>CASO HABBAL Y OTROS VS. ARGENTINA</w:t>
      </w:r>
    </w:p>
    <w:p w14:paraId="0DD04DBB" w14:textId="77777777" w:rsidR="00684CFF" w:rsidRPr="00684CFF" w:rsidRDefault="00684CFF" w:rsidP="004330E3">
      <w:pPr>
        <w:autoSpaceDE w:val="0"/>
        <w:autoSpaceDN w:val="0"/>
        <w:adjustRightInd w:val="0"/>
        <w:jc w:val="center"/>
        <w:rPr>
          <w:rFonts w:ascii="Verdana" w:eastAsia="MS Mincho" w:hAnsi="Verdana"/>
          <w:b/>
          <w:bCs/>
          <w:sz w:val="20"/>
          <w:szCs w:val="20"/>
          <w:lang w:eastAsia="es-ES" w:bidi="en-US"/>
        </w:rPr>
      </w:pPr>
    </w:p>
    <w:p w14:paraId="0B42B88F" w14:textId="41B7ECBD" w:rsidR="00684CFF" w:rsidRPr="00684CFF" w:rsidRDefault="00684CFF" w:rsidP="004330E3">
      <w:pPr>
        <w:pStyle w:val="Ttulo"/>
        <w:ind w:right="-138"/>
        <w:jc w:val="center"/>
        <w:rPr>
          <w:rFonts w:ascii="Verdana" w:eastAsia="MS Mincho" w:hAnsi="Verdana"/>
          <w:b/>
          <w:bCs/>
          <w:sz w:val="20"/>
          <w:szCs w:val="20"/>
        </w:rPr>
      </w:pPr>
      <w:r w:rsidRPr="00684CFF">
        <w:rPr>
          <w:rFonts w:ascii="Verdana" w:eastAsia="MS Mincho" w:hAnsi="Verdana"/>
          <w:b/>
          <w:bCs/>
          <w:sz w:val="20"/>
          <w:szCs w:val="20"/>
        </w:rPr>
        <w:t xml:space="preserve">SENTENCIA DE </w:t>
      </w:r>
      <w:r w:rsidR="00211BE6">
        <w:rPr>
          <w:rFonts w:ascii="Verdana" w:eastAsia="MS Mincho" w:hAnsi="Verdana"/>
          <w:b/>
          <w:bCs/>
          <w:sz w:val="20"/>
          <w:szCs w:val="20"/>
        </w:rPr>
        <w:t>31</w:t>
      </w:r>
      <w:r w:rsidR="00211BE6" w:rsidRPr="00684CFF">
        <w:rPr>
          <w:rFonts w:ascii="Verdana" w:eastAsia="MS Mincho" w:hAnsi="Verdana"/>
          <w:b/>
          <w:bCs/>
          <w:sz w:val="20"/>
          <w:szCs w:val="20"/>
        </w:rPr>
        <w:t xml:space="preserve"> </w:t>
      </w:r>
      <w:r w:rsidRPr="00684CFF">
        <w:rPr>
          <w:rFonts w:ascii="Verdana" w:eastAsia="MS Mincho" w:hAnsi="Verdana"/>
          <w:b/>
          <w:bCs/>
          <w:sz w:val="20"/>
          <w:szCs w:val="20"/>
        </w:rPr>
        <w:t xml:space="preserve">DE </w:t>
      </w:r>
      <w:r w:rsidR="00B11D5A">
        <w:rPr>
          <w:rFonts w:ascii="Verdana" w:eastAsia="MS Mincho" w:hAnsi="Verdana"/>
          <w:b/>
          <w:bCs/>
          <w:sz w:val="20"/>
          <w:szCs w:val="20"/>
        </w:rPr>
        <w:t>AGOSTO</w:t>
      </w:r>
      <w:r w:rsidRPr="00684CFF">
        <w:rPr>
          <w:rFonts w:ascii="Verdana" w:eastAsia="MS Mincho" w:hAnsi="Verdana"/>
          <w:b/>
          <w:bCs/>
          <w:sz w:val="20"/>
          <w:szCs w:val="20"/>
        </w:rPr>
        <w:t xml:space="preserve"> DE 2022</w:t>
      </w:r>
    </w:p>
    <w:p w14:paraId="19AEED37" w14:textId="73146519" w:rsidR="00684CFF" w:rsidRPr="00684CFF" w:rsidRDefault="00684CFF" w:rsidP="004330E3">
      <w:pPr>
        <w:pStyle w:val="Ttulo"/>
        <w:ind w:right="-138"/>
        <w:jc w:val="center"/>
        <w:rPr>
          <w:rFonts w:ascii="Verdana" w:eastAsia="MS Mincho" w:hAnsi="Verdana"/>
          <w:b/>
          <w:bCs/>
          <w:i/>
          <w:sz w:val="20"/>
          <w:szCs w:val="20"/>
        </w:rPr>
      </w:pPr>
      <w:r w:rsidRPr="00684CFF">
        <w:rPr>
          <w:rFonts w:ascii="Verdana" w:eastAsia="MS Mincho" w:hAnsi="Verdana"/>
          <w:b/>
          <w:bCs/>
          <w:i/>
          <w:sz w:val="20"/>
          <w:szCs w:val="20"/>
        </w:rPr>
        <w:t>(Excepciones Preliminares</w:t>
      </w:r>
      <w:r w:rsidR="00F21E7C">
        <w:rPr>
          <w:rFonts w:ascii="Verdana" w:eastAsia="MS Mincho" w:hAnsi="Verdana"/>
          <w:b/>
          <w:bCs/>
          <w:i/>
          <w:sz w:val="20"/>
          <w:szCs w:val="20"/>
        </w:rPr>
        <w:t xml:space="preserve"> y Fondo</w:t>
      </w:r>
      <w:r w:rsidRPr="00684CFF">
        <w:rPr>
          <w:rFonts w:ascii="Verdana" w:eastAsia="MS Mincho" w:hAnsi="Verdana"/>
          <w:b/>
          <w:bCs/>
          <w:i/>
          <w:sz w:val="20"/>
          <w:szCs w:val="20"/>
        </w:rPr>
        <w:t>)</w:t>
      </w:r>
    </w:p>
    <w:p w14:paraId="66CF1159" w14:textId="77777777" w:rsidR="00684CFF" w:rsidRPr="00684CFF" w:rsidRDefault="00684CFF" w:rsidP="004330E3">
      <w:pPr>
        <w:pStyle w:val="Ttulo"/>
        <w:ind w:left="-502" w:right="-138"/>
        <w:rPr>
          <w:rFonts w:ascii="Verdana" w:eastAsia="MS Mincho" w:hAnsi="Verdana"/>
          <w:b/>
          <w:sz w:val="20"/>
          <w:szCs w:val="20"/>
        </w:rPr>
      </w:pPr>
    </w:p>
    <w:p w14:paraId="30D97047" w14:textId="77777777" w:rsidR="00684CFF" w:rsidRPr="00684CFF" w:rsidRDefault="00684CFF" w:rsidP="004330E3">
      <w:pPr>
        <w:jc w:val="both"/>
        <w:rPr>
          <w:rFonts w:ascii="Verdana" w:hAnsi="Verdana"/>
          <w:sz w:val="20"/>
          <w:szCs w:val="20"/>
        </w:rPr>
      </w:pPr>
    </w:p>
    <w:p w14:paraId="20B531AE" w14:textId="77777777" w:rsidR="00684CFF" w:rsidRPr="00684CFF" w:rsidRDefault="00684CFF" w:rsidP="004330E3">
      <w:pPr>
        <w:jc w:val="both"/>
        <w:rPr>
          <w:rFonts w:ascii="Verdana" w:hAnsi="Verdana"/>
          <w:sz w:val="20"/>
          <w:szCs w:val="20"/>
        </w:rPr>
      </w:pPr>
    </w:p>
    <w:p w14:paraId="623FAA8A" w14:textId="77777777" w:rsidR="00684CFF" w:rsidRPr="00684CFF" w:rsidRDefault="00684CFF" w:rsidP="004330E3">
      <w:pPr>
        <w:jc w:val="both"/>
        <w:rPr>
          <w:rFonts w:ascii="Verdana" w:hAnsi="Verdana"/>
          <w:sz w:val="20"/>
          <w:szCs w:val="20"/>
        </w:rPr>
      </w:pPr>
    </w:p>
    <w:p w14:paraId="3F7E512A" w14:textId="77777777" w:rsidR="00684CFF" w:rsidRPr="00684CFF" w:rsidRDefault="00684CFF" w:rsidP="004330E3">
      <w:pPr>
        <w:jc w:val="both"/>
        <w:rPr>
          <w:rFonts w:ascii="Verdana" w:hAnsi="Verdana"/>
          <w:sz w:val="20"/>
          <w:szCs w:val="20"/>
        </w:rPr>
      </w:pPr>
    </w:p>
    <w:p w14:paraId="6BFC9AB6" w14:textId="77777777" w:rsidR="00684CFF" w:rsidRPr="00684CFF" w:rsidRDefault="00684CFF" w:rsidP="004330E3">
      <w:pPr>
        <w:jc w:val="both"/>
        <w:rPr>
          <w:rFonts w:ascii="Verdana" w:hAnsi="Verdana"/>
          <w:sz w:val="20"/>
          <w:szCs w:val="20"/>
        </w:rPr>
      </w:pPr>
    </w:p>
    <w:p w14:paraId="54C82BE1" w14:textId="77777777" w:rsidR="00684CFF" w:rsidRPr="00684CFF" w:rsidRDefault="00684CFF" w:rsidP="004330E3">
      <w:pPr>
        <w:autoSpaceDE w:val="0"/>
        <w:autoSpaceDN w:val="0"/>
        <w:adjustRightInd w:val="0"/>
        <w:rPr>
          <w:rFonts w:ascii="Verdana" w:eastAsia="MS Mincho" w:hAnsi="Verdana"/>
          <w:b/>
          <w:sz w:val="20"/>
          <w:szCs w:val="20"/>
          <w:lang w:eastAsia="es-ES" w:bidi="en-US"/>
        </w:rPr>
      </w:pPr>
      <w:r w:rsidRPr="00684CFF">
        <w:rPr>
          <w:rFonts w:ascii="Verdana" w:hAnsi="Verdana"/>
          <w:sz w:val="20"/>
          <w:szCs w:val="20"/>
        </w:rPr>
        <w:t xml:space="preserve">En el </w:t>
      </w:r>
      <w:r w:rsidRPr="00684CFF">
        <w:rPr>
          <w:rFonts w:ascii="Verdana" w:hAnsi="Verdana"/>
          <w:i/>
          <w:sz w:val="20"/>
          <w:szCs w:val="20"/>
        </w:rPr>
        <w:t>caso Habbal y otros Vs. Argentina,</w:t>
      </w:r>
      <w:r w:rsidRPr="00684CFF">
        <w:rPr>
          <w:rFonts w:ascii="Verdana" w:eastAsia="MS Mincho" w:hAnsi="Verdana"/>
          <w:b/>
          <w:sz w:val="20"/>
          <w:szCs w:val="20"/>
          <w:lang w:eastAsia="es-ES" w:bidi="en-US"/>
        </w:rPr>
        <w:t xml:space="preserve"> </w:t>
      </w:r>
    </w:p>
    <w:p w14:paraId="1E484902" w14:textId="77777777" w:rsidR="00684CFF" w:rsidRPr="00684CFF" w:rsidRDefault="00684CFF" w:rsidP="004330E3">
      <w:pPr>
        <w:autoSpaceDE w:val="0"/>
        <w:autoSpaceDN w:val="0"/>
        <w:adjustRightInd w:val="0"/>
        <w:rPr>
          <w:rFonts w:ascii="Verdana" w:hAnsi="Verdana"/>
          <w:sz w:val="20"/>
          <w:szCs w:val="20"/>
        </w:rPr>
      </w:pPr>
    </w:p>
    <w:p w14:paraId="56258547" w14:textId="77777777" w:rsidR="00684CFF" w:rsidRPr="00684CFF" w:rsidRDefault="00684CFF" w:rsidP="004330E3">
      <w:pPr>
        <w:jc w:val="both"/>
        <w:rPr>
          <w:rFonts w:ascii="Verdana" w:hAnsi="Verdana"/>
          <w:sz w:val="20"/>
          <w:szCs w:val="20"/>
        </w:rPr>
      </w:pPr>
      <w:r w:rsidRPr="00684CFF">
        <w:rPr>
          <w:rFonts w:ascii="Verdana" w:hAnsi="Verdana"/>
          <w:sz w:val="20"/>
          <w:szCs w:val="20"/>
        </w:rPr>
        <w:t>la Corte Interamericana de Derechos Humanos (en adelante también “la Corte Interamericana”, “la Corte” o “el Tribunal”), integrada por los siguientes Jueces</w:t>
      </w:r>
      <w:r w:rsidRPr="00684CFF">
        <w:rPr>
          <w:rStyle w:val="Refdenotaalpie"/>
          <w:rFonts w:ascii="Verdana" w:eastAsia="MS Mincho" w:hAnsi="Verdana"/>
          <w:sz w:val="20"/>
          <w:szCs w:val="20"/>
        </w:rPr>
        <w:footnoteReference w:customMarkFollows="1" w:id="2"/>
        <w:t>*</w:t>
      </w:r>
      <w:r w:rsidRPr="00684CFF">
        <w:rPr>
          <w:rFonts w:ascii="Verdana" w:hAnsi="Verdana"/>
          <w:sz w:val="20"/>
          <w:szCs w:val="20"/>
        </w:rPr>
        <w:t>:</w:t>
      </w:r>
    </w:p>
    <w:p w14:paraId="7876CD6E" w14:textId="77777777" w:rsidR="00684CFF" w:rsidRPr="00684CFF" w:rsidRDefault="00684CFF" w:rsidP="004330E3">
      <w:pPr>
        <w:jc w:val="both"/>
        <w:rPr>
          <w:rFonts w:ascii="Verdana" w:hAnsi="Verdana"/>
          <w:sz w:val="20"/>
          <w:szCs w:val="20"/>
        </w:rPr>
      </w:pPr>
    </w:p>
    <w:p w14:paraId="00B3F099" w14:textId="3A988036" w:rsidR="00684CFF" w:rsidRPr="00684CFF" w:rsidRDefault="00684CFF" w:rsidP="004330E3">
      <w:pPr>
        <w:pStyle w:val="citaindirecta"/>
        <w:widowControl w:val="0"/>
        <w:tabs>
          <w:tab w:val="left" w:pos="567"/>
          <w:tab w:val="left" w:pos="851"/>
        </w:tabs>
        <w:ind w:left="567" w:right="-174"/>
        <w:rPr>
          <w:lang w:val="es-GT"/>
        </w:rPr>
      </w:pPr>
      <w:r w:rsidRPr="00684CFF">
        <w:rPr>
          <w:rFonts w:cs="Verdana"/>
          <w:lang w:val="es-GT"/>
        </w:rPr>
        <w:t>Ricardo</w:t>
      </w:r>
      <w:r w:rsidR="00A955E2">
        <w:rPr>
          <w:rFonts w:cs="Verdana"/>
          <w:lang w:val="es-GT"/>
        </w:rPr>
        <w:t xml:space="preserve"> C.</w:t>
      </w:r>
      <w:r w:rsidRPr="00684CFF">
        <w:rPr>
          <w:rFonts w:cs="Verdana"/>
          <w:lang w:val="es-GT"/>
        </w:rPr>
        <w:t xml:space="preserve"> Pérez Manrique, </w:t>
      </w:r>
      <w:r w:rsidRPr="00684CFF">
        <w:rPr>
          <w:lang w:val="es-GT"/>
        </w:rPr>
        <w:t>Presidente;</w:t>
      </w:r>
    </w:p>
    <w:p w14:paraId="1221C5F9" w14:textId="77777777" w:rsidR="00684CFF" w:rsidRPr="00684CFF" w:rsidRDefault="00684CFF" w:rsidP="004330E3">
      <w:pPr>
        <w:widowControl w:val="0"/>
        <w:tabs>
          <w:tab w:val="left" w:pos="567"/>
          <w:tab w:val="left" w:pos="720"/>
          <w:tab w:val="left" w:pos="851"/>
        </w:tabs>
        <w:ind w:left="567" w:right="-174"/>
        <w:jc w:val="both"/>
        <w:rPr>
          <w:rFonts w:ascii="Verdana" w:hAnsi="Verdana" w:cs="Verdana"/>
          <w:sz w:val="20"/>
          <w:szCs w:val="20"/>
        </w:rPr>
      </w:pPr>
      <w:r w:rsidRPr="00684CFF">
        <w:rPr>
          <w:rFonts w:ascii="Verdana" w:hAnsi="Verdana"/>
          <w:sz w:val="20"/>
          <w:szCs w:val="20"/>
        </w:rPr>
        <w:t>Humberto Antonio Sierra Porto</w:t>
      </w:r>
      <w:r w:rsidRPr="00684CFF">
        <w:rPr>
          <w:rFonts w:ascii="Verdana" w:hAnsi="Verdana" w:cs="Verdana"/>
          <w:sz w:val="20"/>
          <w:szCs w:val="20"/>
        </w:rPr>
        <w:t>, Vicepresidente;</w:t>
      </w:r>
    </w:p>
    <w:p w14:paraId="34B49143" w14:textId="77777777" w:rsidR="00684CFF" w:rsidRPr="00684CFF" w:rsidRDefault="00684CFF" w:rsidP="004330E3">
      <w:pPr>
        <w:pStyle w:val="citaindirecta"/>
        <w:widowControl w:val="0"/>
        <w:tabs>
          <w:tab w:val="left" w:pos="567"/>
          <w:tab w:val="left" w:pos="851"/>
          <w:tab w:val="left" w:pos="7213"/>
        </w:tabs>
        <w:ind w:left="567" w:right="-174"/>
        <w:rPr>
          <w:lang w:val="es-GT"/>
        </w:rPr>
      </w:pPr>
      <w:r w:rsidRPr="00684CFF">
        <w:rPr>
          <w:lang w:val="es-GT"/>
        </w:rPr>
        <w:t xml:space="preserve">Eduardo Ferrer Mac-Gregor Poisot, </w:t>
      </w:r>
      <w:r w:rsidRPr="00684CFF">
        <w:rPr>
          <w:lang w:val="es-CR"/>
        </w:rPr>
        <w:t>Juez</w:t>
      </w:r>
      <w:r w:rsidRPr="00684CFF">
        <w:rPr>
          <w:lang w:val="es-GT"/>
        </w:rPr>
        <w:t>;</w:t>
      </w:r>
    </w:p>
    <w:p w14:paraId="0E359856" w14:textId="77777777" w:rsidR="00684CFF" w:rsidRPr="00684CFF" w:rsidRDefault="00684CFF" w:rsidP="004330E3">
      <w:pPr>
        <w:pStyle w:val="citaindirecta"/>
        <w:widowControl w:val="0"/>
        <w:tabs>
          <w:tab w:val="left" w:pos="567"/>
          <w:tab w:val="left" w:pos="851"/>
          <w:tab w:val="left" w:pos="7213"/>
        </w:tabs>
        <w:ind w:left="567" w:right="-174"/>
        <w:rPr>
          <w:rFonts w:cs="Segoe UI"/>
          <w:shd w:val="clear" w:color="auto" w:fill="FFFFFF"/>
        </w:rPr>
      </w:pPr>
      <w:r w:rsidRPr="00684CFF">
        <w:rPr>
          <w:rFonts w:cs="Segoe UI"/>
          <w:shd w:val="clear" w:color="auto" w:fill="FFFFFF"/>
        </w:rPr>
        <w:t>Nancy Hernández López, Jueza;</w:t>
      </w:r>
    </w:p>
    <w:p w14:paraId="3921E708" w14:textId="77777777" w:rsidR="00684CFF" w:rsidRPr="00684CFF" w:rsidRDefault="00684CFF" w:rsidP="004330E3">
      <w:pPr>
        <w:pStyle w:val="citaindirecta"/>
        <w:widowControl w:val="0"/>
        <w:tabs>
          <w:tab w:val="left" w:pos="567"/>
          <w:tab w:val="left" w:pos="851"/>
          <w:tab w:val="left" w:pos="7213"/>
        </w:tabs>
        <w:ind w:left="567" w:right="-174"/>
        <w:rPr>
          <w:rFonts w:cs="Segoe UI"/>
          <w:shd w:val="clear" w:color="auto" w:fill="FFFFFF"/>
        </w:rPr>
      </w:pPr>
      <w:r w:rsidRPr="00684CFF">
        <w:rPr>
          <w:rFonts w:cs="Segoe UI"/>
          <w:shd w:val="clear" w:color="auto" w:fill="FFFFFF"/>
        </w:rPr>
        <w:t>Patricia Pérez Goldberg, Jueza, y</w:t>
      </w:r>
    </w:p>
    <w:p w14:paraId="64A9008C" w14:textId="77777777" w:rsidR="00684CFF" w:rsidRPr="00684CFF" w:rsidRDefault="00684CFF" w:rsidP="004330E3">
      <w:pPr>
        <w:pStyle w:val="citaindirecta"/>
        <w:widowControl w:val="0"/>
        <w:tabs>
          <w:tab w:val="left" w:pos="567"/>
          <w:tab w:val="left" w:pos="851"/>
          <w:tab w:val="left" w:pos="7213"/>
        </w:tabs>
        <w:ind w:left="567" w:right="-174"/>
      </w:pPr>
      <w:r w:rsidRPr="00684CFF">
        <w:rPr>
          <w:rFonts w:cs="Segoe UI"/>
          <w:shd w:val="clear" w:color="auto" w:fill="FFFFFF"/>
        </w:rPr>
        <w:t>Rodrigo de Bittencourt Mudrovitsch</w:t>
      </w:r>
      <w:r w:rsidRPr="00684CFF">
        <w:t>, Juez,</w:t>
      </w:r>
    </w:p>
    <w:p w14:paraId="4286ECE7" w14:textId="77777777" w:rsidR="00684CFF" w:rsidRPr="00684CFF" w:rsidRDefault="00684CFF" w:rsidP="004330E3">
      <w:pPr>
        <w:widowControl w:val="0"/>
        <w:tabs>
          <w:tab w:val="left" w:pos="567"/>
          <w:tab w:val="left" w:pos="720"/>
        </w:tabs>
        <w:adjustRightInd w:val="0"/>
        <w:jc w:val="both"/>
        <w:textAlignment w:val="baseline"/>
        <w:rPr>
          <w:rFonts w:ascii="Verdana" w:hAnsi="Verdana" w:cs="Verdana"/>
          <w:sz w:val="20"/>
          <w:szCs w:val="20"/>
          <w:lang w:eastAsia="es-CR"/>
        </w:rPr>
      </w:pPr>
    </w:p>
    <w:p w14:paraId="4D3B1EED" w14:textId="77777777" w:rsidR="00684CFF" w:rsidRPr="00684CFF" w:rsidRDefault="00684CFF" w:rsidP="00D753D0">
      <w:pPr>
        <w:pStyle w:val="PrrafodeSentencia"/>
        <w:numPr>
          <w:ilvl w:val="0"/>
          <w:numId w:val="0"/>
        </w:numPr>
      </w:pPr>
      <w:r w:rsidRPr="00684CFF">
        <w:t>presente, además,</w:t>
      </w:r>
    </w:p>
    <w:p w14:paraId="701E4F19" w14:textId="77777777" w:rsidR="00684CFF" w:rsidRPr="00684CFF" w:rsidRDefault="00684CFF" w:rsidP="004330E3">
      <w:pPr>
        <w:widowControl w:val="0"/>
        <w:tabs>
          <w:tab w:val="left" w:pos="567"/>
          <w:tab w:val="left" w:pos="720"/>
        </w:tabs>
        <w:adjustRightInd w:val="0"/>
        <w:jc w:val="both"/>
        <w:textAlignment w:val="baseline"/>
        <w:rPr>
          <w:rFonts w:ascii="Verdana" w:hAnsi="Verdana" w:cs="Verdana"/>
          <w:sz w:val="20"/>
          <w:szCs w:val="20"/>
          <w:lang w:eastAsia="es-CR"/>
        </w:rPr>
      </w:pPr>
    </w:p>
    <w:p w14:paraId="55CD6C97" w14:textId="77777777" w:rsidR="00684CFF" w:rsidRPr="00684CFF" w:rsidRDefault="00684CFF" w:rsidP="004330E3">
      <w:pPr>
        <w:widowControl w:val="0"/>
        <w:tabs>
          <w:tab w:val="left" w:pos="567"/>
          <w:tab w:val="left" w:pos="720"/>
        </w:tabs>
        <w:adjustRightInd w:val="0"/>
        <w:jc w:val="both"/>
        <w:textAlignment w:val="baseline"/>
        <w:rPr>
          <w:rFonts w:ascii="Verdana" w:hAnsi="Verdana"/>
          <w:sz w:val="20"/>
          <w:szCs w:val="20"/>
        </w:rPr>
      </w:pPr>
      <w:r w:rsidRPr="00684CFF">
        <w:rPr>
          <w:rFonts w:ascii="Verdana" w:hAnsi="Verdana" w:cs="Verdana"/>
          <w:sz w:val="20"/>
          <w:szCs w:val="20"/>
          <w:lang w:eastAsia="es-CR"/>
        </w:rPr>
        <w:tab/>
        <w:t>Pablo Saavedra Alessandri, Secretario</w:t>
      </w:r>
      <w:r w:rsidRPr="00684CFF">
        <w:rPr>
          <w:rFonts w:ascii="Verdana" w:hAnsi="Verdana" w:cs="Verdana"/>
          <w:sz w:val="20"/>
          <w:szCs w:val="20"/>
          <w:vertAlign w:val="superscript"/>
          <w:lang w:eastAsia="es-CR"/>
        </w:rPr>
        <w:t>*</w:t>
      </w:r>
      <w:r w:rsidRPr="00684CFF">
        <w:rPr>
          <w:rStyle w:val="Refdenotaalpie"/>
          <w:rFonts w:ascii="Verdana" w:eastAsia="MS Mincho" w:hAnsi="Verdana"/>
          <w:sz w:val="20"/>
          <w:szCs w:val="20"/>
        </w:rPr>
        <w:footnoteReference w:customMarkFollows="1" w:id="3"/>
        <w:t>*</w:t>
      </w:r>
      <w:r w:rsidRPr="00684CFF">
        <w:rPr>
          <w:rFonts w:ascii="Verdana" w:hAnsi="Verdana" w:cs="Verdana"/>
          <w:sz w:val="20"/>
          <w:szCs w:val="20"/>
          <w:lang w:eastAsia="es-CR"/>
        </w:rPr>
        <w:t>,</w:t>
      </w:r>
    </w:p>
    <w:p w14:paraId="44CBB618" w14:textId="77777777" w:rsidR="00684CFF" w:rsidRPr="00684CFF" w:rsidRDefault="00684CFF" w:rsidP="004330E3">
      <w:pPr>
        <w:widowControl w:val="0"/>
        <w:tabs>
          <w:tab w:val="left" w:pos="5670"/>
        </w:tabs>
        <w:ind w:right="4630"/>
        <w:rPr>
          <w:rFonts w:ascii="Verdana" w:eastAsia="Verdana" w:hAnsi="Verdana" w:cs="Verdana"/>
          <w:sz w:val="20"/>
          <w:szCs w:val="20"/>
        </w:rPr>
      </w:pPr>
    </w:p>
    <w:p w14:paraId="56159D5F" w14:textId="77777777" w:rsidR="00684CFF" w:rsidRPr="00684CFF" w:rsidRDefault="00684CFF" w:rsidP="004330E3">
      <w:pPr>
        <w:jc w:val="both"/>
        <w:rPr>
          <w:rFonts w:ascii="Verdana" w:hAnsi="Verdana"/>
          <w:sz w:val="20"/>
          <w:szCs w:val="20"/>
        </w:rPr>
      </w:pPr>
      <w:r w:rsidRPr="00684CFF">
        <w:rPr>
          <w:rFonts w:ascii="Verdana" w:hAnsi="Verdana"/>
          <w:sz w:val="20"/>
          <w:szCs w:val="20"/>
        </w:rPr>
        <w:t>de conformidad con los artículos 62.3 y 63.1 de la Convención Americana sobre Derechos Humanos (en adelante también “la Convención Americana” o “la Convención”) y con los artículos 31, 32, 42, 65 y 67 del Reglamento de la Corte (en adelante “el Reglamento”), dicta la presente Sentencia, que se estructura en el siguiente orden:</w:t>
      </w:r>
    </w:p>
    <w:p w14:paraId="16431982" w14:textId="77777777" w:rsidR="00684CFF" w:rsidRPr="00684CFF" w:rsidRDefault="00684CFF" w:rsidP="004330E3">
      <w:pPr>
        <w:rPr>
          <w:rFonts w:ascii="Verdana" w:hAnsi="Verdana"/>
          <w:strike/>
          <w:sz w:val="20"/>
          <w:szCs w:val="20"/>
        </w:rPr>
      </w:pPr>
    </w:p>
    <w:p w14:paraId="27365B75" w14:textId="77777777" w:rsidR="00684CFF" w:rsidRPr="009F75A2" w:rsidRDefault="00684CFF" w:rsidP="004330E3">
      <w:pPr>
        <w:rPr>
          <w:rFonts w:ascii="Verdana" w:hAnsi="Verdana"/>
          <w:strike/>
          <w:sz w:val="20"/>
          <w:szCs w:val="20"/>
        </w:rPr>
      </w:pPr>
      <w:r w:rsidRPr="009F75A2">
        <w:rPr>
          <w:rFonts w:ascii="Verdana" w:hAnsi="Verdana"/>
          <w:strike/>
          <w:sz w:val="20"/>
          <w:szCs w:val="20"/>
        </w:rPr>
        <w:br w:type="page"/>
      </w:r>
    </w:p>
    <w:sdt>
      <w:sdtPr>
        <w:rPr>
          <w:rFonts w:ascii="Verdana" w:eastAsia="Calibri" w:hAnsi="Verdana" w:cs="Times New Roman"/>
          <w:b/>
          <w:bCs/>
          <w:color w:val="auto"/>
          <w:sz w:val="20"/>
          <w:szCs w:val="20"/>
          <w:lang w:val="es-ES"/>
        </w:rPr>
        <w:id w:val="-1155831016"/>
        <w:docPartObj>
          <w:docPartGallery w:val="Table of Contents"/>
          <w:docPartUnique/>
        </w:docPartObj>
      </w:sdtPr>
      <w:sdtEndPr>
        <w:rPr>
          <w:rFonts w:eastAsia="Times New Roman"/>
        </w:rPr>
      </w:sdtEndPr>
      <w:sdtContent>
        <w:p w14:paraId="6B5F5910" w14:textId="77777777" w:rsidR="00684CFF" w:rsidRPr="0037717D" w:rsidRDefault="00684CFF" w:rsidP="0037717D">
          <w:pPr>
            <w:pStyle w:val="TtuloTDC"/>
            <w:spacing w:before="0" w:line="240" w:lineRule="auto"/>
            <w:jc w:val="both"/>
            <w:rPr>
              <w:rFonts w:ascii="Verdana" w:hAnsi="Verdana"/>
              <w:b/>
              <w:bCs/>
              <w:color w:val="auto"/>
              <w:sz w:val="20"/>
              <w:szCs w:val="20"/>
              <w:lang w:val="es-ES"/>
            </w:rPr>
          </w:pPr>
          <w:r w:rsidRPr="0037717D">
            <w:rPr>
              <w:rFonts w:ascii="Verdana" w:hAnsi="Verdana"/>
              <w:b/>
              <w:bCs/>
              <w:color w:val="auto"/>
              <w:sz w:val="20"/>
              <w:szCs w:val="20"/>
              <w:lang w:val="es-ES"/>
            </w:rPr>
            <w:t>Contenido</w:t>
          </w:r>
        </w:p>
        <w:p w14:paraId="43E8B88B" w14:textId="77777777" w:rsidR="00684CFF" w:rsidRPr="0037717D" w:rsidRDefault="00684CFF" w:rsidP="0037717D">
          <w:pPr>
            <w:jc w:val="both"/>
            <w:rPr>
              <w:rFonts w:ascii="Verdana" w:hAnsi="Verdana"/>
              <w:sz w:val="20"/>
              <w:szCs w:val="20"/>
              <w:lang w:val="es-ES" w:eastAsia="es-ES_tradnl"/>
            </w:rPr>
          </w:pPr>
        </w:p>
        <w:p w14:paraId="7C67580C" w14:textId="4950AC8C" w:rsidR="0037717D" w:rsidRPr="0037717D" w:rsidRDefault="00684CFF" w:rsidP="0037717D">
          <w:pPr>
            <w:pStyle w:val="TDC1"/>
            <w:jc w:val="both"/>
            <w:rPr>
              <w:rFonts w:ascii="Verdana" w:eastAsiaTheme="minorEastAsia" w:hAnsi="Verdana" w:cstheme="minorBidi"/>
              <w:b w:val="0"/>
              <w:sz w:val="20"/>
              <w:szCs w:val="20"/>
              <w:lang w:eastAsia="es-MX"/>
            </w:rPr>
          </w:pPr>
          <w:r w:rsidRPr="0037717D">
            <w:rPr>
              <w:rFonts w:ascii="Verdana" w:eastAsia="Calibri" w:hAnsi="Verdana"/>
              <w:sz w:val="20"/>
              <w:szCs w:val="20"/>
              <w:highlight w:val="yellow"/>
              <w:lang w:val="es-ES_tradnl" w:eastAsia="en-US"/>
            </w:rPr>
            <w:fldChar w:fldCharType="begin"/>
          </w:r>
          <w:r w:rsidRPr="0037717D">
            <w:rPr>
              <w:rFonts w:ascii="Verdana" w:hAnsi="Verdana"/>
              <w:sz w:val="20"/>
              <w:szCs w:val="20"/>
              <w:highlight w:val="yellow"/>
            </w:rPr>
            <w:instrText xml:space="preserve"> TOC \o "1-3" \h \z \u </w:instrText>
          </w:r>
          <w:r w:rsidRPr="0037717D">
            <w:rPr>
              <w:rFonts w:ascii="Verdana" w:eastAsia="Calibri" w:hAnsi="Verdana"/>
              <w:sz w:val="20"/>
              <w:szCs w:val="20"/>
              <w:highlight w:val="yellow"/>
              <w:lang w:val="es-ES_tradnl" w:eastAsia="en-US"/>
            </w:rPr>
            <w:fldChar w:fldCharType="separate"/>
          </w:r>
          <w:hyperlink w:anchor="_Toc115167418" w:history="1">
            <w:r w:rsidR="0037717D" w:rsidRPr="0037717D">
              <w:rPr>
                <w:rStyle w:val="Hipervnculo"/>
                <w:rFonts w:ascii="Verdana" w:hAnsi="Verdana"/>
                <w:sz w:val="20"/>
                <w:szCs w:val="20"/>
              </w:rPr>
              <w:t>I INTRODUCCIÓN A LA CAUSA Y OBJETO DE LA CONTROVERSIA</w:t>
            </w:r>
            <w:r w:rsidR="0037717D" w:rsidRPr="0037717D">
              <w:rPr>
                <w:rFonts w:ascii="Verdana" w:hAnsi="Verdana"/>
                <w:webHidden/>
                <w:sz w:val="20"/>
                <w:szCs w:val="20"/>
              </w:rPr>
              <w:tab/>
            </w:r>
            <w:r w:rsidR="0037717D" w:rsidRPr="0037717D">
              <w:rPr>
                <w:rFonts w:ascii="Verdana" w:hAnsi="Verdana"/>
                <w:webHidden/>
                <w:sz w:val="20"/>
                <w:szCs w:val="20"/>
              </w:rPr>
              <w:fldChar w:fldCharType="begin"/>
            </w:r>
            <w:r w:rsidR="0037717D" w:rsidRPr="0037717D">
              <w:rPr>
                <w:rFonts w:ascii="Verdana" w:hAnsi="Verdana"/>
                <w:webHidden/>
                <w:sz w:val="20"/>
                <w:szCs w:val="20"/>
              </w:rPr>
              <w:instrText xml:space="preserve"> PAGEREF _Toc115167418 \h </w:instrText>
            </w:r>
            <w:r w:rsidR="0037717D" w:rsidRPr="0037717D">
              <w:rPr>
                <w:rFonts w:ascii="Verdana" w:hAnsi="Verdana"/>
                <w:webHidden/>
                <w:sz w:val="20"/>
                <w:szCs w:val="20"/>
              </w:rPr>
            </w:r>
            <w:r w:rsidR="0037717D" w:rsidRPr="0037717D">
              <w:rPr>
                <w:rFonts w:ascii="Verdana" w:hAnsi="Verdana"/>
                <w:webHidden/>
                <w:sz w:val="20"/>
                <w:szCs w:val="20"/>
              </w:rPr>
              <w:fldChar w:fldCharType="separate"/>
            </w:r>
            <w:r w:rsidR="00645337">
              <w:rPr>
                <w:rFonts w:ascii="Verdana" w:hAnsi="Verdana"/>
                <w:webHidden/>
                <w:sz w:val="20"/>
                <w:szCs w:val="20"/>
              </w:rPr>
              <w:t>3</w:t>
            </w:r>
            <w:r w:rsidR="0037717D" w:rsidRPr="0037717D">
              <w:rPr>
                <w:rFonts w:ascii="Verdana" w:hAnsi="Verdana"/>
                <w:webHidden/>
                <w:sz w:val="20"/>
                <w:szCs w:val="20"/>
              </w:rPr>
              <w:fldChar w:fldCharType="end"/>
            </w:r>
          </w:hyperlink>
        </w:p>
        <w:p w14:paraId="23A9BDBF" w14:textId="592D4055" w:rsidR="0037717D" w:rsidRPr="0037717D" w:rsidRDefault="00645337" w:rsidP="0037717D">
          <w:pPr>
            <w:pStyle w:val="TDC1"/>
            <w:jc w:val="both"/>
            <w:rPr>
              <w:rFonts w:ascii="Verdana" w:eastAsiaTheme="minorEastAsia" w:hAnsi="Verdana" w:cstheme="minorBidi"/>
              <w:b w:val="0"/>
              <w:sz w:val="20"/>
              <w:szCs w:val="20"/>
              <w:lang w:eastAsia="es-MX"/>
            </w:rPr>
          </w:pPr>
          <w:hyperlink w:anchor="_Toc115167419" w:history="1">
            <w:r w:rsidR="0037717D" w:rsidRPr="0037717D">
              <w:rPr>
                <w:rStyle w:val="Hipervnculo"/>
                <w:rFonts w:ascii="Verdana" w:hAnsi="Verdana"/>
                <w:sz w:val="20"/>
                <w:szCs w:val="20"/>
              </w:rPr>
              <w:t>II PROCEDIMIENTO ANTE LA CORTE</w:t>
            </w:r>
            <w:r w:rsidR="0037717D" w:rsidRPr="0037717D">
              <w:rPr>
                <w:rFonts w:ascii="Verdana" w:hAnsi="Verdana"/>
                <w:webHidden/>
                <w:sz w:val="20"/>
                <w:szCs w:val="20"/>
              </w:rPr>
              <w:tab/>
            </w:r>
            <w:r w:rsidR="0037717D" w:rsidRPr="0037717D">
              <w:rPr>
                <w:rFonts w:ascii="Verdana" w:hAnsi="Verdana"/>
                <w:webHidden/>
                <w:sz w:val="20"/>
                <w:szCs w:val="20"/>
              </w:rPr>
              <w:fldChar w:fldCharType="begin"/>
            </w:r>
            <w:r w:rsidR="0037717D" w:rsidRPr="0037717D">
              <w:rPr>
                <w:rFonts w:ascii="Verdana" w:hAnsi="Verdana"/>
                <w:webHidden/>
                <w:sz w:val="20"/>
                <w:szCs w:val="20"/>
              </w:rPr>
              <w:instrText xml:space="preserve"> PAGEREF _Toc115167419 \h </w:instrText>
            </w:r>
            <w:r w:rsidR="0037717D" w:rsidRPr="0037717D">
              <w:rPr>
                <w:rFonts w:ascii="Verdana" w:hAnsi="Verdana"/>
                <w:webHidden/>
                <w:sz w:val="20"/>
                <w:szCs w:val="20"/>
              </w:rPr>
            </w:r>
            <w:r w:rsidR="0037717D" w:rsidRPr="0037717D">
              <w:rPr>
                <w:rFonts w:ascii="Verdana" w:hAnsi="Verdana"/>
                <w:webHidden/>
                <w:sz w:val="20"/>
                <w:szCs w:val="20"/>
              </w:rPr>
              <w:fldChar w:fldCharType="separate"/>
            </w:r>
            <w:r>
              <w:rPr>
                <w:rFonts w:ascii="Verdana" w:hAnsi="Verdana"/>
                <w:webHidden/>
                <w:sz w:val="20"/>
                <w:szCs w:val="20"/>
              </w:rPr>
              <w:t>4</w:t>
            </w:r>
            <w:r w:rsidR="0037717D" w:rsidRPr="0037717D">
              <w:rPr>
                <w:rFonts w:ascii="Verdana" w:hAnsi="Verdana"/>
                <w:webHidden/>
                <w:sz w:val="20"/>
                <w:szCs w:val="20"/>
              </w:rPr>
              <w:fldChar w:fldCharType="end"/>
            </w:r>
          </w:hyperlink>
        </w:p>
        <w:p w14:paraId="41E105C1" w14:textId="6E706C24" w:rsidR="0037717D" w:rsidRPr="0037717D" w:rsidRDefault="00645337" w:rsidP="0037717D">
          <w:pPr>
            <w:pStyle w:val="TDC1"/>
            <w:jc w:val="both"/>
            <w:rPr>
              <w:rFonts w:ascii="Verdana" w:eastAsiaTheme="minorEastAsia" w:hAnsi="Verdana" w:cstheme="minorBidi"/>
              <w:b w:val="0"/>
              <w:sz w:val="20"/>
              <w:szCs w:val="20"/>
              <w:lang w:eastAsia="es-MX"/>
            </w:rPr>
          </w:pPr>
          <w:hyperlink w:anchor="_Toc115167420" w:history="1">
            <w:r w:rsidR="0037717D" w:rsidRPr="0037717D">
              <w:rPr>
                <w:rStyle w:val="Hipervnculo"/>
                <w:rFonts w:ascii="Verdana" w:hAnsi="Verdana"/>
                <w:sz w:val="20"/>
                <w:szCs w:val="20"/>
              </w:rPr>
              <w:t>III COMPETENCIA</w:t>
            </w:r>
            <w:r w:rsidR="0037717D" w:rsidRPr="0037717D">
              <w:rPr>
                <w:rFonts w:ascii="Verdana" w:hAnsi="Verdana"/>
                <w:webHidden/>
                <w:sz w:val="20"/>
                <w:szCs w:val="20"/>
              </w:rPr>
              <w:tab/>
            </w:r>
            <w:r w:rsidR="0037717D" w:rsidRPr="0037717D">
              <w:rPr>
                <w:rFonts w:ascii="Verdana" w:hAnsi="Verdana"/>
                <w:webHidden/>
                <w:sz w:val="20"/>
                <w:szCs w:val="20"/>
              </w:rPr>
              <w:fldChar w:fldCharType="begin"/>
            </w:r>
            <w:r w:rsidR="0037717D" w:rsidRPr="0037717D">
              <w:rPr>
                <w:rFonts w:ascii="Verdana" w:hAnsi="Verdana"/>
                <w:webHidden/>
                <w:sz w:val="20"/>
                <w:szCs w:val="20"/>
              </w:rPr>
              <w:instrText xml:space="preserve"> PAGEREF _Toc115167420 \h </w:instrText>
            </w:r>
            <w:r w:rsidR="0037717D" w:rsidRPr="0037717D">
              <w:rPr>
                <w:rFonts w:ascii="Verdana" w:hAnsi="Verdana"/>
                <w:webHidden/>
                <w:sz w:val="20"/>
                <w:szCs w:val="20"/>
              </w:rPr>
            </w:r>
            <w:r w:rsidR="0037717D" w:rsidRPr="0037717D">
              <w:rPr>
                <w:rFonts w:ascii="Verdana" w:hAnsi="Verdana"/>
                <w:webHidden/>
                <w:sz w:val="20"/>
                <w:szCs w:val="20"/>
              </w:rPr>
              <w:fldChar w:fldCharType="separate"/>
            </w:r>
            <w:r>
              <w:rPr>
                <w:rFonts w:ascii="Verdana" w:hAnsi="Verdana"/>
                <w:webHidden/>
                <w:sz w:val="20"/>
                <w:szCs w:val="20"/>
              </w:rPr>
              <w:t>5</w:t>
            </w:r>
            <w:r w:rsidR="0037717D" w:rsidRPr="0037717D">
              <w:rPr>
                <w:rFonts w:ascii="Verdana" w:hAnsi="Verdana"/>
                <w:webHidden/>
                <w:sz w:val="20"/>
                <w:szCs w:val="20"/>
              </w:rPr>
              <w:fldChar w:fldCharType="end"/>
            </w:r>
          </w:hyperlink>
        </w:p>
        <w:p w14:paraId="70A68DE2" w14:textId="7258606B" w:rsidR="0037717D" w:rsidRPr="0037717D" w:rsidRDefault="00645337" w:rsidP="0037717D">
          <w:pPr>
            <w:pStyle w:val="TDC1"/>
            <w:jc w:val="both"/>
            <w:rPr>
              <w:rFonts w:ascii="Verdana" w:eastAsiaTheme="minorEastAsia" w:hAnsi="Verdana" w:cstheme="minorBidi"/>
              <w:b w:val="0"/>
              <w:sz w:val="20"/>
              <w:szCs w:val="20"/>
              <w:lang w:eastAsia="es-MX"/>
            </w:rPr>
          </w:pPr>
          <w:hyperlink w:anchor="_Toc115167421" w:history="1">
            <w:r w:rsidR="0037717D" w:rsidRPr="0037717D">
              <w:rPr>
                <w:rStyle w:val="Hipervnculo"/>
                <w:rFonts w:ascii="Verdana" w:hAnsi="Verdana"/>
                <w:sz w:val="20"/>
                <w:szCs w:val="20"/>
              </w:rPr>
              <w:t>IV EXCEPCIONES PRELIMINARES</w:t>
            </w:r>
            <w:r w:rsidR="0037717D" w:rsidRPr="0037717D">
              <w:rPr>
                <w:rFonts w:ascii="Verdana" w:hAnsi="Verdana"/>
                <w:webHidden/>
                <w:sz w:val="20"/>
                <w:szCs w:val="20"/>
              </w:rPr>
              <w:tab/>
            </w:r>
            <w:r w:rsidR="0037717D" w:rsidRPr="0037717D">
              <w:rPr>
                <w:rFonts w:ascii="Verdana" w:hAnsi="Verdana"/>
                <w:webHidden/>
                <w:sz w:val="20"/>
                <w:szCs w:val="20"/>
              </w:rPr>
              <w:fldChar w:fldCharType="begin"/>
            </w:r>
            <w:r w:rsidR="0037717D" w:rsidRPr="0037717D">
              <w:rPr>
                <w:rFonts w:ascii="Verdana" w:hAnsi="Verdana"/>
                <w:webHidden/>
                <w:sz w:val="20"/>
                <w:szCs w:val="20"/>
              </w:rPr>
              <w:instrText xml:space="preserve"> PAGEREF _Toc115167421 \h </w:instrText>
            </w:r>
            <w:r w:rsidR="0037717D" w:rsidRPr="0037717D">
              <w:rPr>
                <w:rFonts w:ascii="Verdana" w:hAnsi="Verdana"/>
                <w:webHidden/>
                <w:sz w:val="20"/>
                <w:szCs w:val="20"/>
              </w:rPr>
            </w:r>
            <w:r w:rsidR="0037717D" w:rsidRPr="0037717D">
              <w:rPr>
                <w:rFonts w:ascii="Verdana" w:hAnsi="Verdana"/>
                <w:webHidden/>
                <w:sz w:val="20"/>
                <w:szCs w:val="20"/>
              </w:rPr>
              <w:fldChar w:fldCharType="separate"/>
            </w:r>
            <w:r>
              <w:rPr>
                <w:rFonts w:ascii="Verdana" w:hAnsi="Verdana"/>
                <w:webHidden/>
                <w:sz w:val="20"/>
                <w:szCs w:val="20"/>
              </w:rPr>
              <w:t>5</w:t>
            </w:r>
            <w:r w:rsidR="0037717D" w:rsidRPr="0037717D">
              <w:rPr>
                <w:rFonts w:ascii="Verdana" w:hAnsi="Verdana"/>
                <w:webHidden/>
                <w:sz w:val="20"/>
                <w:szCs w:val="20"/>
              </w:rPr>
              <w:fldChar w:fldCharType="end"/>
            </w:r>
          </w:hyperlink>
        </w:p>
        <w:p w14:paraId="409E0FF6" w14:textId="6ADEE817" w:rsidR="0037717D" w:rsidRPr="0037717D" w:rsidRDefault="00645337" w:rsidP="0037717D">
          <w:pPr>
            <w:pStyle w:val="TDC2"/>
            <w:rPr>
              <w:rFonts w:eastAsiaTheme="minorEastAsia" w:cstheme="minorBidi"/>
              <w:i w:val="0"/>
              <w:snapToGrid/>
            </w:rPr>
          </w:pPr>
          <w:hyperlink w:anchor="_Toc115167422" w:history="1">
            <w:r w:rsidR="0037717D" w:rsidRPr="0037717D">
              <w:rPr>
                <w:rStyle w:val="Hipervnculo"/>
              </w:rPr>
              <w:t>A. Alegatos del Estado y observaciones de la Comisión y de los representantes</w:t>
            </w:r>
            <w:r w:rsidR="0037717D" w:rsidRPr="0037717D">
              <w:rPr>
                <w:webHidden/>
              </w:rPr>
              <w:tab/>
            </w:r>
            <w:r w:rsidR="0037717D" w:rsidRPr="0037717D">
              <w:rPr>
                <w:webHidden/>
              </w:rPr>
              <w:fldChar w:fldCharType="begin"/>
            </w:r>
            <w:r w:rsidR="0037717D" w:rsidRPr="0037717D">
              <w:rPr>
                <w:webHidden/>
              </w:rPr>
              <w:instrText xml:space="preserve"> PAGEREF _Toc115167422 \h </w:instrText>
            </w:r>
            <w:r w:rsidR="0037717D" w:rsidRPr="0037717D">
              <w:rPr>
                <w:webHidden/>
              </w:rPr>
            </w:r>
            <w:r w:rsidR="0037717D" w:rsidRPr="0037717D">
              <w:rPr>
                <w:webHidden/>
              </w:rPr>
              <w:fldChar w:fldCharType="separate"/>
            </w:r>
            <w:r>
              <w:rPr>
                <w:webHidden/>
              </w:rPr>
              <w:t>5</w:t>
            </w:r>
            <w:r w:rsidR="0037717D" w:rsidRPr="0037717D">
              <w:rPr>
                <w:webHidden/>
              </w:rPr>
              <w:fldChar w:fldCharType="end"/>
            </w:r>
          </w:hyperlink>
        </w:p>
        <w:p w14:paraId="0AD729C3" w14:textId="7367F0DD" w:rsidR="0037717D" w:rsidRPr="0037717D" w:rsidRDefault="00645337" w:rsidP="0037717D">
          <w:pPr>
            <w:pStyle w:val="TDC3"/>
            <w:jc w:val="both"/>
            <w:rPr>
              <w:rFonts w:ascii="Verdana" w:eastAsiaTheme="minorEastAsia" w:hAnsi="Verdana" w:cstheme="minorBidi"/>
              <w:noProof/>
              <w:sz w:val="20"/>
              <w:szCs w:val="20"/>
            </w:rPr>
          </w:pPr>
          <w:hyperlink w:anchor="_Toc115167423" w:history="1">
            <w:r w:rsidR="0037717D" w:rsidRPr="0037717D">
              <w:rPr>
                <w:rStyle w:val="Hipervnculo"/>
                <w:rFonts w:ascii="Verdana" w:hAnsi="Verdana"/>
                <w:noProof/>
                <w:sz w:val="20"/>
                <w:szCs w:val="20"/>
              </w:rPr>
              <w:t xml:space="preserve">A.1. </w:t>
            </w:r>
            <w:r w:rsidR="0037717D" w:rsidRPr="0037717D">
              <w:rPr>
                <w:rStyle w:val="Hipervnculo"/>
                <w:rFonts w:ascii="Verdana" w:hAnsi="Verdana"/>
                <w:noProof/>
                <w:snapToGrid w:val="0"/>
                <w:sz w:val="20"/>
                <w:szCs w:val="20"/>
              </w:rPr>
              <w:t>Ausencia de participación de las presuntas víctimas en el proceso y falta de poderes de representación</w:t>
            </w:r>
            <w:r w:rsidR="0037717D" w:rsidRPr="0037717D">
              <w:rPr>
                <w:rFonts w:ascii="Verdana" w:hAnsi="Verdana"/>
                <w:noProof/>
                <w:webHidden/>
                <w:sz w:val="20"/>
                <w:szCs w:val="20"/>
              </w:rPr>
              <w:tab/>
            </w:r>
            <w:r w:rsidR="0037717D" w:rsidRPr="0037717D">
              <w:rPr>
                <w:rFonts w:ascii="Verdana" w:hAnsi="Verdana"/>
                <w:noProof/>
                <w:webHidden/>
                <w:sz w:val="20"/>
                <w:szCs w:val="20"/>
              </w:rPr>
              <w:fldChar w:fldCharType="begin"/>
            </w:r>
            <w:r w:rsidR="0037717D" w:rsidRPr="0037717D">
              <w:rPr>
                <w:rFonts w:ascii="Verdana" w:hAnsi="Verdana"/>
                <w:noProof/>
                <w:webHidden/>
                <w:sz w:val="20"/>
                <w:szCs w:val="20"/>
              </w:rPr>
              <w:instrText xml:space="preserve"> PAGEREF _Toc115167423 \h </w:instrText>
            </w:r>
            <w:r w:rsidR="0037717D" w:rsidRPr="0037717D">
              <w:rPr>
                <w:rFonts w:ascii="Verdana" w:hAnsi="Verdana"/>
                <w:noProof/>
                <w:webHidden/>
                <w:sz w:val="20"/>
                <w:szCs w:val="20"/>
              </w:rPr>
            </w:r>
            <w:r w:rsidR="0037717D" w:rsidRPr="0037717D">
              <w:rPr>
                <w:rFonts w:ascii="Verdana" w:hAnsi="Verdana"/>
                <w:noProof/>
                <w:webHidden/>
                <w:sz w:val="20"/>
                <w:szCs w:val="20"/>
              </w:rPr>
              <w:fldChar w:fldCharType="separate"/>
            </w:r>
            <w:r>
              <w:rPr>
                <w:rFonts w:ascii="Verdana" w:hAnsi="Verdana"/>
                <w:noProof/>
                <w:webHidden/>
                <w:sz w:val="20"/>
                <w:szCs w:val="20"/>
              </w:rPr>
              <w:t>5</w:t>
            </w:r>
            <w:r w:rsidR="0037717D" w:rsidRPr="0037717D">
              <w:rPr>
                <w:rFonts w:ascii="Verdana" w:hAnsi="Verdana"/>
                <w:noProof/>
                <w:webHidden/>
                <w:sz w:val="20"/>
                <w:szCs w:val="20"/>
              </w:rPr>
              <w:fldChar w:fldCharType="end"/>
            </w:r>
          </w:hyperlink>
        </w:p>
        <w:p w14:paraId="7B69C5B3" w14:textId="39D29DBF" w:rsidR="0037717D" w:rsidRPr="0037717D" w:rsidRDefault="00645337" w:rsidP="0037717D">
          <w:pPr>
            <w:pStyle w:val="TDC3"/>
            <w:jc w:val="both"/>
            <w:rPr>
              <w:rFonts w:ascii="Verdana" w:eastAsiaTheme="minorEastAsia" w:hAnsi="Verdana" w:cstheme="minorBidi"/>
              <w:noProof/>
              <w:sz w:val="20"/>
              <w:szCs w:val="20"/>
            </w:rPr>
          </w:pPr>
          <w:hyperlink w:anchor="_Toc115167424" w:history="1">
            <w:r w:rsidR="0037717D" w:rsidRPr="0037717D">
              <w:rPr>
                <w:rStyle w:val="Hipervnculo"/>
                <w:rFonts w:ascii="Verdana" w:hAnsi="Verdana"/>
                <w:noProof/>
                <w:sz w:val="20"/>
                <w:szCs w:val="20"/>
              </w:rPr>
              <w:t xml:space="preserve">A.2. </w:t>
            </w:r>
            <w:r w:rsidR="0037717D" w:rsidRPr="0037717D">
              <w:rPr>
                <w:rStyle w:val="Hipervnculo"/>
                <w:rFonts w:ascii="Verdana" w:hAnsi="Verdana"/>
                <w:noProof/>
                <w:sz w:val="20"/>
                <w:szCs w:val="20"/>
                <w:lang w:eastAsia="es-CR"/>
              </w:rPr>
              <w:t>Carácter abstracto, hipotético-conjetural y/o insubsistente de las violaciones a los derechos alegados</w:t>
            </w:r>
            <w:r w:rsidR="0037717D" w:rsidRPr="0037717D">
              <w:rPr>
                <w:rFonts w:ascii="Verdana" w:hAnsi="Verdana"/>
                <w:noProof/>
                <w:webHidden/>
                <w:sz w:val="20"/>
                <w:szCs w:val="20"/>
              </w:rPr>
              <w:tab/>
            </w:r>
            <w:r w:rsidR="0037717D" w:rsidRPr="0037717D">
              <w:rPr>
                <w:rFonts w:ascii="Verdana" w:hAnsi="Verdana"/>
                <w:noProof/>
                <w:webHidden/>
                <w:sz w:val="20"/>
                <w:szCs w:val="20"/>
              </w:rPr>
              <w:fldChar w:fldCharType="begin"/>
            </w:r>
            <w:r w:rsidR="0037717D" w:rsidRPr="0037717D">
              <w:rPr>
                <w:rFonts w:ascii="Verdana" w:hAnsi="Verdana"/>
                <w:noProof/>
                <w:webHidden/>
                <w:sz w:val="20"/>
                <w:szCs w:val="20"/>
              </w:rPr>
              <w:instrText xml:space="preserve"> PAGEREF _Toc115167424 \h </w:instrText>
            </w:r>
            <w:r w:rsidR="0037717D" w:rsidRPr="0037717D">
              <w:rPr>
                <w:rFonts w:ascii="Verdana" w:hAnsi="Verdana"/>
                <w:noProof/>
                <w:webHidden/>
                <w:sz w:val="20"/>
                <w:szCs w:val="20"/>
              </w:rPr>
            </w:r>
            <w:r w:rsidR="0037717D" w:rsidRPr="0037717D">
              <w:rPr>
                <w:rFonts w:ascii="Verdana" w:hAnsi="Verdana"/>
                <w:noProof/>
                <w:webHidden/>
                <w:sz w:val="20"/>
                <w:szCs w:val="20"/>
              </w:rPr>
              <w:fldChar w:fldCharType="separate"/>
            </w:r>
            <w:r>
              <w:rPr>
                <w:rFonts w:ascii="Verdana" w:hAnsi="Verdana"/>
                <w:noProof/>
                <w:webHidden/>
                <w:sz w:val="20"/>
                <w:szCs w:val="20"/>
              </w:rPr>
              <w:t>6</w:t>
            </w:r>
            <w:r w:rsidR="0037717D" w:rsidRPr="0037717D">
              <w:rPr>
                <w:rFonts w:ascii="Verdana" w:hAnsi="Verdana"/>
                <w:noProof/>
                <w:webHidden/>
                <w:sz w:val="20"/>
                <w:szCs w:val="20"/>
              </w:rPr>
              <w:fldChar w:fldCharType="end"/>
            </w:r>
          </w:hyperlink>
        </w:p>
        <w:p w14:paraId="23D25625" w14:textId="24CAE621" w:rsidR="0037717D" w:rsidRPr="0037717D" w:rsidRDefault="00645337" w:rsidP="0037717D">
          <w:pPr>
            <w:pStyle w:val="TDC2"/>
            <w:rPr>
              <w:rFonts w:eastAsiaTheme="minorEastAsia" w:cstheme="minorBidi"/>
              <w:i w:val="0"/>
              <w:snapToGrid/>
            </w:rPr>
          </w:pPr>
          <w:hyperlink w:anchor="_Toc115167425" w:history="1">
            <w:r w:rsidR="0037717D" w:rsidRPr="0037717D">
              <w:rPr>
                <w:rStyle w:val="Hipervnculo"/>
              </w:rPr>
              <w:t>B. Consideraciones de la Corte</w:t>
            </w:r>
            <w:r w:rsidR="0037717D" w:rsidRPr="0037717D">
              <w:rPr>
                <w:webHidden/>
              </w:rPr>
              <w:tab/>
            </w:r>
            <w:r w:rsidR="0037717D" w:rsidRPr="0037717D">
              <w:rPr>
                <w:webHidden/>
              </w:rPr>
              <w:fldChar w:fldCharType="begin"/>
            </w:r>
            <w:r w:rsidR="0037717D" w:rsidRPr="0037717D">
              <w:rPr>
                <w:webHidden/>
              </w:rPr>
              <w:instrText xml:space="preserve"> PAGEREF _Toc115167425 \h </w:instrText>
            </w:r>
            <w:r w:rsidR="0037717D" w:rsidRPr="0037717D">
              <w:rPr>
                <w:webHidden/>
              </w:rPr>
            </w:r>
            <w:r w:rsidR="0037717D" w:rsidRPr="0037717D">
              <w:rPr>
                <w:webHidden/>
              </w:rPr>
              <w:fldChar w:fldCharType="separate"/>
            </w:r>
            <w:r>
              <w:rPr>
                <w:webHidden/>
              </w:rPr>
              <w:t>7</w:t>
            </w:r>
            <w:r w:rsidR="0037717D" w:rsidRPr="0037717D">
              <w:rPr>
                <w:webHidden/>
              </w:rPr>
              <w:fldChar w:fldCharType="end"/>
            </w:r>
          </w:hyperlink>
        </w:p>
        <w:p w14:paraId="573F957E" w14:textId="5A38D5D9" w:rsidR="0037717D" w:rsidRPr="0037717D" w:rsidRDefault="00645337" w:rsidP="0037717D">
          <w:pPr>
            <w:pStyle w:val="TDC1"/>
            <w:jc w:val="both"/>
            <w:rPr>
              <w:rFonts w:ascii="Verdana" w:eastAsiaTheme="minorEastAsia" w:hAnsi="Verdana" w:cstheme="minorBidi"/>
              <w:b w:val="0"/>
              <w:sz w:val="20"/>
              <w:szCs w:val="20"/>
              <w:lang w:eastAsia="es-MX"/>
            </w:rPr>
          </w:pPr>
          <w:hyperlink w:anchor="_Toc115167426" w:history="1">
            <w:r w:rsidR="0037717D" w:rsidRPr="0037717D">
              <w:rPr>
                <w:rStyle w:val="Hipervnculo"/>
                <w:rFonts w:ascii="Verdana" w:hAnsi="Verdana"/>
                <w:sz w:val="20"/>
                <w:szCs w:val="20"/>
              </w:rPr>
              <w:t>V PRUEBA</w:t>
            </w:r>
            <w:r w:rsidR="0037717D" w:rsidRPr="0037717D">
              <w:rPr>
                <w:rFonts w:ascii="Verdana" w:hAnsi="Verdana"/>
                <w:webHidden/>
                <w:sz w:val="20"/>
                <w:szCs w:val="20"/>
              </w:rPr>
              <w:tab/>
            </w:r>
            <w:r w:rsidR="0037717D" w:rsidRPr="0037717D">
              <w:rPr>
                <w:rFonts w:ascii="Verdana" w:hAnsi="Verdana"/>
                <w:webHidden/>
                <w:sz w:val="20"/>
                <w:szCs w:val="20"/>
              </w:rPr>
              <w:fldChar w:fldCharType="begin"/>
            </w:r>
            <w:r w:rsidR="0037717D" w:rsidRPr="0037717D">
              <w:rPr>
                <w:rFonts w:ascii="Verdana" w:hAnsi="Verdana"/>
                <w:webHidden/>
                <w:sz w:val="20"/>
                <w:szCs w:val="20"/>
              </w:rPr>
              <w:instrText xml:space="preserve"> PAGEREF _Toc115167426 \h </w:instrText>
            </w:r>
            <w:r w:rsidR="0037717D" w:rsidRPr="0037717D">
              <w:rPr>
                <w:rFonts w:ascii="Verdana" w:hAnsi="Verdana"/>
                <w:webHidden/>
                <w:sz w:val="20"/>
                <w:szCs w:val="20"/>
              </w:rPr>
            </w:r>
            <w:r w:rsidR="0037717D" w:rsidRPr="0037717D">
              <w:rPr>
                <w:rFonts w:ascii="Verdana" w:hAnsi="Verdana"/>
                <w:webHidden/>
                <w:sz w:val="20"/>
                <w:szCs w:val="20"/>
              </w:rPr>
              <w:fldChar w:fldCharType="separate"/>
            </w:r>
            <w:r>
              <w:rPr>
                <w:rFonts w:ascii="Verdana" w:hAnsi="Verdana"/>
                <w:webHidden/>
                <w:sz w:val="20"/>
                <w:szCs w:val="20"/>
              </w:rPr>
              <w:t>8</w:t>
            </w:r>
            <w:r w:rsidR="0037717D" w:rsidRPr="0037717D">
              <w:rPr>
                <w:rFonts w:ascii="Verdana" w:hAnsi="Verdana"/>
                <w:webHidden/>
                <w:sz w:val="20"/>
                <w:szCs w:val="20"/>
              </w:rPr>
              <w:fldChar w:fldCharType="end"/>
            </w:r>
          </w:hyperlink>
        </w:p>
        <w:p w14:paraId="3D56EAA0" w14:textId="6D817AA3" w:rsidR="0037717D" w:rsidRPr="0037717D" w:rsidRDefault="00645337" w:rsidP="0037717D">
          <w:pPr>
            <w:pStyle w:val="TDC2"/>
            <w:rPr>
              <w:rFonts w:eastAsiaTheme="minorEastAsia" w:cstheme="minorBidi"/>
              <w:i w:val="0"/>
              <w:snapToGrid/>
            </w:rPr>
          </w:pPr>
          <w:hyperlink w:anchor="_Toc115167427" w:history="1">
            <w:r w:rsidR="0037717D" w:rsidRPr="0037717D">
              <w:rPr>
                <w:rStyle w:val="Hipervnculo"/>
              </w:rPr>
              <w:t>A.</w:t>
            </w:r>
            <w:r w:rsidR="0037717D" w:rsidRPr="0037717D">
              <w:rPr>
                <w:rFonts w:eastAsiaTheme="minorEastAsia" w:cstheme="minorBidi"/>
                <w:i w:val="0"/>
                <w:snapToGrid/>
              </w:rPr>
              <w:tab/>
            </w:r>
            <w:r w:rsidR="0037717D" w:rsidRPr="0037717D">
              <w:rPr>
                <w:rStyle w:val="Hipervnculo"/>
              </w:rPr>
              <w:t>Admisibilidad de la prueba documental</w:t>
            </w:r>
            <w:r w:rsidR="0037717D" w:rsidRPr="0037717D">
              <w:rPr>
                <w:webHidden/>
              </w:rPr>
              <w:tab/>
            </w:r>
            <w:r w:rsidR="0037717D" w:rsidRPr="0037717D">
              <w:rPr>
                <w:webHidden/>
              </w:rPr>
              <w:fldChar w:fldCharType="begin"/>
            </w:r>
            <w:r w:rsidR="0037717D" w:rsidRPr="0037717D">
              <w:rPr>
                <w:webHidden/>
              </w:rPr>
              <w:instrText xml:space="preserve"> PAGEREF _Toc115167427 \h </w:instrText>
            </w:r>
            <w:r w:rsidR="0037717D" w:rsidRPr="0037717D">
              <w:rPr>
                <w:webHidden/>
              </w:rPr>
            </w:r>
            <w:r w:rsidR="0037717D" w:rsidRPr="0037717D">
              <w:rPr>
                <w:webHidden/>
              </w:rPr>
              <w:fldChar w:fldCharType="separate"/>
            </w:r>
            <w:r>
              <w:rPr>
                <w:webHidden/>
              </w:rPr>
              <w:t>9</w:t>
            </w:r>
            <w:r w:rsidR="0037717D" w:rsidRPr="0037717D">
              <w:rPr>
                <w:webHidden/>
              </w:rPr>
              <w:fldChar w:fldCharType="end"/>
            </w:r>
          </w:hyperlink>
        </w:p>
        <w:p w14:paraId="4A73CC86" w14:textId="1B149AD9" w:rsidR="0037717D" w:rsidRPr="0037717D" w:rsidRDefault="00645337" w:rsidP="0037717D">
          <w:pPr>
            <w:pStyle w:val="TDC2"/>
            <w:rPr>
              <w:rFonts w:eastAsiaTheme="minorEastAsia" w:cstheme="minorBidi"/>
              <w:i w:val="0"/>
              <w:snapToGrid/>
            </w:rPr>
          </w:pPr>
          <w:hyperlink w:anchor="_Toc115167428" w:history="1">
            <w:r w:rsidR="0037717D" w:rsidRPr="0037717D">
              <w:rPr>
                <w:rStyle w:val="Hipervnculo"/>
              </w:rPr>
              <w:t>B.</w:t>
            </w:r>
            <w:r w:rsidR="0037717D" w:rsidRPr="0037717D">
              <w:rPr>
                <w:rFonts w:eastAsiaTheme="minorEastAsia" w:cstheme="minorBidi"/>
                <w:i w:val="0"/>
                <w:snapToGrid/>
              </w:rPr>
              <w:tab/>
            </w:r>
            <w:r w:rsidR="0037717D" w:rsidRPr="0037717D">
              <w:rPr>
                <w:rStyle w:val="Hipervnculo"/>
              </w:rPr>
              <w:t>Admisibilidad de la prueba testimonial y pericial</w:t>
            </w:r>
            <w:r w:rsidR="0037717D" w:rsidRPr="0037717D">
              <w:rPr>
                <w:webHidden/>
              </w:rPr>
              <w:tab/>
            </w:r>
            <w:r w:rsidR="0037717D" w:rsidRPr="0037717D">
              <w:rPr>
                <w:webHidden/>
              </w:rPr>
              <w:fldChar w:fldCharType="begin"/>
            </w:r>
            <w:r w:rsidR="0037717D" w:rsidRPr="0037717D">
              <w:rPr>
                <w:webHidden/>
              </w:rPr>
              <w:instrText xml:space="preserve"> PAGEREF _Toc115167428 \h </w:instrText>
            </w:r>
            <w:r w:rsidR="0037717D" w:rsidRPr="0037717D">
              <w:rPr>
                <w:webHidden/>
              </w:rPr>
            </w:r>
            <w:r w:rsidR="0037717D" w:rsidRPr="0037717D">
              <w:rPr>
                <w:webHidden/>
              </w:rPr>
              <w:fldChar w:fldCharType="separate"/>
            </w:r>
            <w:r>
              <w:rPr>
                <w:webHidden/>
              </w:rPr>
              <w:t>9</w:t>
            </w:r>
            <w:r w:rsidR="0037717D" w:rsidRPr="0037717D">
              <w:rPr>
                <w:webHidden/>
              </w:rPr>
              <w:fldChar w:fldCharType="end"/>
            </w:r>
          </w:hyperlink>
        </w:p>
        <w:p w14:paraId="577A06B2" w14:textId="12472CC2" w:rsidR="0037717D" w:rsidRPr="0037717D" w:rsidRDefault="00645337" w:rsidP="0037717D">
          <w:pPr>
            <w:pStyle w:val="TDC1"/>
            <w:jc w:val="both"/>
            <w:rPr>
              <w:rFonts w:ascii="Verdana" w:eastAsiaTheme="minorEastAsia" w:hAnsi="Verdana" w:cstheme="minorBidi"/>
              <w:b w:val="0"/>
              <w:sz w:val="20"/>
              <w:szCs w:val="20"/>
              <w:lang w:eastAsia="es-MX"/>
            </w:rPr>
          </w:pPr>
          <w:hyperlink w:anchor="_Toc115167429" w:history="1">
            <w:r w:rsidR="0037717D" w:rsidRPr="0037717D">
              <w:rPr>
                <w:rStyle w:val="Hipervnculo"/>
                <w:rFonts w:ascii="Verdana" w:hAnsi="Verdana"/>
                <w:sz w:val="20"/>
                <w:szCs w:val="20"/>
              </w:rPr>
              <w:t>VI HECHOS</w:t>
            </w:r>
            <w:r w:rsidR="0037717D" w:rsidRPr="0037717D">
              <w:rPr>
                <w:rFonts w:ascii="Verdana" w:hAnsi="Verdana"/>
                <w:webHidden/>
                <w:sz w:val="20"/>
                <w:szCs w:val="20"/>
              </w:rPr>
              <w:tab/>
            </w:r>
            <w:r w:rsidR="0037717D" w:rsidRPr="0037717D">
              <w:rPr>
                <w:rFonts w:ascii="Verdana" w:hAnsi="Verdana"/>
                <w:webHidden/>
                <w:sz w:val="20"/>
                <w:szCs w:val="20"/>
              </w:rPr>
              <w:fldChar w:fldCharType="begin"/>
            </w:r>
            <w:r w:rsidR="0037717D" w:rsidRPr="0037717D">
              <w:rPr>
                <w:rFonts w:ascii="Verdana" w:hAnsi="Verdana"/>
                <w:webHidden/>
                <w:sz w:val="20"/>
                <w:szCs w:val="20"/>
              </w:rPr>
              <w:instrText xml:space="preserve"> PAGEREF _Toc115167429 \h </w:instrText>
            </w:r>
            <w:r w:rsidR="0037717D" w:rsidRPr="0037717D">
              <w:rPr>
                <w:rFonts w:ascii="Verdana" w:hAnsi="Verdana"/>
                <w:webHidden/>
                <w:sz w:val="20"/>
                <w:szCs w:val="20"/>
              </w:rPr>
            </w:r>
            <w:r w:rsidR="0037717D" w:rsidRPr="0037717D">
              <w:rPr>
                <w:rFonts w:ascii="Verdana" w:hAnsi="Verdana"/>
                <w:webHidden/>
                <w:sz w:val="20"/>
                <w:szCs w:val="20"/>
              </w:rPr>
              <w:fldChar w:fldCharType="separate"/>
            </w:r>
            <w:r>
              <w:rPr>
                <w:rFonts w:ascii="Verdana" w:hAnsi="Verdana"/>
                <w:webHidden/>
                <w:sz w:val="20"/>
                <w:szCs w:val="20"/>
              </w:rPr>
              <w:t>9</w:t>
            </w:r>
            <w:r w:rsidR="0037717D" w:rsidRPr="0037717D">
              <w:rPr>
                <w:rFonts w:ascii="Verdana" w:hAnsi="Verdana"/>
                <w:webHidden/>
                <w:sz w:val="20"/>
                <w:szCs w:val="20"/>
              </w:rPr>
              <w:fldChar w:fldCharType="end"/>
            </w:r>
          </w:hyperlink>
        </w:p>
        <w:p w14:paraId="7F5FC895" w14:textId="68359113" w:rsidR="0037717D" w:rsidRPr="0037717D" w:rsidRDefault="00645337" w:rsidP="0037717D">
          <w:pPr>
            <w:pStyle w:val="TDC2"/>
            <w:rPr>
              <w:rFonts w:eastAsiaTheme="minorEastAsia" w:cstheme="minorBidi"/>
              <w:i w:val="0"/>
              <w:snapToGrid/>
            </w:rPr>
          </w:pPr>
          <w:hyperlink w:anchor="_Toc115167430" w:history="1">
            <w:r w:rsidR="0037717D" w:rsidRPr="0037717D">
              <w:rPr>
                <w:rStyle w:val="Hipervnculo"/>
              </w:rPr>
              <w:t>A.</w:t>
            </w:r>
            <w:r w:rsidR="0037717D" w:rsidRPr="0037717D">
              <w:rPr>
                <w:rFonts w:eastAsiaTheme="minorEastAsia" w:cstheme="minorBidi"/>
                <w:i w:val="0"/>
                <w:snapToGrid/>
              </w:rPr>
              <w:tab/>
            </w:r>
            <w:r w:rsidR="0037717D" w:rsidRPr="0037717D">
              <w:rPr>
                <w:rStyle w:val="Hipervnculo"/>
              </w:rPr>
              <w:t>La señora Raghda Habbal y sus hijas e hijo y la obtención de la carta de ciudadanía argentina</w:t>
            </w:r>
            <w:r w:rsidR="0037717D" w:rsidRPr="0037717D">
              <w:rPr>
                <w:webHidden/>
              </w:rPr>
              <w:tab/>
            </w:r>
            <w:r w:rsidR="0037717D" w:rsidRPr="0037717D">
              <w:rPr>
                <w:webHidden/>
              </w:rPr>
              <w:fldChar w:fldCharType="begin"/>
            </w:r>
            <w:r w:rsidR="0037717D" w:rsidRPr="0037717D">
              <w:rPr>
                <w:webHidden/>
              </w:rPr>
              <w:instrText xml:space="preserve"> PAGEREF _Toc115167430 \h </w:instrText>
            </w:r>
            <w:r w:rsidR="0037717D" w:rsidRPr="0037717D">
              <w:rPr>
                <w:webHidden/>
              </w:rPr>
            </w:r>
            <w:r w:rsidR="0037717D" w:rsidRPr="0037717D">
              <w:rPr>
                <w:webHidden/>
              </w:rPr>
              <w:fldChar w:fldCharType="separate"/>
            </w:r>
            <w:r>
              <w:rPr>
                <w:webHidden/>
              </w:rPr>
              <w:t>9</w:t>
            </w:r>
            <w:r w:rsidR="0037717D" w:rsidRPr="0037717D">
              <w:rPr>
                <w:webHidden/>
              </w:rPr>
              <w:fldChar w:fldCharType="end"/>
            </w:r>
          </w:hyperlink>
        </w:p>
        <w:p w14:paraId="189EE7E1" w14:textId="571BEBDE" w:rsidR="0037717D" w:rsidRPr="0037717D" w:rsidRDefault="00645337" w:rsidP="0037717D">
          <w:pPr>
            <w:pStyle w:val="TDC2"/>
            <w:rPr>
              <w:rFonts w:eastAsiaTheme="minorEastAsia" w:cstheme="minorBidi"/>
              <w:i w:val="0"/>
              <w:snapToGrid/>
            </w:rPr>
          </w:pPr>
          <w:hyperlink w:anchor="_Toc115167431" w:history="1">
            <w:r w:rsidR="0037717D" w:rsidRPr="0037717D">
              <w:rPr>
                <w:rStyle w:val="Hipervnculo"/>
              </w:rPr>
              <w:t>B.</w:t>
            </w:r>
            <w:r w:rsidR="0037717D" w:rsidRPr="0037717D">
              <w:rPr>
                <w:rFonts w:eastAsiaTheme="minorEastAsia" w:cstheme="minorBidi"/>
                <w:i w:val="0"/>
                <w:snapToGrid/>
              </w:rPr>
              <w:tab/>
            </w:r>
            <w:r w:rsidR="0037717D" w:rsidRPr="0037717D">
              <w:rPr>
                <w:rStyle w:val="Hipervnculo"/>
              </w:rPr>
              <w:t>La anulación de la radicación y la ciudadanía de la señora Habbal y sus hijas</w:t>
            </w:r>
            <w:r w:rsidR="0037717D" w:rsidRPr="0037717D">
              <w:rPr>
                <w:webHidden/>
              </w:rPr>
              <w:tab/>
            </w:r>
            <w:r w:rsidR="0037717D" w:rsidRPr="0037717D">
              <w:rPr>
                <w:webHidden/>
              </w:rPr>
              <w:fldChar w:fldCharType="begin"/>
            </w:r>
            <w:r w:rsidR="0037717D" w:rsidRPr="0037717D">
              <w:rPr>
                <w:webHidden/>
              </w:rPr>
              <w:instrText xml:space="preserve"> PAGEREF _Toc115167431 \h </w:instrText>
            </w:r>
            <w:r w:rsidR="0037717D" w:rsidRPr="0037717D">
              <w:rPr>
                <w:webHidden/>
              </w:rPr>
            </w:r>
            <w:r w:rsidR="0037717D" w:rsidRPr="0037717D">
              <w:rPr>
                <w:webHidden/>
              </w:rPr>
              <w:fldChar w:fldCharType="separate"/>
            </w:r>
            <w:r>
              <w:rPr>
                <w:webHidden/>
              </w:rPr>
              <w:t>11</w:t>
            </w:r>
            <w:r w:rsidR="0037717D" w:rsidRPr="0037717D">
              <w:rPr>
                <w:webHidden/>
              </w:rPr>
              <w:fldChar w:fldCharType="end"/>
            </w:r>
          </w:hyperlink>
        </w:p>
        <w:p w14:paraId="23325E02" w14:textId="2B880185" w:rsidR="0037717D" w:rsidRPr="0037717D" w:rsidRDefault="00645337" w:rsidP="0037717D">
          <w:pPr>
            <w:pStyle w:val="TDC2"/>
            <w:rPr>
              <w:rFonts w:eastAsiaTheme="minorEastAsia" w:cstheme="minorBidi"/>
              <w:i w:val="0"/>
              <w:snapToGrid/>
            </w:rPr>
          </w:pPr>
          <w:hyperlink w:anchor="_Toc115167432" w:history="1">
            <w:r w:rsidR="0037717D" w:rsidRPr="0037717D">
              <w:rPr>
                <w:rStyle w:val="Hipervnculo"/>
              </w:rPr>
              <w:t>C.</w:t>
            </w:r>
            <w:r w:rsidR="0037717D" w:rsidRPr="0037717D">
              <w:rPr>
                <w:rFonts w:eastAsiaTheme="minorEastAsia" w:cstheme="minorBidi"/>
                <w:i w:val="0"/>
                <w:snapToGrid/>
              </w:rPr>
              <w:tab/>
            </w:r>
            <w:r w:rsidR="0037717D" w:rsidRPr="0037717D">
              <w:rPr>
                <w:rStyle w:val="Hipervnculo"/>
              </w:rPr>
              <w:t>El sobreseimiento de la causa penal en contra de la señora Habbal y la condena del señor Al Kassar</w:t>
            </w:r>
            <w:r w:rsidR="0037717D" w:rsidRPr="0037717D">
              <w:rPr>
                <w:webHidden/>
              </w:rPr>
              <w:tab/>
            </w:r>
            <w:r w:rsidR="0037717D" w:rsidRPr="0037717D">
              <w:rPr>
                <w:webHidden/>
              </w:rPr>
              <w:fldChar w:fldCharType="begin"/>
            </w:r>
            <w:r w:rsidR="0037717D" w:rsidRPr="0037717D">
              <w:rPr>
                <w:webHidden/>
              </w:rPr>
              <w:instrText xml:space="preserve"> PAGEREF _Toc115167432 \h </w:instrText>
            </w:r>
            <w:r w:rsidR="0037717D" w:rsidRPr="0037717D">
              <w:rPr>
                <w:webHidden/>
              </w:rPr>
            </w:r>
            <w:r w:rsidR="0037717D" w:rsidRPr="0037717D">
              <w:rPr>
                <w:webHidden/>
              </w:rPr>
              <w:fldChar w:fldCharType="separate"/>
            </w:r>
            <w:r>
              <w:rPr>
                <w:webHidden/>
              </w:rPr>
              <w:t>14</w:t>
            </w:r>
            <w:r w:rsidR="0037717D" w:rsidRPr="0037717D">
              <w:rPr>
                <w:webHidden/>
              </w:rPr>
              <w:fldChar w:fldCharType="end"/>
            </w:r>
          </w:hyperlink>
        </w:p>
        <w:p w14:paraId="5E4D4033" w14:textId="28AA2748" w:rsidR="0037717D" w:rsidRPr="0037717D" w:rsidRDefault="00645337" w:rsidP="0037717D">
          <w:pPr>
            <w:pStyle w:val="TDC2"/>
            <w:rPr>
              <w:rFonts w:eastAsiaTheme="minorEastAsia" w:cstheme="minorBidi"/>
              <w:i w:val="0"/>
              <w:snapToGrid/>
            </w:rPr>
          </w:pPr>
          <w:hyperlink w:anchor="_Toc115167433" w:history="1">
            <w:r w:rsidR="0037717D" w:rsidRPr="0037717D">
              <w:rPr>
                <w:rStyle w:val="Hipervnculo"/>
              </w:rPr>
              <w:t>D.</w:t>
            </w:r>
            <w:r w:rsidR="0037717D" w:rsidRPr="0037717D">
              <w:rPr>
                <w:rFonts w:eastAsiaTheme="minorEastAsia" w:cstheme="minorBidi"/>
                <w:i w:val="0"/>
                <w:snapToGrid/>
              </w:rPr>
              <w:tab/>
            </w:r>
            <w:r w:rsidR="0037717D" w:rsidRPr="0037717D">
              <w:rPr>
                <w:rStyle w:val="Hipervnculo"/>
              </w:rPr>
              <w:t>La revocación de la Resolución 1088 el 1 de junio de 2020</w:t>
            </w:r>
            <w:r w:rsidR="0037717D" w:rsidRPr="0037717D">
              <w:rPr>
                <w:webHidden/>
              </w:rPr>
              <w:tab/>
            </w:r>
            <w:r w:rsidR="0037717D" w:rsidRPr="0037717D">
              <w:rPr>
                <w:webHidden/>
              </w:rPr>
              <w:fldChar w:fldCharType="begin"/>
            </w:r>
            <w:r w:rsidR="0037717D" w:rsidRPr="0037717D">
              <w:rPr>
                <w:webHidden/>
              </w:rPr>
              <w:instrText xml:space="preserve"> PAGEREF _Toc115167433 \h </w:instrText>
            </w:r>
            <w:r w:rsidR="0037717D" w:rsidRPr="0037717D">
              <w:rPr>
                <w:webHidden/>
              </w:rPr>
            </w:r>
            <w:r w:rsidR="0037717D" w:rsidRPr="0037717D">
              <w:rPr>
                <w:webHidden/>
              </w:rPr>
              <w:fldChar w:fldCharType="separate"/>
            </w:r>
            <w:r>
              <w:rPr>
                <w:webHidden/>
              </w:rPr>
              <w:t>15</w:t>
            </w:r>
            <w:r w:rsidR="0037717D" w:rsidRPr="0037717D">
              <w:rPr>
                <w:webHidden/>
              </w:rPr>
              <w:fldChar w:fldCharType="end"/>
            </w:r>
          </w:hyperlink>
        </w:p>
        <w:p w14:paraId="54A4DDAF" w14:textId="1A957BDB" w:rsidR="0037717D" w:rsidRPr="0037717D" w:rsidRDefault="00645337" w:rsidP="0037717D">
          <w:pPr>
            <w:pStyle w:val="TDC2"/>
            <w:rPr>
              <w:rFonts w:eastAsiaTheme="minorEastAsia" w:cstheme="minorBidi"/>
              <w:i w:val="0"/>
              <w:snapToGrid/>
            </w:rPr>
          </w:pPr>
          <w:hyperlink w:anchor="_Toc115167434" w:history="1">
            <w:r w:rsidR="0037717D" w:rsidRPr="0037717D">
              <w:rPr>
                <w:rStyle w:val="Hipervnculo"/>
              </w:rPr>
              <w:t>E.</w:t>
            </w:r>
            <w:r w:rsidR="0037717D" w:rsidRPr="0037717D">
              <w:rPr>
                <w:rFonts w:eastAsiaTheme="minorEastAsia" w:cstheme="minorBidi"/>
                <w:i w:val="0"/>
                <w:snapToGrid/>
              </w:rPr>
              <w:tab/>
            </w:r>
            <w:r w:rsidR="0037717D" w:rsidRPr="0037717D">
              <w:rPr>
                <w:rStyle w:val="Hipervnculo"/>
              </w:rPr>
              <w:t>El marco normativo relevante en la época de los hechos</w:t>
            </w:r>
            <w:r w:rsidR="0037717D" w:rsidRPr="0037717D">
              <w:rPr>
                <w:webHidden/>
              </w:rPr>
              <w:tab/>
            </w:r>
            <w:r w:rsidR="0037717D" w:rsidRPr="0037717D">
              <w:rPr>
                <w:webHidden/>
              </w:rPr>
              <w:fldChar w:fldCharType="begin"/>
            </w:r>
            <w:r w:rsidR="0037717D" w:rsidRPr="0037717D">
              <w:rPr>
                <w:webHidden/>
              </w:rPr>
              <w:instrText xml:space="preserve"> PAGEREF _Toc115167434 \h </w:instrText>
            </w:r>
            <w:r w:rsidR="0037717D" w:rsidRPr="0037717D">
              <w:rPr>
                <w:webHidden/>
              </w:rPr>
            </w:r>
            <w:r w:rsidR="0037717D" w:rsidRPr="0037717D">
              <w:rPr>
                <w:webHidden/>
              </w:rPr>
              <w:fldChar w:fldCharType="separate"/>
            </w:r>
            <w:r>
              <w:rPr>
                <w:webHidden/>
              </w:rPr>
              <w:t>15</w:t>
            </w:r>
            <w:r w:rsidR="0037717D" w:rsidRPr="0037717D">
              <w:rPr>
                <w:webHidden/>
              </w:rPr>
              <w:fldChar w:fldCharType="end"/>
            </w:r>
          </w:hyperlink>
        </w:p>
        <w:p w14:paraId="53D977C3" w14:textId="3C34726F" w:rsidR="0037717D" w:rsidRPr="0037717D" w:rsidRDefault="00645337" w:rsidP="0037717D">
          <w:pPr>
            <w:pStyle w:val="TDC1"/>
            <w:jc w:val="both"/>
            <w:rPr>
              <w:rFonts w:ascii="Verdana" w:eastAsiaTheme="minorEastAsia" w:hAnsi="Verdana" w:cstheme="minorBidi"/>
              <w:b w:val="0"/>
              <w:sz w:val="20"/>
              <w:szCs w:val="20"/>
              <w:lang w:eastAsia="es-MX"/>
            </w:rPr>
          </w:pPr>
          <w:hyperlink w:anchor="_Toc115167435" w:history="1">
            <w:r w:rsidR="0037717D" w:rsidRPr="0037717D">
              <w:rPr>
                <w:rStyle w:val="Hipervnculo"/>
                <w:rFonts w:ascii="Verdana" w:hAnsi="Verdana"/>
                <w:snapToGrid w:val="0"/>
                <w:sz w:val="20"/>
                <w:szCs w:val="20"/>
              </w:rPr>
              <w:t>VII FONDO</w:t>
            </w:r>
            <w:r w:rsidR="0037717D" w:rsidRPr="0037717D">
              <w:rPr>
                <w:rFonts w:ascii="Verdana" w:hAnsi="Verdana"/>
                <w:webHidden/>
                <w:sz w:val="20"/>
                <w:szCs w:val="20"/>
              </w:rPr>
              <w:tab/>
            </w:r>
            <w:r w:rsidR="0037717D" w:rsidRPr="0037717D">
              <w:rPr>
                <w:rFonts w:ascii="Verdana" w:hAnsi="Verdana"/>
                <w:webHidden/>
                <w:sz w:val="20"/>
                <w:szCs w:val="20"/>
              </w:rPr>
              <w:fldChar w:fldCharType="begin"/>
            </w:r>
            <w:r w:rsidR="0037717D" w:rsidRPr="0037717D">
              <w:rPr>
                <w:rFonts w:ascii="Verdana" w:hAnsi="Verdana"/>
                <w:webHidden/>
                <w:sz w:val="20"/>
                <w:szCs w:val="20"/>
              </w:rPr>
              <w:instrText xml:space="preserve"> PAGEREF _Toc115167435 \h </w:instrText>
            </w:r>
            <w:r w:rsidR="0037717D" w:rsidRPr="0037717D">
              <w:rPr>
                <w:rFonts w:ascii="Verdana" w:hAnsi="Verdana"/>
                <w:webHidden/>
                <w:sz w:val="20"/>
                <w:szCs w:val="20"/>
              </w:rPr>
            </w:r>
            <w:r w:rsidR="0037717D" w:rsidRPr="0037717D">
              <w:rPr>
                <w:rFonts w:ascii="Verdana" w:hAnsi="Verdana"/>
                <w:webHidden/>
                <w:sz w:val="20"/>
                <w:szCs w:val="20"/>
              </w:rPr>
              <w:fldChar w:fldCharType="separate"/>
            </w:r>
            <w:r>
              <w:rPr>
                <w:rFonts w:ascii="Verdana" w:hAnsi="Verdana"/>
                <w:webHidden/>
                <w:sz w:val="20"/>
                <w:szCs w:val="20"/>
              </w:rPr>
              <w:t>17</w:t>
            </w:r>
            <w:r w:rsidR="0037717D" w:rsidRPr="0037717D">
              <w:rPr>
                <w:rFonts w:ascii="Verdana" w:hAnsi="Verdana"/>
                <w:webHidden/>
                <w:sz w:val="20"/>
                <w:szCs w:val="20"/>
              </w:rPr>
              <w:fldChar w:fldCharType="end"/>
            </w:r>
          </w:hyperlink>
        </w:p>
        <w:p w14:paraId="58D450F9" w14:textId="5FE7B22C" w:rsidR="0037717D" w:rsidRPr="0037717D" w:rsidRDefault="00645337" w:rsidP="0037717D">
          <w:pPr>
            <w:pStyle w:val="TDC1"/>
            <w:jc w:val="both"/>
            <w:rPr>
              <w:rFonts w:ascii="Verdana" w:eastAsiaTheme="minorEastAsia" w:hAnsi="Verdana" w:cstheme="minorBidi"/>
              <w:b w:val="0"/>
              <w:sz w:val="20"/>
              <w:szCs w:val="20"/>
              <w:lang w:eastAsia="es-MX"/>
            </w:rPr>
          </w:pPr>
          <w:hyperlink w:anchor="_Toc115167436" w:history="1">
            <w:r w:rsidR="0037717D" w:rsidRPr="0037717D">
              <w:rPr>
                <w:rStyle w:val="Hipervnculo"/>
                <w:rFonts w:ascii="Verdana" w:hAnsi="Verdana"/>
                <w:caps/>
                <w:sz w:val="20"/>
                <w:szCs w:val="20"/>
              </w:rPr>
              <w:t>VII-1 DERECHOS de CIRCULACIÓN Y de RESIDENCIA, al debido proceso, A LA NACIONALIDAD, A LA IGUALDAD ANTE LA LEY, A LA LIBERTAD PERSONAL, y de la niñez, EN RELACIÓN CON LA OBLIGACIÓN DE RESPETAR LOS DERECHOS</w:t>
            </w:r>
            <w:r w:rsidR="0037717D" w:rsidRPr="0037717D">
              <w:rPr>
                <w:rFonts w:ascii="Verdana" w:hAnsi="Verdana"/>
                <w:webHidden/>
                <w:sz w:val="20"/>
                <w:szCs w:val="20"/>
              </w:rPr>
              <w:tab/>
            </w:r>
            <w:r w:rsidR="0037717D" w:rsidRPr="0037717D">
              <w:rPr>
                <w:rFonts w:ascii="Verdana" w:hAnsi="Verdana"/>
                <w:webHidden/>
                <w:sz w:val="20"/>
                <w:szCs w:val="20"/>
              </w:rPr>
              <w:fldChar w:fldCharType="begin"/>
            </w:r>
            <w:r w:rsidR="0037717D" w:rsidRPr="0037717D">
              <w:rPr>
                <w:rFonts w:ascii="Verdana" w:hAnsi="Verdana"/>
                <w:webHidden/>
                <w:sz w:val="20"/>
                <w:szCs w:val="20"/>
              </w:rPr>
              <w:instrText xml:space="preserve"> PAGEREF _Toc115167436 \h </w:instrText>
            </w:r>
            <w:r w:rsidR="0037717D" w:rsidRPr="0037717D">
              <w:rPr>
                <w:rFonts w:ascii="Verdana" w:hAnsi="Verdana"/>
                <w:webHidden/>
                <w:sz w:val="20"/>
                <w:szCs w:val="20"/>
              </w:rPr>
            </w:r>
            <w:r w:rsidR="0037717D" w:rsidRPr="0037717D">
              <w:rPr>
                <w:rFonts w:ascii="Verdana" w:hAnsi="Verdana"/>
                <w:webHidden/>
                <w:sz w:val="20"/>
                <w:szCs w:val="20"/>
              </w:rPr>
              <w:fldChar w:fldCharType="separate"/>
            </w:r>
            <w:r>
              <w:rPr>
                <w:rFonts w:ascii="Verdana" w:hAnsi="Verdana"/>
                <w:webHidden/>
                <w:sz w:val="20"/>
                <w:szCs w:val="20"/>
              </w:rPr>
              <w:t>17</w:t>
            </w:r>
            <w:r w:rsidR="0037717D" w:rsidRPr="0037717D">
              <w:rPr>
                <w:rFonts w:ascii="Verdana" w:hAnsi="Verdana"/>
                <w:webHidden/>
                <w:sz w:val="20"/>
                <w:szCs w:val="20"/>
              </w:rPr>
              <w:fldChar w:fldCharType="end"/>
            </w:r>
          </w:hyperlink>
        </w:p>
        <w:p w14:paraId="64335831" w14:textId="7D5CFF10" w:rsidR="0037717D" w:rsidRPr="0037717D" w:rsidRDefault="00645337" w:rsidP="0037717D">
          <w:pPr>
            <w:pStyle w:val="TDC2"/>
            <w:rPr>
              <w:rFonts w:eastAsiaTheme="minorEastAsia" w:cstheme="minorBidi"/>
              <w:i w:val="0"/>
              <w:snapToGrid/>
            </w:rPr>
          </w:pPr>
          <w:hyperlink w:anchor="_Toc115167437" w:history="1">
            <w:r w:rsidR="0037717D" w:rsidRPr="0037717D">
              <w:rPr>
                <w:rStyle w:val="Hipervnculo"/>
              </w:rPr>
              <w:t>A.</w:t>
            </w:r>
            <w:r w:rsidR="0037717D" w:rsidRPr="0037717D">
              <w:rPr>
                <w:rFonts w:eastAsiaTheme="minorEastAsia" w:cstheme="minorBidi"/>
                <w:i w:val="0"/>
                <w:snapToGrid/>
              </w:rPr>
              <w:tab/>
            </w:r>
            <w:r w:rsidR="0037717D" w:rsidRPr="0037717D">
              <w:rPr>
                <w:rStyle w:val="Hipervnculo"/>
              </w:rPr>
              <w:t>Derechos de circulación y de residencia, al debido proceso, a la igualdad ante la ley, a la libertad personal y derechos de la niñez</w:t>
            </w:r>
            <w:r w:rsidR="0037717D" w:rsidRPr="0037717D">
              <w:rPr>
                <w:webHidden/>
              </w:rPr>
              <w:tab/>
            </w:r>
            <w:r w:rsidR="0037717D" w:rsidRPr="0037717D">
              <w:rPr>
                <w:webHidden/>
              </w:rPr>
              <w:fldChar w:fldCharType="begin"/>
            </w:r>
            <w:r w:rsidR="0037717D" w:rsidRPr="0037717D">
              <w:rPr>
                <w:webHidden/>
              </w:rPr>
              <w:instrText xml:space="preserve"> PAGEREF _Toc115167437 \h </w:instrText>
            </w:r>
            <w:r w:rsidR="0037717D" w:rsidRPr="0037717D">
              <w:rPr>
                <w:webHidden/>
              </w:rPr>
            </w:r>
            <w:r w:rsidR="0037717D" w:rsidRPr="0037717D">
              <w:rPr>
                <w:webHidden/>
              </w:rPr>
              <w:fldChar w:fldCharType="separate"/>
            </w:r>
            <w:r>
              <w:rPr>
                <w:webHidden/>
              </w:rPr>
              <w:t>17</w:t>
            </w:r>
            <w:r w:rsidR="0037717D" w:rsidRPr="0037717D">
              <w:rPr>
                <w:webHidden/>
              </w:rPr>
              <w:fldChar w:fldCharType="end"/>
            </w:r>
          </w:hyperlink>
        </w:p>
        <w:p w14:paraId="20CB33AF" w14:textId="0EC33F34" w:rsidR="0037717D" w:rsidRPr="0037717D" w:rsidRDefault="00645337" w:rsidP="0037717D">
          <w:pPr>
            <w:pStyle w:val="TDC3"/>
            <w:jc w:val="both"/>
            <w:rPr>
              <w:rFonts w:ascii="Verdana" w:eastAsiaTheme="minorEastAsia" w:hAnsi="Verdana" w:cstheme="minorBidi"/>
              <w:noProof/>
              <w:sz w:val="20"/>
              <w:szCs w:val="20"/>
            </w:rPr>
          </w:pPr>
          <w:hyperlink w:anchor="_Toc115167438" w:history="1">
            <w:r w:rsidR="0037717D" w:rsidRPr="0037717D">
              <w:rPr>
                <w:rStyle w:val="Hipervnculo"/>
                <w:rFonts w:ascii="Verdana" w:hAnsi="Verdana"/>
                <w:noProof/>
                <w:sz w:val="20"/>
                <w:szCs w:val="20"/>
              </w:rPr>
              <w:t>A.1. Alegatos de las partes y observaciones de la Comisión</w:t>
            </w:r>
            <w:r w:rsidR="0037717D" w:rsidRPr="0037717D">
              <w:rPr>
                <w:rFonts w:ascii="Verdana" w:hAnsi="Verdana"/>
                <w:noProof/>
                <w:webHidden/>
                <w:sz w:val="20"/>
                <w:szCs w:val="20"/>
              </w:rPr>
              <w:tab/>
            </w:r>
            <w:r w:rsidR="0037717D" w:rsidRPr="0037717D">
              <w:rPr>
                <w:rFonts w:ascii="Verdana" w:hAnsi="Verdana"/>
                <w:noProof/>
                <w:webHidden/>
                <w:sz w:val="20"/>
                <w:szCs w:val="20"/>
              </w:rPr>
              <w:fldChar w:fldCharType="begin"/>
            </w:r>
            <w:r w:rsidR="0037717D" w:rsidRPr="0037717D">
              <w:rPr>
                <w:rFonts w:ascii="Verdana" w:hAnsi="Verdana"/>
                <w:noProof/>
                <w:webHidden/>
                <w:sz w:val="20"/>
                <w:szCs w:val="20"/>
              </w:rPr>
              <w:instrText xml:space="preserve"> PAGEREF _Toc115167438 \h </w:instrText>
            </w:r>
            <w:r w:rsidR="0037717D" w:rsidRPr="0037717D">
              <w:rPr>
                <w:rFonts w:ascii="Verdana" w:hAnsi="Verdana"/>
                <w:noProof/>
                <w:webHidden/>
                <w:sz w:val="20"/>
                <w:szCs w:val="20"/>
              </w:rPr>
            </w:r>
            <w:r w:rsidR="0037717D" w:rsidRPr="0037717D">
              <w:rPr>
                <w:rFonts w:ascii="Verdana" w:hAnsi="Verdana"/>
                <w:noProof/>
                <w:webHidden/>
                <w:sz w:val="20"/>
                <w:szCs w:val="20"/>
              </w:rPr>
              <w:fldChar w:fldCharType="separate"/>
            </w:r>
            <w:r>
              <w:rPr>
                <w:rFonts w:ascii="Verdana" w:hAnsi="Verdana"/>
                <w:noProof/>
                <w:webHidden/>
                <w:sz w:val="20"/>
                <w:szCs w:val="20"/>
              </w:rPr>
              <w:t>17</w:t>
            </w:r>
            <w:r w:rsidR="0037717D" w:rsidRPr="0037717D">
              <w:rPr>
                <w:rFonts w:ascii="Verdana" w:hAnsi="Verdana"/>
                <w:noProof/>
                <w:webHidden/>
                <w:sz w:val="20"/>
                <w:szCs w:val="20"/>
              </w:rPr>
              <w:fldChar w:fldCharType="end"/>
            </w:r>
          </w:hyperlink>
        </w:p>
        <w:p w14:paraId="2E8A78EC" w14:textId="3DB37AEB" w:rsidR="0037717D" w:rsidRPr="0037717D" w:rsidRDefault="00645337" w:rsidP="0037717D">
          <w:pPr>
            <w:pStyle w:val="TDC3"/>
            <w:jc w:val="both"/>
            <w:rPr>
              <w:rFonts w:ascii="Verdana" w:eastAsiaTheme="minorEastAsia" w:hAnsi="Verdana" w:cstheme="minorBidi"/>
              <w:noProof/>
              <w:sz w:val="20"/>
              <w:szCs w:val="20"/>
            </w:rPr>
          </w:pPr>
          <w:hyperlink w:anchor="_Toc115167439" w:history="1">
            <w:r w:rsidR="0037717D" w:rsidRPr="0037717D">
              <w:rPr>
                <w:rStyle w:val="Hipervnculo"/>
                <w:rFonts w:ascii="Verdana" w:hAnsi="Verdana"/>
                <w:noProof/>
                <w:sz w:val="20"/>
                <w:szCs w:val="20"/>
              </w:rPr>
              <w:t>A.2. Consideraciones de la Corte</w:t>
            </w:r>
            <w:r w:rsidR="0037717D" w:rsidRPr="0037717D">
              <w:rPr>
                <w:rFonts w:ascii="Verdana" w:hAnsi="Verdana"/>
                <w:noProof/>
                <w:webHidden/>
                <w:sz w:val="20"/>
                <w:szCs w:val="20"/>
              </w:rPr>
              <w:tab/>
            </w:r>
            <w:r w:rsidR="0037717D" w:rsidRPr="0037717D">
              <w:rPr>
                <w:rFonts w:ascii="Verdana" w:hAnsi="Verdana"/>
                <w:noProof/>
                <w:webHidden/>
                <w:sz w:val="20"/>
                <w:szCs w:val="20"/>
              </w:rPr>
              <w:fldChar w:fldCharType="begin"/>
            </w:r>
            <w:r w:rsidR="0037717D" w:rsidRPr="0037717D">
              <w:rPr>
                <w:rFonts w:ascii="Verdana" w:hAnsi="Verdana"/>
                <w:noProof/>
                <w:webHidden/>
                <w:sz w:val="20"/>
                <w:szCs w:val="20"/>
              </w:rPr>
              <w:instrText xml:space="preserve"> PAGEREF _Toc115167439 \h </w:instrText>
            </w:r>
            <w:r w:rsidR="0037717D" w:rsidRPr="0037717D">
              <w:rPr>
                <w:rFonts w:ascii="Verdana" w:hAnsi="Verdana"/>
                <w:noProof/>
                <w:webHidden/>
                <w:sz w:val="20"/>
                <w:szCs w:val="20"/>
              </w:rPr>
            </w:r>
            <w:r w:rsidR="0037717D" w:rsidRPr="0037717D">
              <w:rPr>
                <w:rFonts w:ascii="Verdana" w:hAnsi="Verdana"/>
                <w:noProof/>
                <w:webHidden/>
                <w:sz w:val="20"/>
                <w:szCs w:val="20"/>
              </w:rPr>
              <w:fldChar w:fldCharType="separate"/>
            </w:r>
            <w:r>
              <w:rPr>
                <w:rFonts w:ascii="Verdana" w:hAnsi="Verdana"/>
                <w:noProof/>
                <w:webHidden/>
                <w:sz w:val="20"/>
                <w:szCs w:val="20"/>
              </w:rPr>
              <w:t>19</w:t>
            </w:r>
            <w:r w:rsidR="0037717D" w:rsidRPr="0037717D">
              <w:rPr>
                <w:rFonts w:ascii="Verdana" w:hAnsi="Verdana"/>
                <w:noProof/>
                <w:webHidden/>
                <w:sz w:val="20"/>
                <w:szCs w:val="20"/>
              </w:rPr>
              <w:fldChar w:fldCharType="end"/>
            </w:r>
          </w:hyperlink>
        </w:p>
        <w:p w14:paraId="114DBFFE" w14:textId="1821D3E0" w:rsidR="0037717D" w:rsidRPr="0037717D" w:rsidRDefault="00645337" w:rsidP="0037717D">
          <w:pPr>
            <w:pStyle w:val="TDC2"/>
            <w:rPr>
              <w:rFonts w:eastAsiaTheme="minorEastAsia" w:cstheme="minorBidi"/>
              <w:i w:val="0"/>
              <w:snapToGrid/>
            </w:rPr>
          </w:pPr>
          <w:hyperlink w:anchor="_Toc115167440" w:history="1">
            <w:r w:rsidR="0037717D" w:rsidRPr="0037717D">
              <w:rPr>
                <w:rStyle w:val="Hipervnculo"/>
              </w:rPr>
              <w:t>B.</w:t>
            </w:r>
            <w:r w:rsidR="0037717D" w:rsidRPr="0037717D">
              <w:rPr>
                <w:rFonts w:eastAsiaTheme="minorEastAsia" w:cstheme="minorBidi"/>
                <w:i w:val="0"/>
                <w:snapToGrid/>
              </w:rPr>
              <w:tab/>
            </w:r>
            <w:r w:rsidR="0037717D" w:rsidRPr="0037717D">
              <w:rPr>
                <w:rStyle w:val="Hipervnculo"/>
              </w:rPr>
              <w:t>Derecho a la nacionalidad, debido proceso y principio de legalidad</w:t>
            </w:r>
            <w:r w:rsidR="0037717D" w:rsidRPr="0037717D">
              <w:rPr>
                <w:webHidden/>
              </w:rPr>
              <w:tab/>
            </w:r>
            <w:r w:rsidR="0037717D" w:rsidRPr="0037717D">
              <w:rPr>
                <w:webHidden/>
              </w:rPr>
              <w:fldChar w:fldCharType="begin"/>
            </w:r>
            <w:r w:rsidR="0037717D" w:rsidRPr="0037717D">
              <w:rPr>
                <w:webHidden/>
              </w:rPr>
              <w:instrText xml:space="preserve"> PAGEREF _Toc115167440 \h </w:instrText>
            </w:r>
            <w:r w:rsidR="0037717D" w:rsidRPr="0037717D">
              <w:rPr>
                <w:webHidden/>
              </w:rPr>
            </w:r>
            <w:r w:rsidR="0037717D" w:rsidRPr="0037717D">
              <w:rPr>
                <w:webHidden/>
              </w:rPr>
              <w:fldChar w:fldCharType="separate"/>
            </w:r>
            <w:r>
              <w:rPr>
                <w:webHidden/>
              </w:rPr>
              <w:t>28</w:t>
            </w:r>
            <w:r w:rsidR="0037717D" w:rsidRPr="0037717D">
              <w:rPr>
                <w:webHidden/>
              </w:rPr>
              <w:fldChar w:fldCharType="end"/>
            </w:r>
          </w:hyperlink>
        </w:p>
        <w:p w14:paraId="6ECB26F9" w14:textId="354C6F1F" w:rsidR="0037717D" w:rsidRPr="0037717D" w:rsidRDefault="00645337" w:rsidP="0037717D">
          <w:pPr>
            <w:pStyle w:val="TDC3"/>
            <w:jc w:val="both"/>
            <w:rPr>
              <w:rFonts w:ascii="Verdana" w:eastAsiaTheme="minorEastAsia" w:hAnsi="Verdana" w:cstheme="minorBidi"/>
              <w:noProof/>
              <w:sz w:val="20"/>
              <w:szCs w:val="20"/>
            </w:rPr>
          </w:pPr>
          <w:hyperlink w:anchor="_Toc115167441" w:history="1">
            <w:r w:rsidR="0037717D" w:rsidRPr="0037717D">
              <w:rPr>
                <w:rStyle w:val="Hipervnculo"/>
                <w:rFonts w:ascii="Verdana" w:hAnsi="Verdana"/>
                <w:noProof/>
                <w:sz w:val="20"/>
                <w:szCs w:val="20"/>
              </w:rPr>
              <w:t>B.1. Alegatos de las partes y observaciones de la Comisión</w:t>
            </w:r>
            <w:r w:rsidR="0037717D" w:rsidRPr="0037717D">
              <w:rPr>
                <w:rFonts w:ascii="Verdana" w:hAnsi="Verdana"/>
                <w:noProof/>
                <w:webHidden/>
                <w:sz w:val="20"/>
                <w:szCs w:val="20"/>
              </w:rPr>
              <w:tab/>
            </w:r>
            <w:r w:rsidR="0037717D" w:rsidRPr="0037717D">
              <w:rPr>
                <w:rFonts w:ascii="Verdana" w:hAnsi="Verdana"/>
                <w:noProof/>
                <w:webHidden/>
                <w:sz w:val="20"/>
                <w:szCs w:val="20"/>
              </w:rPr>
              <w:fldChar w:fldCharType="begin"/>
            </w:r>
            <w:r w:rsidR="0037717D" w:rsidRPr="0037717D">
              <w:rPr>
                <w:rFonts w:ascii="Verdana" w:hAnsi="Verdana"/>
                <w:noProof/>
                <w:webHidden/>
                <w:sz w:val="20"/>
                <w:szCs w:val="20"/>
              </w:rPr>
              <w:instrText xml:space="preserve"> PAGEREF _Toc115167441 \h </w:instrText>
            </w:r>
            <w:r w:rsidR="0037717D" w:rsidRPr="0037717D">
              <w:rPr>
                <w:rFonts w:ascii="Verdana" w:hAnsi="Verdana"/>
                <w:noProof/>
                <w:webHidden/>
                <w:sz w:val="20"/>
                <w:szCs w:val="20"/>
              </w:rPr>
            </w:r>
            <w:r w:rsidR="0037717D" w:rsidRPr="0037717D">
              <w:rPr>
                <w:rFonts w:ascii="Verdana" w:hAnsi="Verdana"/>
                <w:noProof/>
                <w:webHidden/>
                <w:sz w:val="20"/>
                <w:szCs w:val="20"/>
              </w:rPr>
              <w:fldChar w:fldCharType="separate"/>
            </w:r>
            <w:r>
              <w:rPr>
                <w:rFonts w:ascii="Verdana" w:hAnsi="Verdana"/>
                <w:noProof/>
                <w:webHidden/>
                <w:sz w:val="20"/>
                <w:szCs w:val="20"/>
              </w:rPr>
              <w:t>28</w:t>
            </w:r>
            <w:r w:rsidR="0037717D" w:rsidRPr="0037717D">
              <w:rPr>
                <w:rFonts w:ascii="Verdana" w:hAnsi="Verdana"/>
                <w:noProof/>
                <w:webHidden/>
                <w:sz w:val="20"/>
                <w:szCs w:val="20"/>
              </w:rPr>
              <w:fldChar w:fldCharType="end"/>
            </w:r>
          </w:hyperlink>
        </w:p>
        <w:p w14:paraId="02A3050A" w14:textId="20338D04" w:rsidR="0037717D" w:rsidRPr="0037717D" w:rsidRDefault="00645337" w:rsidP="0037717D">
          <w:pPr>
            <w:pStyle w:val="TDC3"/>
            <w:jc w:val="both"/>
            <w:rPr>
              <w:rFonts w:ascii="Verdana" w:eastAsiaTheme="minorEastAsia" w:hAnsi="Verdana" w:cstheme="minorBidi"/>
              <w:noProof/>
              <w:sz w:val="20"/>
              <w:szCs w:val="20"/>
            </w:rPr>
          </w:pPr>
          <w:hyperlink w:anchor="_Toc115167442" w:history="1">
            <w:r w:rsidR="0037717D" w:rsidRPr="0037717D">
              <w:rPr>
                <w:rStyle w:val="Hipervnculo"/>
                <w:rFonts w:ascii="Verdana" w:hAnsi="Verdana"/>
                <w:noProof/>
                <w:sz w:val="20"/>
                <w:szCs w:val="20"/>
              </w:rPr>
              <w:t>B.2. Consideraciones de la Corte</w:t>
            </w:r>
            <w:r w:rsidR="0037717D" w:rsidRPr="0037717D">
              <w:rPr>
                <w:rFonts w:ascii="Verdana" w:hAnsi="Verdana"/>
                <w:noProof/>
                <w:webHidden/>
                <w:sz w:val="20"/>
                <w:szCs w:val="20"/>
              </w:rPr>
              <w:tab/>
            </w:r>
            <w:r w:rsidR="0037717D" w:rsidRPr="0037717D">
              <w:rPr>
                <w:rFonts w:ascii="Verdana" w:hAnsi="Verdana"/>
                <w:noProof/>
                <w:webHidden/>
                <w:sz w:val="20"/>
                <w:szCs w:val="20"/>
              </w:rPr>
              <w:fldChar w:fldCharType="begin"/>
            </w:r>
            <w:r w:rsidR="0037717D" w:rsidRPr="0037717D">
              <w:rPr>
                <w:rFonts w:ascii="Verdana" w:hAnsi="Verdana"/>
                <w:noProof/>
                <w:webHidden/>
                <w:sz w:val="20"/>
                <w:szCs w:val="20"/>
              </w:rPr>
              <w:instrText xml:space="preserve"> PAGEREF _Toc115167442 \h </w:instrText>
            </w:r>
            <w:r w:rsidR="0037717D" w:rsidRPr="0037717D">
              <w:rPr>
                <w:rFonts w:ascii="Verdana" w:hAnsi="Verdana"/>
                <w:noProof/>
                <w:webHidden/>
                <w:sz w:val="20"/>
                <w:szCs w:val="20"/>
              </w:rPr>
            </w:r>
            <w:r w:rsidR="0037717D" w:rsidRPr="0037717D">
              <w:rPr>
                <w:rFonts w:ascii="Verdana" w:hAnsi="Verdana"/>
                <w:noProof/>
                <w:webHidden/>
                <w:sz w:val="20"/>
                <w:szCs w:val="20"/>
              </w:rPr>
              <w:fldChar w:fldCharType="separate"/>
            </w:r>
            <w:r>
              <w:rPr>
                <w:rFonts w:ascii="Verdana" w:hAnsi="Verdana"/>
                <w:noProof/>
                <w:webHidden/>
                <w:sz w:val="20"/>
                <w:szCs w:val="20"/>
              </w:rPr>
              <w:t>30</w:t>
            </w:r>
            <w:r w:rsidR="0037717D" w:rsidRPr="0037717D">
              <w:rPr>
                <w:rFonts w:ascii="Verdana" w:hAnsi="Verdana"/>
                <w:noProof/>
                <w:webHidden/>
                <w:sz w:val="20"/>
                <w:szCs w:val="20"/>
              </w:rPr>
              <w:fldChar w:fldCharType="end"/>
            </w:r>
          </w:hyperlink>
        </w:p>
        <w:p w14:paraId="4304F75F" w14:textId="77E1D373" w:rsidR="0037717D" w:rsidRPr="0037717D" w:rsidRDefault="00645337" w:rsidP="0037717D">
          <w:pPr>
            <w:pStyle w:val="TDC1"/>
            <w:jc w:val="both"/>
            <w:rPr>
              <w:rFonts w:ascii="Verdana" w:eastAsiaTheme="minorEastAsia" w:hAnsi="Verdana" w:cstheme="minorBidi"/>
              <w:b w:val="0"/>
              <w:sz w:val="20"/>
              <w:szCs w:val="20"/>
              <w:lang w:eastAsia="es-MX"/>
            </w:rPr>
          </w:pPr>
          <w:hyperlink w:anchor="_Toc115167443" w:history="1">
            <w:r w:rsidR="0037717D" w:rsidRPr="0037717D">
              <w:rPr>
                <w:rStyle w:val="Hipervnculo"/>
                <w:rFonts w:ascii="Verdana" w:hAnsi="Verdana"/>
                <w:caps/>
                <w:sz w:val="20"/>
                <w:szCs w:val="20"/>
              </w:rPr>
              <w:t>VII-2 DERECHO A LA protección judicial en relación con la obligación de respetar los derechos</w:t>
            </w:r>
            <w:r w:rsidR="0037717D" w:rsidRPr="0037717D">
              <w:rPr>
                <w:rFonts w:ascii="Verdana" w:hAnsi="Verdana"/>
                <w:webHidden/>
                <w:sz w:val="20"/>
                <w:szCs w:val="20"/>
              </w:rPr>
              <w:tab/>
            </w:r>
            <w:r w:rsidR="0037717D" w:rsidRPr="0037717D">
              <w:rPr>
                <w:rFonts w:ascii="Verdana" w:hAnsi="Verdana"/>
                <w:webHidden/>
                <w:sz w:val="20"/>
                <w:szCs w:val="20"/>
              </w:rPr>
              <w:fldChar w:fldCharType="begin"/>
            </w:r>
            <w:r w:rsidR="0037717D" w:rsidRPr="0037717D">
              <w:rPr>
                <w:rFonts w:ascii="Verdana" w:hAnsi="Verdana"/>
                <w:webHidden/>
                <w:sz w:val="20"/>
                <w:szCs w:val="20"/>
              </w:rPr>
              <w:instrText xml:space="preserve"> PAGEREF _Toc115167443 \h </w:instrText>
            </w:r>
            <w:r w:rsidR="0037717D" w:rsidRPr="0037717D">
              <w:rPr>
                <w:rFonts w:ascii="Verdana" w:hAnsi="Verdana"/>
                <w:webHidden/>
                <w:sz w:val="20"/>
                <w:szCs w:val="20"/>
              </w:rPr>
            </w:r>
            <w:r w:rsidR="0037717D" w:rsidRPr="0037717D">
              <w:rPr>
                <w:rFonts w:ascii="Verdana" w:hAnsi="Verdana"/>
                <w:webHidden/>
                <w:sz w:val="20"/>
                <w:szCs w:val="20"/>
              </w:rPr>
              <w:fldChar w:fldCharType="separate"/>
            </w:r>
            <w:r>
              <w:rPr>
                <w:rFonts w:ascii="Verdana" w:hAnsi="Verdana"/>
                <w:webHidden/>
                <w:sz w:val="20"/>
                <w:szCs w:val="20"/>
              </w:rPr>
              <w:t>35</w:t>
            </w:r>
            <w:r w:rsidR="0037717D" w:rsidRPr="0037717D">
              <w:rPr>
                <w:rFonts w:ascii="Verdana" w:hAnsi="Verdana"/>
                <w:webHidden/>
                <w:sz w:val="20"/>
                <w:szCs w:val="20"/>
              </w:rPr>
              <w:fldChar w:fldCharType="end"/>
            </w:r>
          </w:hyperlink>
        </w:p>
        <w:p w14:paraId="3092CDD5" w14:textId="387883C2" w:rsidR="0037717D" w:rsidRPr="0037717D" w:rsidRDefault="00645337" w:rsidP="0037717D">
          <w:pPr>
            <w:pStyle w:val="TDC2"/>
            <w:rPr>
              <w:rFonts w:eastAsiaTheme="minorEastAsia" w:cstheme="minorBidi"/>
              <w:i w:val="0"/>
              <w:snapToGrid/>
            </w:rPr>
          </w:pPr>
          <w:hyperlink w:anchor="_Toc115167444" w:history="1">
            <w:r w:rsidR="0037717D" w:rsidRPr="0037717D">
              <w:rPr>
                <w:rStyle w:val="Hipervnculo"/>
              </w:rPr>
              <w:t>A.</w:t>
            </w:r>
            <w:r w:rsidR="0037717D" w:rsidRPr="0037717D">
              <w:rPr>
                <w:rFonts w:eastAsiaTheme="minorEastAsia" w:cstheme="minorBidi"/>
                <w:i w:val="0"/>
                <w:snapToGrid/>
              </w:rPr>
              <w:tab/>
            </w:r>
            <w:r w:rsidR="0037717D" w:rsidRPr="0037717D">
              <w:rPr>
                <w:rStyle w:val="Hipervnculo"/>
              </w:rPr>
              <w:t>Alegatos de las partes y observaciones de la Comisión</w:t>
            </w:r>
            <w:r w:rsidR="0037717D" w:rsidRPr="0037717D">
              <w:rPr>
                <w:webHidden/>
              </w:rPr>
              <w:tab/>
            </w:r>
            <w:r w:rsidR="0037717D" w:rsidRPr="0037717D">
              <w:rPr>
                <w:webHidden/>
              </w:rPr>
              <w:fldChar w:fldCharType="begin"/>
            </w:r>
            <w:r w:rsidR="0037717D" w:rsidRPr="0037717D">
              <w:rPr>
                <w:webHidden/>
              </w:rPr>
              <w:instrText xml:space="preserve"> PAGEREF _Toc115167444 \h </w:instrText>
            </w:r>
            <w:r w:rsidR="0037717D" w:rsidRPr="0037717D">
              <w:rPr>
                <w:webHidden/>
              </w:rPr>
            </w:r>
            <w:r w:rsidR="0037717D" w:rsidRPr="0037717D">
              <w:rPr>
                <w:webHidden/>
              </w:rPr>
              <w:fldChar w:fldCharType="separate"/>
            </w:r>
            <w:r>
              <w:rPr>
                <w:webHidden/>
              </w:rPr>
              <w:t>35</w:t>
            </w:r>
            <w:r w:rsidR="0037717D" w:rsidRPr="0037717D">
              <w:rPr>
                <w:webHidden/>
              </w:rPr>
              <w:fldChar w:fldCharType="end"/>
            </w:r>
          </w:hyperlink>
        </w:p>
        <w:p w14:paraId="0AEF3874" w14:textId="3DF6B481" w:rsidR="0037717D" w:rsidRPr="0037717D" w:rsidRDefault="00645337" w:rsidP="0037717D">
          <w:pPr>
            <w:pStyle w:val="TDC2"/>
            <w:rPr>
              <w:rFonts w:eastAsiaTheme="minorEastAsia" w:cstheme="minorBidi"/>
              <w:i w:val="0"/>
              <w:snapToGrid/>
            </w:rPr>
          </w:pPr>
          <w:hyperlink w:anchor="_Toc115167445" w:history="1">
            <w:r w:rsidR="0037717D" w:rsidRPr="0037717D">
              <w:rPr>
                <w:rStyle w:val="Hipervnculo"/>
              </w:rPr>
              <w:t>B.</w:t>
            </w:r>
            <w:r w:rsidR="0037717D" w:rsidRPr="0037717D">
              <w:rPr>
                <w:rFonts w:eastAsiaTheme="minorEastAsia" w:cstheme="minorBidi"/>
                <w:i w:val="0"/>
                <w:snapToGrid/>
              </w:rPr>
              <w:tab/>
            </w:r>
            <w:r w:rsidR="0037717D" w:rsidRPr="0037717D">
              <w:rPr>
                <w:rStyle w:val="Hipervnculo"/>
              </w:rPr>
              <w:t>Consideraciones de la Corte</w:t>
            </w:r>
            <w:r w:rsidR="0037717D" w:rsidRPr="0037717D">
              <w:rPr>
                <w:webHidden/>
              </w:rPr>
              <w:tab/>
            </w:r>
            <w:r w:rsidR="0037717D" w:rsidRPr="0037717D">
              <w:rPr>
                <w:webHidden/>
              </w:rPr>
              <w:fldChar w:fldCharType="begin"/>
            </w:r>
            <w:r w:rsidR="0037717D" w:rsidRPr="0037717D">
              <w:rPr>
                <w:webHidden/>
              </w:rPr>
              <w:instrText xml:space="preserve"> PAGEREF _Toc115167445 \h </w:instrText>
            </w:r>
            <w:r w:rsidR="0037717D" w:rsidRPr="0037717D">
              <w:rPr>
                <w:webHidden/>
              </w:rPr>
            </w:r>
            <w:r w:rsidR="0037717D" w:rsidRPr="0037717D">
              <w:rPr>
                <w:webHidden/>
              </w:rPr>
              <w:fldChar w:fldCharType="separate"/>
            </w:r>
            <w:r>
              <w:rPr>
                <w:webHidden/>
              </w:rPr>
              <w:t>36</w:t>
            </w:r>
            <w:r w:rsidR="0037717D" w:rsidRPr="0037717D">
              <w:rPr>
                <w:webHidden/>
              </w:rPr>
              <w:fldChar w:fldCharType="end"/>
            </w:r>
          </w:hyperlink>
        </w:p>
        <w:p w14:paraId="165565FA" w14:textId="5218CE01" w:rsidR="0037717D" w:rsidRPr="0037717D" w:rsidRDefault="00645337" w:rsidP="0037717D">
          <w:pPr>
            <w:pStyle w:val="TDC1"/>
            <w:jc w:val="both"/>
            <w:rPr>
              <w:rFonts w:ascii="Verdana" w:eastAsiaTheme="minorEastAsia" w:hAnsi="Verdana" w:cstheme="minorBidi"/>
              <w:b w:val="0"/>
              <w:sz w:val="20"/>
              <w:szCs w:val="20"/>
              <w:lang w:eastAsia="es-MX"/>
            </w:rPr>
          </w:pPr>
          <w:hyperlink w:anchor="_Toc115167446" w:history="1">
            <w:r w:rsidR="0037717D" w:rsidRPr="0037717D">
              <w:rPr>
                <w:rStyle w:val="Hipervnculo"/>
                <w:rFonts w:ascii="Verdana" w:hAnsi="Verdana"/>
                <w:sz w:val="20"/>
                <w:szCs w:val="20"/>
              </w:rPr>
              <w:t>VIII PUNTOS RESOLUTIVOS</w:t>
            </w:r>
            <w:r w:rsidR="0037717D" w:rsidRPr="0037717D">
              <w:rPr>
                <w:rFonts w:ascii="Verdana" w:hAnsi="Verdana"/>
                <w:webHidden/>
                <w:sz w:val="20"/>
                <w:szCs w:val="20"/>
              </w:rPr>
              <w:tab/>
            </w:r>
            <w:r w:rsidR="0037717D" w:rsidRPr="0037717D">
              <w:rPr>
                <w:rFonts w:ascii="Verdana" w:hAnsi="Verdana"/>
                <w:webHidden/>
                <w:sz w:val="20"/>
                <w:szCs w:val="20"/>
              </w:rPr>
              <w:fldChar w:fldCharType="begin"/>
            </w:r>
            <w:r w:rsidR="0037717D" w:rsidRPr="0037717D">
              <w:rPr>
                <w:rFonts w:ascii="Verdana" w:hAnsi="Verdana"/>
                <w:webHidden/>
                <w:sz w:val="20"/>
                <w:szCs w:val="20"/>
              </w:rPr>
              <w:instrText xml:space="preserve"> PAGEREF _Toc115167446 \h </w:instrText>
            </w:r>
            <w:r w:rsidR="0037717D" w:rsidRPr="0037717D">
              <w:rPr>
                <w:rFonts w:ascii="Verdana" w:hAnsi="Verdana"/>
                <w:webHidden/>
                <w:sz w:val="20"/>
                <w:szCs w:val="20"/>
              </w:rPr>
            </w:r>
            <w:r w:rsidR="0037717D" w:rsidRPr="0037717D">
              <w:rPr>
                <w:rFonts w:ascii="Verdana" w:hAnsi="Verdana"/>
                <w:webHidden/>
                <w:sz w:val="20"/>
                <w:szCs w:val="20"/>
              </w:rPr>
              <w:fldChar w:fldCharType="separate"/>
            </w:r>
            <w:r>
              <w:rPr>
                <w:rFonts w:ascii="Verdana" w:hAnsi="Verdana"/>
                <w:webHidden/>
                <w:sz w:val="20"/>
                <w:szCs w:val="20"/>
              </w:rPr>
              <w:t>38</w:t>
            </w:r>
            <w:r w:rsidR="0037717D" w:rsidRPr="0037717D">
              <w:rPr>
                <w:rFonts w:ascii="Verdana" w:hAnsi="Verdana"/>
                <w:webHidden/>
                <w:sz w:val="20"/>
                <w:szCs w:val="20"/>
              </w:rPr>
              <w:fldChar w:fldCharType="end"/>
            </w:r>
          </w:hyperlink>
        </w:p>
        <w:p w14:paraId="22F07632" w14:textId="6535E542" w:rsidR="00684CFF" w:rsidRPr="00CE0FFF" w:rsidRDefault="00684CFF" w:rsidP="0037717D">
          <w:pPr>
            <w:jc w:val="both"/>
            <w:rPr>
              <w:rFonts w:ascii="Verdana" w:hAnsi="Verdana"/>
              <w:sz w:val="20"/>
              <w:szCs w:val="20"/>
            </w:rPr>
          </w:pPr>
          <w:r w:rsidRPr="0037717D">
            <w:rPr>
              <w:rFonts w:ascii="Verdana" w:hAnsi="Verdana"/>
              <w:b/>
              <w:bCs/>
              <w:sz w:val="20"/>
              <w:szCs w:val="20"/>
              <w:highlight w:val="yellow"/>
              <w:lang w:val="es-ES"/>
            </w:rPr>
            <w:fldChar w:fldCharType="end"/>
          </w:r>
        </w:p>
      </w:sdtContent>
    </w:sdt>
    <w:p w14:paraId="7DF31688" w14:textId="77777777" w:rsidR="00684CFF" w:rsidRPr="00CE0FFF" w:rsidRDefault="00684CFF" w:rsidP="00B274D5">
      <w:pPr>
        <w:jc w:val="both"/>
        <w:rPr>
          <w:rFonts w:ascii="Verdana" w:hAnsi="Verdana"/>
          <w:strike/>
          <w:sz w:val="20"/>
          <w:szCs w:val="20"/>
        </w:rPr>
      </w:pPr>
      <w:r w:rsidRPr="00CE0FFF">
        <w:rPr>
          <w:rFonts w:ascii="Verdana" w:hAnsi="Verdana"/>
          <w:strike/>
          <w:sz w:val="20"/>
          <w:szCs w:val="20"/>
        </w:rPr>
        <w:br w:type="page"/>
      </w:r>
    </w:p>
    <w:p w14:paraId="71B44C59" w14:textId="77777777" w:rsidR="00684CFF" w:rsidRPr="009F75A2" w:rsidRDefault="00684CFF" w:rsidP="004330E3">
      <w:pPr>
        <w:pStyle w:val="Ttulo1"/>
      </w:pPr>
      <w:bookmarkStart w:id="0" w:name="_Toc80002603"/>
      <w:bookmarkStart w:id="1" w:name="_Toc42498026"/>
      <w:bookmarkStart w:id="2" w:name="_Toc46937274"/>
      <w:bookmarkStart w:id="3" w:name="_Toc66779185"/>
      <w:bookmarkStart w:id="4" w:name="_Toc115167418"/>
      <w:r w:rsidRPr="009F75A2">
        <w:lastRenderedPageBreak/>
        <w:t>I</w:t>
      </w:r>
      <w:r w:rsidRPr="009F75A2">
        <w:br/>
      </w:r>
      <w:bookmarkEnd w:id="0"/>
      <w:bookmarkEnd w:id="1"/>
      <w:bookmarkEnd w:id="2"/>
      <w:bookmarkEnd w:id="3"/>
      <w:r w:rsidRPr="009F75A2">
        <w:t>INTRODUCCIÓN A LA CAUSA Y OBJETO DE LA CONTROVERSIA</w:t>
      </w:r>
      <w:bookmarkEnd w:id="4"/>
      <w:r w:rsidRPr="009F75A2">
        <w:t xml:space="preserve"> </w:t>
      </w:r>
    </w:p>
    <w:p w14:paraId="2CE1F6BB" w14:textId="77777777" w:rsidR="00684CFF" w:rsidRPr="009F75A2" w:rsidRDefault="00684CFF" w:rsidP="004330E3">
      <w:pPr>
        <w:rPr>
          <w:rFonts w:ascii="Verdana" w:hAnsi="Verdana"/>
          <w:sz w:val="20"/>
          <w:szCs w:val="20"/>
        </w:rPr>
      </w:pPr>
    </w:p>
    <w:p w14:paraId="73C33C45" w14:textId="6687307D" w:rsidR="00684CFF" w:rsidRPr="00684CFF" w:rsidRDefault="00684CFF" w:rsidP="004330E3">
      <w:pPr>
        <w:pStyle w:val="Prrafodelista"/>
        <w:widowControl/>
        <w:numPr>
          <w:ilvl w:val="0"/>
          <w:numId w:val="28"/>
        </w:numPr>
        <w:spacing w:after="0" w:line="240" w:lineRule="auto"/>
        <w:ind w:left="0" w:firstLine="0"/>
        <w:jc w:val="both"/>
        <w:rPr>
          <w:rFonts w:ascii="Verdana" w:hAnsi="Verdana"/>
          <w:sz w:val="20"/>
          <w:szCs w:val="20"/>
          <w:lang w:val="es-CR"/>
        </w:rPr>
      </w:pPr>
      <w:r w:rsidRPr="00684CFF">
        <w:rPr>
          <w:rFonts w:ascii="Verdana" w:hAnsi="Verdana"/>
          <w:i/>
          <w:sz w:val="20"/>
          <w:szCs w:val="20"/>
          <w:lang w:val="es-CR"/>
        </w:rPr>
        <w:t>El caso sometido a la Corte.</w:t>
      </w:r>
      <w:r w:rsidRPr="00684CFF">
        <w:rPr>
          <w:rFonts w:ascii="Verdana" w:hAnsi="Verdana"/>
          <w:sz w:val="20"/>
          <w:szCs w:val="20"/>
          <w:lang w:val="es-CR"/>
        </w:rPr>
        <w:t xml:space="preserve"> – </w:t>
      </w:r>
      <w:r w:rsidRPr="00375716">
        <w:rPr>
          <w:rFonts w:ascii="Verdana" w:hAnsi="Verdana"/>
          <w:sz w:val="20"/>
          <w:szCs w:val="20"/>
          <w:lang w:val="es-ES"/>
        </w:rPr>
        <w:t xml:space="preserve">El 3 de febrero de 2021, la Comisión Interamericana de Derechos Humanos (en adelante “la Comisión Interamericana” o “la Comisión”) sometió a la jurisdicción de la Corte el caso “Raghda Habbal e hijos [contra] la República Argentina” (en adelante, “el Estado” o “Argentina”). De acuerdo con lo indicado por la Comisión, el caso se </w:t>
      </w:r>
      <w:r w:rsidRPr="00684CFF">
        <w:rPr>
          <w:rFonts w:ascii="Verdana" w:hAnsi="Verdana" w:cs="Cambria"/>
          <w:sz w:val="20"/>
          <w:szCs w:val="20"/>
          <w:lang w:val="es-CR"/>
        </w:rPr>
        <w:t>refiere a la privación arbitraria de la nacionalidad argentina de la señora Raghda Habbal</w:t>
      </w:r>
      <w:r w:rsidR="006F536D">
        <w:rPr>
          <w:rFonts w:ascii="Verdana" w:hAnsi="Verdana" w:cs="Cambria"/>
          <w:sz w:val="20"/>
          <w:szCs w:val="20"/>
          <w:lang w:val="es-CR"/>
        </w:rPr>
        <w:t>,</w:t>
      </w:r>
      <w:r w:rsidRPr="00684CFF">
        <w:rPr>
          <w:rFonts w:ascii="Verdana" w:hAnsi="Verdana" w:cs="Cambria"/>
          <w:sz w:val="20"/>
          <w:szCs w:val="20"/>
          <w:lang w:val="es-CR"/>
        </w:rPr>
        <w:t xml:space="preserve"> adquirida por naturalización</w:t>
      </w:r>
      <w:r w:rsidR="006F536D">
        <w:rPr>
          <w:rFonts w:ascii="Verdana" w:hAnsi="Verdana" w:cs="Cambria"/>
          <w:sz w:val="20"/>
          <w:szCs w:val="20"/>
          <w:lang w:val="es-CR"/>
        </w:rPr>
        <w:t>,</w:t>
      </w:r>
      <w:r w:rsidRPr="00684CFF">
        <w:rPr>
          <w:rFonts w:ascii="Verdana" w:hAnsi="Verdana" w:cs="Cambria"/>
          <w:sz w:val="20"/>
          <w:szCs w:val="20"/>
          <w:lang w:val="es-CR"/>
        </w:rPr>
        <w:t xml:space="preserve"> y de la</w:t>
      </w:r>
      <w:r w:rsidR="00433C6F">
        <w:rPr>
          <w:rFonts w:ascii="Verdana" w:hAnsi="Verdana" w:cs="Cambria"/>
          <w:sz w:val="20"/>
          <w:szCs w:val="20"/>
          <w:lang w:val="es-CR"/>
        </w:rPr>
        <w:t xml:space="preserve"> </w:t>
      </w:r>
      <w:r w:rsidR="00B037E7">
        <w:rPr>
          <w:rFonts w:ascii="Verdana" w:hAnsi="Verdana" w:cs="Cambria"/>
          <w:sz w:val="20"/>
          <w:szCs w:val="20"/>
          <w:lang w:val="es-CR"/>
        </w:rPr>
        <w:t>anulación</w:t>
      </w:r>
      <w:r w:rsidR="00433C6F">
        <w:rPr>
          <w:rFonts w:ascii="Verdana" w:hAnsi="Verdana" w:cs="Cambria"/>
          <w:sz w:val="20"/>
          <w:szCs w:val="20"/>
          <w:lang w:val="es-CR"/>
        </w:rPr>
        <w:t xml:space="preserve"> de la</w:t>
      </w:r>
      <w:r w:rsidRPr="00684CFF">
        <w:rPr>
          <w:rFonts w:ascii="Verdana" w:hAnsi="Verdana" w:cs="Cambria"/>
          <w:sz w:val="20"/>
          <w:szCs w:val="20"/>
          <w:lang w:val="es-CR"/>
        </w:rPr>
        <w:t xml:space="preserve"> residencia permanente de sus tres hijas, así como a las afectaciones a las garantías judiciales que se dieron en el marco de ambos procesos</w:t>
      </w:r>
      <w:r w:rsidRPr="00375716">
        <w:rPr>
          <w:rFonts w:ascii="Verdana" w:hAnsi="Verdana"/>
          <w:sz w:val="20"/>
          <w:szCs w:val="20"/>
          <w:lang w:val="es-ES"/>
        </w:rPr>
        <w:t>. La Comisión determinó que las autoridades migratorias omitieron considerar la calidad de nacional de la señora Habbal, su estatus de ciudadana, y su posible exposición a una situación de apa</w:t>
      </w:r>
      <w:r>
        <w:rPr>
          <w:rFonts w:ascii="Verdana" w:hAnsi="Verdana"/>
          <w:sz w:val="20"/>
          <w:szCs w:val="20"/>
          <w:lang w:val="es-ES"/>
        </w:rPr>
        <w:t>tridia</w:t>
      </w:r>
      <w:r w:rsidR="00244AC1">
        <w:rPr>
          <w:rFonts w:ascii="Verdana" w:hAnsi="Verdana"/>
          <w:sz w:val="20"/>
          <w:szCs w:val="20"/>
          <w:lang w:val="es-ES"/>
        </w:rPr>
        <w:t>,</w:t>
      </w:r>
      <w:r>
        <w:rPr>
          <w:rFonts w:ascii="Verdana" w:hAnsi="Verdana"/>
          <w:sz w:val="20"/>
          <w:szCs w:val="20"/>
          <w:lang w:val="es-ES"/>
        </w:rPr>
        <w:t xml:space="preserve"> al</w:t>
      </w:r>
      <w:r w:rsidRPr="00375716">
        <w:rPr>
          <w:rFonts w:ascii="Verdana" w:hAnsi="Verdana"/>
          <w:sz w:val="20"/>
          <w:szCs w:val="20"/>
          <w:lang w:val="es-ES"/>
        </w:rPr>
        <w:t xml:space="preserve"> </w:t>
      </w:r>
      <w:r>
        <w:rPr>
          <w:rFonts w:ascii="Verdana" w:hAnsi="Verdana"/>
          <w:sz w:val="20"/>
          <w:szCs w:val="20"/>
          <w:lang w:val="es-ES"/>
        </w:rPr>
        <w:t xml:space="preserve">privarle de la </w:t>
      </w:r>
      <w:r w:rsidRPr="00375716">
        <w:rPr>
          <w:rFonts w:ascii="Verdana" w:hAnsi="Verdana"/>
          <w:sz w:val="20"/>
          <w:szCs w:val="20"/>
          <w:lang w:val="es-ES"/>
        </w:rPr>
        <w:t>ciudadanía argentina</w:t>
      </w:r>
      <w:r w:rsidR="00476465" w:rsidRPr="00476465">
        <w:rPr>
          <w:rFonts w:ascii="Verdana" w:hAnsi="Verdana"/>
          <w:sz w:val="20"/>
          <w:szCs w:val="20"/>
          <w:lang w:val="es-ES"/>
        </w:rPr>
        <w:t>.</w:t>
      </w:r>
      <w:r w:rsidRPr="00375716">
        <w:rPr>
          <w:rFonts w:ascii="Verdana" w:hAnsi="Verdana"/>
          <w:sz w:val="20"/>
          <w:szCs w:val="20"/>
          <w:lang w:val="es-ES"/>
        </w:rPr>
        <w:t xml:space="preserve"> </w:t>
      </w:r>
      <w:r w:rsidR="007F59D3">
        <w:rPr>
          <w:rFonts w:ascii="Verdana" w:hAnsi="Verdana"/>
          <w:sz w:val="20"/>
          <w:szCs w:val="20"/>
          <w:lang w:val="es-ES"/>
        </w:rPr>
        <w:t>Asimismo</w:t>
      </w:r>
      <w:r w:rsidRPr="00375716">
        <w:rPr>
          <w:rFonts w:ascii="Verdana" w:hAnsi="Verdana"/>
          <w:sz w:val="20"/>
          <w:szCs w:val="20"/>
          <w:lang w:val="es-ES"/>
        </w:rPr>
        <w:t>, la Comisión alegó que el procedimiento</w:t>
      </w:r>
      <w:r w:rsidR="00D873F4">
        <w:rPr>
          <w:rFonts w:ascii="Verdana" w:hAnsi="Verdana"/>
          <w:sz w:val="20"/>
          <w:szCs w:val="20"/>
          <w:lang w:val="es-ES"/>
        </w:rPr>
        <w:t xml:space="preserve"> migratorio,</w:t>
      </w:r>
      <w:r w:rsidRPr="00375716">
        <w:rPr>
          <w:rFonts w:ascii="Verdana" w:hAnsi="Verdana"/>
          <w:sz w:val="20"/>
          <w:szCs w:val="20"/>
          <w:lang w:val="es-ES"/>
        </w:rPr>
        <w:t xml:space="preserve"> que culminó en la</w:t>
      </w:r>
      <w:r w:rsidR="00F566E4">
        <w:rPr>
          <w:rFonts w:ascii="Verdana" w:hAnsi="Verdana"/>
          <w:sz w:val="20"/>
          <w:szCs w:val="20"/>
          <w:lang w:val="es-ES"/>
        </w:rPr>
        <w:t xml:space="preserve"> orden de</w:t>
      </w:r>
      <w:r w:rsidRPr="00375716">
        <w:rPr>
          <w:rFonts w:ascii="Verdana" w:hAnsi="Verdana"/>
          <w:sz w:val="20"/>
          <w:szCs w:val="20"/>
          <w:lang w:val="es-ES"/>
        </w:rPr>
        <w:t xml:space="preserve"> expulsión de la señora Habbal y sus hijas</w:t>
      </w:r>
      <w:r w:rsidR="00D873F4">
        <w:rPr>
          <w:rFonts w:ascii="Verdana" w:hAnsi="Verdana"/>
          <w:sz w:val="20"/>
          <w:szCs w:val="20"/>
          <w:lang w:val="es-ES"/>
        </w:rPr>
        <w:t>, y en una orden de detención</w:t>
      </w:r>
      <w:r w:rsidR="00A61AB6">
        <w:rPr>
          <w:rFonts w:ascii="Verdana" w:hAnsi="Verdana"/>
          <w:sz w:val="20"/>
          <w:szCs w:val="20"/>
          <w:lang w:val="es-ES"/>
        </w:rPr>
        <w:t xml:space="preserve"> preventiva</w:t>
      </w:r>
      <w:r w:rsidR="008249FB">
        <w:rPr>
          <w:rFonts w:ascii="Verdana" w:hAnsi="Verdana"/>
          <w:sz w:val="20"/>
          <w:szCs w:val="20"/>
          <w:lang w:val="es-ES"/>
        </w:rPr>
        <w:t>,</w:t>
      </w:r>
      <w:r w:rsidRPr="00375716">
        <w:rPr>
          <w:rFonts w:ascii="Verdana" w:hAnsi="Verdana"/>
          <w:sz w:val="20"/>
          <w:szCs w:val="20"/>
          <w:lang w:val="es-ES"/>
        </w:rPr>
        <w:t xml:space="preserve"> fue adelantado </w:t>
      </w:r>
      <w:r w:rsidR="008A7589">
        <w:rPr>
          <w:rFonts w:ascii="Verdana" w:hAnsi="Verdana"/>
          <w:sz w:val="20"/>
          <w:szCs w:val="20"/>
          <w:lang w:val="es-ES"/>
        </w:rPr>
        <w:t>en violación a las garantías del debido proceso y</w:t>
      </w:r>
      <w:r w:rsidR="00A41AF5">
        <w:rPr>
          <w:rFonts w:ascii="Verdana" w:hAnsi="Verdana"/>
          <w:sz w:val="20"/>
          <w:szCs w:val="20"/>
          <w:lang w:val="es-ES"/>
        </w:rPr>
        <w:t xml:space="preserve"> </w:t>
      </w:r>
      <w:r w:rsidR="008A7589">
        <w:rPr>
          <w:rFonts w:ascii="Verdana" w:hAnsi="Verdana" w:cs="Cambria"/>
          <w:sz w:val="20"/>
          <w:szCs w:val="20"/>
          <w:lang w:val="es-CR"/>
        </w:rPr>
        <w:t>a</w:t>
      </w:r>
      <w:r w:rsidR="00A41AF5" w:rsidRPr="00684CFF">
        <w:rPr>
          <w:rFonts w:ascii="Verdana" w:hAnsi="Verdana" w:cs="Cambria"/>
          <w:sz w:val="20"/>
          <w:szCs w:val="20"/>
          <w:lang w:val="es-CR"/>
        </w:rPr>
        <w:t>l principio de no detención migratoria de niños y niñas</w:t>
      </w:r>
      <w:r w:rsidR="00435F2F">
        <w:rPr>
          <w:rFonts w:ascii="Verdana" w:hAnsi="Verdana" w:cs="Cambria"/>
          <w:sz w:val="20"/>
          <w:szCs w:val="20"/>
          <w:lang w:val="es-CR"/>
        </w:rPr>
        <w:t xml:space="preserve">, y omitió considerar </w:t>
      </w:r>
      <w:r w:rsidR="00FD4A14">
        <w:rPr>
          <w:rFonts w:ascii="Verdana" w:hAnsi="Verdana" w:cs="Cambria"/>
          <w:sz w:val="20"/>
          <w:szCs w:val="20"/>
          <w:lang w:val="es-CR"/>
        </w:rPr>
        <w:t>el impacto que</w:t>
      </w:r>
      <w:r w:rsidR="006E2379">
        <w:rPr>
          <w:rFonts w:ascii="Verdana" w:hAnsi="Verdana" w:cs="Cambria"/>
          <w:sz w:val="20"/>
          <w:szCs w:val="20"/>
          <w:lang w:val="es-CR"/>
        </w:rPr>
        <w:t xml:space="preserve"> la expulsión</w:t>
      </w:r>
      <w:r w:rsidR="00FD4A14">
        <w:rPr>
          <w:rFonts w:ascii="Verdana" w:hAnsi="Verdana" w:cs="Cambria"/>
          <w:sz w:val="20"/>
          <w:szCs w:val="20"/>
          <w:lang w:val="es-CR"/>
        </w:rPr>
        <w:t xml:space="preserve"> tendría e</w:t>
      </w:r>
      <w:r w:rsidR="009A190C">
        <w:rPr>
          <w:rFonts w:ascii="Verdana" w:hAnsi="Verdana" w:cs="Cambria"/>
          <w:sz w:val="20"/>
          <w:szCs w:val="20"/>
          <w:lang w:val="es-CR"/>
        </w:rPr>
        <w:t xml:space="preserve">n los derechos de </w:t>
      </w:r>
      <w:r w:rsidR="006E2379">
        <w:rPr>
          <w:rFonts w:ascii="Verdana" w:hAnsi="Verdana" w:cs="Cambria"/>
          <w:sz w:val="20"/>
          <w:szCs w:val="20"/>
          <w:lang w:val="es-CR"/>
        </w:rPr>
        <w:t>sus hijas e hijo</w:t>
      </w:r>
      <w:r w:rsidRPr="00684CFF">
        <w:rPr>
          <w:rFonts w:ascii="Verdana" w:hAnsi="Verdana" w:cs="Cambria"/>
          <w:sz w:val="20"/>
          <w:szCs w:val="20"/>
          <w:lang w:val="es-CR"/>
        </w:rPr>
        <w:t xml:space="preserve">. </w:t>
      </w:r>
      <w:r w:rsidR="00B24587">
        <w:rPr>
          <w:rFonts w:ascii="Verdana" w:hAnsi="Verdana" w:cs="Cambria"/>
          <w:sz w:val="20"/>
          <w:szCs w:val="20"/>
          <w:lang w:val="es-CR"/>
        </w:rPr>
        <w:t>L</w:t>
      </w:r>
      <w:r w:rsidRPr="00684CFF">
        <w:rPr>
          <w:rFonts w:ascii="Verdana" w:hAnsi="Verdana" w:cs="Cambria"/>
          <w:sz w:val="20"/>
          <w:szCs w:val="20"/>
          <w:lang w:val="es-CR"/>
        </w:rPr>
        <w:t xml:space="preserve">a Comisión </w:t>
      </w:r>
      <w:r w:rsidR="00B24587">
        <w:rPr>
          <w:rFonts w:ascii="Verdana" w:hAnsi="Verdana" w:cs="Cambria"/>
          <w:sz w:val="20"/>
          <w:szCs w:val="20"/>
          <w:lang w:val="es-CR"/>
        </w:rPr>
        <w:t>concluyó</w:t>
      </w:r>
      <w:r w:rsidRPr="00684CFF">
        <w:rPr>
          <w:rFonts w:ascii="Verdana" w:hAnsi="Verdana" w:cs="Cambria"/>
          <w:sz w:val="20"/>
          <w:szCs w:val="20"/>
          <w:lang w:val="es-CR"/>
        </w:rPr>
        <w:t xml:space="preserve"> que </w:t>
      </w:r>
      <w:r w:rsidRPr="00375716">
        <w:rPr>
          <w:rFonts w:ascii="Verdana" w:hAnsi="Verdana"/>
          <w:sz w:val="20"/>
          <w:szCs w:val="20"/>
          <w:lang w:val="es-ES"/>
        </w:rPr>
        <w:t xml:space="preserve">el Estado es responsable por la violación de los derechos </w:t>
      </w:r>
      <w:r w:rsidRPr="00684CFF">
        <w:rPr>
          <w:rFonts w:ascii="Verdana" w:hAnsi="Verdana" w:cs="Cambria"/>
          <w:sz w:val="20"/>
          <w:szCs w:val="20"/>
          <w:lang w:val="es-CR"/>
        </w:rPr>
        <w:t xml:space="preserve">a las garantías judiciales, al principio de presunción de inocencia, </w:t>
      </w:r>
      <w:r w:rsidRPr="00064E80">
        <w:rPr>
          <w:rFonts w:ascii="Verdana" w:hAnsi="Verdana" w:cs="Cambria"/>
          <w:sz w:val="20"/>
          <w:szCs w:val="20"/>
          <w:lang w:val="es-CR"/>
        </w:rPr>
        <w:t>a la libertad personal, al principio de legalidad,</w:t>
      </w:r>
      <w:r w:rsidR="00E71305">
        <w:rPr>
          <w:rFonts w:ascii="Verdana" w:hAnsi="Verdana" w:cs="Cambria"/>
          <w:sz w:val="20"/>
          <w:szCs w:val="20"/>
          <w:lang w:val="es-CR"/>
        </w:rPr>
        <w:t xml:space="preserve"> a</w:t>
      </w:r>
      <w:r w:rsidRPr="00064E80">
        <w:rPr>
          <w:rFonts w:ascii="Verdana" w:hAnsi="Verdana" w:cs="Cambria"/>
          <w:sz w:val="20"/>
          <w:szCs w:val="20"/>
          <w:lang w:val="es-CR"/>
        </w:rPr>
        <w:t xml:space="preserve"> los derechos de los niños y niñas, a la nacionalidad, a la libertad de circulación y residencia</w:t>
      </w:r>
      <w:r w:rsidR="009A2811">
        <w:rPr>
          <w:rFonts w:ascii="Verdana" w:hAnsi="Verdana" w:cs="Cambria"/>
          <w:sz w:val="20"/>
          <w:szCs w:val="20"/>
          <w:lang w:val="es-CR"/>
        </w:rPr>
        <w:t>,</w:t>
      </w:r>
      <w:r w:rsidRPr="00064E80">
        <w:rPr>
          <w:rFonts w:ascii="Verdana" w:hAnsi="Verdana" w:cs="Cambria"/>
          <w:sz w:val="20"/>
          <w:szCs w:val="20"/>
          <w:lang w:val="es-CR"/>
        </w:rPr>
        <w:t xml:space="preserve"> y a la protección judicial,</w:t>
      </w:r>
      <w:r w:rsidRPr="00064E80">
        <w:rPr>
          <w:rFonts w:ascii="Verdana" w:hAnsi="Verdana"/>
          <w:sz w:val="20"/>
          <w:szCs w:val="20"/>
          <w:lang w:val="es-ES"/>
        </w:rPr>
        <w:t xml:space="preserve"> establecidos en los artículos </w:t>
      </w:r>
      <w:r w:rsidRPr="00064E80">
        <w:rPr>
          <w:rFonts w:ascii="Verdana" w:hAnsi="Verdana" w:cs="Cambria"/>
          <w:sz w:val="20"/>
          <w:szCs w:val="20"/>
          <w:lang w:val="es-CR"/>
        </w:rPr>
        <w:t>8.1, 8.2 b), c), d) y h), 7, 9, 19 , 20, 22.1,</w:t>
      </w:r>
      <w:r w:rsidRPr="00064E80">
        <w:rPr>
          <w:rFonts w:ascii="Verdana" w:hAnsi="Verdana"/>
          <w:sz w:val="20"/>
          <w:szCs w:val="20"/>
          <w:lang w:val="es-ES"/>
        </w:rPr>
        <w:t xml:space="preserve"> </w:t>
      </w:r>
      <w:r w:rsidRPr="00064E80">
        <w:rPr>
          <w:rFonts w:ascii="Verdana" w:hAnsi="Verdana" w:cs="Cambria"/>
          <w:sz w:val="20"/>
          <w:szCs w:val="20"/>
          <w:lang w:val="es-CR"/>
        </w:rPr>
        <w:t>22.5, 22.6 y 25.1</w:t>
      </w:r>
      <w:r w:rsidRPr="00064E80">
        <w:rPr>
          <w:rFonts w:ascii="Verdana" w:hAnsi="Verdana"/>
          <w:sz w:val="20"/>
          <w:szCs w:val="20"/>
          <w:lang w:val="es-ES"/>
        </w:rPr>
        <w:t xml:space="preserve"> de la Convención Americana</w:t>
      </w:r>
      <w:r w:rsidR="009468E3">
        <w:rPr>
          <w:rFonts w:ascii="Verdana" w:hAnsi="Verdana"/>
          <w:sz w:val="20"/>
          <w:szCs w:val="20"/>
          <w:lang w:val="es-ES"/>
        </w:rPr>
        <w:t>,</w:t>
      </w:r>
      <w:r w:rsidRPr="00064E80">
        <w:rPr>
          <w:rFonts w:ascii="Verdana" w:hAnsi="Verdana"/>
          <w:sz w:val="20"/>
          <w:szCs w:val="20"/>
          <w:lang w:val="es-ES"/>
        </w:rPr>
        <w:t xml:space="preserve"> en relación con las obligaciones establecidas en el artículo 1.1 del mismo instrumento.</w:t>
      </w:r>
    </w:p>
    <w:p w14:paraId="23EC2931" w14:textId="77777777" w:rsidR="00684CFF" w:rsidRPr="00684CFF" w:rsidRDefault="00684CFF" w:rsidP="004330E3">
      <w:pPr>
        <w:pStyle w:val="Prrafodelista"/>
        <w:spacing w:after="0" w:line="240" w:lineRule="auto"/>
        <w:ind w:left="0"/>
        <w:jc w:val="both"/>
        <w:rPr>
          <w:rFonts w:ascii="Verdana" w:hAnsi="Verdana"/>
          <w:sz w:val="20"/>
          <w:szCs w:val="20"/>
          <w:lang w:val="es-CR"/>
        </w:rPr>
      </w:pPr>
    </w:p>
    <w:p w14:paraId="35F4F5AC" w14:textId="77777777" w:rsidR="00684CFF" w:rsidRPr="00684CFF" w:rsidRDefault="00684CFF" w:rsidP="004330E3">
      <w:pPr>
        <w:pStyle w:val="Prrafodelista"/>
        <w:widowControl/>
        <w:numPr>
          <w:ilvl w:val="0"/>
          <w:numId w:val="28"/>
        </w:numPr>
        <w:spacing w:after="0" w:line="240" w:lineRule="auto"/>
        <w:ind w:left="0" w:firstLine="0"/>
        <w:jc w:val="both"/>
        <w:rPr>
          <w:rFonts w:ascii="Verdana" w:hAnsi="Verdana"/>
          <w:sz w:val="20"/>
          <w:szCs w:val="20"/>
          <w:lang w:val="es-CR"/>
        </w:rPr>
      </w:pPr>
      <w:r w:rsidRPr="00684CFF">
        <w:rPr>
          <w:rFonts w:ascii="Verdana" w:hAnsi="Verdana"/>
          <w:i/>
          <w:sz w:val="20"/>
          <w:szCs w:val="20"/>
          <w:lang w:val="es-CR"/>
        </w:rPr>
        <w:t>Trámite ante la Comisión</w:t>
      </w:r>
      <w:r w:rsidRPr="00684CFF">
        <w:rPr>
          <w:rFonts w:ascii="Verdana" w:hAnsi="Verdana"/>
          <w:sz w:val="20"/>
          <w:szCs w:val="20"/>
          <w:lang w:val="es-CR"/>
        </w:rPr>
        <w:t>. – El trámite ante la Comisión fue el siguiente:</w:t>
      </w:r>
    </w:p>
    <w:p w14:paraId="11819C28" w14:textId="77777777" w:rsidR="00684CFF" w:rsidRPr="009F75A2" w:rsidRDefault="00684CFF" w:rsidP="004330E3">
      <w:pPr>
        <w:rPr>
          <w:rFonts w:ascii="Verdana" w:hAnsi="Verdana"/>
          <w:sz w:val="20"/>
          <w:szCs w:val="20"/>
        </w:rPr>
      </w:pPr>
    </w:p>
    <w:p w14:paraId="345067C0" w14:textId="30F59D01" w:rsidR="00684CFF" w:rsidRPr="00DD14D8" w:rsidRDefault="00684CFF" w:rsidP="004330E3">
      <w:pPr>
        <w:pStyle w:val="Prrafodelista"/>
        <w:widowControl/>
        <w:numPr>
          <w:ilvl w:val="0"/>
          <w:numId w:val="29"/>
        </w:numPr>
        <w:spacing w:after="0" w:line="240" w:lineRule="auto"/>
        <w:jc w:val="both"/>
        <w:rPr>
          <w:rFonts w:ascii="Verdana" w:hAnsi="Verdana"/>
          <w:sz w:val="20"/>
          <w:szCs w:val="20"/>
          <w:lang w:val="es-CR"/>
        </w:rPr>
      </w:pPr>
      <w:r w:rsidRPr="00684CFF">
        <w:rPr>
          <w:rFonts w:ascii="Verdana" w:hAnsi="Verdana"/>
          <w:i/>
          <w:sz w:val="20"/>
          <w:szCs w:val="20"/>
          <w:lang w:val="es-CR"/>
        </w:rPr>
        <w:t>Petición.</w:t>
      </w:r>
      <w:r w:rsidRPr="00684CFF">
        <w:rPr>
          <w:rFonts w:ascii="Verdana" w:hAnsi="Verdana"/>
          <w:sz w:val="20"/>
          <w:szCs w:val="20"/>
          <w:lang w:val="es-CR"/>
        </w:rPr>
        <w:t xml:space="preserve"> –  El 24 de mayo de 1996, los representantes de las presuntas víctimas (en adelante también “los representantes”</w:t>
      </w:r>
      <w:r w:rsidR="00FD44DB">
        <w:rPr>
          <w:rFonts w:ascii="Verdana" w:hAnsi="Verdana"/>
          <w:sz w:val="20"/>
          <w:szCs w:val="20"/>
          <w:lang w:val="es-CR"/>
        </w:rPr>
        <w:t>)</w:t>
      </w:r>
      <w:r w:rsidRPr="00684CFF">
        <w:rPr>
          <w:rFonts w:ascii="Verdana" w:hAnsi="Verdana"/>
          <w:sz w:val="20"/>
          <w:szCs w:val="20"/>
          <w:lang w:val="es-CR"/>
        </w:rPr>
        <w:t>, presentaron la petición inicial ante la Comisión</w:t>
      </w:r>
      <w:r w:rsidR="00926FCF" w:rsidRPr="00DD14D8">
        <w:rPr>
          <w:rFonts w:ascii="Verdana" w:hAnsi="Verdana"/>
          <w:sz w:val="20"/>
          <w:szCs w:val="20"/>
          <w:lang w:val="es-CR"/>
        </w:rPr>
        <w:t>.</w:t>
      </w:r>
    </w:p>
    <w:p w14:paraId="0BA8F397" w14:textId="77777777" w:rsidR="00684CFF" w:rsidRPr="009F75A2" w:rsidRDefault="00684CFF" w:rsidP="004330E3">
      <w:pPr>
        <w:jc w:val="both"/>
        <w:rPr>
          <w:rFonts w:ascii="Verdana" w:hAnsi="Verdana"/>
          <w:sz w:val="20"/>
          <w:szCs w:val="20"/>
        </w:rPr>
      </w:pPr>
    </w:p>
    <w:p w14:paraId="6B959C3A" w14:textId="4FB39776" w:rsidR="00684CFF" w:rsidRPr="00DD14D8" w:rsidRDefault="00684CFF" w:rsidP="004330E3">
      <w:pPr>
        <w:pStyle w:val="Prrafodelista"/>
        <w:widowControl/>
        <w:numPr>
          <w:ilvl w:val="0"/>
          <w:numId w:val="29"/>
        </w:numPr>
        <w:spacing w:after="0" w:line="240" w:lineRule="auto"/>
        <w:jc w:val="both"/>
        <w:rPr>
          <w:rFonts w:ascii="Verdana" w:hAnsi="Verdana"/>
          <w:sz w:val="20"/>
          <w:szCs w:val="20"/>
          <w:lang w:val="es-CR"/>
        </w:rPr>
      </w:pPr>
      <w:r w:rsidRPr="00684CFF">
        <w:rPr>
          <w:rFonts w:ascii="Verdana" w:hAnsi="Verdana"/>
          <w:i/>
          <w:sz w:val="20"/>
          <w:szCs w:val="20"/>
          <w:lang w:val="es-CR"/>
        </w:rPr>
        <w:t>Informe de Admisibilidad.</w:t>
      </w:r>
      <w:r w:rsidRPr="00684CFF">
        <w:rPr>
          <w:rFonts w:ascii="Verdana" w:hAnsi="Verdana"/>
          <w:sz w:val="20"/>
          <w:szCs w:val="20"/>
          <w:lang w:val="es-CR"/>
        </w:rPr>
        <w:t xml:space="preserve"> – El 15 de julio de 2008, la Comisión aprobó el Informe de Admisibilidad No. 64/08, en el cual notificó a las partes de la admisibilidad y se puso a disposición para llegar a una solución amistosa</w:t>
      </w:r>
      <w:r w:rsidR="00DD14D8" w:rsidRPr="00DD14D8">
        <w:rPr>
          <w:rFonts w:ascii="Verdana" w:hAnsi="Verdana"/>
          <w:sz w:val="20"/>
          <w:szCs w:val="20"/>
          <w:lang w:val="es-CR"/>
        </w:rPr>
        <w:t>.</w:t>
      </w:r>
    </w:p>
    <w:p w14:paraId="65975BFF" w14:textId="77777777" w:rsidR="00684CFF" w:rsidRPr="009F75A2" w:rsidRDefault="00684CFF" w:rsidP="004330E3">
      <w:pPr>
        <w:jc w:val="both"/>
        <w:rPr>
          <w:rFonts w:ascii="Verdana" w:hAnsi="Verdana"/>
          <w:sz w:val="20"/>
          <w:szCs w:val="20"/>
        </w:rPr>
      </w:pPr>
    </w:p>
    <w:p w14:paraId="7AB13A72" w14:textId="512565D7" w:rsidR="00684CFF" w:rsidRPr="00C60E73" w:rsidRDefault="00684CFF" w:rsidP="004330E3">
      <w:pPr>
        <w:pStyle w:val="Prrafodelista"/>
        <w:widowControl/>
        <w:numPr>
          <w:ilvl w:val="0"/>
          <w:numId w:val="29"/>
        </w:numPr>
        <w:spacing w:after="0" w:line="240" w:lineRule="auto"/>
        <w:jc w:val="both"/>
        <w:rPr>
          <w:rFonts w:ascii="Verdana" w:hAnsi="Verdana"/>
          <w:sz w:val="20"/>
          <w:szCs w:val="20"/>
          <w:lang w:val="es-CR"/>
        </w:rPr>
      </w:pPr>
      <w:r w:rsidRPr="00684CFF">
        <w:rPr>
          <w:rFonts w:ascii="Verdana" w:hAnsi="Verdana"/>
          <w:i/>
          <w:sz w:val="20"/>
          <w:szCs w:val="20"/>
          <w:lang w:val="es-CR"/>
        </w:rPr>
        <w:t>Informe de Fondo.</w:t>
      </w:r>
      <w:r w:rsidRPr="00684CFF">
        <w:rPr>
          <w:rFonts w:ascii="Verdana" w:hAnsi="Verdana"/>
          <w:sz w:val="20"/>
          <w:szCs w:val="20"/>
          <w:lang w:val="es-CR"/>
        </w:rPr>
        <w:t xml:space="preserve"> – El 28 de septiembre de 2019, la Comisión aprobó el Informe de Fondo No. 140/19 (en adelante también “Informe de Fondo”), en el cual llegó a una serie de conclusiones y formuló varias recomendaciones al Estado</w:t>
      </w:r>
      <w:r w:rsidR="007A2DDA" w:rsidRPr="00C60E73">
        <w:rPr>
          <w:rFonts w:ascii="Verdana" w:hAnsi="Verdana"/>
          <w:sz w:val="20"/>
          <w:szCs w:val="20"/>
          <w:lang w:val="es-CR"/>
        </w:rPr>
        <w:t>.</w:t>
      </w:r>
    </w:p>
    <w:p w14:paraId="7C1C2E6E" w14:textId="77777777" w:rsidR="00684CFF" w:rsidRPr="00C60E73" w:rsidRDefault="00684CFF" w:rsidP="004330E3">
      <w:pPr>
        <w:pStyle w:val="Prrafodelista"/>
        <w:spacing w:after="0" w:line="240" w:lineRule="auto"/>
        <w:jc w:val="both"/>
        <w:rPr>
          <w:rFonts w:ascii="Verdana" w:hAnsi="Verdana"/>
          <w:sz w:val="20"/>
          <w:szCs w:val="20"/>
          <w:lang w:val="es-CR"/>
        </w:rPr>
      </w:pPr>
    </w:p>
    <w:p w14:paraId="602E3E73" w14:textId="3F42A430" w:rsidR="00684CFF" w:rsidRPr="00C60E73" w:rsidRDefault="00684CFF" w:rsidP="004330E3">
      <w:pPr>
        <w:pStyle w:val="Prrafodelista"/>
        <w:widowControl/>
        <w:numPr>
          <w:ilvl w:val="0"/>
          <w:numId w:val="29"/>
        </w:numPr>
        <w:spacing w:after="0" w:line="240" w:lineRule="auto"/>
        <w:jc w:val="both"/>
        <w:rPr>
          <w:rFonts w:ascii="Verdana" w:hAnsi="Verdana"/>
          <w:sz w:val="20"/>
          <w:szCs w:val="20"/>
          <w:lang w:val="es-CR"/>
        </w:rPr>
      </w:pPr>
      <w:r w:rsidRPr="00684CFF">
        <w:rPr>
          <w:rFonts w:ascii="Verdana" w:hAnsi="Verdana"/>
          <w:i/>
          <w:sz w:val="20"/>
          <w:szCs w:val="20"/>
          <w:lang w:val="es-CR"/>
        </w:rPr>
        <w:t>Notificación al Estado</w:t>
      </w:r>
      <w:r w:rsidRPr="00684CFF">
        <w:rPr>
          <w:rFonts w:ascii="Verdana" w:hAnsi="Verdana"/>
          <w:sz w:val="20"/>
          <w:szCs w:val="20"/>
          <w:lang w:val="es-CR"/>
        </w:rPr>
        <w:t>. – La Comisión notificó al Estado el Informe de Fondo mediante una comunicación de 3 de diciembre de 2019, otorg</w:t>
      </w:r>
      <w:r w:rsidR="00047028">
        <w:rPr>
          <w:rFonts w:ascii="Verdana" w:hAnsi="Verdana"/>
          <w:sz w:val="20"/>
          <w:szCs w:val="20"/>
          <w:lang w:val="es-CR"/>
        </w:rPr>
        <w:t>á</w:t>
      </w:r>
      <w:r w:rsidRPr="00684CFF">
        <w:rPr>
          <w:rFonts w:ascii="Verdana" w:hAnsi="Verdana"/>
          <w:sz w:val="20"/>
          <w:szCs w:val="20"/>
          <w:lang w:val="es-CR"/>
        </w:rPr>
        <w:t>ndo</w:t>
      </w:r>
      <w:r w:rsidR="00047028">
        <w:rPr>
          <w:rFonts w:ascii="Verdana" w:hAnsi="Verdana"/>
          <w:sz w:val="20"/>
          <w:szCs w:val="20"/>
          <w:lang w:val="es-CR"/>
        </w:rPr>
        <w:t xml:space="preserve">le </w:t>
      </w:r>
      <w:r w:rsidRPr="00684CFF">
        <w:rPr>
          <w:rFonts w:ascii="Verdana" w:hAnsi="Verdana"/>
          <w:sz w:val="20"/>
          <w:szCs w:val="20"/>
          <w:lang w:val="es-CR"/>
        </w:rPr>
        <w:t>un plazo de dos meses para informar sobre el cumplimiento de las recomendaciones. Tras el otorgamiento de cuatro prórrogas, el Estado informó sobre acciones que había realizado para dar cumplimiento a las recomendaciones de la Comisión y le solicitó no someter el caso a la Corte a la luz de dichos avances</w:t>
      </w:r>
      <w:r w:rsidR="00C60E73" w:rsidRPr="00C60E73">
        <w:rPr>
          <w:rFonts w:ascii="Verdana" w:hAnsi="Verdana"/>
          <w:sz w:val="20"/>
          <w:szCs w:val="20"/>
          <w:lang w:val="es-CR"/>
        </w:rPr>
        <w:t>.</w:t>
      </w:r>
    </w:p>
    <w:p w14:paraId="3DEE81A9" w14:textId="77777777" w:rsidR="00ED24B0" w:rsidRPr="00ED24B0" w:rsidRDefault="00ED24B0" w:rsidP="004330E3">
      <w:pPr>
        <w:jc w:val="both"/>
        <w:rPr>
          <w:rFonts w:ascii="Verdana" w:hAnsi="Verdana"/>
          <w:sz w:val="20"/>
          <w:szCs w:val="20"/>
        </w:rPr>
      </w:pPr>
    </w:p>
    <w:p w14:paraId="691EB1CB" w14:textId="307C7DC7" w:rsidR="00684CFF" w:rsidRPr="00684CFF" w:rsidRDefault="00684CFF" w:rsidP="004330E3">
      <w:pPr>
        <w:pStyle w:val="Prrafodelista"/>
        <w:widowControl/>
        <w:numPr>
          <w:ilvl w:val="0"/>
          <w:numId w:val="28"/>
        </w:numPr>
        <w:spacing w:after="0" w:line="240" w:lineRule="auto"/>
        <w:ind w:left="0" w:firstLine="0"/>
        <w:jc w:val="both"/>
        <w:rPr>
          <w:rFonts w:ascii="Verdana" w:hAnsi="Verdana"/>
          <w:sz w:val="20"/>
          <w:szCs w:val="20"/>
          <w:lang w:val="es-CR"/>
        </w:rPr>
      </w:pPr>
      <w:r w:rsidRPr="00684CFF">
        <w:rPr>
          <w:rFonts w:ascii="Verdana" w:hAnsi="Verdana"/>
          <w:i/>
          <w:sz w:val="20"/>
          <w:szCs w:val="20"/>
          <w:lang w:val="es-CR"/>
        </w:rPr>
        <w:t>Sometimiento a la Corte</w:t>
      </w:r>
      <w:r w:rsidRPr="00684CFF">
        <w:rPr>
          <w:rFonts w:ascii="Verdana" w:hAnsi="Verdana"/>
          <w:sz w:val="20"/>
          <w:szCs w:val="20"/>
          <w:lang w:val="es-CR"/>
        </w:rPr>
        <w:t>. – El 3 de febrero de 2021, la Comisión sometió a la Corte la totalidad de los hechos y violaciones a derechos humanos del caso</w:t>
      </w:r>
      <w:r w:rsidRPr="0094448B">
        <w:rPr>
          <w:rStyle w:val="Refdenotaalpie"/>
          <w:rFonts w:ascii="Verdana" w:hAnsi="Verdana"/>
          <w:sz w:val="20"/>
          <w:szCs w:val="20"/>
        </w:rPr>
        <w:footnoteReference w:id="4"/>
      </w:r>
      <w:r w:rsidRPr="00684CFF">
        <w:rPr>
          <w:rFonts w:ascii="Verdana" w:hAnsi="Verdana"/>
          <w:sz w:val="20"/>
          <w:szCs w:val="20"/>
          <w:lang w:val="es-CR"/>
        </w:rPr>
        <w:t>. Lo hizo, según indicó, por la necesidad de obtención de justicia y reparación para la</w:t>
      </w:r>
      <w:r w:rsidR="00047028">
        <w:rPr>
          <w:rFonts w:ascii="Verdana" w:hAnsi="Verdana"/>
          <w:sz w:val="20"/>
          <w:szCs w:val="20"/>
          <w:lang w:val="es-CR"/>
        </w:rPr>
        <w:t>s presuntas</w:t>
      </w:r>
      <w:r w:rsidRPr="00684CFF">
        <w:rPr>
          <w:rFonts w:ascii="Verdana" w:hAnsi="Verdana"/>
          <w:sz w:val="20"/>
          <w:szCs w:val="20"/>
          <w:lang w:val="es-CR"/>
        </w:rPr>
        <w:t xml:space="preserve"> víctima</w:t>
      </w:r>
      <w:r w:rsidR="00047028">
        <w:rPr>
          <w:rFonts w:ascii="Verdana" w:hAnsi="Verdana"/>
          <w:sz w:val="20"/>
          <w:szCs w:val="20"/>
          <w:lang w:val="es-CR"/>
        </w:rPr>
        <w:t>s</w:t>
      </w:r>
      <w:r w:rsidRPr="00684CFF">
        <w:rPr>
          <w:rFonts w:ascii="Verdana" w:hAnsi="Verdana"/>
          <w:sz w:val="20"/>
          <w:szCs w:val="20"/>
          <w:lang w:val="es-CR"/>
        </w:rPr>
        <w:t>. Este Tribunal nota</w:t>
      </w:r>
      <w:r w:rsidR="00E26906">
        <w:rPr>
          <w:rFonts w:ascii="Verdana" w:hAnsi="Verdana"/>
          <w:sz w:val="20"/>
          <w:szCs w:val="20"/>
          <w:lang w:val="es-CR"/>
        </w:rPr>
        <w:t xml:space="preserve"> con preocupación</w:t>
      </w:r>
      <w:r w:rsidRPr="00684CFF">
        <w:rPr>
          <w:rFonts w:ascii="Verdana" w:hAnsi="Verdana"/>
          <w:sz w:val="20"/>
          <w:szCs w:val="20"/>
          <w:lang w:val="es-CR"/>
        </w:rPr>
        <w:t xml:space="preserve"> que, entre la presentación de la petición inicial ante la Comisión, y el </w:t>
      </w:r>
      <w:r w:rsidRPr="00684CFF">
        <w:rPr>
          <w:rFonts w:ascii="Verdana" w:hAnsi="Verdana"/>
          <w:sz w:val="20"/>
          <w:szCs w:val="20"/>
          <w:lang w:val="es-CR"/>
        </w:rPr>
        <w:lastRenderedPageBreak/>
        <w:t xml:space="preserve">sometimiento del caso ante la Corte, </w:t>
      </w:r>
      <w:r w:rsidR="00E26906">
        <w:rPr>
          <w:rFonts w:ascii="Verdana" w:hAnsi="Verdana"/>
          <w:sz w:val="20"/>
          <w:szCs w:val="20"/>
          <w:lang w:val="es-CR"/>
        </w:rPr>
        <w:t>transcurrieron más de</w:t>
      </w:r>
      <w:r w:rsidRPr="00684CFF">
        <w:rPr>
          <w:rFonts w:ascii="Verdana" w:hAnsi="Verdana"/>
          <w:sz w:val="20"/>
          <w:szCs w:val="20"/>
          <w:lang w:val="es-CR"/>
        </w:rPr>
        <w:t xml:space="preserve"> </w:t>
      </w:r>
      <w:r w:rsidRPr="00684CFF">
        <w:rPr>
          <w:rFonts w:ascii="Verdana" w:hAnsi="Verdana"/>
          <w:bCs/>
          <w:sz w:val="20"/>
          <w:szCs w:val="20"/>
          <w:lang w:val="es-CR"/>
        </w:rPr>
        <w:t>24 años</w:t>
      </w:r>
      <w:r w:rsidR="007476A3">
        <w:rPr>
          <w:rFonts w:ascii="Verdana" w:hAnsi="Verdana"/>
          <w:sz w:val="20"/>
          <w:szCs w:val="20"/>
          <w:lang w:val="es-CR"/>
        </w:rPr>
        <w:t xml:space="preserve">, </w:t>
      </w:r>
      <w:r w:rsidR="007476A3" w:rsidRPr="009016DC">
        <w:rPr>
          <w:rFonts w:ascii="Verdana" w:hAnsi="Verdana"/>
          <w:sz w:val="20"/>
          <w:szCs w:val="20"/>
          <w:lang w:val="es-CR"/>
        </w:rPr>
        <w:t xml:space="preserve">más </w:t>
      </w:r>
      <w:r w:rsidR="00047028" w:rsidRPr="0080558A">
        <w:rPr>
          <w:rFonts w:ascii="Verdana" w:hAnsi="Verdana"/>
          <w:sz w:val="20"/>
          <w:szCs w:val="20"/>
          <w:lang w:val="es-CR"/>
        </w:rPr>
        <w:t>aún</w:t>
      </w:r>
      <w:r w:rsidR="007476A3" w:rsidRPr="009016DC">
        <w:rPr>
          <w:rFonts w:ascii="Verdana" w:hAnsi="Verdana"/>
          <w:sz w:val="20"/>
          <w:szCs w:val="20"/>
          <w:lang w:val="es-CR"/>
        </w:rPr>
        <w:t xml:space="preserve"> considerando que el objeto del presente caso incluye alegatos relacionados con la posible situación de apatridia de una presunta víctima.</w:t>
      </w:r>
      <w:r w:rsidR="007476A3">
        <w:rPr>
          <w:rFonts w:ascii="Verdana" w:hAnsi="Verdana"/>
          <w:sz w:val="20"/>
          <w:szCs w:val="20"/>
          <w:lang w:val="es-CR"/>
        </w:rPr>
        <w:t xml:space="preserve"> </w:t>
      </w:r>
    </w:p>
    <w:p w14:paraId="5997A7CA" w14:textId="77777777" w:rsidR="00684CFF" w:rsidRPr="00684CFF" w:rsidRDefault="00684CFF" w:rsidP="004330E3">
      <w:pPr>
        <w:pStyle w:val="Prrafodelista"/>
        <w:spacing w:after="0" w:line="240" w:lineRule="auto"/>
        <w:rPr>
          <w:rFonts w:ascii="Verdana" w:hAnsi="Verdana"/>
          <w:sz w:val="20"/>
          <w:szCs w:val="20"/>
          <w:lang w:val="es-CR"/>
        </w:rPr>
      </w:pPr>
    </w:p>
    <w:p w14:paraId="2A0CD191" w14:textId="2A2FB15B" w:rsidR="00684CFF" w:rsidRPr="00684CFF" w:rsidRDefault="00684CFF" w:rsidP="004330E3">
      <w:pPr>
        <w:pStyle w:val="Prrafodelista"/>
        <w:widowControl/>
        <w:numPr>
          <w:ilvl w:val="0"/>
          <w:numId w:val="28"/>
        </w:numPr>
        <w:spacing w:after="0" w:line="240" w:lineRule="auto"/>
        <w:ind w:left="0" w:firstLine="0"/>
        <w:jc w:val="both"/>
        <w:rPr>
          <w:rFonts w:ascii="Verdana" w:hAnsi="Verdana"/>
          <w:sz w:val="20"/>
          <w:szCs w:val="20"/>
          <w:lang w:val="es-CR"/>
        </w:rPr>
      </w:pPr>
      <w:r w:rsidRPr="00684CFF">
        <w:rPr>
          <w:rFonts w:ascii="Verdana" w:hAnsi="Verdana"/>
          <w:i/>
          <w:sz w:val="20"/>
          <w:szCs w:val="20"/>
          <w:lang w:val="es-CR"/>
        </w:rPr>
        <w:t>Solicitudes de la Comisión.</w:t>
      </w:r>
      <w:r w:rsidRPr="00684CFF">
        <w:rPr>
          <w:rFonts w:ascii="Verdana" w:hAnsi="Verdana"/>
          <w:sz w:val="20"/>
          <w:szCs w:val="20"/>
          <w:lang w:val="es-CR"/>
        </w:rPr>
        <w:t xml:space="preserve"> – La Comisión solicitó a este Tribunal que concluyera y declarara la responsabilidad internacional de Argentina por las violaciones contenidas en el Informe de Fondo</w:t>
      </w:r>
      <w:r w:rsidR="00D075F6">
        <w:rPr>
          <w:rFonts w:ascii="Verdana" w:hAnsi="Verdana"/>
          <w:sz w:val="20"/>
          <w:szCs w:val="20"/>
          <w:lang w:val="es-CR"/>
        </w:rPr>
        <w:t>,</w:t>
      </w:r>
      <w:r w:rsidRPr="00684CFF">
        <w:rPr>
          <w:rFonts w:ascii="Verdana" w:hAnsi="Verdana"/>
          <w:sz w:val="20"/>
          <w:szCs w:val="20"/>
          <w:lang w:val="es-CR"/>
        </w:rPr>
        <w:t xml:space="preserve"> y que ordenara al Estado, como medidas de reparación, las incluidas en dicho Informe.</w:t>
      </w:r>
    </w:p>
    <w:p w14:paraId="48D071B4" w14:textId="77777777" w:rsidR="00684CFF" w:rsidRPr="00684CFF" w:rsidRDefault="00684CFF" w:rsidP="004330E3">
      <w:pPr>
        <w:pStyle w:val="Prrafodelista"/>
        <w:spacing w:after="0" w:line="240" w:lineRule="auto"/>
        <w:ind w:left="0"/>
        <w:jc w:val="center"/>
        <w:rPr>
          <w:rFonts w:ascii="Verdana" w:hAnsi="Verdana"/>
          <w:sz w:val="20"/>
          <w:szCs w:val="20"/>
          <w:lang w:val="es-CR"/>
        </w:rPr>
      </w:pPr>
    </w:p>
    <w:p w14:paraId="7FA6F1E9" w14:textId="77777777" w:rsidR="00684CFF" w:rsidRPr="009F75A2" w:rsidRDefault="00684CFF" w:rsidP="004330E3">
      <w:pPr>
        <w:pStyle w:val="Ttulo1"/>
      </w:pPr>
      <w:bookmarkStart w:id="5" w:name="_Toc115167419"/>
      <w:r w:rsidRPr="009F75A2">
        <w:t>II</w:t>
      </w:r>
      <w:r w:rsidRPr="009F75A2">
        <w:br/>
        <w:t>PROCEDIMIENTO ANTE LA CORTE</w:t>
      </w:r>
      <w:bookmarkEnd w:id="5"/>
    </w:p>
    <w:p w14:paraId="429B6A96" w14:textId="77777777" w:rsidR="00684CFF" w:rsidRPr="009F75A2" w:rsidRDefault="00684CFF" w:rsidP="004330E3">
      <w:pPr>
        <w:pStyle w:val="Prrafodelista"/>
        <w:spacing w:after="0" w:line="240" w:lineRule="auto"/>
        <w:ind w:left="0"/>
        <w:rPr>
          <w:rFonts w:ascii="Verdana" w:hAnsi="Verdana"/>
          <w:sz w:val="20"/>
          <w:szCs w:val="20"/>
        </w:rPr>
      </w:pPr>
    </w:p>
    <w:p w14:paraId="5F54C88B" w14:textId="4D4D8D63" w:rsidR="00684CFF" w:rsidRPr="006A0FBD" w:rsidRDefault="00684CFF" w:rsidP="004330E3">
      <w:pPr>
        <w:pStyle w:val="Prrafodelista"/>
        <w:widowControl/>
        <w:numPr>
          <w:ilvl w:val="0"/>
          <w:numId w:val="28"/>
        </w:numPr>
        <w:spacing w:after="0" w:line="240" w:lineRule="auto"/>
        <w:ind w:left="0" w:firstLine="0"/>
        <w:jc w:val="both"/>
        <w:rPr>
          <w:rFonts w:ascii="Verdana" w:hAnsi="Verdana"/>
          <w:sz w:val="20"/>
          <w:szCs w:val="20"/>
          <w:lang w:val="es-CR"/>
        </w:rPr>
      </w:pPr>
      <w:r w:rsidRPr="00684CFF">
        <w:rPr>
          <w:rFonts w:ascii="Verdana" w:hAnsi="Verdana"/>
          <w:i/>
          <w:sz w:val="20"/>
          <w:szCs w:val="20"/>
          <w:lang w:val="es-CR"/>
        </w:rPr>
        <w:t>Notificación al Estado y a los representantes.</w:t>
      </w:r>
      <w:r w:rsidRPr="00684CFF">
        <w:rPr>
          <w:rFonts w:ascii="Verdana" w:hAnsi="Verdana"/>
          <w:sz w:val="20"/>
          <w:szCs w:val="20"/>
          <w:lang w:val="es-CR"/>
        </w:rPr>
        <w:t xml:space="preserve"> – El sometimiento del caso fue notificado a los representantes y al Estado el 14 de junio de 2021</w:t>
      </w:r>
      <w:r w:rsidR="00140441" w:rsidRPr="006A0FBD">
        <w:rPr>
          <w:rFonts w:ascii="Verdana" w:hAnsi="Verdana"/>
          <w:sz w:val="20"/>
          <w:szCs w:val="20"/>
          <w:lang w:val="es-CR"/>
        </w:rPr>
        <w:t>.</w:t>
      </w:r>
    </w:p>
    <w:p w14:paraId="529E6459" w14:textId="77777777" w:rsidR="00684CFF" w:rsidRPr="006A0FBD" w:rsidRDefault="00684CFF" w:rsidP="004330E3">
      <w:pPr>
        <w:pStyle w:val="Prrafodelista"/>
        <w:spacing w:after="0" w:line="240" w:lineRule="auto"/>
        <w:ind w:left="0"/>
        <w:jc w:val="both"/>
        <w:rPr>
          <w:rFonts w:ascii="Verdana" w:hAnsi="Verdana"/>
          <w:sz w:val="20"/>
          <w:szCs w:val="20"/>
          <w:lang w:val="es-CR"/>
        </w:rPr>
      </w:pPr>
    </w:p>
    <w:p w14:paraId="217C7ABB" w14:textId="36084725" w:rsidR="00684CFF" w:rsidRPr="00684CFF" w:rsidRDefault="00684CFF" w:rsidP="004330E3">
      <w:pPr>
        <w:pStyle w:val="Prrafodelista"/>
        <w:widowControl/>
        <w:numPr>
          <w:ilvl w:val="0"/>
          <w:numId w:val="28"/>
        </w:numPr>
        <w:spacing w:after="0" w:line="240" w:lineRule="auto"/>
        <w:ind w:left="0" w:firstLine="0"/>
        <w:jc w:val="both"/>
        <w:rPr>
          <w:rFonts w:ascii="Verdana" w:hAnsi="Verdana"/>
          <w:sz w:val="20"/>
          <w:szCs w:val="20"/>
          <w:lang w:val="es-CR"/>
        </w:rPr>
      </w:pPr>
      <w:r w:rsidRPr="00684CFF">
        <w:rPr>
          <w:rFonts w:ascii="Verdana" w:hAnsi="Verdana"/>
          <w:i/>
          <w:sz w:val="20"/>
          <w:szCs w:val="20"/>
          <w:lang w:val="es-CR"/>
        </w:rPr>
        <w:t>Escrito de solicitudes, argumentos y pruebas.</w:t>
      </w:r>
      <w:r w:rsidRPr="00684CFF">
        <w:rPr>
          <w:rFonts w:ascii="Verdana" w:hAnsi="Verdana"/>
          <w:sz w:val="20"/>
          <w:szCs w:val="20"/>
          <w:lang w:val="es-CR"/>
        </w:rPr>
        <w:t xml:space="preserve"> – </w:t>
      </w:r>
      <w:r>
        <w:rPr>
          <w:rFonts w:ascii="Verdana" w:hAnsi="Verdana"/>
          <w:sz w:val="20"/>
          <w:szCs w:val="20"/>
          <w:lang w:val="es-ES_tradnl"/>
        </w:rPr>
        <w:t>E</w:t>
      </w:r>
      <w:r w:rsidRPr="00684CFF">
        <w:rPr>
          <w:rFonts w:ascii="Verdana" w:hAnsi="Verdana"/>
          <w:sz w:val="20"/>
          <w:szCs w:val="20"/>
          <w:lang w:val="es-CR"/>
        </w:rPr>
        <w:t>l 12 de agosto de 2021, los representantes presentaron su escrito de solicitudes, argumentos y pruebas (en adelante “escrito de solicitudes y argumentos”), conforme a los artículos 25 y 40 del Reglamento</w:t>
      </w:r>
      <w:r w:rsidRPr="0094448B">
        <w:rPr>
          <w:rStyle w:val="Refdenotaalpie"/>
          <w:rFonts w:ascii="Verdana" w:hAnsi="Verdana"/>
          <w:sz w:val="20"/>
          <w:szCs w:val="16"/>
        </w:rPr>
        <w:footnoteReference w:id="5"/>
      </w:r>
      <w:r w:rsidR="006A0FBD">
        <w:rPr>
          <w:rFonts w:ascii="Verdana" w:hAnsi="Verdana"/>
          <w:sz w:val="20"/>
          <w:szCs w:val="20"/>
          <w:lang w:val="es-CR"/>
        </w:rPr>
        <w:t>.</w:t>
      </w:r>
      <w:r w:rsidRPr="00684CFF">
        <w:rPr>
          <w:rFonts w:ascii="Verdana" w:hAnsi="Verdana"/>
          <w:sz w:val="20"/>
          <w:szCs w:val="20"/>
          <w:lang w:val="es-CR"/>
        </w:rPr>
        <w:t xml:space="preserve"> Los representantes coincidieron sustancialmente con los alegatos de la Comisión, y realizaron alegatos adicionales respecto al fondo. </w:t>
      </w:r>
      <w:r w:rsidRPr="00613456">
        <w:rPr>
          <w:rFonts w:ascii="Verdana" w:hAnsi="Verdana"/>
          <w:sz w:val="20"/>
          <w:szCs w:val="20"/>
          <w:lang w:val="es-CR"/>
        </w:rPr>
        <w:t xml:space="preserve">Alegaron, </w:t>
      </w:r>
      <w:r w:rsidR="00404071">
        <w:rPr>
          <w:rFonts w:ascii="Verdana" w:hAnsi="Verdana"/>
          <w:sz w:val="20"/>
          <w:szCs w:val="20"/>
          <w:lang w:val="es-CR"/>
        </w:rPr>
        <w:t>específicamente</w:t>
      </w:r>
      <w:r w:rsidRPr="00613456">
        <w:rPr>
          <w:rFonts w:ascii="Verdana" w:hAnsi="Verdana"/>
          <w:sz w:val="20"/>
          <w:szCs w:val="20"/>
          <w:lang w:val="es-CR"/>
        </w:rPr>
        <w:t>, que el Estado viol</w:t>
      </w:r>
      <w:r w:rsidR="00404071">
        <w:rPr>
          <w:rFonts w:ascii="Verdana" w:hAnsi="Verdana"/>
          <w:sz w:val="20"/>
          <w:szCs w:val="20"/>
          <w:lang w:val="es-CR"/>
        </w:rPr>
        <w:t>ó</w:t>
      </w:r>
      <w:r w:rsidRPr="00613456">
        <w:rPr>
          <w:rFonts w:ascii="Verdana" w:hAnsi="Verdana"/>
          <w:sz w:val="20"/>
          <w:szCs w:val="20"/>
          <w:lang w:val="es-CR"/>
        </w:rPr>
        <w:t xml:space="preserve"> el artículo 24 de la Convención Americana</w:t>
      </w:r>
      <w:r w:rsidR="006A0FBD" w:rsidRPr="006A0FBD">
        <w:rPr>
          <w:rFonts w:ascii="Verdana" w:hAnsi="Verdana"/>
          <w:sz w:val="20"/>
          <w:szCs w:val="20"/>
          <w:lang w:val="es-CR"/>
        </w:rPr>
        <w:t>.</w:t>
      </w:r>
      <w:r w:rsidRPr="00684CFF">
        <w:rPr>
          <w:rFonts w:ascii="Verdana" w:hAnsi="Verdana"/>
          <w:b/>
          <w:bCs/>
          <w:sz w:val="20"/>
          <w:szCs w:val="20"/>
          <w:lang w:val="es-CR"/>
        </w:rPr>
        <w:t xml:space="preserve"> </w:t>
      </w:r>
      <w:r w:rsidRPr="00684CFF">
        <w:rPr>
          <w:rFonts w:ascii="Verdana" w:hAnsi="Verdana"/>
          <w:sz w:val="20"/>
          <w:szCs w:val="20"/>
          <w:lang w:val="es-CR"/>
        </w:rPr>
        <w:t xml:space="preserve">Asimismo, solicitaron que se ordenara a Argentina adoptar diversas medidas de reparación complementarias a las solicitadas por la Comisión. </w:t>
      </w:r>
    </w:p>
    <w:p w14:paraId="3F7D2DF4" w14:textId="77777777" w:rsidR="00684CFF" w:rsidRPr="00684CFF" w:rsidRDefault="00684CFF" w:rsidP="004330E3">
      <w:pPr>
        <w:pStyle w:val="Prrafodelista"/>
        <w:spacing w:after="0" w:line="240" w:lineRule="auto"/>
        <w:ind w:left="0"/>
        <w:rPr>
          <w:rFonts w:ascii="Verdana" w:hAnsi="Verdana"/>
          <w:sz w:val="20"/>
          <w:szCs w:val="20"/>
          <w:lang w:val="es-CR"/>
        </w:rPr>
      </w:pPr>
    </w:p>
    <w:p w14:paraId="71822451" w14:textId="418AED22" w:rsidR="00446D17" w:rsidRPr="00446D17" w:rsidRDefault="00684CFF" w:rsidP="004330E3">
      <w:pPr>
        <w:pStyle w:val="Prrafodelista"/>
        <w:widowControl/>
        <w:numPr>
          <w:ilvl w:val="0"/>
          <w:numId w:val="28"/>
        </w:numPr>
        <w:spacing w:after="0" w:line="240" w:lineRule="auto"/>
        <w:ind w:left="0" w:firstLine="0"/>
        <w:jc w:val="both"/>
        <w:rPr>
          <w:rFonts w:ascii="Verdana" w:hAnsi="Verdana"/>
          <w:sz w:val="20"/>
          <w:szCs w:val="20"/>
          <w:lang w:val="es-CR"/>
        </w:rPr>
      </w:pPr>
      <w:r w:rsidRPr="00684CFF">
        <w:rPr>
          <w:rFonts w:ascii="Verdana" w:hAnsi="Verdana"/>
          <w:i/>
          <w:sz w:val="20"/>
          <w:szCs w:val="20"/>
          <w:lang w:val="es-CR"/>
        </w:rPr>
        <w:t xml:space="preserve">Escrito de excepciones preliminares y contestación. </w:t>
      </w:r>
      <w:r w:rsidRPr="00684CFF">
        <w:rPr>
          <w:rFonts w:ascii="Verdana" w:hAnsi="Verdana"/>
          <w:sz w:val="20"/>
          <w:szCs w:val="20"/>
          <w:lang w:val="es-CR"/>
        </w:rPr>
        <w:t>– El 1 de noviembre de 2021, el Estado presentó su escrito de excepciones preliminares y contestación al sometimiento del caso e Informe de Fondo y al escrito de solicitudes y argumentos (en adelante “escrito de contestación”), en los términos del artículo 41 del Reglamento del Tribunal</w:t>
      </w:r>
      <w:r w:rsidRPr="0094448B">
        <w:rPr>
          <w:rStyle w:val="Refdenotaalpie"/>
          <w:rFonts w:ascii="Verdana" w:hAnsi="Verdana"/>
          <w:sz w:val="20"/>
          <w:szCs w:val="16"/>
          <w:lang w:val="es-ES_tradnl"/>
        </w:rPr>
        <w:footnoteReference w:id="6"/>
      </w:r>
      <w:r w:rsidR="007C099E" w:rsidRPr="007C099E">
        <w:rPr>
          <w:rFonts w:ascii="Verdana" w:hAnsi="Verdana"/>
          <w:sz w:val="20"/>
          <w:szCs w:val="20"/>
          <w:lang w:val="es-CR"/>
        </w:rPr>
        <w:t>.</w:t>
      </w:r>
      <w:r w:rsidRPr="007C099E">
        <w:rPr>
          <w:rFonts w:ascii="Verdana" w:hAnsi="Verdana"/>
          <w:b/>
          <w:bCs/>
          <w:sz w:val="20"/>
          <w:szCs w:val="20"/>
          <w:lang w:val="es-CR"/>
        </w:rPr>
        <w:t xml:space="preserve"> </w:t>
      </w:r>
    </w:p>
    <w:p w14:paraId="1124E5D4" w14:textId="77777777" w:rsidR="00446D17" w:rsidRPr="00446D17" w:rsidRDefault="00446D17" w:rsidP="004330E3">
      <w:pPr>
        <w:pStyle w:val="Prrafodelista"/>
        <w:widowControl/>
        <w:spacing w:after="0" w:line="240" w:lineRule="auto"/>
        <w:ind w:left="0"/>
        <w:jc w:val="both"/>
        <w:rPr>
          <w:rFonts w:ascii="Verdana" w:hAnsi="Verdana"/>
          <w:sz w:val="20"/>
          <w:szCs w:val="20"/>
          <w:lang w:val="es-CR"/>
        </w:rPr>
      </w:pPr>
    </w:p>
    <w:p w14:paraId="1625ECB8" w14:textId="357D19E8" w:rsidR="00446D17" w:rsidRPr="00446D17" w:rsidRDefault="00446D17" w:rsidP="004330E3">
      <w:pPr>
        <w:pStyle w:val="Prrafodelista"/>
        <w:widowControl/>
        <w:numPr>
          <w:ilvl w:val="0"/>
          <w:numId w:val="28"/>
        </w:numPr>
        <w:spacing w:after="0" w:line="240" w:lineRule="auto"/>
        <w:ind w:left="0" w:firstLine="0"/>
        <w:jc w:val="both"/>
        <w:rPr>
          <w:rFonts w:ascii="Verdana" w:hAnsi="Verdana"/>
          <w:sz w:val="20"/>
          <w:szCs w:val="20"/>
          <w:lang w:val="es-CR"/>
        </w:rPr>
      </w:pPr>
      <w:r w:rsidRPr="00446D17">
        <w:rPr>
          <w:rFonts w:ascii="Verdana" w:hAnsi="Verdana"/>
          <w:i/>
          <w:iCs/>
          <w:sz w:val="20"/>
          <w:szCs w:val="20"/>
          <w:lang w:val="es-CR"/>
        </w:rPr>
        <w:t>Observaciones a las excepciones preliminares</w:t>
      </w:r>
      <w:r w:rsidRPr="00446D17">
        <w:rPr>
          <w:rFonts w:ascii="Verdana" w:hAnsi="Verdana"/>
          <w:sz w:val="20"/>
          <w:szCs w:val="20"/>
          <w:lang w:val="es-CR"/>
        </w:rPr>
        <w:t xml:space="preserve">. – El </w:t>
      </w:r>
      <w:r w:rsidR="007C0273" w:rsidRPr="00446D17">
        <w:rPr>
          <w:rFonts w:ascii="Verdana" w:hAnsi="Verdana"/>
          <w:sz w:val="20"/>
          <w:szCs w:val="20"/>
          <w:lang w:val="es-CR"/>
        </w:rPr>
        <w:t>2</w:t>
      </w:r>
      <w:r w:rsidR="007C0273">
        <w:rPr>
          <w:rFonts w:ascii="Verdana" w:hAnsi="Verdana"/>
          <w:sz w:val="20"/>
          <w:szCs w:val="20"/>
          <w:lang w:val="es-CR"/>
        </w:rPr>
        <w:t>6</w:t>
      </w:r>
      <w:r w:rsidR="007C0273" w:rsidRPr="00446D17">
        <w:rPr>
          <w:rFonts w:ascii="Verdana" w:hAnsi="Verdana"/>
          <w:sz w:val="20"/>
          <w:szCs w:val="20"/>
          <w:lang w:val="es-CR"/>
        </w:rPr>
        <w:t xml:space="preserve"> </w:t>
      </w:r>
      <w:r w:rsidRPr="00446D17">
        <w:rPr>
          <w:rFonts w:ascii="Verdana" w:hAnsi="Verdana"/>
          <w:sz w:val="20"/>
          <w:szCs w:val="20"/>
          <w:lang w:val="es-CR"/>
        </w:rPr>
        <w:t xml:space="preserve">de </w:t>
      </w:r>
      <w:r w:rsidR="00A753E3">
        <w:rPr>
          <w:rFonts w:ascii="Verdana" w:hAnsi="Verdana"/>
          <w:sz w:val="20"/>
          <w:szCs w:val="20"/>
          <w:lang w:val="es-CR"/>
        </w:rPr>
        <w:t>diciembre</w:t>
      </w:r>
      <w:r w:rsidRPr="00446D17">
        <w:rPr>
          <w:rFonts w:ascii="Verdana" w:hAnsi="Verdana"/>
          <w:sz w:val="20"/>
          <w:szCs w:val="20"/>
          <w:lang w:val="es-CR"/>
        </w:rPr>
        <w:t xml:space="preserve"> de 202</w:t>
      </w:r>
      <w:r w:rsidR="00A753E3">
        <w:rPr>
          <w:rFonts w:ascii="Verdana" w:hAnsi="Verdana"/>
          <w:sz w:val="20"/>
          <w:szCs w:val="20"/>
          <w:lang w:val="es-CR"/>
        </w:rPr>
        <w:t>1</w:t>
      </w:r>
      <w:r w:rsidR="00CA0EAD">
        <w:rPr>
          <w:rFonts w:ascii="Verdana" w:hAnsi="Verdana"/>
          <w:sz w:val="20"/>
          <w:szCs w:val="20"/>
          <w:lang w:val="es-CR"/>
        </w:rPr>
        <w:t>,</w:t>
      </w:r>
      <w:r w:rsidR="00DF03C1">
        <w:rPr>
          <w:rFonts w:ascii="Verdana" w:hAnsi="Verdana"/>
          <w:sz w:val="20"/>
          <w:szCs w:val="20"/>
          <w:lang w:val="es-CR"/>
        </w:rPr>
        <w:t xml:space="preserve"> y el 5 de enero de 2022</w:t>
      </w:r>
      <w:r w:rsidRPr="00446D17">
        <w:rPr>
          <w:rFonts w:ascii="Verdana" w:hAnsi="Verdana"/>
          <w:sz w:val="20"/>
          <w:szCs w:val="20"/>
          <w:lang w:val="es-CR"/>
        </w:rPr>
        <w:t xml:space="preserve">, </w:t>
      </w:r>
      <w:r w:rsidR="00A753E3">
        <w:rPr>
          <w:rFonts w:ascii="Verdana" w:hAnsi="Verdana"/>
          <w:sz w:val="20"/>
          <w:szCs w:val="20"/>
          <w:lang w:val="es-CR"/>
        </w:rPr>
        <w:t>los representantes</w:t>
      </w:r>
      <w:r w:rsidRPr="00446D17">
        <w:rPr>
          <w:rFonts w:ascii="Verdana" w:hAnsi="Verdana"/>
          <w:sz w:val="20"/>
          <w:szCs w:val="20"/>
          <w:lang w:val="es-CR"/>
        </w:rPr>
        <w:t xml:space="preserve"> y la </w:t>
      </w:r>
      <w:r w:rsidR="008E5A5E" w:rsidRPr="00446D17">
        <w:rPr>
          <w:rFonts w:ascii="Verdana" w:hAnsi="Verdana"/>
          <w:sz w:val="20"/>
          <w:szCs w:val="20"/>
          <w:lang w:val="es-CR"/>
        </w:rPr>
        <w:t>Comisión</w:t>
      </w:r>
      <w:r w:rsidRPr="00446D17">
        <w:rPr>
          <w:rFonts w:ascii="Verdana" w:hAnsi="Verdana"/>
          <w:sz w:val="20"/>
          <w:szCs w:val="20"/>
          <w:lang w:val="es-CR"/>
        </w:rPr>
        <w:t xml:space="preserve"> Interamericana presentaron, respectivamente, sus observaciones a las excepciones preliminares. </w:t>
      </w:r>
    </w:p>
    <w:p w14:paraId="463DE576" w14:textId="77777777" w:rsidR="00446D17" w:rsidRPr="009F75A2" w:rsidRDefault="00446D17" w:rsidP="004330E3">
      <w:pPr>
        <w:rPr>
          <w:rFonts w:ascii="Verdana" w:hAnsi="Verdana"/>
          <w:sz w:val="20"/>
          <w:szCs w:val="20"/>
        </w:rPr>
      </w:pPr>
    </w:p>
    <w:p w14:paraId="087FEA21" w14:textId="77777777" w:rsidR="00684CFF" w:rsidRPr="00684CFF" w:rsidRDefault="00684CFF" w:rsidP="004330E3">
      <w:pPr>
        <w:pStyle w:val="Prrafodelista"/>
        <w:widowControl/>
        <w:numPr>
          <w:ilvl w:val="0"/>
          <w:numId w:val="28"/>
        </w:numPr>
        <w:spacing w:after="0" w:line="240" w:lineRule="auto"/>
        <w:ind w:left="0" w:firstLine="0"/>
        <w:jc w:val="both"/>
        <w:rPr>
          <w:rFonts w:ascii="Verdana" w:hAnsi="Verdana"/>
          <w:sz w:val="20"/>
          <w:szCs w:val="20"/>
          <w:lang w:val="es-CR"/>
        </w:rPr>
      </w:pPr>
      <w:r w:rsidRPr="00684CFF">
        <w:rPr>
          <w:rFonts w:ascii="Verdana" w:hAnsi="Verdana"/>
          <w:i/>
          <w:sz w:val="20"/>
          <w:szCs w:val="20"/>
          <w:lang w:val="es-CR"/>
        </w:rPr>
        <w:t>Audiencia pública</w:t>
      </w:r>
      <w:r w:rsidRPr="00684CFF">
        <w:rPr>
          <w:rFonts w:ascii="Verdana" w:hAnsi="Verdana"/>
          <w:sz w:val="20"/>
          <w:szCs w:val="20"/>
          <w:lang w:val="es-CR"/>
        </w:rPr>
        <w:t xml:space="preserve">. – El 22 de febrero de 2022, el Presidente de la Corte dictó una Resolución en la que convocó a las partes y a la Comisión a una audiencia pública </w:t>
      </w:r>
      <w:r w:rsidRPr="009F75A2">
        <w:rPr>
          <w:rFonts w:ascii="Verdana" w:eastAsia="Verdana" w:hAnsi="Verdana" w:cs="Verdana"/>
          <w:spacing w:val="-1"/>
          <w:sz w:val="20"/>
          <w:szCs w:val="20"/>
          <w:lang w:val="es-ES"/>
        </w:rPr>
        <w:t xml:space="preserve">sobre </w:t>
      </w:r>
      <w:r>
        <w:rPr>
          <w:rFonts w:ascii="Verdana" w:eastAsia="Verdana" w:hAnsi="Verdana" w:cs="Verdana"/>
          <w:spacing w:val="-1"/>
          <w:sz w:val="20"/>
          <w:szCs w:val="20"/>
          <w:lang w:val="es-ES"/>
        </w:rPr>
        <w:t xml:space="preserve">las excepciones preliminares y </w:t>
      </w:r>
      <w:r w:rsidRPr="009F75A2">
        <w:rPr>
          <w:rFonts w:ascii="Verdana" w:eastAsia="Verdana" w:hAnsi="Verdana" w:cs="Verdana"/>
          <w:spacing w:val="-1"/>
          <w:sz w:val="20"/>
          <w:szCs w:val="20"/>
          <w:lang w:val="es-ES"/>
        </w:rPr>
        <w:t>eventuales fondo, reparaciones y costas, y para escuchar los alegatos y observaciones finales orales de las partes y de la Comisión, respectivamente</w:t>
      </w:r>
      <w:r w:rsidRPr="00853FDF">
        <w:rPr>
          <w:rStyle w:val="Refdenotaalpie"/>
          <w:rFonts w:ascii="Verdana" w:eastAsia="Verdana" w:hAnsi="Verdana" w:cs="Verdana"/>
          <w:spacing w:val="-1"/>
          <w:sz w:val="20"/>
          <w:szCs w:val="20"/>
        </w:rPr>
        <w:footnoteReference w:id="7"/>
      </w:r>
      <w:r w:rsidRPr="005C7DFD">
        <w:rPr>
          <w:rFonts w:ascii="Verdana" w:eastAsia="Verdana" w:hAnsi="Verdana" w:cs="Verdana"/>
          <w:spacing w:val="-1"/>
          <w:sz w:val="20"/>
          <w:szCs w:val="20"/>
          <w:lang w:val="es-ES"/>
        </w:rPr>
        <w:t>.</w:t>
      </w:r>
      <w:r w:rsidRPr="009F75A2">
        <w:rPr>
          <w:rFonts w:ascii="Verdana" w:eastAsia="Verdana" w:hAnsi="Verdana" w:cs="Verdana"/>
          <w:spacing w:val="-1"/>
          <w:sz w:val="20"/>
          <w:szCs w:val="20"/>
          <w:lang w:val="es-ES"/>
        </w:rPr>
        <w:t xml:space="preserve"> </w:t>
      </w:r>
      <w:r w:rsidRPr="009F75A2">
        <w:rPr>
          <w:rFonts w:ascii="Verdana" w:hAnsi="Verdana"/>
          <w:sz w:val="20"/>
          <w:szCs w:val="20"/>
          <w:lang w:val="es-ES_tradnl"/>
        </w:rPr>
        <w:t>Debido a las circunstancias excepcionales ocasionadas por la pandemia del COVID-19, la audiencia pública se llevó a cabo mediante videoconferencia, de conformidad con lo establecido en el Reglamento de la Corte</w:t>
      </w:r>
      <w:r w:rsidRPr="006E21EB">
        <w:rPr>
          <w:rFonts w:ascii="Verdana" w:hAnsi="Verdana"/>
          <w:sz w:val="20"/>
          <w:szCs w:val="20"/>
          <w:lang w:val="es-ES_tradnl"/>
        </w:rPr>
        <w:t xml:space="preserve">, </w:t>
      </w:r>
      <w:r w:rsidRPr="00684CFF">
        <w:rPr>
          <w:rFonts w:ascii="Verdana" w:hAnsi="Verdana"/>
          <w:sz w:val="20"/>
          <w:szCs w:val="20"/>
          <w:lang w:val="es-CR"/>
        </w:rPr>
        <w:t>el día 1 de abril de 2022, durante el 147° Período Ordinario de Sesiones de la Corte</w:t>
      </w:r>
      <w:r w:rsidRPr="00853FDF">
        <w:rPr>
          <w:rStyle w:val="Refdenotaalpie"/>
          <w:rFonts w:ascii="Verdana" w:hAnsi="Verdana"/>
          <w:sz w:val="20"/>
          <w:szCs w:val="16"/>
        </w:rPr>
        <w:footnoteReference w:id="8"/>
      </w:r>
      <w:r w:rsidRPr="00684CFF">
        <w:rPr>
          <w:rFonts w:ascii="Verdana" w:hAnsi="Verdana"/>
          <w:sz w:val="20"/>
          <w:szCs w:val="20"/>
          <w:lang w:val="es-CR"/>
        </w:rPr>
        <w:t>.</w:t>
      </w:r>
    </w:p>
    <w:p w14:paraId="2E45B387" w14:textId="77777777" w:rsidR="00684CFF" w:rsidRPr="00684CFF" w:rsidRDefault="00684CFF" w:rsidP="004330E3">
      <w:pPr>
        <w:pStyle w:val="Prrafodelista"/>
        <w:spacing w:after="0" w:line="240" w:lineRule="auto"/>
        <w:ind w:left="0"/>
        <w:jc w:val="both"/>
        <w:rPr>
          <w:rFonts w:ascii="Verdana" w:hAnsi="Verdana"/>
          <w:sz w:val="20"/>
          <w:szCs w:val="20"/>
          <w:lang w:val="es-CR"/>
        </w:rPr>
      </w:pPr>
    </w:p>
    <w:p w14:paraId="43051D15" w14:textId="77777777" w:rsidR="00684CFF" w:rsidRPr="00684CFF" w:rsidRDefault="00684CFF" w:rsidP="004330E3">
      <w:pPr>
        <w:pStyle w:val="Prrafodelista"/>
        <w:widowControl/>
        <w:numPr>
          <w:ilvl w:val="0"/>
          <w:numId w:val="28"/>
        </w:numPr>
        <w:spacing w:after="0" w:line="240" w:lineRule="auto"/>
        <w:ind w:left="0" w:firstLine="0"/>
        <w:jc w:val="both"/>
        <w:rPr>
          <w:rFonts w:ascii="Verdana" w:hAnsi="Verdana"/>
          <w:sz w:val="20"/>
          <w:szCs w:val="20"/>
          <w:lang w:val="es-CR"/>
        </w:rPr>
      </w:pPr>
      <w:r w:rsidRPr="00FE2035">
        <w:rPr>
          <w:rFonts w:ascii="Verdana" w:eastAsia="Verdana" w:hAnsi="Verdana" w:cs="Verdana"/>
          <w:i/>
          <w:spacing w:val="-1"/>
          <w:sz w:val="20"/>
          <w:szCs w:val="20"/>
          <w:lang w:val="es-MX"/>
        </w:rPr>
        <w:t>Amicus curiae</w:t>
      </w:r>
      <w:r w:rsidRPr="00FE2035">
        <w:rPr>
          <w:rFonts w:ascii="Verdana" w:eastAsia="Verdana" w:hAnsi="Verdana" w:cs="Verdana"/>
          <w:spacing w:val="-1"/>
          <w:sz w:val="20"/>
          <w:szCs w:val="20"/>
          <w:lang w:val="es-MX"/>
        </w:rPr>
        <w:t xml:space="preserve">. – El Tribunal recibió el escrito del </w:t>
      </w:r>
      <w:r w:rsidRPr="00684CFF">
        <w:rPr>
          <w:rFonts w:ascii="Verdana" w:hAnsi="Verdana" w:cs="Verdana"/>
          <w:sz w:val="20"/>
          <w:szCs w:val="20"/>
          <w:lang w:val="es-CR"/>
        </w:rPr>
        <w:t>Semillero de Litigio ante Sistemas</w:t>
      </w:r>
      <w:r w:rsidRPr="00684CFF">
        <w:rPr>
          <w:rFonts w:ascii="Verdana" w:hAnsi="Verdana"/>
          <w:sz w:val="20"/>
          <w:szCs w:val="20"/>
          <w:lang w:val="es-CR"/>
        </w:rPr>
        <w:t xml:space="preserve"> </w:t>
      </w:r>
      <w:r w:rsidRPr="00684CFF">
        <w:rPr>
          <w:rFonts w:ascii="Verdana" w:hAnsi="Verdana" w:cs="Verdana"/>
          <w:sz w:val="20"/>
          <w:szCs w:val="20"/>
          <w:lang w:val="es-CR"/>
        </w:rPr>
        <w:t>Internacionales de Protección de Derechos Humanos – SELIDH de la Facultad de Derecho y Ciencias Políticas de la Universidad de Antioquia</w:t>
      </w:r>
      <w:r w:rsidRPr="00FE2035">
        <w:rPr>
          <w:rFonts w:ascii="Verdana" w:eastAsia="Verdana" w:hAnsi="Verdana" w:cs="Verdana"/>
          <w:spacing w:val="-1"/>
          <w:sz w:val="20"/>
          <w:szCs w:val="20"/>
          <w:lang w:val="es-MX"/>
        </w:rPr>
        <w:t xml:space="preserve"> en calidad de </w:t>
      </w:r>
      <w:r w:rsidRPr="00FE2035">
        <w:rPr>
          <w:rFonts w:ascii="Verdana" w:eastAsia="Verdana" w:hAnsi="Verdana" w:cs="Verdana"/>
          <w:i/>
          <w:spacing w:val="-1"/>
          <w:sz w:val="20"/>
          <w:szCs w:val="20"/>
          <w:lang w:val="es-MX"/>
        </w:rPr>
        <w:t>amicus curiae</w:t>
      </w:r>
      <w:r w:rsidRPr="00853FDF">
        <w:rPr>
          <w:rStyle w:val="Refdenotaalpie"/>
          <w:rFonts w:ascii="Verdana" w:hAnsi="Verdana"/>
          <w:sz w:val="20"/>
          <w:szCs w:val="16"/>
        </w:rPr>
        <w:footnoteReference w:id="9"/>
      </w:r>
      <w:r w:rsidRPr="001363CA">
        <w:rPr>
          <w:rFonts w:ascii="Verdana" w:eastAsia="Verdana" w:hAnsi="Verdana" w:cs="Verdana"/>
          <w:iCs/>
          <w:spacing w:val="-1"/>
          <w:sz w:val="20"/>
          <w:szCs w:val="20"/>
          <w:lang w:val="es-MX"/>
        </w:rPr>
        <w:t>.</w:t>
      </w:r>
    </w:p>
    <w:p w14:paraId="36397CB5" w14:textId="77777777" w:rsidR="00684CFF" w:rsidRPr="009F75A2" w:rsidRDefault="00684CFF" w:rsidP="004330E3">
      <w:pPr>
        <w:rPr>
          <w:rFonts w:ascii="Verdana" w:hAnsi="Verdana"/>
          <w:sz w:val="20"/>
          <w:szCs w:val="20"/>
        </w:rPr>
      </w:pPr>
    </w:p>
    <w:p w14:paraId="5671E992" w14:textId="77777777" w:rsidR="00684CFF" w:rsidRPr="00684CFF" w:rsidRDefault="00684CFF" w:rsidP="004330E3">
      <w:pPr>
        <w:pStyle w:val="Prrafodelista"/>
        <w:widowControl/>
        <w:numPr>
          <w:ilvl w:val="0"/>
          <w:numId w:val="28"/>
        </w:numPr>
        <w:spacing w:after="0" w:line="240" w:lineRule="auto"/>
        <w:ind w:left="0" w:firstLine="0"/>
        <w:jc w:val="both"/>
        <w:rPr>
          <w:rFonts w:ascii="Verdana" w:hAnsi="Verdana"/>
          <w:sz w:val="20"/>
          <w:szCs w:val="20"/>
          <w:lang w:val="es-CR"/>
        </w:rPr>
      </w:pPr>
      <w:r w:rsidRPr="00684CFF">
        <w:rPr>
          <w:rFonts w:ascii="Verdana" w:hAnsi="Verdana"/>
          <w:i/>
          <w:sz w:val="20"/>
          <w:szCs w:val="20"/>
          <w:lang w:val="es-CR"/>
        </w:rPr>
        <w:t>Alegatos y observaciones finales escritos.</w:t>
      </w:r>
      <w:r w:rsidRPr="00684CFF">
        <w:rPr>
          <w:rFonts w:ascii="Verdana" w:hAnsi="Verdana"/>
          <w:sz w:val="20"/>
          <w:szCs w:val="20"/>
          <w:lang w:val="es-CR"/>
        </w:rPr>
        <w:t xml:space="preserve"> – El 30 de abril de 2022, los representantes presentaron sus alegatos finales escritos. El 2 de mayo de 2022, el Estado y la Comisión presentaron sus alegatos y observaciones finales escritas, respectivamente. </w:t>
      </w:r>
    </w:p>
    <w:p w14:paraId="6B1A5A42" w14:textId="77777777" w:rsidR="00684CFF" w:rsidRPr="00E6350F" w:rsidRDefault="00684CFF" w:rsidP="004330E3">
      <w:pPr>
        <w:rPr>
          <w:rFonts w:ascii="Verdana" w:hAnsi="Verdana"/>
          <w:sz w:val="20"/>
          <w:szCs w:val="20"/>
        </w:rPr>
      </w:pPr>
    </w:p>
    <w:p w14:paraId="35F3AB3B" w14:textId="56656ABF" w:rsidR="00C66E22" w:rsidRPr="00684CFF" w:rsidRDefault="00684CFF" w:rsidP="004330E3">
      <w:pPr>
        <w:pStyle w:val="Prrafodelista"/>
        <w:widowControl/>
        <w:numPr>
          <w:ilvl w:val="0"/>
          <w:numId w:val="28"/>
        </w:numPr>
        <w:spacing w:after="0" w:line="240" w:lineRule="auto"/>
        <w:ind w:left="0" w:firstLine="0"/>
        <w:jc w:val="both"/>
        <w:rPr>
          <w:rFonts w:ascii="Verdana" w:hAnsi="Verdana"/>
          <w:sz w:val="20"/>
          <w:szCs w:val="20"/>
          <w:lang w:val="es-CR"/>
        </w:rPr>
      </w:pPr>
      <w:r w:rsidRPr="00684CFF">
        <w:rPr>
          <w:rFonts w:ascii="Verdana" w:hAnsi="Verdana"/>
          <w:i/>
          <w:sz w:val="20"/>
          <w:szCs w:val="20"/>
          <w:lang w:val="es-CR"/>
        </w:rPr>
        <w:t>Deliberación del presente caso</w:t>
      </w:r>
      <w:r w:rsidRPr="00684CFF">
        <w:rPr>
          <w:rFonts w:ascii="Verdana" w:hAnsi="Verdana"/>
          <w:sz w:val="20"/>
          <w:szCs w:val="20"/>
          <w:lang w:val="es-CR"/>
        </w:rPr>
        <w:t>. - La Corte deliberó la presente Sentencia</w:t>
      </w:r>
      <w:r w:rsidR="004A730A">
        <w:rPr>
          <w:rFonts w:ascii="Verdana" w:hAnsi="Verdana"/>
          <w:sz w:val="20"/>
          <w:szCs w:val="20"/>
          <w:lang w:val="es-CR"/>
        </w:rPr>
        <w:t>, a través de una sesión virtual,</w:t>
      </w:r>
      <w:r w:rsidRPr="00684CFF">
        <w:rPr>
          <w:rFonts w:ascii="Verdana" w:hAnsi="Verdana"/>
          <w:sz w:val="20"/>
          <w:szCs w:val="20"/>
          <w:lang w:val="es-CR"/>
        </w:rPr>
        <w:t xml:space="preserve"> </w:t>
      </w:r>
      <w:r w:rsidR="004A730A">
        <w:rPr>
          <w:rFonts w:ascii="Verdana" w:hAnsi="Verdana"/>
          <w:sz w:val="20"/>
          <w:szCs w:val="20"/>
          <w:lang w:val="es-CR"/>
        </w:rPr>
        <w:t>el 31 de agosto</w:t>
      </w:r>
      <w:r w:rsidRPr="00684CFF">
        <w:rPr>
          <w:rFonts w:ascii="Verdana" w:hAnsi="Verdana"/>
          <w:sz w:val="20"/>
          <w:szCs w:val="20"/>
          <w:lang w:val="es-CR"/>
        </w:rPr>
        <w:t xml:space="preserve"> de 2022</w:t>
      </w:r>
      <w:r w:rsidR="007A110A">
        <w:rPr>
          <w:rFonts w:ascii="Verdana" w:hAnsi="Verdana"/>
          <w:sz w:val="20"/>
          <w:szCs w:val="20"/>
          <w:lang w:val="es-CR"/>
        </w:rPr>
        <w:t>.</w:t>
      </w:r>
    </w:p>
    <w:p w14:paraId="5FFCD42B" w14:textId="77777777" w:rsidR="00C66E22" w:rsidRPr="00DF1416" w:rsidRDefault="00C66E22" w:rsidP="004330E3">
      <w:pPr>
        <w:pStyle w:val="Prrafodelista"/>
        <w:spacing w:after="0" w:line="240" w:lineRule="auto"/>
        <w:ind w:left="0"/>
        <w:rPr>
          <w:rFonts w:ascii="Verdana" w:eastAsia="Verdana" w:hAnsi="Verdana" w:cs="Verdana"/>
          <w:b/>
          <w:sz w:val="20"/>
          <w:szCs w:val="20"/>
          <w:lang w:val="es-ES"/>
        </w:rPr>
      </w:pPr>
    </w:p>
    <w:p w14:paraId="01645861" w14:textId="77777777" w:rsidR="00C66E22" w:rsidRPr="00DF1416" w:rsidRDefault="00C66E22" w:rsidP="004330E3">
      <w:pPr>
        <w:pStyle w:val="Ttulo1"/>
      </w:pPr>
      <w:bookmarkStart w:id="7" w:name="_Toc47112940"/>
      <w:bookmarkStart w:id="8" w:name="_Toc88058615"/>
      <w:bookmarkStart w:id="9" w:name="_Toc115167420"/>
      <w:r w:rsidRPr="00DF1416">
        <w:t>III</w:t>
      </w:r>
      <w:r w:rsidRPr="00DF1416">
        <w:br/>
        <w:t>COMPETENCIA</w:t>
      </w:r>
      <w:bookmarkEnd w:id="7"/>
      <w:bookmarkEnd w:id="8"/>
      <w:bookmarkEnd w:id="9"/>
    </w:p>
    <w:p w14:paraId="019F4427" w14:textId="77777777" w:rsidR="00C66E22" w:rsidRPr="00DF1416" w:rsidRDefault="00C66E22" w:rsidP="004330E3">
      <w:pPr>
        <w:pStyle w:val="Prrafodelista"/>
        <w:spacing w:after="0" w:line="240" w:lineRule="auto"/>
        <w:ind w:left="0"/>
        <w:rPr>
          <w:rFonts w:ascii="Verdana" w:eastAsia="Verdana" w:hAnsi="Verdana" w:cs="Verdana"/>
          <w:spacing w:val="-1"/>
          <w:sz w:val="20"/>
          <w:szCs w:val="20"/>
          <w:lang w:val="es-ES"/>
        </w:rPr>
      </w:pPr>
    </w:p>
    <w:p w14:paraId="56064783" w14:textId="1C3E043B" w:rsidR="00C66E22" w:rsidRPr="00A31B44" w:rsidRDefault="00A31B44" w:rsidP="00D753D0">
      <w:pPr>
        <w:pStyle w:val="PrrafodeSentencia"/>
        <w:rPr>
          <w:rFonts w:ascii="Times New Roman" w:hAnsi="Times New Roman"/>
          <w:sz w:val="24"/>
          <w:szCs w:val="24"/>
        </w:rPr>
      </w:pPr>
      <w:r w:rsidRPr="00A31B44">
        <w:t xml:space="preserve">La Corte es competente para conocer el presente caso, en los términos del artículo 62.3 de la Convención Americana, en razón de que Argentina es Estado Parte de dicha Convención desde el 5 de septiembre de 1984 y reconoció la competencia contenciosa de este Tribunal en esa misma fecha. </w:t>
      </w:r>
    </w:p>
    <w:p w14:paraId="49F24C88" w14:textId="77777777" w:rsidR="00C66E22" w:rsidRPr="00DF1416" w:rsidRDefault="00C66E22" w:rsidP="004330E3">
      <w:pPr>
        <w:pStyle w:val="Prrafodelista"/>
        <w:widowControl/>
        <w:spacing w:after="0" w:line="240" w:lineRule="auto"/>
        <w:ind w:left="0"/>
        <w:jc w:val="both"/>
        <w:rPr>
          <w:rFonts w:ascii="Verdana" w:eastAsia="Verdana" w:hAnsi="Verdana" w:cs="Verdana"/>
          <w:spacing w:val="-1"/>
          <w:sz w:val="20"/>
          <w:szCs w:val="20"/>
          <w:lang w:val="es-ES"/>
        </w:rPr>
      </w:pPr>
    </w:p>
    <w:p w14:paraId="6F6EEA20" w14:textId="77777777" w:rsidR="00C66E22" w:rsidRPr="00DF1416" w:rsidRDefault="00C66E22" w:rsidP="004330E3">
      <w:pPr>
        <w:pStyle w:val="Ttulo1"/>
        <w:rPr>
          <w:bCs/>
        </w:rPr>
      </w:pPr>
      <w:bookmarkStart w:id="10" w:name="_Toc47112941"/>
      <w:bookmarkStart w:id="11" w:name="_Toc88058616"/>
      <w:bookmarkStart w:id="12" w:name="_Toc115167421"/>
      <w:r w:rsidRPr="00DF1416">
        <w:t>IV</w:t>
      </w:r>
      <w:r w:rsidRPr="00DF1416">
        <w:rPr>
          <w:lang w:eastAsia="es-CR"/>
        </w:rPr>
        <w:br/>
      </w:r>
      <w:r w:rsidRPr="00DF1416">
        <w:t>EXCEPCIONES PRELIMINARES</w:t>
      </w:r>
      <w:bookmarkEnd w:id="10"/>
      <w:bookmarkEnd w:id="11"/>
      <w:bookmarkEnd w:id="12"/>
    </w:p>
    <w:p w14:paraId="0D18BCF9" w14:textId="77777777" w:rsidR="00C66E22" w:rsidRPr="00DF1416" w:rsidRDefault="00C66E22" w:rsidP="004330E3">
      <w:pPr>
        <w:keepNext/>
        <w:keepLines/>
        <w:tabs>
          <w:tab w:val="left" w:pos="851"/>
        </w:tabs>
        <w:outlineLvl w:val="0"/>
        <w:rPr>
          <w:rFonts w:ascii="Verdana" w:hAnsi="Verdana"/>
          <w:bCs/>
          <w:caps/>
          <w:snapToGrid w:val="0"/>
          <w:sz w:val="20"/>
          <w:szCs w:val="20"/>
          <w:lang w:val="es-ES"/>
        </w:rPr>
      </w:pPr>
    </w:p>
    <w:p w14:paraId="4B78A54C" w14:textId="006B32A1" w:rsidR="00615205" w:rsidRPr="008A256A" w:rsidRDefault="00C66E22" w:rsidP="008A256A">
      <w:pPr>
        <w:pStyle w:val="NormalNumbered"/>
        <w:numPr>
          <w:ilvl w:val="0"/>
          <w:numId w:val="28"/>
        </w:numPr>
        <w:ind w:left="0" w:firstLine="0"/>
        <w:rPr>
          <w:snapToGrid w:val="0"/>
          <w:lang w:val="es-ES"/>
        </w:rPr>
      </w:pPr>
      <w:r w:rsidRPr="00D05A04">
        <w:rPr>
          <w:snapToGrid w:val="0"/>
          <w:lang w:val="es-ES"/>
        </w:rPr>
        <w:t xml:space="preserve">El Estado presentó </w:t>
      </w:r>
      <w:r w:rsidR="009F7CD5" w:rsidRPr="00D05A04">
        <w:rPr>
          <w:snapToGrid w:val="0"/>
          <w:lang w:val="es-ES"/>
        </w:rPr>
        <w:t>dos</w:t>
      </w:r>
      <w:r w:rsidRPr="00D05A04">
        <w:rPr>
          <w:snapToGrid w:val="0"/>
          <w:lang w:val="es-ES"/>
        </w:rPr>
        <w:t xml:space="preserve"> excepciones preliminares</w:t>
      </w:r>
      <w:r w:rsidR="008907BA">
        <w:rPr>
          <w:snapToGrid w:val="0"/>
          <w:lang w:val="es-ES"/>
        </w:rPr>
        <w:t>:</w:t>
      </w:r>
      <w:r w:rsidRPr="00D05A04">
        <w:rPr>
          <w:snapToGrid w:val="0"/>
          <w:lang w:val="es-ES"/>
        </w:rPr>
        <w:t xml:space="preserve"> a)</w:t>
      </w:r>
      <w:r w:rsidR="00615205">
        <w:rPr>
          <w:snapToGrid w:val="0"/>
          <w:lang w:val="es-ES"/>
        </w:rPr>
        <w:t xml:space="preserve"> </w:t>
      </w:r>
      <w:r w:rsidR="00615205">
        <w:rPr>
          <w:lang w:eastAsia="es-CR"/>
        </w:rPr>
        <w:t>excepción ante</w:t>
      </w:r>
      <w:r w:rsidR="00522950">
        <w:rPr>
          <w:lang w:eastAsia="es-CR"/>
        </w:rPr>
        <w:t xml:space="preserve"> la</w:t>
      </w:r>
      <w:r w:rsidR="00615205">
        <w:rPr>
          <w:lang w:eastAsia="es-CR"/>
        </w:rPr>
        <w:t xml:space="preserve"> </w:t>
      </w:r>
      <w:r w:rsidR="00615205" w:rsidRPr="00D05A04">
        <w:rPr>
          <w:snapToGrid w:val="0"/>
          <w:lang w:val="es-ES"/>
        </w:rPr>
        <w:t>ausencia de participación de las presuntas víctimas en el proceso</w:t>
      </w:r>
      <w:r w:rsidR="00652758">
        <w:rPr>
          <w:lang w:eastAsia="es-CR"/>
        </w:rPr>
        <w:t xml:space="preserve">, </w:t>
      </w:r>
      <w:r w:rsidR="00E03EDF">
        <w:rPr>
          <w:lang w:eastAsia="es-CR"/>
        </w:rPr>
        <w:t xml:space="preserve">y b) </w:t>
      </w:r>
      <w:r w:rsidR="00615205">
        <w:rPr>
          <w:snapToGrid w:val="0"/>
          <w:lang w:val="es-ES"/>
        </w:rPr>
        <w:t xml:space="preserve">excepción por </w:t>
      </w:r>
      <w:r w:rsidR="00615205" w:rsidRPr="00D05A04">
        <w:rPr>
          <w:lang w:eastAsia="es-CR"/>
        </w:rPr>
        <w:t>el carácter abstracto, hipotético-conjetural y/o insubsistente de las violaciones a los derechos alegadas</w:t>
      </w:r>
      <w:r w:rsidR="00E03EDF">
        <w:rPr>
          <w:snapToGrid w:val="0"/>
          <w:lang w:val="es-ES"/>
        </w:rPr>
        <w:t>.</w:t>
      </w:r>
      <w:r w:rsidR="00322E27">
        <w:rPr>
          <w:snapToGrid w:val="0"/>
          <w:lang w:val="es-ES"/>
        </w:rPr>
        <w:t xml:space="preserve"> Atendiendo a las características de los planteamientos del Estado, </w:t>
      </w:r>
      <w:r w:rsidR="00C53BE7">
        <w:rPr>
          <w:snapToGrid w:val="0"/>
          <w:lang w:val="es-ES"/>
        </w:rPr>
        <w:t xml:space="preserve">la Corte analizará </w:t>
      </w:r>
      <w:r w:rsidR="008A256A">
        <w:rPr>
          <w:snapToGrid w:val="0"/>
          <w:lang w:val="es-ES"/>
        </w:rPr>
        <w:t>dichos alegatos en conjunto.</w:t>
      </w:r>
    </w:p>
    <w:p w14:paraId="6E6A43BA" w14:textId="77777777" w:rsidR="00615205" w:rsidRPr="001119B4" w:rsidRDefault="00615205" w:rsidP="004330E3">
      <w:pPr>
        <w:rPr>
          <w:lang w:val="es-ES"/>
        </w:rPr>
      </w:pPr>
    </w:p>
    <w:p w14:paraId="3CE5F00A" w14:textId="66468D89" w:rsidR="00317558" w:rsidRPr="00317558" w:rsidRDefault="00856BC5" w:rsidP="00317558">
      <w:pPr>
        <w:pStyle w:val="Ttulo2"/>
      </w:pPr>
      <w:bookmarkStart w:id="13" w:name="_Toc88058624"/>
      <w:bookmarkStart w:id="14" w:name="_Toc115167422"/>
      <w:r>
        <w:t>A</w:t>
      </w:r>
      <w:r w:rsidR="00615205" w:rsidRPr="001119B4">
        <w:t>. Alegatos del Estado y observaciones de la Comisión y de l</w:t>
      </w:r>
      <w:r w:rsidR="00AC0181">
        <w:t>o</w:t>
      </w:r>
      <w:r w:rsidR="00615205" w:rsidRPr="001119B4">
        <w:t>s representantes</w:t>
      </w:r>
      <w:bookmarkEnd w:id="13"/>
      <w:bookmarkEnd w:id="14"/>
    </w:p>
    <w:p w14:paraId="1554B231" w14:textId="03A75036" w:rsidR="00317558" w:rsidRDefault="00317558" w:rsidP="00D753D0">
      <w:pPr>
        <w:pStyle w:val="PrrafodeSentencia"/>
        <w:numPr>
          <w:ilvl w:val="0"/>
          <w:numId w:val="0"/>
        </w:numPr>
      </w:pPr>
    </w:p>
    <w:p w14:paraId="44BCDC4B" w14:textId="66404859" w:rsidR="00317558" w:rsidRDefault="00317558" w:rsidP="00724600">
      <w:pPr>
        <w:pStyle w:val="Ttulo3"/>
      </w:pPr>
      <w:bookmarkStart w:id="15" w:name="_Toc115167423"/>
      <w:r>
        <w:t xml:space="preserve">A.1. </w:t>
      </w:r>
      <w:r w:rsidR="00724600">
        <w:rPr>
          <w:snapToGrid w:val="0"/>
        </w:rPr>
        <w:t>A</w:t>
      </w:r>
      <w:r w:rsidR="00724600" w:rsidRPr="00D05A04">
        <w:rPr>
          <w:snapToGrid w:val="0"/>
        </w:rPr>
        <w:t>usencia de participación de las presuntas víctimas en el proceso</w:t>
      </w:r>
      <w:r w:rsidR="00D74DE5">
        <w:rPr>
          <w:snapToGrid w:val="0"/>
        </w:rPr>
        <w:t xml:space="preserve"> y falta de </w:t>
      </w:r>
      <w:r w:rsidR="00FF7FD8">
        <w:rPr>
          <w:snapToGrid w:val="0"/>
        </w:rPr>
        <w:t>poderes de representación</w:t>
      </w:r>
      <w:bookmarkEnd w:id="15"/>
    </w:p>
    <w:p w14:paraId="0F2BE8F9" w14:textId="77777777" w:rsidR="00317558" w:rsidRDefault="00317558" w:rsidP="00D753D0">
      <w:pPr>
        <w:pStyle w:val="PrrafodeSentencia"/>
        <w:numPr>
          <w:ilvl w:val="0"/>
          <w:numId w:val="0"/>
        </w:numPr>
      </w:pPr>
    </w:p>
    <w:p w14:paraId="4801B53F" w14:textId="79E36352" w:rsidR="00615205" w:rsidRDefault="00615205" w:rsidP="00D753D0">
      <w:pPr>
        <w:pStyle w:val="PrrafodeSentencia"/>
      </w:pPr>
      <w:r w:rsidRPr="00C42E34">
        <w:t xml:space="preserve">El </w:t>
      </w:r>
      <w:r w:rsidRPr="00C42E34">
        <w:rPr>
          <w:b/>
          <w:i/>
        </w:rPr>
        <w:t>Estado</w:t>
      </w:r>
      <w:r w:rsidRPr="00C42E34">
        <w:t xml:space="preserve"> </w:t>
      </w:r>
      <w:r>
        <w:t>expresó que no existe documento alguno que acredite la participación de las presuntas víctimas en el proceso</w:t>
      </w:r>
      <w:r w:rsidR="003D2AB1">
        <w:t xml:space="preserve"> ante la Corte</w:t>
      </w:r>
      <w:r w:rsidR="00D427C2">
        <w:t>,</w:t>
      </w:r>
      <w:r>
        <w:t xml:space="preserve"> o</w:t>
      </w:r>
      <w:r w:rsidR="003D2AB1">
        <w:t xml:space="preserve"> que acredite</w:t>
      </w:r>
      <w:r>
        <w:t xml:space="preserve"> la representación de sus </w:t>
      </w:r>
      <w:r w:rsidR="003D2AB1">
        <w:t>abogados en dicho proceso</w:t>
      </w:r>
      <w:r>
        <w:t xml:space="preserve">. En ese sentido, afirmó que los representantes no tienen contacto con las presuntas víctimas. </w:t>
      </w:r>
      <w:r w:rsidR="006E1097">
        <w:t>De esta forma</w:t>
      </w:r>
      <w:r>
        <w:t>, sostuvo que no hay manifestación de la voluntad de las hijas e hijo de la señora Habbal</w:t>
      </w:r>
      <w:r w:rsidR="006E1097">
        <w:t xml:space="preserve"> de continuar con el proceso</w:t>
      </w:r>
      <w:r>
        <w:t>, ni se aportó información</w:t>
      </w:r>
      <w:r w:rsidR="006E1097">
        <w:t xml:space="preserve"> alguna</w:t>
      </w:r>
      <w:r>
        <w:t xml:space="preserve"> sobre el estado de sus vidas. En consecuencia, </w:t>
      </w:r>
      <w:r w:rsidR="00CB7AAD">
        <w:t>expuso que</w:t>
      </w:r>
      <w:r>
        <w:t xml:space="preserve"> la Corte debería de abstenerse de realizar pronunciamientos</w:t>
      </w:r>
      <w:r w:rsidR="009825FE">
        <w:t xml:space="preserve"> sobre</w:t>
      </w:r>
      <w:r>
        <w:t xml:space="preserve"> la totalidad de las alegadas violaciones a los derechos ocurridas en contra de las presuntas víctimas.</w:t>
      </w:r>
      <w:r w:rsidR="0077420D">
        <w:t xml:space="preserve"> </w:t>
      </w:r>
      <w:r w:rsidR="00CB7AAD">
        <w:t>Agregó</w:t>
      </w:r>
      <w:r w:rsidR="00A53A9F">
        <w:t xml:space="preserve"> que </w:t>
      </w:r>
      <w:r w:rsidR="0045492D">
        <w:t xml:space="preserve">no se tiene información sobre las hijas e hijo de la señora Habbal, por lo que solicitó que estos no sean </w:t>
      </w:r>
      <w:r w:rsidR="00992A6F">
        <w:t>considerados como presuntas víctimas del caso.</w:t>
      </w:r>
      <w:r w:rsidR="005E7678">
        <w:t xml:space="preserve"> </w:t>
      </w:r>
      <w:r w:rsidR="00CB1811">
        <w:t>Asimismo</w:t>
      </w:r>
      <w:r w:rsidR="005E7678">
        <w:t xml:space="preserve">, señaló que </w:t>
      </w:r>
      <w:r w:rsidR="00860807">
        <w:t>el poder otorgado hace 26 años por la señora Habbal</w:t>
      </w:r>
      <w:r w:rsidR="009825FE">
        <w:t xml:space="preserve"> a sus representantes</w:t>
      </w:r>
      <w:r w:rsidR="00860807">
        <w:t xml:space="preserve"> no nombra a sus hijas e hijo</w:t>
      </w:r>
      <w:r w:rsidR="0012446A">
        <w:t>, por lo que el hecho que los representantes aleguen actuar en nombre de ellos no es suficiente para acreditar su representación</w:t>
      </w:r>
      <w:r w:rsidR="007B1E91">
        <w:t xml:space="preserve">. Respecto de la señora Habbal, el Estado manifestó que no se cuenta con información de que haya participado </w:t>
      </w:r>
      <w:r w:rsidR="007B1E91">
        <w:lastRenderedPageBreak/>
        <w:t>en el trámite</w:t>
      </w:r>
      <w:r w:rsidR="003F0B1B">
        <w:t>, ni que exista una genu</w:t>
      </w:r>
      <w:r w:rsidR="001F5DB8">
        <w:t>i</w:t>
      </w:r>
      <w:r w:rsidR="003F0B1B">
        <w:t xml:space="preserve">na voluntad de </w:t>
      </w:r>
      <w:r w:rsidR="005F66A4">
        <w:t>que la demanda internacional sea llevada a cabo</w:t>
      </w:r>
      <w:r w:rsidR="0012446A">
        <w:t>.</w:t>
      </w:r>
    </w:p>
    <w:p w14:paraId="04932009" w14:textId="77777777" w:rsidR="00615205" w:rsidRDefault="00615205" w:rsidP="00D753D0">
      <w:pPr>
        <w:pStyle w:val="PrrafodeSentencia"/>
        <w:numPr>
          <w:ilvl w:val="0"/>
          <w:numId w:val="0"/>
        </w:numPr>
      </w:pPr>
    </w:p>
    <w:p w14:paraId="1B40AD33" w14:textId="6101A913" w:rsidR="00615205" w:rsidRPr="00AA00BB" w:rsidRDefault="00615205" w:rsidP="00D753D0">
      <w:pPr>
        <w:pStyle w:val="PrrafodeSentencia"/>
      </w:pPr>
      <w:r w:rsidRPr="00AA00BB">
        <w:t xml:space="preserve">La </w:t>
      </w:r>
      <w:r w:rsidRPr="00AA00BB">
        <w:rPr>
          <w:b/>
          <w:i/>
        </w:rPr>
        <w:t xml:space="preserve">Comisión </w:t>
      </w:r>
      <w:r w:rsidRPr="00AA00BB">
        <w:t>alegó que los argumentos del Estado se enmarcan en una discusión sobre la representación de las presuntas víctimas, el cual es un requisito para el trámite de un caso ante la Corte</w:t>
      </w:r>
      <w:r w:rsidR="00763B1C">
        <w:t>,</w:t>
      </w:r>
      <w:r w:rsidRPr="00AA00BB">
        <w:t xml:space="preserve"> más no una cuestión que afecte su competencia. En ese sentido,</w:t>
      </w:r>
      <w:r w:rsidR="00763B1C">
        <w:t xml:space="preserve"> señaló que</w:t>
      </w:r>
      <w:r w:rsidRPr="00AA00BB">
        <w:t xml:space="preserve"> no se trata de una excepción preliminar. Asimismo, respecto de la representación y voluntad de las presuntas víctimas para que el caso continúe, la Comisión señaló que la propia Corte ha establecido que, cuando una presunta víctima cuente con representación legal pero no se le ha localizado, puede afectar la determinación de reparaciones, pero no el trámite ni el conocimiento del caso.</w:t>
      </w:r>
      <w:r w:rsidR="00FC72B6">
        <w:t xml:space="preserve"> En ese sentido, la Comisión alegó que </w:t>
      </w:r>
      <w:r w:rsidR="0006367C">
        <w:t>en el caso las presuntas víctimas cuentan con un representante, como quedó demostrado por los poderes que se encuentran en el expediente</w:t>
      </w:r>
      <w:r w:rsidR="00891005">
        <w:t>,</w:t>
      </w:r>
      <w:r w:rsidR="004C25F1">
        <w:t xml:space="preserve"> y que demuestran </w:t>
      </w:r>
      <w:r w:rsidR="00747421">
        <w:t>su</w:t>
      </w:r>
      <w:r w:rsidR="00B74B4D">
        <w:t xml:space="preserve"> voluntad para ser representadas.</w:t>
      </w:r>
      <w:r w:rsidR="00891005">
        <w:t xml:space="preserve"> Además, alegó que aceptar un razonamiento como el planteado por el Estado conlleva </w:t>
      </w:r>
      <w:r w:rsidR="0089716B">
        <w:t>a una necesidad de ratificación de poderes que no han perdido efectos, lo que podría afectar desproporcionadamente a algunas de las víctimas ante el Sistema Interamericano, o a aquellas que hubieran enfrentado graves violaciones como desaparición forzada o ejecuciones extrajudiciales.</w:t>
      </w:r>
      <w:r w:rsidRPr="00AA00BB">
        <w:t xml:space="preserve"> Por lo anterior, la Comisión solicitó que se rechace la excepción preliminar planteada por el Estado.</w:t>
      </w:r>
    </w:p>
    <w:p w14:paraId="1B412C49" w14:textId="77777777" w:rsidR="00615205" w:rsidRPr="00AA00BB" w:rsidRDefault="00615205" w:rsidP="00D753D0">
      <w:pPr>
        <w:pStyle w:val="PrrafodeSentencia"/>
        <w:numPr>
          <w:ilvl w:val="0"/>
          <w:numId w:val="0"/>
        </w:numPr>
      </w:pPr>
    </w:p>
    <w:p w14:paraId="2E4CAD2F" w14:textId="528302CC" w:rsidR="00615205" w:rsidRPr="00AA00BB" w:rsidRDefault="00DF72D3" w:rsidP="00D753D0">
      <w:pPr>
        <w:pStyle w:val="PrrafodeSentencia"/>
      </w:pPr>
      <w:r>
        <w:t>Los</w:t>
      </w:r>
      <w:r w:rsidR="00615205" w:rsidRPr="00AA00BB">
        <w:t xml:space="preserve"> </w:t>
      </w:r>
      <w:r w:rsidR="00615205" w:rsidRPr="00AA00BB">
        <w:rPr>
          <w:b/>
          <w:i/>
        </w:rPr>
        <w:t>representante</w:t>
      </w:r>
      <w:r>
        <w:rPr>
          <w:b/>
          <w:i/>
        </w:rPr>
        <w:t>s</w:t>
      </w:r>
      <w:r w:rsidR="00615205" w:rsidRPr="00AA00BB">
        <w:rPr>
          <w:b/>
          <w:i/>
        </w:rPr>
        <w:t xml:space="preserve"> </w:t>
      </w:r>
      <w:r w:rsidR="00615205" w:rsidRPr="00AA00BB">
        <w:t>sostuv</w:t>
      </w:r>
      <w:r>
        <w:t>ieron</w:t>
      </w:r>
      <w:r w:rsidR="00615205" w:rsidRPr="00AA00BB">
        <w:t xml:space="preserve"> que su representación se encuentra cobijada por el poder especial que fue otorgado en su momento por la señora Habbal, y que fue presentado ante la Corte. Asimismo, </w:t>
      </w:r>
      <w:r>
        <w:t>alegaron</w:t>
      </w:r>
      <w:r w:rsidR="00615205" w:rsidRPr="00AA00BB">
        <w:t xml:space="preserve"> que </w:t>
      </w:r>
      <w:r w:rsidR="00B7481D">
        <w:t>el señor Varela actuó</w:t>
      </w:r>
      <w:r w:rsidR="00615205" w:rsidRPr="00AA00BB">
        <w:t xml:space="preserve"> durante todo el trámite ante la Comisión sobre la base de dicho poder, el cual se encuentra vigente. En ese sentido, consider</w:t>
      </w:r>
      <w:r w:rsidR="00B7481D">
        <w:t>aron</w:t>
      </w:r>
      <w:r w:rsidR="00615205" w:rsidRPr="00AA00BB">
        <w:t xml:space="preserve"> que se debe continuar con el juicio, aún en ausencia de las presuntas víctimas, pues el juicio en ausencia se encuentra prohibido cuando se trata </w:t>
      </w:r>
      <w:r w:rsidR="0070182F">
        <w:t xml:space="preserve">solo respecto </w:t>
      </w:r>
      <w:r w:rsidR="00615205" w:rsidRPr="00AA00BB">
        <w:t>del acusado</w:t>
      </w:r>
      <w:r w:rsidR="0070182F">
        <w:t xml:space="preserve"> y no de la víctima</w:t>
      </w:r>
      <w:r w:rsidR="00615205" w:rsidRPr="00AA00BB">
        <w:t xml:space="preserve">. Al respecto, </w:t>
      </w:r>
      <w:r w:rsidR="004F6244">
        <w:t>señalaron</w:t>
      </w:r>
      <w:r w:rsidR="00615205" w:rsidRPr="00AA00BB">
        <w:t xml:space="preserve"> que la Corte, en diversas decisiones, ha dictado sentencias en favor de personas ausentes para el resguardo del derecho de las presuntas víctimas</w:t>
      </w:r>
      <w:r w:rsidR="00524A4B">
        <w:t>,</w:t>
      </w:r>
      <w:r w:rsidR="00615205" w:rsidRPr="00AA00BB">
        <w:t xml:space="preserve"> a saber</w:t>
      </w:r>
      <w:r w:rsidR="00524A4B">
        <w:t xml:space="preserve"> </w:t>
      </w:r>
      <w:r w:rsidR="00615205" w:rsidRPr="00AA00BB">
        <w:t>la verdad y obtener una reparación.</w:t>
      </w:r>
      <w:r w:rsidR="0031367A">
        <w:t xml:space="preserve"> Adicionalmente, los representantes expresaron que</w:t>
      </w:r>
      <w:r w:rsidR="00524A4B">
        <w:t>,</w:t>
      </w:r>
      <w:r w:rsidR="0031367A">
        <w:t xml:space="preserve"> </w:t>
      </w:r>
      <w:r w:rsidR="007C3B1B">
        <w:t xml:space="preserve">a pesar de carecer de documentos de representanción de </w:t>
      </w:r>
      <w:r w:rsidR="009E33BC">
        <w:t>las hijas e hijo</w:t>
      </w:r>
      <w:r w:rsidR="007C3B1B">
        <w:t xml:space="preserve"> de la señora Habbal, </w:t>
      </w:r>
      <w:r w:rsidR="00463EBC">
        <w:t xml:space="preserve">estos </w:t>
      </w:r>
      <w:r w:rsidR="00524A4B">
        <w:t xml:space="preserve">deben </w:t>
      </w:r>
      <w:r w:rsidR="00463EBC">
        <w:t>se</w:t>
      </w:r>
      <w:r w:rsidR="00524A4B">
        <w:t>r</w:t>
      </w:r>
      <w:r w:rsidR="00463EBC">
        <w:t xml:space="preserve"> oídos para proteger el derecho a la tutela judicial efectiva</w:t>
      </w:r>
      <w:r w:rsidR="00524A4B">
        <w:t>,</w:t>
      </w:r>
      <w:r w:rsidR="00463EBC">
        <w:t xml:space="preserve"> como una posición más favorable al acceso a la justicia y al principio </w:t>
      </w:r>
      <w:r w:rsidR="00463EBC" w:rsidRPr="00DE4BC7">
        <w:rPr>
          <w:i/>
        </w:rPr>
        <w:t>pro-homine</w:t>
      </w:r>
      <w:r w:rsidR="00463EBC">
        <w:t>.</w:t>
      </w:r>
      <w:r w:rsidR="00E05151">
        <w:t xml:space="preserve"> Por otro lado, los representantes se</w:t>
      </w:r>
      <w:r w:rsidR="00E05151">
        <w:rPr>
          <w:lang w:val="es-ES"/>
        </w:rPr>
        <w:t>ñalaron que, conforme a</w:t>
      </w:r>
      <w:r w:rsidR="004307EF">
        <w:rPr>
          <w:lang w:val="es-ES"/>
        </w:rPr>
        <w:t xml:space="preserve">l principio de stoppel, </w:t>
      </w:r>
      <w:r w:rsidR="009820AC">
        <w:rPr>
          <w:lang w:val="es-ES"/>
        </w:rPr>
        <w:t>la posición del Estado debe ser rechazada pues no fue presentada en el momento procesal oportuno.</w:t>
      </w:r>
    </w:p>
    <w:p w14:paraId="4E9CB48C" w14:textId="621571C3" w:rsidR="00615205" w:rsidRDefault="00615205" w:rsidP="004330E3">
      <w:pPr>
        <w:widowControl w:val="0"/>
        <w:tabs>
          <w:tab w:val="left" w:pos="567"/>
        </w:tabs>
        <w:adjustRightInd w:val="0"/>
        <w:jc w:val="both"/>
        <w:textAlignment w:val="baseline"/>
        <w:rPr>
          <w:rFonts w:ascii="Verdana" w:hAnsi="Verdana"/>
          <w:strike/>
          <w:sz w:val="20"/>
          <w:szCs w:val="20"/>
          <w:highlight w:val="yellow"/>
          <w:lang w:val="es-ES"/>
        </w:rPr>
      </w:pPr>
    </w:p>
    <w:p w14:paraId="258DEF89" w14:textId="5AF07AC0" w:rsidR="00724600" w:rsidRDefault="00724600" w:rsidP="00724600">
      <w:pPr>
        <w:pStyle w:val="Ttulo3"/>
      </w:pPr>
      <w:bookmarkStart w:id="16" w:name="_Toc115167424"/>
      <w:r>
        <w:t xml:space="preserve">A.2. </w:t>
      </w:r>
      <w:r>
        <w:rPr>
          <w:lang w:eastAsia="es-CR"/>
        </w:rPr>
        <w:t>C</w:t>
      </w:r>
      <w:r w:rsidRPr="00D05A04">
        <w:rPr>
          <w:lang w:eastAsia="es-CR"/>
        </w:rPr>
        <w:t>arácter abstracto, hipotético-conjetural y/o insubsistente de las violaciones a los derechos alegad</w:t>
      </w:r>
      <w:r w:rsidR="004E75FE">
        <w:rPr>
          <w:lang w:eastAsia="es-CR"/>
        </w:rPr>
        <w:t>o</w:t>
      </w:r>
      <w:r w:rsidRPr="00D05A04">
        <w:rPr>
          <w:lang w:eastAsia="es-CR"/>
        </w:rPr>
        <w:t>s</w:t>
      </w:r>
      <w:bookmarkEnd w:id="16"/>
    </w:p>
    <w:p w14:paraId="6BBA2585" w14:textId="7952C6FC" w:rsidR="00724600" w:rsidRDefault="00724600" w:rsidP="004330E3">
      <w:pPr>
        <w:widowControl w:val="0"/>
        <w:tabs>
          <w:tab w:val="left" w:pos="567"/>
        </w:tabs>
        <w:adjustRightInd w:val="0"/>
        <w:jc w:val="both"/>
        <w:textAlignment w:val="baseline"/>
        <w:rPr>
          <w:rFonts w:ascii="Verdana" w:hAnsi="Verdana"/>
          <w:strike/>
          <w:sz w:val="20"/>
          <w:szCs w:val="20"/>
          <w:highlight w:val="yellow"/>
          <w:lang w:val="es-ES"/>
        </w:rPr>
      </w:pPr>
    </w:p>
    <w:p w14:paraId="59417316" w14:textId="1DD43A4F" w:rsidR="00724600" w:rsidRPr="00B95D5B" w:rsidRDefault="00724600" w:rsidP="00D753D0">
      <w:pPr>
        <w:pStyle w:val="PrrafodeSentencia"/>
      </w:pPr>
      <w:r w:rsidRPr="00D95D6C">
        <w:t xml:space="preserve">El </w:t>
      </w:r>
      <w:r w:rsidRPr="00D95D6C">
        <w:rPr>
          <w:b/>
          <w:i/>
        </w:rPr>
        <w:t xml:space="preserve">Estado </w:t>
      </w:r>
      <w:r w:rsidRPr="00D95D6C">
        <w:t>alegó que las actuaciones de las autoridades migratorias no tuvieron, ni tienen hoy, efectos sobre la libertad de circulación y residencia y otros derechos de la señora Habbal y de sus hij</w:t>
      </w:r>
      <w:r w:rsidR="00D70186">
        <w:t>a</w:t>
      </w:r>
      <w:r w:rsidRPr="00D95D6C">
        <w:t>s</w:t>
      </w:r>
      <w:r w:rsidR="00D70186">
        <w:t xml:space="preserve"> e hijo,</w:t>
      </w:r>
      <w:r w:rsidRPr="00D95D6C">
        <w:t xml:space="preserve"> y</w:t>
      </w:r>
      <w:r w:rsidR="00D70186">
        <w:t>,</w:t>
      </w:r>
      <w:r w:rsidRPr="00D95D6C">
        <w:t xml:space="preserve"> por lo tanto</w:t>
      </w:r>
      <w:r w:rsidR="00D70186">
        <w:t>,</w:t>
      </w:r>
      <w:r w:rsidRPr="00D95D6C">
        <w:t xml:space="preserve"> no existe un caso o controversia que amerite intervención jurisdiccional. </w:t>
      </w:r>
      <w:r w:rsidRPr="00D95D6C">
        <w:rPr>
          <w:rFonts w:cs="Arial"/>
          <w:lang w:val="es-ES"/>
        </w:rPr>
        <w:t>Esto es así, sostuvo el Estado, porque ni en el Informe de Fondo</w:t>
      </w:r>
      <w:r>
        <w:rPr>
          <w:rFonts w:cs="Arial"/>
          <w:lang w:val="es-ES"/>
        </w:rPr>
        <w:t>,</w:t>
      </w:r>
      <w:r w:rsidRPr="00D95D6C">
        <w:rPr>
          <w:rFonts w:cs="Arial"/>
          <w:lang w:val="es-ES"/>
        </w:rPr>
        <w:t xml:space="preserve"> ni en el ESAP</w:t>
      </w:r>
      <w:r>
        <w:rPr>
          <w:rFonts w:cs="Arial"/>
          <w:lang w:val="es-ES"/>
        </w:rPr>
        <w:t>,</w:t>
      </w:r>
      <w:r w:rsidRPr="00D95D6C">
        <w:rPr>
          <w:rFonts w:cs="Arial"/>
          <w:lang w:val="es-ES"/>
        </w:rPr>
        <w:t xml:space="preserve"> se han identificado</w:t>
      </w:r>
      <w:r w:rsidR="00322E36">
        <w:rPr>
          <w:rFonts w:cs="Arial"/>
          <w:lang w:val="es-ES"/>
        </w:rPr>
        <w:t>,</w:t>
      </w:r>
      <w:r w:rsidRPr="00D95D6C">
        <w:rPr>
          <w:rFonts w:cs="Arial"/>
          <w:lang w:val="es-ES"/>
        </w:rPr>
        <w:t xml:space="preserve"> ni mucho menos demostrado</w:t>
      </w:r>
      <w:r w:rsidR="00322E36">
        <w:rPr>
          <w:rFonts w:cs="Arial"/>
          <w:lang w:val="es-ES"/>
        </w:rPr>
        <w:t>,</w:t>
      </w:r>
      <w:r w:rsidRPr="00D95D6C">
        <w:rPr>
          <w:rFonts w:cs="Arial"/>
          <w:lang w:val="es-ES"/>
        </w:rPr>
        <w:t xml:space="preserve"> perjuicios concretos por los actos, hechos o normas objetadas, por lo que el presente asunto resulta conjetural. Entonces, </w:t>
      </w:r>
      <w:r w:rsidR="00E32E7F">
        <w:rPr>
          <w:rFonts w:cs="Arial"/>
          <w:lang w:val="es-ES"/>
        </w:rPr>
        <w:t xml:space="preserve">señaló que </w:t>
      </w:r>
      <w:r w:rsidRPr="00D95D6C">
        <w:rPr>
          <w:rFonts w:cs="Arial"/>
          <w:lang w:val="es-ES"/>
        </w:rPr>
        <w:t>tampoco habría lesión, daño o interés que pudiere resarcir o restituir un pronunciamiento de ese Tribunal.</w:t>
      </w:r>
      <w:r>
        <w:rPr>
          <w:rFonts w:cs="Arial"/>
          <w:lang w:val="es-ES"/>
        </w:rPr>
        <w:t xml:space="preserve"> Asimismo, el Estado sostuvo que las recomendaciones del Informe de Fondo fueron efectivamente implementadas, y que el eventual interés público interamericano no justifica por sí mismo el conocimiento del asunto.</w:t>
      </w:r>
      <w:r w:rsidRPr="00D95D6C">
        <w:rPr>
          <w:rFonts w:cs="Arial"/>
          <w:lang w:val="es-ES"/>
        </w:rPr>
        <w:t xml:space="preserve"> </w:t>
      </w:r>
      <w:r>
        <w:rPr>
          <w:rFonts w:cs="Arial"/>
          <w:lang w:val="es-ES"/>
        </w:rPr>
        <w:t>En este sentido, el Estado sostuvo que llevar a la jurisdicción de la Corte al Estado</w:t>
      </w:r>
      <w:r w:rsidR="00E659A3">
        <w:rPr>
          <w:rFonts w:cs="Arial"/>
          <w:lang w:val="es-ES"/>
        </w:rPr>
        <w:t>,</w:t>
      </w:r>
      <w:r>
        <w:rPr>
          <w:rFonts w:cs="Arial"/>
          <w:lang w:val="es-ES"/>
        </w:rPr>
        <w:t xml:space="preserve"> a pesar de haber dado cabal cumplimiento a las recomendaciones de la Comisión</w:t>
      </w:r>
      <w:r w:rsidR="00E659A3">
        <w:rPr>
          <w:rFonts w:cs="Arial"/>
          <w:lang w:val="es-ES"/>
        </w:rPr>
        <w:t>,</w:t>
      </w:r>
      <w:r>
        <w:rPr>
          <w:rFonts w:cs="Arial"/>
          <w:lang w:val="es-ES"/>
        </w:rPr>
        <w:t xml:space="preserve"> conspira contra la lógica del Sistema Interamericano. </w:t>
      </w:r>
      <w:r w:rsidRPr="00D95D6C">
        <w:rPr>
          <w:rFonts w:cs="Arial"/>
          <w:lang w:val="es-ES"/>
        </w:rPr>
        <w:t xml:space="preserve">En consecuencia, solicitó que la Corte </w:t>
      </w:r>
      <w:r>
        <w:rPr>
          <w:rFonts w:cs="Arial"/>
          <w:lang w:val="es-ES"/>
        </w:rPr>
        <w:t>tenga en cuenta sus observaciones al calificar la admisibilidad y el fondo del caso</w:t>
      </w:r>
      <w:r w:rsidRPr="00D95D6C">
        <w:rPr>
          <w:rFonts w:cs="Arial"/>
          <w:lang w:val="es-ES"/>
        </w:rPr>
        <w:t>.</w:t>
      </w:r>
      <w:r w:rsidR="00947BEB">
        <w:rPr>
          <w:rFonts w:cs="Arial"/>
          <w:lang w:val="es-ES"/>
        </w:rPr>
        <w:t xml:space="preserve"> Asimismo, el Estado sostuvo que</w:t>
      </w:r>
      <w:r w:rsidR="002B1347">
        <w:rPr>
          <w:rFonts w:cs="Arial"/>
          <w:lang w:val="es-ES"/>
        </w:rPr>
        <w:t xml:space="preserve">, en función del principio de </w:t>
      </w:r>
      <w:r w:rsidR="002B1347">
        <w:rPr>
          <w:rFonts w:cs="Arial"/>
          <w:lang w:val="es-ES"/>
        </w:rPr>
        <w:lastRenderedPageBreak/>
        <w:t xml:space="preserve">complementariedad, se debe considerar que </w:t>
      </w:r>
      <w:r w:rsidR="005901EA">
        <w:rPr>
          <w:rFonts w:cs="Arial"/>
          <w:lang w:val="es-ES"/>
        </w:rPr>
        <w:t>el Estado no es responable</w:t>
      </w:r>
      <w:r w:rsidR="00BA3777">
        <w:rPr>
          <w:rFonts w:cs="Arial"/>
          <w:lang w:val="es-ES"/>
        </w:rPr>
        <w:t>,</w:t>
      </w:r>
      <w:r w:rsidR="005901EA">
        <w:rPr>
          <w:rFonts w:cs="Arial"/>
          <w:lang w:val="es-ES"/>
        </w:rPr>
        <w:t xml:space="preserve"> pues la Resolución 1088 fue derogada</w:t>
      </w:r>
      <w:r w:rsidR="00806BAE">
        <w:rPr>
          <w:rFonts w:cs="Arial"/>
          <w:lang w:val="es-ES"/>
        </w:rPr>
        <w:t>.</w:t>
      </w:r>
    </w:p>
    <w:p w14:paraId="3EE8ED95" w14:textId="77777777" w:rsidR="00724600" w:rsidRPr="00B95D5B" w:rsidRDefault="00724600" w:rsidP="00D753D0">
      <w:pPr>
        <w:pStyle w:val="PrrafodeSentencia"/>
        <w:numPr>
          <w:ilvl w:val="0"/>
          <w:numId w:val="0"/>
        </w:numPr>
      </w:pPr>
    </w:p>
    <w:p w14:paraId="3910E916" w14:textId="68F045FC" w:rsidR="00724600" w:rsidRDefault="00724600" w:rsidP="00D753D0">
      <w:pPr>
        <w:pStyle w:val="PrrafodeSentencia"/>
      </w:pPr>
      <w:r w:rsidRPr="00B95D5B">
        <w:t xml:space="preserve">La </w:t>
      </w:r>
      <w:r w:rsidRPr="00B95D5B">
        <w:rPr>
          <w:b/>
          <w:i/>
        </w:rPr>
        <w:t xml:space="preserve">Comisión </w:t>
      </w:r>
      <w:r w:rsidRPr="00B95D5B">
        <w:t xml:space="preserve">señaló que la decisión de someter un caso ante la Corte forma parte del </w:t>
      </w:r>
      <w:r w:rsidR="00F05E9C">
        <w:t xml:space="preserve">su </w:t>
      </w:r>
      <w:r w:rsidRPr="00B95D5B">
        <w:t xml:space="preserve">ámbito de autonomía, </w:t>
      </w:r>
      <w:r w:rsidR="00F05E9C">
        <w:t>y</w:t>
      </w:r>
      <w:r w:rsidRPr="00B95D5B">
        <w:t xml:space="preserve"> que el alegato del Estado no constituye una excepción preliminar.</w:t>
      </w:r>
      <w:r w:rsidR="00F05E9C">
        <w:t xml:space="preserve"> </w:t>
      </w:r>
      <w:r>
        <w:t>Al respecto, señaló que el envío de casos se realiza en estricto cumplimiento del artículo 35 del Reglamento de la Corte</w:t>
      </w:r>
      <w:r w:rsidR="003C101E">
        <w:t>,</w:t>
      </w:r>
      <w:r>
        <w:t xml:space="preserve"> y del artículo 45 del Reglamento de la Comisión.</w:t>
      </w:r>
      <w:r w:rsidRPr="00B95D5B">
        <w:t xml:space="preserve"> </w:t>
      </w:r>
      <w:r w:rsidR="00F05E9C">
        <w:t xml:space="preserve">Asimismo, </w:t>
      </w:r>
      <w:r w:rsidRPr="00B95D5B">
        <w:t xml:space="preserve">señaló que, tal como lo </w:t>
      </w:r>
      <w:r w:rsidR="00F05E9C">
        <w:t>indicó</w:t>
      </w:r>
      <w:r w:rsidR="00F05E9C" w:rsidRPr="00B95D5B">
        <w:t xml:space="preserve"> </w:t>
      </w:r>
      <w:r w:rsidRPr="00B95D5B">
        <w:t>en su nota de remisión, el caso fue sometido ante la Corte como resultado de la necesidad de obtención de justicia y de una reparación integral de las víctimas, así como</w:t>
      </w:r>
      <w:r w:rsidR="00F05E9C">
        <w:t xml:space="preserve"> por</w:t>
      </w:r>
      <w:r w:rsidRPr="00B95D5B">
        <w:t xml:space="preserve"> las cuestiones de orden público involucrad</w:t>
      </w:r>
      <w:r w:rsidR="007A6BE0">
        <w:t>a</w:t>
      </w:r>
      <w:r w:rsidRPr="00B95D5B">
        <w:t>s. Adicionalmente,</w:t>
      </w:r>
      <w:r>
        <w:t xml:space="preserve"> señaló que, contrario a lo afirmado por el Estado, la Comisión consideró que </w:t>
      </w:r>
      <w:r w:rsidR="00F05E9C">
        <w:t xml:space="preserve">las </w:t>
      </w:r>
      <w:r>
        <w:t>recomendaciones del Informe de Fondo no habían</w:t>
      </w:r>
      <w:r w:rsidR="00DB158D">
        <w:t xml:space="preserve"> sido</w:t>
      </w:r>
      <w:r>
        <w:t xml:space="preserve"> cumplidas en su totalidad, a pesar de los esfuerzos llevados a cabo por el Estado. Por otro lado, la Comisión</w:t>
      </w:r>
      <w:r w:rsidRPr="00B95D5B">
        <w:t xml:space="preserve"> señaló que, para que no se declare la responsabilidad del Estado</w:t>
      </w:r>
      <w:r>
        <w:t>,</w:t>
      </w:r>
      <w:r w:rsidRPr="00B95D5B">
        <w:t xml:space="preserve"> sobre la base de la complementariedad, es necesario que el Estado reconozca el ilícito internacional y se evalúe si lo hizo cesar y fue reparado. Estas condiciones no se cumplen en el presente caso. Por lo anterior, la Comisión solicitó que se desestimen los argumentos del Estado.</w:t>
      </w:r>
    </w:p>
    <w:p w14:paraId="7C4E2B19" w14:textId="77777777" w:rsidR="00724600" w:rsidRDefault="00724600" w:rsidP="00D753D0">
      <w:pPr>
        <w:pStyle w:val="PrrafodeSentencia"/>
        <w:numPr>
          <w:ilvl w:val="0"/>
          <w:numId w:val="0"/>
        </w:numPr>
      </w:pPr>
    </w:p>
    <w:p w14:paraId="77A8AFA6" w14:textId="5D55A111" w:rsidR="00724600" w:rsidRPr="00724600" w:rsidRDefault="00724600" w:rsidP="00D753D0">
      <w:pPr>
        <w:pStyle w:val="PrrafodeSentencia"/>
      </w:pPr>
      <w:r>
        <w:t>Los</w:t>
      </w:r>
      <w:r w:rsidRPr="00B95D5B">
        <w:t xml:space="preserve"> </w:t>
      </w:r>
      <w:r w:rsidRPr="00724600">
        <w:rPr>
          <w:b/>
          <w:i/>
        </w:rPr>
        <w:t xml:space="preserve">representantes </w:t>
      </w:r>
      <w:r w:rsidRPr="00B95D5B">
        <w:t>no present</w:t>
      </w:r>
      <w:r>
        <w:t>aron</w:t>
      </w:r>
      <w:r w:rsidRPr="00B95D5B">
        <w:t xml:space="preserve"> alegatos sobre el particular.</w:t>
      </w:r>
    </w:p>
    <w:p w14:paraId="76A125F6" w14:textId="38EAC736" w:rsidR="00724600" w:rsidRDefault="00724600" w:rsidP="004330E3">
      <w:pPr>
        <w:widowControl w:val="0"/>
        <w:tabs>
          <w:tab w:val="left" w:pos="567"/>
        </w:tabs>
        <w:adjustRightInd w:val="0"/>
        <w:jc w:val="both"/>
        <w:textAlignment w:val="baseline"/>
        <w:rPr>
          <w:rFonts w:ascii="Verdana" w:hAnsi="Verdana"/>
          <w:strike/>
          <w:sz w:val="20"/>
          <w:szCs w:val="20"/>
          <w:highlight w:val="yellow"/>
          <w:lang w:val="es-ES"/>
        </w:rPr>
      </w:pPr>
    </w:p>
    <w:p w14:paraId="1273A73D" w14:textId="34A42682" w:rsidR="00724600" w:rsidRPr="00317558" w:rsidRDefault="00724600" w:rsidP="00724600">
      <w:pPr>
        <w:pStyle w:val="Ttulo2"/>
      </w:pPr>
      <w:bookmarkStart w:id="17" w:name="_Toc115167425"/>
      <w:r>
        <w:t>B</w:t>
      </w:r>
      <w:r w:rsidRPr="001119B4">
        <w:t xml:space="preserve">. </w:t>
      </w:r>
      <w:r>
        <w:t>Consideraciones de la Corte</w:t>
      </w:r>
      <w:bookmarkEnd w:id="17"/>
    </w:p>
    <w:p w14:paraId="324FB745" w14:textId="5B64A955" w:rsidR="00615205" w:rsidRPr="001B70BC" w:rsidRDefault="00615205" w:rsidP="004330E3">
      <w:pPr>
        <w:widowControl w:val="0"/>
        <w:tabs>
          <w:tab w:val="left" w:pos="567"/>
        </w:tabs>
        <w:adjustRightInd w:val="0"/>
        <w:jc w:val="both"/>
        <w:textAlignment w:val="baseline"/>
        <w:rPr>
          <w:rFonts w:ascii="Verdana" w:hAnsi="Verdana"/>
          <w:strike/>
          <w:sz w:val="20"/>
          <w:szCs w:val="20"/>
          <w:lang w:val="es-ES"/>
        </w:rPr>
      </w:pPr>
    </w:p>
    <w:p w14:paraId="06B1E62C" w14:textId="177729B2" w:rsidR="000743C5" w:rsidRPr="00E730E1" w:rsidRDefault="008402DE" w:rsidP="00D753D0">
      <w:pPr>
        <w:pStyle w:val="PrrafodeSentencia"/>
        <w:rPr>
          <w:strike/>
          <w:lang w:val="es-ES"/>
        </w:rPr>
      </w:pPr>
      <w:r w:rsidRPr="001B70BC">
        <w:t xml:space="preserve">El </w:t>
      </w:r>
      <w:r w:rsidRPr="001B70BC">
        <w:rPr>
          <w:spacing w:val="-3"/>
        </w:rPr>
        <w:t xml:space="preserve">Tribunal </w:t>
      </w:r>
      <w:r w:rsidRPr="001B70BC">
        <w:t>recuerda que, conforme a su jurisprudencia, únicamente considerará como excepciones preliminares aquellos argumentos que tienen o podrían tener exclusivamente</w:t>
      </w:r>
      <w:r w:rsidRPr="001B70BC">
        <w:rPr>
          <w:spacing w:val="-37"/>
        </w:rPr>
        <w:t xml:space="preserve"> </w:t>
      </w:r>
      <w:r w:rsidRPr="001B70BC">
        <w:t>tal naturaleza</w:t>
      </w:r>
      <w:r w:rsidR="00D8175E">
        <w:t>,</w:t>
      </w:r>
      <w:r w:rsidRPr="001B70BC">
        <w:t xml:space="preserve"> atendiendo a su contenido y finalidad, es </w:t>
      </w:r>
      <w:r w:rsidRPr="001B70BC">
        <w:rPr>
          <w:spacing w:val="-5"/>
        </w:rPr>
        <w:t xml:space="preserve">decir, </w:t>
      </w:r>
      <w:r w:rsidRPr="001B70BC">
        <w:t>que de resolverse favorablemente impedirían la continuación del procedimiento</w:t>
      </w:r>
      <w:r w:rsidR="00D8175E">
        <w:t>,</w:t>
      </w:r>
      <w:r w:rsidRPr="001B70BC">
        <w:t xml:space="preserve"> o el pronunciamiento sobre el fondo</w:t>
      </w:r>
      <w:r w:rsidR="00CD135D" w:rsidRPr="001B70BC">
        <w:rPr>
          <w:rStyle w:val="Refdenotaalpie"/>
        </w:rPr>
        <w:footnoteReference w:id="10"/>
      </w:r>
      <w:r w:rsidRPr="001B70BC">
        <w:t xml:space="preserve">. </w:t>
      </w:r>
      <w:r w:rsidR="00922684">
        <w:t>En este sentido, h</w:t>
      </w:r>
      <w:r w:rsidRPr="001B70BC">
        <w:t xml:space="preserve">a sido criterio reiterado de la Corte que, por medio de una excepción </w:t>
      </w:r>
      <w:r w:rsidRPr="001B70BC">
        <w:rPr>
          <w:spacing w:val="-3"/>
        </w:rPr>
        <w:t xml:space="preserve">preliminar, </w:t>
      </w:r>
      <w:r w:rsidRPr="001B70BC">
        <w:t xml:space="preserve">se </w:t>
      </w:r>
      <w:r w:rsidR="00580037">
        <w:t xml:space="preserve">deben </w:t>
      </w:r>
      <w:r w:rsidRPr="001B70BC">
        <w:t>present</w:t>
      </w:r>
      <w:r w:rsidR="00580037">
        <w:t>ar</w:t>
      </w:r>
      <w:r w:rsidRPr="001B70BC">
        <w:t xml:space="preserve"> objeciones relacionadas con la admisibilidad de un caso</w:t>
      </w:r>
      <w:r w:rsidR="00926AE5">
        <w:t>,</w:t>
      </w:r>
      <w:r w:rsidRPr="001B70BC">
        <w:t xml:space="preserve"> o la competencia de la Corte</w:t>
      </w:r>
      <w:r w:rsidR="00926AE5">
        <w:t>,</w:t>
      </w:r>
      <w:r w:rsidRPr="001B70BC">
        <w:t xml:space="preserve"> para conocer</w:t>
      </w:r>
      <w:r w:rsidRPr="001B70BC">
        <w:rPr>
          <w:spacing w:val="-4"/>
        </w:rPr>
        <w:t xml:space="preserve"> </w:t>
      </w:r>
      <w:r w:rsidRPr="001B70BC">
        <w:t>de</w:t>
      </w:r>
      <w:r w:rsidRPr="001B70BC">
        <w:rPr>
          <w:spacing w:val="-4"/>
        </w:rPr>
        <w:t xml:space="preserve"> </w:t>
      </w:r>
      <w:r w:rsidRPr="001B70BC">
        <w:t>un</w:t>
      </w:r>
      <w:r w:rsidRPr="001B70BC">
        <w:rPr>
          <w:spacing w:val="-3"/>
        </w:rPr>
        <w:t xml:space="preserve"> </w:t>
      </w:r>
      <w:r w:rsidRPr="001B70BC">
        <w:t>determinado</w:t>
      </w:r>
      <w:r w:rsidRPr="001B70BC">
        <w:rPr>
          <w:spacing w:val="-4"/>
        </w:rPr>
        <w:t xml:space="preserve"> </w:t>
      </w:r>
      <w:r w:rsidRPr="001B70BC">
        <w:t>caso</w:t>
      </w:r>
      <w:r w:rsidRPr="001B70BC">
        <w:rPr>
          <w:spacing w:val="-4"/>
        </w:rPr>
        <w:t xml:space="preserve"> </w:t>
      </w:r>
      <w:r w:rsidRPr="001B70BC">
        <w:t>o</w:t>
      </w:r>
      <w:r w:rsidRPr="001B70BC">
        <w:rPr>
          <w:spacing w:val="-6"/>
        </w:rPr>
        <w:t xml:space="preserve"> </w:t>
      </w:r>
      <w:r w:rsidRPr="001B70BC">
        <w:t>de</w:t>
      </w:r>
      <w:r w:rsidRPr="001B70BC">
        <w:rPr>
          <w:spacing w:val="-4"/>
        </w:rPr>
        <w:t xml:space="preserve"> </w:t>
      </w:r>
      <w:r w:rsidRPr="001B70BC">
        <w:t>alguno</w:t>
      </w:r>
      <w:r w:rsidRPr="001B70BC">
        <w:rPr>
          <w:spacing w:val="-6"/>
        </w:rPr>
        <w:t xml:space="preserve"> </w:t>
      </w:r>
      <w:r w:rsidRPr="001B70BC">
        <w:t>de</w:t>
      </w:r>
      <w:r w:rsidRPr="001B70BC">
        <w:rPr>
          <w:spacing w:val="-3"/>
        </w:rPr>
        <w:t xml:space="preserve"> </w:t>
      </w:r>
      <w:r w:rsidRPr="001B70BC">
        <w:t>sus</w:t>
      </w:r>
      <w:r w:rsidRPr="001B70BC">
        <w:rPr>
          <w:spacing w:val="-4"/>
        </w:rPr>
        <w:t xml:space="preserve"> </w:t>
      </w:r>
      <w:r w:rsidRPr="001B70BC">
        <w:t>aspectos,</w:t>
      </w:r>
      <w:r w:rsidRPr="001B70BC">
        <w:rPr>
          <w:spacing w:val="-1"/>
        </w:rPr>
        <w:t xml:space="preserve"> </w:t>
      </w:r>
      <w:r w:rsidRPr="001B70BC">
        <w:rPr>
          <w:spacing w:val="-3"/>
        </w:rPr>
        <w:t>ya</w:t>
      </w:r>
      <w:r w:rsidRPr="001B70BC">
        <w:rPr>
          <w:spacing w:val="-2"/>
        </w:rPr>
        <w:t xml:space="preserve"> </w:t>
      </w:r>
      <w:r w:rsidRPr="001B70BC">
        <w:t>sea en</w:t>
      </w:r>
      <w:r w:rsidRPr="001B70BC">
        <w:rPr>
          <w:spacing w:val="-4"/>
        </w:rPr>
        <w:t xml:space="preserve"> </w:t>
      </w:r>
      <w:r w:rsidRPr="001B70BC">
        <w:t>razón</w:t>
      </w:r>
      <w:r w:rsidRPr="001B70BC">
        <w:rPr>
          <w:spacing w:val="-3"/>
        </w:rPr>
        <w:t xml:space="preserve"> </w:t>
      </w:r>
      <w:r w:rsidRPr="001B70BC">
        <w:t>de</w:t>
      </w:r>
      <w:r w:rsidRPr="001B70BC">
        <w:rPr>
          <w:spacing w:val="-4"/>
        </w:rPr>
        <w:t xml:space="preserve"> </w:t>
      </w:r>
      <w:r w:rsidRPr="001B70BC">
        <w:t>la</w:t>
      </w:r>
      <w:r w:rsidRPr="001B70BC">
        <w:rPr>
          <w:spacing w:val="-5"/>
        </w:rPr>
        <w:t xml:space="preserve"> </w:t>
      </w:r>
      <w:r w:rsidRPr="001B70BC">
        <w:t>persona, materia, tiempo o lugar</w:t>
      </w:r>
      <w:r w:rsidR="00CD135D" w:rsidRPr="001B70BC">
        <w:rPr>
          <w:rStyle w:val="Refdenotaalpie"/>
        </w:rPr>
        <w:footnoteReference w:id="11"/>
      </w:r>
      <w:r w:rsidRPr="001B70BC">
        <w:t>. Por ello, independientemente de que el Estado defina un planteamiento</w:t>
      </w:r>
      <w:r w:rsidRPr="001B70BC">
        <w:rPr>
          <w:spacing w:val="-23"/>
        </w:rPr>
        <w:t xml:space="preserve"> </w:t>
      </w:r>
      <w:r w:rsidRPr="001B70BC">
        <w:t>como</w:t>
      </w:r>
      <w:r w:rsidRPr="001B70BC">
        <w:rPr>
          <w:spacing w:val="-22"/>
        </w:rPr>
        <w:t xml:space="preserve"> </w:t>
      </w:r>
      <w:r w:rsidRPr="001B70BC">
        <w:t>“excepción</w:t>
      </w:r>
      <w:r w:rsidRPr="001B70BC">
        <w:rPr>
          <w:spacing w:val="-20"/>
        </w:rPr>
        <w:t xml:space="preserve"> </w:t>
      </w:r>
      <w:r w:rsidRPr="001B70BC">
        <w:t>preliminar”,</w:t>
      </w:r>
      <w:r w:rsidRPr="001B70BC">
        <w:rPr>
          <w:spacing w:val="-21"/>
        </w:rPr>
        <w:t xml:space="preserve"> </w:t>
      </w:r>
      <w:r w:rsidRPr="001B70BC">
        <w:t>si</w:t>
      </w:r>
      <w:r w:rsidRPr="001B70BC">
        <w:rPr>
          <w:spacing w:val="-21"/>
        </w:rPr>
        <w:t xml:space="preserve"> </w:t>
      </w:r>
      <w:r w:rsidRPr="001B70BC">
        <w:t>al</w:t>
      </w:r>
      <w:r w:rsidRPr="001B70BC">
        <w:rPr>
          <w:spacing w:val="-18"/>
        </w:rPr>
        <w:t xml:space="preserve"> </w:t>
      </w:r>
      <w:r w:rsidRPr="001B70BC">
        <w:t>analizar</w:t>
      </w:r>
      <w:r w:rsidRPr="001B70BC">
        <w:rPr>
          <w:spacing w:val="-22"/>
        </w:rPr>
        <w:t xml:space="preserve"> </w:t>
      </w:r>
      <w:r w:rsidRPr="001B70BC">
        <w:t>tales</w:t>
      </w:r>
      <w:r w:rsidRPr="001B70BC">
        <w:rPr>
          <w:spacing w:val="-21"/>
        </w:rPr>
        <w:t xml:space="preserve"> </w:t>
      </w:r>
      <w:r w:rsidRPr="001B70BC">
        <w:t>planteamientos</w:t>
      </w:r>
      <w:r w:rsidRPr="001B70BC">
        <w:rPr>
          <w:spacing w:val="-20"/>
        </w:rPr>
        <w:t xml:space="preserve"> </w:t>
      </w:r>
      <w:r w:rsidRPr="001B70BC">
        <w:t>fuere</w:t>
      </w:r>
      <w:r w:rsidRPr="001B70BC">
        <w:rPr>
          <w:spacing w:val="-22"/>
        </w:rPr>
        <w:t xml:space="preserve"> </w:t>
      </w:r>
      <w:r w:rsidRPr="001B70BC">
        <w:t>necesario</w:t>
      </w:r>
      <w:r w:rsidR="00521305" w:rsidRPr="001B70BC">
        <w:t xml:space="preserve"> entrar a considerar previamente el fondo de un caso, los mismos perderían su carácter preliminar</w:t>
      </w:r>
      <w:r w:rsidR="005E7F34">
        <w:t>,</w:t>
      </w:r>
      <w:r w:rsidR="00521305" w:rsidRPr="001B70BC">
        <w:t xml:space="preserve"> y no podrían ser analizados como tales</w:t>
      </w:r>
      <w:r w:rsidR="000743C5" w:rsidRPr="001B70BC">
        <w:rPr>
          <w:rStyle w:val="Refdenotaalpie"/>
        </w:rPr>
        <w:footnoteReference w:id="12"/>
      </w:r>
      <w:r w:rsidR="00521305" w:rsidRPr="001B70BC">
        <w:t>.</w:t>
      </w:r>
    </w:p>
    <w:p w14:paraId="5187492F" w14:textId="77777777" w:rsidR="00E730E1" w:rsidRPr="00E730E1" w:rsidRDefault="00E730E1" w:rsidP="00D753D0">
      <w:pPr>
        <w:pStyle w:val="PrrafodeSentencia"/>
        <w:numPr>
          <w:ilvl w:val="0"/>
          <w:numId w:val="0"/>
        </w:numPr>
      </w:pPr>
    </w:p>
    <w:p w14:paraId="215B5648" w14:textId="0B4F4CCF" w:rsidR="00E730E1" w:rsidRPr="00E730E1" w:rsidRDefault="00E730E1" w:rsidP="00D753D0">
      <w:pPr>
        <w:pStyle w:val="PrrafodeSentencia"/>
        <w:rPr>
          <w:strike/>
          <w:lang w:val="es-ES"/>
        </w:rPr>
      </w:pPr>
      <w:r>
        <w:t>En relación con el presente caso, l</w:t>
      </w:r>
      <w:r w:rsidRPr="008D4C6F">
        <w:t xml:space="preserve">a Corte </w:t>
      </w:r>
      <w:r>
        <w:t>advierte</w:t>
      </w:r>
      <w:r w:rsidRPr="008D4C6F">
        <w:t xml:space="preserve"> que los alegatos del Estado planteados como excepciones preliminares</w:t>
      </w:r>
      <w:r>
        <w:t xml:space="preserve"> cuestionan</w:t>
      </w:r>
      <w:r w:rsidR="00247B81">
        <w:t xml:space="preserve"> lo siguiente:</w:t>
      </w:r>
      <w:r w:rsidR="001C2415">
        <w:t xml:space="preserve"> </w:t>
      </w:r>
      <w:r>
        <w:t>a) la participaci</w:t>
      </w:r>
      <w:r>
        <w:rPr>
          <w:lang w:val="es-ES"/>
        </w:rPr>
        <w:t>ón de las presuntas víctimas en el caso, y si se encuentran debidamente representadas</w:t>
      </w:r>
      <w:r w:rsidR="005A225F">
        <w:rPr>
          <w:lang w:val="es-ES"/>
        </w:rPr>
        <w:t>,</w:t>
      </w:r>
      <w:r>
        <w:rPr>
          <w:lang w:val="es-ES"/>
        </w:rPr>
        <w:t xml:space="preserve"> y b) si las alegadas violaciones a los derechos humanos de las presuntas víctimas produjeron efectos que ameriten un análisis por parte de este Tribunal. En ese sentido, la Corte considera que los alegatos planteados por el Estado</w:t>
      </w:r>
      <w:r w:rsidRPr="008D4C6F">
        <w:t xml:space="preserve"> se refieren al cumplimiento de requisitos formales para someter el caso ante la Corte</w:t>
      </w:r>
      <w:r>
        <w:t xml:space="preserve"> conforme al artículo 35 del Reglamento de la Corte</w:t>
      </w:r>
      <w:r w:rsidR="00E0066D">
        <w:t>;</w:t>
      </w:r>
      <w:r>
        <w:t xml:space="preserve"> a los requisitos que deben cumplirse respecto a la acreditación de la representación de las presuntas víctimas</w:t>
      </w:r>
      <w:r w:rsidR="005A225F">
        <w:t>,</w:t>
      </w:r>
      <w:r w:rsidRPr="008D4C6F">
        <w:t xml:space="preserve"> o a </w:t>
      </w:r>
      <w:r w:rsidR="00DC0B5E">
        <w:t>la existencia misma de violaciones a derechos humanos como resultado de actos u omisiones estatales</w:t>
      </w:r>
      <w:r w:rsidRPr="008D4C6F">
        <w:t xml:space="preserve">. </w:t>
      </w:r>
      <w:r>
        <w:t>Estas cuestiones</w:t>
      </w:r>
      <w:r w:rsidRPr="008D4C6F">
        <w:t xml:space="preserve"> no afectan la competencia de este Tribunal para conocer del presente </w:t>
      </w:r>
      <w:r w:rsidRPr="008D4C6F">
        <w:lastRenderedPageBreak/>
        <w:t>caso,</w:t>
      </w:r>
      <w:r>
        <w:t xml:space="preserve"> por lo que</w:t>
      </w:r>
      <w:r w:rsidRPr="008D4C6F">
        <w:t xml:space="preserve"> la Corte </w:t>
      </w:r>
      <w:r>
        <w:t>considera improcedente</w:t>
      </w:r>
      <w:r w:rsidR="009355E4">
        <w:t>s</w:t>
      </w:r>
      <w:r w:rsidRPr="008D4C6F">
        <w:t xml:space="preserve"> la excepc</w:t>
      </w:r>
      <w:r w:rsidR="00164D5B">
        <w:t>i</w:t>
      </w:r>
      <w:r w:rsidR="009355E4">
        <w:t>ones</w:t>
      </w:r>
      <w:r w:rsidRPr="008D4C6F">
        <w:t xml:space="preserve"> preliminar</w:t>
      </w:r>
      <w:r w:rsidR="009355E4">
        <w:t>es</w:t>
      </w:r>
      <w:r w:rsidRPr="008D4C6F">
        <w:t xml:space="preserve"> presentada</w:t>
      </w:r>
      <w:r w:rsidR="009355E4">
        <w:t>s</w:t>
      </w:r>
      <w:r w:rsidRPr="008D4C6F">
        <w:t xml:space="preserve"> por el Estado.</w:t>
      </w:r>
    </w:p>
    <w:p w14:paraId="151DD69A" w14:textId="77777777" w:rsidR="00430D38" w:rsidRPr="005E7F34" w:rsidRDefault="00430D38" w:rsidP="00D753D0">
      <w:pPr>
        <w:pStyle w:val="PrrafodeSentencia"/>
        <w:numPr>
          <w:ilvl w:val="0"/>
          <w:numId w:val="0"/>
        </w:numPr>
      </w:pPr>
    </w:p>
    <w:p w14:paraId="23684B0B" w14:textId="597AA18E" w:rsidR="00C62355" w:rsidRPr="002502B4" w:rsidRDefault="006F471A" w:rsidP="00D753D0">
      <w:pPr>
        <w:pStyle w:val="PrrafodeSentencia"/>
        <w:rPr>
          <w:strike/>
          <w:lang w:val="es-ES"/>
        </w:rPr>
      </w:pPr>
      <w:r>
        <w:t xml:space="preserve">Sin perjuicio de lo anterior, la Corte considera pertinente señalar, </w:t>
      </w:r>
      <w:r w:rsidR="002502B4" w:rsidRPr="002502B4">
        <w:rPr>
          <w:lang w:val="es-ES"/>
        </w:rPr>
        <w:t>respecto de</w:t>
      </w:r>
      <w:r w:rsidR="003F6BFF" w:rsidRPr="002502B4">
        <w:t xml:space="preserve"> </w:t>
      </w:r>
      <w:r w:rsidR="004C6F9D" w:rsidRPr="002502B4">
        <w:t>la</w:t>
      </w:r>
      <w:r w:rsidR="004C6F9D">
        <w:t xml:space="preserve"> primera excepción preliminar</w:t>
      </w:r>
      <w:r w:rsidR="003F6BFF">
        <w:t xml:space="preserve"> del Estado</w:t>
      </w:r>
      <w:r w:rsidR="009220C6">
        <w:t xml:space="preserve"> (</w:t>
      </w:r>
      <w:r w:rsidR="009220C6" w:rsidRPr="002502B4">
        <w:rPr>
          <w:i/>
        </w:rPr>
        <w:t>supra</w:t>
      </w:r>
      <w:r w:rsidR="009220C6">
        <w:t xml:space="preserve"> párr. </w:t>
      </w:r>
      <w:r w:rsidR="005A225F">
        <w:t>15</w:t>
      </w:r>
      <w:r w:rsidR="006C7F0A">
        <w:t>)</w:t>
      </w:r>
      <w:r w:rsidR="003F6BFF">
        <w:t>,</w:t>
      </w:r>
      <w:r w:rsidR="001A4D4F">
        <w:t xml:space="preserve"> que</w:t>
      </w:r>
      <w:r w:rsidR="009220C6">
        <w:t xml:space="preserve"> </w:t>
      </w:r>
      <w:r w:rsidR="00DB244A">
        <w:t xml:space="preserve">el artículo 35.1 </w:t>
      </w:r>
      <w:r w:rsidR="001A4D4F">
        <w:t xml:space="preserve">del Reglamento de la Corte </w:t>
      </w:r>
      <w:r w:rsidR="00DB244A">
        <w:t>establece que</w:t>
      </w:r>
      <w:r w:rsidR="00A70F8E">
        <w:t xml:space="preserve">, para que un caso pueda ser examinado por </w:t>
      </w:r>
      <w:r w:rsidR="001A4D4F">
        <w:t>la Corte</w:t>
      </w:r>
      <w:r w:rsidR="00A70F8E">
        <w:t xml:space="preserve">, </w:t>
      </w:r>
      <w:r w:rsidR="0010660B">
        <w:t>el informe al que se refiere el artículo 50 de la Convención debe conten</w:t>
      </w:r>
      <w:r w:rsidR="00B51169">
        <w:t xml:space="preserve">er la identificación de las presuntas víctimas. </w:t>
      </w:r>
      <w:r w:rsidR="00502F6B">
        <w:t xml:space="preserve">En ese sentido, el Tribunal advierte que en el presente caso las presuntas víctimas del caso </w:t>
      </w:r>
      <w:r w:rsidR="00DF2672">
        <w:t>fueron claramente individualizadas por la Comisión en su Informe de Fondo</w:t>
      </w:r>
      <w:r w:rsidR="00023B68">
        <w:t>, a saber</w:t>
      </w:r>
      <w:r w:rsidR="009E5AB9">
        <w:t>:</w:t>
      </w:r>
      <w:r w:rsidR="00023B68">
        <w:t xml:space="preserve"> </w:t>
      </w:r>
      <w:r w:rsidR="00023B68" w:rsidRPr="004F6879">
        <w:t>Ra</w:t>
      </w:r>
      <w:r w:rsidR="005178F1">
        <w:t>gh</w:t>
      </w:r>
      <w:r w:rsidR="00023B68" w:rsidRPr="004F6879">
        <w:t>da Habbal</w:t>
      </w:r>
      <w:r w:rsidR="00023B68">
        <w:t xml:space="preserve">, </w:t>
      </w:r>
      <w:r w:rsidR="00023B68" w:rsidRPr="002502B4">
        <w:rPr>
          <w:rFonts w:cs="Times New Roman"/>
        </w:rPr>
        <w:t>Monnawar</w:t>
      </w:r>
      <w:r w:rsidR="009E5AB9" w:rsidRPr="002502B4">
        <w:rPr>
          <w:rFonts w:cs="Times New Roman"/>
        </w:rPr>
        <w:t xml:space="preserve"> Al Kassar</w:t>
      </w:r>
      <w:r w:rsidR="00023B68" w:rsidRPr="002502B4">
        <w:rPr>
          <w:rFonts w:cs="Times New Roman"/>
        </w:rPr>
        <w:t>, Hifaa</w:t>
      </w:r>
      <w:r w:rsidR="009E5AB9" w:rsidRPr="002502B4">
        <w:rPr>
          <w:rFonts w:cs="Times New Roman"/>
        </w:rPr>
        <w:t xml:space="preserve"> Al Kassar</w:t>
      </w:r>
      <w:r w:rsidR="00023B68" w:rsidRPr="002502B4">
        <w:rPr>
          <w:rFonts w:cs="Times New Roman"/>
        </w:rPr>
        <w:t>, Natasha</w:t>
      </w:r>
      <w:r w:rsidR="009E5AB9" w:rsidRPr="002502B4">
        <w:rPr>
          <w:rFonts w:cs="Times New Roman"/>
        </w:rPr>
        <w:t xml:space="preserve"> Al Kassar</w:t>
      </w:r>
      <w:r w:rsidR="00023B68" w:rsidRPr="002502B4">
        <w:rPr>
          <w:rFonts w:cs="Times New Roman"/>
        </w:rPr>
        <w:t>, y Mohammed René Al Kassar.</w:t>
      </w:r>
      <w:r w:rsidR="00145D8E" w:rsidRPr="002502B4">
        <w:rPr>
          <w:rFonts w:cs="Times New Roman"/>
        </w:rPr>
        <w:t xml:space="preserve"> </w:t>
      </w:r>
      <w:r w:rsidR="001B31CE">
        <w:rPr>
          <w:rFonts w:cs="Times New Roman"/>
        </w:rPr>
        <w:t>L</w:t>
      </w:r>
      <w:r w:rsidR="00145D8E" w:rsidRPr="002502B4">
        <w:rPr>
          <w:rFonts w:cs="Times New Roman"/>
        </w:rPr>
        <w:t xml:space="preserve">a Corte </w:t>
      </w:r>
      <w:r w:rsidR="009E2E61" w:rsidRPr="002502B4">
        <w:rPr>
          <w:rFonts w:cs="Times New Roman"/>
        </w:rPr>
        <w:t>advierte</w:t>
      </w:r>
      <w:r w:rsidR="00145D8E" w:rsidRPr="002502B4">
        <w:rPr>
          <w:rFonts w:cs="Times New Roman"/>
        </w:rPr>
        <w:t xml:space="preserve"> que </w:t>
      </w:r>
      <w:r w:rsidR="009B3A91" w:rsidRPr="002502B4">
        <w:rPr>
          <w:rFonts w:cs="Times New Roman"/>
        </w:rPr>
        <w:t>dicho</w:t>
      </w:r>
      <w:r w:rsidR="00145D8E" w:rsidRPr="002502B4">
        <w:rPr>
          <w:rFonts w:cs="Times New Roman"/>
        </w:rPr>
        <w:t xml:space="preserve"> </w:t>
      </w:r>
      <w:r w:rsidR="009B3A91" w:rsidRPr="002502B4">
        <w:rPr>
          <w:rFonts w:cs="Times New Roman"/>
        </w:rPr>
        <w:t>R</w:t>
      </w:r>
      <w:r w:rsidR="00145D8E" w:rsidRPr="002502B4">
        <w:rPr>
          <w:rFonts w:cs="Times New Roman"/>
        </w:rPr>
        <w:t xml:space="preserve">eglamento no exige </w:t>
      </w:r>
      <w:r w:rsidR="009E1A45" w:rsidRPr="002502B4">
        <w:rPr>
          <w:rFonts w:cs="Times New Roman"/>
        </w:rPr>
        <w:t>el cumplimiento de formalidades adicionales para el sometimiento del caso</w:t>
      </w:r>
      <w:r w:rsidR="00C81FCA" w:rsidRPr="002502B4">
        <w:rPr>
          <w:rFonts w:cs="Times New Roman"/>
        </w:rPr>
        <w:t xml:space="preserve"> en lo que se refiere a la individualización de las presuntas víctimas</w:t>
      </w:r>
      <w:r w:rsidR="00472CDD" w:rsidRPr="002502B4">
        <w:rPr>
          <w:rFonts w:cs="Times New Roman"/>
        </w:rPr>
        <w:t>.</w:t>
      </w:r>
    </w:p>
    <w:p w14:paraId="0B1C4EFD" w14:textId="77777777" w:rsidR="008D01A3" w:rsidRPr="006B1176" w:rsidRDefault="008D01A3" w:rsidP="00D753D0">
      <w:pPr>
        <w:pStyle w:val="PrrafodeSentencia"/>
        <w:numPr>
          <w:ilvl w:val="0"/>
          <w:numId w:val="0"/>
        </w:numPr>
      </w:pPr>
    </w:p>
    <w:p w14:paraId="53249932" w14:textId="0ED2A43E" w:rsidR="00677653" w:rsidRPr="00677653" w:rsidRDefault="004C6F9D" w:rsidP="00D753D0">
      <w:pPr>
        <w:pStyle w:val="PrrafodeSentencia"/>
        <w:rPr>
          <w:strike/>
        </w:rPr>
      </w:pPr>
      <w:r>
        <w:t>Respecto de</w:t>
      </w:r>
      <w:r w:rsidR="009034A8">
        <w:t xml:space="preserve"> la alegada falta de representación de las presuntas víctimas</w:t>
      </w:r>
      <w:r w:rsidR="00DC1203">
        <w:t>, la Corte advierte que</w:t>
      </w:r>
      <w:r w:rsidR="006D1B9D">
        <w:t>,</w:t>
      </w:r>
      <w:r w:rsidR="00AA3991">
        <w:t xml:space="preserve"> el </w:t>
      </w:r>
      <w:r w:rsidR="0058781F">
        <w:t>24 de febrero de 199</w:t>
      </w:r>
      <w:r w:rsidR="00ED4A5E">
        <w:t>3</w:t>
      </w:r>
      <w:r w:rsidR="006D1B9D">
        <w:t>,</w:t>
      </w:r>
      <w:r w:rsidR="00DC1203">
        <w:t xml:space="preserve"> </w:t>
      </w:r>
      <w:r w:rsidR="00DB71C9">
        <w:t>la señora Habbal</w:t>
      </w:r>
      <w:r w:rsidR="0058781F">
        <w:t>, a través del señor S.F.G.C.</w:t>
      </w:r>
      <w:r w:rsidR="00D61554">
        <w:t>,</w:t>
      </w:r>
      <w:r w:rsidR="00DB71C9">
        <w:t xml:space="preserve"> otorgó un poder de representanción a los abogados </w:t>
      </w:r>
      <w:bookmarkStart w:id="18" w:name="_Hlk114648375"/>
      <w:r w:rsidR="00DB71C9">
        <w:t>Carlos Varela Álvarez, Diego Jorge Lavado y Alejandro Omar Venier</w:t>
      </w:r>
      <w:bookmarkEnd w:id="18"/>
      <w:r w:rsidR="00DB71C9">
        <w:t xml:space="preserve"> para que la representaran </w:t>
      </w:r>
      <w:r w:rsidR="00730E0C" w:rsidRPr="00730E0C">
        <w:t>“en el territorio de la República Argentina en cualquier acto, procedimiento, expediente o trámite administrativo ante cualquier autoridad estatal, provincial o municipal, así como con el carácter de poder general para juicios y pleitos los representen en cualquiera procesos judiciales de cualquier naturaleza y ante cualquier tribunal incluidas instancias o tribunales internacionales fuera del territorio de la República Argentin</w:t>
      </w:r>
      <w:r w:rsidR="00730E0C">
        <w:t>a”</w:t>
      </w:r>
      <w:r w:rsidR="00F54888">
        <w:rPr>
          <w:rStyle w:val="Refdenotaalpie"/>
        </w:rPr>
        <w:footnoteReference w:id="13"/>
      </w:r>
      <w:r w:rsidR="00730E0C">
        <w:t xml:space="preserve">. </w:t>
      </w:r>
      <w:r w:rsidR="00D61554" w:rsidRPr="0080558A">
        <w:t>Al respecto, el Tribunal constata que d</w:t>
      </w:r>
      <w:r w:rsidR="00730E0C" w:rsidRPr="0080558A">
        <w:t>icho poder</w:t>
      </w:r>
      <w:r w:rsidR="00E47F58" w:rsidRPr="0080558A">
        <w:t xml:space="preserve"> fue otorgado cuando la señora Habbal </w:t>
      </w:r>
      <w:r w:rsidR="0040305E" w:rsidRPr="0080558A">
        <w:t>tenía la patria potestad de sus hijas e hijo,</w:t>
      </w:r>
      <w:r w:rsidR="0069696E" w:rsidRPr="0080558A">
        <w:t xml:space="preserve"> quienes figuran como presuntas víctimas del caso,</w:t>
      </w:r>
      <w:r w:rsidR="00D61554" w:rsidRPr="0080558A">
        <w:t xml:space="preserve"> sin que este poder hubiera sido revocado por las presuntas víctimas. Asimismo, el Tribunal advierte que en virtud de</w:t>
      </w:r>
      <w:r w:rsidR="00DB158D">
        <w:t xml:space="preserve"> que</w:t>
      </w:r>
      <w:r w:rsidR="00D61554" w:rsidRPr="0080558A">
        <w:t xml:space="preserve"> dicho poder </w:t>
      </w:r>
      <w:r w:rsidR="00FF781A" w:rsidRPr="0080558A">
        <w:t xml:space="preserve">se ejerció </w:t>
      </w:r>
      <w:r w:rsidR="00D61554" w:rsidRPr="0080558A">
        <w:t>la representación en el trámite ante la Comisión Interamericana. En razón de ello, la Corte considera que el poder de representación se encuentra vigente y resulta suficiente</w:t>
      </w:r>
      <w:r w:rsidR="004B1EF0" w:rsidRPr="0080558A">
        <w:t xml:space="preserve"> para </w:t>
      </w:r>
      <w:r w:rsidR="00DC3430" w:rsidRPr="0080558A">
        <w:t xml:space="preserve">acreditar </w:t>
      </w:r>
      <w:r w:rsidR="009605AC" w:rsidRPr="0080558A">
        <w:t>al</w:t>
      </w:r>
      <w:r w:rsidR="00DC3430" w:rsidRPr="0080558A">
        <w:t xml:space="preserve"> señor Carlos Varela Álvarez </w:t>
      </w:r>
      <w:r w:rsidR="009605AC" w:rsidRPr="0080558A">
        <w:t>como representante de las</w:t>
      </w:r>
      <w:r w:rsidR="00B266DE" w:rsidRPr="0080558A">
        <w:t xml:space="preserve"> presuntas víctimas</w:t>
      </w:r>
      <w:r w:rsidR="009605AC" w:rsidRPr="0080558A">
        <w:t xml:space="preserve"> ante este Tribunal</w:t>
      </w:r>
      <w:r w:rsidR="00DB158D">
        <w:t>, especialmente considerando que el mismo se refiere a la representación ante instancias o tribunales internacionales</w:t>
      </w:r>
      <w:r w:rsidR="00DC3430" w:rsidRPr="0080558A">
        <w:t>.</w:t>
      </w:r>
    </w:p>
    <w:p w14:paraId="4227D4D5" w14:textId="77777777" w:rsidR="00BD62BD" w:rsidRPr="00BD62BD" w:rsidRDefault="00BD62BD" w:rsidP="00D753D0">
      <w:pPr>
        <w:pStyle w:val="PrrafodeSentencia"/>
        <w:numPr>
          <w:ilvl w:val="0"/>
          <w:numId w:val="0"/>
        </w:numPr>
      </w:pPr>
    </w:p>
    <w:p w14:paraId="613FCBC1" w14:textId="0A2E93A0" w:rsidR="0010431E" w:rsidRPr="0037717D" w:rsidRDefault="00BD62BD" w:rsidP="00D753D0">
      <w:pPr>
        <w:pStyle w:val="PrrafodeSentencia"/>
        <w:rPr>
          <w:strike/>
          <w:lang w:val="es-ES"/>
        </w:rPr>
      </w:pPr>
      <w:r w:rsidRPr="008D4C6F">
        <w:rPr>
          <w:rFonts w:eastAsia="Times New Roman" w:cs="Times New Roman"/>
        </w:rPr>
        <w:t xml:space="preserve">En relación con </w:t>
      </w:r>
      <w:r w:rsidR="004C6F9D">
        <w:rPr>
          <w:rFonts w:eastAsia="Times New Roman" w:cs="Times New Roman"/>
        </w:rPr>
        <w:t>la segunda excepción preliminar</w:t>
      </w:r>
      <w:r w:rsidRPr="008D4C6F">
        <w:rPr>
          <w:rFonts w:eastAsia="Times New Roman" w:cs="Times New Roman"/>
        </w:rPr>
        <w:t xml:space="preserve"> del Estado (</w:t>
      </w:r>
      <w:r w:rsidRPr="00A82755">
        <w:rPr>
          <w:rFonts w:eastAsia="Times New Roman" w:cs="Times New Roman"/>
          <w:i/>
        </w:rPr>
        <w:t>supra</w:t>
      </w:r>
      <w:r w:rsidRPr="008D4C6F">
        <w:rPr>
          <w:rFonts w:eastAsia="Times New Roman" w:cs="Times New Roman"/>
        </w:rPr>
        <w:t xml:space="preserve"> párr. </w:t>
      </w:r>
      <w:r w:rsidR="005B28DA">
        <w:rPr>
          <w:rFonts w:eastAsia="Times New Roman" w:cs="Times New Roman"/>
        </w:rPr>
        <w:t>18</w:t>
      </w:r>
      <w:r w:rsidRPr="008D4C6F">
        <w:rPr>
          <w:rFonts w:eastAsia="Times New Roman" w:cs="Times New Roman"/>
        </w:rPr>
        <w:t xml:space="preserve">), </w:t>
      </w:r>
      <w:r w:rsidR="00E42AA4" w:rsidRPr="008D4C6F">
        <w:t>e</w:t>
      </w:r>
      <w:r w:rsidR="00863547" w:rsidRPr="008D4C6F">
        <w:t xml:space="preserve">l Tribunal advierte que el planteamiento central en el presente caso consiste en determinar si el Estado incumplió con su </w:t>
      </w:r>
      <w:r w:rsidR="00A87079" w:rsidRPr="008D4C6F">
        <w:t xml:space="preserve">deber de respeto de los derechos </w:t>
      </w:r>
      <w:r w:rsidR="00D77FA9" w:rsidRPr="008D4C6F">
        <w:t>a la nacionalidad, circulación y residencia</w:t>
      </w:r>
      <w:r w:rsidR="00B21C41" w:rsidRPr="008D4C6F">
        <w:t>,</w:t>
      </w:r>
      <w:r w:rsidR="00D77FA9" w:rsidRPr="008D4C6F">
        <w:t xml:space="preserve"> niñez,</w:t>
      </w:r>
      <w:r w:rsidR="004F4B46">
        <w:t xml:space="preserve"> igualdad ante la ley,</w:t>
      </w:r>
      <w:r w:rsidR="00B21C41" w:rsidRPr="008D4C6F">
        <w:t xml:space="preserve"> garantías judiciales y protección judicial</w:t>
      </w:r>
      <w:r w:rsidR="004F4B46">
        <w:t>,</w:t>
      </w:r>
      <w:r w:rsidR="00B21C41" w:rsidRPr="008D4C6F">
        <w:t xml:space="preserve"> como resultado </w:t>
      </w:r>
      <w:r w:rsidR="005D32A9" w:rsidRPr="008D4C6F">
        <w:t xml:space="preserve">del procedimiento migratorio mediante el cual se determinó la expulsión de las presuntas víctimas, y el </w:t>
      </w:r>
      <w:r w:rsidR="00944099" w:rsidRPr="008D4C6F">
        <w:t xml:space="preserve">procedimiento mediante el cual se </w:t>
      </w:r>
      <w:r w:rsidR="00B81203" w:rsidRPr="008D4C6F">
        <w:t>anuló la ciudadanía de la señora Habbal</w:t>
      </w:r>
      <w:r w:rsidR="00863547" w:rsidRPr="008D4C6F">
        <w:rPr>
          <w:rFonts w:eastAsia="Verdana" w:cs="Verdana"/>
        </w:rPr>
        <w:t>. La determinación de estas cuestiones evidentemente atañen al fondo de la controversia del caso, como también lo es determinar si dich</w:t>
      </w:r>
      <w:r w:rsidR="00AE4F55" w:rsidRPr="008D4C6F">
        <w:rPr>
          <w:rFonts w:eastAsia="Verdana" w:cs="Verdana"/>
        </w:rPr>
        <w:t xml:space="preserve">os actos tuvieron un efecto en los derechos </w:t>
      </w:r>
      <w:r w:rsidR="000E51D6" w:rsidRPr="008D4C6F">
        <w:rPr>
          <w:rFonts w:eastAsia="Verdana" w:cs="Verdana"/>
        </w:rPr>
        <w:t>de las</w:t>
      </w:r>
      <w:r w:rsidR="005B28DA">
        <w:rPr>
          <w:rFonts w:eastAsia="Verdana" w:cs="Verdana"/>
        </w:rPr>
        <w:t xml:space="preserve"> presuntas</w:t>
      </w:r>
      <w:r w:rsidR="000E51D6" w:rsidRPr="008D4C6F">
        <w:rPr>
          <w:rFonts w:eastAsia="Verdana" w:cs="Verdana"/>
        </w:rPr>
        <w:t xml:space="preserve"> víctimas, o bien si </w:t>
      </w:r>
      <w:r w:rsidR="00863547" w:rsidRPr="008D4C6F">
        <w:rPr>
          <w:rFonts w:eastAsia="Verdana" w:cs="Verdana"/>
        </w:rPr>
        <w:t xml:space="preserve">han cesado </w:t>
      </w:r>
      <w:r w:rsidR="000E51D6" w:rsidRPr="008D4C6F">
        <w:rPr>
          <w:rFonts w:eastAsia="Verdana" w:cs="Verdana"/>
        </w:rPr>
        <w:t>y</w:t>
      </w:r>
      <w:r w:rsidR="00863547" w:rsidRPr="008D4C6F">
        <w:rPr>
          <w:rFonts w:eastAsia="Verdana" w:cs="Verdana"/>
        </w:rPr>
        <w:t xml:space="preserve"> han sido reparadas por </w:t>
      </w:r>
      <w:r w:rsidR="000E51D6" w:rsidRPr="008D4C6F">
        <w:rPr>
          <w:rFonts w:eastAsia="Verdana" w:cs="Verdana"/>
        </w:rPr>
        <w:t>actos posteriores del Estado</w:t>
      </w:r>
      <w:r w:rsidR="00863547" w:rsidRPr="008D4C6F">
        <w:rPr>
          <w:rFonts w:eastAsia="Verdana" w:cs="Verdana"/>
        </w:rPr>
        <w:t>.</w:t>
      </w:r>
      <w:r w:rsidR="00863547" w:rsidRPr="008D4C6F">
        <w:t xml:space="preserve"> </w:t>
      </w:r>
      <w:r w:rsidR="00CB6D60">
        <w:t>En ese sentido, la solicitud del Estado no controvierte la competencia de la Corte para conocer del presente caso, sino que resulta un argumento que atañe a la determinación de la responsabilidad</w:t>
      </w:r>
      <w:r w:rsidR="00EC327E">
        <w:t xml:space="preserve"> internacional</w:t>
      </w:r>
      <w:r w:rsidR="00CB6D60">
        <w:t xml:space="preserve"> del Estado en el caso concreto</w:t>
      </w:r>
      <w:r w:rsidR="00FF781A">
        <w:t xml:space="preserve">, o bien para </w:t>
      </w:r>
      <w:r w:rsidR="00291137">
        <w:t>establecer</w:t>
      </w:r>
      <w:r w:rsidR="00FF781A">
        <w:t xml:space="preserve">, en caso de ser conducente, las </w:t>
      </w:r>
      <w:r w:rsidR="007567E7">
        <w:t xml:space="preserve">correspondientes </w:t>
      </w:r>
      <w:r w:rsidR="00FF781A">
        <w:t>reparaciones del caso</w:t>
      </w:r>
      <w:r w:rsidR="00CB6D60">
        <w:t>.</w:t>
      </w:r>
    </w:p>
    <w:p w14:paraId="7166206A" w14:textId="77777777" w:rsidR="00E343A0" w:rsidRPr="002502B4" w:rsidRDefault="00E343A0" w:rsidP="00D753D0">
      <w:pPr>
        <w:pStyle w:val="PrrafodeSentencia"/>
        <w:numPr>
          <w:ilvl w:val="0"/>
          <w:numId w:val="0"/>
        </w:numPr>
      </w:pPr>
    </w:p>
    <w:p w14:paraId="112669BC" w14:textId="77777777" w:rsidR="002502B4" w:rsidRPr="002502B4" w:rsidRDefault="002502B4" w:rsidP="002502B4">
      <w:pPr>
        <w:rPr>
          <w:strike/>
          <w:lang w:val="es-ES"/>
        </w:rPr>
      </w:pPr>
    </w:p>
    <w:p w14:paraId="758B6E48" w14:textId="41DF9FD9" w:rsidR="00C66E22" w:rsidRPr="00F1599D" w:rsidRDefault="00C66E22" w:rsidP="00703721">
      <w:pPr>
        <w:pStyle w:val="Ttulo1"/>
      </w:pPr>
      <w:bookmarkStart w:id="19" w:name="_Toc47112948"/>
      <w:bookmarkStart w:id="20" w:name="_Toc88058633"/>
      <w:bookmarkStart w:id="21" w:name="_Toc115167426"/>
      <w:r w:rsidRPr="00F1599D">
        <w:t>V</w:t>
      </w:r>
      <w:r w:rsidRPr="00F1599D">
        <w:rPr>
          <w:lang w:eastAsia="es-CR"/>
        </w:rPr>
        <w:br/>
      </w:r>
      <w:r w:rsidRPr="00F1599D">
        <w:t>PRUEBA</w:t>
      </w:r>
      <w:bookmarkEnd w:id="19"/>
      <w:bookmarkEnd w:id="20"/>
      <w:bookmarkEnd w:id="21"/>
    </w:p>
    <w:p w14:paraId="0112A636" w14:textId="77777777" w:rsidR="00C66E22" w:rsidRPr="00F1599D" w:rsidRDefault="00C66E22" w:rsidP="00703721">
      <w:pPr>
        <w:pStyle w:val="Prrafodelista"/>
        <w:spacing w:after="0" w:line="240" w:lineRule="auto"/>
        <w:ind w:left="0"/>
        <w:jc w:val="both"/>
        <w:rPr>
          <w:rFonts w:ascii="Verdana" w:eastAsia="Verdana" w:hAnsi="Verdana" w:cs="Verdana"/>
          <w:bCs/>
          <w:sz w:val="20"/>
          <w:szCs w:val="20"/>
          <w:lang w:val="es-ES"/>
        </w:rPr>
      </w:pPr>
    </w:p>
    <w:p w14:paraId="437F2861" w14:textId="77777777" w:rsidR="00C66E22" w:rsidRPr="00703721" w:rsidRDefault="00C66E22" w:rsidP="00703721">
      <w:pPr>
        <w:pStyle w:val="Ttulo2"/>
        <w:numPr>
          <w:ilvl w:val="0"/>
          <w:numId w:val="5"/>
        </w:numPr>
      </w:pPr>
      <w:bookmarkStart w:id="22" w:name="_Toc47112949"/>
      <w:bookmarkStart w:id="23" w:name="_Toc88058634"/>
      <w:bookmarkStart w:id="24" w:name="_Toc115167427"/>
      <w:r w:rsidRPr="00703721">
        <w:lastRenderedPageBreak/>
        <w:t>Admisibilidad de la prueba documental</w:t>
      </w:r>
      <w:bookmarkEnd w:id="22"/>
      <w:bookmarkEnd w:id="23"/>
      <w:bookmarkEnd w:id="24"/>
    </w:p>
    <w:p w14:paraId="003CE503" w14:textId="77777777" w:rsidR="00C66E22" w:rsidRPr="00703721" w:rsidRDefault="00C66E22" w:rsidP="00703721">
      <w:pPr>
        <w:pStyle w:val="Prrafodelista"/>
        <w:spacing w:after="0" w:line="240" w:lineRule="auto"/>
        <w:ind w:left="0"/>
        <w:jc w:val="both"/>
        <w:rPr>
          <w:rFonts w:ascii="Verdana" w:eastAsia="Verdana" w:hAnsi="Verdana" w:cs="Verdana"/>
          <w:sz w:val="20"/>
          <w:szCs w:val="20"/>
          <w:lang w:val="es-ES"/>
        </w:rPr>
      </w:pPr>
    </w:p>
    <w:p w14:paraId="70913DA2" w14:textId="263A82A3" w:rsidR="00C66E22" w:rsidRPr="00206EAE" w:rsidRDefault="00C66E22" w:rsidP="00D753D0">
      <w:pPr>
        <w:pStyle w:val="PrrafodeSentencia"/>
        <w:rPr>
          <w:rFonts w:eastAsia="Verdana" w:cs="Verdana"/>
          <w:lang w:val="es-ES"/>
        </w:rPr>
      </w:pPr>
      <w:r w:rsidRPr="00703721">
        <w:t xml:space="preserve">El Tribunal recibió diversos documentos presentados como prueba por la Comisión, </w:t>
      </w:r>
      <w:r w:rsidR="003C4F9C" w:rsidRPr="00703721">
        <w:t>los</w:t>
      </w:r>
      <w:r w:rsidRPr="00703721">
        <w:t xml:space="preserve"> representantes y el Estado (</w:t>
      </w:r>
      <w:r w:rsidRPr="00703721">
        <w:rPr>
          <w:i/>
        </w:rPr>
        <w:t xml:space="preserve">supra </w:t>
      </w:r>
      <w:r w:rsidRPr="00703721">
        <w:t xml:space="preserve">párrs. </w:t>
      </w:r>
      <w:r w:rsidR="007C2DFD">
        <w:t>1</w:t>
      </w:r>
      <w:r w:rsidR="0054696C" w:rsidRPr="00703721">
        <w:t xml:space="preserve">, </w:t>
      </w:r>
      <w:r w:rsidR="007C2DFD">
        <w:t>6</w:t>
      </w:r>
      <w:r w:rsidR="0054696C" w:rsidRPr="00703721">
        <w:t xml:space="preserve"> y </w:t>
      </w:r>
      <w:r w:rsidR="007C2DFD">
        <w:t>7</w:t>
      </w:r>
      <w:r w:rsidRPr="00703721">
        <w:t>), los cuales, como en otros casos, admite en el entendido que fueron presentados en la debida oportunidad procesal (artículo 57 del Reglamento)</w:t>
      </w:r>
      <w:r w:rsidRPr="00703721">
        <w:rPr>
          <w:rStyle w:val="Refdenotaalpie"/>
        </w:rPr>
        <w:footnoteReference w:id="14"/>
      </w:r>
      <w:r w:rsidRPr="00703721">
        <w:t xml:space="preserve"> y su admisibilidad no fue controvertida ni objetada.</w:t>
      </w:r>
    </w:p>
    <w:p w14:paraId="0EF6742E" w14:textId="77777777" w:rsidR="00C66E22" w:rsidRPr="00703721" w:rsidRDefault="00C66E22" w:rsidP="00703721">
      <w:pPr>
        <w:pStyle w:val="Prrafodelista"/>
        <w:spacing w:after="0" w:line="240" w:lineRule="auto"/>
        <w:ind w:left="0"/>
        <w:jc w:val="both"/>
        <w:rPr>
          <w:rFonts w:ascii="Verdana" w:eastAsia="Verdana" w:hAnsi="Verdana" w:cs="Verdana"/>
          <w:sz w:val="20"/>
          <w:szCs w:val="20"/>
          <w:lang w:val="es-ES"/>
        </w:rPr>
      </w:pPr>
    </w:p>
    <w:p w14:paraId="1FD3CABA" w14:textId="77777777" w:rsidR="00C66E22" w:rsidRPr="00703721" w:rsidRDefault="00C66E22" w:rsidP="00703721">
      <w:pPr>
        <w:pStyle w:val="Ttulo2"/>
        <w:numPr>
          <w:ilvl w:val="0"/>
          <w:numId w:val="5"/>
        </w:numPr>
      </w:pPr>
      <w:bookmarkStart w:id="25" w:name="_Toc47112950"/>
      <w:bookmarkStart w:id="26" w:name="_Toc88058635"/>
      <w:bookmarkStart w:id="27" w:name="_Toc115167428"/>
      <w:r w:rsidRPr="00703721">
        <w:t>Admisibilidad de la prueba testimonial y pericial</w:t>
      </w:r>
      <w:bookmarkEnd w:id="25"/>
      <w:bookmarkEnd w:id="26"/>
      <w:bookmarkEnd w:id="27"/>
    </w:p>
    <w:p w14:paraId="1B14F606" w14:textId="77777777" w:rsidR="00C66E22" w:rsidRPr="00703721" w:rsidRDefault="00C66E22" w:rsidP="00703721">
      <w:pPr>
        <w:pStyle w:val="Prrafodelista"/>
        <w:spacing w:after="0" w:line="240" w:lineRule="auto"/>
        <w:ind w:left="0"/>
        <w:jc w:val="both"/>
        <w:rPr>
          <w:rFonts w:ascii="Verdana" w:eastAsia="Verdana" w:hAnsi="Verdana" w:cs="Verdana"/>
          <w:sz w:val="20"/>
          <w:szCs w:val="20"/>
          <w:lang w:val="es-ES"/>
        </w:rPr>
      </w:pPr>
    </w:p>
    <w:p w14:paraId="0E2EFD5A" w14:textId="6FEF72DF" w:rsidR="00C66E22" w:rsidRPr="00703721" w:rsidRDefault="00C66E22" w:rsidP="00D753D0">
      <w:pPr>
        <w:pStyle w:val="PrrafodeSentencia"/>
        <w:rPr>
          <w:rFonts w:eastAsia="Verdana" w:cs="Verdana"/>
        </w:rPr>
      </w:pPr>
      <w:r w:rsidRPr="00703721">
        <w:t xml:space="preserve">Este Tribunal estima </w:t>
      </w:r>
      <w:r w:rsidR="00CC2E6D" w:rsidRPr="00703721">
        <w:t>pertinente admitir las declaraciones rendidas en audiencia pública</w:t>
      </w:r>
      <w:r w:rsidR="00CC2E6D" w:rsidRPr="00703721">
        <w:rPr>
          <w:rStyle w:val="Refdenotaalpie"/>
        </w:rPr>
        <w:footnoteReference w:id="15"/>
      </w:r>
      <w:r w:rsidR="00CC2E6D" w:rsidRPr="00703721">
        <w:t xml:space="preserve"> y ante fedatario público</w:t>
      </w:r>
      <w:r w:rsidR="00CC2E6D" w:rsidRPr="00703721">
        <w:rPr>
          <w:rStyle w:val="Refdenotaalpie"/>
        </w:rPr>
        <w:footnoteReference w:id="16"/>
      </w:r>
      <w:r w:rsidR="00CC2E6D" w:rsidRPr="00703721">
        <w:t>, en la medida en que se ajusten al objeto que fue definido por la Presidencia y la Corte en las resoluciones mediante las cuales se ordenó recibirlas en el presente caso</w:t>
      </w:r>
      <w:r w:rsidR="00CC2E6D" w:rsidRPr="00703721">
        <w:rPr>
          <w:rStyle w:val="Refdenotaalpie"/>
        </w:rPr>
        <w:footnoteReference w:id="17"/>
      </w:r>
      <w:r w:rsidR="00CC2E6D" w:rsidRPr="00703721">
        <w:t>.</w:t>
      </w:r>
    </w:p>
    <w:p w14:paraId="3BBA2FE0" w14:textId="77777777" w:rsidR="00C66E22" w:rsidRPr="00DF1416" w:rsidRDefault="00C66E22" w:rsidP="004330E3">
      <w:pPr>
        <w:pStyle w:val="Prrafodelista"/>
        <w:widowControl/>
        <w:spacing w:after="0" w:line="240" w:lineRule="auto"/>
        <w:ind w:left="0"/>
        <w:jc w:val="both"/>
        <w:rPr>
          <w:rFonts w:ascii="Verdana" w:eastAsia="Verdana" w:hAnsi="Verdana" w:cs="Verdana"/>
          <w:spacing w:val="-1"/>
          <w:sz w:val="20"/>
          <w:szCs w:val="20"/>
          <w:lang w:val="es-ES"/>
        </w:rPr>
      </w:pPr>
    </w:p>
    <w:p w14:paraId="6582F6AC" w14:textId="28E0EB85" w:rsidR="00655E3B" w:rsidRPr="004F6879" w:rsidRDefault="00655E3B" w:rsidP="004330E3">
      <w:pPr>
        <w:pStyle w:val="Ttulo1"/>
        <w:snapToGrid w:val="0"/>
      </w:pPr>
      <w:bookmarkStart w:id="28" w:name="_Toc47112951"/>
      <w:bookmarkStart w:id="29" w:name="_Toc88058636"/>
      <w:bookmarkStart w:id="30" w:name="_Toc115167429"/>
      <w:r w:rsidRPr="00AF2940">
        <w:t>VI</w:t>
      </w:r>
      <w:r w:rsidRPr="00AF2940">
        <w:rPr>
          <w:lang w:eastAsia="es-CR"/>
        </w:rPr>
        <w:br/>
      </w:r>
      <w:r w:rsidRPr="00AF2940">
        <w:t>HECHOS</w:t>
      </w:r>
      <w:bookmarkEnd w:id="28"/>
      <w:bookmarkEnd w:id="29"/>
      <w:bookmarkEnd w:id="30"/>
    </w:p>
    <w:p w14:paraId="6C3E19AB" w14:textId="77777777" w:rsidR="00655E3B" w:rsidRPr="004F6879" w:rsidRDefault="00655E3B" w:rsidP="004330E3">
      <w:pPr>
        <w:snapToGrid w:val="0"/>
        <w:rPr>
          <w:rFonts w:ascii="Verdana" w:hAnsi="Verdana"/>
          <w:sz w:val="20"/>
          <w:szCs w:val="20"/>
          <w:lang w:val="es-ES"/>
        </w:rPr>
      </w:pPr>
    </w:p>
    <w:p w14:paraId="64017A75" w14:textId="50E3D3C8" w:rsidR="00DF44B4" w:rsidRPr="00DF44B4" w:rsidRDefault="00655E3B" w:rsidP="004330E3">
      <w:pPr>
        <w:pStyle w:val="Default"/>
        <w:numPr>
          <w:ilvl w:val="0"/>
          <w:numId w:val="28"/>
        </w:numPr>
        <w:snapToGrid w:val="0"/>
        <w:ind w:left="0" w:firstLine="0"/>
        <w:jc w:val="both"/>
        <w:rPr>
          <w:sz w:val="20"/>
          <w:szCs w:val="20"/>
          <w:lang w:val="es-DO"/>
        </w:rPr>
      </w:pPr>
      <w:r w:rsidRPr="004F6879">
        <w:rPr>
          <w:sz w:val="20"/>
          <w:szCs w:val="20"/>
          <w:lang w:val="es-DO"/>
        </w:rPr>
        <w:t xml:space="preserve">En atención a los </w:t>
      </w:r>
      <w:r w:rsidR="007C158C">
        <w:rPr>
          <w:sz w:val="20"/>
          <w:szCs w:val="20"/>
          <w:lang w:val="es-DO"/>
        </w:rPr>
        <w:t>planteamientos de</w:t>
      </w:r>
      <w:r w:rsidRPr="004F6879">
        <w:rPr>
          <w:sz w:val="20"/>
          <w:szCs w:val="20"/>
          <w:lang w:val="es-DO"/>
        </w:rPr>
        <w:t xml:space="preserve"> las partes y la Comisión, a continuación se expondrán los hechos relevantes del caso en el siguiente orden: a) </w:t>
      </w:r>
      <w:r w:rsidR="003A2B28">
        <w:rPr>
          <w:sz w:val="20"/>
          <w:szCs w:val="20"/>
          <w:lang w:val="es-DO"/>
        </w:rPr>
        <w:t xml:space="preserve">la señora Raghda Habbal y </w:t>
      </w:r>
      <w:r w:rsidR="00291388">
        <w:rPr>
          <w:sz w:val="20"/>
          <w:szCs w:val="20"/>
          <w:lang w:val="es-DO"/>
        </w:rPr>
        <w:t xml:space="preserve">sus </w:t>
      </w:r>
      <w:r w:rsidR="00DF44B4">
        <w:rPr>
          <w:sz w:val="20"/>
          <w:szCs w:val="20"/>
          <w:lang w:val="es-DO"/>
        </w:rPr>
        <w:t>hij</w:t>
      </w:r>
      <w:r w:rsidR="00E555D2">
        <w:rPr>
          <w:sz w:val="20"/>
          <w:szCs w:val="20"/>
          <w:lang w:val="es-DO"/>
        </w:rPr>
        <w:t>a</w:t>
      </w:r>
      <w:r w:rsidR="00DF44B4">
        <w:rPr>
          <w:sz w:val="20"/>
          <w:szCs w:val="20"/>
          <w:lang w:val="es-DO"/>
        </w:rPr>
        <w:t>s</w:t>
      </w:r>
      <w:r w:rsidR="00E555D2">
        <w:rPr>
          <w:sz w:val="20"/>
          <w:szCs w:val="20"/>
          <w:lang w:val="es-DO"/>
        </w:rPr>
        <w:t xml:space="preserve"> e hijo</w:t>
      </w:r>
      <w:r w:rsidR="00F74BAB">
        <w:rPr>
          <w:sz w:val="20"/>
          <w:szCs w:val="20"/>
          <w:lang w:val="es-DO"/>
        </w:rPr>
        <w:t>,</w:t>
      </w:r>
      <w:r w:rsidR="00291388">
        <w:rPr>
          <w:sz w:val="20"/>
          <w:szCs w:val="20"/>
          <w:lang w:val="es-DO"/>
        </w:rPr>
        <w:t xml:space="preserve"> y </w:t>
      </w:r>
      <w:r w:rsidR="003A2B28">
        <w:rPr>
          <w:sz w:val="20"/>
          <w:szCs w:val="20"/>
          <w:lang w:val="es-DO"/>
        </w:rPr>
        <w:t>la obtención de la carta de ciudadanía argentina</w:t>
      </w:r>
      <w:r w:rsidRPr="004F6879">
        <w:rPr>
          <w:sz w:val="20"/>
          <w:szCs w:val="20"/>
          <w:lang w:val="es-DO"/>
        </w:rPr>
        <w:t xml:space="preserve">; b) </w:t>
      </w:r>
      <w:r w:rsidR="00DF44B4">
        <w:rPr>
          <w:sz w:val="20"/>
          <w:szCs w:val="20"/>
          <w:lang w:val="es-DO"/>
        </w:rPr>
        <w:t xml:space="preserve">la anulación de la radicación y la ciudadanía </w:t>
      </w:r>
      <w:r w:rsidR="00D1187E">
        <w:rPr>
          <w:sz w:val="20"/>
          <w:szCs w:val="20"/>
          <w:lang w:val="es-DO"/>
        </w:rPr>
        <w:t>de</w:t>
      </w:r>
      <w:r w:rsidR="00DF44B4">
        <w:rPr>
          <w:sz w:val="20"/>
          <w:szCs w:val="20"/>
          <w:lang w:val="es-DO"/>
        </w:rPr>
        <w:t xml:space="preserve"> la señora Habbal y sus hij</w:t>
      </w:r>
      <w:r w:rsidR="00E555D2">
        <w:rPr>
          <w:sz w:val="20"/>
          <w:szCs w:val="20"/>
          <w:lang w:val="es-DO"/>
        </w:rPr>
        <w:t>a</w:t>
      </w:r>
      <w:r w:rsidR="00DF44B4">
        <w:rPr>
          <w:sz w:val="20"/>
          <w:szCs w:val="20"/>
          <w:lang w:val="es-DO"/>
        </w:rPr>
        <w:t>s</w:t>
      </w:r>
      <w:r w:rsidRPr="004F6879">
        <w:rPr>
          <w:sz w:val="20"/>
          <w:szCs w:val="20"/>
          <w:lang w:val="es-DO"/>
        </w:rPr>
        <w:t>;</w:t>
      </w:r>
      <w:r w:rsidR="00DF44B4">
        <w:rPr>
          <w:sz w:val="20"/>
          <w:szCs w:val="20"/>
          <w:lang w:val="es-DO"/>
        </w:rPr>
        <w:t xml:space="preserve"> </w:t>
      </w:r>
      <w:r w:rsidR="00F43630" w:rsidRPr="004F6879">
        <w:rPr>
          <w:sz w:val="20"/>
          <w:szCs w:val="20"/>
          <w:lang w:val="es-DO"/>
        </w:rPr>
        <w:t>c</w:t>
      </w:r>
      <w:r w:rsidRPr="004F6879">
        <w:rPr>
          <w:sz w:val="20"/>
          <w:szCs w:val="20"/>
          <w:lang w:val="es-DO"/>
        </w:rPr>
        <w:t>)</w:t>
      </w:r>
      <w:r w:rsidR="00DF44B4">
        <w:rPr>
          <w:sz w:val="20"/>
          <w:szCs w:val="20"/>
          <w:lang w:val="es-DO"/>
        </w:rPr>
        <w:t xml:space="preserve"> el sobreseimiento de la causa penal en contra de la señora Habbal y la condena del señor Al Kassa</w:t>
      </w:r>
      <w:r w:rsidR="005760DB">
        <w:rPr>
          <w:sz w:val="20"/>
          <w:szCs w:val="20"/>
          <w:lang w:val="es-DO"/>
        </w:rPr>
        <w:t>r</w:t>
      </w:r>
      <w:r w:rsidR="00DF44B4">
        <w:rPr>
          <w:sz w:val="20"/>
          <w:szCs w:val="20"/>
          <w:lang w:val="es-DO"/>
        </w:rPr>
        <w:t>;</w:t>
      </w:r>
      <w:r w:rsidR="00F74BAB">
        <w:rPr>
          <w:sz w:val="20"/>
          <w:szCs w:val="20"/>
          <w:lang w:val="es-DO"/>
        </w:rPr>
        <w:t xml:space="preserve"> d) </w:t>
      </w:r>
      <w:r w:rsidR="00F74BAB" w:rsidRPr="00F74BAB">
        <w:rPr>
          <w:sz w:val="20"/>
          <w:szCs w:val="20"/>
          <w:lang w:val="es-DO"/>
        </w:rPr>
        <w:t>l</w:t>
      </w:r>
      <w:r w:rsidR="00F74BAB" w:rsidRPr="00F74BAB">
        <w:rPr>
          <w:sz w:val="20"/>
          <w:szCs w:val="20"/>
        </w:rPr>
        <w:t>a revocación de la Resolución 1088 el 1 de junio de 2020</w:t>
      </w:r>
      <w:r w:rsidR="00DF44B4">
        <w:rPr>
          <w:sz w:val="20"/>
          <w:szCs w:val="20"/>
          <w:lang w:val="es-DO"/>
        </w:rPr>
        <w:t xml:space="preserve"> y </w:t>
      </w:r>
      <w:r w:rsidR="002D6077">
        <w:rPr>
          <w:sz w:val="20"/>
          <w:szCs w:val="20"/>
          <w:lang w:val="es-DO"/>
        </w:rPr>
        <w:t>e</w:t>
      </w:r>
      <w:r w:rsidR="00DF44B4">
        <w:rPr>
          <w:sz w:val="20"/>
          <w:szCs w:val="20"/>
          <w:lang w:val="es-DO"/>
        </w:rPr>
        <w:t>) el marco normativo relevante aplicable en la época de los hechos</w:t>
      </w:r>
      <w:r w:rsidRPr="004F6879">
        <w:rPr>
          <w:sz w:val="20"/>
          <w:szCs w:val="20"/>
          <w:lang w:val="es-DO"/>
        </w:rPr>
        <w:t>.</w:t>
      </w:r>
    </w:p>
    <w:p w14:paraId="1A01649C" w14:textId="77777777" w:rsidR="00DF44B4" w:rsidRPr="004F6879" w:rsidRDefault="00DF44B4" w:rsidP="004330E3">
      <w:pPr>
        <w:snapToGrid w:val="0"/>
        <w:jc w:val="both"/>
        <w:rPr>
          <w:rFonts w:ascii="Verdana" w:hAnsi="Verdana" w:cstheme="minorHAnsi"/>
          <w:sz w:val="20"/>
          <w:szCs w:val="20"/>
          <w:lang w:val="es-DO"/>
        </w:rPr>
      </w:pPr>
    </w:p>
    <w:p w14:paraId="38404583" w14:textId="75AE1B4F" w:rsidR="004F6879" w:rsidRPr="00DF44B4" w:rsidRDefault="004F6879" w:rsidP="004330E3">
      <w:pPr>
        <w:pStyle w:val="Ttulo2"/>
        <w:numPr>
          <w:ilvl w:val="0"/>
          <w:numId w:val="24"/>
        </w:numPr>
      </w:pPr>
      <w:bookmarkStart w:id="31" w:name="_Toc115167430"/>
      <w:r w:rsidRPr="00DF44B4">
        <w:t>La señora Raghda Habbal</w:t>
      </w:r>
      <w:r w:rsidR="00291388" w:rsidRPr="00DF44B4">
        <w:t xml:space="preserve"> y</w:t>
      </w:r>
      <w:r w:rsidR="00C12AD6">
        <w:t xml:space="preserve"> sus </w:t>
      </w:r>
      <w:r w:rsidR="005E73F2">
        <w:t xml:space="preserve">hijas e </w:t>
      </w:r>
      <w:r w:rsidR="00291388" w:rsidRPr="00DF44B4">
        <w:t>hijo</w:t>
      </w:r>
      <w:r w:rsidRPr="00DF44B4">
        <w:t xml:space="preserve"> y la obtención de la carta de ciudadanía argentina</w:t>
      </w:r>
      <w:bookmarkEnd w:id="31"/>
    </w:p>
    <w:p w14:paraId="14B790BD" w14:textId="77777777" w:rsidR="004F6879" w:rsidRPr="004F6879" w:rsidRDefault="004F6879" w:rsidP="004330E3">
      <w:pPr>
        <w:pStyle w:val="Prrafodelista"/>
        <w:snapToGrid w:val="0"/>
        <w:spacing w:after="0" w:line="240" w:lineRule="auto"/>
        <w:ind w:left="0"/>
        <w:contextualSpacing w:val="0"/>
        <w:rPr>
          <w:rFonts w:ascii="Verdana" w:hAnsi="Verdana"/>
          <w:sz w:val="20"/>
          <w:szCs w:val="20"/>
          <w:lang w:val="es-AR"/>
        </w:rPr>
      </w:pPr>
    </w:p>
    <w:p w14:paraId="6138723B" w14:textId="74071D84" w:rsidR="004F6879" w:rsidRPr="004F6879" w:rsidRDefault="004F6879" w:rsidP="00D753D0">
      <w:pPr>
        <w:pStyle w:val="PrrafodeSentencia"/>
      </w:pPr>
      <w:r w:rsidRPr="004F6879">
        <w:t xml:space="preserve">La señora </w:t>
      </w:r>
      <w:r w:rsidR="005178F1">
        <w:t>Raghda</w:t>
      </w:r>
      <w:r w:rsidRPr="004F6879">
        <w:t xml:space="preserve"> Habbal nació en el año 1964 en Damasco, Siria</w:t>
      </w:r>
      <w:r w:rsidRPr="004F6879">
        <w:rPr>
          <w:rStyle w:val="Refdenotaalpie"/>
          <w:spacing w:val="3"/>
          <w:lang w:val="es-ES"/>
        </w:rPr>
        <w:footnoteReference w:id="18"/>
      </w:r>
      <w:r w:rsidRPr="004F6879">
        <w:t xml:space="preserve">. El 21 de junio de 1990, la señora Habbal viajó desde España hacia Argentina con sus tres hijas </w:t>
      </w:r>
      <w:r w:rsidRPr="004F6879">
        <w:rPr>
          <w:rFonts w:cs="Times New Roman"/>
        </w:rPr>
        <w:t>Monnawar</w:t>
      </w:r>
      <w:r w:rsidR="009707DF">
        <w:rPr>
          <w:rFonts w:cs="Times New Roman"/>
        </w:rPr>
        <w:t xml:space="preserve"> </w:t>
      </w:r>
      <w:r w:rsidR="009707DF" w:rsidRPr="004F6879">
        <w:rPr>
          <w:rFonts w:cs="Times New Roman"/>
        </w:rPr>
        <w:t>Al Kassar</w:t>
      </w:r>
      <w:r w:rsidRPr="004F6879">
        <w:rPr>
          <w:rFonts w:cs="Times New Roman"/>
        </w:rPr>
        <w:t>, Hifaa</w:t>
      </w:r>
      <w:r w:rsidR="009707DF">
        <w:rPr>
          <w:rFonts w:cs="Times New Roman"/>
        </w:rPr>
        <w:t xml:space="preserve"> </w:t>
      </w:r>
      <w:r w:rsidR="009707DF" w:rsidRPr="004F6879">
        <w:rPr>
          <w:rFonts w:cs="Times New Roman"/>
        </w:rPr>
        <w:t>Al Kassar</w:t>
      </w:r>
      <w:r w:rsidRPr="004F6879">
        <w:rPr>
          <w:rFonts w:cs="Times New Roman"/>
        </w:rPr>
        <w:t xml:space="preserve">, </w:t>
      </w:r>
      <w:r w:rsidR="00030F68">
        <w:rPr>
          <w:rFonts w:cs="Times New Roman"/>
        </w:rPr>
        <w:t xml:space="preserve">y </w:t>
      </w:r>
      <w:r w:rsidRPr="004F6879">
        <w:rPr>
          <w:rFonts w:cs="Times New Roman"/>
        </w:rPr>
        <w:t>Natasha Al Kassar</w:t>
      </w:r>
      <w:r w:rsidRPr="004F6879">
        <w:rPr>
          <w:rStyle w:val="Refdenotaalpie"/>
          <w:rFonts w:cs="Times New Roman"/>
          <w:lang w:val="es-ES"/>
        </w:rPr>
        <w:footnoteReference w:id="19"/>
      </w:r>
      <w:r w:rsidRPr="004F6879">
        <w:t>. El 23 de diciembre de 1991 nació en Argentina Mohamed René Al Kassar, hijo de la señora Habbal y de su cónyuge, Monzer Al Kassar</w:t>
      </w:r>
      <w:r w:rsidRPr="004F6879">
        <w:rPr>
          <w:rStyle w:val="Refdenotaalpie"/>
          <w:spacing w:val="3"/>
          <w:lang w:val="es-ES"/>
        </w:rPr>
        <w:footnoteReference w:id="20"/>
      </w:r>
      <w:r w:rsidRPr="004F6879">
        <w:t>.</w:t>
      </w:r>
    </w:p>
    <w:p w14:paraId="4D833DE4" w14:textId="77777777" w:rsidR="004F6879" w:rsidRPr="004F6879" w:rsidRDefault="004F6879" w:rsidP="00792F0B">
      <w:pPr>
        <w:pStyle w:val="Prrafodelista"/>
        <w:snapToGrid w:val="0"/>
        <w:spacing w:after="0" w:line="240" w:lineRule="auto"/>
        <w:ind w:left="0"/>
        <w:contextualSpacing w:val="0"/>
        <w:jc w:val="both"/>
        <w:rPr>
          <w:rFonts w:ascii="Verdana" w:hAnsi="Verdana"/>
          <w:spacing w:val="3"/>
          <w:sz w:val="20"/>
          <w:szCs w:val="20"/>
          <w:lang w:val="es-ES"/>
        </w:rPr>
      </w:pPr>
    </w:p>
    <w:p w14:paraId="3EEA225A" w14:textId="27B1ACC8" w:rsidR="004F6879" w:rsidRPr="004F6879" w:rsidRDefault="004F6879" w:rsidP="00D753D0">
      <w:pPr>
        <w:pStyle w:val="PrrafodeSentencia"/>
      </w:pPr>
      <w:r w:rsidRPr="004F6879">
        <w:t xml:space="preserve">El 21 de junio de 1990, el señor Al Kassar, como cónyuge de la señora Habbal, solicitó a la Dirección Nacional de Población y Migraciones de Argentina (en adelante </w:t>
      </w:r>
      <w:r w:rsidR="00D93BCE">
        <w:t xml:space="preserve">también </w:t>
      </w:r>
      <w:r w:rsidRPr="004F6879">
        <w:t xml:space="preserve">“la Dirección Nacional de </w:t>
      </w:r>
      <w:r w:rsidR="00851D07">
        <w:t>Población y Migraciones</w:t>
      </w:r>
      <w:r w:rsidRPr="004F6879">
        <w:t xml:space="preserve">”) la radicación definitiva en la República de Argentina de su </w:t>
      </w:r>
      <w:r w:rsidRPr="004F6879">
        <w:lastRenderedPageBreak/>
        <w:t xml:space="preserve">esposa </w:t>
      </w:r>
      <w:r w:rsidR="00A958CA">
        <w:t>e</w:t>
      </w:r>
      <w:r w:rsidRPr="004F6879">
        <w:t xml:space="preserve"> hijas</w:t>
      </w:r>
      <w:r w:rsidRPr="004F6879">
        <w:rPr>
          <w:rFonts w:cs="Times New Roman"/>
        </w:rPr>
        <w:t>. En dicha solicitud, el señor Al Kassar afirmó que se encontraba legalmente en el país y que había sido admitido como residente permanente</w:t>
      </w:r>
      <w:r w:rsidRPr="004F6879">
        <w:rPr>
          <w:rStyle w:val="Refdenotaalpie"/>
          <w:rFonts w:cs="Times New Roman"/>
          <w:lang w:val="es-ES"/>
        </w:rPr>
        <w:footnoteReference w:id="21"/>
      </w:r>
      <w:r w:rsidRPr="004F6879">
        <w:rPr>
          <w:rFonts w:cs="Times New Roman"/>
        </w:rPr>
        <w:t>.</w:t>
      </w:r>
      <w:r w:rsidRPr="004F6879">
        <w:t xml:space="preserve"> El 4 de julio de 1990, a través de la Resolución No. 241.547/90, la</w:t>
      </w:r>
      <w:r w:rsidR="00851D07" w:rsidRPr="004F6879">
        <w:t xml:space="preserve"> Dirección Nacional de </w:t>
      </w:r>
      <w:r w:rsidR="00851D07">
        <w:t>Población y Migraciones</w:t>
      </w:r>
      <w:r w:rsidRPr="004F6879">
        <w:t xml:space="preserve"> admitió a la señora Habbal y a sus hij</w:t>
      </w:r>
      <w:r w:rsidR="00851D07">
        <w:t>a</w:t>
      </w:r>
      <w:r w:rsidRPr="004F6879">
        <w:t xml:space="preserve">s como residentes permanentes en el país. El reconocimiento de residencia permitía que la persona residiera, ejerciera tareas asalariadas, se alojase, </w:t>
      </w:r>
      <w:r w:rsidR="00A83EB6">
        <w:t>entrara</w:t>
      </w:r>
      <w:r w:rsidR="00A83EB6" w:rsidRPr="004F6879">
        <w:t xml:space="preserve"> </w:t>
      </w:r>
      <w:r w:rsidRPr="004F6879">
        <w:t xml:space="preserve">y </w:t>
      </w:r>
      <w:r w:rsidR="00A83EB6">
        <w:t>saliera</w:t>
      </w:r>
      <w:r w:rsidR="00A83EB6" w:rsidRPr="004F6879">
        <w:t xml:space="preserve"> </w:t>
      </w:r>
      <w:r w:rsidRPr="004F6879">
        <w:t>del país</w:t>
      </w:r>
      <w:r w:rsidRPr="004F6879">
        <w:rPr>
          <w:rStyle w:val="Refdenotaalpie"/>
          <w:spacing w:val="3"/>
          <w:lang w:val="es-ES"/>
        </w:rPr>
        <w:footnoteReference w:id="22"/>
      </w:r>
      <w:r w:rsidRPr="004F6879">
        <w:t>.</w:t>
      </w:r>
    </w:p>
    <w:p w14:paraId="3734BE52" w14:textId="77777777" w:rsidR="004F6879" w:rsidRPr="004F6879" w:rsidRDefault="004F6879" w:rsidP="00792F0B">
      <w:pPr>
        <w:snapToGrid w:val="0"/>
        <w:rPr>
          <w:rFonts w:ascii="Verdana" w:hAnsi="Verdana"/>
          <w:spacing w:val="3"/>
          <w:sz w:val="20"/>
          <w:szCs w:val="20"/>
          <w:lang w:val="es-ES"/>
        </w:rPr>
      </w:pPr>
    </w:p>
    <w:p w14:paraId="7D7631A4" w14:textId="7707D53F" w:rsidR="004F6879" w:rsidRPr="004F6879" w:rsidRDefault="004F6879" w:rsidP="00D753D0">
      <w:pPr>
        <w:pStyle w:val="PrrafodeSentencia"/>
      </w:pPr>
      <w:r w:rsidRPr="004F6879">
        <w:t xml:space="preserve">El 31 de diciembre de 1991, la señora Habbal solicitó la carta de ciudadanía al Poder Judicial de la Nación Argentina. El 24 de marzo de 1992, la señora Habbal presentó un documento adicional </w:t>
      </w:r>
      <w:r w:rsidR="0053010B">
        <w:t xml:space="preserve">a su solicitud </w:t>
      </w:r>
      <w:r w:rsidRPr="004F6879">
        <w:t>en el que expresó que, si bien le faltaban tres meses para completar los dos años de antigüedad como residente para solicitar la ciudadanía, reemplazaba el cumplimiento de ese requisito acogiéndose al artículo 3, inciso c, del reglamento de la ley 23.059</w:t>
      </w:r>
      <w:r w:rsidRPr="004F6879">
        <w:rPr>
          <w:rStyle w:val="Refdenotaalpie"/>
          <w:spacing w:val="3"/>
          <w:lang w:val="es-ES"/>
        </w:rPr>
        <w:footnoteReference w:id="23"/>
      </w:r>
      <w:r w:rsidRPr="004F6879">
        <w:t>. En ese sentido, sostuvo cumplir con dicha disposición “con la adquisición de un campo en condominio con mi esposo en esta provincia de Mendoza, por valor de un millón doscientos mil dólares estadounidenses, con el fin de instalar una industria de productos balanceados para engorde de animales bovinos”</w:t>
      </w:r>
      <w:r w:rsidRPr="004F6879">
        <w:rPr>
          <w:rStyle w:val="Refdenotaalpie"/>
          <w:spacing w:val="3"/>
          <w:lang w:val="es-ES"/>
        </w:rPr>
        <w:footnoteReference w:id="24"/>
      </w:r>
      <w:r w:rsidRPr="004F6879">
        <w:t>. Asimismo, “denunció” la compra de un inmueble en la capital federal por un valor de ciento veinticinco mil dólares estadounidenses, y adjuntó copias de la documentación que acreditaba ambas adquisiciones</w:t>
      </w:r>
      <w:r w:rsidRPr="004F6879">
        <w:rPr>
          <w:rStyle w:val="Refdenotaalpie"/>
          <w:spacing w:val="3"/>
          <w:lang w:val="es-ES"/>
        </w:rPr>
        <w:footnoteReference w:id="25"/>
      </w:r>
      <w:r w:rsidRPr="004F6879">
        <w:t>.</w:t>
      </w:r>
    </w:p>
    <w:p w14:paraId="3A5B6953" w14:textId="77777777" w:rsidR="004F6879" w:rsidRPr="004F6879" w:rsidRDefault="004F6879" w:rsidP="00792F0B">
      <w:pPr>
        <w:snapToGrid w:val="0"/>
        <w:rPr>
          <w:rFonts w:ascii="Verdana" w:hAnsi="Verdana"/>
          <w:spacing w:val="3"/>
          <w:sz w:val="20"/>
          <w:szCs w:val="20"/>
          <w:lang w:val="es-ES"/>
        </w:rPr>
      </w:pPr>
    </w:p>
    <w:p w14:paraId="5FE45BA9" w14:textId="6CB70CE3" w:rsidR="004F6879" w:rsidRPr="004F6879" w:rsidRDefault="004F6879" w:rsidP="00D753D0">
      <w:pPr>
        <w:pStyle w:val="PrrafodeSentencia"/>
      </w:pPr>
      <w:r w:rsidRPr="004F6879">
        <w:t xml:space="preserve">El </w:t>
      </w:r>
      <w:r w:rsidR="00F77916">
        <w:t>4</w:t>
      </w:r>
      <w:r w:rsidRPr="004F6879">
        <w:t xml:space="preserve"> de abril de 1992, el Juez Federal</w:t>
      </w:r>
      <w:r w:rsidR="00E628B6">
        <w:t xml:space="preserve"> de Mendoza</w:t>
      </w:r>
      <w:r w:rsidRPr="004F6879">
        <w:t xml:space="preserve"> resolvió otorgarle la ciudadanía a la señora Habbal en los siguientes términos: “</w:t>
      </w:r>
      <w:r w:rsidR="00DA6C8A">
        <w:t>[a]</w:t>
      </w:r>
      <w:r w:rsidRPr="004F6879">
        <w:t xml:space="preserve">cordar a Raghda </w:t>
      </w:r>
      <w:r w:rsidR="00E55945">
        <w:t>[Habbal]</w:t>
      </w:r>
      <w:r w:rsidR="00E55945" w:rsidRPr="004F6879">
        <w:t xml:space="preserve"> </w:t>
      </w:r>
      <w:r w:rsidRPr="004F6879">
        <w:t xml:space="preserve">[...] la Ciudadanía Argentina por Naturalización. Oportunamente, y previa renuncia jurada a su ciudadanía de origen, hágase entrega a la solicitante del documento respectivo a los fines de su identificación dentro del plazo legal, bajo apercibimiento de lo dispuesto en el art. 37 de la ley </w:t>
      </w:r>
      <w:r w:rsidR="00A11150">
        <w:t>17.671</w:t>
      </w:r>
      <w:r w:rsidRPr="004F6879">
        <w:t>”</w:t>
      </w:r>
      <w:r w:rsidRPr="004F6879">
        <w:rPr>
          <w:rStyle w:val="Refdenotaalpie"/>
          <w:lang w:val="es-ES"/>
        </w:rPr>
        <w:footnoteReference w:id="26"/>
      </w:r>
      <w:r w:rsidR="00DA6C8A">
        <w:t>.</w:t>
      </w:r>
      <w:r w:rsidRPr="004F6879">
        <w:t xml:space="preserve"> El documento que certifica la notificación de la decisión señala lo siguiente: “se notificó la resolución que antecede a Sra. Raghda Habbal, quien previa renuncia a su nacionalidad de origen y a toda dependencia de poder y soberanías extranjeras, presta </w:t>
      </w:r>
      <w:r w:rsidR="00DA6C8A">
        <w:t>[…]</w:t>
      </w:r>
      <w:r w:rsidRPr="004F6879">
        <w:t xml:space="preserve"> juramento de fidelidad a las instituciones de la República […]</w:t>
      </w:r>
      <w:r w:rsidR="00DA6C8A">
        <w:t>”</w:t>
      </w:r>
      <w:r w:rsidRPr="004F6879">
        <w:rPr>
          <w:rStyle w:val="Refdenotaalpie"/>
          <w:lang w:val="es-ES"/>
        </w:rPr>
        <w:footnoteReference w:id="27"/>
      </w:r>
      <w:r w:rsidRPr="004F6879">
        <w:t>. En razón de esta decisión, en la misma fecha la señora Habbal recibió su carta de ciudadanía, en la cual se señala que habría presentado juramento y renunciado a su nacionalidad de origen</w:t>
      </w:r>
      <w:r w:rsidRPr="004F6879">
        <w:rPr>
          <w:rStyle w:val="Refdenotaalpie"/>
          <w:lang w:val="es-ES"/>
        </w:rPr>
        <w:footnoteReference w:id="28"/>
      </w:r>
      <w:r w:rsidRPr="004F6879">
        <w:t xml:space="preserve">. </w:t>
      </w:r>
    </w:p>
    <w:p w14:paraId="569D394F" w14:textId="6F4D346E" w:rsidR="004F6879" w:rsidRDefault="004F6879" w:rsidP="004330E3">
      <w:pPr>
        <w:snapToGrid w:val="0"/>
        <w:rPr>
          <w:rFonts w:ascii="Verdana" w:hAnsi="Verdana"/>
          <w:spacing w:val="3"/>
          <w:sz w:val="20"/>
          <w:szCs w:val="20"/>
          <w:lang w:val="es-ES"/>
        </w:rPr>
      </w:pPr>
    </w:p>
    <w:p w14:paraId="7FE14A95" w14:textId="77777777" w:rsidR="00372436" w:rsidRPr="004F6879" w:rsidRDefault="00372436" w:rsidP="004330E3">
      <w:pPr>
        <w:snapToGrid w:val="0"/>
        <w:rPr>
          <w:rFonts w:ascii="Verdana" w:hAnsi="Verdana"/>
          <w:spacing w:val="3"/>
          <w:sz w:val="20"/>
          <w:szCs w:val="20"/>
          <w:lang w:val="es-ES"/>
        </w:rPr>
      </w:pPr>
    </w:p>
    <w:p w14:paraId="68AC8083" w14:textId="26B857ED" w:rsidR="004F6879" w:rsidRPr="004F6879" w:rsidRDefault="004F6879" w:rsidP="004330E3">
      <w:pPr>
        <w:pStyle w:val="Ttulo2"/>
        <w:numPr>
          <w:ilvl w:val="0"/>
          <w:numId w:val="24"/>
        </w:numPr>
      </w:pPr>
      <w:bookmarkStart w:id="32" w:name="_Toc115167431"/>
      <w:r w:rsidRPr="004F6879">
        <w:lastRenderedPageBreak/>
        <w:t xml:space="preserve">La anulación de la radicación </w:t>
      </w:r>
      <w:r w:rsidR="00D1187E">
        <w:t>de</w:t>
      </w:r>
      <w:r w:rsidRPr="004F6879">
        <w:t xml:space="preserve"> la señora Habbal y sus hij</w:t>
      </w:r>
      <w:r w:rsidR="005E73F2">
        <w:t>a</w:t>
      </w:r>
      <w:r w:rsidRPr="004F6879">
        <w:t>s</w:t>
      </w:r>
      <w:bookmarkEnd w:id="32"/>
      <w:r w:rsidR="007567E7">
        <w:t xml:space="preserve"> y la cancelación de la ciudadanía de la señora Habbal</w:t>
      </w:r>
    </w:p>
    <w:p w14:paraId="3CCB023F" w14:textId="77777777" w:rsidR="004F6879" w:rsidRPr="004F6879" w:rsidRDefault="004F6879" w:rsidP="004330E3">
      <w:pPr>
        <w:snapToGrid w:val="0"/>
        <w:rPr>
          <w:rFonts w:ascii="Verdana" w:hAnsi="Verdana"/>
          <w:spacing w:val="3"/>
          <w:sz w:val="20"/>
          <w:szCs w:val="20"/>
          <w:lang w:val="es-ES"/>
        </w:rPr>
      </w:pPr>
    </w:p>
    <w:p w14:paraId="532210DD" w14:textId="3D52B707" w:rsidR="004F6879" w:rsidRPr="006463A5" w:rsidRDefault="004F6879" w:rsidP="00D753D0">
      <w:pPr>
        <w:pStyle w:val="PrrafodeSentencia"/>
      </w:pPr>
      <w:r w:rsidRPr="004F6879">
        <w:t xml:space="preserve">El 11 de mayo de 1992, el Director </w:t>
      </w:r>
      <w:r w:rsidR="0019724F" w:rsidRPr="004F6879">
        <w:t xml:space="preserve">Nacional de </w:t>
      </w:r>
      <w:r w:rsidR="0019724F">
        <w:t>Población y Migraciones</w:t>
      </w:r>
      <w:r w:rsidRPr="004F6879">
        <w:t xml:space="preserve"> emitió la Resolución No. 1088 (en adelante, “Resolución 1088”)</w:t>
      </w:r>
      <w:r w:rsidR="0066767E">
        <w:t>,</w:t>
      </w:r>
      <w:r w:rsidRPr="004F6879">
        <w:t xml:space="preserve"> en la cual declaró </w:t>
      </w:r>
      <w:r w:rsidR="00E65C4D">
        <w:t>“</w:t>
      </w:r>
      <w:r w:rsidRPr="004F6879">
        <w:t>nula de nulidad absoluta</w:t>
      </w:r>
      <w:r w:rsidR="00E65C4D">
        <w:t>”</w:t>
      </w:r>
      <w:r w:rsidRPr="004F6879">
        <w:t xml:space="preserve"> las radicaciones </w:t>
      </w:r>
      <w:r w:rsidR="0005436E">
        <w:t>otorgadas a</w:t>
      </w:r>
      <w:r w:rsidRPr="004F6879">
        <w:t xml:space="preserve"> la señora Habbal y sus </w:t>
      </w:r>
      <w:r w:rsidR="00A47045">
        <w:t>hijas</w:t>
      </w:r>
      <w:r w:rsidRPr="004F6879">
        <w:t xml:space="preserve">. En razón de ello, declaró ilegal su presencia en el territorio de Argentina, ordenó su expulsión con destino a su país de origen o procedencia, y previó su detención precautoria. En los considerandos de dicha decisión, se </w:t>
      </w:r>
      <w:r w:rsidR="001850D6">
        <w:t>señaló</w:t>
      </w:r>
      <w:r w:rsidRPr="004F6879">
        <w:t xml:space="preserve"> que</w:t>
      </w:r>
      <w:r w:rsidR="00FA7CE8">
        <w:t>,</w:t>
      </w:r>
      <w:r w:rsidRPr="004F6879">
        <w:t xml:space="preserve"> a través de la Resolución No. 972/92 se anuló la radicación </w:t>
      </w:r>
      <w:r w:rsidR="00FA6DAC">
        <w:t>otorgada al</w:t>
      </w:r>
      <w:r w:rsidRPr="004F6879">
        <w:t xml:space="preserve"> señor Al Kassar, y en consecuencia las radicaciones </w:t>
      </w:r>
      <w:r w:rsidR="007F7A44">
        <w:t>otorgadas a</w:t>
      </w:r>
      <w:r w:rsidRPr="004F6879">
        <w:t xml:space="preserve"> la señora Habbal y sus hij</w:t>
      </w:r>
      <w:r w:rsidR="00BA3D8F">
        <w:t>a</w:t>
      </w:r>
      <w:r w:rsidRPr="004F6879">
        <w:t>s también eran nulas y su presencia en el territorio era ilegal</w:t>
      </w:r>
      <w:r w:rsidRPr="004F6879">
        <w:rPr>
          <w:rStyle w:val="Refdenotaalpie"/>
          <w:spacing w:val="3"/>
          <w:lang w:val="es-ES"/>
        </w:rPr>
        <w:footnoteReference w:id="29"/>
      </w:r>
      <w:r w:rsidRPr="004F6879">
        <w:t>. El 12 de mayo de 1992, el Director Nacional de Migración puso en conocimiento del Juez Federal No. 2 de Mendoza el contenido de la Resolución 1088</w:t>
      </w:r>
      <w:r w:rsidRPr="006463A5">
        <w:rPr>
          <w:rStyle w:val="Refdenotaalpie"/>
          <w:spacing w:val="3"/>
          <w:lang w:val="es-ES"/>
        </w:rPr>
        <w:footnoteReference w:id="30"/>
      </w:r>
      <w:r w:rsidRPr="006463A5">
        <w:t>.</w:t>
      </w:r>
      <w:r w:rsidR="00223FBA" w:rsidRPr="006463A5">
        <w:t xml:space="preserve"> </w:t>
      </w:r>
      <w:r w:rsidR="00C6349B" w:rsidRPr="006463A5">
        <w:t>La orden de expulsión y detención no fue ejecutada, pero continuó vigente hasta el 1 de junio de 2020, fecha en que fue revocada (</w:t>
      </w:r>
      <w:r w:rsidR="00C6349B" w:rsidRPr="00240085">
        <w:rPr>
          <w:i/>
        </w:rPr>
        <w:t>infra</w:t>
      </w:r>
      <w:r w:rsidR="00C6349B" w:rsidRPr="006463A5">
        <w:t xml:space="preserve">, párr. </w:t>
      </w:r>
      <w:r w:rsidR="001E295C">
        <w:t>45</w:t>
      </w:r>
      <w:r w:rsidR="001E295C" w:rsidRPr="006463A5">
        <w:t>).</w:t>
      </w:r>
    </w:p>
    <w:p w14:paraId="5CEDD04A" w14:textId="77777777" w:rsidR="004F6879" w:rsidRPr="00553C82" w:rsidRDefault="004F6879" w:rsidP="00792F0B">
      <w:pPr>
        <w:pStyle w:val="Prrafodelista"/>
        <w:snapToGrid w:val="0"/>
        <w:spacing w:after="0" w:line="240" w:lineRule="auto"/>
        <w:ind w:left="0"/>
        <w:contextualSpacing w:val="0"/>
        <w:jc w:val="both"/>
        <w:rPr>
          <w:rFonts w:ascii="Verdana" w:hAnsi="Verdana"/>
          <w:spacing w:val="3"/>
          <w:sz w:val="20"/>
          <w:szCs w:val="20"/>
          <w:lang w:val="es-CL"/>
        </w:rPr>
      </w:pPr>
    </w:p>
    <w:p w14:paraId="2A5C9734" w14:textId="2490E54E" w:rsidR="004F6879" w:rsidRPr="004F6879" w:rsidRDefault="004F6879" w:rsidP="00D753D0">
      <w:pPr>
        <w:pStyle w:val="PrrafodeSentencia"/>
      </w:pPr>
      <w:r w:rsidRPr="004F6879">
        <w:t xml:space="preserve">El 18 de mayo de 1992, el Juez Federal </w:t>
      </w:r>
      <w:r w:rsidR="00013DDB">
        <w:t xml:space="preserve">No. 2 </w:t>
      </w:r>
      <w:r w:rsidR="00553C82">
        <w:t>de Mendoza</w:t>
      </w:r>
      <w:r w:rsidRPr="004F6879">
        <w:t xml:space="preserve"> se excusó para atender el caso, </w:t>
      </w:r>
      <w:r w:rsidR="00A86D82">
        <w:t xml:space="preserve">“teniendo en cuenta los hechos y </w:t>
      </w:r>
      <w:r w:rsidR="005D2413">
        <w:t>noticias que son de dominio público, y ante la gravedad de las mismas”</w:t>
      </w:r>
      <w:r w:rsidRPr="004F6879">
        <w:rPr>
          <w:rStyle w:val="Refdenotaalpie"/>
          <w:spacing w:val="3"/>
          <w:lang w:val="es-ES"/>
        </w:rPr>
        <w:footnoteReference w:id="31"/>
      </w:r>
      <w:r w:rsidRPr="004F6879">
        <w:t xml:space="preserve">. </w:t>
      </w:r>
      <w:r w:rsidR="00777C15" w:rsidRPr="0080558A">
        <w:t>Estos hechos</w:t>
      </w:r>
      <w:r w:rsidR="00BE6D71" w:rsidRPr="0080558A">
        <w:t xml:space="preserve"> y noticias</w:t>
      </w:r>
      <w:r w:rsidR="00777C15" w:rsidRPr="0080558A">
        <w:t xml:space="preserve"> se encontraban relacionados con la información difundida por distintos medios acerca de presuntos delitos cometidos por Monzer Al Kassar, vinculados con el tráfico de armas, tráfico de drogas y terrorismo</w:t>
      </w:r>
      <w:r w:rsidR="00777C15" w:rsidRPr="0080558A">
        <w:rPr>
          <w:rStyle w:val="Refdenotaalpie"/>
        </w:rPr>
        <w:footnoteReference w:id="32"/>
      </w:r>
      <w:r w:rsidR="00777C15" w:rsidRPr="0080558A">
        <w:t>.</w:t>
      </w:r>
      <w:r w:rsidR="00777C15">
        <w:t xml:space="preserve"> </w:t>
      </w:r>
      <w:r w:rsidRPr="004F6879">
        <w:t>En consecuencia, el 21 de mayo de 1992, el Juez Federal Subrogante aceptó la excusación y dio trámite al proceso</w:t>
      </w:r>
      <w:r w:rsidRPr="004F6879">
        <w:rPr>
          <w:rStyle w:val="Refdenotaalpie"/>
          <w:lang w:val="es-ES"/>
        </w:rPr>
        <w:footnoteReference w:id="33"/>
      </w:r>
      <w:r w:rsidRPr="004F6879">
        <w:t xml:space="preserve">. El 29 de mayo de 1992, el Procurador Fiscal Federal </w:t>
      </w:r>
      <w:r w:rsidR="00B02217">
        <w:t>solicitó al Juez Federal</w:t>
      </w:r>
      <w:r w:rsidRPr="004F6879">
        <w:t xml:space="preserve"> revocar la ciudadanía entregada a la señora Habbal, pues se había declarado nula la radicación que le fue otorgada previamente</w:t>
      </w:r>
      <w:r w:rsidR="00B02217">
        <w:t xml:space="preserve">, </w:t>
      </w:r>
      <w:r w:rsidRPr="004F6879">
        <w:t>que era requisito indispensable para obtener la nacionalidad</w:t>
      </w:r>
      <w:r w:rsidRPr="004F6879">
        <w:rPr>
          <w:rStyle w:val="Refdenotaalpie"/>
          <w:lang w:val="es-ES"/>
        </w:rPr>
        <w:footnoteReference w:id="34"/>
      </w:r>
      <w:r w:rsidRPr="004F6879">
        <w:t>.</w:t>
      </w:r>
    </w:p>
    <w:p w14:paraId="3D216415" w14:textId="77777777" w:rsidR="004F6879" w:rsidRPr="004F6879" w:rsidRDefault="004F6879" w:rsidP="00792F0B">
      <w:pPr>
        <w:snapToGrid w:val="0"/>
        <w:rPr>
          <w:rFonts w:ascii="Verdana" w:hAnsi="Verdana"/>
          <w:sz w:val="20"/>
          <w:szCs w:val="20"/>
          <w:lang w:val="es-ES"/>
        </w:rPr>
      </w:pPr>
    </w:p>
    <w:p w14:paraId="45094A54" w14:textId="165565AB" w:rsidR="004F6879" w:rsidRPr="004F6879" w:rsidRDefault="004F6879" w:rsidP="00D753D0">
      <w:pPr>
        <w:pStyle w:val="PrrafodeSentencia"/>
        <w:rPr>
          <w:spacing w:val="3"/>
        </w:rPr>
      </w:pPr>
      <w:r w:rsidRPr="004F6879">
        <w:t xml:space="preserve">El 11 de junio de 1992, el Juez Federal Subrogante ordenó notificarle la acción de nulidad de la ciudadanía argentina a la señora Habbal en el domicilio </w:t>
      </w:r>
      <w:r w:rsidR="00F13593">
        <w:t>“denunciado”</w:t>
      </w:r>
      <w:r w:rsidRPr="004F6879">
        <w:t xml:space="preserve"> por ella en el proceso de solicitud de nacionalidad. Asimismo, ordenó que en caso de no encontrarse en su domicilio, dicha acción de nulidad se publicara en edictos</w:t>
      </w:r>
      <w:r w:rsidRPr="004F6879">
        <w:rPr>
          <w:rStyle w:val="Refdenotaalpie"/>
          <w:lang w:val="es-ES"/>
        </w:rPr>
        <w:footnoteReference w:id="35"/>
      </w:r>
      <w:r w:rsidRPr="004F6879">
        <w:rPr>
          <w:rFonts w:cs="Arial"/>
        </w:rPr>
        <w:t xml:space="preserve">. </w:t>
      </w:r>
      <w:r w:rsidRPr="004F6879">
        <w:t xml:space="preserve">El 18 de junio de 1992, la Oficial Notificadora Federal </w:t>
      </w:r>
      <w:r w:rsidR="008F770E">
        <w:t xml:space="preserve">señaló lo siguiente “[d]evuelvo la siguiente cédula sin diligenciar, en razón </w:t>
      </w:r>
      <w:r w:rsidR="005A5CFA">
        <w:t xml:space="preserve">de que habíendome constituído en el domicilio denunciado </w:t>
      </w:r>
      <w:r w:rsidR="00B02217">
        <w:t>[</w:t>
      </w:r>
      <w:r w:rsidR="005A5CFA">
        <w:t>…</w:t>
      </w:r>
      <w:r w:rsidR="00B02217">
        <w:t>]</w:t>
      </w:r>
      <w:r w:rsidR="005A5CFA">
        <w:t xml:space="preserve"> </w:t>
      </w:r>
      <w:r w:rsidR="00B02217">
        <w:t xml:space="preserve">[me informaron] </w:t>
      </w:r>
      <w:r w:rsidR="00314667">
        <w:t>que la señora Raghda Habbal no vive en dicho domicilio</w:t>
      </w:r>
      <w:r w:rsidR="0051794D">
        <w:t>, sin acotar mayores datos”</w:t>
      </w:r>
      <w:r w:rsidRPr="004F6879">
        <w:rPr>
          <w:rStyle w:val="Refdenotaalpie"/>
          <w:lang w:val="es-ES"/>
        </w:rPr>
        <w:footnoteReference w:id="36"/>
      </w:r>
      <w:r w:rsidRPr="004F6879">
        <w:t xml:space="preserve">. Al día siguiente, el Juez Federal </w:t>
      </w:r>
      <w:r w:rsidRPr="004F6879">
        <w:lastRenderedPageBreak/>
        <w:t>Subrogante ordenó que se librara un edicto para su notificación</w:t>
      </w:r>
      <w:r w:rsidRPr="004F6879">
        <w:rPr>
          <w:rStyle w:val="Refdenotaalpie"/>
          <w:lang w:val="es-ES"/>
        </w:rPr>
        <w:footnoteReference w:id="37"/>
      </w:r>
      <w:r w:rsidRPr="004F6879">
        <w:t xml:space="preserve">. El </w:t>
      </w:r>
      <w:r w:rsidR="00A11150">
        <w:t>2</w:t>
      </w:r>
      <w:r w:rsidRPr="004F6879">
        <w:t xml:space="preserve"> de julio de 1992, el Juez Federal Subrogante indicó que los edictos debían publicarse en el Boletín Oficial de la Nación, lo cual sucedió</w:t>
      </w:r>
      <w:r w:rsidRPr="004F6879">
        <w:rPr>
          <w:rStyle w:val="Refdenotaalpie"/>
          <w:lang w:val="es-ES"/>
        </w:rPr>
        <w:footnoteReference w:id="38"/>
      </w:r>
      <w:r w:rsidRPr="004F6879">
        <w:t>.</w:t>
      </w:r>
    </w:p>
    <w:p w14:paraId="1075440C" w14:textId="77777777" w:rsidR="004F6879" w:rsidRPr="004F6879" w:rsidRDefault="004F6879" w:rsidP="00792F0B">
      <w:pPr>
        <w:pStyle w:val="Prrafodelista"/>
        <w:snapToGrid w:val="0"/>
        <w:spacing w:after="0" w:line="240" w:lineRule="auto"/>
        <w:ind w:left="0"/>
        <w:contextualSpacing w:val="0"/>
        <w:rPr>
          <w:rFonts w:ascii="Verdana" w:hAnsi="Verdana"/>
          <w:spacing w:val="3"/>
          <w:sz w:val="20"/>
          <w:szCs w:val="20"/>
          <w:lang w:val="es-ES"/>
        </w:rPr>
      </w:pPr>
    </w:p>
    <w:p w14:paraId="7DC0376E" w14:textId="4454C12F" w:rsidR="004F6879" w:rsidRPr="004F6879" w:rsidRDefault="004F6879" w:rsidP="00D753D0">
      <w:pPr>
        <w:pStyle w:val="PrrafodeSentencia"/>
      </w:pPr>
      <w:r w:rsidRPr="004F6879">
        <w:t>El 14 de septiembre de 1992, el Juez Federal Subrogante puso en conocimiento de</w:t>
      </w:r>
      <w:r w:rsidR="00962AFD">
        <w:t xml:space="preserve"> la causa al </w:t>
      </w:r>
      <w:r w:rsidRPr="004F6879">
        <w:t>Defensor Oficial, debido a que la señora Habbal no compareció después de la publicación de los edictos</w:t>
      </w:r>
      <w:r w:rsidRPr="004F6879">
        <w:rPr>
          <w:rStyle w:val="Refdenotaalpie"/>
          <w:spacing w:val="3"/>
          <w:lang w:val="es-ES"/>
        </w:rPr>
        <w:footnoteReference w:id="39"/>
      </w:r>
      <w:r w:rsidRPr="004F6879">
        <w:t>. El Defensor Oficial solicitó al Juez Federal Subrogante que se condicionara la resolución del caso de la señora Habbal a lo que se decidiera en relación con el caso del señor Al Kazzar</w:t>
      </w:r>
      <w:r w:rsidRPr="004F6879">
        <w:rPr>
          <w:rStyle w:val="Refdenotaalpie"/>
          <w:spacing w:val="3"/>
          <w:lang w:val="es-ES"/>
        </w:rPr>
        <w:footnoteReference w:id="40"/>
      </w:r>
      <w:r w:rsidRPr="004F6879">
        <w:t>. El Juez Federal Subrogante decidió rechazar la solicitud del Defensor Oficial al considerar el tipo voluntario y de trámite personalísimo realizado por la señora Habbal</w:t>
      </w:r>
      <w:r w:rsidRPr="004F6879">
        <w:rPr>
          <w:rStyle w:val="Refdenotaalpie"/>
          <w:spacing w:val="3"/>
          <w:lang w:val="es-ES"/>
        </w:rPr>
        <w:footnoteReference w:id="41"/>
      </w:r>
      <w:r w:rsidRPr="004F6879">
        <w:t>. El Defensor Oficial expresó posteriormente que de la hipotética mala fe de la radicación del señor Al Kassar no se sigue la mala fe de su esposa. De igual forma, manifestó que las falsedades ideológicas deben ser acreditadas</w:t>
      </w:r>
      <w:r w:rsidR="001D760F">
        <w:t xml:space="preserve"> e hizo notar que la Resolución 1088 </w:t>
      </w:r>
      <w:r w:rsidR="00D42D2E">
        <w:t>había sido dispuesta sin intervención de la señora Habbal</w:t>
      </w:r>
      <w:r w:rsidRPr="004F6879">
        <w:rPr>
          <w:rStyle w:val="Refdenotaalpie"/>
          <w:spacing w:val="3"/>
          <w:lang w:val="es-ES"/>
        </w:rPr>
        <w:footnoteReference w:id="42"/>
      </w:r>
      <w:r w:rsidRPr="004F6879">
        <w:t>.</w:t>
      </w:r>
    </w:p>
    <w:p w14:paraId="521B6435" w14:textId="77777777" w:rsidR="004F6879" w:rsidRPr="004F6879" w:rsidRDefault="004F6879" w:rsidP="00792F0B">
      <w:pPr>
        <w:snapToGrid w:val="0"/>
        <w:rPr>
          <w:rFonts w:ascii="Verdana" w:hAnsi="Verdana"/>
          <w:spacing w:val="3"/>
          <w:sz w:val="20"/>
          <w:szCs w:val="20"/>
          <w:lang w:val="es-ES"/>
        </w:rPr>
      </w:pPr>
    </w:p>
    <w:p w14:paraId="7FE018CC" w14:textId="1CB0D6B4" w:rsidR="004F6879" w:rsidRPr="004F6879" w:rsidRDefault="004F6879" w:rsidP="00D753D0">
      <w:pPr>
        <w:pStyle w:val="PrrafodeSentencia"/>
      </w:pPr>
      <w:r w:rsidRPr="004F6879">
        <w:t>El 6 de noviembre de 1992, el Juez Federal Subrogante requirió al Juzgado Federal No. 1 de Mendoza que, con carácter de “muy urgente despacho”, informara si había recaído resolución</w:t>
      </w:r>
      <w:r w:rsidR="0025429C">
        <w:t xml:space="preserve"> en el proceso penal seguido contra el señor Al Kassar</w:t>
      </w:r>
      <w:r w:rsidRPr="004F6879">
        <w:t xml:space="preserve"> sobre lo siguiente: </w:t>
      </w:r>
      <w:r w:rsidRPr="004F6879">
        <w:rPr>
          <w:rFonts w:cs="Arial"/>
          <w:color w:val="1A1A1A"/>
        </w:rPr>
        <w:t xml:space="preserve">“a) </w:t>
      </w:r>
      <w:r w:rsidRPr="004F6879">
        <w:rPr>
          <w:color w:val="1A1A1A"/>
        </w:rPr>
        <w:t xml:space="preserve">Certificado de Policía Nº 260 expedido por la Policía de Mendoza, Sec. Villa Nueva, Guaymallén en fecha 17/01/1992 </w:t>
      </w:r>
      <w:r w:rsidR="0025429C">
        <w:rPr>
          <w:color w:val="1A1A1A"/>
        </w:rPr>
        <w:t>[…]</w:t>
      </w:r>
      <w:r w:rsidRPr="004F6879">
        <w:rPr>
          <w:color w:val="1A1A1A"/>
        </w:rPr>
        <w:t xml:space="preserve"> y b) contrato de compra-venta de inmueble rural firmado ante el E</w:t>
      </w:r>
      <w:r w:rsidR="005D18EE">
        <w:rPr>
          <w:color w:val="1A1A1A"/>
        </w:rPr>
        <w:t>s</w:t>
      </w:r>
      <w:r w:rsidRPr="004F6879">
        <w:rPr>
          <w:color w:val="1A1A1A"/>
        </w:rPr>
        <w:t xml:space="preserve">cribano Público </w:t>
      </w:r>
      <w:r w:rsidR="004D0CDA">
        <w:rPr>
          <w:color w:val="1A1A1A"/>
        </w:rPr>
        <w:t>[…]</w:t>
      </w:r>
      <w:r w:rsidRPr="004F6879">
        <w:rPr>
          <w:color w:val="1A1A1A"/>
        </w:rPr>
        <w:t xml:space="preserve">, en la ciudad de Montevideo, Rep. Oriental del Uruguay, de fecha 17 /01/92 </w:t>
      </w:r>
      <w:r w:rsidR="0025429C">
        <w:rPr>
          <w:color w:val="1A1A1A"/>
        </w:rPr>
        <w:t>[…]</w:t>
      </w:r>
      <w:r w:rsidRPr="004F6879">
        <w:rPr>
          <w:color w:val="1A1A1A"/>
        </w:rPr>
        <w:t>”</w:t>
      </w:r>
      <w:r w:rsidRPr="004F6879">
        <w:rPr>
          <w:rStyle w:val="Refdenotaalpie"/>
          <w:color w:val="1A1A1A"/>
          <w:lang w:val="es-ES"/>
        </w:rPr>
        <w:footnoteReference w:id="43"/>
      </w:r>
      <w:r w:rsidRPr="004F6879">
        <w:rPr>
          <w:color w:val="1A1A1A"/>
        </w:rPr>
        <w:t>.</w:t>
      </w:r>
      <w:r w:rsidRPr="004F6879">
        <w:t xml:space="preserve"> Ante dicha solicitud, el Juez Federal No. 1 de Mendoza respondió que no había proferido resolución frente a los aspectos señalados</w:t>
      </w:r>
      <w:r w:rsidRPr="004F6879">
        <w:rPr>
          <w:rStyle w:val="Refdenotaalpie"/>
          <w:lang w:val="es-ES"/>
        </w:rPr>
        <w:footnoteReference w:id="44"/>
      </w:r>
      <w:r w:rsidRPr="004F6879">
        <w:t>.</w:t>
      </w:r>
    </w:p>
    <w:p w14:paraId="53243841" w14:textId="77777777" w:rsidR="004F6879" w:rsidRPr="001C220B" w:rsidRDefault="004F6879" w:rsidP="00792F0B">
      <w:pPr>
        <w:snapToGrid w:val="0"/>
        <w:rPr>
          <w:rFonts w:ascii="Verdana" w:hAnsi="Verdana"/>
          <w:sz w:val="20"/>
          <w:szCs w:val="20"/>
          <w:lang w:val="es-ES"/>
        </w:rPr>
      </w:pPr>
    </w:p>
    <w:p w14:paraId="2F8EF00E" w14:textId="2584D8CC" w:rsidR="004F6879" w:rsidRPr="004F6879" w:rsidRDefault="004F6879" w:rsidP="00D753D0">
      <w:pPr>
        <w:pStyle w:val="PrrafodeSentencia"/>
      </w:pPr>
      <w:r w:rsidRPr="004F6879">
        <w:t>El 27 de octubre de 1994, el Juez Federal Subrogante dictó sentencia en el caso “Habbal Raghda p/ revisión y/o revocación o nulidad de la ciudadanía”, declarando nulo el acto por el que se le concedió la ciudadanía a la señora Habbal y cancelando</w:t>
      </w:r>
      <w:r w:rsidR="002753D3">
        <w:t xml:space="preserve"> su </w:t>
      </w:r>
      <w:r w:rsidR="0025429C">
        <w:t>documento nacional de identidad</w:t>
      </w:r>
      <w:r w:rsidR="002753D3">
        <w:t xml:space="preserve"> y</w:t>
      </w:r>
      <w:r w:rsidRPr="004F6879">
        <w:t xml:space="preserve"> cualquier documento de identidad que se le hubiera otorgado como ciudadana argentina. En los considerandos, la sentencia señala que el artículo 15 del Decreto 3213/84 establece la posibilidad de la cancelación de la ciudadanía si hubiera mediado fraude para su obtención. Asimismo, señaló que la jurisprudencia ha entendido que el título de ciudadano puede ser cancelado si se prueba que quien lo obtuvo no reunió las condiciones esenciales que establece la Constitución. En el caso concreto, señaló que “se evidencian una serie de situaciones que determinan la existencia de un accionar fraudulento, para obtener el título de ciudadano argentino, cuando no se tenían las condiciones legales para que ello ocurra”</w:t>
      </w:r>
      <w:r w:rsidRPr="004F6879">
        <w:rPr>
          <w:rStyle w:val="Refdenotaalpie"/>
          <w:lang w:val="es-ES"/>
        </w:rPr>
        <w:footnoteReference w:id="45"/>
      </w:r>
      <w:r w:rsidRPr="004F6879">
        <w:t>.</w:t>
      </w:r>
    </w:p>
    <w:p w14:paraId="199C05C8" w14:textId="77777777" w:rsidR="004F6879" w:rsidRPr="001C220B" w:rsidRDefault="004F6879" w:rsidP="00792F0B">
      <w:pPr>
        <w:snapToGrid w:val="0"/>
        <w:rPr>
          <w:rFonts w:ascii="Verdana" w:hAnsi="Verdana"/>
          <w:sz w:val="20"/>
          <w:szCs w:val="20"/>
          <w:lang w:val="es-ES"/>
        </w:rPr>
      </w:pPr>
    </w:p>
    <w:p w14:paraId="11968215" w14:textId="261C76EE" w:rsidR="004F6879" w:rsidRPr="004F6879" w:rsidRDefault="004F6879" w:rsidP="00D753D0">
      <w:pPr>
        <w:pStyle w:val="PrrafodeSentencia"/>
      </w:pPr>
      <w:r w:rsidRPr="004F6879">
        <w:lastRenderedPageBreak/>
        <w:t>El 2 de noviembre de 1994, los abogados de la señora Habbal presentaron un recurso de apelación y nulidad</w:t>
      </w:r>
      <w:r w:rsidRPr="004F6879">
        <w:rPr>
          <w:rStyle w:val="Refdenotaalpie"/>
          <w:lang w:val="es-ES"/>
        </w:rPr>
        <w:footnoteReference w:id="46"/>
      </w:r>
      <w:r w:rsidRPr="004F6879">
        <w:t>. El Fiscal de Cámara solicitó que se rechazaran los recursos presentados</w:t>
      </w:r>
      <w:r w:rsidRPr="004F6879">
        <w:rPr>
          <w:rStyle w:val="Refdenotaalpie"/>
          <w:lang w:val="es-ES"/>
        </w:rPr>
        <w:footnoteReference w:id="47"/>
      </w:r>
      <w:r w:rsidRPr="004F6879">
        <w:t>. El 20 de junio de 1995, la Cámara de Apelaciones de Mendoza rechazó los recursos presentados contra la sentencia del Juez Federal Subrogante</w:t>
      </w:r>
      <w:r w:rsidRPr="004F6879">
        <w:rPr>
          <w:rStyle w:val="Refdenotaalpie"/>
          <w:lang w:val="es-ES"/>
        </w:rPr>
        <w:footnoteReference w:id="48"/>
      </w:r>
      <w:r w:rsidRPr="004F6879">
        <w:t>. En sus considerandos, la sentencia señala que ninguno de los cuestionamientos planteados constituyó motivo suficiente para declarar la nulidad de la sentencia atacada, pues carecían de entidad para afectar el derecho a la defensa o para descalificar la sentencia como acto jurisdiccional válido. Asimismo, la Cámara de Apelaciones sostuvo que los defectos que pudo tener la Resolución 1088/92 no son extensivos al proceso</w:t>
      </w:r>
      <w:r w:rsidR="005620E3">
        <w:t>,</w:t>
      </w:r>
      <w:r w:rsidRPr="004F6879">
        <w:t xml:space="preserve"> pues la sentencia de primera instancia no se basó en ellos para declarar la nulidad de la ciudadanía de la señora Habbal</w:t>
      </w:r>
      <w:r w:rsidRPr="004F6879">
        <w:rPr>
          <w:rStyle w:val="Refdenotaalpie"/>
          <w:lang w:val="es-ES"/>
        </w:rPr>
        <w:footnoteReference w:id="49"/>
      </w:r>
      <w:r w:rsidRPr="004F6879">
        <w:t>.</w:t>
      </w:r>
    </w:p>
    <w:p w14:paraId="56090A7D" w14:textId="77777777" w:rsidR="004F6879" w:rsidRPr="005620E3" w:rsidRDefault="004F6879" w:rsidP="00792F0B">
      <w:pPr>
        <w:snapToGrid w:val="0"/>
        <w:rPr>
          <w:rFonts w:ascii="Verdana" w:hAnsi="Verdana"/>
          <w:sz w:val="20"/>
          <w:szCs w:val="20"/>
          <w:lang w:val="es-CL"/>
        </w:rPr>
      </w:pPr>
    </w:p>
    <w:p w14:paraId="33E4335B" w14:textId="0C843780" w:rsidR="004F6879" w:rsidRDefault="004F6879" w:rsidP="00D753D0">
      <w:pPr>
        <w:pStyle w:val="PrrafodeSentencia"/>
      </w:pPr>
      <w:r w:rsidRPr="004F6879">
        <w:t>Los abogados de la señora Habbal presentaron un recurso extraordinario ante la Cámara Federal de Apelaciones</w:t>
      </w:r>
      <w:r w:rsidRPr="004F6879">
        <w:rPr>
          <w:rStyle w:val="Refdenotaalpie"/>
          <w:lang w:val="es-ES"/>
        </w:rPr>
        <w:footnoteReference w:id="50"/>
      </w:r>
      <w:r w:rsidRPr="004F6879">
        <w:t>. El Fiscal de Cámara consideró que correspondería “aceptar el deducido impr</w:t>
      </w:r>
      <w:r w:rsidR="00CD7025">
        <w:t>i</w:t>
      </w:r>
      <w:r w:rsidRPr="004F6879">
        <w:t>miendole el trámite de ley” al considerar que existió una ausencia de notificación, de prejudicialidad y se trataba de un asunto de interés público</w:t>
      </w:r>
      <w:r w:rsidRPr="004F6879">
        <w:rPr>
          <w:rStyle w:val="Refdenotaalpie"/>
          <w:lang w:val="es-ES"/>
        </w:rPr>
        <w:footnoteReference w:id="51"/>
      </w:r>
      <w:r w:rsidRPr="004F6879">
        <w:t>. El 18 de octubre de 1995, la Cámara Federal de Apelaciones de la Provincia de Mendoza resolvió denegar el recurso extraordinario interpuesto por los abogados de la señora Habbal. Consideró que no se evidenciaba la existencia de un “caso federal” aunque se cumplían con los requisitos formales del recurso</w:t>
      </w:r>
      <w:r w:rsidRPr="004F6879">
        <w:rPr>
          <w:rStyle w:val="Refdenotaalpie"/>
          <w:lang w:val="es-ES"/>
        </w:rPr>
        <w:footnoteReference w:id="52"/>
      </w:r>
      <w:r w:rsidRPr="004F6879">
        <w:t>. El 3 de noviembre de 1995, los abogados de la señora Habbal presentaron un recurso de queja ante la Corte Suprema de Justicia</w:t>
      </w:r>
      <w:r w:rsidRPr="004F6879">
        <w:rPr>
          <w:rStyle w:val="Refdenotaalpie"/>
          <w:lang w:val="es-ES"/>
        </w:rPr>
        <w:footnoteReference w:id="53"/>
      </w:r>
      <w:r w:rsidRPr="004F6879">
        <w:t>. El 27 de febrero de 1996, la Corte Suprema de Justicia de la Nación determinó inadmisible dicho recurso extraordinario</w:t>
      </w:r>
      <w:r w:rsidRPr="004F6879">
        <w:rPr>
          <w:rStyle w:val="Refdenotaalpie"/>
          <w:lang w:val="es-ES"/>
        </w:rPr>
        <w:footnoteReference w:id="54"/>
      </w:r>
      <w:r w:rsidRPr="004F6879">
        <w:t>.</w:t>
      </w:r>
    </w:p>
    <w:p w14:paraId="6B399E7B" w14:textId="77777777" w:rsidR="00BE6D71" w:rsidRPr="00BE6D71" w:rsidRDefault="00BE6D71" w:rsidP="00BE6D71">
      <w:pPr>
        <w:rPr>
          <w:rFonts w:ascii="Verdana" w:hAnsi="Verdana"/>
          <w:sz w:val="20"/>
          <w:szCs w:val="20"/>
        </w:rPr>
      </w:pPr>
    </w:p>
    <w:p w14:paraId="4751DF60" w14:textId="534419C4" w:rsidR="00BE6D71" w:rsidRPr="002A5D70" w:rsidRDefault="00BE6D71" w:rsidP="00D753D0">
      <w:pPr>
        <w:pStyle w:val="PrrafodeSentencia"/>
      </w:pPr>
      <w:r w:rsidRPr="0080558A">
        <w:t xml:space="preserve">La señora Raghda Habbal viajó en diversas ocasiones a la República Argentina en los años 1994, 1995 y 1996. En tales ingresos, </w:t>
      </w:r>
      <w:r w:rsidR="00B542AD" w:rsidRPr="0080558A">
        <w:t>según consta en el Registro Nacional de Ingreso y Egreso de Personas al Territorio Nacional de Argentina, la nacionalidad registrada de la señora Habbal fue</w:t>
      </w:r>
      <w:r w:rsidRPr="0080558A">
        <w:t xml:space="preserve"> siri</w:t>
      </w:r>
      <w:r w:rsidR="00B542AD" w:rsidRPr="0080558A">
        <w:t>a</w:t>
      </w:r>
      <w:r w:rsidRPr="0080558A">
        <w:t>, español</w:t>
      </w:r>
      <w:r w:rsidR="00B542AD" w:rsidRPr="0080558A">
        <w:t>a</w:t>
      </w:r>
      <w:r w:rsidRPr="0080558A">
        <w:t xml:space="preserve"> y argentin</w:t>
      </w:r>
      <w:r w:rsidR="00B542AD" w:rsidRPr="0080558A">
        <w:t>a</w:t>
      </w:r>
      <w:r w:rsidRPr="0080558A">
        <w:rPr>
          <w:rStyle w:val="Refdenotaalpie"/>
          <w:rFonts w:cs="Times New Roman"/>
          <w:lang w:val="es-CR"/>
        </w:rPr>
        <w:footnoteReference w:id="55"/>
      </w:r>
      <w:r w:rsidRPr="0080558A">
        <w:t>.</w:t>
      </w:r>
      <w:r w:rsidR="0020252F">
        <w:t xml:space="preserve"> </w:t>
      </w:r>
      <w:r w:rsidR="0020252F" w:rsidRPr="00BC32B5">
        <w:t xml:space="preserve">Asimismo, </w:t>
      </w:r>
      <w:r w:rsidR="00EC04D6" w:rsidRPr="00BC32B5">
        <w:t xml:space="preserve">el 10 de marzo de 1987 la señora Habbal ingresó a Argentina </w:t>
      </w:r>
      <w:r w:rsidR="00C67ECD" w:rsidRPr="00BC32B5">
        <w:t xml:space="preserve">siendo registrada con nacionalidad brasileña al presentar un pasaporte </w:t>
      </w:r>
      <w:r w:rsidR="009743E3" w:rsidRPr="00BC32B5">
        <w:t>expedido en Rio de Janeiro</w:t>
      </w:r>
      <w:r w:rsidR="009743E3" w:rsidRPr="00BC32B5">
        <w:rPr>
          <w:rStyle w:val="Refdenotaalpie"/>
          <w:rFonts w:cs="Times New Roman"/>
          <w:lang w:val="es-CR"/>
        </w:rPr>
        <w:footnoteReference w:id="56"/>
      </w:r>
      <w:r w:rsidR="009743E3" w:rsidRPr="00BC32B5">
        <w:t>.</w:t>
      </w:r>
    </w:p>
    <w:p w14:paraId="5492EAA5" w14:textId="77777777" w:rsidR="004F6879" w:rsidRPr="004F6879" w:rsidRDefault="004F6879" w:rsidP="004330E3">
      <w:pPr>
        <w:snapToGrid w:val="0"/>
        <w:rPr>
          <w:rFonts w:ascii="Verdana" w:hAnsi="Verdana"/>
          <w:sz w:val="20"/>
          <w:szCs w:val="20"/>
          <w:lang w:val="es-ES"/>
        </w:rPr>
      </w:pPr>
    </w:p>
    <w:p w14:paraId="2340ABD0" w14:textId="2B1DF054" w:rsidR="004F6879" w:rsidRPr="000611AB" w:rsidRDefault="004F6879" w:rsidP="004330E3">
      <w:pPr>
        <w:pStyle w:val="Ttulo2"/>
        <w:numPr>
          <w:ilvl w:val="0"/>
          <w:numId w:val="24"/>
        </w:numPr>
      </w:pPr>
      <w:bookmarkStart w:id="33" w:name="_Toc115167432"/>
      <w:r w:rsidRPr="000611AB">
        <w:lastRenderedPageBreak/>
        <w:t>El sobreseimiento de la causa penal en contra de la señora Habbal y la condena del señor Al Kassar</w:t>
      </w:r>
      <w:bookmarkEnd w:id="33"/>
      <w:r w:rsidRPr="000611AB">
        <w:t xml:space="preserve"> </w:t>
      </w:r>
    </w:p>
    <w:p w14:paraId="030C054F" w14:textId="77777777" w:rsidR="004F6879" w:rsidRPr="004F6879" w:rsidRDefault="004F6879" w:rsidP="004330E3">
      <w:pPr>
        <w:snapToGrid w:val="0"/>
        <w:rPr>
          <w:rFonts w:ascii="Verdana" w:hAnsi="Verdana"/>
          <w:sz w:val="20"/>
          <w:szCs w:val="20"/>
        </w:rPr>
      </w:pPr>
    </w:p>
    <w:p w14:paraId="2F3C8A78" w14:textId="16BFF3A6" w:rsidR="00A031DA" w:rsidRPr="007F4BD6" w:rsidRDefault="008906BB" w:rsidP="00D753D0">
      <w:pPr>
        <w:pStyle w:val="PrrafodeSentencia"/>
      </w:pPr>
      <w:r>
        <w:t xml:space="preserve">Además del proceso de pérdida de nacionalidad, se iniciaron dos procesos penales simultáneos </w:t>
      </w:r>
      <w:r w:rsidR="00B24EB6">
        <w:t>en contra del señor Al Kassar y la señora Habbal por</w:t>
      </w:r>
      <w:r w:rsidR="00A031DA">
        <w:t xml:space="preserve"> hechos relacionados con</w:t>
      </w:r>
      <w:r w:rsidR="003E4B6F">
        <w:t xml:space="preserve"> la documentación presentada </w:t>
      </w:r>
      <w:r w:rsidR="00A031DA">
        <w:t>para la obtención de la residencia y la ciudadanía</w:t>
      </w:r>
      <w:r w:rsidR="00A031DA">
        <w:rPr>
          <w:rStyle w:val="Refdenotaalpie"/>
        </w:rPr>
        <w:footnoteReference w:id="57"/>
      </w:r>
      <w:r w:rsidR="00A031DA">
        <w:t>.</w:t>
      </w:r>
      <w:r w:rsidR="00B87E6F">
        <w:t xml:space="preserve"> En el proceso seguido en contra de la señora Habbal se </w:t>
      </w:r>
      <w:r w:rsidR="00FB045E">
        <w:t xml:space="preserve">resolvió “[d]ictar la prisión preventiva </w:t>
      </w:r>
      <w:r w:rsidR="00BF53D0">
        <w:t>de Raghda Habbal</w:t>
      </w:r>
      <w:r w:rsidR="00BB7724">
        <w:t xml:space="preserve"> </w:t>
      </w:r>
      <w:r w:rsidR="00E81ABB">
        <w:t>[</w:t>
      </w:r>
      <w:r w:rsidR="00BB7724">
        <w:t>…</w:t>
      </w:r>
      <w:r w:rsidR="00E81ABB">
        <w:t>]</w:t>
      </w:r>
      <w:r w:rsidR="00BB7724">
        <w:t xml:space="preserve"> por considerarla autora </w:t>
      </w:r>
      <w:r w:rsidR="00B647F2">
        <w:t>“</w:t>
      </w:r>
      <w:r w:rsidR="00BB7724">
        <w:t xml:space="preserve">prima facie”, responsable </w:t>
      </w:r>
      <w:r w:rsidR="0080451D">
        <w:t>del delito</w:t>
      </w:r>
      <w:r w:rsidR="00BB7724">
        <w:t xml:space="preserve"> de Falsedad Ideológica</w:t>
      </w:r>
      <w:r w:rsidR="00B42944">
        <w:t xml:space="preserve">, por tres hechos (Falsedad Ideológica de Certificado Policial de Residencia, </w:t>
      </w:r>
      <w:r w:rsidR="000929B4">
        <w:t xml:space="preserve">Promesa de Compraventa y Carta de Ciudadanía) </w:t>
      </w:r>
      <w:r w:rsidR="00E81ABB">
        <w:t>[</w:t>
      </w:r>
      <w:r w:rsidR="000929B4">
        <w:t>…</w:t>
      </w:r>
      <w:r w:rsidR="00E81ABB">
        <w:t>]</w:t>
      </w:r>
      <w:r w:rsidR="000929B4">
        <w:t>”</w:t>
      </w:r>
      <w:r w:rsidR="008D32F5">
        <w:rPr>
          <w:rStyle w:val="Refdenotaalpie"/>
        </w:rPr>
        <w:footnoteReference w:id="58"/>
      </w:r>
      <w:r w:rsidR="000929B4">
        <w:t xml:space="preserve">. </w:t>
      </w:r>
      <w:r w:rsidR="00D455AD" w:rsidRPr="007F4BD6">
        <w:t xml:space="preserve">En relación con dicha resolución, el </w:t>
      </w:r>
      <w:r w:rsidR="008D32F5" w:rsidRPr="007F4BD6">
        <w:t xml:space="preserve">17 de noviembre de 1995, el Juzgado Federal No. 1 de Mendoza </w:t>
      </w:r>
      <w:r w:rsidR="007A2C80" w:rsidRPr="007F4BD6">
        <w:t xml:space="preserve">resolvió </w:t>
      </w:r>
      <w:r w:rsidR="00724354" w:rsidRPr="007F4BD6">
        <w:t xml:space="preserve">dejar sin efectos la prisión preventiva dictada </w:t>
      </w:r>
      <w:r w:rsidR="00D40407" w:rsidRPr="007F4BD6">
        <w:t>respecto de</w:t>
      </w:r>
      <w:r w:rsidR="00A81B64" w:rsidRPr="007F4BD6">
        <w:t xml:space="preserve"> la señora Habbal</w:t>
      </w:r>
      <w:r w:rsidR="00A81B64" w:rsidRPr="007F4BD6">
        <w:rPr>
          <w:rStyle w:val="Refdenotaalpie"/>
        </w:rPr>
        <w:footnoteReference w:id="59"/>
      </w:r>
      <w:r w:rsidR="00A81B64" w:rsidRPr="007F4BD6">
        <w:t>.</w:t>
      </w:r>
    </w:p>
    <w:p w14:paraId="24821094" w14:textId="77777777" w:rsidR="00A031DA" w:rsidRDefault="00A031DA" w:rsidP="00D753D0">
      <w:pPr>
        <w:pStyle w:val="PrrafodeSentencia"/>
        <w:numPr>
          <w:ilvl w:val="0"/>
          <w:numId w:val="0"/>
        </w:numPr>
      </w:pPr>
    </w:p>
    <w:p w14:paraId="7F346AC2" w14:textId="75F2BB1F" w:rsidR="004F6879" w:rsidRPr="004F6879" w:rsidRDefault="004F6879" w:rsidP="00D753D0">
      <w:pPr>
        <w:pStyle w:val="PrrafodeSentencia"/>
      </w:pPr>
      <w:r w:rsidRPr="004F6879">
        <w:t xml:space="preserve">El 14 de abril de 1997, el Juez Penal se pronunció respecto de la </w:t>
      </w:r>
      <w:r w:rsidR="00AD758D">
        <w:t>imputación</w:t>
      </w:r>
      <w:r w:rsidR="008B10BB">
        <w:t xml:space="preserve"> que se le formuló a</w:t>
      </w:r>
      <w:r w:rsidRPr="004F6879">
        <w:t xml:space="preserve"> la señora Habbal como resultado de </w:t>
      </w:r>
      <w:r w:rsidR="008B10BB">
        <w:t>“</w:t>
      </w:r>
      <w:r w:rsidRPr="004F6879">
        <w:t>su participación en el certificado policial de residencia</w:t>
      </w:r>
      <w:r w:rsidR="00F26556">
        <w:t xml:space="preserve"> No. 260 extendido en el destacamiento de Policía de Mendoza </w:t>
      </w:r>
      <w:r w:rsidR="00CF3AB4">
        <w:t>el 17 de enero de 1992 y la</w:t>
      </w:r>
      <w:r w:rsidRPr="004F6879">
        <w:t xml:space="preserve"> promesa de compraventa de un inmueble</w:t>
      </w:r>
      <w:r w:rsidR="00CF3AB4">
        <w:t>”</w:t>
      </w:r>
      <w:r w:rsidR="00331EAD" w:rsidRPr="004F6879">
        <w:rPr>
          <w:rStyle w:val="Refdenotaalpie"/>
          <w:lang w:val="es-ES"/>
        </w:rPr>
        <w:footnoteReference w:id="60"/>
      </w:r>
      <w:r w:rsidRPr="004F6879">
        <w:t xml:space="preserve">. </w:t>
      </w:r>
      <w:r w:rsidR="005D3E50">
        <w:t xml:space="preserve">Respecto de dichos hechos, el </w:t>
      </w:r>
      <w:r w:rsidRPr="004F6879">
        <w:t>Juez</w:t>
      </w:r>
      <w:r w:rsidR="007D0814">
        <w:t xml:space="preserve"> Penal</w:t>
      </w:r>
      <w:r w:rsidRPr="004F6879">
        <w:t xml:space="preserve"> consideró que “el desconocimiento del idioma resulta, claramente en este caso, una barrera infranqueable como para formular contra la imputada cualquier tipo de reproche”. </w:t>
      </w:r>
      <w:r w:rsidR="0099028F">
        <w:t>Específicamente r</w:t>
      </w:r>
      <w:r w:rsidRPr="004F6879">
        <w:t xml:space="preserve">especto de la promesa de compraventa de un inmueble en la provincia de Mendoza, consideró que el responsable de esas operaciones no fue ella sino el señor Al Kassar. Lo anterior derivó en </w:t>
      </w:r>
      <w:r w:rsidR="0099028F">
        <w:t xml:space="preserve">que </w:t>
      </w:r>
      <w:r w:rsidR="00C862D8">
        <w:t>dicho</w:t>
      </w:r>
      <w:r w:rsidRPr="004F6879">
        <w:t xml:space="preserve"> Juez</w:t>
      </w:r>
      <w:r w:rsidR="00C862D8">
        <w:t xml:space="preserve"> Penal</w:t>
      </w:r>
      <w:r w:rsidR="0099028F">
        <w:t xml:space="preserve"> concluyera</w:t>
      </w:r>
      <w:r w:rsidRPr="004F6879">
        <w:t xml:space="preserve"> que la señora Habbal no tuvo responsabilidad en los sucesos investigados</w:t>
      </w:r>
      <w:r w:rsidR="00C862D8">
        <w:t>,</w:t>
      </w:r>
      <w:r w:rsidRPr="004F6879">
        <w:t xml:space="preserve"> ni que existieran pruebas en su contra. En consecuencia, determinó el sobreseimiento de la causa seguida contra la señora Habbal</w:t>
      </w:r>
      <w:r w:rsidRPr="004F6879">
        <w:rPr>
          <w:rStyle w:val="Refdenotaalpie"/>
          <w:lang w:val="es-ES"/>
        </w:rPr>
        <w:footnoteReference w:id="61"/>
      </w:r>
      <w:r w:rsidRPr="004F6879">
        <w:t>.</w:t>
      </w:r>
    </w:p>
    <w:p w14:paraId="2CFBADD3" w14:textId="77777777" w:rsidR="004F6879" w:rsidRPr="004F6879" w:rsidRDefault="004F6879" w:rsidP="00792F0B">
      <w:pPr>
        <w:pStyle w:val="Prrafodelista"/>
        <w:autoSpaceDE w:val="0"/>
        <w:autoSpaceDN w:val="0"/>
        <w:adjustRightInd w:val="0"/>
        <w:snapToGrid w:val="0"/>
        <w:spacing w:after="0" w:line="240" w:lineRule="auto"/>
        <w:ind w:left="0"/>
        <w:contextualSpacing w:val="0"/>
        <w:jc w:val="both"/>
        <w:rPr>
          <w:rFonts w:ascii="Verdana" w:hAnsi="Verdana"/>
          <w:sz w:val="20"/>
          <w:szCs w:val="20"/>
          <w:lang w:val="es-ES"/>
        </w:rPr>
      </w:pPr>
    </w:p>
    <w:p w14:paraId="4E483C83" w14:textId="319D09F6" w:rsidR="004F6879" w:rsidRDefault="004F6879" w:rsidP="00D753D0">
      <w:pPr>
        <w:pStyle w:val="PrrafodeSentencia"/>
      </w:pPr>
      <w:r w:rsidRPr="004F6879">
        <w:t>El 9 de septiembre de 2009, el Juzgado Federal No. 1 de Mendoza condenó penalmente al señor Al Kassar por considerarlo autor del delito de falsedad ideológica de su certificado de admisión de residencia permanente y coautor de la falsedad ideológica de su carta de ciudadanía, por haber “insertado declaraciones falsas en distintas manifestaciones realizadas en sede administrativa y judicial” que permitieron que aquel obtuviera los documentos referidos</w:t>
      </w:r>
      <w:r w:rsidRPr="004F6879">
        <w:rPr>
          <w:rStyle w:val="Refdenotaalpie"/>
          <w:rFonts w:cs="Times-Roman"/>
          <w:lang w:val="es-ES"/>
        </w:rPr>
        <w:footnoteReference w:id="62"/>
      </w:r>
      <w:r w:rsidRPr="004F6879">
        <w:rPr>
          <w:rFonts w:cs="Times-Roman"/>
        </w:rPr>
        <w:t xml:space="preserve">. </w:t>
      </w:r>
      <w:r w:rsidRPr="004F6879">
        <w:t>El 18 de mayo de 2010, la Sala II de la Cámara Nacional de Apelaciones en lo Criminal y Correccional Federal confirmó la sentencia contra del señor Al Kassar</w:t>
      </w:r>
      <w:r w:rsidR="00672815">
        <w:t>,</w:t>
      </w:r>
      <w:r w:rsidRPr="004F6879">
        <w:t xml:space="preserve"> y modificó la calificación legal por la de “partícipe necesario del delito de falsedad ideológica de los documentos de residente y ciudadano”</w:t>
      </w:r>
      <w:r w:rsidRPr="00E147B3">
        <w:rPr>
          <w:rStyle w:val="Refdenotaalpie"/>
          <w:bCs w:val="0"/>
          <w:lang w:val="es-ES"/>
        </w:rPr>
        <w:footnoteReference w:id="63"/>
      </w:r>
      <w:r w:rsidRPr="00E147B3">
        <w:t>.</w:t>
      </w:r>
      <w:r w:rsidRPr="004F6879">
        <w:t xml:space="preserve"> El 31 de mayo de 2011 se declaró inadmisible el recurso extraordinario presentado contra la anterior decisión</w:t>
      </w:r>
      <w:r w:rsidRPr="004F6879">
        <w:rPr>
          <w:rStyle w:val="Refdenotaalpie"/>
          <w:lang w:val="es-ES"/>
        </w:rPr>
        <w:footnoteReference w:id="64"/>
      </w:r>
      <w:r w:rsidRPr="004F6879">
        <w:t>.</w:t>
      </w:r>
    </w:p>
    <w:p w14:paraId="2CE7E2BF" w14:textId="77777777" w:rsidR="00990035" w:rsidRPr="004F6879" w:rsidRDefault="00990035" w:rsidP="00D753D0">
      <w:pPr>
        <w:pStyle w:val="PrrafodeSentencia"/>
        <w:numPr>
          <w:ilvl w:val="0"/>
          <w:numId w:val="0"/>
        </w:numPr>
      </w:pPr>
    </w:p>
    <w:p w14:paraId="64631747" w14:textId="77777777" w:rsidR="000116FE" w:rsidRDefault="000116FE" w:rsidP="004330E3">
      <w:pPr>
        <w:snapToGrid w:val="0"/>
        <w:rPr>
          <w:rFonts w:ascii="Verdana" w:hAnsi="Verdana"/>
          <w:sz w:val="20"/>
          <w:szCs w:val="20"/>
          <w:lang w:val="es-ES"/>
        </w:rPr>
      </w:pPr>
    </w:p>
    <w:p w14:paraId="60B0B86E" w14:textId="7A7385B3" w:rsidR="005F16DB" w:rsidRPr="005F16DB" w:rsidRDefault="005F16DB" w:rsidP="005F16DB">
      <w:pPr>
        <w:pStyle w:val="Ttulo2"/>
        <w:numPr>
          <w:ilvl w:val="0"/>
          <w:numId w:val="24"/>
        </w:numPr>
      </w:pPr>
      <w:bookmarkStart w:id="34" w:name="_Toc115167433"/>
      <w:r>
        <w:t>La revocación de la Resolución 1088</w:t>
      </w:r>
      <w:r w:rsidRPr="000611AB">
        <w:t xml:space="preserve"> </w:t>
      </w:r>
      <w:r w:rsidR="00F74BAB">
        <w:t>el 1 de junio de 2020</w:t>
      </w:r>
      <w:bookmarkEnd w:id="34"/>
    </w:p>
    <w:p w14:paraId="10E322A4" w14:textId="77777777" w:rsidR="005F16DB" w:rsidRDefault="005F16DB" w:rsidP="004330E3">
      <w:pPr>
        <w:snapToGrid w:val="0"/>
        <w:rPr>
          <w:rFonts w:ascii="Verdana" w:hAnsi="Verdana"/>
          <w:sz w:val="20"/>
          <w:szCs w:val="20"/>
          <w:lang w:val="es-ES"/>
        </w:rPr>
      </w:pPr>
    </w:p>
    <w:p w14:paraId="4A0B2812" w14:textId="63E0AAA8" w:rsidR="005F16DB" w:rsidRPr="005F16DB" w:rsidRDefault="005F16DB" w:rsidP="00D753D0">
      <w:pPr>
        <w:pStyle w:val="PrrafodeSentencia"/>
      </w:pPr>
      <w:r>
        <w:t>El 1 de junio de 2020, la Dirección Nacional de Migraciones “en el marco de las conclusiones expuestas por la Comisión Interamericana de Derechos Humanos</w:t>
      </w:r>
      <w:r w:rsidR="000116FE">
        <w:t xml:space="preserve"> </w:t>
      </w:r>
      <w:r w:rsidR="006E6D86">
        <w:t>[mediante el Informe No. 140/19 de 28 de septiembre de 2019]</w:t>
      </w:r>
      <w:r>
        <w:t xml:space="preserve">” estimó conducente </w:t>
      </w:r>
      <w:r w:rsidR="00CC6CE5">
        <w:t>revocar</w:t>
      </w:r>
      <w:r>
        <w:t xml:space="preserve"> la Resolución 1088 de 11 de mayo de 1992. En los considerandos de dicha decisión, la Dirección Nacional de Migraciones </w:t>
      </w:r>
      <w:r w:rsidR="003632E9">
        <w:t>señaló que</w:t>
      </w:r>
      <w:r>
        <w:t xml:space="preserve"> la Comisión Interamericana concluyó que el Estado argentino era responsable por la violación a los derechos de los niñas y niños, a la nacionalidad, la libre circulación y residencia, y a la protección judicial, establecidos en la Convención Americana, y que dicha Comisión recomendó al Estado “</w:t>
      </w:r>
      <w:r w:rsidR="00CC6CE5">
        <w:t>[</w:t>
      </w:r>
      <w:r>
        <w:t>…</w:t>
      </w:r>
      <w:r w:rsidR="00CC6CE5">
        <w:t xml:space="preserve">] </w:t>
      </w:r>
      <w:r>
        <w:t>2. Dejar sin efectos la Resolución No. 1088 de la Dirección Nacional de Población y Migraciones que anuló la radicación de las víctimas</w:t>
      </w:r>
      <w:r w:rsidR="00CC6CE5">
        <w:t xml:space="preserve"> [</w:t>
      </w:r>
      <w:r>
        <w:t>…</w:t>
      </w:r>
      <w:r w:rsidR="00CC6CE5">
        <w:t>]</w:t>
      </w:r>
      <w:r>
        <w:t>”</w:t>
      </w:r>
      <w:r>
        <w:rPr>
          <w:rStyle w:val="Refdenotaalpie"/>
        </w:rPr>
        <w:footnoteReference w:id="65"/>
      </w:r>
      <w:r>
        <w:t xml:space="preserve">. </w:t>
      </w:r>
    </w:p>
    <w:p w14:paraId="6B990A3D" w14:textId="77777777" w:rsidR="005F16DB" w:rsidRPr="004F6879" w:rsidRDefault="005F16DB" w:rsidP="00792F0B">
      <w:pPr>
        <w:snapToGrid w:val="0"/>
        <w:rPr>
          <w:rFonts w:ascii="Verdana" w:hAnsi="Verdana"/>
          <w:sz w:val="20"/>
          <w:szCs w:val="20"/>
          <w:lang w:val="es-ES"/>
        </w:rPr>
      </w:pPr>
    </w:p>
    <w:p w14:paraId="56C4BD6B" w14:textId="0F8418F6" w:rsidR="004F6879" w:rsidRPr="004F6879" w:rsidRDefault="00DF44B4" w:rsidP="005F16DB">
      <w:pPr>
        <w:pStyle w:val="Ttulo2"/>
        <w:numPr>
          <w:ilvl w:val="0"/>
          <w:numId w:val="24"/>
        </w:numPr>
      </w:pPr>
      <w:bookmarkStart w:id="35" w:name="_Toc115167434"/>
      <w:r>
        <w:t>El m</w:t>
      </w:r>
      <w:r w:rsidR="004F6879" w:rsidRPr="004F6879">
        <w:t>arco normativo relevante</w:t>
      </w:r>
      <w:r>
        <w:t xml:space="preserve"> en la época de los hechos</w:t>
      </w:r>
      <w:bookmarkEnd w:id="35"/>
    </w:p>
    <w:p w14:paraId="54A38A49" w14:textId="77777777" w:rsidR="004F6879" w:rsidRPr="004F6879" w:rsidRDefault="004F6879" w:rsidP="004330E3">
      <w:pPr>
        <w:snapToGrid w:val="0"/>
        <w:jc w:val="both"/>
        <w:rPr>
          <w:rFonts w:ascii="Verdana" w:hAnsi="Verdana" w:cstheme="minorHAnsi"/>
          <w:sz w:val="20"/>
          <w:szCs w:val="20"/>
          <w:lang w:val="es-ES"/>
        </w:rPr>
      </w:pPr>
    </w:p>
    <w:p w14:paraId="20FCF940" w14:textId="741900FC" w:rsidR="004F6879" w:rsidRPr="004F6879" w:rsidRDefault="004F6879" w:rsidP="00D753D0">
      <w:pPr>
        <w:pStyle w:val="PrrafodeSentencia"/>
      </w:pPr>
      <w:r w:rsidRPr="004F6879">
        <w:t xml:space="preserve">Sobre </w:t>
      </w:r>
      <w:r w:rsidRPr="004F6879">
        <w:rPr>
          <w:rFonts w:cs="Arial"/>
        </w:rPr>
        <w:t>la naturalización,</w:t>
      </w:r>
      <w:r w:rsidRPr="004F6879">
        <w:rPr>
          <w:rFonts w:cs="Arial"/>
          <w:b/>
          <w:i/>
        </w:rPr>
        <w:t xml:space="preserve"> </w:t>
      </w:r>
      <w:r w:rsidRPr="004F6879">
        <w:t>el artículo 20 de la Constitución argentina, aplicable en la época de los hechos, disponía que:</w:t>
      </w:r>
    </w:p>
    <w:p w14:paraId="23F2C0DA" w14:textId="77777777" w:rsidR="004F6879" w:rsidRPr="00A17E39" w:rsidRDefault="004F6879" w:rsidP="004330E3">
      <w:pPr>
        <w:autoSpaceDE w:val="0"/>
        <w:autoSpaceDN w:val="0"/>
        <w:adjustRightInd w:val="0"/>
        <w:snapToGrid w:val="0"/>
        <w:rPr>
          <w:rFonts w:ascii="Verdana" w:hAnsi="Verdana"/>
          <w:sz w:val="20"/>
          <w:szCs w:val="20"/>
          <w:lang w:val="es-CL"/>
        </w:rPr>
      </w:pPr>
    </w:p>
    <w:p w14:paraId="32DD324E" w14:textId="403F9489" w:rsidR="004F6879" w:rsidRPr="00A34AB2" w:rsidRDefault="004F6879" w:rsidP="004330E3">
      <w:pPr>
        <w:autoSpaceDE w:val="0"/>
        <w:autoSpaceDN w:val="0"/>
        <w:adjustRightInd w:val="0"/>
        <w:snapToGrid w:val="0"/>
        <w:ind w:left="720" w:right="1143"/>
        <w:jc w:val="both"/>
        <w:rPr>
          <w:rFonts w:ascii="Verdana" w:hAnsi="Verdana"/>
          <w:sz w:val="18"/>
          <w:szCs w:val="18"/>
          <w:lang w:val="es-ES"/>
        </w:rPr>
      </w:pPr>
      <w:r w:rsidRPr="00A34AB2">
        <w:rPr>
          <w:rFonts w:ascii="Verdana" w:hAnsi="Verdana"/>
          <w:sz w:val="18"/>
          <w:szCs w:val="18"/>
          <w:lang w:val="es-ES"/>
        </w:rPr>
        <w:t xml:space="preserve">Los extranjeros gozan en el territorio de la Nación de todos los derechos civiles del ciudadano; pueden ejercer su industria, comercio </w:t>
      </w:r>
      <w:r w:rsidRPr="00A34AB2">
        <w:rPr>
          <w:rFonts w:ascii="Verdana" w:hAnsi="Verdana" w:cs="Arial"/>
          <w:sz w:val="18"/>
          <w:szCs w:val="18"/>
          <w:lang w:val="es-ES"/>
        </w:rPr>
        <w:t xml:space="preserve">y </w:t>
      </w:r>
      <w:r w:rsidRPr="00A34AB2">
        <w:rPr>
          <w:rFonts w:ascii="Verdana" w:hAnsi="Verdana"/>
          <w:sz w:val="18"/>
          <w:szCs w:val="18"/>
          <w:lang w:val="es-ES"/>
        </w:rPr>
        <w:t xml:space="preserve">profesión; poseer bienes raíces, comprarlos </w:t>
      </w:r>
      <w:r w:rsidRPr="00A34AB2">
        <w:rPr>
          <w:rFonts w:ascii="Verdana" w:hAnsi="Verdana"/>
          <w:i/>
          <w:iCs/>
          <w:sz w:val="18"/>
          <w:szCs w:val="18"/>
          <w:lang w:val="es-ES"/>
        </w:rPr>
        <w:t xml:space="preserve">y </w:t>
      </w:r>
      <w:r w:rsidRPr="00A34AB2">
        <w:rPr>
          <w:rFonts w:ascii="Verdana" w:hAnsi="Verdana"/>
          <w:sz w:val="18"/>
          <w:szCs w:val="18"/>
          <w:lang w:val="es-ES"/>
        </w:rPr>
        <w:t xml:space="preserve">enajenarlos; navegar los ríos </w:t>
      </w:r>
      <w:r w:rsidRPr="00A34AB2">
        <w:rPr>
          <w:rFonts w:ascii="Verdana" w:hAnsi="Verdana" w:cs="Arial"/>
          <w:sz w:val="18"/>
          <w:szCs w:val="18"/>
          <w:lang w:val="es-ES"/>
        </w:rPr>
        <w:t xml:space="preserve">y </w:t>
      </w:r>
      <w:r w:rsidRPr="00A34AB2">
        <w:rPr>
          <w:rFonts w:ascii="Verdana" w:hAnsi="Verdana"/>
          <w:sz w:val="18"/>
          <w:szCs w:val="18"/>
          <w:lang w:val="es-ES"/>
        </w:rPr>
        <w:t xml:space="preserve">costas; ejercer libremente su culto; testar </w:t>
      </w:r>
      <w:r w:rsidRPr="00A34AB2">
        <w:rPr>
          <w:rFonts w:ascii="Verdana" w:hAnsi="Verdana"/>
          <w:i/>
          <w:iCs/>
          <w:sz w:val="18"/>
          <w:szCs w:val="18"/>
          <w:lang w:val="es-ES"/>
        </w:rPr>
        <w:t xml:space="preserve">y </w:t>
      </w:r>
      <w:r w:rsidRPr="00A34AB2">
        <w:rPr>
          <w:rFonts w:ascii="Verdana" w:hAnsi="Verdana"/>
          <w:sz w:val="18"/>
          <w:szCs w:val="18"/>
          <w:lang w:val="es-ES"/>
        </w:rPr>
        <w:t>casarse conforme a las leyes. No están obligados a admitir la ciudadanía, ni a pagar contribuciones forzosas extraordinarias. Obtienen nacionalización residiendo dos años continuos en la Nación; pero la autoridad puede acortar este término a favor del que lo solicite, alegando y probando servicios a la República</w:t>
      </w:r>
      <w:r w:rsidR="00E03054">
        <w:rPr>
          <w:rStyle w:val="Refdenotaalpie"/>
          <w:rFonts w:ascii="Verdana" w:hAnsi="Verdana"/>
          <w:sz w:val="18"/>
          <w:szCs w:val="18"/>
          <w:lang w:val="es-ES"/>
        </w:rPr>
        <w:footnoteReference w:id="66"/>
      </w:r>
      <w:r w:rsidRPr="00A34AB2">
        <w:rPr>
          <w:rFonts w:ascii="Verdana" w:hAnsi="Verdana"/>
          <w:sz w:val="18"/>
          <w:szCs w:val="18"/>
          <w:lang w:val="es-ES"/>
        </w:rPr>
        <w:t>.</w:t>
      </w:r>
    </w:p>
    <w:p w14:paraId="6ADF9C45" w14:textId="77777777" w:rsidR="004F6879" w:rsidRPr="004F6879" w:rsidRDefault="004F6879" w:rsidP="004330E3">
      <w:pPr>
        <w:autoSpaceDE w:val="0"/>
        <w:autoSpaceDN w:val="0"/>
        <w:adjustRightInd w:val="0"/>
        <w:snapToGrid w:val="0"/>
        <w:rPr>
          <w:rFonts w:ascii="Verdana" w:hAnsi="Verdana"/>
          <w:sz w:val="20"/>
          <w:szCs w:val="20"/>
          <w:lang w:val="es-ES"/>
        </w:rPr>
      </w:pPr>
    </w:p>
    <w:p w14:paraId="1F7AFD47" w14:textId="03B1DDDC" w:rsidR="004F6879" w:rsidRPr="004F6879" w:rsidRDefault="004F6879" w:rsidP="00D753D0">
      <w:pPr>
        <w:pStyle w:val="PrrafodeSentencia"/>
      </w:pPr>
      <w:r w:rsidRPr="004F6879">
        <w:t>El artículo 3 del Decreto Reglamentario 3213 de 1984</w:t>
      </w:r>
      <w:r w:rsidR="00FF781A">
        <w:t>,</w:t>
      </w:r>
      <w:r w:rsidRPr="004F6879">
        <w:t xml:space="preserve"> respecto de la nacionalidad y ciudadanía</w:t>
      </w:r>
      <w:r w:rsidR="00FF781A">
        <w:t>,</w:t>
      </w:r>
      <w:r w:rsidRPr="004F6879">
        <w:t xml:space="preserve"> establecía que:</w:t>
      </w:r>
    </w:p>
    <w:p w14:paraId="4C534A29" w14:textId="77777777" w:rsidR="004F6879" w:rsidRPr="004F6879" w:rsidRDefault="004F6879" w:rsidP="004330E3">
      <w:pPr>
        <w:autoSpaceDE w:val="0"/>
        <w:autoSpaceDN w:val="0"/>
        <w:adjustRightInd w:val="0"/>
        <w:snapToGrid w:val="0"/>
        <w:rPr>
          <w:rFonts w:ascii="Verdana" w:hAnsi="Verdana"/>
          <w:sz w:val="20"/>
          <w:szCs w:val="20"/>
          <w:lang w:val="es-ES"/>
        </w:rPr>
      </w:pPr>
    </w:p>
    <w:p w14:paraId="3250D7AB" w14:textId="43B3ED86" w:rsidR="004F6879" w:rsidRPr="00A34AB2" w:rsidRDefault="004F6879" w:rsidP="004330E3">
      <w:pPr>
        <w:autoSpaceDE w:val="0"/>
        <w:autoSpaceDN w:val="0"/>
        <w:adjustRightInd w:val="0"/>
        <w:snapToGrid w:val="0"/>
        <w:ind w:left="720" w:right="1143"/>
        <w:jc w:val="both"/>
        <w:rPr>
          <w:rFonts w:ascii="Verdana" w:hAnsi="Verdana"/>
          <w:sz w:val="18"/>
          <w:szCs w:val="18"/>
          <w:lang w:val="es-ES"/>
        </w:rPr>
      </w:pPr>
      <w:r w:rsidRPr="00A34AB2">
        <w:rPr>
          <w:rFonts w:ascii="Verdana" w:hAnsi="Verdana"/>
          <w:sz w:val="18"/>
          <w:szCs w:val="18"/>
          <w:lang w:val="es-ES"/>
        </w:rPr>
        <w:t xml:space="preserve">Los extranjeros designados en el artículo 2º inciso 1º de la Ley Nº 346, al tiempo de solicitar su naturalización deberán cumplimentar las siguientes condiciones: a) tener dieciocho (18) años de edad cumplidos b) residir en la República dos (2) años continuos c) manifestar ante los jueces federales su voluntad de serlo. También podrán obtener la naturalización cualquiera sea el tiempo de su residencia los extranjeros que acrediten las siguientes circunstancias: </w:t>
      </w:r>
      <w:r w:rsidR="00E03054">
        <w:rPr>
          <w:rFonts w:ascii="Verdana" w:hAnsi="Verdana"/>
          <w:sz w:val="18"/>
          <w:szCs w:val="18"/>
          <w:lang w:val="es-ES"/>
        </w:rPr>
        <w:t>[…]</w:t>
      </w:r>
      <w:r w:rsidR="00E03054" w:rsidRPr="00A34AB2">
        <w:rPr>
          <w:rFonts w:ascii="Verdana" w:hAnsi="Verdana"/>
          <w:sz w:val="18"/>
          <w:szCs w:val="18"/>
          <w:lang w:val="es-ES"/>
        </w:rPr>
        <w:t xml:space="preserve"> </w:t>
      </w:r>
      <w:r w:rsidRPr="00A34AB2">
        <w:rPr>
          <w:rFonts w:ascii="Verdana" w:hAnsi="Verdana"/>
          <w:sz w:val="18"/>
          <w:szCs w:val="18"/>
          <w:lang w:val="es-ES"/>
        </w:rPr>
        <w:t xml:space="preserve">c) haber establecido en el país una nueva industria, introducido una invención útil o realizado cualquier otra acción, que signifique un adelanto moral o material para la República </w:t>
      </w:r>
      <w:r w:rsidR="00E03054">
        <w:rPr>
          <w:rFonts w:ascii="Verdana" w:hAnsi="Verdana"/>
          <w:sz w:val="18"/>
          <w:szCs w:val="18"/>
          <w:lang w:val="es-ES"/>
        </w:rPr>
        <w:t>[…]</w:t>
      </w:r>
      <w:r w:rsidR="00E03054">
        <w:rPr>
          <w:rStyle w:val="Refdenotaalpie"/>
          <w:rFonts w:ascii="Verdana" w:hAnsi="Verdana"/>
          <w:sz w:val="18"/>
          <w:szCs w:val="18"/>
          <w:lang w:val="es-ES"/>
        </w:rPr>
        <w:footnoteReference w:id="67"/>
      </w:r>
      <w:r w:rsidR="00E03054">
        <w:rPr>
          <w:rFonts w:ascii="Verdana" w:hAnsi="Verdana"/>
          <w:sz w:val="18"/>
          <w:szCs w:val="18"/>
          <w:lang w:val="es-ES"/>
        </w:rPr>
        <w:t>.</w:t>
      </w:r>
    </w:p>
    <w:p w14:paraId="626E8D9E" w14:textId="77777777" w:rsidR="004F6879" w:rsidRPr="004F6879" w:rsidRDefault="004F6879" w:rsidP="004330E3">
      <w:pPr>
        <w:autoSpaceDE w:val="0"/>
        <w:autoSpaceDN w:val="0"/>
        <w:adjustRightInd w:val="0"/>
        <w:snapToGrid w:val="0"/>
        <w:rPr>
          <w:rFonts w:ascii="Verdana" w:hAnsi="Verdana"/>
          <w:sz w:val="20"/>
          <w:szCs w:val="20"/>
          <w:lang w:val="es-ES"/>
        </w:rPr>
      </w:pPr>
    </w:p>
    <w:p w14:paraId="463BBFB7" w14:textId="77777777" w:rsidR="004F6879" w:rsidRPr="004F6879" w:rsidRDefault="004F6879" w:rsidP="00D753D0">
      <w:pPr>
        <w:pStyle w:val="PrrafodeSentencia"/>
      </w:pPr>
      <w:r w:rsidRPr="004F6879">
        <w:t xml:space="preserve">En relación con </w:t>
      </w:r>
      <w:r w:rsidRPr="004F6879">
        <w:rPr>
          <w:rFonts w:cs="Arial"/>
        </w:rPr>
        <w:t>el procedimiento para adquirir la nacionalidad</w:t>
      </w:r>
      <w:r w:rsidRPr="004F6879">
        <w:rPr>
          <w:rFonts w:cs="Arial"/>
          <w:i/>
        </w:rPr>
        <w:t xml:space="preserve">, </w:t>
      </w:r>
      <w:r w:rsidRPr="004F6879">
        <w:t xml:space="preserve">el Decreto Reglamentario 3213 de 1984 señalaba: </w:t>
      </w:r>
    </w:p>
    <w:p w14:paraId="7D3696BC" w14:textId="77777777" w:rsidR="004F6879" w:rsidRPr="004F6879" w:rsidRDefault="004F6879" w:rsidP="004330E3">
      <w:pPr>
        <w:autoSpaceDE w:val="0"/>
        <w:autoSpaceDN w:val="0"/>
        <w:adjustRightInd w:val="0"/>
        <w:snapToGrid w:val="0"/>
        <w:rPr>
          <w:rFonts w:ascii="Verdana" w:hAnsi="Verdana"/>
          <w:sz w:val="20"/>
          <w:szCs w:val="20"/>
          <w:lang w:val="es-ES"/>
        </w:rPr>
      </w:pPr>
    </w:p>
    <w:p w14:paraId="3241A089" w14:textId="78C02427" w:rsidR="004F6879" w:rsidRPr="00A34AB2" w:rsidRDefault="004F6879" w:rsidP="004330E3">
      <w:pPr>
        <w:autoSpaceDE w:val="0"/>
        <w:autoSpaceDN w:val="0"/>
        <w:adjustRightInd w:val="0"/>
        <w:snapToGrid w:val="0"/>
        <w:ind w:left="720" w:right="1143"/>
        <w:jc w:val="both"/>
        <w:rPr>
          <w:rFonts w:ascii="Verdana" w:hAnsi="Verdana"/>
          <w:sz w:val="18"/>
          <w:szCs w:val="18"/>
          <w:lang w:val="es-ES"/>
        </w:rPr>
      </w:pPr>
      <w:r w:rsidRPr="00A34AB2">
        <w:rPr>
          <w:rFonts w:ascii="Verdana" w:hAnsi="Verdana"/>
          <w:sz w:val="18"/>
          <w:szCs w:val="18"/>
          <w:lang w:val="es-ES"/>
        </w:rPr>
        <w:t>Artículo 5. Los jueces que reciban el pedido de naturalización, dentro del término de tres (3) días, solicitarán de oficio todo informe o certificado que consideren conveniente requerir a la Dirección Nacional de Migraciones, a la Policía Federal Argentina, a la Secretaría de Inteligencia de Estado, al Registro Nacional de las Personas, al Registro Nacional de Reincidencia y Estadística Criminal y Carcelaria o a cualquier repartición pública, privada o a particulares</w:t>
      </w:r>
      <w:r w:rsidR="005548B3">
        <w:rPr>
          <w:rStyle w:val="Refdenotaalpie"/>
          <w:rFonts w:ascii="Verdana" w:hAnsi="Verdana"/>
          <w:sz w:val="18"/>
          <w:szCs w:val="18"/>
          <w:lang w:val="es-ES"/>
        </w:rPr>
        <w:footnoteReference w:id="68"/>
      </w:r>
      <w:r w:rsidRPr="00A34AB2">
        <w:rPr>
          <w:rFonts w:ascii="Verdana" w:hAnsi="Verdana"/>
          <w:sz w:val="18"/>
          <w:szCs w:val="18"/>
          <w:lang w:val="es-ES"/>
        </w:rPr>
        <w:t xml:space="preserve">. </w:t>
      </w:r>
    </w:p>
    <w:p w14:paraId="1AB87386" w14:textId="77777777" w:rsidR="004F6879" w:rsidRPr="004F6879" w:rsidRDefault="004F6879" w:rsidP="004330E3">
      <w:pPr>
        <w:autoSpaceDE w:val="0"/>
        <w:autoSpaceDN w:val="0"/>
        <w:adjustRightInd w:val="0"/>
        <w:snapToGrid w:val="0"/>
        <w:rPr>
          <w:rFonts w:ascii="Verdana" w:hAnsi="Verdana"/>
          <w:sz w:val="20"/>
          <w:szCs w:val="20"/>
          <w:lang w:val="es-ES"/>
        </w:rPr>
      </w:pPr>
    </w:p>
    <w:p w14:paraId="3134A7A9" w14:textId="77777777" w:rsidR="004F6879" w:rsidRPr="004F6879" w:rsidRDefault="004F6879" w:rsidP="00D753D0">
      <w:pPr>
        <w:pStyle w:val="PrrafodeSentencia"/>
      </w:pPr>
      <w:r w:rsidRPr="004F6879">
        <w:lastRenderedPageBreak/>
        <w:t xml:space="preserve">Respecto de </w:t>
      </w:r>
      <w:r w:rsidRPr="004F6879">
        <w:rPr>
          <w:rFonts w:cs="Arial"/>
        </w:rPr>
        <w:t>la cancelación de la ciudadanía</w:t>
      </w:r>
      <w:r w:rsidRPr="004F6879">
        <w:rPr>
          <w:rFonts w:cs="Arial"/>
          <w:i/>
        </w:rPr>
        <w:t xml:space="preserve">, </w:t>
      </w:r>
      <w:r w:rsidRPr="004F6879">
        <w:t xml:space="preserve">la </w:t>
      </w:r>
      <w:bookmarkStart w:id="36" w:name="_Hlk114755510"/>
      <w:r w:rsidRPr="004F6879">
        <w:t xml:space="preserve">Ley 21.610 </w:t>
      </w:r>
      <w:bookmarkEnd w:id="36"/>
      <w:r w:rsidRPr="004F6879">
        <w:t>sobre ciudadanía agregó un artículo a la Ley 346 que señala:</w:t>
      </w:r>
    </w:p>
    <w:p w14:paraId="4C10B8EA" w14:textId="77777777" w:rsidR="004F6879" w:rsidRPr="004F6879" w:rsidRDefault="004F6879" w:rsidP="004330E3">
      <w:pPr>
        <w:autoSpaceDE w:val="0"/>
        <w:autoSpaceDN w:val="0"/>
        <w:adjustRightInd w:val="0"/>
        <w:snapToGrid w:val="0"/>
        <w:rPr>
          <w:rFonts w:ascii="Verdana" w:hAnsi="Verdana"/>
          <w:sz w:val="20"/>
          <w:szCs w:val="20"/>
          <w:lang w:val="es-ES"/>
        </w:rPr>
      </w:pPr>
    </w:p>
    <w:p w14:paraId="3892BD87" w14:textId="1CEE06AA" w:rsidR="004F6879" w:rsidRPr="00A34AB2" w:rsidRDefault="004F6879" w:rsidP="004330E3">
      <w:pPr>
        <w:autoSpaceDE w:val="0"/>
        <w:autoSpaceDN w:val="0"/>
        <w:adjustRightInd w:val="0"/>
        <w:snapToGrid w:val="0"/>
        <w:ind w:left="720" w:right="1143"/>
        <w:jc w:val="both"/>
        <w:rPr>
          <w:rFonts w:ascii="Verdana" w:hAnsi="Verdana"/>
          <w:sz w:val="18"/>
          <w:szCs w:val="18"/>
          <w:lang w:val="es-ES"/>
        </w:rPr>
      </w:pPr>
      <w:r w:rsidRPr="00A34AB2">
        <w:rPr>
          <w:rFonts w:ascii="Verdana" w:hAnsi="Verdana"/>
          <w:sz w:val="18"/>
          <w:szCs w:val="18"/>
          <w:lang w:val="es-ES"/>
        </w:rPr>
        <w:t>3) Artículo Nuevo. En la cancelación de la ciudadanía, se observará el siguiente procedimiento: a) El fiscal federal que corresponda, al tener conocimiento de la existencia de algunas de las causas pertinentes promoverá la cancelación de la ciudadanía argentina por naturalización, la cual tramitará por el procedimiento sumario. b) La ciudadanía por naturalización será cancelada por el Juez Federal con jurisdicción en el último domicilio argentino del naturalizado. c) Contra la sentencia que deniegue o disponga la cancelación de la ciudadanía por naturalización, podrá interponerse recurso</w:t>
      </w:r>
      <w:r w:rsidR="001D3A1A">
        <w:rPr>
          <w:rFonts w:ascii="Verdana" w:hAnsi="Verdana"/>
          <w:sz w:val="18"/>
          <w:szCs w:val="18"/>
          <w:lang w:val="es-ES"/>
        </w:rPr>
        <w:t xml:space="preserve"> </w:t>
      </w:r>
      <w:r w:rsidRPr="00A34AB2">
        <w:rPr>
          <w:rFonts w:ascii="Verdana" w:hAnsi="Verdana"/>
          <w:sz w:val="18"/>
          <w:szCs w:val="18"/>
          <w:lang w:val="es-ES"/>
        </w:rPr>
        <w:t xml:space="preserve">de apelación, ante la Cámara Federal competente. El plazo para interponer el recurso será de cinco días y para dictar sentencia será de quince días. d) Firme la sentencia que disponga la cancelación de la ciudadanía por naturalización, deberá ordenarse el secuestro de la </w:t>
      </w:r>
      <w:r w:rsidR="001D3A1A">
        <w:rPr>
          <w:rFonts w:ascii="Verdana" w:hAnsi="Verdana"/>
          <w:sz w:val="18"/>
          <w:szCs w:val="18"/>
          <w:lang w:val="es-ES"/>
        </w:rPr>
        <w:t>“</w:t>
      </w:r>
      <w:r w:rsidRPr="00A34AB2">
        <w:rPr>
          <w:rFonts w:ascii="Verdana" w:hAnsi="Verdana"/>
          <w:sz w:val="18"/>
          <w:szCs w:val="18"/>
          <w:lang w:val="es-ES"/>
        </w:rPr>
        <w:t>carta de ciudadanía</w:t>
      </w:r>
      <w:r w:rsidR="001D3A1A">
        <w:rPr>
          <w:rFonts w:ascii="Verdana" w:hAnsi="Verdana"/>
          <w:sz w:val="18"/>
          <w:szCs w:val="18"/>
          <w:lang w:val="es-ES"/>
        </w:rPr>
        <w:t>”</w:t>
      </w:r>
      <w:r w:rsidRPr="00A34AB2">
        <w:rPr>
          <w:rFonts w:ascii="Verdana" w:hAnsi="Verdana"/>
          <w:sz w:val="18"/>
          <w:szCs w:val="18"/>
          <w:lang w:val="es-ES"/>
        </w:rPr>
        <w:t>, las anotaciones respectivas en el Registro Nacional de las Personas, las comunicaciones a la Dirección Nacional de Migraciones y Fuerzas de Seguridad. e) El Poder Ejecutivo Nacional designará a los organismos nacionales que deberán informar a los jueces y tribunales federales, en los casos de impedimento y cancelación</w:t>
      </w:r>
      <w:r w:rsidR="00037164">
        <w:rPr>
          <w:rStyle w:val="Refdenotaalpie"/>
          <w:rFonts w:ascii="Verdana" w:hAnsi="Verdana"/>
          <w:sz w:val="18"/>
          <w:szCs w:val="18"/>
          <w:lang w:val="es-ES"/>
        </w:rPr>
        <w:footnoteReference w:id="69"/>
      </w:r>
      <w:r w:rsidRPr="00A34AB2">
        <w:rPr>
          <w:rFonts w:ascii="Verdana" w:hAnsi="Verdana"/>
          <w:sz w:val="18"/>
          <w:szCs w:val="18"/>
          <w:lang w:val="es-ES"/>
        </w:rPr>
        <w:t>.</w:t>
      </w:r>
    </w:p>
    <w:p w14:paraId="707DB9AF" w14:textId="77777777" w:rsidR="004F6879" w:rsidRPr="004F6879" w:rsidRDefault="004F6879" w:rsidP="004330E3">
      <w:pPr>
        <w:autoSpaceDE w:val="0"/>
        <w:autoSpaceDN w:val="0"/>
        <w:adjustRightInd w:val="0"/>
        <w:snapToGrid w:val="0"/>
        <w:rPr>
          <w:rFonts w:ascii="Verdana" w:hAnsi="Verdana"/>
          <w:sz w:val="20"/>
          <w:szCs w:val="20"/>
          <w:lang w:val="es-ES"/>
        </w:rPr>
      </w:pPr>
    </w:p>
    <w:p w14:paraId="22496005" w14:textId="29DCCF2B" w:rsidR="004F6879" w:rsidRPr="004F6879" w:rsidRDefault="004F6879" w:rsidP="00D753D0">
      <w:pPr>
        <w:pStyle w:val="PrrafodeSentencia"/>
      </w:pPr>
      <w:r w:rsidRPr="004F6879">
        <w:t>Los artículos 15 y 18 del Decreto Reglamentario 3213 de 1984 establecen:</w:t>
      </w:r>
    </w:p>
    <w:p w14:paraId="73F55397" w14:textId="77777777" w:rsidR="004F6879" w:rsidRPr="004F6879" w:rsidRDefault="004F6879" w:rsidP="004330E3">
      <w:pPr>
        <w:autoSpaceDE w:val="0"/>
        <w:autoSpaceDN w:val="0"/>
        <w:adjustRightInd w:val="0"/>
        <w:snapToGrid w:val="0"/>
        <w:rPr>
          <w:rFonts w:ascii="Verdana" w:hAnsi="Verdana"/>
          <w:sz w:val="20"/>
          <w:szCs w:val="20"/>
          <w:lang w:val="es-ES"/>
        </w:rPr>
      </w:pPr>
    </w:p>
    <w:p w14:paraId="483DE745" w14:textId="77777777" w:rsidR="00467F82" w:rsidRDefault="004F6879" w:rsidP="004330E3">
      <w:pPr>
        <w:autoSpaceDE w:val="0"/>
        <w:autoSpaceDN w:val="0"/>
        <w:adjustRightInd w:val="0"/>
        <w:snapToGrid w:val="0"/>
        <w:ind w:left="720" w:right="1143"/>
        <w:jc w:val="both"/>
        <w:rPr>
          <w:rFonts w:ascii="Verdana" w:hAnsi="Verdana"/>
          <w:sz w:val="18"/>
          <w:szCs w:val="18"/>
          <w:lang w:val="es-ES"/>
        </w:rPr>
      </w:pPr>
      <w:r w:rsidRPr="00A34AB2">
        <w:rPr>
          <w:rFonts w:ascii="Verdana" w:hAnsi="Verdana"/>
          <w:sz w:val="18"/>
          <w:szCs w:val="18"/>
          <w:lang w:val="es-ES"/>
        </w:rPr>
        <w:t>Artículo 15. Los organismos mencionados en el artículo 5° del presente decreto y los cónsules argentinos actuantes en el exterior están obligados a denunciar ante la Cámara Nacional Electoral los casos de que tuvieren conocimiento que estén comprendidos en el artículo 8º de la Ley Nº 346 o que en la obtención de la ciudadanía por opción, por naturalización o por aplicación de la Ley Nº 16.569, hubiere mediado fraude por ser falsos los hechos invocados para su obtención, a efectos de proceder a su anulación, debiéndose en la denuncia determinarse con precisión la causa a la vez que acompañar la prueba que la justifique. La denuncia será pasada al Procurador Fiscal para que asuma la calidad de parte en el juicio. La acción también podrá ser iniciada de oficio por el mencionado funcionario. Solicitada la suspensión del ejercicio de los derechos políticos o la nulidad de la ciudadanía obtenida mediante fraude, se correrá traslado al interesado, por el término de quince (15) días laborables, para que conteste y ofrezca la prueba de descargo. El emplazamiento se notificará por Cédula en el último domicilio que el interesado tuviere registrado en el Registro Nacional de Electores. Si no residiere allí o estuviere ausente, será notificado por edictos, que se publicarán tres (3) veces con un intervalo de diez (10) días entre una y otra publicación en el Boletín Oficial de la Nación. La defensa del causante será asumida obligatoriamente por el defensor oficial, salvo que aquél o su representante deseare hacerse patrocinar por un letrado de la matrícula.</w:t>
      </w:r>
    </w:p>
    <w:p w14:paraId="27A2534F" w14:textId="77777777" w:rsidR="00467F82" w:rsidRDefault="00467F82" w:rsidP="004330E3">
      <w:pPr>
        <w:autoSpaceDE w:val="0"/>
        <w:autoSpaceDN w:val="0"/>
        <w:adjustRightInd w:val="0"/>
        <w:snapToGrid w:val="0"/>
        <w:ind w:left="720" w:right="1143"/>
        <w:jc w:val="both"/>
        <w:rPr>
          <w:rFonts w:ascii="Verdana" w:hAnsi="Verdana"/>
          <w:sz w:val="18"/>
          <w:szCs w:val="18"/>
          <w:lang w:val="es-ES"/>
        </w:rPr>
      </w:pPr>
    </w:p>
    <w:p w14:paraId="2594B567" w14:textId="44032544" w:rsidR="004F6879" w:rsidRPr="00A34AB2" w:rsidRDefault="005548B3" w:rsidP="004330E3">
      <w:pPr>
        <w:autoSpaceDE w:val="0"/>
        <w:autoSpaceDN w:val="0"/>
        <w:adjustRightInd w:val="0"/>
        <w:snapToGrid w:val="0"/>
        <w:ind w:left="720" w:right="1143"/>
        <w:jc w:val="both"/>
        <w:rPr>
          <w:rFonts w:ascii="Verdana" w:hAnsi="Verdana"/>
          <w:sz w:val="18"/>
          <w:szCs w:val="18"/>
          <w:lang w:val="es-ES"/>
        </w:rPr>
      </w:pPr>
      <w:r>
        <w:rPr>
          <w:rFonts w:ascii="Verdana" w:hAnsi="Verdana"/>
          <w:sz w:val="18"/>
          <w:szCs w:val="18"/>
          <w:lang w:val="es-ES"/>
        </w:rPr>
        <w:t>[</w:t>
      </w:r>
      <w:r w:rsidR="004F6879" w:rsidRPr="00A34AB2">
        <w:rPr>
          <w:rFonts w:ascii="Verdana" w:hAnsi="Verdana"/>
          <w:sz w:val="18"/>
          <w:szCs w:val="18"/>
          <w:lang w:val="es-ES"/>
        </w:rPr>
        <w:t>...</w:t>
      </w:r>
      <w:r>
        <w:rPr>
          <w:rFonts w:ascii="Verdana" w:hAnsi="Verdana"/>
          <w:sz w:val="18"/>
          <w:szCs w:val="18"/>
          <w:lang w:val="es-ES"/>
        </w:rPr>
        <w:t>]</w:t>
      </w:r>
    </w:p>
    <w:p w14:paraId="54FFF979" w14:textId="77777777" w:rsidR="004F6879" w:rsidRPr="00A34AB2" w:rsidRDefault="004F6879" w:rsidP="004330E3">
      <w:pPr>
        <w:autoSpaceDE w:val="0"/>
        <w:autoSpaceDN w:val="0"/>
        <w:adjustRightInd w:val="0"/>
        <w:snapToGrid w:val="0"/>
        <w:ind w:left="720" w:right="1143"/>
        <w:jc w:val="both"/>
        <w:rPr>
          <w:rFonts w:ascii="Verdana" w:hAnsi="Verdana"/>
          <w:sz w:val="18"/>
          <w:szCs w:val="18"/>
          <w:lang w:val="es-ES"/>
        </w:rPr>
      </w:pPr>
    </w:p>
    <w:p w14:paraId="7B12749D" w14:textId="1D5408D7" w:rsidR="004F6879" w:rsidRPr="00A34AB2" w:rsidRDefault="004F6879" w:rsidP="004330E3">
      <w:pPr>
        <w:autoSpaceDE w:val="0"/>
        <w:autoSpaceDN w:val="0"/>
        <w:adjustRightInd w:val="0"/>
        <w:snapToGrid w:val="0"/>
        <w:ind w:left="720" w:right="1143"/>
        <w:jc w:val="both"/>
        <w:rPr>
          <w:rFonts w:ascii="Verdana" w:hAnsi="Verdana"/>
          <w:sz w:val="18"/>
          <w:szCs w:val="18"/>
          <w:lang w:val="es-ES"/>
        </w:rPr>
      </w:pPr>
      <w:r w:rsidRPr="00A34AB2">
        <w:rPr>
          <w:rFonts w:ascii="Verdana" w:hAnsi="Verdana"/>
          <w:sz w:val="18"/>
          <w:szCs w:val="18"/>
          <w:lang w:val="es-ES"/>
        </w:rPr>
        <w:t>Artículo 18. En caso de declararse la nulidad de la ciudadanía por opción, por naturalización o por aplicación de la Ley Nº 16.569 obtenidas mediante fraude, dicha circunstancia se notificará también a la Dirección Nacional de Migraciones a los efectos de que ésta considere la condición de extranjero que el interesado recobra</w:t>
      </w:r>
      <w:r w:rsidR="005548B3">
        <w:rPr>
          <w:rStyle w:val="Refdenotaalpie"/>
          <w:rFonts w:ascii="Verdana" w:hAnsi="Verdana"/>
          <w:sz w:val="18"/>
          <w:szCs w:val="18"/>
          <w:lang w:val="es-ES"/>
        </w:rPr>
        <w:footnoteReference w:id="70"/>
      </w:r>
      <w:r w:rsidRPr="00A34AB2">
        <w:rPr>
          <w:rFonts w:ascii="Verdana" w:hAnsi="Verdana"/>
          <w:sz w:val="18"/>
          <w:szCs w:val="18"/>
          <w:lang w:val="es-ES"/>
        </w:rPr>
        <w:t>.</w:t>
      </w:r>
    </w:p>
    <w:p w14:paraId="0E10AD30" w14:textId="77777777" w:rsidR="004F6879" w:rsidRPr="004F6879" w:rsidRDefault="004F6879" w:rsidP="004330E3">
      <w:pPr>
        <w:snapToGrid w:val="0"/>
        <w:jc w:val="both"/>
        <w:rPr>
          <w:rFonts w:ascii="Verdana" w:hAnsi="Verdana"/>
          <w:sz w:val="20"/>
          <w:szCs w:val="20"/>
          <w:lang w:val="es-ES"/>
        </w:rPr>
      </w:pPr>
    </w:p>
    <w:p w14:paraId="30D0D18C" w14:textId="77777777" w:rsidR="004F6879" w:rsidRPr="004F6879" w:rsidRDefault="004F6879" w:rsidP="00D753D0">
      <w:pPr>
        <w:pStyle w:val="PrrafodeSentencia"/>
      </w:pPr>
      <w:r w:rsidRPr="004F6879">
        <w:t xml:space="preserve">Por otra parte, </w:t>
      </w:r>
      <w:r w:rsidRPr="004F6879">
        <w:rPr>
          <w:rFonts w:cs="Arial"/>
        </w:rPr>
        <w:t>la normativa alegada en relación con la prejudicialidad</w:t>
      </w:r>
      <w:r w:rsidRPr="004F6879">
        <w:rPr>
          <w:rFonts w:cs="Arial"/>
          <w:b/>
          <w:i/>
        </w:rPr>
        <w:t xml:space="preserve"> </w:t>
      </w:r>
      <w:r w:rsidRPr="004F6879">
        <w:t>es el artículo 1101 del Código Civil en el capítulo IV sobre el “ejercicio de las acciones para la indemnización de los daños causados por los delitos” dispone:</w:t>
      </w:r>
    </w:p>
    <w:p w14:paraId="5603A9CC" w14:textId="77777777" w:rsidR="004F6879" w:rsidRPr="004F6879" w:rsidRDefault="004F6879" w:rsidP="004330E3">
      <w:pPr>
        <w:autoSpaceDE w:val="0"/>
        <w:autoSpaceDN w:val="0"/>
        <w:adjustRightInd w:val="0"/>
        <w:snapToGrid w:val="0"/>
        <w:rPr>
          <w:rFonts w:ascii="Verdana" w:hAnsi="Verdana"/>
          <w:sz w:val="20"/>
          <w:szCs w:val="20"/>
          <w:lang w:val="es-ES"/>
        </w:rPr>
      </w:pPr>
    </w:p>
    <w:p w14:paraId="677B687A" w14:textId="51A4AA84" w:rsidR="00050083" w:rsidRPr="00A34AB2" w:rsidRDefault="004F6879" w:rsidP="004330E3">
      <w:pPr>
        <w:snapToGrid w:val="0"/>
        <w:ind w:left="708" w:right="900"/>
        <w:jc w:val="both"/>
        <w:rPr>
          <w:rFonts w:ascii="Verdana" w:hAnsi="Verdana"/>
          <w:sz w:val="18"/>
          <w:szCs w:val="18"/>
          <w:lang w:val="es-ES"/>
        </w:rPr>
      </w:pPr>
      <w:r w:rsidRPr="00A34AB2">
        <w:rPr>
          <w:rFonts w:ascii="Verdana" w:hAnsi="Verdana"/>
          <w:sz w:val="18"/>
          <w:szCs w:val="18"/>
          <w:lang w:val="es-ES"/>
        </w:rPr>
        <w:t xml:space="preserve">Artículo 1101. Si la acción criminal hubiere precedido a la acción civil, o fuere intentada pendiente ésta, no habrá condenación en el juicio civil antes de la condenación del </w:t>
      </w:r>
      <w:r w:rsidRPr="00A34AB2">
        <w:rPr>
          <w:rFonts w:ascii="Verdana" w:hAnsi="Verdana"/>
          <w:sz w:val="18"/>
          <w:szCs w:val="18"/>
          <w:lang w:val="es-ES"/>
        </w:rPr>
        <w:lastRenderedPageBreak/>
        <w:t>acusado en el juicio criminal, con excepción de los casos siguientes: 1 - Si hubiere fallecido el acusado antes de ser juzgada la acción criminal, en cuyo caso la acción civil puede ser intentada o continuada contra los respectivos herederos; 2 - En caso de ausencia del acusado, en que la acción criminal no puede ser intentada o continuada</w:t>
      </w:r>
      <w:r w:rsidR="00904A44">
        <w:rPr>
          <w:rStyle w:val="Refdenotaalpie"/>
          <w:rFonts w:ascii="Verdana" w:hAnsi="Verdana"/>
          <w:sz w:val="18"/>
          <w:szCs w:val="18"/>
          <w:lang w:val="es-ES"/>
        </w:rPr>
        <w:footnoteReference w:id="71"/>
      </w:r>
      <w:r w:rsidRPr="00A34AB2">
        <w:rPr>
          <w:rFonts w:ascii="Verdana" w:hAnsi="Verdana"/>
          <w:sz w:val="18"/>
          <w:szCs w:val="18"/>
          <w:lang w:val="es-ES"/>
        </w:rPr>
        <w:t>.</w:t>
      </w:r>
    </w:p>
    <w:p w14:paraId="6A197A37" w14:textId="77777777" w:rsidR="006D2263" w:rsidRPr="00DF1416" w:rsidRDefault="006D2263" w:rsidP="00D753D0">
      <w:pPr>
        <w:pStyle w:val="PrrafodeSentencia"/>
        <w:numPr>
          <w:ilvl w:val="0"/>
          <w:numId w:val="0"/>
        </w:numPr>
      </w:pPr>
    </w:p>
    <w:p w14:paraId="4F410403" w14:textId="77AA4192" w:rsidR="00C66E22" w:rsidRPr="00227028" w:rsidRDefault="00C66E22" w:rsidP="004330E3">
      <w:pPr>
        <w:pStyle w:val="Ttulo1"/>
        <w:rPr>
          <w:snapToGrid w:val="0"/>
        </w:rPr>
      </w:pPr>
      <w:bookmarkStart w:id="37" w:name="_Toc437960386"/>
      <w:bookmarkStart w:id="38" w:name="_Toc494123966"/>
      <w:bookmarkStart w:id="39" w:name="_Toc12726708"/>
      <w:bookmarkStart w:id="40" w:name="_Toc19024929"/>
      <w:bookmarkStart w:id="41" w:name="_Toc23952574"/>
      <w:bookmarkStart w:id="42" w:name="_Toc37673830"/>
      <w:bookmarkStart w:id="43" w:name="_Toc47112965"/>
      <w:bookmarkStart w:id="44" w:name="_Toc88058647"/>
      <w:bookmarkStart w:id="45" w:name="_Toc115167435"/>
      <w:r w:rsidRPr="00227028">
        <w:rPr>
          <w:snapToGrid w:val="0"/>
        </w:rPr>
        <w:t>VII</w:t>
      </w:r>
      <w:r w:rsidRPr="00227028">
        <w:rPr>
          <w:snapToGrid w:val="0"/>
        </w:rPr>
        <w:br/>
      </w:r>
      <w:bookmarkEnd w:id="37"/>
      <w:bookmarkEnd w:id="38"/>
      <w:bookmarkEnd w:id="39"/>
      <w:bookmarkEnd w:id="40"/>
      <w:bookmarkEnd w:id="41"/>
      <w:r w:rsidRPr="00227028">
        <w:rPr>
          <w:snapToGrid w:val="0"/>
        </w:rPr>
        <w:t>FONDO</w:t>
      </w:r>
      <w:bookmarkEnd w:id="42"/>
      <w:bookmarkEnd w:id="43"/>
      <w:bookmarkEnd w:id="44"/>
      <w:bookmarkEnd w:id="45"/>
    </w:p>
    <w:p w14:paraId="48E46A10" w14:textId="42890CCA" w:rsidR="007462D0" w:rsidRDefault="007462D0" w:rsidP="004330E3">
      <w:pPr>
        <w:pStyle w:val="NormalNumbered"/>
        <w:numPr>
          <w:ilvl w:val="0"/>
          <w:numId w:val="0"/>
        </w:numPr>
        <w:rPr>
          <w:highlight w:val="yellow"/>
        </w:rPr>
      </w:pPr>
    </w:p>
    <w:p w14:paraId="2F610B2B" w14:textId="0C79EC8A" w:rsidR="00C84C3C" w:rsidRPr="00C84C3C" w:rsidRDefault="00C84C3C" w:rsidP="00D753D0">
      <w:pPr>
        <w:pStyle w:val="PrrafodeSentencia"/>
      </w:pPr>
      <w:r>
        <w:t xml:space="preserve">El </w:t>
      </w:r>
      <w:r w:rsidR="00E54220">
        <w:t xml:space="preserve">Tribunal advierte que </w:t>
      </w:r>
      <w:r w:rsidR="0028505D">
        <w:t>la</w:t>
      </w:r>
      <w:r w:rsidR="008508B1">
        <w:t xml:space="preserve"> principal</w:t>
      </w:r>
      <w:r w:rsidR="0028505D">
        <w:t xml:space="preserve"> controversia </w:t>
      </w:r>
      <w:r w:rsidR="008508B1">
        <w:t xml:space="preserve">plantada </w:t>
      </w:r>
      <w:r w:rsidR="00E54220">
        <w:t xml:space="preserve">en el presente caso consiste en determinar si </w:t>
      </w:r>
      <w:r w:rsidR="007648D6">
        <w:t xml:space="preserve">el Estado </w:t>
      </w:r>
      <w:r w:rsidR="00063C68">
        <w:t>in</w:t>
      </w:r>
      <w:r w:rsidR="007648D6">
        <w:t xml:space="preserve">cumplió con su deber de respetar los derechos a </w:t>
      </w:r>
      <w:r w:rsidR="00F76B64">
        <w:t>la circulación y residencia, a la nacionalidad, a la niñez</w:t>
      </w:r>
      <w:r w:rsidR="0028505D">
        <w:t>,</w:t>
      </w:r>
      <w:r w:rsidR="00801698">
        <w:t xml:space="preserve"> </w:t>
      </w:r>
      <w:r w:rsidR="00CE0F65">
        <w:t>a la igualdad ante la ley</w:t>
      </w:r>
      <w:r w:rsidR="006F2A0E">
        <w:t>,</w:t>
      </w:r>
      <w:r w:rsidR="00A517CE">
        <w:t xml:space="preserve"> y a las garantías judiciales,</w:t>
      </w:r>
      <w:r w:rsidR="006F2A0E">
        <w:t xml:space="preserve"> </w:t>
      </w:r>
      <w:r w:rsidR="00F234FA">
        <w:t>en pe</w:t>
      </w:r>
      <w:r w:rsidR="0038655B">
        <w:t>rjuicio de las presuntas víctimas</w:t>
      </w:r>
      <w:r w:rsidR="007B2815">
        <w:t xml:space="preserve">. </w:t>
      </w:r>
      <w:r w:rsidR="00F13193">
        <w:t>En ese sentido, l</w:t>
      </w:r>
      <w:r w:rsidR="007B2815">
        <w:t xml:space="preserve">os hechos centrales que serán analizados se </w:t>
      </w:r>
      <w:r w:rsidR="00F13193">
        <w:t>refieren a</w:t>
      </w:r>
      <w:r w:rsidR="003304DC">
        <w:t>l contenido y</w:t>
      </w:r>
      <w:r w:rsidR="00451308">
        <w:t xml:space="preserve"> efectos de</w:t>
      </w:r>
      <w:r w:rsidR="00FA2AE6">
        <w:t xml:space="preserve"> la</w:t>
      </w:r>
      <w:r w:rsidR="00563440">
        <w:t xml:space="preserve"> Resolución 1088 de 11 de mayo de 1992</w:t>
      </w:r>
      <w:r w:rsidR="00E154F8">
        <w:t xml:space="preserve">, mediante la cual </w:t>
      </w:r>
      <w:r w:rsidR="00D93BCE">
        <w:t>la</w:t>
      </w:r>
      <w:r w:rsidR="00D93BCE" w:rsidRPr="004F6879">
        <w:t xml:space="preserve"> Dirección Nacional de Población y Migraciones </w:t>
      </w:r>
      <w:r w:rsidR="003D2FFE">
        <w:t>declar</w:t>
      </w:r>
      <w:r w:rsidR="00F234FA">
        <w:t>ó</w:t>
      </w:r>
      <w:r w:rsidR="003D2FFE">
        <w:t xml:space="preserve"> </w:t>
      </w:r>
      <w:r w:rsidR="00563440">
        <w:t>ilegal la presencia</w:t>
      </w:r>
      <w:r w:rsidR="005C17FD">
        <w:t xml:space="preserve"> en Argentina</w:t>
      </w:r>
      <w:r w:rsidR="00563440">
        <w:t xml:space="preserve"> de </w:t>
      </w:r>
      <w:r w:rsidR="005C17FD">
        <w:t>la señora Habbal y sus hijas</w:t>
      </w:r>
      <w:r w:rsidR="00563440">
        <w:t>, y</w:t>
      </w:r>
      <w:r w:rsidR="00D93BCE">
        <w:t xml:space="preserve"> </w:t>
      </w:r>
      <w:r w:rsidR="002D1B12">
        <w:t>orden</w:t>
      </w:r>
      <w:r w:rsidR="00785E0E">
        <w:t>ó</w:t>
      </w:r>
      <w:r w:rsidR="00563440">
        <w:t xml:space="preserve"> su</w:t>
      </w:r>
      <w:r w:rsidR="002D1B12">
        <w:t xml:space="preserve"> detención</w:t>
      </w:r>
      <w:r w:rsidR="007000A2">
        <w:t xml:space="preserve"> precautoria</w:t>
      </w:r>
      <w:r w:rsidR="002D1B12">
        <w:t xml:space="preserve"> y expulsión</w:t>
      </w:r>
      <w:r w:rsidR="005C17FD">
        <w:t xml:space="preserve">, y el impacto que esta decisión pudo tener en los derechos de la niñez del niño </w:t>
      </w:r>
      <w:r w:rsidR="008277E9">
        <w:t>Mohamed René Al Kassar</w:t>
      </w:r>
      <w:r w:rsidR="00660392">
        <w:t>, así como</w:t>
      </w:r>
      <w:r w:rsidR="007000A2">
        <w:t xml:space="preserve"> </w:t>
      </w:r>
      <w:r w:rsidR="00E40BCC">
        <w:t>la decisión del Juez Federal Subrogante</w:t>
      </w:r>
      <w:r w:rsidR="00A9791F">
        <w:t xml:space="preserve"> de</w:t>
      </w:r>
      <w:r w:rsidR="00E40BCC">
        <w:t xml:space="preserve"> </w:t>
      </w:r>
      <w:r w:rsidR="003304DC">
        <w:t xml:space="preserve">27 de octubre de 1994, </w:t>
      </w:r>
      <w:r w:rsidR="00633ACF">
        <w:t xml:space="preserve">mediante la cual </w:t>
      </w:r>
      <w:r w:rsidR="00660392">
        <w:t xml:space="preserve">se </w:t>
      </w:r>
      <w:r w:rsidR="00DF480D">
        <w:t xml:space="preserve">canceló la </w:t>
      </w:r>
      <w:r w:rsidR="00E40BCC">
        <w:t>nacionalidad</w:t>
      </w:r>
      <w:r w:rsidR="00DF480D">
        <w:t xml:space="preserve"> argentina</w:t>
      </w:r>
      <w:r w:rsidR="00E40BCC">
        <w:t xml:space="preserve"> de la señora Habbal. Asimismo, la Corte se pronunciará </w:t>
      </w:r>
      <w:r w:rsidR="00660392">
        <w:t xml:space="preserve">sobre </w:t>
      </w:r>
      <w:r w:rsidR="00F13193">
        <w:t>las alegadas violaciones a la protección judicial respecto de</w:t>
      </w:r>
      <w:r w:rsidR="00DD3B0D">
        <w:t xml:space="preserve"> </w:t>
      </w:r>
      <w:r w:rsidR="00595E63">
        <w:t xml:space="preserve">la efectividad de los </w:t>
      </w:r>
      <w:r w:rsidR="00DD3B0D">
        <w:t xml:space="preserve">recursos </w:t>
      </w:r>
      <w:r w:rsidR="005462EF">
        <w:t xml:space="preserve">en relación con dichas decisiones. En razón de ello, este Tribunal analizará el </w:t>
      </w:r>
      <w:r w:rsidR="00204DB3">
        <w:t xml:space="preserve">fondo del presente caso en </w:t>
      </w:r>
      <w:r w:rsidR="00363B5B">
        <w:t xml:space="preserve">dos capítulos: a) la presunta violación a los derechos de circulación y de residencia, </w:t>
      </w:r>
      <w:r w:rsidR="009E387D">
        <w:t>a</w:t>
      </w:r>
      <w:r w:rsidR="00660392">
        <w:t>l debido proceso</w:t>
      </w:r>
      <w:r w:rsidR="00363B5B">
        <w:t xml:space="preserve">, </w:t>
      </w:r>
      <w:r w:rsidR="009E387D">
        <w:t xml:space="preserve">a la </w:t>
      </w:r>
      <w:r w:rsidR="00363B5B">
        <w:t>nacionalidad</w:t>
      </w:r>
      <w:r w:rsidR="00633ACF">
        <w:t xml:space="preserve">, </w:t>
      </w:r>
      <w:r w:rsidR="009E387D">
        <w:t xml:space="preserve">a la </w:t>
      </w:r>
      <w:r w:rsidR="00633ACF">
        <w:t>igualdad ante la ley,</w:t>
      </w:r>
      <w:r w:rsidR="00363B5B">
        <w:t xml:space="preserve"> </w:t>
      </w:r>
      <w:r w:rsidR="00660392">
        <w:t xml:space="preserve">a la libertad personal </w:t>
      </w:r>
      <w:r w:rsidR="00363B5B">
        <w:t>y</w:t>
      </w:r>
      <w:r w:rsidR="009E387D">
        <w:t xml:space="preserve"> los derechos de la</w:t>
      </w:r>
      <w:r w:rsidR="00363B5B">
        <w:t xml:space="preserve"> niñez</w:t>
      </w:r>
      <w:r w:rsidR="00660392">
        <w:t xml:space="preserve">, en relación con la obligación de respetar los derechos, </w:t>
      </w:r>
      <w:r w:rsidR="00D05789">
        <w:t xml:space="preserve">y b) </w:t>
      </w:r>
      <w:r w:rsidR="00660392">
        <w:t>la presunta violación a</w:t>
      </w:r>
      <w:r w:rsidR="008E6A81">
        <w:t xml:space="preserve">l </w:t>
      </w:r>
      <w:r w:rsidR="00D05789">
        <w:t>derecho a la protección judicial.</w:t>
      </w:r>
      <w:r w:rsidR="00BD6873">
        <w:t xml:space="preserve"> Asimismo,</w:t>
      </w:r>
      <w:r w:rsidR="00762C6D">
        <w:t xml:space="preserve"> en atención a los alegatos del Estado (</w:t>
      </w:r>
      <w:r w:rsidR="00762C6D" w:rsidRPr="00762C6D">
        <w:rPr>
          <w:i/>
        </w:rPr>
        <w:t>supra</w:t>
      </w:r>
      <w:r w:rsidR="00762C6D">
        <w:t>, párr.</w:t>
      </w:r>
      <w:r w:rsidR="002F45A9">
        <w:t xml:space="preserve"> 18</w:t>
      </w:r>
      <w:r w:rsidR="00762C6D">
        <w:t>)</w:t>
      </w:r>
      <w:r w:rsidR="00306761">
        <w:t>,</w:t>
      </w:r>
      <w:r w:rsidR="00956678">
        <w:t xml:space="preserve"> </w:t>
      </w:r>
      <w:r w:rsidR="001D3800">
        <w:t>como parte de su análisis</w:t>
      </w:r>
      <w:r w:rsidR="002F43A7">
        <w:t xml:space="preserve">, </w:t>
      </w:r>
      <w:r w:rsidR="00BD6873">
        <w:t xml:space="preserve">la Corte abordará </w:t>
      </w:r>
      <w:r w:rsidR="00956678">
        <w:t>si los hechos antes mencionados produjeron una afectación concreta en</w:t>
      </w:r>
      <w:r w:rsidR="0076740B">
        <w:t xml:space="preserve"> los derechos de</w:t>
      </w:r>
      <w:r w:rsidR="00956678">
        <w:t xml:space="preserve"> las presuntas víctimas, y</w:t>
      </w:r>
      <w:r w:rsidR="0076740B">
        <w:t>, en su caso,</w:t>
      </w:r>
      <w:r w:rsidR="00956678">
        <w:t xml:space="preserve"> si </w:t>
      </w:r>
      <w:r w:rsidR="0076740B">
        <w:t>las violaciones</w:t>
      </w:r>
      <w:r w:rsidR="00956678">
        <w:t xml:space="preserve"> han cesado y han sido reparad</w:t>
      </w:r>
      <w:r w:rsidR="0076740B">
        <w:t>a</w:t>
      </w:r>
      <w:r w:rsidR="00956678">
        <w:t>s.</w:t>
      </w:r>
    </w:p>
    <w:p w14:paraId="5A8AEE70" w14:textId="138460EB" w:rsidR="00C84C3C" w:rsidRDefault="00C84C3C" w:rsidP="004330E3">
      <w:pPr>
        <w:pStyle w:val="NormalNumbered"/>
        <w:numPr>
          <w:ilvl w:val="0"/>
          <w:numId w:val="0"/>
        </w:numPr>
        <w:rPr>
          <w:highlight w:val="yellow"/>
        </w:rPr>
      </w:pPr>
    </w:p>
    <w:p w14:paraId="062FF5E9" w14:textId="7A95F961" w:rsidR="00C66E22" w:rsidRPr="008A12F5" w:rsidRDefault="00C66E22" w:rsidP="004330E3">
      <w:pPr>
        <w:pStyle w:val="Ttulo1"/>
        <w:rPr>
          <w:caps/>
          <w:highlight w:val="yellow"/>
        </w:rPr>
      </w:pPr>
      <w:bookmarkStart w:id="46" w:name="_Toc37673831"/>
      <w:bookmarkStart w:id="47" w:name="_Toc47112966"/>
      <w:bookmarkStart w:id="48" w:name="_Toc88058648"/>
      <w:bookmarkStart w:id="49" w:name="_Toc115167436"/>
      <w:r w:rsidRPr="003C01BF">
        <w:rPr>
          <w:caps/>
        </w:rPr>
        <w:t>VII-1</w:t>
      </w:r>
      <w:r w:rsidRPr="003C01BF">
        <w:rPr>
          <w:caps/>
        </w:rPr>
        <w:br/>
      </w:r>
      <w:bookmarkEnd w:id="46"/>
      <w:bookmarkEnd w:id="47"/>
      <w:bookmarkEnd w:id="48"/>
      <w:r w:rsidR="003C01BF">
        <w:rPr>
          <w:caps/>
        </w:rPr>
        <w:t xml:space="preserve">DERECHOS </w:t>
      </w:r>
      <w:r w:rsidR="00D81C9F">
        <w:rPr>
          <w:caps/>
        </w:rPr>
        <w:t>de</w:t>
      </w:r>
      <w:r w:rsidR="003C01BF">
        <w:rPr>
          <w:caps/>
        </w:rPr>
        <w:t xml:space="preserve"> </w:t>
      </w:r>
      <w:r w:rsidR="00E17982">
        <w:rPr>
          <w:caps/>
        </w:rPr>
        <w:t>CIRCULACIÓN Y</w:t>
      </w:r>
      <w:r w:rsidR="0005672E">
        <w:rPr>
          <w:caps/>
        </w:rPr>
        <w:t xml:space="preserve"> de</w:t>
      </w:r>
      <w:r w:rsidR="00E17982">
        <w:rPr>
          <w:caps/>
        </w:rPr>
        <w:t xml:space="preserve"> RESIDENCIA</w:t>
      </w:r>
      <w:r w:rsidR="00A34E95">
        <w:rPr>
          <w:caps/>
        </w:rPr>
        <w:t>, al debido proceso,</w:t>
      </w:r>
      <w:r w:rsidR="00EA5862">
        <w:rPr>
          <w:caps/>
        </w:rPr>
        <w:t xml:space="preserve"> A LA NACIONALIDAD</w:t>
      </w:r>
      <w:r w:rsidR="00A34E95">
        <w:rPr>
          <w:caps/>
        </w:rPr>
        <w:t>,</w:t>
      </w:r>
      <w:r w:rsidR="00DE2989">
        <w:rPr>
          <w:caps/>
        </w:rPr>
        <w:t xml:space="preserve"> A LA IGUALDAD ANTE LA LEY,</w:t>
      </w:r>
      <w:r w:rsidR="00646F39">
        <w:rPr>
          <w:caps/>
        </w:rPr>
        <w:t xml:space="preserve"> A LA LIBERTAD PERSONAL,</w:t>
      </w:r>
      <w:r w:rsidR="00EA5862">
        <w:rPr>
          <w:caps/>
        </w:rPr>
        <w:t xml:space="preserve"> </w:t>
      </w:r>
      <w:r w:rsidR="00D94B3B">
        <w:rPr>
          <w:caps/>
        </w:rPr>
        <w:t xml:space="preserve">y </w:t>
      </w:r>
      <w:r w:rsidR="00C31408">
        <w:rPr>
          <w:caps/>
        </w:rPr>
        <w:t>de la niñez</w:t>
      </w:r>
      <w:r w:rsidR="00D94B3B">
        <w:rPr>
          <w:caps/>
        </w:rPr>
        <w:t xml:space="preserve">, </w:t>
      </w:r>
      <w:r w:rsidR="00EA5862">
        <w:rPr>
          <w:caps/>
        </w:rPr>
        <w:t xml:space="preserve">EN RELACIÓN CON </w:t>
      </w:r>
      <w:r w:rsidR="00074C46">
        <w:rPr>
          <w:caps/>
        </w:rPr>
        <w:t>LA OBLIGACIÓN</w:t>
      </w:r>
      <w:r w:rsidR="00663FEC">
        <w:rPr>
          <w:caps/>
        </w:rPr>
        <w:t xml:space="preserve"> DE RESPETAR LOS DERECHOS</w:t>
      </w:r>
      <w:bookmarkEnd w:id="49"/>
    </w:p>
    <w:p w14:paraId="78F9AB2E" w14:textId="77777777" w:rsidR="00C66E22" w:rsidRPr="008A12F5" w:rsidRDefault="00C66E22" w:rsidP="004330E3">
      <w:pPr>
        <w:pStyle w:val="NormalNumbered"/>
        <w:numPr>
          <w:ilvl w:val="0"/>
          <w:numId w:val="0"/>
        </w:numPr>
        <w:rPr>
          <w:snapToGrid w:val="0"/>
          <w:highlight w:val="yellow"/>
          <w:lang w:val="es-ES"/>
        </w:rPr>
      </w:pPr>
    </w:p>
    <w:p w14:paraId="797D5477" w14:textId="2C6FB017" w:rsidR="00663FEC" w:rsidRPr="00663FEC" w:rsidRDefault="00663FEC" w:rsidP="004330E3">
      <w:pPr>
        <w:pStyle w:val="Ttulo2"/>
        <w:numPr>
          <w:ilvl w:val="0"/>
          <w:numId w:val="4"/>
        </w:numPr>
      </w:pPr>
      <w:bookmarkStart w:id="50" w:name="_Toc115167437"/>
      <w:bookmarkStart w:id="51" w:name="_Toc37673832"/>
      <w:bookmarkStart w:id="52" w:name="_Toc47112967"/>
      <w:bookmarkStart w:id="53" w:name="_Toc88058649"/>
      <w:r>
        <w:t>Derecho</w:t>
      </w:r>
      <w:r w:rsidR="00D30AED">
        <w:t>s</w:t>
      </w:r>
      <w:r>
        <w:t xml:space="preserve"> </w:t>
      </w:r>
      <w:r w:rsidR="00D81C9F">
        <w:t xml:space="preserve">de circulación y </w:t>
      </w:r>
      <w:r w:rsidR="00616A6D">
        <w:t xml:space="preserve">de </w:t>
      </w:r>
      <w:r w:rsidR="00D81C9F">
        <w:t>residencia</w:t>
      </w:r>
      <w:r w:rsidR="007A4F58">
        <w:t>, al debido proceso,</w:t>
      </w:r>
      <w:r w:rsidR="009511A0">
        <w:t xml:space="preserve"> </w:t>
      </w:r>
      <w:r w:rsidR="00B70226">
        <w:t xml:space="preserve">a la </w:t>
      </w:r>
      <w:r w:rsidR="009511A0">
        <w:t>igualdad ante la ley,</w:t>
      </w:r>
      <w:r w:rsidR="00B70226">
        <w:t xml:space="preserve"> a la</w:t>
      </w:r>
      <w:r w:rsidR="007A4F58">
        <w:t xml:space="preserve"> </w:t>
      </w:r>
      <w:r w:rsidR="00B70DFF">
        <w:t xml:space="preserve">libertad personal </w:t>
      </w:r>
      <w:r w:rsidR="007A4F58">
        <w:t xml:space="preserve">y </w:t>
      </w:r>
      <w:r w:rsidR="00B70226">
        <w:t xml:space="preserve">derechos de </w:t>
      </w:r>
      <w:r w:rsidR="007A4F58">
        <w:t>la niñez</w:t>
      </w:r>
      <w:bookmarkEnd w:id="50"/>
    </w:p>
    <w:p w14:paraId="1C4BEC40" w14:textId="77777777" w:rsidR="00663FEC" w:rsidRDefault="00663FEC" w:rsidP="004330E3">
      <w:pPr>
        <w:pStyle w:val="Ttulo2"/>
        <w:ind w:left="0"/>
        <w:rPr>
          <w:highlight w:val="yellow"/>
        </w:rPr>
      </w:pPr>
    </w:p>
    <w:p w14:paraId="1D29051D" w14:textId="77D14A9F" w:rsidR="00C66E22" w:rsidRPr="0096671E" w:rsidRDefault="009277E3" w:rsidP="004330E3">
      <w:pPr>
        <w:pStyle w:val="Ttulo3"/>
      </w:pPr>
      <w:bookmarkStart w:id="54" w:name="_Toc115167438"/>
      <w:r w:rsidRPr="0096671E">
        <w:t xml:space="preserve">A.1. </w:t>
      </w:r>
      <w:r w:rsidR="00C66E22" w:rsidRPr="0096671E">
        <w:t xml:space="preserve">Alegatos </w:t>
      </w:r>
      <w:bookmarkEnd w:id="51"/>
      <w:bookmarkEnd w:id="52"/>
      <w:bookmarkEnd w:id="53"/>
      <w:r w:rsidR="00905CD5">
        <w:t>de las partes y observaciones de la Comisión</w:t>
      </w:r>
      <w:bookmarkEnd w:id="54"/>
    </w:p>
    <w:p w14:paraId="49B5F7AF" w14:textId="77777777" w:rsidR="00C66E22" w:rsidRPr="008A12F5" w:rsidRDefault="00C66E22" w:rsidP="004330E3">
      <w:pPr>
        <w:rPr>
          <w:rFonts w:ascii="Verdana" w:hAnsi="Verdana"/>
          <w:sz w:val="20"/>
          <w:szCs w:val="20"/>
          <w:highlight w:val="yellow"/>
          <w:lang w:eastAsia="es-CR"/>
        </w:rPr>
      </w:pPr>
    </w:p>
    <w:p w14:paraId="5015674A" w14:textId="51507FED" w:rsidR="00BD45C6" w:rsidRDefault="00BD45C6" w:rsidP="00D753D0">
      <w:pPr>
        <w:pStyle w:val="PrrafodeSentencia"/>
      </w:pPr>
      <w:r w:rsidRPr="00053E29">
        <w:t xml:space="preserve">La </w:t>
      </w:r>
      <w:r w:rsidRPr="00776600">
        <w:rPr>
          <w:b/>
          <w:i/>
        </w:rPr>
        <w:t xml:space="preserve">Comisión </w:t>
      </w:r>
      <w:r w:rsidR="00776600">
        <w:t>señaló</w:t>
      </w:r>
      <w:r w:rsidRPr="00BD45C6">
        <w:t xml:space="preserve"> que la </w:t>
      </w:r>
      <w:r w:rsidR="00776600">
        <w:t>señora Habbal</w:t>
      </w:r>
      <w:r w:rsidRPr="00BD45C6">
        <w:t xml:space="preserve"> adquirió la nacionalidad</w:t>
      </w:r>
      <w:r w:rsidR="00776600">
        <w:t xml:space="preserve"> argentina</w:t>
      </w:r>
      <w:r w:rsidRPr="00BD45C6">
        <w:t xml:space="preserve"> el 3 de abril de 1992 y</w:t>
      </w:r>
      <w:r w:rsidR="00776600">
        <w:t>,</w:t>
      </w:r>
      <w:r w:rsidRPr="00BD45C6">
        <w:t xml:space="preserve"> posteriormente</w:t>
      </w:r>
      <w:r w:rsidR="00776600">
        <w:t>,</w:t>
      </w:r>
      <w:r w:rsidRPr="00BD45C6">
        <w:t xml:space="preserve"> la Resolución 1088 ordenó su expulsión cuando aún gozaba de dicha condición, pues la nulidad de la nacionalidad ocurrió tiempo después. La Comisión notó que</w:t>
      </w:r>
      <w:r w:rsidR="00357C3B">
        <w:t>, en virtud del</w:t>
      </w:r>
      <w:r w:rsidRPr="00BD45C6">
        <w:t xml:space="preserve"> artículo 22.5 de la Convención Americana</w:t>
      </w:r>
      <w:r w:rsidR="00357C3B">
        <w:t>,</w:t>
      </w:r>
      <w:r w:rsidRPr="00BD45C6">
        <w:t xml:space="preserve"> no cabe duda de que la Dirección Nacional de Población y Migraciones profirió una orden incompatible con el derecho a la libertad de circulación dentro de su propio país a una ciudadana, </w:t>
      </w:r>
      <w:r w:rsidR="00FD7EAD">
        <w:t xml:space="preserve">lo cual resulta </w:t>
      </w:r>
      <w:r w:rsidRPr="00BD45C6">
        <w:t>contrari</w:t>
      </w:r>
      <w:r w:rsidR="00FD7EAD">
        <w:t>o</w:t>
      </w:r>
      <w:r w:rsidRPr="00BD45C6">
        <w:t xml:space="preserve"> a la Convención</w:t>
      </w:r>
      <w:r w:rsidR="004B5E7A" w:rsidRPr="00776600">
        <w:rPr>
          <w:rFonts w:eastAsia="Times New Roman" w:cs="Times New Roman"/>
        </w:rPr>
        <w:t xml:space="preserve">. </w:t>
      </w:r>
      <w:r w:rsidRPr="00BD45C6">
        <w:t xml:space="preserve">Asimismo, sostuvo que la Resolución 1088 se profirió </w:t>
      </w:r>
      <w:r w:rsidR="00BC100E">
        <w:t>en violación a diversas garantías del debido proceso. Lo anterior</w:t>
      </w:r>
      <w:r w:rsidRPr="00BD45C6">
        <w:t xml:space="preserve"> </w:t>
      </w:r>
      <w:r w:rsidR="00660392" w:rsidRPr="00BD45C6">
        <w:t>constituy</w:t>
      </w:r>
      <w:r w:rsidR="00660392">
        <w:t xml:space="preserve">ó </w:t>
      </w:r>
      <w:r w:rsidR="00791D7B">
        <w:t>violaciones</w:t>
      </w:r>
      <w:r w:rsidRPr="00BD45C6">
        <w:t xml:space="preserve"> a los derechos contenidos en los artículos 22.5, 8.1 y 8.2.b</w:t>
      </w:r>
      <w:r w:rsidR="009E44BA" w:rsidRPr="009E44BA">
        <w:rPr>
          <w:lang w:val="es-CR"/>
        </w:rPr>
        <w:t>)</w:t>
      </w:r>
      <w:r w:rsidRPr="00BD45C6">
        <w:t>, c</w:t>
      </w:r>
      <w:r w:rsidR="009E44BA">
        <w:t>)</w:t>
      </w:r>
      <w:r w:rsidRPr="00BD45C6">
        <w:t>, d</w:t>
      </w:r>
      <w:r w:rsidR="009E44BA">
        <w:t>)</w:t>
      </w:r>
      <w:r w:rsidRPr="00BD45C6">
        <w:t xml:space="preserve"> y h</w:t>
      </w:r>
      <w:r w:rsidR="009E44BA">
        <w:t>)</w:t>
      </w:r>
      <w:r w:rsidRPr="00BD45C6">
        <w:t xml:space="preserve"> </w:t>
      </w:r>
      <w:r w:rsidR="00665033" w:rsidRPr="00BD45C6">
        <w:t>de la Convención Americana</w:t>
      </w:r>
      <w:r w:rsidRPr="00BD45C6">
        <w:t>.</w:t>
      </w:r>
      <w:r w:rsidR="00BC100E">
        <w:t xml:space="preserve"> </w:t>
      </w:r>
      <w:r w:rsidRPr="00BD45C6">
        <w:t xml:space="preserve">En relación con las niñas Monnawar, Hifaa y Natasha Al Kassar, la Comisión sostuvo que, dado que no está probada su nacionalidad argentina, deben ser consideradas como migrantes en territorio argentino. En ese sentido, </w:t>
      </w:r>
      <w:r w:rsidR="00E45AA0">
        <w:t xml:space="preserve">alegó que </w:t>
      </w:r>
      <w:r w:rsidRPr="00BD45C6">
        <w:t xml:space="preserve">deben ser aplicadas las garantías previstas por el artículo 22.6 de la Convención. Al respecto, observó que la Resolución </w:t>
      </w:r>
      <w:r w:rsidR="00654863">
        <w:t xml:space="preserve">1088 </w:t>
      </w:r>
      <w:r w:rsidRPr="00BD45C6">
        <w:t xml:space="preserve">fue emitida sin que se cumplieran las garantías </w:t>
      </w:r>
      <w:r w:rsidRPr="00BD45C6">
        <w:lastRenderedPageBreak/>
        <w:t>mínimas que se deben brindar en este tipo de procesos para que estuviera conforme a los términos de dicha disposición convencional. En consecuencia, concluyó que existió una violación a los artículos 22.6, 8.1 y 8.2 b), c) y d) de la Convención</w:t>
      </w:r>
      <w:r w:rsidR="002A68C7">
        <w:t xml:space="preserve"> en perjuicio de las hijas de la señora Habbal</w:t>
      </w:r>
      <w:r w:rsidRPr="00BD45C6">
        <w:t>.</w:t>
      </w:r>
    </w:p>
    <w:p w14:paraId="6FC39FC1" w14:textId="77777777" w:rsidR="00BD22F4" w:rsidRDefault="00BD22F4" w:rsidP="00D753D0">
      <w:pPr>
        <w:pStyle w:val="PrrafodeSentencia"/>
        <w:numPr>
          <w:ilvl w:val="0"/>
          <w:numId w:val="0"/>
        </w:numPr>
      </w:pPr>
    </w:p>
    <w:p w14:paraId="03CEFAC1" w14:textId="0A134046" w:rsidR="00B76147" w:rsidRDefault="00BD45C6" w:rsidP="00D753D0">
      <w:pPr>
        <w:pStyle w:val="PrrafodeSentencia"/>
      </w:pPr>
      <w:r w:rsidRPr="00BD45C6">
        <w:t>Asimismo,</w:t>
      </w:r>
      <w:r w:rsidR="00F454F2">
        <w:t xml:space="preserve"> </w:t>
      </w:r>
      <w:r w:rsidRPr="00BD45C6">
        <w:t>la Comisión sostuvo que, como regla general, los niños y las niñas migrantes, acompañados o no por sus familias, no deben ser detenidos. En ese sentido, sostuvo que la Dirección Nacional de Población y Migraciones no fundamentó la orden de detención contra la señora Habbal y sus hij</w:t>
      </w:r>
      <w:r w:rsidR="005736ED">
        <w:t>a</w:t>
      </w:r>
      <w:r w:rsidRPr="00BD45C6">
        <w:t xml:space="preserve">s. Por esa razón, concluyó que la única razón por la que profirió la orden de detención fue por su condición de migrantes irregulares. La Comisión también resaltó que, en el caso de la señora Habbal, la orden de detención no era procedente puesto que ella era ciudadana argentina. Respecto de sus </w:t>
      </w:r>
      <w:r w:rsidR="00A610B6">
        <w:t>hijas e hijo</w:t>
      </w:r>
      <w:r w:rsidRPr="00BD45C6">
        <w:t>, consideró que la orden se profirió sin respeto del principio de no detención migratoria de niños y niñas, porque el Estado no explicó la existencia de circunstancias excepcionales y legalmente previstas, susceptibles de una prisión preventiva. En virtud de ello, concluyó que proferir una orden de detención constituyó una violación del artículo 7 de la Convención</w:t>
      </w:r>
      <w:r w:rsidRPr="00EB7E0C">
        <w:t>.</w:t>
      </w:r>
      <w:r w:rsidRPr="00BD45C6">
        <w:rPr>
          <w:b/>
        </w:rPr>
        <w:t xml:space="preserve"> </w:t>
      </w:r>
      <w:r w:rsidRPr="00BD45C6">
        <w:t xml:space="preserve">Asimismo, la Comisión concluyó que la Dirección Nacional de Población y Migraciones fue indiferente a la condición de niños de </w:t>
      </w:r>
      <w:r w:rsidR="00A610B6">
        <w:t>las hijas e hijo</w:t>
      </w:r>
      <w:r w:rsidRPr="00BD45C6">
        <w:t xml:space="preserve"> de la señora Habbal, omitiendo la aplicación del principio del interés superior del niño</w:t>
      </w:r>
      <w:r w:rsidR="003913ED">
        <w:t>,</w:t>
      </w:r>
      <w:r w:rsidR="00E26C1E">
        <w:t xml:space="preserve"> y no motivó </w:t>
      </w:r>
      <w:r w:rsidR="006351A5">
        <w:t>la decisión</w:t>
      </w:r>
      <w:r w:rsidRPr="00BD45C6">
        <w:t>, lo cual vulneró sus derechos en términos de los artículos 19 y 8.1 de la Convención Americana.</w:t>
      </w:r>
    </w:p>
    <w:p w14:paraId="290F58FC" w14:textId="77777777" w:rsidR="00ED2CCB" w:rsidRPr="00BD45C6" w:rsidRDefault="00ED2CCB" w:rsidP="00D753D0">
      <w:pPr>
        <w:pStyle w:val="PrrafodeSentencia"/>
        <w:numPr>
          <w:ilvl w:val="0"/>
          <w:numId w:val="0"/>
        </w:numPr>
      </w:pPr>
    </w:p>
    <w:p w14:paraId="36D94ED1" w14:textId="3461DE0D" w:rsidR="00BD45C6" w:rsidRPr="00BD45C6" w:rsidRDefault="00202917" w:rsidP="00D753D0">
      <w:pPr>
        <w:pStyle w:val="PrrafodeSentencia"/>
      </w:pPr>
      <w:r>
        <w:t>Los</w:t>
      </w:r>
      <w:r w:rsidR="00BD45C6" w:rsidRPr="00BD45C6">
        <w:t xml:space="preserve"> </w:t>
      </w:r>
      <w:r w:rsidR="00BD45C6" w:rsidRPr="00BD45C6">
        <w:rPr>
          <w:b/>
          <w:i/>
        </w:rPr>
        <w:t>representante</w:t>
      </w:r>
      <w:r>
        <w:rPr>
          <w:b/>
          <w:i/>
        </w:rPr>
        <w:t>s</w:t>
      </w:r>
      <w:r w:rsidR="00BD45C6" w:rsidRPr="00BD45C6">
        <w:rPr>
          <w:b/>
          <w:i/>
        </w:rPr>
        <w:t xml:space="preserve"> </w:t>
      </w:r>
      <w:r w:rsidR="00BD45C6" w:rsidRPr="00BD45C6">
        <w:t>se adhiri</w:t>
      </w:r>
      <w:r>
        <w:t xml:space="preserve">eron </w:t>
      </w:r>
      <w:r w:rsidR="00BD45C6" w:rsidRPr="00BD45C6">
        <w:t>a los fundamentos de derecho planteados por la Comisión en el Informe de Fondo. Adicionalmente, aleg</w:t>
      </w:r>
      <w:r>
        <w:t>aron</w:t>
      </w:r>
      <w:r w:rsidR="00BD45C6" w:rsidRPr="00BD45C6">
        <w:t xml:space="preserve"> que </w:t>
      </w:r>
      <w:r w:rsidR="00BD45C6" w:rsidRPr="00BD45C6">
        <w:rPr>
          <w:rFonts w:cs="TimesNewRomanPSMT"/>
          <w:lang w:val="es-ES"/>
        </w:rPr>
        <w:t>la Resolución 1088 fue dictada como un acto administrativo sancionatorio, motivada exclusivamente en un supuesto delito cometido por una persona distinta a las destinatarias de dicho acto, y tuvo un efecto similar a una pena, ya que afectó gravemente a derechos fundamentales de las</w:t>
      </w:r>
      <w:r w:rsidR="00F14814">
        <w:rPr>
          <w:rFonts w:cs="TimesNewRomanPSMT"/>
          <w:lang w:val="es-ES"/>
        </w:rPr>
        <w:t xml:space="preserve"> presuntas</w:t>
      </w:r>
      <w:r w:rsidR="00BD45C6" w:rsidRPr="00BD45C6">
        <w:rPr>
          <w:rFonts w:cs="TimesNewRomanPSMT"/>
          <w:lang w:val="es-ES"/>
        </w:rPr>
        <w:t xml:space="preserve"> víctimas. Por ello, sostuv</w:t>
      </w:r>
      <w:r>
        <w:rPr>
          <w:rFonts w:cs="TimesNewRomanPSMT"/>
          <w:lang w:val="es-ES"/>
        </w:rPr>
        <w:t>ieron</w:t>
      </w:r>
      <w:r w:rsidR="00BD45C6" w:rsidRPr="00BD45C6">
        <w:rPr>
          <w:rFonts w:cs="TimesNewRomanPSMT"/>
          <w:lang w:val="es-ES"/>
        </w:rPr>
        <w:t xml:space="preserve"> que la autoridad debió </w:t>
      </w:r>
      <w:r w:rsidR="00BD45C6" w:rsidRPr="00BD45C6">
        <w:rPr>
          <w:rFonts w:cs="TimesNewRomanPS-ItalicMT"/>
          <w:lang w:val="es-ES"/>
        </w:rPr>
        <w:t>extremar las precauciones para que dichas medidas se adopt</w:t>
      </w:r>
      <w:r w:rsidR="00665033">
        <w:rPr>
          <w:rFonts w:cs="TimesNewRomanPS-ItalicMT"/>
          <w:lang w:val="es-ES"/>
        </w:rPr>
        <w:t>ara</w:t>
      </w:r>
      <w:r w:rsidR="00BD45C6" w:rsidRPr="00BD45C6">
        <w:rPr>
          <w:rFonts w:cs="TimesNewRomanPS-ItalicMT"/>
          <w:lang w:val="es-ES"/>
        </w:rPr>
        <w:t>n con estricto respeto a los derechos básicos de las personas y previa verificación de la efectiva existencia de la conducta ilícita, sin embargo,</w:t>
      </w:r>
      <w:r w:rsidR="00BD45C6" w:rsidRPr="00BD45C6">
        <w:rPr>
          <w:rFonts w:cs="TimesNewRomanPS-ItalicMT"/>
          <w:i/>
          <w:lang w:val="es-ES"/>
        </w:rPr>
        <w:t xml:space="preserve"> </w:t>
      </w:r>
      <w:r w:rsidR="00BD45C6" w:rsidRPr="00BD45C6">
        <w:rPr>
          <w:rFonts w:cs="TimesNewRomanPSMT"/>
          <w:lang w:val="es-ES"/>
        </w:rPr>
        <w:t>no lo hizo. En este sentido, concluy</w:t>
      </w:r>
      <w:r>
        <w:rPr>
          <w:rFonts w:cs="TimesNewRomanPSMT"/>
          <w:lang w:val="es-ES"/>
        </w:rPr>
        <w:t>eron</w:t>
      </w:r>
      <w:r w:rsidR="00BD45C6" w:rsidRPr="00BD45C6">
        <w:rPr>
          <w:rFonts w:cs="TimesNewRomanPSMT"/>
          <w:lang w:val="es-ES"/>
        </w:rPr>
        <w:t xml:space="preserve"> que incumplió el deber convencional de motivar explícitamente la decisión, según los criterios del sistema interamericano. </w:t>
      </w:r>
      <w:r>
        <w:rPr>
          <w:rFonts w:cs="TimesNewRomanPSMT"/>
          <w:lang w:val="es-ES"/>
        </w:rPr>
        <w:t>Los representantes</w:t>
      </w:r>
      <w:r w:rsidR="00BD45C6" w:rsidRPr="00BD45C6">
        <w:rPr>
          <w:rFonts w:cs="TimesNewRomanPSMT"/>
          <w:lang w:val="es-ES"/>
        </w:rPr>
        <w:t xml:space="preserve"> se refiri</w:t>
      </w:r>
      <w:r>
        <w:rPr>
          <w:rFonts w:cs="TimesNewRomanPSMT"/>
          <w:lang w:val="es-ES"/>
        </w:rPr>
        <w:t>eron</w:t>
      </w:r>
      <w:r w:rsidR="00BD45C6" w:rsidRPr="00BD45C6">
        <w:rPr>
          <w:rFonts w:cs="TimesNewRomanPSMT"/>
          <w:lang w:val="es-ES"/>
        </w:rPr>
        <w:t xml:space="preserve"> expresamente a los “gravísimos defectos de motivación” que tornaron la Resolución 1088 en una violación de la Convención Americana.</w:t>
      </w:r>
    </w:p>
    <w:p w14:paraId="4F870214" w14:textId="77777777" w:rsidR="00BD45C6" w:rsidRPr="00BD45C6" w:rsidRDefault="00BD45C6" w:rsidP="00D753D0">
      <w:pPr>
        <w:pStyle w:val="PrrafodeSentencia"/>
        <w:numPr>
          <w:ilvl w:val="0"/>
          <w:numId w:val="0"/>
        </w:numPr>
      </w:pPr>
    </w:p>
    <w:p w14:paraId="42F146B0" w14:textId="002B46FD" w:rsidR="00BD45C6" w:rsidRPr="00725DF8" w:rsidRDefault="00BD45C6" w:rsidP="00D753D0">
      <w:pPr>
        <w:pStyle w:val="PrrafodeSentencia"/>
      </w:pPr>
      <w:r w:rsidRPr="00BD45C6">
        <w:t xml:space="preserve">Por otro lado, </w:t>
      </w:r>
      <w:r w:rsidR="00202917">
        <w:t>los representantes</w:t>
      </w:r>
      <w:r w:rsidRPr="00BD45C6">
        <w:t xml:space="preserve"> </w:t>
      </w:r>
      <w:r w:rsidR="007567E7">
        <w:t>reclamaron</w:t>
      </w:r>
      <w:r w:rsidRPr="00BD45C6">
        <w:t xml:space="preserve"> la violación del artículo 8, en relación con el artículo 19 de la Convención, producida por la Resolución 1088/92 en contra de las hijas e hijo menores de edad de la señora Habbal. En particular, aleg</w:t>
      </w:r>
      <w:r w:rsidR="00202917">
        <w:t>aron</w:t>
      </w:r>
      <w:r w:rsidRPr="00BD45C6">
        <w:t xml:space="preserve"> que e</w:t>
      </w:r>
      <w:r w:rsidRPr="00BD45C6">
        <w:rPr>
          <w:rFonts w:cs="TimesNewRomanPSMT"/>
        </w:rPr>
        <w:t>l Estado actuó en forma contraria a la Convención Americana respecto de las tres hijas de la señora Habbal -quienes eran menores de edad en la época de los hechos- al haber anulado su residencia y expulsado sin respetar su derecho al debido proceso. En ese sentido, sostuv</w:t>
      </w:r>
      <w:r w:rsidR="00202917">
        <w:rPr>
          <w:rFonts w:cs="TimesNewRomanPSMT"/>
        </w:rPr>
        <w:t>ieron</w:t>
      </w:r>
      <w:r w:rsidRPr="00BD45C6">
        <w:rPr>
          <w:rFonts w:cs="TimesNewRomanPSMT"/>
        </w:rPr>
        <w:t xml:space="preserve"> que </w:t>
      </w:r>
      <w:r w:rsidR="007567E7">
        <w:rPr>
          <w:rFonts w:cs="TimesNewRomanPSMT"/>
        </w:rPr>
        <w:t xml:space="preserve">se ordenó la expulsión </w:t>
      </w:r>
      <w:r w:rsidRPr="00BD45C6">
        <w:rPr>
          <w:rFonts w:cs="TimesNewRomanPSMT"/>
        </w:rPr>
        <w:t xml:space="preserve">del territorio sin haberlas oído y sin protección judicial alguna. </w:t>
      </w:r>
      <w:r w:rsidR="00AD3E64">
        <w:t xml:space="preserve">Asimismo, </w:t>
      </w:r>
      <w:r w:rsidR="009478F3">
        <w:t>sostuvieron</w:t>
      </w:r>
      <w:r w:rsidRPr="00BD45C6">
        <w:t xml:space="preserve"> que la Resolución 1088, y la orden de detención, constituyeron violaciones a los artículo 8 y 7 de la Convención Americana. </w:t>
      </w:r>
      <w:r w:rsidR="00354ED6">
        <w:rPr>
          <w:rFonts w:cs="TimesNewRomanPSMT"/>
        </w:rPr>
        <w:t>Los</w:t>
      </w:r>
      <w:r w:rsidRPr="00AD3E64">
        <w:rPr>
          <w:rFonts w:cs="TimesNewRomanPSMT"/>
        </w:rPr>
        <w:t xml:space="preserve"> representante</w:t>
      </w:r>
      <w:r w:rsidR="00354ED6">
        <w:rPr>
          <w:rFonts w:cs="TimesNewRomanPSMT"/>
        </w:rPr>
        <w:t>s</w:t>
      </w:r>
      <w:r w:rsidRPr="00AD3E64">
        <w:rPr>
          <w:rFonts w:cs="TimesNewRomanPSMT"/>
        </w:rPr>
        <w:t xml:space="preserve"> aleg</w:t>
      </w:r>
      <w:r w:rsidR="00354ED6">
        <w:rPr>
          <w:rFonts w:cs="TimesNewRomanPSMT"/>
        </w:rPr>
        <w:t>aron</w:t>
      </w:r>
      <w:r w:rsidRPr="00AD3E64">
        <w:rPr>
          <w:rFonts w:cs="TimesNewRomanPSMT"/>
        </w:rPr>
        <w:t xml:space="preserve"> que al omitir</w:t>
      </w:r>
      <w:r w:rsidR="00F02B70">
        <w:rPr>
          <w:rFonts w:cs="TimesNewRomanPSMT"/>
        </w:rPr>
        <w:t>se</w:t>
      </w:r>
      <w:r w:rsidRPr="00AD3E64">
        <w:rPr>
          <w:rFonts w:cs="TimesNewRomanPSMT"/>
        </w:rPr>
        <w:t xml:space="preserve"> la notificación de la Resolución 1088</w:t>
      </w:r>
      <w:r w:rsidR="00181220" w:rsidRPr="00AD3E64">
        <w:rPr>
          <w:rFonts w:cs="TimesNewRomanPSMT"/>
        </w:rPr>
        <w:t xml:space="preserve"> </w:t>
      </w:r>
      <w:r w:rsidRPr="00AD3E64">
        <w:rPr>
          <w:rFonts w:cs="TimesNewRomanPSMT"/>
        </w:rPr>
        <w:t>a las presuntas víctimas, pero a la vez comunicar</w:t>
      </w:r>
      <w:r w:rsidR="00F02B70">
        <w:rPr>
          <w:rFonts w:cs="TimesNewRomanPSMT"/>
        </w:rPr>
        <w:t>se</w:t>
      </w:r>
      <w:r w:rsidRPr="00AD3E64">
        <w:rPr>
          <w:rFonts w:cs="TimesNewRomanPSMT"/>
        </w:rPr>
        <w:t xml:space="preserve"> a los órganos judiciales la decisión adoptada, dejó a las víctimas en una situación en que no conocían el contenido de la decisión, pero a la vez estaba siendo ejecutada por las autoridades judiciales. </w:t>
      </w:r>
      <w:r w:rsidR="004B6C95">
        <w:t>L</w:t>
      </w:r>
      <w:r w:rsidR="00F6152B">
        <w:t>os representantes alegaron</w:t>
      </w:r>
      <w:r w:rsidRPr="00BD45C6">
        <w:t xml:space="preserve"> la violación del artículo 8 de la Convención en relación a las garantías procesales mínimas en procesos migratorios. </w:t>
      </w:r>
    </w:p>
    <w:p w14:paraId="35B086F3" w14:textId="77777777" w:rsidR="00BD45C6" w:rsidRPr="00BD45C6" w:rsidRDefault="00BD45C6" w:rsidP="00D753D0">
      <w:pPr>
        <w:pStyle w:val="PrrafodeSentencia"/>
        <w:numPr>
          <w:ilvl w:val="0"/>
          <w:numId w:val="0"/>
        </w:numPr>
      </w:pPr>
    </w:p>
    <w:p w14:paraId="11A72EE4" w14:textId="27947CD9" w:rsidR="001E25DB" w:rsidRPr="000B159E" w:rsidRDefault="00BD45C6" w:rsidP="00D753D0">
      <w:pPr>
        <w:pStyle w:val="PrrafodeSentencia"/>
      </w:pPr>
      <w:r w:rsidRPr="00BD45C6">
        <w:t xml:space="preserve">El </w:t>
      </w:r>
      <w:r w:rsidRPr="00BD45C6">
        <w:rPr>
          <w:b/>
          <w:i/>
        </w:rPr>
        <w:t xml:space="preserve">Estado </w:t>
      </w:r>
      <w:r w:rsidRPr="00BD45C6">
        <w:t xml:space="preserve">alegó que la Resolución 1088 no careció de motivación, pues la motivación </w:t>
      </w:r>
      <w:r w:rsidRPr="00BD45C6">
        <w:rPr>
          <w:i/>
        </w:rPr>
        <w:t xml:space="preserve">in aliunde </w:t>
      </w:r>
      <w:r w:rsidRPr="00BD45C6">
        <w:t xml:space="preserve">es pacíficamente admitida en el derecho administrativo argentino. Asimismo, señaló que nunca se vio afectado el artículo 22.5 de la Convención pues la señora Habbal no fue expulsada, </w:t>
      </w:r>
      <w:r w:rsidRPr="00BD45C6">
        <w:lastRenderedPageBreak/>
        <w:t xml:space="preserve">ni sus </w:t>
      </w:r>
      <w:r w:rsidR="00A610B6">
        <w:t>hijas e hijo</w:t>
      </w:r>
      <w:r w:rsidRPr="00BD45C6">
        <w:t xml:space="preserve"> fueron detenidos.</w:t>
      </w:r>
      <w:r w:rsidR="006219C1">
        <w:t xml:space="preserve"> </w:t>
      </w:r>
      <w:r w:rsidRPr="00BD45C6">
        <w:t>En cuanto a los agravios referidos a las garantías procesales, el Estado sostuvo que la resolución de la autoridad migratoria se podía objetar mediante los recursos de reconsideración, alzada o jerárquico. Estos recursos podían concederse con efecto suspensivo. Sin embargo, expresó el Estado, ni la señora Habbal ni sus representantes legales emprendieron dichas acciones.</w:t>
      </w:r>
      <w:r w:rsidR="00C975C5">
        <w:t xml:space="preserve"> </w:t>
      </w:r>
      <w:r w:rsidR="000E0A23" w:rsidRPr="000B159E">
        <w:t xml:space="preserve">El Estado sostuvo que </w:t>
      </w:r>
      <w:r w:rsidR="00C359EF" w:rsidRPr="000B159E">
        <w:t xml:space="preserve">la Resolución 1088 no produjo efectos jurídicos, pues no fue notificada. </w:t>
      </w:r>
      <w:r w:rsidR="00436D94" w:rsidRPr="000B159E">
        <w:t>Además, sostuvo que el trámite de dicha resolución y del proceso penal son dos cuestiones distintas</w:t>
      </w:r>
      <w:r w:rsidR="000A03B7" w:rsidRPr="000B159E">
        <w:t xml:space="preserve"> que no tienen una relación de causa y efecto. </w:t>
      </w:r>
      <w:r w:rsidR="00A8374D">
        <w:rPr>
          <w:rFonts w:eastAsia="Times New Roman" w:cs="Arial"/>
        </w:rPr>
        <w:t>Asimismo</w:t>
      </w:r>
      <w:r w:rsidR="0050180F" w:rsidRPr="00C975C5">
        <w:rPr>
          <w:rFonts w:eastAsia="Times New Roman" w:cs="Arial"/>
        </w:rPr>
        <w:t xml:space="preserve">, </w:t>
      </w:r>
      <w:r w:rsidR="00A8374D">
        <w:rPr>
          <w:rFonts w:eastAsia="Times New Roman" w:cs="Arial"/>
        </w:rPr>
        <w:t>alegó que</w:t>
      </w:r>
      <w:r w:rsidR="0050180F" w:rsidRPr="00C975C5">
        <w:rPr>
          <w:rFonts w:eastAsia="Times New Roman" w:cs="Arial"/>
        </w:rPr>
        <w:t xml:space="preserve"> se trató de decisiones diferentes en sus alcances y en sus motivaciones. </w:t>
      </w:r>
      <w:r w:rsidR="001E25DB" w:rsidRPr="00C975C5">
        <w:rPr>
          <w:rFonts w:eastAsia="Times New Roman" w:cs="Arial"/>
        </w:rPr>
        <w:t>Agregó el Estado que</w:t>
      </w:r>
      <w:r w:rsidR="00E13C68" w:rsidRPr="00C975C5">
        <w:rPr>
          <w:rFonts w:eastAsia="Times New Roman" w:cs="Arial"/>
        </w:rPr>
        <w:t>,</w:t>
      </w:r>
      <w:r w:rsidR="001E25DB" w:rsidRPr="00C975C5">
        <w:rPr>
          <w:rFonts w:eastAsia="Times New Roman" w:cs="Arial"/>
        </w:rPr>
        <w:t xml:space="preserve"> a lo anterior</w:t>
      </w:r>
      <w:r w:rsidR="00E13C68" w:rsidRPr="00C975C5">
        <w:rPr>
          <w:rFonts w:eastAsia="Times New Roman" w:cs="Arial"/>
        </w:rPr>
        <w:t>,</w:t>
      </w:r>
      <w:r w:rsidR="001E25DB" w:rsidRPr="00C975C5">
        <w:rPr>
          <w:rFonts w:eastAsia="Times New Roman" w:cs="Arial"/>
        </w:rPr>
        <w:t xml:space="preserve"> debe adicionarse que la señora Habbal y sus hijas e hijo no fueron impedidos de reingresar al país, sino que la señora Habbal </w:t>
      </w:r>
      <w:r w:rsidR="00E20C75" w:rsidRPr="00C975C5">
        <w:rPr>
          <w:rFonts w:eastAsia="Times New Roman" w:cs="Arial"/>
        </w:rPr>
        <w:t>regresó al</w:t>
      </w:r>
      <w:r w:rsidR="001E25DB" w:rsidRPr="00C975C5">
        <w:rPr>
          <w:rFonts w:eastAsia="Times New Roman" w:cs="Arial"/>
        </w:rPr>
        <w:t xml:space="preserve"> territorio argentino cuatro veces más luego de la resolución cuestionada. </w:t>
      </w:r>
      <w:r w:rsidR="00A8374D">
        <w:rPr>
          <w:rFonts w:eastAsia="Times New Roman" w:cs="Arial"/>
        </w:rPr>
        <w:t>Finalmente</w:t>
      </w:r>
      <w:r w:rsidR="00E20C75" w:rsidRPr="00C975C5">
        <w:rPr>
          <w:rFonts w:eastAsia="Times New Roman" w:cs="Arial"/>
        </w:rPr>
        <w:t xml:space="preserve">, el Estado sostuvo que nunca fue probado cómo la Resolución 1088 pudo tener un impacto en </w:t>
      </w:r>
      <w:r w:rsidR="00903E0B" w:rsidRPr="00C975C5">
        <w:rPr>
          <w:rFonts w:eastAsia="Times New Roman" w:cs="Arial"/>
        </w:rPr>
        <w:t>los derechos d</w:t>
      </w:r>
      <w:r w:rsidR="00E65DAD" w:rsidRPr="00C975C5">
        <w:rPr>
          <w:rFonts w:eastAsia="Times New Roman" w:cs="Arial"/>
        </w:rPr>
        <w:t>e las presuntas víctimas.</w:t>
      </w:r>
    </w:p>
    <w:p w14:paraId="26402D6F" w14:textId="77777777" w:rsidR="0050180F" w:rsidRPr="008A12F5" w:rsidRDefault="0050180F" w:rsidP="00D753D0">
      <w:pPr>
        <w:pStyle w:val="PrrafodeSentencia"/>
        <w:numPr>
          <w:ilvl w:val="0"/>
          <w:numId w:val="0"/>
        </w:numPr>
        <w:rPr>
          <w:highlight w:val="yellow"/>
        </w:rPr>
      </w:pPr>
    </w:p>
    <w:p w14:paraId="7B7896E5" w14:textId="7370D274" w:rsidR="00730EAA" w:rsidRPr="00B46196" w:rsidRDefault="00BD45C6" w:rsidP="00B46196">
      <w:pPr>
        <w:pStyle w:val="Ttulo3"/>
        <w:rPr>
          <w:lang w:eastAsia="en-US"/>
        </w:rPr>
      </w:pPr>
      <w:bookmarkStart w:id="55" w:name="_Toc88058650"/>
      <w:bookmarkStart w:id="56" w:name="_Toc115167439"/>
      <w:r>
        <w:t>A.</w:t>
      </w:r>
      <w:r w:rsidR="00750B26">
        <w:t>2</w:t>
      </w:r>
      <w:r>
        <w:t xml:space="preserve">. </w:t>
      </w:r>
      <w:r w:rsidR="00BF124D" w:rsidRPr="00BD45C6">
        <w:t>Consideraciones de la Corte</w:t>
      </w:r>
      <w:bookmarkEnd w:id="55"/>
      <w:bookmarkEnd w:id="56"/>
    </w:p>
    <w:p w14:paraId="64D21B05" w14:textId="3E595384" w:rsidR="00730EAA" w:rsidRDefault="00730EAA" w:rsidP="004330E3">
      <w:pPr>
        <w:rPr>
          <w:rFonts w:ascii="Verdana" w:hAnsi="Verdana"/>
          <w:sz w:val="20"/>
          <w:szCs w:val="20"/>
          <w:highlight w:val="yellow"/>
          <w:lang w:val="es-ES" w:eastAsia="es-CR"/>
        </w:rPr>
      </w:pPr>
    </w:p>
    <w:p w14:paraId="03E5C281" w14:textId="44020AD4" w:rsidR="005E7E0B" w:rsidRPr="005E7E0B" w:rsidRDefault="005E7E0B" w:rsidP="005E7E0B">
      <w:pPr>
        <w:pStyle w:val="Ttulo4"/>
      </w:pPr>
      <w:r w:rsidRPr="001F28DF">
        <w:t>A.</w:t>
      </w:r>
      <w:r w:rsidR="000A210E">
        <w:t>2</w:t>
      </w:r>
      <w:r w:rsidRPr="001F28DF">
        <w:t xml:space="preserve">.1. </w:t>
      </w:r>
      <w:r w:rsidR="00165154" w:rsidRPr="001F28DF">
        <w:t>El derecho a la circulación y residencia y l</w:t>
      </w:r>
      <w:r w:rsidRPr="001F28DF">
        <w:t xml:space="preserve">as garantías mínimas del debido proceso </w:t>
      </w:r>
      <w:r w:rsidR="00721895" w:rsidRPr="001F28DF">
        <w:t>en procedimientos migratorios de expulsión</w:t>
      </w:r>
    </w:p>
    <w:p w14:paraId="21D75472" w14:textId="77777777" w:rsidR="005E7E0B" w:rsidRDefault="005E7E0B" w:rsidP="004330E3">
      <w:pPr>
        <w:rPr>
          <w:rFonts w:ascii="Verdana" w:hAnsi="Verdana"/>
          <w:sz w:val="20"/>
          <w:szCs w:val="20"/>
          <w:highlight w:val="yellow"/>
          <w:lang w:val="es-ES" w:eastAsia="es-CR"/>
        </w:rPr>
      </w:pPr>
    </w:p>
    <w:p w14:paraId="342415AE" w14:textId="3B782D90" w:rsidR="00484E87" w:rsidRPr="00484E87" w:rsidRDefault="00D00BA7" w:rsidP="00D753D0">
      <w:pPr>
        <w:pStyle w:val="PrrafodeSentencia"/>
      </w:pPr>
      <w:r>
        <w:t xml:space="preserve">El artículo </w:t>
      </w:r>
      <w:r w:rsidR="00B75297">
        <w:t xml:space="preserve">22 de la Convención Americana reconoce el derecho de </w:t>
      </w:r>
      <w:r w:rsidR="004E02C3">
        <w:t xml:space="preserve">circulación y de residencia. El </w:t>
      </w:r>
      <w:r w:rsidR="00C36E71">
        <w:t>numeral</w:t>
      </w:r>
      <w:r w:rsidR="0089087D">
        <w:t xml:space="preserve"> 5 de dicho artículo señala que “[n]adie puede ser expulsado del </w:t>
      </w:r>
      <w:r w:rsidR="00786723">
        <w:t xml:space="preserve">territorio del cual es nacional, ni ser privado del derecho a ingresar en el mismo”. Por su parte, el </w:t>
      </w:r>
      <w:r w:rsidR="00C36E71">
        <w:t>numeral</w:t>
      </w:r>
      <w:r w:rsidR="00786723">
        <w:t xml:space="preserve"> 6 </w:t>
      </w:r>
      <w:r w:rsidR="009C3E86">
        <w:t>del mismo dispositivo</w:t>
      </w:r>
      <w:r w:rsidR="00786723">
        <w:t xml:space="preserve"> establece que </w:t>
      </w:r>
      <w:r w:rsidR="00733352">
        <w:t>“[e]l extranjero que se halle legalmente en el territorio de un Estado parte de la presente Convención</w:t>
      </w:r>
      <w:r w:rsidR="00902CB7">
        <w:t>, sólo podrá ser expulsado de él en cumplimiento de una decisión adopatada conforme a la ley”.</w:t>
      </w:r>
      <w:r w:rsidR="00DC581E">
        <w:t xml:space="preserve"> </w:t>
      </w:r>
      <w:r w:rsidR="006B4A2C">
        <w:t>Al respecto, l</w:t>
      </w:r>
      <w:r w:rsidR="00234613">
        <w:t>a Corte ha se</w:t>
      </w:r>
      <w:r w:rsidR="00234613" w:rsidRPr="00DC581E">
        <w:rPr>
          <w:lang w:val="es-ES"/>
        </w:rPr>
        <w:t xml:space="preserve">ñalado que </w:t>
      </w:r>
      <w:r w:rsidR="00A1568B" w:rsidRPr="00DC581E">
        <w:rPr>
          <w:lang w:val="es-ES"/>
        </w:rPr>
        <w:t>en el ejercicio de su facultad de fijar políticas migratorias</w:t>
      </w:r>
      <w:r w:rsidR="00AD6B6B">
        <w:rPr>
          <w:lang w:val="es-ES"/>
        </w:rPr>
        <w:t>,</w:t>
      </w:r>
      <w:r w:rsidR="00A1568B" w:rsidRPr="00DC581E">
        <w:rPr>
          <w:lang w:val="es-ES"/>
        </w:rPr>
        <w:t xml:space="preserve"> los Estados pueden establecer mecanismos de control de ingreso a su territorio y salida de él con respecto de las personas que no sean </w:t>
      </w:r>
      <w:r w:rsidR="006440C1" w:rsidRPr="00DC581E">
        <w:rPr>
          <w:lang w:val="es-ES"/>
        </w:rPr>
        <w:t>nacionales suyas, siempre que dichas políticas sean compatibles con las normas de protección de los derechos humanos establecidas en la Convención Americana</w:t>
      </w:r>
      <w:r w:rsidR="004E5D8E">
        <w:rPr>
          <w:rStyle w:val="Refdenotaalpie"/>
          <w:lang w:val="es-ES"/>
        </w:rPr>
        <w:footnoteReference w:id="72"/>
      </w:r>
      <w:r w:rsidR="006440C1" w:rsidRPr="00DC581E">
        <w:rPr>
          <w:lang w:val="es-ES"/>
        </w:rPr>
        <w:t xml:space="preserve">. Es decir, si bien los Estados guardan un ámbito de discrecionalidad al determinar sus políticas </w:t>
      </w:r>
      <w:r w:rsidR="00456A39" w:rsidRPr="00DC581E">
        <w:rPr>
          <w:lang w:val="es-ES"/>
        </w:rPr>
        <w:t>migratorias, los objetivos perseguidos por las mismas deben respetar los derechos humanos de las personas migrantes</w:t>
      </w:r>
      <w:r w:rsidR="009B5E61">
        <w:rPr>
          <w:rStyle w:val="Refdenotaalpie"/>
          <w:lang w:val="es-ES"/>
        </w:rPr>
        <w:footnoteReference w:id="73"/>
      </w:r>
      <w:r w:rsidR="00456A39" w:rsidRPr="00DC581E">
        <w:rPr>
          <w:lang w:val="es-ES"/>
        </w:rPr>
        <w:t>.</w:t>
      </w:r>
    </w:p>
    <w:p w14:paraId="31C99C27" w14:textId="77777777" w:rsidR="00484E87" w:rsidRDefault="00484E87" w:rsidP="00D753D0">
      <w:pPr>
        <w:pStyle w:val="PrrafodeSentencia"/>
        <w:numPr>
          <w:ilvl w:val="0"/>
          <w:numId w:val="0"/>
        </w:numPr>
      </w:pPr>
    </w:p>
    <w:p w14:paraId="23D6D04D" w14:textId="43902FDE" w:rsidR="00A76BE1" w:rsidRPr="000A726B" w:rsidRDefault="00484E87" w:rsidP="00D753D0">
      <w:pPr>
        <w:pStyle w:val="PrrafodeSentencia"/>
      </w:pPr>
      <w:r>
        <w:t xml:space="preserve">En ese sentido, </w:t>
      </w:r>
      <w:r w:rsidR="006B4A2C">
        <w:t>este Tribunal</w:t>
      </w:r>
      <w:r w:rsidR="00696C5E">
        <w:t xml:space="preserve"> ha sostenido que el </w:t>
      </w:r>
      <w:r w:rsidR="00C765E0">
        <w:t xml:space="preserve">debido proceso debe ser garantizado </w:t>
      </w:r>
      <w:r w:rsidR="00473D09">
        <w:t>a toda persona</w:t>
      </w:r>
      <w:r w:rsidR="00EE2DEE">
        <w:t>,</w:t>
      </w:r>
      <w:r w:rsidR="00473D09">
        <w:t xml:space="preserve"> independientemente del estatus migratorio, puesto que el amplio alcance de la intangibilidad del debido proceso se </w:t>
      </w:r>
      <w:r w:rsidR="007A40C8">
        <w:t xml:space="preserve">aplica no solo </w:t>
      </w:r>
      <w:r w:rsidR="007A40C8" w:rsidRPr="000F7CCC">
        <w:rPr>
          <w:i/>
        </w:rPr>
        <w:t>ratione materiae</w:t>
      </w:r>
      <w:r w:rsidR="007A40C8">
        <w:t xml:space="preserve"> sino también </w:t>
      </w:r>
      <w:r w:rsidR="007A40C8" w:rsidRPr="000F7CCC">
        <w:rPr>
          <w:i/>
        </w:rPr>
        <w:t xml:space="preserve">ratione </w:t>
      </w:r>
      <w:r w:rsidR="00B75C86">
        <w:rPr>
          <w:i/>
        </w:rPr>
        <w:t>personae</w:t>
      </w:r>
      <w:r w:rsidR="007A40C8" w:rsidRPr="000F7CCC">
        <w:rPr>
          <w:i/>
        </w:rPr>
        <w:t xml:space="preserve"> </w:t>
      </w:r>
      <w:r w:rsidR="007A40C8">
        <w:t>sin discriminación alguna</w:t>
      </w:r>
      <w:r w:rsidR="005E20CD">
        <w:rPr>
          <w:rStyle w:val="Refdenotaalpie"/>
        </w:rPr>
        <w:footnoteReference w:id="74"/>
      </w:r>
      <w:r w:rsidR="007A40C8">
        <w:t xml:space="preserve">. </w:t>
      </w:r>
      <w:r w:rsidR="00DB264B">
        <w:t>Respecto al contenido del derecho</w:t>
      </w:r>
      <w:r w:rsidR="00A76BE1" w:rsidRPr="0018620F">
        <w:rPr>
          <w:rStyle w:val="sb8d990e2"/>
        </w:rPr>
        <w:t xml:space="preserve"> al debido proceso</w:t>
      </w:r>
      <w:r w:rsidR="00A76BE1" w:rsidRPr="0018620F">
        <w:t xml:space="preserve">, consagrado en el artículo 8 de la Convención Americana, </w:t>
      </w:r>
      <w:r w:rsidR="00614354">
        <w:t xml:space="preserve">la Corte ha establecido que </w:t>
      </w:r>
      <w:r w:rsidR="00A76BE1" w:rsidRPr="0018620F">
        <w:t xml:space="preserve">se refiere al conjunto de requisitos que deben observarse en las instancias procesales a efectos de que las personas estén en condiciones de defender adecuadamente sus derechos ante cualquier acto del Estado, adoptado por </w:t>
      </w:r>
      <w:r w:rsidR="00A76BE1" w:rsidRPr="00A76BE1">
        <w:t>cualquier autoridad pública, sea administrativa, legislativa o judicial,</w:t>
      </w:r>
      <w:r w:rsidR="00A76BE1" w:rsidRPr="0018620F">
        <w:t xml:space="preserve"> </w:t>
      </w:r>
      <w:r w:rsidR="00A76BE1" w:rsidRPr="0018620F">
        <w:lastRenderedPageBreak/>
        <w:t>que pueda afectarlos</w:t>
      </w:r>
      <w:r w:rsidR="00A76BE1" w:rsidRPr="0018620F">
        <w:rPr>
          <w:rStyle w:val="Refdenotaalpie"/>
          <w:rFonts w:cs="Verdana"/>
        </w:rPr>
        <w:footnoteReference w:id="75"/>
      </w:r>
      <w:r w:rsidR="00A76BE1" w:rsidRPr="0018620F">
        <w:t xml:space="preserve">. Asimismo, </w:t>
      </w:r>
      <w:r w:rsidR="00D3618A">
        <w:t xml:space="preserve">ha señalado que </w:t>
      </w:r>
      <w:r w:rsidR="00A76BE1" w:rsidRPr="0018620F">
        <w:t>el elenco de garantías mínimas del debido proceso legal se aplica en la determinación de derechos y obligaciones de orden “civil, laboral, fiscal o de cualquier otro carácter”</w:t>
      </w:r>
      <w:r w:rsidR="00A76BE1" w:rsidRPr="0018620F">
        <w:rPr>
          <w:rStyle w:val="Refdenotaalpie"/>
          <w:rFonts w:cs="Verdana"/>
        </w:rPr>
        <w:footnoteReference w:id="76"/>
      </w:r>
      <w:r w:rsidR="00A76BE1" w:rsidRPr="0018620F">
        <w:t>. Es decir, “cualquier actuación u omisión de los órganos estatales dentro de un proceso, sea administrativo sancionatorio o jurisdiccional, debe respetar el debido proceso legal”</w:t>
      </w:r>
      <w:r w:rsidR="00A76BE1" w:rsidRPr="0018620F">
        <w:rPr>
          <w:rStyle w:val="Refdenotaalpie"/>
          <w:rFonts w:cs="Verdana"/>
        </w:rPr>
        <w:footnoteReference w:id="77"/>
      </w:r>
      <w:r w:rsidR="00A76BE1" w:rsidRPr="0018620F">
        <w:t xml:space="preserve">. </w:t>
      </w:r>
    </w:p>
    <w:p w14:paraId="7B5B1698" w14:textId="77777777" w:rsidR="00A76BE1" w:rsidRDefault="00A76BE1" w:rsidP="00792F0B"/>
    <w:p w14:paraId="1210E985" w14:textId="6240478D" w:rsidR="00B33B19" w:rsidRPr="00A345AF" w:rsidRDefault="00AE296C" w:rsidP="00D753D0">
      <w:pPr>
        <w:pStyle w:val="PrrafodeSentencia"/>
      </w:pPr>
      <w:r>
        <w:t>Por lo anterior</w:t>
      </w:r>
      <w:r w:rsidR="00D86688">
        <w:t xml:space="preserve">, </w:t>
      </w:r>
      <w:r>
        <w:t>el Tribu</w:t>
      </w:r>
      <w:r w:rsidR="00B1021D">
        <w:t>n</w:t>
      </w:r>
      <w:r>
        <w:t>al</w:t>
      </w:r>
      <w:r w:rsidR="00395E4E">
        <w:t xml:space="preserve"> ha establecido que</w:t>
      </w:r>
      <w:r w:rsidR="00187D9F">
        <w:t xml:space="preserve"> el Estado debe respetar las garantías mínimas del debido proceso</w:t>
      </w:r>
      <w:r w:rsidR="006F52A2">
        <w:t xml:space="preserve"> en procedimientos migratorios de expulsión</w:t>
      </w:r>
      <w:r w:rsidR="00187D9F">
        <w:t>, las cuales son coincidentes con aquellas establecidas en el numeral 2 del artículo 8 de la Convención Americana</w:t>
      </w:r>
      <w:r w:rsidR="00E72532">
        <w:rPr>
          <w:rStyle w:val="Refdenotaalpie"/>
        </w:rPr>
        <w:footnoteReference w:id="78"/>
      </w:r>
      <w:r w:rsidR="00187D9F">
        <w:t xml:space="preserve">. </w:t>
      </w:r>
      <w:r w:rsidR="002901DD">
        <w:t xml:space="preserve">Asimismo, </w:t>
      </w:r>
      <w:r w:rsidR="0076470D">
        <w:t xml:space="preserve">ha </w:t>
      </w:r>
      <w:r w:rsidR="002901DD">
        <w:t>señal</w:t>
      </w:r>
      <w:r w:rsidR="0076470D">
        <w:t>ado</w:t>
      </w:r>
      <w:r w:rsidR="002901DD">
        <w:t xml:space="preserve"> que </w:t>
      </w:r>
      <w:r w:rsidR="00A56E05">
        <w:t xml:space="preserve">dichos procedimientos </w:t>
      </w:r>
      <w:r w:rsidR="00395E4E">
        <w:t>no pueden resultar discriminatorios</w:t>
      </w:r>
      <w:r w:rsidR="000B4E0E">
        <w:t>,</w:t>
      </w:r>
      <w:r w:rsidR="00395E4E">
        <w:t xml:space="preserve"> y además </w:t>
      </w:r>
      <w:r w:rsidR="00B1021D">
        <w:t xml:space="preserve">las personas </w:t>
      </w:r>
      <w:r w:rsidR="00D26B5B">
        <w:t xml:space="preserve">deben contar con las siguientes garantías mínimas: </w:t>
      </w:r>
      <w:r w:rsidR="00B33B19" w:rsidRPr="00B33B19">
        <w:rPr>
          <w:rFonts w:eastAsia="Times New Roman" w:cs="Times New Roman"/>
        </w:rPr>
        <w:t>a) ser informada</w:t>
      </w:r>
      <w:r w:rsidR="00FF21C1">
        <w:rPr>
          <w:rFonts w:eastAsia="Times New Roman" w:cs="Times New Roman"/>
        </w:rPr>
        <w:t>s</w:t>
      </w:r>
      <w:r w:rsidR="00B33B19" w:rsidRPr="00B33B19">
        <w:rPr>
          <w:rFonts w:eastAsia="Times New Roman" w:cs="Times New Roman"/>
        </w:rPr>
        <w:t xml:space="preserve"> expresa y formalmente de los cargos en su contra y de los motivos de la expulsión o deportación. Esta notificación debe incluir información sobre sus derechos, tales como: i) la posibilidad de exponer sus razones y oponerse a los cargos en su contra, y ii) la posibilidad de solicitar y recibir asistencia consular, asesoría legal y, de ser el caso, traducción o interpretación; b) en caso de decisión desfavorable, debe</w:t>
      </w:r>
      <w:r w:rsidR="00847F94">
        <w:rPr>
          <w:rFonts w:eastAsia="Times New Roman" w:cs="Times New Roman"/>
        </w:rPr>
        <w:t>n</w:t>
      </w:r>
      <w:r w:rsidR="00B33B19" w:rsidRPr="00B33B19">
        <w:rPr>
          <w:rFonts w:eastAsia="Times New Roman" w:cs="Times New Roman"/>
        </w:rPr>
        <w:t xml:space="preserve"> tener derecho a someter su caso a revisión ante la autoridad competente y presentarse ante ella para tal fin, y c) ser formal y fehacientemente notificada</w:t>
      </w:r>
      <w:r w:rsidR="00847F94">
        <w:rPr>
          <w:rFonts w:eastAsia="Times New Roman" w:cs="Times New Roman"/>
        </w:rPr>
        <w:t>s</w:t>
      </w:r>
      <w:r w:rsidR="00B33B19" w:rsidRPr="00B33B19">
        <w:rPr>
          <w:rFonts w:eastAsia="Times New Roman" w:cs="Times New Roman"/>
        </w:rPr>
        <w:t xml:space="preserve"> de la eventual decisión de expulsión, que debe estar debidamente motivada conforme a la ley</w:t>
      </w:r>
      <w:r w:rsidR="0013015E">
        <w:rPr>
          <w:rStyle w:val="Refdenotaalpie"/>
          <w:rFonts w:eastAsia="Times New Roman" w:cs="Times New Roman"/>
        </w:rPr>
        <w:footnoteReference w:id="79"/>
      </w:r>
      <w:r w:rsidR="00B33B19" w:rsidRPr="00B33B19">
        <w:rPr>
          <w:rFonts w:eastAsia="Times New Roman" w:cs="Times New Roman"/>
        </w:rPr>
        <w:t>.</w:t>
      </w:r>
    </w:p>
    <w:p w14:paraId="509E1292" w14:textId="77777777" w:rsidR="00526D7D" w:rsidRDefault="00526D7D" w:rsidP="00D753D0">
      <w:pPr>
        <w:pStyle w:val="PrrafodeSentencia"/>
        <w:numPr>
          <w:ilvl w:val="0"/>
          <w:numId w:val="0"/>
        </w:numPr>
      </w:pPr>
    </w:p>
    <w:p w14:paraId="7940043D" w14:textId="79D3458D" w:rsidR="00534F1A" w:rsidRPr="00534F1A" w:rsidRDefault="00534F1A" w:rsidP="00534F1A">
      <w:pPr>
        <w:pStyle w:val="Ttulo4"/>
      </w:pPr>
      <w:r w:rsidRPr="005E7E0B">
        <w:t>A.</w:t>
      </w:r>
      <w:r w:rsidR="000A210E">
        <w:t>2</w:t>
      </w:r>
      <w:r w:rsidRPr="005E7E0B">
        <w:t>.</w:t>
      </w:r>
      <w:r w:rsidR="00721895">
        <w:t>2</w:t>
      </w:r>
      <w:r w:rsidRPr="005E7E0B">
        <w:t xml:space="preserve">. </w:t>
      </w:r>
      <w:r w:rsidR="00CE5179">
        <w:t>El derecho a la libertad personal</w:t>
      </w:r>
      <w:r w:rsidR="00721895">
        <w:t xml:space="preserve"> en procedimientos migratorios de expulsión</w:t>
      </w:r>
    </w:p>
    <w:p w14:paraId="29D82606" w14:textId="77777777" w:rsidR="00534F1A" w:rsidRPr="009C5973" w:rsidRDefault="00534F1A" w:rsidP="00D753D0">
      <w:pPr>
        <w:pStyle w:val="PrrafodeSentencia"/>
        <w:numPr>
          <w:ilvl w:val="0"/>
          <w:numId w:val="0"/>
        </w:numPr>
      </w:pPr>
    </w:p>
    <w:p w14:paraId="3A3CFE89" w14:textId="25E074DE" w:rsidR="00A70FF5" w:rsidRDefault="00D92AC1" w:rsidP="00D753D0">
      <w:pPr>
        <w:pStyle w:val="PrrafodeSentencia"/>
      </w:pPr>
      <w:r>
        <w:t>Asimismo, l</w:t>
      </w:r>
      <w:r w:rsidR="00A70FF5" w:rsidRPr="0018620F">
        <w:t>a Corte ha analizado la compatibilidad de medidas privativas de libertad de carácter punitivo para el control de los flujos migratorios, en particular de aquellos de carácter irregular, con la Convención Americana</w:t>
      </w:r>
      <w:r w:rsidR="00A70FF5" w:rsidRPr="0018620F">
        <w:rPr>
          <w:rStyle w:val="Refdenotaalpie"/>
        </w:rPr>
        <w:footnoteReference w:id="80"/>
      </w:r>
      <w:r w:rsidR="00A70FF5" w:rsidRPr="0018620F">
        <w:t xml:space="preserve">. </w:t>
      </w:r>
      <w:r w:rsidR="00EB71ED">
        <w:t>En ese sentido, ha señalado que</w:t>
      </w:r>
      <w:r w:rsidR="00A70FF5" w:rsidRPr="0018620F">
        <w:t xml:space="preserve"> las sanciones administrativas son, como las penales, una expresión del poder punitivo del Estado y tienen, en ocasiones, naturaleza similar a la de éstas</w:t>
      </w:r>
      <w:r w:rsidR="00A70FF5" w:rsidRPr="0018620F">
        <w:rPr>
          <w:rStyle w:val="Refdenotaalpie"/>
        </w:rPr>
        <w:footnoteReference w:id="81"/>
      </w:r>
      <w:r w:rsidR="00A70FF5" w:rsidRPr="0018620F">
        <w:t>, y dado que en una sociedad democrática el poder punitivo sólo se ejerce en la medida estrictamente necesaria para proteger los bienes jurídicos fundamentales de los ataques más graves que los dañen o pongan en peligro</w:t>
      </w:r>
      <w:r w:rsidR="00A70FF5" w:rsidRPr="0018620F">
        <w:rPr>
          <w:rStyle w:val="Refdenotaalpie"/>
        </w:rPr>
        <w:footnoteReference w:id="82"/>
      </w:r>
      <w:r w:rsidR="00A70FF5" w:rsidRPr="0018620F">
        <w:t xml:space="preserve">, </w:t>
      </w:r>
      <w:r w:rsidR="00A70FF5" w:rsidRPr="0018620F">
        <w:rPr>
          <w:rFonts w:cs="Verdana"/>
          <w:szCs w:val="18"/>
        </w:rPr>
        <w:t xml:space="preserve">la detención de </w:t>
      </w:r>
      <w:r w:rsidR="00A70FF5" w:rsidRPr="0018620F">
        <w:rPr>
          <w:rFonts w:cs="Verdana"/>
          <w:szCs w:val="18"/>
        </w:rPr>
        <w:lastRenderedPageBreak/>
        <w:t xml:space="preserve">personas por </w:t>
      </w:r>
      <w:r w:rsidR="00A70FF5" w:rsidRPr="0018620F">
        <w:rPr>
          <w:rFonts w:cs="Verdana"/>
        </w:rPr>
        <w:t>incumplimiento de las leyes migratorias nunca debe ser con fines punitivos</w:t>
      </w:r>
      <w:r w:rsidR="00A70FF5" w:rsidRPr="0018620F">
        <w:rPr>
          <w:rStyle w:val="Refdenotaalpie"/>
          <w:rFonts w:cs="Verdana"/>
        </w:rPr>
        <w:footnoteReference w:id="83"/>
      </w:r>
      <w:r w:rsidR="00A70FF5" w:rsidRPr="0018620F">
        <w:rPr>
          <w:rFonts w:cs="Verdana"/>
        </w:rPr>
        <w:t xml:space="preserve">. </w:t>
      </w:r>
      <w:r w:rsidR="00A70FF5" w:rsidRPr="0018620F">
        <w:t xml:space="preserve">En consecuencia, </w:t>
      </w:r>
      <w:r w:rsidR="00DA69C7">
        <w:t xml:space="preserve">el Tribunal ha establecido que </w:t>
      </w:r>
      <w:r w:rsidR="00D20384">
        <w:t>son</w:t>
      </w:r>
      <w:r w:rsidR="00A70FF5" w:rsidRPr="0018620F">
        <w:t xml:space="preserve"> arbitrarias las políticas migratorias cuyo eje central es la detención obligatoria de los migrantes irregulares, sin que las autoridades competentes verifiquen en cada caso en particular, y mediante una evaluación individualizada, la posibilidad de utilizar medidas menos restrictivas que sean efectivas para alcanzar aquellos fines</w:t>
      </w:r>
      <w:r w:rsidR="00A70FF5" w:rsidRPr="0018620F">
        <w:rPr>
          <w:rStyle w:val="Refdenotaalpie"/>
        </w:rPr>
        <w:footnoteReference w:id="84"/>
      </w:r>
      <w:r w:rsidR="00A70FF5" w:rsidRPr="0018620F">
        <w:t>.</w:t>
      </w:r>
    </w:p>
    <w:p w14:paraId="63568DF5" w14:textId="77777777" w:rsidR="00712417" w:rsidRPr="0018620F" w:rsidRDefault="00712417" w:rsidP="00D753D0">
      <w:pPr>
        <w:pStyle w:val="PrrafodeSentencia"/>
        <w:numPr>
          <w:ilvl w:val="0"/>
          <w:numId w:val="0"/>
        </w:numPr>
      </w:pPr>
    </w:p>
    <w:p w14:paraId="623399F2" w14:textId="6C6EB7C7" w:rsidR="0016708F" w:rsidRDefault="00F07478" w:rsidP="00D753D0">
      <w:pPr>
        <w:pStyle w:val="PrrafodeSentencia"/>
      </w:pPr>
      <w:r>
        <w:t xml:space="preserve">En relación con lo anterior, el Tribunal recuerda </w:t>
      </w:r>
      <w:r w:rsidR="00640BC2" w:rsidRPr="00640BC2">
        <w:t xml:space="preserve">que el contenido esencial del artículo 7 de la Convención Americana es la protección de la libertad del individuo contra toda interferencia arbitraria o ilegal del </w:t>
      </w:r>
      <w:r w:rsidR="00640BC2" w:rsidRPr="00640BC2">
        <w:rPr>
          <w:lang w:val="es-CO"/>
        </w:rPr>
        <w:t>Estado</w:t>
      </w:r>
      <w:r w:rsidR="00640BC2" w:rsidRPr="00950B75">
        <w:rPr>
          <w:rStyle w:val="Refdenotaalpie"/>
        </w:rPr>
        <w:footnoteReference w:id="85"/>
      </w:r>
      <w:r w:rsidR="00640BC2" w:rsidRPr="00640BC2">
        <w:t>.</w:t>
      </w:r>
      <w:r w:rsidR="00640BC2">
        <w:t xml:space="preserve"> En ese sentido, la Corte</w:t>
      </w:r>
      <w:r w:rsidR="00640BC2" w:rsidRPr="00640BC2">
        <w:t xml:space="preserve"> </w:t>
      </w:r>
      <w:r w:rsidR="00640BC2">
        <w:t>h</w:t>
      </w:r>
      <w:r w:rsidR="00640BC2" w:rsidRPr="00640BC2">
        <w:t>a afirmado que este artículo tiene dos tipos de regulaciones bien diferenciadas entre sí, una general y otra específica. La general se encuentra en el primer numeral: “[t]oda persona tiene el derecho a la libertad y a la seguridad personales”. Mientras que la específica está compuesta por una serie de garantías que protegen el derecho a no ser privado de la libertad ilegalmente (artículo 7.2) o arbitrariamente (artículo 7.3), a conocer las razones de la detención y los cargos formulados en contra del detenido (artículo 7.4), al control judicial de la privación de la libertad (artículo 7.5) y a impugnar la legalidad de la detención (artículo 7.6)</w:t>
      </w:r>
      <w:r w:rsidR="00640BC2" w:rsidRPr="00950B75">
        <w:rPr>
          <w:rStyle w:val="Refdenotaalpie"/>
        </w:rPr>
        <w:footnoteReference w:id="86"/>
      </w:r>
      <w:r w:rsidR="00640BC2" w:rsidRPr="00640BC2">
        <w:t>. Así</w:t>
      </w:r>
      <w:r w:rsidR="000F75B4">
        <w:t>,</w:t>
      </w:r>
      <w:r w:rsidR="00640BC2" w:rsidRPr="00640BC2">
        <w:t xml:space="preserve"> cualquier violación de los numerales 2 al 7 del artículo 7 de la Convención acarreará necesariamente la violación del artículo 7.1 de la misma.</w:t>
      </w:r>
    </w:p>
    <w:p w14:paraId="7ECF756B" w14:textId="77777777" w:rsidR="0016708F" w:rsidRDefault="0016708F" w:rsidP="00D753D0">
      <w:pPr>
        <w:pStyle w:val="PrrafodeSentencia"/>
        <w:numPr>
          <w:ilvl w:val="0"/>
          <w:numId w:val="0"/>
        </w:numPr>
      </w:pPr>
    </w:p>
    <w:p w14:paraId="4517C6FF" w14:textId="603C9A5D" w:rsidR="002413D5" w:rsidRPr="001067EF" w:rsidRDefault="0016708F" w:rsidP="00D753D0">
      <w:pPr>
        <w:pStyle w:val="PrrafodeSentencia"/>
      </w:pPr>
      <w:r>
        <w:t>L</w:t>
      </w:r>
      <w:r w:rsidR="002413D5" w:rsidRPr="001067EF">
        <w:t xml:space="preserve">a Corte </w:t>
      </w:r>
      <w:r>
        <w:t>considera pertinente recordar</w:t>
      </w:r>
      <w:r w:rsidR="00E51289">
        <w:t>, para efectos del presente caso,</w:t>
      </w:r>
      <w:r w:rsidR="002413D5" w:rsidRPr="001067EF">
        <w:t xml:space="preserve"> que</w:t>
      </w:r>
      <w:r w:rsidR="0099093E">
        <w:t xml:space="preserve"> del artículo 7.3 de la Convención se desprende que</w:t>
      </w:r>
      <w:r w:rsidR="002413D5" w:rsidRPr="001067EF">
        <w:t xml:space="preserve"> nadie puede ser sometido a detención o encarcelamiento por causas y métodos que -aun calificados de legales- puedan reputarse como incompatibles con el respeto a los derechos fundamentales del individuo por ser, entre otras cosas, irrazonables, imprevisibles o faltos de proporcionalidad</w:t>
      </w:r>
      <w:r w:rsidR="002413D5" w:rsidRPr="001067EF">
        <w:rPr>
          <w:rStyle w:val="Refdenotaalpie"/>
        </w:rPr>
        <w:footnoteReference w:id="87"/>
      </w:r>
      <w:r w:rsidR="002413D5" w:rsidRPr="001067EF">
        <w:t xml:space="preserve">. El Tribunal </w:t>
      </w:r>
      <w:r w:rsidR="0099093E">
        <w:t xml:space="preserve">ha considerado que </w:t>
      </w:r>
      <w:r w:rsidR="002413D5" w:rsidRPr="001067EF">
        <w:t>se requiere que la ley interna, el procedimiento aplicable y los principios generales expresos o tácitos correspondientes sean, en sí mismos, compatibles con la Convención. Así, no se debe equiparar el concepto de “arbitrariedad” con el de “contrario a ley”, sino que</w:t>
      </w:r>
      <w:r w:rsidR="005E44F4">
        <w:t xml:space="preserve"> además</w:t>
      </w:r>
      <w:r w:rsidR="002413D5" w:rsidRPr="001067EF">
        <w:t xml:space="preserve"> debe interpretarse de manera más amplia a fin de incluir elementos de incorrección, injusticia e imprevisibilidad</w:t>
      </w:r>
      <w:r w:rsidR="002413D5" w:rsidRPr="001067EF">
        <w:rPr>
          <w:rStyle w:val="Refdenotaalpie"/>
        </w:rPr>
        <w:footnoteReference w:id="88"/>
      </w:r>
      <w:r w:rsidR="002413D5" w:rsidRPr="001067EF">
        <w:t xml:space="preserve">. </w:t>
      </w:r>
    </w:p>
    <w:p w14:paraId="3C39F496" w14:textId="77777777" w:rsidR="002413D5" w:rsidRPr="002413D5" w:rsidRDefault="002413D5" w:rsidP="00792F0B">
      <w:pPr>
        <w:pStyle w:val="Prrafodelista"/>
        <w:spacing w:after="0" w:line="240" w:lineRule="auto"/>
        <w:ind w:left="0"/>
        <w:rPr>
          <w:rFonts w:ascii="Verdana" w:hAnsi="Verdana"/>
          <w:sz w:val="20"/>
          <w:szCs w:val="20"/>
          <w:lang w:val="es-CR"/>
        </w:rPr>
      </w:pPr>
    </w:p>
    <w:p w14:paraId="37D810C7" w14:textId="7541CE41" w:rsidR="002F4CFD" w:rsidRPr="00E05F5A" w:rsidRDefault="00B72636" w:rsidP="00D753D0">
      <w:pPr>
        <w:pStyle w:val="PrrafodeSentencia"/>
      </w:pPr>
      <w:r w:rsidRPr="00E05F5A">
        <w:t>De esta forma</w:t>
      </w:r>
      <w:r w:rsidR="0099093E" w:rsidRPr="00E05F5A">
        <w:t>, l</w:t>
      </w:r>
      <w:r w:rsidR="002413D5" w:rsidRPr="00E05F5A">
        <w:t xml:space="preserve">a Corte ha considerado que para que una medida cautelar restrictiva de la libertad no sea arbitraria es necesario: a) que se presenten presupuestos materiales relacionados con la existencia de un hecho ilícito y con la vinculación de la persona procesada a ese hecho, b) que esas medidas cumplan con los cuatro elementos del “test de proporcionalidad”, es decir con la finalidad de la medida que debe ser legítima (compatible con </w:t>
      </w:r>
      <w:r w:rsidR="002413D5" w:rsidRPr="00E05F5A">
        <w:lastRenderedPageBreak/>
        <w:t>la Convención Americana)</w:t>
      </w:r>
      <w:r w:rsidR="002413D5" w:rsidRPr="00E05F5A">
        <w:rPr>
          <w:rStyle w:val="Refdenotaalpie"/>
        </w:rPr>
        <w:footnoteReference w:id="89"/>
      </w:r>
      <w:r w:rsidR="002413D5" w:rsidRPr="00E05F5A">
        <w:t>, idónea para cumplir con el fin que se persigue, necesaria y estrictamente proporcional</w:t>
      </w:r>
      <w:r w:rsidR="002413D5" w:rsidRPr="00E05F5A">
        <w:rPr>
          <w:rStyle w:val="Refdenotaalpie"/>
        </w:rPr>
        <w:footnoteReference w:id="90"/>
      </w:r>
      <w:r w:rsidR="002413D5" w:rsidRPr="00E05F5A">
        <w:t>, y c) que la decisión que las impone contenga una motivación suficiente que permita evaluar si se ajusta a las condiciones señaladas</w:t>
      </w:r>
      <w:r w:rsidR="002413D5" w:rsidRPr="00E05F5A">
        <w:rPr>
          <w:rStyle w:val="Refdenotaalpie"/>
        </w:rPr>
        <w:footnoteReference w:id="91"/>
      </w:r>
      <w:r w:rsidR="002413D5" w:rsidRPr="00E05F5A">
        <w:t>.</w:t>
      </w:r>
      <w:r w:rsidR="00704C11" w:rsidRPr="00E05F5A">
        <w:t xml:space="preserve"> </w:t>
      </w:r>
      <w:r w:rsidR="004C78C0" w:rsidRPr="00E05F5A">
        <w:t xml:space="preserve">En esta lógica, la Corte ha señalado que </w:t>
      </w:r>
      <w:r w:rsidR="00E05F5A" w:rsidRPr="00E05F5A">
        <w:t>son arbitrarias las decisiones que adopten los órganos internos que puedan afectar derechos humanos, tal como el derecho a la libertad personal, que no se encuentren debidamente fundamentadas</w:t>
      </w:r>
      <w:r w:rsidR="00E05F5A" w:rsidRPr="00E05F5A">
        <w:rPr>
          <w:rStyle w:val="Refdenotaalpie"/>
        </w:rPr>
        <w:footnoteReference w:id="92"/>
      </w:r>
      <w:r w:rsidR="00E05F5A" w:rsidRPr="00E05F5A">
        <w:t>.</w:t>
      </w:r>
    </w:p>
    <w:p w14:paraId="1457ED1E" w14:textId="01F7EA38" w:rsidR="003A7DCF" w:rsidRDefault="003A7DCF" w:rsidP="004330E3">
      <w:pPr>
        <w:rPr>
          <w:rFonts w:ascii="Verdana" w:hAnsi="Verdana"/>
          <w:sz w:val="20"/>
          <w:szCs w:val="20"/>
          <w:highlight w:val="yellow"/>
          <w:lang w:val="es-ES" w:eastAsia="es-CR"/>
        </w:rPr>
      </w:pPr>
    </w:p>
    <w:p w14:paraId="3EF5A474" w14:textId="37C7FC73" w:rsidR="00101E4A" w:rsidRPr="00534F1A" w:rsidRDefault="00101E4A" w:rsidP="00101E4A">
      <w:pPr>
        <w:pStyle w:val="Ttulo4"/>
      </w:pPr>
      <w:r w:rsidRPr="005E7E0B">
        <w:t>A.</w:t>
      </w:r>
      <w:r w:rsidR="000A210E">
        <w:t>2</w:t>
      </w:r>
      <w:r w:rsidRPr="005E7E0B">
        <w:t>.</w:t>
      </w:r>
      <w:r>
        <w:t>3</w:t>
      </w:r>
      <w:r w:rsidRPr="005E7E0B">
        <w:t xml:space="preserve">. </w:t>
      </w:r>
      <w:r w:rsidR="00C32532">
        <w:t>Los derechos de la niñez en procedimientos migratorios de expulsión</w:t>
      </w:r>
    </w:p>
    <w:p w14:paraId="1EE1292F" w14:textId="1A25AC34" w:rsidR="00101E4A" w:rsidRDefault="00101E4A" w:rsidP="004330E3">
      <w:pPr>
        <w:rPr>
          <w:rFonts w:ascii="Verdana" w:hAnsi="Verdana"/>
          <w:sz w:val="20"/>
          <w:szCs w:val="20"/>
          <w:highlight w:val="yellow"/>
          <w:lang w:val="es-ES" w:eastAsia="es-CR"/>
        </w:rPr>
      </w:pPr>
    </w:p>
    <w:p w14:paraId="324C095A" w14:textId="7683EBFA" w:rsidR="00EB7281" w:rsidRPr="005E1F6E" w:rsidRDefault="000A4E10" w:rsidP="00D753D0">
      <w:pPr>
        <w:pStyle w:val="PrrafodeSentencia"/>
        <w:rPr>
          <w:position w:val="-1"/>
        </w:rPr>
      </w:pPr>
      <w:r w:rsidRPr="002073BF">
        <w:t>Adicionalmente</w:t>
      </w:r>
      <w:r w:rsidR="00B342F1" w:rsidRPr="005E1F6E">
        <w:rPr>
          <w:position w:val="-1"/>
        </w:rPr>
        <w:t>, tal como lo ha sostenido anteriormente esta Corte</w:t>
      </w:r>
      <w:r w:rsidR="00B342F1" w:rsidRPr="009E74D5">
        <w:rPr>
          <w:rStyle w:val="Refdenotaalpie"/>
          <w:rFonts w:cs="Verdana"/>
        </w:rPr>
        <w:footnoteReference w:id="93"/>
      </w:r>
      <w:r w:rsidR="00B342F1" w:rsidRPr="005E1F6E">
        <w:rPr>
          <w:position w:val="-1"/>
        </w:rPr>
        <w:t xml:space="preserve">, </w:t>
      </w:r>
      <w:r w:rsidR="00B342F1" w:rsidRPr="009E74D5">
        <w:t xml:space="preserve">si bien el debido proceso y sus correlativas garantías son aplicables a todas las personas, en el caso de las niñas y niños migrantes, el ejercicio de aquéllos supone, por las condiciones especiales en las que se encuentran, la adopción de ciertas medidas específicas con el propósito de asegurar un acceso a la justicia en condiciones de igualdad, garantizar un efectivo debido proceso y velar por que el interés superior se erija en una consideración primordial en todas las decisiones administrativas o judiciales que se adopten. </w:t>
      </w:r>
      <w:r w:rsidR="009F6D27">
        <w:t>El Tribunal ha señalado que s</w:t>
      </w:r>
      <w:r w:rsidR="00B342F1" w:rsidRPr="009E74D5">
        <w:t>obre estas consideraciones se deben formular los procesos administrativos o judiciales en los que se resuelva acerca de derechos de las niñas o niños migrantes y, en su caso, de las personas bajo cuya potestad o tutela se hallan aquéllos, los cuales deben ajustarse a su condición, necesidades y derechos</w:t>
      </w:r>
      <w:r w:rsidR="001D3056" w:rsidRPr="009E74D5">
        <w:rPr>
          <w:rStyle w:val="Refdenotaalpie"/>
        </w:rPr>
        <w:footnoteReference w:id="94"/>
      </w:r>
      <w:r w:rsidR="00B342F1" w:rsidRPr="009E74D5">
        <w:t>.</w:t>
      </w:r>
    </w:p>
    <w:p w14:paraId="5DED13F7" w14:textId="77777777" w:rsidR="009F6D27" w:rsidRPr="001D3056" w:rsidRDefault="009F6D27" w:rsidP="00792F0B">
      <w:pPr>
        <w:rPr>
          <w:lang w:val="es-ES_tradnl" w:eastAsia="es-CR"/>
        </w:rPr>
      </w:pPr>
    </w:p>
    <w:p w14:paraId="696EE250" w14:textId="4E12E76E" w:rsidR="009F6D27" w:rsidRPr="00CC3192" w:rsidRDefault="00FF7787" w:rsidP="00D753D0">
      <w:pPr>
        <w:pStyle w:val="PrrafodeSentencia"/>
        <w:rPr>
          <w:lang w:eastAsia="es-CR"/>
        </w:rPr>
      </w:pPr>
      <w:r>
        <w:rPr>
          <w:lang w:eastAsia="es-CR"/>
        </w:rPr>
        <w:t>De esta forma</w:t>
      </w:r>
      <w:r w:rsidR="009F6D27">
        <w:rPr>
          <w:lang w:eastAsia="es-CR"/>
        </w:rPr>
        <w:t xml:space="preserve">, este Tribunal ha establecido las garantías específicas que deben cumplirse </w:t>
      </w:r>
      <w:r w:rsidR="00FE2CF9">
        <w:rPr>
          <w:lang w:eastAsia="es-CR"/>
        </w:rPr>
        <w:t xml:space="preserve">en todo proceso migratorio que involucre niñas o niños, en relación con los siguientes aspectos: </w:t>
      </w:r>
      <w:r w:rsidR="00A12E1E" w:rsidRPr="00BD5C06">
        <w:t xml:space="preserve">(i) el derecho a ser notificado de la existencia de un procedimiento y de la decisión que se adopte en el marco del proceso migratorio; (ii) el derecho a que los procesos migratorios sean llevados por un funcionario o juez especializado; (iii) el derecho de la niña o niño a ser oído y a participar en las diferentes etapas procesales; (iv) el derecho a ser asistido gratuitamente por un traductor y/o intérprete; (v) el acceso efectivo a la comunicación y asistencia consular; (vi) </w:t>
      </w:r>
      <w:r w:rsidR="00A12E1E">
        <w:t>el d</w:t>
      </w:r>
      <w:r w:rsidR="00A12E1E" w:rsidRPr="00462D68">
        <w:t>erecho a ser asistido por un representante legal y a comunicarse libremente con dicho representante</w:t>
      </w:r>
      <w:r w:rsidR="00A12E1E" w:rsidRPr="00BD5C06">
        <w:t xml:space="preserve">; (vii) el deber de designar a un tutor en caso de </w:t>
      </w:r>
      <w:r w:rsidR="00A12E1E">
        <w:t>niña</w:t>
      </w:r>
      <w:r w:rsidR="00A12E1E" w:rsidRPr="00BD5C06">
        <w:t>s o niñ</w:t>
      </w:r>
      <w:r w:rsidR="00A12E1E">
        <w:t>o</w:t>
      </w:r>
      <w:r w:rsidR="00A12E1E" w:rsidRPr="00BD5C06">
        <w:t>s no acompañados o separados; (viii) el derecho a que la decisión que se adopte evalúe el interés superior de la niña o del niño y sea debidamente fundamentada; (ix) el derecho a recurrir</w:t>
      </w:r>
      <w:r w:rsidR="00A12E1E" w:rsidRPr="00E600AF">
        <w:t xml:space="preserve"> la decisión ante un juez o tribunal superior con efectos suspensivos; y (x) el plazo razonable de duración del proceso</w:t>
      </w:r>
      <w:r w:rsidR="00A12E1E">
        <w:rPr>
          <w:rStyle w:val="Refdenotaalpie"/>
        </w:rPr>
        <w:footnoteReference w:id="95"/>
      </w:r>
      <w:r w:rsidR="00A12E1E" w:rsidRPr="00E600AF">
        <w:t>.</w:t>
      </w:r>
    </w:p>
    <w:p w14:paraId="2A2D23D2" w14:textId="77777777" w:rsidR="00CC3192" w:rsidRPr="00CC3192" w:rsidRDefault="00CC3192" w:rsidP="00D753D0">
      <w:pPr>
        <w:pStyle w:val="PrrafodeSentencia"/>
        <w:numPr>
          <w:ilvl w:val="0"/>
          <w:numId w:val="0"/>
        </w:numPr>
        <w:rPr>
          <w:lang w:eastAsia="es-CR"/>
        </w:rPr>
      </w:pPr>
    </w:p>
    <w:p w14:paraId="5642AB76" w14:textId="1574316F" w:rsidR="00DE271C" w:rsidRPr="00D269C1" w:rsidRDefault="00057025" w:rsidP="00D753D0">
      <w:pPr>
        <w:pStyle w:val="PrrafodeSentencia"/>
        <w:rPr>
          <w:lang w:eastAsia="es-CR"/>
        </w:rPr>
      </w:pPr>
      <w:r>
        <w:rPr>
          <w:lang w:eastAsia="es-CR"/>
        </w:rPr>
        <w:t xml:space="preserve">En relación con lo anterior, </w:t>
      </w:r>
      <w:r w:rsidR="00A77104">
        <w:rPr>
          <w:lang w:eastAsia="es-CR"/>
        </w:rPr>
        <w:t xml:space="preserve">en particular, </w:t>
      </w:r>
      <w:r>
        <w:rPr>
          <w:lang w:eastAsia="es-CR"/>
        </w:rPr>
        <w:t>l</w:t>
      </w:r>
      <w:r w:rsidR="00CC3192">
        <w:rPr>
          <w:lang w:eastAsia="es-CR"/>
        </w:rPr>
        <w:t xml:space="preserve">a Corte </w:t>
      </w:r>
      <w:r w:rsidR="00DE271C">
        <w:rPr>
          <w:lang w:eastAsia="es-CR"/>
        </w:rPr>
        <w:t>recuerda</w:t>
      </w:r>
      <w:r w:rsidR="00CC3192">
        <w:rPr>
          <w:lang w:eastAsia="es-CR"/>
        </w:rPr>
        <w:t xml:space="preserve"> que </w:t>
      </w:r>
      <w:r w:rsidR="00DE271C">
        <w:t>t</w:t>
      </w:r>
      <w:r w:rsidR="00DE271C" w:rsidRPr="00DE271C">
        <w:t xml:space="preserve">odo migrante tiene derecho a que se le notifique la existencia de un proceso en su contra, pues, de lo contrario, </w:t>
      </w:r>
      <w:r w:rsidR="00DE271C" w:rsidRPr="00DE271C">
        <w:lastRenderedPageBreak/>
        <w:t xml:space="preserve">mal podría garantizarse su derecho a la defensa. En el caso de niñas y niños migrantes, </w:t>
      </w:r>
      <w:r w:rsidR="00606434">
        <w:t xml:space="preserve">la Corte ha señalado que </w:t>
      </w:r>
      <w:r w:rsidR="00DE271C" w:rsidRPr="00DE271C">
        <w:t>e</w:t>
      </w:r>
      <w:r w:rsidR="00606434">
        <w:t>ste derecho</w:t>
      </w:r>
      <w:r w:rsidR="00DE271C" w:rsidRPr="00DE271C">
        <w:t xml:space="preserve"> se extiende a todo tipo de procedimiento que lo</w:t>
      </w:r>
      <w:r>
        <w:t>s</w:t>
      </w:r>
      <w:r w:rsidR="00DE271C" w:rsidRPr="00DE271C">
        <w:t xml:space="preserve"> involucre. Es por ello que la existencia de personal capacitado para comunicarle a la niña o niño, de acuerdo al desarrollo de sus capacidades cognitivas, que su situación está siendo sometida a consideración administrativa o judicial garantizará que el derecho a la defensa pueda ser ejercido por la niña o niño, en el sentido de entender lo que está sucediendo y poder dar su opinión en lo que estime pertinente</w:t>
      </w:r>
      <w:r w:rsidR="00DE271C" w:rsidRPr="00E600AF">
        <w:rPr>
          <w:rStyle w:val="Refdenotaalpie"/>
        </w:rPr>
        <w:footnoteReference w:id="96"/>
      </w:r>
      <w:r w:rsidR="00DE271C" w:rsidRPr="00DE271C">
        <w:t>.</w:t>
      </w:r>
      <w:r w:rsidR="00606434">
        <w:t xml:space="preserve"> </w:t>
      </w:r>
      <w:r w:rsidR="00DE271C" w:rsidRPr="00606434">
        <w:t xml:space="preserve">Además, </w:t>
      </w:r>
      <w:r w:rsidR="00DE271C" w:rsidRPr="00606434">
        <w:rPr>
          <w:rFonts w:eastAsia="Arial" w:cs="Arial"/>
        </w:rPr>
        <w:t xml:space="preserve">esta Corte ya ha destacado la importancia de la notificación de la decisión final a fin de ejercer el </w:t>
      </w:r>
      <w:r w:rsidR="00DE271C" w:rsidRPr="00606434">
        <w:rPr>
          <w:rFonts w:cs="Verdana"/>
        </w:rPr>
        <w:t>derecho</w:t>
      </w:r>
      <w:r w:rsidR="00DE271C" w:rsidRPr="00606434">
        <w:rPr>
          <w:rFonts w:eastAsia="Arial" w:cs="Arial"/>
        </w:rPr>
        <w:t xml:space="preserve"> a recurrir la decisión</w:t>
      </w:r>
      <w:r w:rsidR="00DE271C" w:rsidRPr="00E600AF">
        <w:rPr>
          <w:rStyle w:val="Refdenotaalpie"/>
          <w:rFonts w:eastAsia="Arial" w:cs="Arial"/>
        </w:rPr>
        <w:footnoteReference w:id="97"/>
      </w:r>
      <w:r w:rsidR="00DE271C" w:rsidRPr="00606434">
        <w:rPr>
          <w:rFonts w:eastAsia="Arial" w:cs="Arial"/>
        </w:rPr>
        <w:t>.</w:t>
      </w:r>
      <w:r w:rsidR="00606434">
        <w:rPr>
          <w:rFonts w:eastAsia="Arial" w:cs="Arial"/>
        </w:rPr>
        <w:t xml:space="preserve"> </w:t>
      </w:r>
      <w:r w:rsidR="00DE271C" w:rsidRPr="00606434">
        <w:rPr>
          <w:rFonts w:eastAsia="Arial" w:cs="Arial"/>
        </w:rPr>
        <w:t xml:space="preserve">En consonancia con lo anterior, y para garantizar efectivamente el derecho a recurrir eventualmente una decisión desfavorable, las decisiones acerca del ingreso, permanencia o expulsión, </w:t>
      </w:r>
      <w:r w:rsidR="00252272">
        <w:rPr>
          <w:rFonts w:eastAsia="Arial" w:cs="Arial"/>
        </w:rPr>
        <w:t>deben</w:t>
      </w:r>
      <w:r w:rsidR="00DE271C" w:rsidRPr="00606434">
        <w:rPr>
          <w:rFonts w:eastAsia="Arial" w:cs="Arial"/>
        </w:rPr>
        <w:t xml:space="preserve"> ser debidamente notificadas, lo que también refuerza el derecho a que la resolución sea debidamente motivada</w:t>
      </w:r>
      <w:r w:rsidR="00DE271C" w:rsidRPr="00E600AF">
        <w:rPr>
          <w:rStyle w:val="Refdenotaalpie"/>
          <w:rFonts w:eastAsia="Arial" w:cs="Arial"/>
        </w:rPr>
        <w:footnoteReference w:id="98"/>
      </w:r>
      <w:r w:rsidR="00DE271C" w:rsidRPr="00606434">
        <w:rPr>
          <w:rFonts w:eastAsia="Arial" w:cs="Arial"/>
        </w:rPr>
        <w:t>.</w:t>
      </w:r>
    </w:p>
    <w:p w14:paraId="25992653" w14:textId="77777777" w:rsidR="00D269C1" w:rsidRPr="00D269C1" w:rsidRDefault="00D269C1" w:rsidP="00D753D0">
      <w:pPr>
        <w:pStyle w:val="PrrafodeSentencia"/>
        <w:numPr>
          <w:ilvl w:val="0"/>
          <w:numId w:val="0"/>
        </w:numPr>
        <w:rPr>
          <w:lang w:eastAsia="es-CR"/>
        </w:rPr>
      </w:pPr>
    </w:p>
    <w:p w14:paraId="7CF652F8" w14:textId="63B27BAF" w:rsidR="00CD17C7" w:rsidRPr="00122E16" w:rsidRDefault="00D269C1" w:rsidP="00D753D0">
      <w:pPr>
        <w:pStyle w:val="PrrafodeSentencia"/>
        <w:rPr>
          <w:lang w:eastAsia="es-CR"/>
        </w:rPr>
      </w:pPr>
      <w:r>
        <w:rPr>
          <w:lang w:eastAsia="es-CR"/>
        </w:rPr>
        <w:t>A</w:t>
      </w:r>
      <w:r w:rsidR="00D42309">
        <w:rPr>
          <w:lang w:eastAsia="es-CR"/>
        </w:rPr>
        <w:t>simismo,</w:t>
      </w:r>
      <w:r w:rsidR="00CD17C7">
        <w:rPr>
          <w:lang w:eastAsia="es-CR"/>
        </w:rPr>
        <w:t xml:space="preserve"> el Tribunal ha señalado que</w:t>
      </w:r>
      <w:r w:rsidR="00CD17C7" w:rsidRPr="00CD17C7">
        <w:t xml:space="preserve"> resulta esencial que todas las decisiones adoptadas en el marco de un proceso migratorio que involucre a niñas o niños estén debidamente motivadas, es decir, posean la exteriorización de la justificación razonada que permita llegar a una conclusión</w:t>
      </w:r>
      <w:r w:rsidR="00CD17C7" w:rsidRPr="000312DF">
        <w:rPr>
          <w:vertAlign w:val="superscript"/>
        </w:rPr>
        <w:footnoteReference w:id="99"/>
      </w:r>
      <w:r w:rsidR="00CD17C7" w:rsidRPr="00CD17C7">
        <w:t>. El deber de motivación es una de las debidas garantías para salvaguardar el derecho a un debido proceso</w:t>
      </w:r>
      <w:r w:rsidR="00CD17C7" w:rsidRPr="000312DF">
        <w:rPr>
          <w:vertAlign w:val="superscript"/>
        </w:rPr>
        <w:footnoteReference w:id="100"/>
      </w:r>
      <w:r w:rsidR="00CD17C7" w:rsidRPr="00CD17C7">
        <w:t>. La Corte recuerda que el deber de motivar las resoluciones es una garantía vinculada con la correcta administración de justicia, que protege el derecho de las personas a ser juzgadas por las razones que el derecho suministra, y otorga credibilidad a las decisiones jurídicas en el marco de una sociedad democrática</w:t>
      </w:r>
      <w:r w:rsidR="00CD17C7">
        <w:rPr>
          <w:rStyle w:val="Refdenotaalpie"/>
          <w:rFonts w:eastAsia="Arial" w:cs="Arial"/>
        </w:rPr>
        <w:footnoteReference w:id="101"/>
      </w:r>
      <w:r w:rsidR="00CD17C7" w:rsidRPr="00CD17C7">
        <w:t>. Por ello, las decisiones que adopten los órganos internos que puedan afectar derechos humanos deben estar debidamente fundamentadas, pues de lo contrario serían decisiones arbitrarias</w:t>
      </w:r>
      <w:r w:rsidR="00CD17C7" w:rsidRPr="00E600AF">
        <w:rPr>
          <w:vertAlign w:val="superscript"/>
        </w:rPr>
        <w:footnoteReference w:id="102"/>
      </w:r>
      <w:r w:rsidR="00CD17C7" w:rsidRPr="00CD17C7">
        <w:t>.</w:t>
      </w:r>
      <w:r w:rsidR="00FC2B12">
        <w:rPr>
          <w:lang w:eastAsia="es-CR"/>
        </w:rPr>
        <w:t xml:space="preserve"> </w:t>
      </w:r>
      <w:r w:rsidR="00CD17C7" w:rsidRPr="00FC2B12">
        <w:t xml:space="preserve">En este sentido, la argumentación de un fallo y de ciertos actos administrativos debe permitir conocer cuáles fueron los hechos, motivos y normas en que se basó la autoridad para tomar su decisión, a fin de descartar </w:t>
      </w:r>
      <w:r w:rsidR="00CD17C7" w:rsidRPr="00FC2B12">
        <w:rPr>
          <w:rFonts w:cs="Verdana"/>
        </w:rPr>
        <w:t>cualquier</w:t>
      </w:r>
      <w:r w:rsidR="00CD17C7" w:rsidRPr="00FC2B12">
        <w:t xml:space="preserve"> indicio de arbitrariedad</w:t>
      </w:r>
      <w:r w:rsidR="00CD17C7" w:rsidRPr="00E600AF">
        <w:rPr>
          <w:rStyle w:val="Refdenotaalpie"/>
          <w:rFonts w:eastAsia="Arial" w:cs="Arial"/>
        </w:rPr>
        <w:footnoteReference w:id="103"/>
      </w:r>
      <w:r w:rsidR="00CD17C7" w:rsidRPr="00FC2B12">
        <w:t>. Además, debe mostrar que han sido debidamente tomados en cuenta los alegatos de las partes y que el conjunto de pruebas ha sido analizado.</w:t>
      </w:r>
    </w:p>
    <w:p w14:paraId="5C75FBAB" w14:textId="77777777" w:rsidR="00C261B2" w:rsidRPr="006B5514" w:rsidRDefault="00C261B2" w:rsidP="00D753D0">
      <w:pPr>
        <w:pStyle w:val="PrrafodeSentencia"/>
        <w:numPr>
          <w:ilvl w:val="0"/>
          <w:numId w:val="0"/>
        </w:numPr>
        <w:rPr>
          <w:lang w:eastAsia="es-CR"/>
        </w:rPr>
      </w:pPr>
    </w:p>
    <w:p w14:paraId="173E45B1" w14:textId="77777777" w:rsidR="00E57D69" w:rsidRDefault="00D269C1" w:rsidP="00D753D0">
      <w:pPr>
        <w:pStyle w:val="PrrafodeSentencia"/>
      </w:pPr>
      <w:r>
        <w:t>Por otro lado</w:t>
      </w:r>
      <w:r w:rsidR="006B5514" w:rsidRPr="00E600AF">
        <w:t>,</w:t>
      </w:r>
      <w:r w:rsidR="006B5514">
        <w:t xml:space="preserve"> respecto a la imposición de</w:t>
      </w:r>
      <w:r w:rsidR="006B5514" w:rsidRPr="00E600AF">
        <w:t xml:space="preserve"> medida</w:t>
      </w:r>
      <w:r w:rsidR="006B5514">
        <w:t>s</w:t>
      </w:r>
      <w:r w:rsidR="006B5514" w:rsidRPr="00E600AF">
        <w:t xml:space="preserve"> de privación de libertad, </w:t>
      </w:r>
      <w:r w:rsidR="006B5514">
        <w:t xml:space="preserve">este Tribunal ha señalado que </w:t>
      </w:r>
      <w:r w:rsidR="006B5514" w:rsidRPr="00E600AF">
        <w:t>si bien puede perseguir una finalidad legítima y resultar idónea para alcanzarla, al conjugar los criterios desarrollados y en virtud del principio de interés superior de</w:t>
      </w:r>
      <w:r w:rsidR="006B5514">
        <w:t xml:space="preserve"> </w:t>
      </w:r>
      <w:r w:rsidR="006B5514" w:rsidRPr="00E600AF">
        <w:t>l</w:t>
      </w:r>
      <w:r w:rsidR="006B5514">
        <w:t>a</w:t>
      </w:r>
      <w:r w:rsidR="006B5514" w:rsidRPr="00E600AF">
        <w:t xml:space="preserve"> niñ</w:t>
      </w:r>
      <w:r w:rsidR="006B5514">
        <w:t>a</w:t>
      </w:r>
      <w:r w:rsidR="006B5514" w:rsidRPr="00E600AF">
        <w:t xml:space="preserve"> o del niñ</w:t>
      </w:r>
      <w:r w:rsidR="006B5514">
        <w:t>o</w:t>
      </w:r>
      <w:r w:rsidR="006B5514" w:rsidRPr="00E600AF">
        <w:t xml:space="preserve">, la privación de libertad de niñas o de niños por razones exclusivas de índole migratoria </w:t>
      </w:r>
      <w:r w:rsidR="006B5514" w:rsidRPr="00E600AF">
        <w:lastRenderedPageBreak/>
        <w:t>excede el requisito de necesidad</w:t>
      </w:r>
      <w:r w:rsidR="006B5514" w:rsidRPr="00E600AF">
        <w:rPr>
          <w:rStyle w:val="Refdenotaalpie"/>
        </w:rPr>
        <w:footnoteReference w:id="104"/>
      </w:r>
      <w:r w:rsidR="006B5514" w:rsidRPr="00E600AF">
        <w:t xml:space="preserve">, toda vez que tal medida no resulta absolutamente indispensable </w:t>
      </w:r>
      <w:r w:rsidR="006B5514" w:rsidRPr="00E600AF">
        <w:rPr>
          <w:rFonts w:cs="Verdana"/>
          <w:szCs w:val="18"/>
        </w:rPr>
        <w:t xml:space="preserve">a los fines de </w:t>
      </w:r>
      <w:r w:rsidR="006B5514" w:rsidRPr="00E600AF">
        <w:t xml:space="preserve">asegurar su comparecencia al proceso migratorio o para garantizar la aplicación de una orden de deportación. Aunado a ello, la Corte </w:t>
      </w:r>
      <w:r w:rsidR="007559AB">
        <w:t>ha señalado</w:t>
      </w:r>
      <w:r w:rsidR="006B5514" w:rsidRPr="00E600AF">
        <w:t xml:space="preserve"> que la privación de libertad de una niña o niño en este contexto de ninguna manera podría ser entendida como una medida que responda a su interés superior. En este sentido, la Corte </w:t>
      </w:r>
      <w:r w:rsidR="007559AB">
        <w:t>ha considerado</w:t>
      </w:r>
      <w:r w:rsidR="006B5514" w:rsidRPr="00E600AF">
        <w:t xml:space="preserve"> que existen medidas menos gravosas que podrían ser idóneas para alcanzar tal fin y, al mismo tiempo, responder al interés superior de</w:t>
      </w:r>
      <w:r w:rsidR="006B5514">
        <w:t xml:space="preserve"> </w:t>
      </w:r>
      <w:r w:rsidR="006B5514" w:rsidRPr="00E600AF">
        <w:t>l</w:t>
      </w:r>
      <w:r w:rsidR="006B5514">
        <w:t>a niña o</w:t>
      </w:r>
      <w:r w:rsidR="006B5514" w:rsidRPr="00E600AF">
        <w:t xml:space="preserve"> </w:t>
      </w:r>
      <w:r w:rsidR="006B5514">
        <w:t xml:space="preserve">del </w:t>
      </w:r>
      <w:r w:rsidR="006B5514" w:rsidRPr="00E600AF">
        <w:t xml:space="preserve">niño. En suma, la Corte </w:t>
      </w:r>
      <w:r w:rsidR="00272030">
        <w:t xml:space="preserve">ha establecido </w:t>
      </w:r>
      <w:r w:rsidR="006B5514" w:rsidRPr="00E600AF">
        <w:t>que la privación de libertad de un niño o niña migrante en situación irregular, decretada por esta única circunstancia, es arbitraria, y por ende, contraria tanto a la Convención</w:t>
      </w:r>
      <w:r w:rsidR="000F5D43" w:rsidRPr="00E600AF">
        <w:rPr>
          <w:rStyle w:val="Refdenotaalpie"/>
        </w:rPr>
        <w:footnoteReference w:id="105"/>
      </w:r>
      <w:r w:rsidR="006B5514" w:rsidRPr="00E600AF">
        <w:t>.</w:t>
      </w:r>
    </w:p>
    <w:p w14:paraId="7BBC7D76" w14:textId="77777777" w:rsidR="00E57D69" w:rsidRDefault="00E57D69" w:rsidP="00D753D0">
      <w:pPr>
        <w:pStyle w:val="PrrafodeSentencia"/>
        <w:numPr>
          <w:ilvl w:val="0"/>
          <w:numId w:val="0"/>
        </w:numPr>
      </w:pPr>
    </w:p>
    <w:p w14:paraId="06F64CAF" w14:textId="1608B5C3" w:rsidR="00E57D69" w:rsidRPr="006463A5" w:rsidRDefault="00E57D69" w:rsidP="00D753D0">
      <w:pPr>
        <w:pStyle w:val="PrrafodeSentencia"/>
      </w:pPr>
      <w:r w:rsidRPr="006463A5">
        <w:t>Adicionalmente, la Corte ha reconocido que</w:t>
      </w:r>
      <w:r w:rsidR="001B277F" w:rsidRPr="006463A5">
        <w:t>, en materia migratoria,</w:t>
      </w:r>
      <w:r w:rsidRPr="006463A5">
        <w:t xml:space="preserve"> el derecho de la niña o del niño a la protección de la familia, y en particular al disfrute de la vida de familia manteniendo la unidad familiar en la mayor medida posible, siempre </w:t>
      </w:r>
      <w:r w:rsidR="001B277F" w:rsidRPr="006463A5">
        <w:t>prevalecerá</w:t>
      </w:r>
      <w:r w:rsidRPr="006463A5">
        <w:t xml:space="preserve"> excepto en aquellos casos en los cuales la separación de la niña o del niño de uno o ambos progenitores sería necesaria en función de su interés superior. No obstante, el derecho a la vida familiar de la niña o del niño </w:t>
      </w:r>
      <w:r w:rsidRPr="006463A5">
        <w:rPr>
          <w:i/>
        </w:rPr>
        <w:t>per se</w:t>
      </w:r>
      <w:r w:rsidRPr="006463A5">
        <w:t xml:space="preserve"> no supera la facultad de los Estados de implementar sus propias políticas migratorias en consonancia con los derechos humanos, en el marco de los procedimientos relativos a una expulsión de uno o ambos progenitores</w:t>
      </w:r>
      <w:r w:rsidR="00881375" w:rsidRPr="006463A5">
        <w:rPr>
          <w:rStyle w:val="Refdenotaalpie"/>
        </w:rPr>
        <w:footnoteReference w:id="106"/>
      </w:r>
      <w:r w:rsidRPr="006463A5">
        <w:t>.</w:t>
      </w:r>
      <w:r w:rsidR="0091143F" w:rsidRPr="006463A5">
        <w:t xml:space="preserve"> </w:t>
      </w:r>
      <w:r w:rsidRPr="006463A5">
        <w:rPr>
          <w:lang w:val="es-ES"/>
        </w:rPr>
        <w:t>Por</w:t>
      </w:r>
      <w:r w:rsidRPr="006463A5">
        <w:t xml:space="preserve"> consiguiente,</w:t>
      </w:r>
      <w:r w:rsidR="00681E2A" w:rsidRPr="006463A5">
        <w:t xml:space="preserve"> </w:t>
      </w:r>
      <w:r w:rsidR="00477192" w:rsidRPr="006463A5">
        <w:t xml:space="preserve">para determinar la convencionalidad de </w:t>
      </w:r>
      <w:r w:rsidR="00DC393F" w:rsidRPr="006463A5">
        <w:t xml:space="preserve">cualquier medida migratoria que </w:t>
      </w:r>
      <w:r w:rsidR="005424E2" w:rsidRPr="006463A5">
        <w:t>pueda implicar la separación de los niños o niñas de su</w:t>
      </w:r>
      <w:r w:rsidR="0091143F" w:rsidRPr="006463A5">
        <w:t xml:space="preserve"> familia</w:t>
      </w:r>
      <w:r w:rsidR="00DC393F" w:rsidRPr="006463A5">
        <w:t>,</w:t>
      </w:r>
      <w:r w:rsidRPr="006463A5">
        <w:t xml:space="preserve"> es necesario evaluar que la medida: esté prevista en ley y cumpla con los requisitos de (a) idoneidad, (b) necesidad y (c) proporcionalidad, es decir, debe ser necesaria en una sociedad democrática</w:t>
      </w:r>
      <w:r w:rsidRPr="006463A5">
        <w:rPr>
          <w:rStyle w:val="Refdenotaalpie"/>
        </w:rPr>
        <w:footnoteReference w:id="107"/>
      </w:r>
      <w:r w:rsidRPr="006463A5">
        <w:t>.</w:t>
      </w:r>
    </w:p>
    <w:p w14:paraId="39185C71" w14:textId="77777777" w:rsidR="00E57D69" w:rsidRPr="006463A5" w:rsidRDefault="00E57D69" w:rsidP="00D753D0">
      <w:pPr>
        <w:pStyle w:val="PrrafodeSentencia"/>
        <w:numPr>
          <w:ilvl w:val="0"/>
          <w:numId w:val="0"/>
        </w:numPr>
      </w:pPr>
    </w:p>
    <w:p w14:paraId="645E374D" w14:textId="05C6F2A3" w:rsidR="00F91A68" w:rsidRPr="006463A5" w:rsidRDefault="000140E4" w:rsidP="00D753D0">
      <w:pPr>
        <w:pStyle w:val="PrrafodeSentencia"/>
      </w:pPr>
      <w:r w:rsidRPr="006463A5">
        <w:t>Ahora bien, e</w:t>
      </w:r>
      <w:r w:rsidR="00446D2B" w:rsidRPr="006463A5">
        <w:t>n relación con lo anterior</w:t>
      </w:r>
      <w:r w:rsidR="00330AD9" w:rsidRPr="006463A5">
        <w:t xml:space="preserve">, este Tribunal ha establecido </w:t>
      </w:r>
      <w:r w:rsidR="00631E1B" w:rsidRPr="006463A5">
        <w:t>que e</w:t>
      </w:r>
      <w:r w:rsidR="000632F9" w:rsidRPr="006463A5">
        <w:t xml:space="preserve">n </w:t>
      </w:r>
      <w:r w:rsidR="000632F9" w:rsidRPr="006463A5">
        <w:rPr>
          <w:lang w:val="es-CR"/>
        </w:rPr>
        <w:t>aquellos</w:t>
      </w:r>
      <w:r w:rsidR="000632F9" w:rsidRPr="006463A5">
        <w:t xml:space="preserve"> supuestos en que la niña o el niño tiene derecho a la nacionalidad –originaria, por naturalización o por cualquier otra causa establecida en la legislación interna– del país del cual uno o ambos progenitores pueden ser expulsados a raíz de una situación migratoria irregular, o bien cumple con las condiciones legales para residir permanentemente allí, resulta </w:t>
      </w:r>
      <w:r w:rsidR="003A7A71">
        <w:t>claro</w:t>
      </w:r>
      <w:r w:rsidR="000632F9" w:rsidRPr="006463A5">
        <w:t xml:space="preserve"> que la niña o el niño conserva el derecho a seguir disfrutando de su vida familiar en el referido país y, como componente de ello, el disfrute mutuo de la convivencia entre padres e hijos. La Corte </w:t>
      </w:r>
      <w:r w:rsidR="007F55FE" w:rsidRPr="006463A5">
        <w:t>ha encontrado</w:t>
      </w:r>
      <w:r w:rsidR="000632F9" w:rsidRPr="006463A5">
        <w:t xml:space="preserve"> que la ruptura de la unidad familiar a través de la expulsión de uno o ambos progenitores por infracciones migratorias relacionadas con el ingreso o permanencia resulta desproporcionada en estos supuestos, pues el sacrificio inherente a la restricción del derecho a la vida familiar que puede traer aparejado repercusiones en la vida y el desarrollo de la niña o del niño aparece como irrazonable o desmedido frente a las ventajas que se obtienen al forzar al progenitor a abandonar el territorio por causa de una infracción de carácter administrativo</w:t>
      </w:r>
      <w:r w:rsidR="0097398C" w:rsidRPr="006463A5">
        <w:rPr>
          <w:rStyle w:val="Refdenotaalpie"/>
        </w:rPr>
        <w:footnoteReference w:id="108"/>
      </w:r>
      <w:r w:rsidR="000632F9" w:rsidRPr="006463A5">
        <w:t>.</w:t>
      </w:r>
    </w:p>
    <w:p w14:paraId="119528C8" w14:textId="77777777" w:rsidR="00F91A68" w:rsidRPr="006463A5" w:rsidRDefault="00F91A68" w:rsidP="00D753D0">
      <w:pPr>
        <w:pStyle w:val="PrrafodeSentencia"/>
        <w:numPr>
          <w:ilvl w:val="0"/>
          <w:numId w:val="0"/>
        </w:numPr>
      </w:pPr>
    </w:p>
    <w:p w14:paraId="537A7780" w14:textId="5C9A71E8" w:rsidR="00F91A68" w:rsidRPr="006463A5" w:rsidRDefault="00F91A68" w:rsidP="00D753D0">
      <w:pPr>
        <w:pStyle w:val="PrrafodeSentencia"/>
      </w:pPr>
      <w:r w:rsidRPr="006463A5">
        <w:t xml:space="preserve">La Corte ha considerado que cualquier </w:t>
      </w:r>
      <w:r w:rsidRPr="006463A5">
        <w:rPr>
          <w:lang w:val="es-CR"/>
        </w:rPr>
        <w:t xml:space="preserve">órgano administrativo o judicial </w:t>
      </w:r>
      <w:r w:rsidRPr="006463A5">
        <w:t xml:space="preserve">que deba decidir acerca de la separación familiar por expulsión motivada por la condición migratoria de uno o ambos progenitores debe, al emplear el análisis de ponderación, contemplar las circunstancias </w:t>
      </w:r>
      <w:r w:rsidRPr="006463A5">
        <w:rPr>
          <w:lang w:val="es-CR"/>
        </w:rPr>
        <w:t>particulares del caso concreto</w:t>
      </w:r>
      <w:r w:rsidRPr="006463A5">
        <w:t xml:space="preserve"> y garantizar, del mismo modo, una decisión individual, de acuerdo a los parámetros </w:t>
      </w:r>
      <w:r w:rsidR="00440D37" w:rsidRPr="006463A5">
        <w:t>previamente señalados</w:t>
      </w:r>
      <w:r w:rsidRPr="006463A5">
        <w:t>, evaluando y determinando el interés superior de la niña o del niño</w:t>
      </w:r>
      <w:r w:rsidR="00440D37" w:rsidRPr="006463A5">
        <w:rPr>
          <w:rStyle w:val="Refdenotaalpie"/>
        </w:rPr>
        <w:footnoteReference w:id="109"/>
      </w:r>
      <w:r w:rsidRPr="006463A5">
        <w:t>.</w:t>
      </w:r>
      <w:r w:rsidR="00440D37" w:rsidRPr="006463A5">
        <w:t xml:space="preserve"> </w:t>
      </w:r>
      <w:r w:rsidRPr="006463A5">
        <w:t xml:space="preserve">En esta línea, la Corte </w:t>
      </w:r>
      <w:r w:rsidR="00440D37" w:rsidRPr="006463A5">
        <w:t>ha estimado</w:t>
      </w:r>
      <w:r w:rsidRPr="006463A5">
        <w:t xml:space="preserve"> esencial que, al realizar tal evaluación, </w:t>
      </w:r>
      <w:r w:rsidRPr="006463A5">
        <w:lastRenderedPageBreak/>
        <w:t>los Estados aseguren e</w:t>
      </w:r>
      <w:r w:rsidRPr="006463A5">
        <w:rPr>
          <w:lang w:val="es-CR"/>
        </w:rPr>
        <w:t>l derecho de las niñas y niños de tener la oportunidad de ser oídos en función de su edad y madurez y que su opinión sea debidamente tenida en cuenta en aquellos procedimientos administrativos</w:t>
      </w:r>
      <w:r w:rsidRPr="006463A5">
        <w:t xml:space="preserve"> o </w:t>
      </w:r>
      <w:r w:rsidRPr="006463A5">
        <w:rPr>
          <w:lang w:val="es-CR"/>
        </w:rPr>
        <w:t xml:space="preserve">judiciales </w:t>
      </w:r>
      <w:r w:rsidRPr="006463A5">
        <w:t>en los cuales se pueda adoptar una decisión que implique la expulsión</w:t>
      </w:r>
      <w:r w:rsidRPr="006463A5">
        <w:rPr>
          <w:lang w:val="es-CR"/>
        </w:rPr>
        <w:t xml:space="preserve"> de sus progenitores. </w:t>
      </w:r>
      <w:r w:rsidRPr="006463A5">
        <w:t>En el caso en que la niña o el niño es nacional del país receptor, pero uno o ninguno de sus padres lo es, escuchar a la niña o al niño es necesario para entender el impacto que una medida de expulsión del progenitor podría generar sobre la misma o el mismo. A su vez, otorgarle a la niña o al niño el derecho a ser oído es fundamental para determinar si hay una alternativa más apropiada a su interés superior</w:t>
      </w:r>
      <w:r w:rsidR="00FB6AB5" w:rsidRPr="006463A5">
        <w:rPr>
          <w:rStyle w:val="Refdenotaalpie"/>
        </w:rPr>
        <w:footnoteReference w:id="110"/>
      </w:r>
      <w:r w:rsidRPr="006463A5">
        <w:t>.</w:t>
      </w:r>
    </w:p>
    <w:p w14:paraId="3EF2198A" w14:textId="77777777" w:rsidR="000632F9" w:rsidRDefault="000632F9" w:rsidP="00D753D0">
      <w:pPr>
        <w:pStyle w:val="PrrafodeSentencia"/>
        <w:numPr>
          <w:ilvl w:val="0"/>
          <w:numId w:val="0"/>
        </w:numPr>
      </w:pPr>
    </w:p>
    <w:p w14:paraId="3BE47DC5" w14:textId="06000B32" w:rsidR="00055927" w:rsidRPr="00534F1A" w:rsidRDefault="00055927" w:rsidP="00055927">
      <w:pPr>
        <w:pStyle w:val="Ttulo4"/>
      </w:pPr>
      <w:r w:rsidRPr="00C21941">
        <w:t>A.</w:t>
      </w:r>
      <w:r w:rsidR="000A210E">
        <w:t>2</w:t>
      </w:r>
      <w:r w:rsidRPr="00C21941">
        <w:t>.4. Análisis del caso concreto</w:t>
      </w:r>
    </w:p>
    <w:p w14:paraId="12A57EA3" w14:textId="77777777" w:rsidR="00350692" w:rsidRDefault="00350692" w:rsidP="00D753D0">
      <w:pPr>
        <w:pStyle w:val="PrrafodeSentencia"/>
        <w:numPr>
          <w:ilvl w:val="0"/>
          <w:numId w:val="0"/>
        </w:numPr>
        <w:rPr>
          <w:lang w:eastAsia="es-CR"/>
        </w:rPr>
      </w:pPr>
    </w:p>
    <w:p w14:paraId="247A1DEC" w14:textId="7EC8FA6D" w:rsidR="00A735DB" w:rsidRPr="00684FFA" w:rsidRDefault="00DD3122" w:rsidP="00D753D0">
      <w:pPr>
        <w:pStyle w:val="PrrafodeSentencia"/>
        <w:rPr>
          <w:lang w:eastAsia="es-CR"/>
        </w:rPr>
      </w:pPr>
      <w:r w:rsidRPr="00684FFA">
        <w:rPr>
          <w:lang w:eastAsia="es-CR"/>
        </w:rPr>
        <w:t>En primer lugar, l</w:t>
      </w:r>
      <w:r w:rsidR="00661389" w:rsidRPr="00684FFA">
        <w:rPr>
          <w:lang w:eastAsia="es-CR"/>
        </w:rPr>
        <w:t xml:space="preserve">a Corte </w:t>
      </w:r>
      <w:r w:rsidR="009D5EB4" w:rsidRPr="00684FFA">
        <w:rPr>
          <w:lang w:eastAsia="es-CR"/>
        </w:rPr>
        <w:t>recuerda</w:t>
      </w:r>
      <w:r w:rsidR="00661389" w:rsidRPr="00684FFA">
        <w:rPr>
          <w:lang w:eastAsia="es-CR"/>
        </w:rPr>
        <w:t xml:space="preserve"> que la señora Habbal </w:t>
      </w:r>
      <w:r w:rsidR="00EB54EA" w:rsidRPr="00684FFA">
        <w:rPr>
          <w:lang w:eastAsia="es-CR"/>
        </w:rPr>
        <w:t xml:space="preserve">obtuvo la nacionalidad argentina </w:t>
      </w:r>
      <w:r w:rsidR="001D6F02" w:rsidRPr="00684FFA">
        <w:rPr>
          <w:lang w:eastAsia="es-CR"/>
        </w:rPr>
        <w:t xml:space="preserve">el </w:t>
      </w:r>
      <w:r w:rsidR="007A1868" w:rsidRPr="00684FFA">
        <w:rPr>
          <w:lang w:eastAsia="es-CR"/>
        </w:rPr>
        <w:t>4</w:t>
      </w:r>
      <w:r w:rsidR="001D6F02" w:rsidRPr="00684FFA">
        <w:rPr>
          <w:lang w:eastAsia="es-CR"/>
        </w:rPr>
        <w:t xml:space="preserve"> de abril de 1992</w:t>
      </w:r>
      <w:r w:rsidR="007A1868" w:rsidRPr="00684FFA">
        <w:rPr>
          <w:lang w:eastAsia="es-CR"/>
        </w:rPr>
        <w:t xml:space="preserve">, mediante la </w:t>
      </w:r>
      <w:r w:rsidR="00EF40D5" w:rsidRPr="00684FFA">
        <w:rPr>
          <w:lang w:eastAsia="es-CR"/>
        </w:rPr>
        <w:t>resolución del Juez Federal</w:t>
      </w:r>
      <w:r w:rsidR="00B15BCD" w:rsidRPr="00684FFA">
        <w:rPr>
          <w:lang w:eastAsia="es-CR"/>
        </w:rPr>
        <w:t xml:space="preserve">. </w:t>
      </w:r>
      <w:r w:rsidR="00280621" w:rsidRPr="00684FFA">
        <w:rPr>
          <w:lang w:eastAsia="es-CR"/>
        </w:rPr>
        <w:t>Asimismo, que l</w:t>
      </w:r>
      <w:r w:rsidR="00B15BCD" w:rsidRPr="00684FFA">
        <w:rPr>
          <w:lang w:eastAsia="es-CR"/>
        </w:rPr>
        <w:t>a</w:t>
      </w:r>
      <w:r w:rsidR="001E16C5" w:rsidRPr="00684FFA">
        <w:rPr>
          <w:lang w:eastAsia="es-CR"/>
        </w:rPr>
        <w:t xml:space="preserve"> Dirección Nacional de </w:t>
      </w:r>
      <w:r w:rsidR="00EF40D5" w:rsidRPr="00684FFA">
        <w:rPr>
          <w:lang w:eastAsia="es-CR"/>
        </w:rPr>
        <w:t xml:space="preserve">Población y </w:t>
      </w:r>
      <w:r w:rsidR="001E16C5" w:rsidRPr="00684FFA">
        <w:rPr>
          <w:lang w:eastAsia="es-CR"/>
        </w:rPr>
        <w:t>Migraciones</w:t>
      </w:r>
      <w:r w:rsidR="00C93068" w:rsidRPr="00684FFA">
        <w:rPr>
          <w:lang w:eastAsia="es-CR"/>
        </w:rPr>
        <w:t xml:space="preserve"> </w:t>
      </w:r>
      <w:r w:rsidR="001E16C5" w:rsidRPr="00684FFA">
        <w:rPr>
          <w:lang w:eastAsia="es-CR"/>
        </w:rPr>
        <w:t xml:space="preserve">ordenó la expulsión de la señora Habbal </w:t>
      </w:r>
      <w:r w:rsidR="00025ADF" w:rsidRPr="00684FFA">
        <w:rPr>
          <w:lang w:eastAsia="es-CR"/>
        </w:rPr>
        <w:t xml:space="preserve">el 11 de mayo de 1992, </w:t>
      </w:r>
      <w:r w:rsidR="001E16C5" w:rsidRPr="00684FFA">
        <w:rPr>
          <w:lang w:eastAsia="es-CR"/>
        </w:rPr>
        <w:t xml:space="preserve">cuando esta ya </w:t>
      </w:r>
      <w:r w:rsidR="00701624" w:rsidRPr="00684FFA">
        <w:rPr>
          <w:lang w:eastAsia="es-CR"/>
        </w:rPr>
        <w:t>tenía</w:t>
      </w:r>
      <w:r w:rsidR="001E16C5" w:rsidRPr="00684FFA">
        <w:rPr>
          <w:lang w:eastAsia="es-CR"/>
        </w:rPr>
        <w:t xml:space="preserve"> </w:t>
      </w:r>
      <w:r w:rsidR="00701624" w:rsidRPr="00684FFA">
        <w:rPr>
          <w:lang w:eastAsia="es-CR"/>
        </w:rPr>
        <w:t>la</w:t>
      </w:r>
      <w:r w:rsidR="001E16C5" w:rsidRPr="00684FFA">
        <w:rPr>
          <w:lang w:eastAsia="es-CR"/>
        </w:rPr>
        <w:t xml:space="preserve"> nacional</w:t>
      </w:r>
      <w:r w:rsidR="00701624" w:rsidRPr="00684FFA">
        <w:rPr>
          <w:lang w:eastAsia="es-CR"/>
        </w:rPr>
        <w:t>idad</w:t>
      </w:r>
      <w:r w:rsidR="001E16C5" w:rsidRPr="00684FFA">
        <w:rPr>
          <w:lang w:eastAsia="es-CR"/>
        </w:rPr>
        <w:t xml:space="preserve"> argentina</w:t>
      </w:r>
      <w:r w:rsidR="00512A98" w:rsidRPr="00684FFA">
        <w:rPr>
          <w:lang w:eastAsia="es-CR"/>
        </w:rPr>
        <w:t xml:space="preserve">, y previo a que se declarara la </w:t>
      </w:r>
      <w:r w:rsidR="006C7B6F" w:rsidRPr="00684FFA">
        <w:rPr>
          <w:lang w:eastAsia="es-CR"/>
        </w:rPr>
        <w:t>cancelación de dicha ciudadanía</w:t>
      </w:r>
      <w:r w:rsidR="001E16C5" w:rsidRPr="00684FFA">
        <w:rPr>
          <w:lang w:eastAsia="es-CR"/>
        </w:rPr>
        <w:t xml:space="preserve">. </w:t>
      </w:r>
      <w:r w:rsidR="00085E6F" w:rsidRPr="00684FFA">
        <w:rPr>
          <w:lang w:eastAsia="es-CR"/>
        </w:rPr>
        <w:t>Al respecto, el Tribunal advierte que el artículo 22.5 de la Convención Americana prohibe la expulsión de las personas del territorio del que son nacionales en los siguientes términos “nadie puede ser expulsado del territorio del cual es nacional”.</w:t>
      </w:r>
      <w:r w:rsidR="003103CD" w:rsidRPr="00684FFA">
        <w:rPr>
          <w:lang w:eastAsia="es-CR"/>
        </w:rPr>
        <w:t xml:space="preserve"> Adicionalmente</w:t>
      </w:r>
      <w:r w:rsidR="00D22A01" w:rsidRPr="00684FFA">
        <w:rPr>
          <w:lang w:eastAsia="es-CR"/>
        </w:rPr>
        <w:t>,</w:t>
      </w:r>
      <w:r w:rsidR="00C276C5" w:rsidRPr="00684FFA">
        <w:rPr>
          <w:lang w:eastAsia="es-CR"/>
        </w:rPr>
        <w:t xml:space="preserve"> </w:t>
      </w:r>
      <w:r w:rsidR="00D13B26" w:rsidRPr="00684FFA">
        <w:rPr>
          <w:lang w:eastAsia="es-CR"/>
        </w:rPr>
        <w:t xml:space="preserve">el Tribunal </w:t>
      </w:r>
      <w:r w:rsidR="00C276C5" w:rsidRPr="00684FFA">
        <w:rPr>
          <w:lang w:eastAsia="es-CR"/>
        </w:rPr>
        <w:t>recuerda que el Estado está obligado a respetar las garantías mínimas del debido proceso en procedimientos migratorios de expulsión, incluídas aquellas señaladas en el artículo 8.2 de la Convención (</w:t>
      </w:r>
      <w:r w:rsidR="00C276C5" w:rsidRPr="00684FFA">
        <w:rPr>
          <w:i/>
          <w:lang w:eastAsia="es-CR"/>
        </w:rPr>
        <w:t>supra</w:t>
      </w:r>
      <w:r w:rsidR="00610A75" w:rsidRPr="00684FFA">
        <w:rPr>
          <w:lang w:eastAsia="es-CR"/>
        </w:rPr>
        <w:t>,</w:t>
      </w:r>
      <w:r w:rsidR="00C276C5" w:rsidRPr="00684FFA">
        <w:rPr>
          <w:lang w:eastAsia="es-CR"/>
        </w:rPr>
        <w:t xml:space="preserve"> párr</w:t>
      </w:r>
      <w:r w:rsidR="009B37EE">
        <w:rPr>
          <w:lang w:eastAsia="es-CR"/>
        </w:rPr>
        <w:t>s</w:t>
      </w:r>
      <w:r w:rsidR="009B37EE" w:rsidRPr="00684FFA">
        <w:rPr>
          <w:lang w:eastAsia="es-CR"/>
        </w:rPr>
        <w:t>.</w:t>
      </w:r>
      <w:r w:rsidR="009B37EE">
        <w:rPr>
          <w:lang w:eastAsia="es-CR"/>
        </w:rPr>
        <w:t xml:space="preserve"> 58 a 60</w:t>
      </w:r>
      <w:r w:rsidR="009B37EE" w:rsidRPr="00684FFA">
        <w:rPr>
          <w:lang w:eastAsia="es-CR"/>
        </w:rPr>
        <w:t xml:space="preserve">). </w:t>
      </w:r>
      <w:r w:rsidR="00C276C5" w:rsidRPr="00684FFA">
        <w:rPr>
          <w:lang w:eastAsia="es-CR"/>
        </w:rPr>
        <w:t>En ese sentido,</w:t>
      </w:r>
      <w:r w:rsidR="0094643D" w:rsidRPr="00684FFA">
        <w:rPr>
          <w:lang w:eastAsia="es-CR"/>
        </w:rPr>
        <w:t xml:space="preserve"> la Corte </w:t>
      </w:r>
      <w:r w:rsidR="003103CD" w:rsidRPr="00684FFA">
        <w:rPr>
          <w:lang w:eastAsia="es-CR"/>
        </w:rPr>
        <w:t>advierte</w:t>
      </w:r>
      <w:r w:rsidR="0094643D" w:rsidRPr="00684FFA">
        <w:rPr>
          <w:lang w:eastAsia="es-CR"/>
        </w:rPr>
        <w:t xml:space="preserve"> que la Resolución 1088 se </w:t>
      </w:r>
      <w:r w:rsidR="00091555">
        <w:rPr>
          <w:lang w:eastAsia="es-CR"/>
        </w:rPr>
        <w:t>dictó</w:t>
      </w:r>
      <w:r w:rsidR="00091555" w:rsidRPr="00684FFA">
        <w:rPr>
          <w:lang w:eastAsia="es-CR"/>
        </w:rPr>
        <w:t xml:space="preserve"> </w:t>
      </w:r>
      <w:r w:rsidR="0094643D" w:rsidRPr="00684FFA">
        <w:rPr>
          <w:lang w:eastAsia="es-CR"/>
        </w:rPr>
        <w:t>de oficio,</w:t>
      </w:r>
      <w:r w:rsidR="00B23182" w:rsidRPr="00684FFA">
        <w:rPr>
          <w:lang w:eastAsia="es-CR"/>
        </w:rPr>
        <w:t xml:space="preserve"> y</w:t>
      </w:r>
      <w:r w:rsidR="0094643D" w:rsidRPr="00684FFA">
        <w:rPr>
          <w:lang w:eastAsia="es-CR"/>
        </w:rPr>
        <w:t xml:space="preserve"> sin que </w:t>
      </w:r>
      <w:r w:rsidR="00343DFA" w:rsidRPr="00684FFA">
        <w:rPr>
          <w:lang w:eastAsia="es-CR"/>
        </w:rPr>
        <w:t>fuera notificada a la señora Habbal</w:t>
      </w:r>
      <w:r w:rsidR="00733256" w:rsidRPr="00684FFA">
        <w:rPr>
          <w:lang w:eastAsia="es-CR"/>
        </w:rPr>
        <w:t xml:space="preserve"> en ningún momento del procedimiento</w:t>
      </w:r>
      <w:r w:rsidR="00B23182" w:rsidRPr="00684FFA">
        <w:rPr>
          <w:lang w:eastAsia="es-CR"/>
        </w:rPr>
        <w:t xml:space="preserve"> que se seguía</w:t>
      </w:r>
      <w:r w:rsidR="00733256" w:rsidRPr="00684FFA">
        <w:rPr>
          <w:lang w:eastAsia="es-CR"/>
        </w:rPr>
        <w:t xml:space="preserve"> ante la Dirección Nacional de Migraciones. Esta ausencia de notificación</w:t>
      </w:r>
      <w:r w:rsidR="00303075" w:rsidRPr="00684FFA">
        <w:rPr>
          <w:lang w:eastAsia="es-CR"/>
        </w:rPr>
        <w:t xml:space="preserve"> </w:t>
      </w:r>
      <w:r w:rsidR="00343DFA" w:rsidRPr="00684FFA">
        <w:rPr>
          <w:lang w:eastAsia="es-CR"/>
        </w:rPr>
        <w:t xml:space="preserve">impidió que </w:t>
      </w:r>
      <w:r w:rsidR="00AF662C" w:rsidRPr="00684FFA">
        <w:rPr>
          <w:lang w:eastAsia="es-CR"/>
        </w:rPr>
        <w:t>la presunta víctima tuviera conocimiento sobre la</w:t>
      </w:r>
      <w:r w:rsidR="0094643D" w:rsidRPr="00684FFA">
        <w:rPr>
          <w:lang w:eastAsia="es-CR"/>
        </w:rPr>
        <w:t xml:space="preserve"> existencia de un procedimiento de expulsión</w:t>
      </w:r>
      <w:r w:rsidR="00343DFA" w:rsidRPr="00684FFA">
        <w:rPr>
          <w:lang w:eastAsia="es-CR"/>
        </w:rPr>
        <w:t xml:space="preserve"> en su contra</w:t>
      </w:r>
      <w:r w:rsidR="0094643D" w:rsidRPr="00684FFA">
        <w:rPr>
          <w:lang w:eastAsia="es-CR"/>
        </w:rPr>
        <w:t>, las razones sobre las cuales se sustentaba dicho procedimiento</w:t>
      </w:r>
      <w:r w:rsidR="00AF662C" w:rsidRPr="00684FFA">
        <w:rPr>
          <w:lang w:eastAsia="es-CR"/>
        </w:rPr>
        <w:t>,</w:t>
      </w:r>
      <w:r w:rsidR="003D28F0" w:rsidRPr="00684FFA">
        <w:rPr>
          <w:lang w:eastAsia="es-CR"/>
        </w:rPr>
        <w:t xml:space="preserve"> </w:t>
      </w:r>
      <w:r w:rsidR="00DF1ADC" w:rsidRPr="00684FFA">
        <w:rPr>
          <w:lang w:eastAsia="es-CR"/>
        </w:rPr>
        <w:t>que pudiera</w:t>
      </w:r>
      <w:r w:rsidR="008E2C21" w:rsidRPr="00684FFA">
        <w:rPr>
          <w:lang w:eastAsia="es-CR"/>
        </w:rPr>
        <w:t xml:space="preserve"> recibir asistencia legal</w:t>
      </w:r>
      <w:r w:rsidR="00DF1ADC" w:rsidRPr="00684FFA">
        <w:rPr>
          <w:lang w:eastAsia="es-CR"/>
        </w:rPr>
        <w:t>,</w:t>
      </w:r>
      <w:r w:rsidR="00DC4718" w:rsidRPr="00684FFA">
        <w:rPr>
          <w:lang w:eastAsia="es-CR"/>
        </w:rPr>
        <w:t xml:space="preserve"> que</w:t>
      </w:r>
      <w:r w:rsidR="00EA3249" w:rsidRPr="00684FFA">
        <w:rPr>
          <w:lang w:eastAsia="es-CR"/>
        </w:rPr>
        <w:t xml:space="preserve"> </w:t>
      </w:r>
      <w:r w:rsidR="00AF662C" w:rsidRPr="00684FFA">
        <w:rPr>
          <w:lang w:eastAsia="es-CR"/>
        </w:rPr>
        <w:t>fuera</w:t>
      </w:r>
      <w:r w:rsidR="00EA3249" w:rsidRPr="00684FFA">
        <w:rPr>
          <w:lang w:eastAsia="es-CR"/>
        </w:rPr>
        <w:t xml:space="preserve"> oída durante el proceso</w:t>
      </w:r>
      <w:r w:rsidR="00DB2222" w:rsidRPr="00684FFA">
        <w:rPr>
          <w:lang w:eastAsia="es-CR"/>
        </w:rPr>
        <w:t>, y que sometiera su caso a revisión ante una autoridad competente</w:t>
      </w:r>
      <w:r w:rsidR="00D161A3" w:rsidRPr="00684FFA">
        <w:rPr>
          <w:lang w:eastAsia="es-CR"/>
        </w:rPr>
        <w:t>.</w:t>
      </w:r>
    </w:p>
    <w:p w14:paraId="088C9BF7" w14:textId="77777777" w:rsidR="00FE418F" w:rsidRPr="008704DE" w:rsidRDefault="00FE418F" w:rsidP="00792F0B">
      <w:pPr>
        <w:rPr>
          <w:highlight w:val="yellow"/>
          <w:lang w:eastAsia="es-CR"/>
        </w:rPr>
      </w:pPr>
    </w:p>
    <w:p w14:paraId="7025F982" w14:textId="001BF355" w:rsidR="00D4394C" w:rsidRPr="00684FFA" w:rsidRDefault="00ED29A3" w:rsidP="00D753D0">
      <w:pPr>
        <w:pStyle w:val="PrrafodeSentencia"/>
        <w:rPr>
          <w:lang w:eastAsia="es-CR"/>
        </w:rPr>
      </w:pPr>
      <w:r w:rsidRPr="00684FFA">
        <w:rPr>
          <w:lang w:eastAsia="es-CR"/>
        </w:rPr>
        <w:t xml:space="preserve">En segundo lugar, la Corte constata que Monnawar Al Kassar, Hifaa Al Kassar y Natasha Al Kassar eran niñas al </w:t>
      </w:r>
      <w:r w:rsidR="00A16A04" w:rsidRPr="00684FFA">
        <w:rPr>
          <w:lang w:eastAsia="es-CR"/>
        </w:rPr>
        <w:t xml:space="preserve">momento en que se ordenó su expulsión, </w:t>
      </w:r>
      <w:r w:rsidR="002C48CA" w:rsidRPr="00684FFA">
        <w:rPr>
          <w:lang w:eastAsia="es-CR"/>
        </w:rPr>
        <w:t>y que</w:t>
      </w:r>
      <w:r w:rsidR="00C331E9" w:rsidRPr="00684FFA">
        <w:rPr>
          <w:lang w:eastAsia="es-CR"/>
        </w:rPr>
        <w:t xml:space="preserve"> no tenían</w:t>
      </w:r>
      <w:r w:rsidR="002C48CA" w:rsidRPr="00684FFA">
        <w:rPr>
          <w:lang w:eastAsia="es-CR"/>
        </w:rPr>
        <w:t xml:space="preserve"> la condición de </w:t>
      </w:r>
      <w:r w:rsidR="00C331E9" w:rsidRPr="00684FFA">
        <w:rPr>
          <w:lang w:eastAsia="es-CR"/>
        </w:rPr>
        <w:t>ciudadanas</w:t>
      </w:r>
      <w:r w:rsidR="002C48CA" w:rsidRPr="00684FFA">
        <w:rPr>
          <w:lang w:eastAsia="es-CR"/>
        </w:rPr>
        <w:t xml:space="preserve"> en territorio argentino</w:t>
      </w:r>
      <w:r w:rsidR="008E5773" w:rsidRPr="00684FFA">
        <w:rPr>
          <w:lang w:eastAsia="es-CR"/>
        </w:rPr>
        <w:t xml:space="preserve"> -a diferencia de la señora Habbal-</w:t>
      </w:r>
      <w:r w:rsidR="00610A75" w:rsidRPr="00684FFA">
        <w:rPr>
          <w:lang w:eastAsia="es-CR"/>
        </w:rPr>
        <w:t xml:space="preserve"> </w:t>
      </w:r>
      <w:r w:rsidR="00C331E9" w:rsidRPr="00684FFA">
        <w:rPr>
          <w:lang w:eastAsia="es-CR"/>
        </w:rPr>
        <w:t>por lo que eran residentes</w:t>
      </w:r>
      <w:r w:rsidR="002C48CA" w:rsidRPr="00684FFA">
        <w:rPr>
          <w:lang w:eastAsia="es-CR"/>
        </w:rPr>
        <w:t xml:space="preserve">. </w:t>
      </w:r>
      <w:r w:rsidR="00255E44" w:rsidRPr="00684FFA">
        <w:rPr>
          <w:lang w:eastAsia="es-CR"/>
        </w:rPr>
        <w:t>En este sentido, el Tribunal recuerda que</w:t>
      </w:r>
      <w:r w:rsidR="00991512" w:rsidRPr="00684FFA">
        <w:rPr>
          <w:lang w:eastAsia="es-CR"/>
        </w:rPr>
        <w:t xml:space="preserve"> el artículo 22.6 de la Convención prevé que </w:t>
      </w:r>
      <w:r w:rsidR="0042712B" w:rsidRPr="00684FFA">
        <w:rPr>
          <w:lang w:eastAsia="es-CR"/>
        </w:rPr>
        <w:t>“el extranjero que se halle legalmente en el territorio de un Est</w:t>
      </w:r>
      <w:r w:rsidR="00AA1FF1" w:rsidRPr="00684FFA">
        <w:rPr>
          <w:lang w:eastAsia="es-CR"/>
        </w:rPr>
        <w:t xml:space="preserve">ado parte en la presente Convención sólo podrá ser expulsado en el cumplimiento de una decisión adoptada conforme a la ley”. </w:t>
      </w:r>
      <w:r w:rsidR="00AE45AE" w:rsidRPr="00684FFA">
        <w:rPr>
          <w:lang w:eastAsia="es-CR"/>
        </w:rPr>
        <w:t>Al respecto</w:t>
      </w:r>
      <w:r w:rsidR="00084D36" w:rsidRPr="00684FFA">
        <w:rPr>
          <w:lang w:eastAsia="es-CR"/>
        </w:rPr>
        <w:t xml:space="preserve">, tal como se mencionó anteriormente, </w:t>
      </w:r>
      <w:r w:rsidR="00DB5E19" w:rsidRPr="00684FFA">
        <w:rPr>
          <w:lang w:eastAsia="es-CR"/>
        </w:rPr>
        <w:t xml:space="preserve">si bien </w:t>
      </w:r>
      <w:r w:rsidR="00084D36" w:rsidRPr="00684FFA">
        <w:rPr>
          <w:lang w:eastAsia="es-CR"/>
        </w:rPr>
        <w:t>los</w:t>
      </w:r>
      <w:r w:rsidR="00E232DB" w:rsidRPr="00684FFA">
        <w:rPr>
          <w:lang w:eastAsia="es-CR"/>
        </w:rPr>
        <w:t xml:space="preserve"> Estados pueden establecer l</w:t>
      </w:r>
      <w:r w:rsidR="00430850" w:rsidRPr="00684FFA">
        <w:rPr>
          <w:lang w:eastAsia="es-CR"/>
        </w:rPr>
        <w:t>as políticas migratorias, los</w:t>
      </w:r>
      <w:r w:rsidR="00084D36" w:rsidRPr="00684FFA">
        <w:rPr>
          <w:lang w:eastAsia="es-CR"/>
        </w:rPr>
        <w:t xml:space="preserve"> p</w:t>
      </w:r>
      <w:r w:rsidR="00041E2A" w:rsidRPr="00684FFA">
        <w:rPr>
          <w:lang w:eastAsia="es-CR"/>
        </w:rPr>
        <w:t>rocedimientos migratorios de expulsión</w:t>
      </w:r>
      <w:r w:rsidR="003B77C5" w:rsidRPr="00684FFA">
        <w:rPr>
          <w:lang w:eastAsia="es-CR"/>
        </w:rPr>
        <w:t>, como en el que se encontraban las presuntas víctimas antes mencionadas,</w:t>
      </w:r>
      <w:r w:rsidR="00041E2A" w:rsidRPr="00684FFA">
        <w:rPr>
          <w:lang w:eastAsia="es-CR"/>
        </w:rPr>
        <w:t xml:space="preserve"> deben respetar las garantías mínimas del debido proceso</w:t>
      </w:r>
      <w:r w:rsidR="00A16B9D" w:rsidRPr="00684FFA">
        <w:rPr>
          <w:lang w:eastAsia="es-CR"/>
        </w:rPr>
        <w:t xml:space="preserve"> (</w:t>
      </w:r>
      <w:r w:rsidR="00A16B9D" w:rsidRPr="00684FFA">
        <w:rPr>
          <w:i/>
          <w:lang w:eastAsia="es-CR"/>
        </w:rPr>
        <w:t>supra</w:t>
      </w:r>
      <w:r w:rsidR="000B0B33" w:rsidRPr="00684FFA">
        <w:rPr>
          <w:i/>
          <w:lang w:eastAsia="es-CR"/>
        </w:rPr>
        <w:t>,</w:t>
      </w:r>
      <w:r w:rsidR="00A16B9D" w:rsidRPr="00684FFA">
        <w:rPr>
          <w:lang w:eastAsia="es-CR"/>
        </w:rPr>
        <w:t xml:space="preserve"> párr</w:t>
      </w:r>
      <w:r w:rsidR="00315D92">
        <w:rPr>
          <w:lang w:eastAsia="es-CR"/>
        </w:rPr>
        <w:t>s</w:t>
      </w:r>
      <w:r w:rsidR="00A16B9D" w:rsidRPr="00684FFA">
        <w:rPr>
          <w:lang w:eastAsia="es-CR"/>
        </w:rPr>
        <w:t>.</w:t>
      </w:r>
      <w:r w:rsidR="00315D92">
        <w:rPr>
          <w:lang w:eastAsia="es-CR"/>
        </w:rPr>
        <w:t xml:space="preserve"> 58 a 60</w:t>
      </w:r>
      <w:r w:rsidR="00A16B9D" w:rsidRPr="00684FFA">
        <w:rPr>
          <w:lang w:eastAsia="es-CR"/>
        </w:rPr>
        <w:t>)</w:t>
      </w:r>
      <w:r w:rsidR="001C3FEE" w:rsidRPr="00684FFA">
        <w:rPr>
          <w:lang w:eastAsia="es-CR"/>
        </w:rPr>
        <w:t xml:space="preserve">, tomando en consideración las condiciones especiales en que se encuentran las niñas y niños </w:t>
      </w:r>
      <w:r w:rsidR="001A1512" w:rsidRPr="00684FFA">
        <w:rPr>
          <w:lang w:eastAsia="es-CR"/>
        </w:rPr>
        <w:t>(</w:t>
      </w:r>
      <w:r w:rsidR="001A1512" w:rsidRPr="00684FFA">
        <w:rPr>
          <w:i/>
          <w:lang w:eastAsia="es-CR"/>
        </w:rPr>
        <w:t>supra</w:t>
      </w:r>
      <w:r w:rsidR="000B0B33" w:rsidRPr="00684FFA">
        <w:rPr>
          <w:i/>
          <w:lang w:eastAsia="es-CR"/>
        </w:rPr>
        <w:t>,</w:t>
      </w:r>
      <w:r w:rsidR="001A1512" w:rsidRPr="00684FFA">
        <w:rPr>
          <w:lang w:eastAsia="es-CR"/>
        </w:rPr>
        <w:t xml:space="preserve"> párr</w:t>
      </w:r>
      <w:r w:rsidR="00315D92">
        <w:rPr>
          <w:lang w:eastAsia="es-CR"/>
        </w:rPr>
        <w:t>s</w:t>
      </w:r>
      <w:r w:rsidR="001A1512" w:rsidRPr="00684FFA">
        <w:rPr>
          <w:lang w:eastAsia="es-CR"/>
        </w:rPr>
        <w:t>.</w:t>
      </w:r>
      <w:r w:rsidR="00315D92">
        <w:rPr>
          <w:lang w:eastAsia="es-CR"/>
        </w:rPr>
        <w:t xml:space="preserve"> 65 a 72</w:t>
      </w:r>
      <w:r w:rsidR="001A1512" w:rsidRPr="00684FFA">
        <w:rPr>
          <w:lang w:eastAsia="es-CR"/>
        </w:rPr>
        <w:t>)</w:t>
      </w:r>
      <w:r w:rsidR="00041E2A" w:rsidRPr="00684FFA">
        <w:rPr>
          <w:lang w:eastAsia="es-CR"/>
        </w:rPr>
        <w:t xml:space="preserve">. </w:t>
      </w:r>
    </w:p>
    <w:p w14:paraId="27ED806C" w14:textId="77777777" w:rsidR="001A1512" w:rsidRPr="008704DE" w:rsidRDefault="001A1512" w:rsidP="00792F0B">
      <w:pPr>
        <w:rPr>
          <w:highlight w:val="yellow"/>
          <w:lang w:eastAsia="es-CR"/>
        </w:rPr>
      </w:pPr>
    </w:p>
    <w:p w14:paraId="1D4F7C8F" w14:textId="0C337BF8" w:rsidR="00B003B7" w:rsidRPr="00684FFA" w:rsidRDefault="00C04AFB" w:rsidP="00D753D0">
      <w:pPr>
        <w:pStyle w:val="PrrafodeSentencia"/>
        <w:rPr>
          <w:lang w:eastAsia="es-CR"/>
        </w:rPr>
      </w:pPr>
      <w:r w:rsidRPr="00684FFA">
        <w:rPr>
          <w:lang w:eastAsia="es-CR"/>
        </w:rPr>
        <w:t xml:space="preserve">En el presente caso, la Corte </w:t>
      </w:r>
      <w:r w:rsidR="00DD3122" w:rsidRPr="00684FFA">
        <w:rPr>
          <w:lang w:eastAsia="es-CR"/>
        </w:rPr>
        <w:t>advierte</w:t>
      </w:r>
      <w:r w:rsidRPr="00684FFA">
        <w:rPr>
          <w:lang w:eastAsia="es-CR"/>
        </w:rPr>
        <w:t xml:space="preserve"> que</w:t>
      </w:r>
      <w:r w:rsidR="00D3322E" w:rsidRPr="00684FFA">
        <w:rPr>
          <w:lang w:eastAsia="es-CR"/>
        </w:rPr>
        <w:t xml:space="preserve">, tal como sucedió con respecto a la señora Habbal, la falta de notificación </w:t>
      </w:r>
      <w:r w:rsidR="00342A29" w:rsidRPr="00684FFA">
        <w:rPr>
          <w:lang w:eastAsia="es-CR"/>
        </w:rPr>
        <w:t>del procedimiento de expulsión seguido en contra de</w:t>
      </w:r>
      <w:r w:rsidR="002C134B" w:rsidRPr="00684FFA">
        <w:rPr>
          <w:lang w:eastAsia="es-CR"/>
        </w:rPr>
        <w:t xml:space="preserve"> </w:t>
      </w:r>
      <w:r w:rsidR="0001621B" w:rsidRPr="00684FFA">
        <w:rPr>
          <w:lang w:eastAsia="es-CR"/>
        </w:rPr>
        <w:t>Monnawar Al Kassar, Hifaa Al Kassar y Natasha Al Kassar</w:t>
      </w:r>
      <w:r w:rsidR="00342A29" w:rsidRPr="00684FFA">
        <w:rPr>
          <w:lang w:eastAsia="es-CR"/>
        </w:rPr>
        <w:t>, así como la imposi</w:t>
      </w:r>
      <w:r w:rsidR="00F11A52" w:rsidRPr="00684FFA">
        <w:rPr>
          <w:lang w:eastAsia="es-CR"/>
        </w:rPr>
        <w:t xml:space="preserve">bilidad de ser oídas en el proceso, o de recibir asistencia legal y recurrir la decisión, </w:t>
      </w:r>
      <w:r w:rsidR="00DD3122" w:rsidRPr="00684FFA">
        <w:rPr>
          <w:lang w:eastAsia="es-CR"/>
        </w:rPr>
        <w:t xml:space="preserve">les impidió tener conocimiento sobre la existencia de un procedimiento de expulsión en su contra, conocer las razones en las que se sustentaba, y ejercer su derecho a la defensa. </w:t>
      </w:r>
      <w:r w:rsidR="00B15CD6" w:rsidRPr="00684FFA">
        <w:rPr>
          <w:lang w:eastAsia="es-CR"/>
        </w:rPr>
        <w:t>Además</w:t>
      </w:r>
      <w:r w:rsidR="00F11A52" w:rsidRPr="00684FFA">
        <w:rPr>
          <w:lang w:eastAsia="es-CR"/>
        </w:rPr>
        <w:t xml:space="preserve">, el Tribunal </w:t>
      </w:r>
      <w:r w:rsidR="00B356FB" w:rsidRPr="00684FFA">
        <w:rPr>
          <w:lang w:eastAsia="es-CR"/>
        </w:rPr>
        <w:t xml:space="preserve">recuerda que el Estado tiene </w:t>
      </w:r>
      <w:r w:rsidR="00FA03FF" w:rsidRPr="00684FFA">
        <w:rPr>
          <w:lang w:eastAsia="es-CR"/>
        </w:rPr>
        <w:t>obligaciones especiales de protección de niños y niñas en procedimientos migratorios (</w:t>
      </w:r>
      <w:r w:rsidR="00FA03FF" w:rsidRPr="00684FFA">
        <w:rPr>
          <w:i/>
          <w:lang w:eastAsia="es-CR"/>
        </w:rPr>
        <w:t>supra</w:t>
      </w:r>
      <w:r w:rsidR="00EC6CEE" w:rsidRPr="00684FFA">
        <w:rPr>
          <w:lang w:eastAsia="es-CR"/>
        </w:rPr>
        <w:t>,</w:t>
      </w:r>
      <w:r w:rsidR="00FA03FF" w:rsidRPr="00684FFA">
        <w:rPr>
          <w:lang w:eastAsia="es-CR"/>
        </w:rPr>
        <w:t xml:space="preserve"> párr.</w:t>
      </w:r>
      <w:r w:rsidR="00315D92">
        <w:rPr>
          <w:lang w:eastAsia="es-CR"/>
        </w:rPr>
        <w:t xml:space="preserve"> 66</w:t>
      </w:r>
      <w:r w:rsidR="00FA03FF" w:rsidRPr="00684FFA">
        <w:rPr>
          <w:lang w:eastAsia="es-CR"/>
        </w:rPr>
        <w:t xml:space="preserve">). Por esta razón, </w:t>
      </w:r>
      <w:r w:rsidR="00E33E85" w:rsidRPr="00684FFA">
        <w:rPr>
          <w:lang w:eastAsia="es-CR"/>
        </w:rPr>
        <w:t xml:space="preserve">las omisiones estatales </w:t>
      </w:r>
      <w:r w:rsidR="00DD3122" w:rsidRPr="00684FFA">
        <w:rPr>
          <w:lang w:eastAsia="es-CR"/>
        </w:rPr>
        <w:t>impidieron</w:t>
      </w:r>
      <w:r w:rsidR="00E33E85" w:rsidRPr="00684FFA">
        <w:rPr>
          <w:lang w:eastAsia="es-CR"/>
        </w:rPr>
        <w:t xml:space="preserve"> que </w:t>
      </w:r>
      <w:r w:rsidR="0098076A" w:rsidRPr="00684FFA">
        <w:rPr>
          <w:lang w:eastAsia="es-CR"/>
        </w:rPr>
        <w:t xml:space="preserve">el </w:t>
      </w:r>
      <w:r w:rsidR="00EB5868" w:rsidRPr="00684FFA">
        <w:rPr>
          <w:lang w:eastAsia="es-CR"/>
        </w:rPr>
        <w:t>procedimiento</w:t>
      </w:r>
      <w:r w:rsidR="0098076A" w:rsidRPr="00684FFA">
        <w:rPr>
          <w:lang w:eastAsia="es-CR"/>
        </w:rPr>
        <w:t xml:space="preserve"> de expulsión fuera llevado por un funcionario especializado</w:t>
      </w:r>
      <w:r w:rsidR="00EC6CEE" w:rsidRPr="00684FFA">
        <w:rPr>
          <w:lang w:eastAsia="es-CR"/>
        </w:rPr>
        <w:t xml:space="preserve"> para casos que involucran niñas</w:t>
      </w:r>
      <w:r w:rsidR="0098076A" w:rsidRPr="00684FFA">
        <w:rPr>
          <w:lang w:eastAsia="es-CR"/>
        </w:rPr>
        <w:t xml:space="preserve">, que las </w:t>
      </w:r>
      <w:r w:rsidR="00354199" w:rsidRPr="00684FFA">
        <w:rPr>
          <w:lang w:eastAsia="es-CR"/>
        </w:rPr>
        <w:t xml:space="preserve">presuntas </w:t>
      </w:r>
      <w:r w:rsidR="00354199" w:rsidRPr="00684FFA">
        <w:rPr>
          <w:lang w:eastAsia="es-CR"/>
        </w:rPr>
        <w:lastRenderedPageBreak/>
        <w:t>víctimas</w:t>
      </w:r>
      <w:r w:rsidR="0098076A" w:rsidRPr="00684FFA">
        <w:rPr>
          <w:lang w:eastAsia="es-CR"/>
        </w:rPr>
        <w:t xml:space="preserve"> </w:t>
      </w:r>
      <w:r w:rsidR="007C2266" w:rsidRPr="00684FFA">
        <w:rPr>
          <w:lang w:eastAsia="es-CR"/>
        </w:rPr>
        <w:t>participaran en las distintas etapas procesales</w:t>
      </w:r>
      <w:r w:rsidR="00DB2222" w:rsidRPr="00684FFA">
        <w:rPr>
          <w:lang w:eastAsia="es-CR"/>
        </w:rPr>
        <w:t>, y que sometieran su caso a revisión de una autoridad competente</w:t>
      </w:r>
      <w:r w:rsidR="00B003B7" w:rsidRPr="00684FFA">
        <w:rPr>
          <w:lang w:eastAsia="es-CR"/>
        </w:rPr>
        <w:t>.</w:t>
      </w:r>
    </w:p>
    <w:p w14:paraId="1E3BD687" w14:textId="77777777" w:rsidR="00DD3122" w:rsidRPr="008704DE" w:rsidRDefault="00DD3122" w:rsidP="00D753D0">
      <w:pPr>
        <w:pStyle w:val="PrrafodeSentencia"/>
        <w:numPr>
          <w:ilvl w:val="0"/>
          <w:numId w:val="0"/>
        </w:numPr>
        <w:rPr>
          <w:highlight w:val="yellow"/>
          <w:lang w:eastAsia="es-CR"/>
        </w:rPr>
      </w:pPr>
    </w:p>
    <w:p w14:paraId="3230ED2B" w14:textId="0A00074B" w:rsidR="00A238BD" w:rsidRPr="00684FFA" w:rsidRDefault="00A238BD" w:rsidP="00D753D0">
      <w:pPr>
        <w:pStyle w:val="PrrafodeSentencia"/>
        <w:rPr>
          <w:lang w:eastAsia="es-CR"/>
        </w:rPr>
      </w:pPr>
      <w:r w:rsidRPr="00684FFA">
        <w:rPr>
          <w:lang w:val="es-CR" w:eastAsia="es-CR"/>
        </w:rPr>
        <w:t>E</w:t>
      </w:r>
      <w:r w:rsidR="00745214" w:rsidRPr="00684FFA">
        <w:rPr>
          <w:lang w:val="es-CR" w:eastAsia="es-CR"/>
        </w:rPr>
        <w:t>n este punto, el</w:t>
      </w:r>
      <w:r w:rsidRPr="00684FFA">
        <w:rPr>
          <w:lang w:val="es-CR" w:eastAsia="es-CR"/>
        </w:rPr>
        <w:t xml:space="preserve"> Tribunal considera pertinente recordar que</w:t>
      </w:r>
      <w:r w:rsidR="009641E3" w:rsidRPr="00684FFA">
        <w:rPr>
          <w:lang w:val="es-CR" w:eastAsia="es-CR"/>
        </w:rPr>
        <w:t>, particularmente en el caso de niñas y niños,</w:t>
      </w:r>
      <w:r w:rsidRPr="00684FFA">
        <w:t xml:space="preserve"> </w:t>
      </w:r>
      <w:r w:rsidR="0022685F" w:rsidRPr="00684FFA">
        <w:t xml:space="preserve">sobre la base de los artículos 8.1 y 19 de la Convención Americana, </w:t>
      </w:r>
      <w:r w:rsidRPr="00684FFA">
        <w:t>las resoluciones adoptadas en el marco de procesos migratorios deben dar cuenta de la forma en que se tuvieron en cuenta las opiniones expresadas por la niña o niño, como también, la forma en que se ha evaluado su interés superior</w:t>
      </w:r>
      <w:r w:rsidRPr="00684FFA">
        <w:rPr>
          <w:rStyle w:val="Refdenotaalpie"/>
          <w:rFonts w:eastAsia="Arial" w:cs="Arial"/>
        </w:rPr>
        <w:footnoteReference w:id="111"/>
      </w:r>
      <w:r w:rsidRPr="00684FFA">
        <w:t>. Al respecto, el Comité de los Derechos del Niño ha resaltado la íntima relación existente entre el interés superior de la niña o del niño y el derecho a ser oído, al afirmar que “no es posible una aplicación correcta del artículo 3 [(interés superior)] si no se respetan los componentes del artículo 12 [(derecho a participar y que su opinión sea tenida en cuenta)]”</w:t>
      </w:r>
      <w:r w:rsidRPr="00684FFA">
        <w:rPr>
          <w:rStyle w:val="Refdenotaalpie"/>
        </w:rPr>
        <w:footnoteReference w:id="112"/>
      </w:r>
      <w:r w:rsidRPr="00684FFA">
        <w:t>. Del mismo modo, “el artículo 3 refuerza la funcionalidad del artículo 12 al facilitar el papel esencial de los niños en todas las decisiones que afecten su vida”</w:t>
      </w:r>
      <w:r w:rsidRPr="00684FFA">
        <w:rPr>
          <w:rStyle w:val="Refdenotaalpie"/>
        </w:rPr>
        <w:footnoteReference w:id="113"/>
      </w:r>
      <w:r w:rsidRPr="00684FFA">
        <w:t>.</w:t>
      </w:r>
    </w:p>
    <w:p w14:paraId="3A65A82C" w14:textId="1D8D82FD" w:rsidR="0024572A" w:rsidRPr="008704DE" w:rsidRDefault="0024572A" w:rsidP="00D753D0">
      <w:pPr>
        <w:pStyle w:val="PrrafodeSentencia"/>
        <w:numPr>
          <w:ilvl w:val="0"/>
          <w:numId w:val="0"/>
        </w:numPr>
        <w:rPr>
          <w:highlight w:val="yellow"/>
          <w:lang w:eastAsia="es-CR"/>
        </w:rPr>
      </w:pPr>
    </w:p>
    <w:p w14:paraId="27225F69" w14:textId="6AA3FEC5" w:rsidR="002D0DC8" w:rsidRPr="00684FFA" w:rsidRDefault="00645CD5" w:rsidP="00D753D0">
      <w:pPr>
        <w:pStyle w:val="PrrafodeSentencia"/>
        <w:rPr>
          <w:lang w:eastAsia="es-CR"/>
        </w:rPr>
      </w:pPr>
      <w:r w:rsidRPr="00684FFA">
        <w:rPr>
          <w:lang w:eastAsia="es-CR"/>
        </w:rPr>
        <w:t>En ese sentido</w:t>
      </w:r>
      <w:r w:rsidR="002D0DC8" w:rsidRPr="00684FFA">
        <w:rPr>
          <w:lang w:eastAsia="es-CR"/>
        </w:rPr>
        <w:t xml:space="preserve">, este Tribunal advierte que la Resolución 1088 omitió considerar el impacto que la expulsión podría tener en </w:t>
      </w:r>
      <w:r w:rsidRPr="00684FFA">
        <w:rPr>
          <w:lang w:eastAsia="es-CR"/>
        </w:rPr>
        <w:t>Monnawar Al Kassar, Hifaa Al Kassar y Natasha Al Kassar</w:t>
      </w:r>
      <w:r w:rsidR="002D0DC8" w:rsidRPr="00684FFA">
        <w:rPr>
          <w:lang w:eastAsia="es-CR"/>
        </w:rPr>
        <w:t xml:space="preserve">, </w:t>
      </w:r>
      <w:r w:rsidRPr="00684FFA">
        <w:rPr>
          <w:lang w:eastAsia="es-CR"/>
        </w:rPr>
        <w:t xml:space="preserve">y en esa medida </w:t>
      </w:r>
      <w:r w:rsidR="00C55FB6" w:rsidRPr="00684FFA">
        <w:rPr>
          <w:lang w:eastAsia="es-CR"/>
        </w:rPr>
        <w:t>no evaluó</w:t>
      </w:r>
      <w:r w:rsidRPr="00684FFA">
        <w:rPr>
          <w:lang w:eastAsia="es-CR"/>
        </w:rPr>
        <w:t xml:space="preserve"> </w:t>
      </w:r>
      <w:r w:rsidR="00D920F5" w:rsidRPr="00684FFA">
        <w:rPr>
          <w:lang w:eastAsia="es-CR"/>
        </w:rPr>
        <w:t xml:space="preserve">el interés superior de las niñas </w:t>
      </w:r>
      <w:r w:rsidR="00C55FB6" w:rsidRPr="00684FFA">
        <w:rPr>
          <w:lang w:eastAsia="es-CR"/>
        </w:rPr>
        <w:t>ni</w:t>
      </w:r>
      <w:r w:rsidR="00D920F5" w:rsidRPr="00684FFA">
        <w:rPr>
          <w:lang w:eastAsia="es-CR"/>
        </w:rPr>
        <w:t xml:space="preserve"> </w:t>
      </w:r>
      <w:r w:rsidR="00C55FB6" w:rsidRPr="00684FFA">
        <w:rPr>
          <w:lang w:eastAsia="es-CR"/>
        </w:rPr>
        <w:t xml:space="preserve">fundamentó </w:t>
      </w:r>
      <w:r w:rsidR="00D920F5" w:rsidRPr="00684FFA">
        <w:rPr>
          <w:lang w:eastAsia="es-CR"/>
        </w:rPr>
        <w:t>adecuadamente dicha decisión</w:t>
      </w:r>
      <w:r w:rsidR="00D91A35" w:rsidRPr="00684FFA">
        <w:rPr>
          <w:lang w:eastAsia="es-CR"/>
        </w:rPr>
        <w:t xml:space="preserve"> conforme a este principio</w:t>
      </w:r>
      <w:r w:rsidR="002D0DC8" w:rsidRPr="00684FFA">
        <w:rPr>
          <w:lang w:eastAsia="es-CR"/>
        </w:rPr>
        <w:t xml:space="preserve">. </w:t>
      </w:r>
      <w:r w:rsidR="005B350B" w:rsidRPr="00684FFA">
        <w:rPr>
          <w:lang w:eastAsia="es-CR"/>
        </w:rPr>
        <w:t xml:space="preserve">Asimismo, la Corte advierte que la decisión </w:t>
      </w:r>
      <w:r w:rsidR="008214EF" w:rsidRPr="00684FFA">
        <w:rPr>
          <w:lang w:eastAsia="es-CR"/>
        </w:rPr>
        <w:t xml:space="preserve">omitió considerar </w:t>
      </w:r>
      <w:r w:rsidR="00077DED" w:rsidRPr="00684FFA">
        <w:rPr>
          <w:lang w:eastAsia="es-CR"/>
        </w:rPr>
        <w:t>las circunstancias particulares del niño</w:t>
      </w:r>
      <w:r w:rsidR="00D920F5" w:rsidRPr="00684FFA">
        <w:rPr>
          <w:lang w:eastAsia="es-CR"/>
        </w:rPr>
        <w:t xml:space="preserve"> </w:t>
      </w:r>
      <w:r w:rsidR="002D0DC8" w:rsidRPr="00684FFA">
        <w:rPr>
          <w:lang w:eastAsia="es-CR"/>
        </w:rPr>
        <w:t xml:space="preserve">Mohamed Al Kassar, </w:t>
      </w:r>
      <w:r w:rsidR="00451E91" w:rsidRPr="00684FFA">
        <w:rPr>
          <w:lang w:eastAsia="es-CR"/>
        </w:rPr>
        <w:t xml:space="preserve">hermano e hijo de las presuntas víctimas, respectivamente, </w:t>
      </w:r>
      <w:r w:rsidR="002D0DC8" w:rsidRPr="00684FFA">
        <w:rPr>
          <w:lang w:eastAsia="es-CR"/>
        </w:rPr>
        <w:t>quien en la época de los hechos tenía menos de un año de vida</w:t>
      </w:r>
      <w:r w:rsidR="006C5067" w:rsidRPr="00684FFA">
        <w:rPr>
          <w:lang w:eastAsia="es-CR"/>
        </w:rPr>
        <w:t xml:space="preserve"> y </w:t>
      </w:r>
      <w:r w:rsidR="00BB162F" w:rsidRPr="00684FFA">
        <w:rPr>
          <w:lang w:eastAsia="es-CR"/>
        </w:rPr>
        <w:t xml:space="preserve">había nacido en Argentina. Si bien la </w:t>
      </w:r>
      <w:r w:rsidR="00566E48" w:rsidRPr="00684FFA">
        <w:rPr>
          <w:lang w:eastAsia="es-CR"/>
        </w:rPr>
        <w:t xml:space="preserve">Resolución 1088 no </w:t>
      </w:r>
      <w:r w:rsidR="006447A6" w:rsidRPr="00684FFA">
        <w:rPr>
          <w:lang w:eastAsia="es-CR"/>
        </w:rPr>
        <w:t>ordenó la expulsión del</w:t>
      </w:r>
      <w:r w:rsidR="00BB162F" w:rsidRPr="00684FFA">
        <w:rPr>
          <w:lang w:eastAsia="es-CR"/>
        </w:rPr>
        <w:t xml:space="preserve"> niño Mohamed Al Kassa</w:t>
      </w:r>
      <w:r w:rsidR="00566E48" w:rsidRPr="00684FFA">
        <w:rPr>
          <w:lang w:eastAsia="es-CR"/>
        </w:rPr>
        <w:t xml:space="preserve">r, </w:t>
      </w:r>
      <w:r w:rsidR="006447A6" w:rsidRPr="00684FFA">
        <w:rPr>
          <w:lang w:eastAsia="es-CR"/>
        </w:rPr>
        <w:t>la autoridad omitió</w:t>
      </w:r>
      <w:r w:rsidR="0031396B">
        <w:rPr>
          <w:lang w:eastAsia="es-CR"/>
        </w:rPr>
        <w:t xml:space="preserve"> analizar</w:t>
      </w:r>
      <w:r w:rsidR="006447A6" w:rsidRPr="00684FFA">
        <w:rPr>
          <w:lang w:eastAsia="es-CR"/>
        </w:rPr>
        <w:t xml:space="preserve"> cómo la expulsión de su madre y sus hermanas </w:t>
      </w:r>
      <w:r w:rsidR="00204418" w:rsidRPr="00684FFA">
        <w:rPr>
          <w:lang w:eastAsia="es-CR"/>
        </w:rPr>
        <w:t>afectaría su vida familiar</w:t>
      </w:r>
      <w:r w:rsidR="001F4ED5" w:rsidRPr="00684FFA">
        <w:rPr>
          <w:lang w:eastAsia="es-CR"/>
        </w:rPr>
        <w:t xml:space="preserve">. </w:t>
      </w:r>
      <w:r w:rsidR="00673339" w:rsidRPr="00684FFA">
        <w:rPr>
          <w:lang w:eastAsia="es-CR"/>
        </w:rPr>
        <w:t>En ese sentido, el Tribunal considera que, a</w:t>
      </w:r>
      <w:r w:rsidR="001F4ED5" w:rsidRPr="00684FFA">
        <w:rPr>
          <w:lang w:eastAsia="es-CR"/>
        </w:rPr>
        <w:t>ún cuando el niño no era parte del proceso, la autoridad migratori</w:t>
      </w:r>
      <w:r w:rsidR="00673339" w:rsidRPr="00684FFA">
        <w:rPr>
          <w:lang w:eastAsia="es-CR"/>
        </w:rPr>
        <w:t>a</w:t>
      </w:r>
      <w:r w:rsidR="001F4ED5" w:rsidRPr="00684FFA">
        <w:rPr>
          <w:lang w:eastAsia="es-CR"/>
        </w:rPr>
        <w:t xml:space="preserve"> debió tomar en cuenta el impacto </w:t>
      </w:r>
      <w:r w:rsidR="00673339" w:rsidRPr="00684FFA">
        <w:rPr>
          <w:lang w:eastAsia="es-CR"/>
        </w:rPr>
        <w:t>que la expulsión tendría en Mohamed Al Kassar, y exteriorizar dicho razonamiento.</w:t>
      </w:r>
    </w:p>
    <w:p w14:paraId="2D4ABF7B" w14:textId="48FF430E" w:rsidR="00144B2F" w:rsidRPr="008704DE" w:rsidRDefault="00144B2F" w:rsidP="00792F0B">
      <w:pPr>
        <w:rPr>
          <w:highlight w:val="yellow"/>
          <w:lang w:eastAsia="es-CR"/>
        </w:rPr>
      </w:pPr>
    </w:p>
    <w:p w14:paraId="6C531B99" w14:textId="7548E020" w:rsidR="00A3530C" w:rsidRPr="00684FFA" w:rsidRDefault="00A3530C" w:rsidP="00D753D0">
      <w:pPr>
        <w:pStyle w:val="PrrafodeSentencia"/>
        <w:rPr>
          <w:lang w:eastAsia="es-CR"/>
        </w:rPr>
      </w:pPr>
      <w:r w:rsidRPr="00684FFA">
        <w:rPr>
          <w:lang w:eastAsia="es-CR"/>
        </w:rPr>
        <w:t>En tercer lugar</w:t>
      </w:r>
      <w:r w:rsidR="003103CD" w:rsidRPr="00684FFA">
        <w:rPr>
          <w:lang w:eastAsia="es-CR"/>
        </w:rPr>
        <w:t xml:space="preserve">, </w:t>
      </w:r>
      <w:r w:rsidRPr="00684FFA">
        <w:rPr>
          <w:lang w:eastAsia="es-CR"/>
        </w:rPr>
        <w:t>la Corte recuerda que las medidas privativas de la libertad, incluídas aquellas ordenadas en el marco de procedimientos migratorios, deben ser estrictamente necesarias para proteger bienes jurídicos fundamentales de ataques más graves y no deben tener fines punitivos. En consecuencia, tal como se despre</w:t>
      </w:r>
      <w:r w:rsidR="008C618E" w:rsidRPr="00684FFA">
        <w:rPr>
          <w:lang w:eastAsia="es-CR"/>
        </w:rPr>
        <w:t>n</w:t>
      </w:r>
      <w:r w:rsidRPr="00684FFA">
        <w:rPr>
          <w:lang w:eastAsia="es-CR"/>
        </w:rPr>
        <w:t>de de lo antes mencionado (</w:t>
      </w:r>
      <w:r w:rsidRPr="00684FFA">
        <w:rPr>
          <w:i/>
          <w:lang w:eastAsia="es-CR"/>
        </w:rPr>
        <w:t>supra,</w:t>
      </w:r>
      <w:r w:rsidRPr="00684FFA">
        <w:rPr>
          <w:lang w:eastAsia="es-CR"/>
        </w:rPr>
        <w:t xml:space="preserve"> párr</w:t>
      </w:r>
      <w:r w:rsidR="00E343A0">
        <w:rPr>
          <w:lang w:eastAsia="es-CR"/>
        </w:rPr>
        <w:t>s</w:t>
      </w:r>
      <w:r w:rsidRPr="00684FFA">
        <w:rPr>
          <w:lang w:eastAsia="es-CR"/>
        </w:rPr>
        <w:t>.</w:t>
      </w:r>
      <w:r w:rsidR="00E343A0">
        <w:rPr>
          <w:lang w:eastAsia="es-CR"/>
        </w:rPr>
        <w:t xml:space="preserve"> 61 a 64</w:t>
      </w:r>
      <w:r w:rsidRPr="00684FFA">
        <w:rPr>
          <w:lang w:eastAsia="es-CR"/>
        </w:rPr>
        <w:t>), una detención con fines migratorios debe ser acorde con el contenido esencial del artículo 7 de la Convención, que protege la libertad de los individuos contra toda interferencia ilegal o arbitraria. En particular, la Corte resalta que del artículo 7.3 de la Convención protege a las personas contra detenciones que resulten irrazonables, imprevisibles o falt</w:t>
      </w:r>
      <w:r w:rsidR="00D863C2">
        <w:rPr>
          <w:lang w:eastAsia="es-CR"/>
        </w:rPr>
        <w:t>a</w:t>
      </w:r>
      <w:r w:rsidRPr="00684FFA">
        <w:rPr>
          <w:lang w:eastAsia="es-CR"/>
        </w:rPr>
        <w:t>s de proporcionalidad (</w:t>
      </w:r>
      <w:r w:rsidRPr="00684FFA">
        <w:rPr>
          <w:i/>
          <w:lang w:eastAsia="es-CR"/>
        </w:rPr>
        <w:t>supra,</w:t>
      </w:r>
      <w:r w:rsidRPr="00684FFA">
        <w:rPr>
          <w:lang w:eastAsia="es-CR"/>
        </w:rPr>
        <w:t xml:space="preserve"> párr.</w:t>
      </w:r>
      <w:r w:rsidR="00E343A0">
        <w:rPr>
          <w:lang w:eastAsia="es-CR"/>
        </w:rPr>
        <w:t xml:space="preserve"> 63</w:t>
      </w:r>
      <w:r w:rsidRPr="00684FFA">
        <w:rPr>
          <w:lang w:eastAsia="es-CR"/>
        </w:rPr>
        <w:t>).</w:t>
      </w:r>
      <w:r w:rsidR="008C618E" w:rsidRPr="00684FFA">
        <w:rPr>
          <w:lang w:eastAsia="es-CR"/>
        </w:rPr>
        <w:t xml:space="preserve"> </w:t>
      </w:r>
      <w:r w:rsidRPr="00684FFA">
        <w:rPr>
          <w:lang w:eastAsia="es-CR"/>
        </w:rPr>
        <w:t>En el presente caso, la Corte advierte que la Resolución 1088, mediante la cual se ordenó la detención precautoria de las presuntas víctimas, careció de cualquier tipo de fundamentación y evaluación individualizada sobre la necesidad y proporcionalidad de la medida de detención precautoria</w:t>
      </w:r>
      <w:r w:rsidR="00165791" w:rsidRPr="00684FFA">
        <w:rPr>
          <w:lang w:eastAsia="es-CR"/>
        </w:rPr>
        <w:t>, tal como lo requiere el artículo 7 de la Convención</w:t>
      </w:r>
      <w:r w:rsidRPr="00684FFA">
        <w:rPr>
          <w:lang w:eastAsia="es-CR"/>
        </w:rPr>
        <w:t>. Asimismo, este Tribunal recuerda que, en virtud del interés superior de la niña y el niño, la privación de la libertad por razones de índole exclusivamente migratoria excede el requisito de necesidad, pues no resulta absolutamente indispensable para asegurar los fines del proceso migratorio.</w:t>
      </w:r>
    </w:p>
    <w:p w14:paraId="747EC190" w14:textId="77777777" w:rsidR="00841166" w:rsidRPr="008704DE" w:rsidRDefault="00841166" w:rsidP="00653FD1">
      <w:pPr>
        <w:tabs>
          <w:tab w:val="left" w:pos="0"/>
        </w:tabs>
        <w:jc w:val="both"/>
        <w:rPr>
          <w:rFonts w:ascii="Verdana" w:hAnsi="Verdana"/>
          <w:sz w:val="20"/>
          <w:szCs w:val="20"/>
          <w:highlight w:val="yellow"/>
          <w:lang w:val="es-DO"/>
        </w:rPr>
      </w:pPr>
    </w:p>
    <w:p w14:paraId="1D47472F" w14:textId="3067B5E4" w:rsidR="00653FD1" w:rsidRPr="00684FFA" w:rsidRDefault="0047503A" w:rsidP="00D753D0">
      <w:pPr>
        <w:pStyle w:val="PrrafodeSentencia"/>
      </w:pPr>
      <w:r>
        <w:t>Sin perjuicio de lo anterior, l</w:t>
      </w:r>
      <w:r w:rsidR="00653FD1" w:rsidRPr="00684FFA">
        <w:t xml:space="preserve">a Corte recuerda que el Estado alegó, como excepción preliminar, que las actuaciones de las autoridades migratorias no tuvieron, ni tienen, efectos sobre los derechos de las presuntas víctimas, y, por lo tanto, que no existe un caso o </w:t>
      </w:r>
      <w:r w:rsidR="00653FD1" w:rsidRPr="00684FFA">
        <w:lastRenderedPageBreak/>
        <w:t>controversia que amerite intervención jurisdiccional. En particular, el Estado sostuvo que no es posible identificar que existieran perjuicios concretos por los actos, hechos o normas reclamadas por la Comisión y los representantes, por lo que el caso resulta conjetural. Además, el Estado sostuvo que las recomendaciones de la Comisión fueron efectivamente implementadas, y por lo tanto que no se justifica un pronunciamiento de la Corte sobre el caso. Frente a dicho alegato, la Corte consideró que calificar la existencia de una afectación de los derechos de las presuntas víctimas es una cuestión que atañe al fondo de la controversia, como también lo es establecer si las posibles violaciones han cesado y han sido reparadas por actos posteriores del Estado (</w:t>
      </w:r>
      <w:r w:rsidR="00653FD1" w:rsidRPr="00684FFA">
        <w:rPr>
          <w:i/>
        </w:rPr>
        <w:t>supra</w:t>
      </w:r>
      <w:r w:rsidR="00653FD1" w:rsidRPr="00684FFA">
        <w:t>,</w:t>
      </w:r>
      <w:r w:rsidR="00653FD1" w:rsidRPr="00684FFA">
        <w:rPr>
          <w:i/>
        </w:rPr>
        <w:t xml:space="preserve"> </w:t>
      </w:r>
      <w:r w:rsidR="00653FD1" w:rsidRPr="00684FFA">
        <w:t>párr.</w:t>
      </w:r>
      <w:r w:rsidR="00D27D1D">
        <w:t xml:space="preserve"> 25</w:t>
      </w:r>
      <w:r w:rsidR="00653FD1" w:rsidRPr="00684FFA">
        <w:t>). Por esta razón, a continuación el Tribunal procederá a analizar ambas cuestiones.</w:t>
      </w:r>
    </w:p>
    <w:p w14:paraId="52828EDE" w14:textId="77777777" w:rsidR="00653FD1" w:rsidRPr="008704DE" w:rsidRDefault="00653FD1" w:rsidP="00D753D0">
      <w:pPr>
        <w:pStyle w:val="PrrafodeSentencia"/>
        <w:numPr>
          <w:ilvl w:val="0"/>
          <w:numId w:val="0"/>
        </w:numPr>
        <w:rPr>
          <w:highlight w:val="yellow"/>
        </w:rPr>
      </w:pPr>
    </w:p>
    <w:p w14:paraId="6CD78C70" w14:textId="2CA9D115" w:rsidR="00622F7D" w:rsidRDefault="00653FD1" w:rsidP="00D753D0">
      <w:pPr>
        <w:pStyle w:val="PrrafodeSentencia"/>
      </w:pPr>
      <w:r w:rsidRPr="00684FFA">
        <w:t xml:space="preserve">En relación a lo anterior, en primer lugar, la Corte </w:t>
      </w:r>
      <w:r w:rsidR="008C618E" w:rsidRPr="00684FFA">
        <w:t>advierte</w:t>
      </w:r>
      <w:r w:rsidRPr="00684FFA">
        <w:t xml:space="preserve"> que</w:t>
      </w:r>
      <w:r w:rsidR="00AA20D0" w:rsidRPr="00684FFA">
        <w:t>, por las razones antes señaladas (</w:t>
      </w:r>
      <w:r w:rsidR="00AA20D0" w:rsidRPr="00684FFA">
        <w:rPr>
          <w:i/>
        </w:rPr>
        <w:t>supra</w:t>
      </w:r>
      <w:r w:rsidR="00A70FFE" w:rsidRPr="00684FFA">
        <w:t>,</w:t>
      </w:r>
      <w:r w:rsidR="00AA20D0" w:rsidRPr="00684FFA">
        <w:t xml:space="preserve"> párr.</w:t>
      </w:r>
      <w:r w:rsidR="00D27D1D">
        <w:t xml:space="preserve"> 58 a </w:t>
      </w:r>
      <w:r w:rsidR="00050B95">
        <w:t>7</w:t>
      </w:r>
      <w:r w:rsidR="00306A88">
        <w:t>8</w:t>
      </w:r>
      <w:r w:rsidR="00AA20D0" w:rsidRPr="00684FFA">
        <w:t>),</w:t>
      </w:r>
      <w:r w:rsidRPr="00684FFA">
        <w:t xml:space="preserve"> el contenido de la Resolución 1088, y el procedimiento para su adopción, constituyeron </w:t>
      </w:r>
      <w:r w:rsidR="008C618E" w:rsidRPr="00684FFA">
        <w:t>un incumplimiento de las obligaciones del Estado contenidas</w:t>
      </w:r>
      <w:r w:rsidRPr="00684FFA">
        <w:t xml:space="preserve"> en los artículos 22.5, </w:t>
      </w:r>
      <w:r w:rsidRPr="00684FFA">
        <w:rPr>
          <w:lang w:eastAsia="es-CR"/>
        </w:rPr>
        <w:t>22.6,</w:t>
      </w:r>
      <w:r w:rsidR="00A21652">
        <w:rPr>
          <w:lang w:eastAsia="es-CR"/>
        </w:rPr>
        <w:t xml:space="preserve"> 7,</w:t>
      </w:r>
      <w:r w:rsidRPr="00684FFA">
        <w:rPr>
          <w:lang w:eastAsia="es-CR"/>
        </w:rPr>
        <w:t xml:space="preserve"> 8.1, 8.2.b), c), d)</w:t>
      </w:r>
      <w:r w:rsidR="00DB2222" w:rsidRPr="00684FFA">
        <w:rPr>
          <w:lang w:eastAsia="es-CR"/>
        </w:rPr>
        <w:t xml:space="preserve"> y h)</w:t>
      </w:r>
      <w:r w:rsidRPr="00684FFA">
        <w:rPr>
          <w:lang w:eastAsia="es-CR"/>
        </w:rPr>
        <w:t>,</w:t>
      </w:r>
      <w:r w:rsidR="00AE28CC" w:rsidRPr="00684FFA">
        <w:rPr>
          <w:lang w:eastAsia="es-CR"/>
        </w:rPr>
        <w:t xml:space="preserve"> y</w:t>
      </w:r>
      <w:r w:rsidRPr="00684FFA">
        <w:rPr>
          <w:lang w:eastAsia="es-CR"/>
        </w:rPr>
        <w:t xml:space="preserve"> 19 de la Convención Americana, en relación con el artículo 1.1 del mismo instrumento</w:t>
      </w:r>
      <w:r w:rsidRPr="00684FFA">
        <w:t xml:space="preserve">. </w:t>
      </w:r>
      <w:r w:rsidR="00AA20D0" w:rsidRPr="00684FFA">
        <w:t>E</w:t>
      </w:r>
      <w:r w:rsidRPr="00684FFA">
        <w:t xml:space="preserve">ste Tribunal </w:t>
      </w:r>
      <w:r w:rsidR="0047503A">
        <w:t>advierte</w:t>
      </w:r>
      <w:r w:rsidRPr="00684FFA">
        <w:t xml:space="preserve"> que </w:t>
      </w:r>
      <w:r w:rsidR="008C618E" w:rsidRPr="00684FFA">
        <w:t>el incuplimiento de dichas obligaciones</w:t>
      </w:r>
      <w:r w:rsidRPr="00684FFA">
        <w:t xml:space="preserve"> es resultado de la emisión de la Resolución 1088</w:t>
      </w:r>
      <w:r w:rsidR="00AA20D0" w:rsidRPr="00684FFA">
        <w:t>,</w:t>
      </w:r>
      <w:r w:rsidR="008C618E" w:rsidRPr="00684FFA">
        <w:t xml:space="preserve"> y </w:t>
      </w:r>
      <w:r w:rsidR="003444B4">
        <w:t>d</w:t>
      </w:r>
      <w:r w:rsidR="008C618E" w:rsidRPr="00684FFA">
        <w:t>el procedimiento para su adopción</w:t>
      </w:r>
      <w:r w:rsidR="00AA20D0" w:rsidRPr="00684FFA">
        <w:t xml:space="preserve">, </w:t>
      </w:r>
      <w:r w:rsidR="003444B4">
        <w:t xml:space="preserve">los cuales </w:t>
      </w:r>
      <w:r w:rsidR="00AA20D0" w:rsidRPr="00684FFA">
        <w:t>constituyeron</w:t>
      </w:r>
      <w:r w:rsidRPr="00684FFA">
        <w:t xml:space="preserve"> </w:t>
      </w:r>
      <w:r w:rsidR="00D863C2">
        <w:t>actos</w:t>
      </w:r>
      <w:r w:rsidRPr="00684FFA">
        <w:t xml:space="preserve"> ilícitos internacionales</w:t>
      </w:r>
      <w:r w:rsidR="00AA20D0" w:rsidRPr="00684FFA">
        <w:t>,</w:t>
      </w:r>
      <w:r w:rsidRPr="00684FFA">
        <w:t xml:space="preserve"> en la medida en que su contenido resultó contrario a las obligaciones del Estado contenidas en la Convención Americana. En consecuencia, el</w:t>
      </w:r>
      <w:r w:rsidR="008C618E" w:rsidRPr="00684FFA">
        <w:t xml:space="preserve"> incumplimiento de las obligaciones del</w:t>
      </w:r>
      <w:r w:rsidRPr="00684FFA">
        <w:t xml:space="preserve"> Estado surg</w:t>
      </w:r>
      <w:r w:rsidR="00AA20D0" w:rsidRPr="00684FFA">
        <w:t>ió</w:t>
      </w:r>
      <w:r w:rsidRPr="00684FFA">
        <w:t xml:space="preserve"> del hecho mismo de la existencia de dicha decisi</w:t>
      </w:r>
      <w:r w:rsidR="00AE28CC" w:rsidRPr="00684FFA">
        <w:t>ón</w:t>
      </w:r>
      <w:r w:rsidR="003444B4">
        <w:t xml:space="preserve"> y del </w:t>
      </w:r>
      <w:r w:rsidR="005502DD">
        <w:t>procedimiento para su adopción</w:t>
      </w:r>
      <w:r w:rsidRPr="00684FFA">
        <w:t>. Desde esa perspectiva, el caso no resulta conjetural o hipotético, pues el Estado incumplió con sus obligaciones internacionales, las cuales han sido objeto de análisis por este Tribunal.</w:t>
      </w:r>
      <w:r w:rsidR="00580814">
        <w:t xml:space="preserve"> </w:t>
      </w:r>
    </w:p>
    <w:p w14:paraId="476C6F7E" w14:textId="77777777" w:rsidR="00622F7D" w:rsidRDefault="00622F7D" w:rsidP="00D753D0">
      <w:pPr>
        <w:pStyle w:val="PrrafodeSentencia"/>
        <w:numPr>
          <w:ilvl w:val="0"/>
          <w:numId w:val="0"/>
        </w:numPr>
      </w:pPr>
    </w:p>
    <w:p w14:paraId="75AFCEB6" w14:textId="314DCEF6" w:rsidR="00653FD1" w:rsidRPr="00712485" w:rsidRDefault="00580814" w:rsidP="00D753D0">
      <w:pPr>
        <w:pStyle w:val="PrrafodeSentencia"/>
      </w:pPr>
      <w:r w:rsidRPr="000C2480">
        <w:t xml:space="preserve">Sin embargo, este Tribunal </w:t>
      </w:r>
      <w:r w:rsidR="000D3795">
        <w:t>considera</w:t>
      </w:r>
      <w:r w:rsidRPr="000C2480">
        <w:t xml:space="preserve"> que</w:t>
      </w:r>
      <w:r w:rsidR="007D795E" w:rsidRPr="000C2480">
        <w:t>, en efecto,</w:t>
      </w:r>
      <w:r w:rsidR="00B53760" w:rsidRPr="000C2480">
        <w:t xml:space="preserve"> no existen elementos</w:t>
      </w:r>
      <w:r w:rsidR="009E0D2F" w:rsidRPr="000C2480">
        <w:t xml:space="preserve"> de prueba</w:t>
      </w:r>
      <w:r w:rsidR="00B53760" w:rsidRPr="000C2480">
        <w:t xml:space="preserve"> que permitan </w:t>
      </w:r>
      <w:r w:rsidR="003D2869" w:rsidRPr="000C2480">
        <w:t>acreditar</w:t>
      </w:r>
      <w:r w:rsidR="00B53760" w:rsidRPr="000C2480">
        <w:t xml:space="preserve"> que </w:t>
      </w:r>
      <w:r w:rsidR="007900CF" w:rsidRPr="000C2480">
        <w:t>la Resolución 1088</w:t>
      </w:r>
      <w:r w:rsidR="002F778A">
        <w:t xml:space="preserve">, </w:t>
      </w:r>
      <w:r w:rsidR="003D2869" w:rsidRPr="000C2480">
        <w:t>si bien se encontró vigente</w:t>
      </w:r>
      <w:r w:rsidR="009A724F" w:rsidRPr="000C2480">
        <w:t xml:space="preserve"> desde 1992 hasta el año 2020</w:t>
      </w:r>
      <w:r w:rsidR="002F778A">
        <w:t>,</w:t>
      </w:r>
      <w:r w:rsidR="00F37104" w:rsidRPr="000C2480">
        <w:t xml:space="preserve"> </w:t>
      </w:r>
      <w:r w:rsidR="00B53760" w:rsidRPr="000C2480">
        <w:t>interfiriera</w:t>
      </w:r>
      <w:r w:rsidR="009A724F" w:rsidRPr="000C2480">
        <w:t xml:space="preserve"> de forma alguna</w:t>
      </w:r>
      <w:r w:rsidR="00B53760" w:rsidRPr="000C2480">
        <w:t xml:space="preserve"> con la posibilidad de las presuntas víctimas de permanecer en territorio nacional </w:t>
      </w:r>
      <w:r w:rsidR="009A724F" w:rsidRPr="000C2480">
        <w:t xml:space="preserve">argentino </w:t>
      </w:r>
      <w:r w:rsidR="00B53760" w:rsidRPr="000C2480">
        <w:t xml:space="preserve">o de ingresar en el mismo, o bien que </w:t>
      </w:r>
      <w:r w:rsidR="009739E4" w:rsidRPr="000C2480">
        <w:t>impidiera de alguna forma el ejercicio de su libertad personal.</w:t>
      </w:r>
      <w:r w:rsidR="00B53760" w:rsidRPr="000C2480">
        <w:t xml:space="preserve"> </w:t>
      </w:r>
      <w:r w:rsidR="00504829" w:rsidRPr="000C2480">
        <w:t>En ese sentido, el Tribunal</w:t>
      </w:r>
      <w:r w:rsidR="00F37104" w:rsidRPr="000C2480">
        <w:t xml:space="preserve"> advierte que la señora Habbal </w:t>
      </w:r>
      <w:r w:rsidR="00CD149A" w:rsidRPr="000C2480">
        <w:rPr>
          <w:lang w:val="es-CR"/>
        </w:rPr>
        <w:t>ingresó en</w:t>
      </w:r>
      <w:r w:rsidR="00FD7B2D" w:rsidRPr="000C2480">
        <w:rPr>
          <w:lang w:val="es-CR"/>
        </w:rPr>
        <w:t xml:space="preserve"> al menos</w:t>
      </w:r>
      <w:r w:rsidR="00CD149A" w:rsidRPr="000C2480">
        <w:rPr>
          <w:lang w:val="es-CR"/>
        </w:rPr>
        <w:t xml:space="preserve"> cuatro ocasiones</w:t>
      </w:r>
      <w:r w:rsidR="009E0D2F" w:rsidRPr="000C2480">
        <w:rPr>
          <w:lang w:val="es-CR"/>
        </w:rPr>
        <w:t xml:space="preserve"> posteriores a la emisión de la Resolución 1088</w:t>
      </w:r>
      <w:r w:rsidR="00CD149A" w:rsidRPr="000C2480">
        <w:rPr>
          <w:lang w:val="es-CR"/>
        </w:rPr>
        <w:t xml:space="preserve"> a la República Argentina entre los años 1994 y 1996</w:t>
      </w:r>
      <w:r w:rsidR="00E44E0A" w:rsidRPr="000C2480">
        <w:rPr>
          <w:lang w:val="es-CR"/>
        </w:rPr>
        <w:t xml:space="preserve"> (</w:t>
      </w:r>
      <w:r w:rsidR="00E44E0A" w:rsidRPr="00712485">
        <w:rPr>
          <w:i/>
          <w:lang w:val="es-CR"/>
        </w:rPr>
        <w:t xml:space="preserve">supra </w:t>
      </w:r>
      <w:r w:rsidR="00E44E0A" w:rsidRPr="00712485">
        <w:rPr>
          <w:lang w:val="es-CR"/>
        </w:rPr>
        <w:t>párr.</w:t>
      </w:r>
      <w:r w:rsidR="0082696D" w:rsidRPr="00712485">
        <w:rPr>
          <w:lang w:val="es-CR"/>
        </w:rPr>
        <w:t xml:space="preserve"> 41</w:t>
      </w:r>
      <w:r w:rsidR="00E44E0A" w:rsidRPr="00712485">
        <w:rPr>
          <w:lang w:val="es-CR"/>
        </w:rPr>
        <w:t xml:space="preserve">), </w:t>
      </w:r>
      <w:r w:rsidR="005454E3" w:rsidRPr="00712485">
        <w:rPr>
          <w:lang w:val="es-CR"/>
        </w:rPr>
        <w:t xml:space="preserve">sin que existan indicios de que su derecho a la libertad de movimiento </w:t>
      </w:r>
      <w:r w:rsidR="000E447A" w:rsidRPr="00712485">
        <w:rPr>
          <w:lang w:val="es-CR"/>
        </w:rPr>
        <w:t xml:space="preserve">o su libertad personal </w:t>
      </w:r>
      <w:r w:rsidR="00BD51A9" w:rsidRPr="00712485">
        <w:rPr>
          <w:lang w:val="es-CR"/>
        </w:rPr>
        <w:t>fuera</w:t>
      </w:r>
      <w:r w:rsidR="000E447A" w:rsidRPr="00712485">
        <w:rPr>
          <w:lang w:val="es-CR"/>
        </w:rPr>
        <w:t xml:space="preserve"> restringida</w:t>
      </w:r>
      <w:r w:rsidR="00BD51A9" w:rsidRPr="00712485">
        <w:rPr>
          <w:lang w:val="es-CR"/>
        </w:rPr>
        <w:t xml:space="preserve"> por las autoridades migratorias u otra autoridad</w:t>
      </w:r>
      <w:r w:rsidR="00E44E0A" w:rsidRPr="00712485">
        <w:rPr>
          <w:lang w:val="es-CR"/>
        </w:rPr>
        <w:t>.</w:t>
      </w:r>
      <w:r w:rsidR="00504829" w:rsidRPr="00712485">
        <w:t xml:space="preserve"> </w:t>
      </w:r>
      <w:r w:rsidR="00EF11A5" w:rsidRPr="00712485">
        <w:t>En este punto, la Corte considera pertinente recordar que la ausencia de participación de las presuntas víctimas en el proceso impidió conocer si</w:t>
      </w:r>
      <w:r w:rsidR="000E447A" w:rsidRPr="00712485">
        <w:t>, más allá de aquellos aspectos que se desprenden de las pruebas aportadas en el proceso,</w:t>
      </w:r>
      <w:r w:rsidR="00622F7D" w:rsidRPr="00712485">
        <w:t xml:space="preserve"> la señora Habbal</w:t>
      </w:r>
      <w:r w:rsidR="000554E9">
        <w:t>, sus hijas y su hijo hayan sufrido</w:t>
      </w:r>
      <w:r w:rsidR="00622F7D" w:rsidRPr="00712485">
        <w:t xml:space="preserve"> </w:t>
      </w:r>
      <w:r w:rsidR="0082696D" w:rsidRPr="00712485">
        <w:t>afectaciones concretas ante la orden de las autoridades de expulsión y detención precautoria.</w:t>
      </w:r>
    </w:p>
    <w:p w14:paraId="749A03D1" w14:textId="77777777" w:rsidR="00653FD1" w:rsidRPr="008704DE" w:rsidRDefault="00653FD1" w:rsidP="00D753D0">
      <w:pPr>
        <w:pStyle w:val="PrrafodeSentencia"/>
        <w:numPr>
          <w:ilvl w:val="0"/>
          <w:numId w:val="0"/>
        </w:numPr>
        <w:rPr>
          <w:highlight w:val="yellow"/>
        </w:rPr>
      </w:pPr>
      <w:r w:rsidRPr="008704DE">
        <w:rPr>
          <w:highlight w:val="yellow"/>
        </w:rPr>
        <w:t xml:space="preserve"> </w:t>
      </w:r>
    </w:p>
    <w:p w14:paraId="539151C0" w14:textId="5DA5C4C5" w:rsidR="00653FD1" w:rsidRPr="00684FFA" w:rsidRDefault="00653FD1" w:rsidP="00D753D0">
      <w:pPr>
        <w:pStyle w:val="PrrafodeSentencia"/>
      </w:pPr>
      <w:r w:rsidRPr="00684FFA">
        <w:t xml:space="preserve">Una segunda cuestión planteada por el Estado es que la Resolución 1088 fue derogada, y, por lo tanto, que corresponde a la Corte concluir que el Estado no es </w:t>
      </w:r>
      <w:r w:rsidR="008C618E" w:rsidRPr="00684FFA">
        <w:t xml:space="preserve">internacionalmente </w:t>
      </w:r>
      <w:r w:rsidRPr="00684FFA">
        <w:t>responsable</w:t>
      </w:r>
      <w:r w:rsidR="008C618E" w:rsidRPr="00684FFA">
        <w:t xml:space="preserve"> por la violación a la Convención Americana,</w:t>
      </w:r>
      <w:r w:rsidRPr="00684FFA">
        <w:t xml:space="preserve"> dado el acatamiento de las recomendaciones de la Comisión. Al respecto, la Corte recuerda que en el sistema interamericano existe un control dinámico y complementario de las obligaciones convencionales de los Estados de respetar y garantizar los derechos humanos, conjuntamente entre las autoridades internas (primariamente obligadas) y las instancias internacionales (en forma complementaria), de modo que los criterios de decisión, y los mecanismos de protección, tanto los nacionales como los internacionales, puedan ser conformados y adecuados entre sí</w:t>
      </w:r>
      <w:r w:rsidRPr="00684FFA">
        <w:rPr>
          <w:rStyle w:val="Refdenotaalpie"/>
        </w:rPr>
        <w:footnoteReference w:id="114"/>
      </w:r>
      <w:r w:rsidRPr="00684FFA">
        <w:t xml:space="preserve">. Así, en aplicación del principio de complementariedad (o subsidiariedad), la Corte ha señalado que </w:t>
      </w:r>
      <w:r w:rsidRPr="00684FFA">
        <w:lastRenderedPageBreak/>
        <w:t>la responsabilidad estatal bajo la Convención solo puede ser exigida a nivel internacional después de que el Estado haya tenido la oportunidad de reconocer, en su caso, una violación de un derecho, y de reparar por sus propios medios los daños ocasionados</w:t>
      </w:r>
      <w:r w:rsidRPr="00684FFA">
        <w:rPr>
          <w:rStyle w:val="Refdenotaalpie"/>
          <w:rFonts w:eastAsia="MS Mincho"/>
        </w:rPr>
        <w:footnoteReference w:id="115"/>
      </w:r>
      <w:r w:rsidRPr="00684FFA">
        <w:t>. De esta forma, cuando el Estado cesa las violaciones a los derechos humanos, y repara a las víctimas de dichas violaciones, no corresponde a este Tribunal declarar la responsabilidad internacional respecto de dichas violaciones.</w:t>
      </w:r>
    </w:p>
    <w:p w14:paraId="08FA1117" w14:textId="77777777" w:rsidR="00653FD1" w:rsidRPr="008704DE" w:rsidRDefault="00653FD1" w:rsidP="00D753D0">
      <w:pPr>
        <w:pStyle w:val="PrrafodeSentencia"/>
        <w:numPr>
          <w:ilvl w:val="0"/>
          <w:numId w:val="0"/>
        </w:numPr>
        <w:rPr>
          <w:highlight w:val="yellow"/>
        </w:rPr>
      </w:pPr>
    </w:p>
    <w:p w14:paraId="7746A392" w14:textId="7E166A7C" w:rsidR="006F5CA7" w:rsidRPr="000554E9" w:rsidRDefault="00653FD1" w:rsidP="00D753D0">
      <w:pPr>
        <w:pStyle w:val="PrrafodeSentencia"/>
      </w:pPr>
      <w:r w:rsidRPr="00684FFA">
        <w:t>En relación a lo anterior, el Tribunal constata que</w:t>
      </w:r>
      <w:r w:rsidR="002707DE">
        <w:t>,</w:t>
      </w:r>
      <w:r w:rsidRPr="00684FFA">
        <w:t xml:space="preserve"> el 1 de junio de 2020, la Dirección Nacional de Migraciones “en el marco de las conclusiones expuestas por la Comisión Interamericana de Derechos Humanos” estimó conducente proceder a la revocación de la Resolución 1088 de 11 de mayo de 1992. Al respecto, la Corte considera que esta decisión</w:t>
      </w:r>
      <w:r w:rsidR="000C61B3" w:rsidRPr="00684FFA">
        <w:t>,</w:t>
      </w:r>
      <w:r w:rsidRPr="00684FFA">
        <w:t xml:space="preserve"> en efecto</w:t>
      </w:r>
      <w:r w:rsidR="000C61B3" w:rsidRPr="00684FFA">
        <w:t>,</w:t>
      </w:r>
      <w:r w:rsidRPr="00684FFA">
        <w:t xml:space="preserve"> cesó el hecho principal que generó </w:t>
      </w:r>
      <w:r w:rsidR="00AA20D0" w:rsidRPr="00684FFA">
        <w:t>el incumplimiento de las obligaciones del Estado contenidas</w:t>
      </w:r>
      <w:r w:rsidRPr="00684FFA">
        <w:t xml:space="preserve"> en los artículos 22.5, </w:t>
      </w:r>
      <w:r w:rsidRPr="00684FFA">
        <w:rPr>
          <w:lang w:eastAsia="es-CR"/>
        </w:rPr>
        <w:t xml:space="preserve">22.6, </w:t>
      </w:r>
      <w:r w:rsidR="00A21652">
        <w:rPr>
          <w:lang w:eastAsia="es-CR"/>
        </w:rPr>
        <w:t xml:space="preserve">7, </w:t>
      </w:r>
      <w:r w:rsidRPr="00684FFA">
        <w:rPr>
          <w:lang w:eastAsia="es-CR"/>
        </w:rPr>
        <w:t>8.1, 8.2.b), c), d)</w:t>
      </w:r>
      <w:r w:rsidR="00DB2222" w:rsidRPr="00684FFA">
        <w:rPr>
          <w:lang w:eastAsia="es-CR"/>
        </w:rPr>
        <w:t xml:space="preserve"> y h)</w:t>
      </w:r>
      <w:r w:rsidR="000B5B30" w:rsidRPr="00684FFA">
        <w:rPr>
          <w:lang w:eastAsia="es-CR"/>
        </w:rPr>
        <w:t>,</w:t>
      </w:r>
      <w:r w:rsidR="00477F8A" w:rsidRPr="00684FFA">
        <w:rPr>
          <w:lang w:eastAsia="es-CR"/>
        </w:rPr>
        <w:t xml:space="preserve"> y</w:t>
      </w:r>
      <w:r w:rsidRPr="00684FFA">
        <w:rPr>
          <w:lang w:eastAsia="es-CR"/>
        </w:rPr>
        <w:t xml:space="preserve"> 19</w:t>
      </w:r>
      <w:r w:rsidR="00477F8A" w:rsidRPr="00684FFA">
        <w:rPr>
          <w:lang w:eastAsia="es-CR"/>
        </w:rPr>
        <w:t xml:space="preserve"> </w:t>
      </w:r>
      <w:r w:rsidRPr="00684FFA">
        <w:rPr>
          <w:lang w:eastAsia="es-CR"/>
        </w:rPr>
        <w:t>de la Convención Americana</w:t>
      </w:r>
      <w:r w:rsidRPr="00684FFA">
        <w:t xml:space="preserve">. </w:t>
      </w:r>
      <w:r w:rsidRPr="00CB6B78">
        <w:t xml:space="preserve">Asimismo, el Tribunal </w:t>
      </w:r>
      <w:r w:rsidR="009739E4" w:rsidRPr="00CB6B78">
        <w:t>recuerda que, tal como fue señalado anteriormente (</w:t>
      </w:r>
      <w:r w:rsidR="009739E4" w:rsidRPr="00CB6B78">
        <w:rPr>
          <w:i/>
        </w:rPr>
        <w:t>supra</w:t>
      </w:r>
      <w:r w:rsidR="009739E4" w:rsidRPr="00CB6B78">
        <w:t>, párr.</w:t>
      </w:r>
      <w:r w:rsidR="00A21652">
        <w:t xml:space="preserve"> 81</w:t>
      </w:r>
      <w:r w:rsidR="009739E4" w:rsidRPr="00CB6B78">
        <w:t>),</w:t>
      </w:r>
      <w:r w:rsidRPr="00CB6B78">
        <w:t xml:space="preserve"> la Resolución 1088</w:t>
      </w:r>
      <w:r w:rsidR="00587B79">
        <w:t xml:space="preserve">, </w:t>
      </w:r>
      <w:r w:rsidR="00B83318" w:rsidRPr="00CB6B78">
        <w:t xml:space="preserve">si bien resultó </w:t>
      </w:r>
      <w:r w:rsidR="00E704B6" w:rsidRPr="00CB6B78">
        <w:t xml:space="preserve">contraria a </w:t>
      </w:r>
      <w:r w:rsidR="00B83318" w:rsidRPr="00CB6B78">
        <w:t xml:space="preserve">la </w:t>
      </w:r>
      <w:r w:rsidR="00B83318" w:rsidRPr="000554E9">
        <w:t>Convención por su contenido</w:t>
      </w:r>
      <w:r w:rsidR="00587B79">
        <w:t>,</w:t>
      </w:r>
      <w:r w:rsidR="00B83318" w:rsidRPr="000554E9">
        <w:t xml:space="preserve"> </w:t>
      </w:r>
      <w:r w:rsidRPr="000554E9">
        <w:t>nun</w:t>
      </w:r>
      <w:r w:rsidR="00CD5EBB" w:rsidRPr="000554E9">
        <w:t>c</w:t>
      </w:r>
      <w:r w:rsidRPr="000554E9">
        <w:t xml:space="preserve">a </w:t>
      </w:r>
      <w:r w:rsidR="009739E4" w:rsidRPr="000554E9">
        <w:t>afectó materialmente los derechos de las presuntas víctimas</w:t>
      </w:r>
      <w:r w:rsidRPr="000554E9">
        <w:t xml:space="preserve">. </w:t>
      </w:r>
      <w:r w:rsidRPr="00712485">
        <w:t>Por esta razón,</w:t>
      </w:r>
      <w:r w:rsidR="003F572B" w:rsidRPr="00712485">
        <w:t xml:space="preserve"> ante la ausencia de </w:t>
      </w:r>
      <w:r w:rsidR="00524672" w:rsidRPr="00712485">
        <w:t xml:space="preserve">pruebas sobre las </w:t>
      </w:r>
      <w:r w:rsidR="003F572B" w:rsidRPr="00712485">
        <w:t>afectaciones concretas de los derechos de las presuntas víctimas,</w:t>
      </w:r>
      <w:r w:rsidRPr="00712485">
        <w:t xml:space="preserve"> el Tribunal </w:t>
      </w:r>
      <w:r w:rsidR="00CD5EBB" w:rsidRPr="00712485">
        <w:t>considera</w:t>
      </w:r>
      <w:r w:rsidRPr="00712485">
        <w:t xml:space="preserve"> que la revocación de la Resolución 1088 constituyó una reparación adecuada en relación con </w:t>
      </w:r>
      <w:r w:rsidR="00A70FFE" w:rsidRPr="00712485">
        <w:t xml:space="preserve">las violaciones a </w:t>
      </w:r>
      <w:r w:rsidR="00C61805" w:rsidRPr="00712485">
        <w:t>la Convención Americana</w:t>
      </w:r>
      <w:r w:rsidR="00A70FFE" w:rsidRPr="00712485">
        <w:t xml:space="preserve"> que se produjeron</w:t>
      </w:r>
      <w:r w:rsidRPr="00712485">
        <w:t xml:space="preserve"> por su emisión.</w:t>
      </w:r>
      <w:r w:rsidRPr="000554E9">
        <w:t xml:space="preserve"> </w:t>
      </w:r>
    </w:p>
    <w:p w14:paraId="3B422FBF" w14:textId="77777777" w:rsidR="006F5CA7" w:rsidRDefault="006F5CA7" w:rsidP="006F5CA7"/>
    <w:p w14:paraId="4156A10F" w14:textId="20F4E548" w:rsidR="008704DE" w:rsidRPr="00684FFA" w:rsidRDefault="00653FD1" w:rsidP="00D753D0">
      <w:pPr>
        <w:pStyle w:val="PrrafodeSentencia"/>
      </w:pPr>
      <w:r w:rsidRPr="00684FFA">
        <w:t xml:space="preserve">En consecuencia, este Tribunal </w:t>
      </w:r>
      <w:r w:rsidR="00E704B6" w:rsidRPr="00684FFA">
        <w:t>concluye</w:t>
      </w:r>
      <w:r w:rsidR="009739E4">
        <w:t>, tal como lo ha hecho en otros casos</w:t>
      </w:r>
      <w:r w:rsidR="009739E4">
        <w:rPr>
          <w:rStyle w:val="Refdenotaalpie"/>
        </w:rPr>
        <w:footnoteReference w:id="116"/>
      </w:r>
      <w:r w:rsidR="009739E4">
        <w:t>,</w:t>
      </w:r>
      <w:r w:rsidR="00744170">
        <w:t xml:space="preserve"> y considerando las circunstancias del </w:t>
      </w:r>
      <w:r w:rsidR="006F5CA7">
        <w:t xml:space="preserve">presente </w:t>
      </w:r>
      <w:r w:rsidR="00744170">
        <w:t>caso,</w:t>
      </w:r>
      <w:r w:rsidRPr="00684FFA">
        <w:t xml:space="preserve"> que dado </w:t>
      </w:r>
      <w:r w:rsidR="00E704B6" w:rsidRPr="00684FFA">
        <w:t xml:space="preserve">que </w:t>
      </w:r>
      <w:r w:rsidR="00A70FFE" w:rsidRPr="00684FFA">
        <w:t>dichas violaciones cesaron</w:t>
      </w:r>
      <w:r w:rsidR="00744170">
        <w:t>,</w:t>
      </w:r>
      <w:r w:rsidRPr="00684FFA">
        <w:t xml:space="preserve"> y fueron reparadas, en aplicación del principio de complementariedad, el Estado no es internacionalmente responsable</w:t>
      </w:r>
      <w:r w:rsidR="008A7E8E" w:rsidRPr="00684FFA">
        <w:t xml:space="preserve"> </w:t>
      </w:r>
      <w:r w:rsidRPr="00684FFA">
        <w:t>e por la violación a los derechos contenidos en los artículos 22.5,</w:t>
      </w:r>
      <w:r w:rsidR="00A21652">
        <w:t xml:space="preserve"> 7,</w:t>
      </w:r>
      <w:r w:rsidRPr="00684FFA">
        <w:t xml:space="preserve"> 8.1, 8.2, 8.2.b), c), d)</w:t>
      </w:r>
      <w:r w:rsidR="00DB2222" w:rsidRPr="00684FFA">
        <w:t xml:space="preserve"> y h)</w:t>
      </w:r>
      <w:r w:rsidRPr="00684FFA">
        <w:t>, y 9 de la Convención Americana, en relación con el artículo 1.1 del mismo instrumento, en perjuicio de la señora Habbal, ni por la violación de l</w:t>
      </w:r>
      <w:r w:rsidRPr="00684FFA">
        <w:rPr>
          <w:lang w:eastAsia="es-CR"/>
        </w:rPr>
        <w:t xml:space="preserve">os derechos contenidos en los artículos 22.6, </w:t>
      </w:r>
      <w:r w:rsidR="00A21652">
        <w:rPr>
          <w:lang w:eastAsia="es-CR"/>
        </w:rPr>
        <w:t xml:space="preserve">7, </w:t>
      </w:r>
      <w:r w:rsidRPr="00684FFA">
        <w:rPr>
          <w:lang w:eastAsia="es-CR"/>
        </w:rPr>
        <w:t>8.1, 8.2.b), c), d),</w:t>
      </w:r>
      <w:r w:rsidR="00DB2222" w:rsidRPr="00684FFA">
        <w:rPr>
          <w:lang w:eastAsia="es-CR"/>
        </w:rPr>
        <w:t xml:space="preserve"> h),</w:t>
      </w:r>
      <w:r w:rsidRPr="00684FFA">
        <w:rPr>
          <w:lang w:eastAsia="es-CR"/>
        </w:rPr>
        <w:t xml:space="preserve"> y 19 de la Convención Americana, en relación con el artículo 1.1 del mismo instrumento, en perjuicio de Monnawar Al Kassar, Hifaa Al Kassar y Natasha Al Kassar, </w:t>
      </w:r>
      <w:r w:rsidR="00847F94">
        <w:rPr>
          <w:lang w:eastAsia="es-CR"/>
        </w:rPr>
        <w:t>ni por la violación</w:t>
      </w:r>
      <w:r w:rsidRPr="00684FFA">
        <w:rPr>
          <w:lang w:eastAsia="es-CR"/>
        </w:rPr>
        <w:t xml:space="preserve"> de los artículos 19 y 8.1 de la Convención Americana, en perjuicio de Mohamed Al Kassar.</w:t>
      </w:r>
    </w:p>
    <w:p w14:paraId="5AE021D8" w14:textId="77777777" w:rsidR="008704DE" w:rsidRPr="008704DE" w:rsidRDefault="008704DE" w:rsidP="008704DE">
      <w:pPr>
        <w:rPr>
          <w:highlight w:val="yellow"/>
          <w:lang w:eastAsia="es-CR"/>
        </w:rPr>
      </w:pPr>
    </w:p>
    <w:p w14:paraId="211FF3E3" w14:textId="67F93F25" w:rsidR="00165791" w:rsidRPr="00684FFA" w:rsidRDefault="00DB2222" w:rsidP="00D753D0">
      <w:pPr>
        <w:pStyle w:val="PrrafodeSentencia"/>
      </w:pPr>
      <w:r w:rsidRPr="00684FFA">
        <w:rPr>
          <w:lang w:eastAsia="es-CR"/>
        </w:rPr>
        <w:t>Por otro lado</w:t>
      </w:r>
      <w:r w:rsidR="00165791" w:rsidRPr="00684FFA">
        <w:rPr>
          <w:lang w:eastAsia="es-CR"/>
        </w:rPr>
        <w:t xml:space="preserve">, en relación con el alegato de los representantes respecto de la alegada violación al derecho a la igualdad ante la ley, contenido en el artículo 24 de la Convención, en relación con el artículo 1.1 del mismo instrumento, la Corte advierte que las consecuencias jurídicas de falta de consideración de las autoridades migratorias respecto a la especial situación de vulnerabilidad en que se encontraban las presuntas víctimas en el procedimiento migratorio ya ha sido abordada en el análisis relativo a los artículos 22, 19, 8 y 7 de la Convención. En razón de ello, no considera necesario desarrollar un análisis particularizado a la luz del artículo 24 de la Convención. </w:t>
      </w:r>
    </w:p>
    <w:p w14:paraId="7EFC153A" w14:textId="77777777" w:rsidR="00DD3122" w:rsidRPr="00606434" w:rsidRDefault="00DD3122" w:rsidP="00D753D0">
      <w:pPr>
        <w:pStyle w:val="PrrafodeSentencia"/>
        <w:numPr>
          <w:ilvl w:val="0"/>
          <w:numId w:val="0"/>
        </w:numPr>
        <w:rPr>
          <w:lang w:eastAsia="es-CR"/>
        </w:rPr>
      </w:pPr>
    </w:p>
    <w:p w14:paraId="4A0AD9B0" w14:textId="5D50895E" w:rsidR="00BD5657" w:rsidRPr="0035314A" w:rsidRDefault="00BD5657" w:rsidP="004330E3">
      <w:pPr>
        <w:pStyle w:val="Ttulo2"/>
        <w:numPr>
          <w:ilvl w:val="0"/>
          <w:numId w:val="4"/>
        </w:numPr>
      </w:pPr>
      <w:bookmarkStart w:id="57" w:name="_Toc115167440"/>
      <w:r w:rsidRPr="0035314A">
        <w:t xml:space="preserve">Derecho </w:t>
      </w:r>
      <w:r w:rsidR="00CD5A2B" w:rsidRPr="0035314A">
        <w:t>a la nacionalidad</w:t>
      </w:r>
      <w:r w:rsidR="00D30AED" w:rsidRPr="0035314A">
        <w:t>, debido proceso y</w:t>
      </w:r>
      <w:r w:rsidR="0075289B" w:rsidRPr="0035314A">
        <w:t xml:space="preserve"> principio de</w:t>
      </w:r>
      <w:r w:rsidR="00D30AED" w:rsidRPr="0035314A">
        <w:t xml:space="preserve"> legalidad</w:t>
      </w:r>
      <w:bookmarkEnd w:id="57"/>
    </w:p>
    <w:p w14:paraId="1D4E2482" w14:textId="77777777" w:rsidR="00BD5657" w:rsidRDefault="00BD5657" w:rsidP="004330E3">
      <w:pPr>
        <w:pStyle w:val="Ttulo2"/>
        <w:ind w:left="0"/>
        <w:rPr>
          <w:highlight w:val="yellow"/>
        </w:rPr>
      </w:pPr>
    </w:p>
    <w:p w14:paraId="59DB5476" w14:textId="6119D64F" w:rsidR="00BD5657" w:rsidRPr="0096671E" w:rsidRDefault="00CD5A2B" w:rsidP="004330E3">
      <w:pPr>
        <w:pStyle w:val="Ttulo3"/>
      </w:pPr>
      <w:bookmarkStart w:id="58" w:name="_Toc115167441"/>
      <w:r>
        <w:t>B</w:t>
      </w:r>
      <w:r w:rsidR="00BD5657" w:rsidRPr="0096671E">
        <w:t xml:space="preserve">.1. Alegatos de </w:t>
      </w:r>
      <w:r w:rsidR="00905CD5">
        <w:t>las partes y observaciones de la Comisión</w:t>
      </w:r>
      <w:bookmarkEnd w:id="58"/>
    </w:p>
    <w:p w14:paraId="4E440669" w14:textId="77777777" w:rsidR="00BD5657" w:rsidRPr="008A12F5" w:rsidRDefault="00BD5657" w:rsidP="004330E3">
      <w:pPr>
        <w:rPr>
          <w:rFonts w:ascii="Verdana" w:hAnsi="Verdana"/>
          <w:sz w:val="20"/>
          <w:szCs w:val="20"/>
          <w:highlight w:val="yellow"/>
          <w:lang w:eastAsia="es-CR"/>
        </w:rPr>
      </w:pPr>
    </w:p>
    <w:p w14:paraId="60E3A963" w14:textId="0727132A" w:rsidR="0026085A" w:rsidRDefault="00953F8D" w:rsidP="00D753D0">
      <w:pPr>
        <w:pStyle w:val="PrrafodeSentencia"/>
      </w:pPr>
      <w:r>
        <w:t xml:space="preserve">La </w:t>
      </w:r>
      <w:r w:rsidRPr="0075488F">
        <w:rPr>
          <w:b/>
          <w:i/>
        </w:rPr>
        <w:t>Comisión</w:t>
      </w:r>
      <w:r w:rsidRPr="0075488F">
        <w:rPr>
          <w:b/>
        </w:rPr>
        <w:t xml:space="preserve"> </w:t>
      </w:r>
      <w:r w:rsidR="00781479">
        <w:t>señaló</w:t>
      </w:r>
      <w:r>
        <w:t xml:space="preserve"> que la nacionalidad es la expresión jurídica </w:t>
      </w:r>
      <w:r w:rsidR="003D6C7A">
        <w:t>del</w:t>
      </w:r>
      <w:r>
        <w:t xml:space="preserve"> hecho social de conexión de un individuo con el Estado, del cual se derivan derechos políticos y algunos derechos </w:t>
      </w:r>
      <w:r>
        <w:lastRenderedPageBreak/>
        <w:t>civiles. Asimismo, señaló que los Estados tienen discrecionalidad para fijar las condiciones exigidas a las personas que deseen obtener la nacionalidad. Sin embargo, advirtió que los Estados no pueden actuar de forma arbitraria</w:t>
      </w:r>
      <w:r w:rsidR="00C73EEF">
        <w:t xml:space="preserve"> en el ejercicio de su discrecionalidad,</w:t>
      </w:r>
      <w:r>
        <w:t xml:space="preserve"> y</w:t>
      </w:r>
      <w:r w:rsidR="00C73EEF">
        <w:t xml:space="preserve"> por lo tanto</w:t>
      </w:r>
      <w:r>
        <w:t xml:space="preserve"> tienen </w:t>
      </w:r>
      <w:r w:rsidR="00C73EEF">
        <w:t xml:space="preserve">como </w:t>
      </w:r>
      <w:r>
        <w:t xml:space="preserve">límite el deber de brindar protección igualitaria y efectiva de la ley, sin discriminación, y el deber de prevenir, evitar y reducir la apatridia. </w:t>
      </w:r>
      <w:r w:rsidRPr="0075488F">
        <w:rPr>
          <w:rFonts w:eastAsia="Calibri" w:cs="Arial"/>
          <w:lang w:val="es-CO" w:eastAsia="es-CR"/>
        </w:rPr>
        <w:t>En el caso concreto, la Comisión sostuvo que</w:t>
      </w:r>
      <w:r w:rsidRPr="00953F8D">
        <w:t xml:space="preserve"> el Juez Federal</w:t>
      </w:r>
      <w:r w:rsidR="00003851">
        <w:t xml:space="preserve"> Subrogante</w:t>
      </w:r>
      <w:r w:rsidRPr="00953F8D">
        <w:t xml:space="preserve"> acudió al proceso penal para conocer el estado del mismo, y aunque no existía sentencia con una condena en firme, tomó la información de aquel para concluir que la señora Habbal incurrió en un accionar fraudulento y, con base en ello la despojó de su nacionalidad. El actuar del Juez Federal constituyó, </w:t>
      </w:r>
      <w:r w:rsidR="00ED7DD3">
        <w:t>de acuerdo con</w:t>
      </w:r>
      <w:r w:rsidRPr="00953F8D">
        <w:t xml:space="preserve"> la Comisión, una violación al principio de presunción de inocencia. Adicionalmente, la Comisión concluyó que la decisión del Juez Federal</w:t>
      </w:r>
      <w:r w:rsidR="006C06BC">
        <w:t xml:space="preserve"> Subrogante</w:t>
      </w:r>
      <w:r w:rsidRPr="00953F8D">
        <w:t xml:space="preserve"> y la Cámara de Apelaciones desconoció el principio de legalidad</w:t>
      </w:r>
      <w:r w:rsidR="00E819D8">
        <w:t>,</w:t>
      </w:r>
      <w:r w:rsidRPr="00953F8D">
        <w:t xml:space="preserve"> y el derecho a una motivación suficiente.</w:t>
      </w:r>
    </w:p>
    <w:p w14:paraId="4C23671B" w14:textId="77777777" w:rsidR="00FE701E" w:rsidRDefault="00FE701E" w:rsidP="00D753D0">
      <w:pPr>
        <w:pStyle w:val="PrrafodeSentencia"/>
        <w:numPr>
          <w:ilvl w:val="0"/>
          <w:numId w:val="0"/>
        </w:numPr>
      </w:pPr>
    </w:p>
    <w:p w14:paraId="39F60277" w14:textId="1B8A68E6" w:rsidR="00DF1E76" w:rsidRPr="00DF1E76" w:rsidRDefault="000E31EA" w:rsidP="00D753D0">
      <w:pPr>
        <w:pStyle w:val="PrrafodeSentencia"/>
      </w:pPr>
      <w:r w:rsidRPr="00BF72D3">
        <w:rPr>
          <w:lang w:val="es-ES"/>
        </w:rPr>
        <w:t xml:space="preserve">Además, la Comisión destacó que </w:t>
      </w:r>
      <w:r w:rsidR="00DF1944" w:rsidRPr="00BF72D3">
        <w:t>el procedimiento de anulación de nacionalidad de la señora Habbal debía brindar las garantías procesales a la involucrada, pues podía llevar a la privación de su nacionalidad. Sobre la motivación de la decisión, la Comisión</w:t>
      </w:r>
      <w:r w:rsidR="00687BA7" w:rsidRPr="00BF72D3">
        <w:t xml:space="preserve"> no encontró</w:t>
      </w:r>
      <w:r w:rsidR="00DF1944" w:rsidRPr="00BF72D3">
        <w:t xml:space="preserve"> que la decisión judicial que anuló la nacionalidad de la señora Habbal hubiera hecho un análisis de proporcionalidad que tuviera en cuenta el fin legítimo y la afectación de derechos. </w:t>
      </w:r>
      <w:r w:rsidR="00687BA7" w:rsidRPr="00BF72D3">
        <w:t>En ese sentido, observó</w:t>
      </w:r>
      <w:r w:rsidR="00DF1944" w:rsidRPr="00BF72D3">
        <w:t xml:space="preserve"> que las autoridades nunca tuvieron en consideración que Raghda Habbal era madre de un niño nacido en Argentina. </w:t>
      </w:r>
      <w:r w:rsidR="00CA094D" w:rsidRPr="00FC5BED">
        <w:rPr>
          <w:lang w:val="es-CO"/>
        </w:rPr>
        <w:t xml:space="preserve">Por otro lado, </w:t>
      </w:r>
      <w:r w:rsidR="00FC5BED" w:rsidRPr="00FC5BED">
        <w:rPr>
          <w:lang w:val="es-CO"/>
        </w:rPr>
        <w:t xml:space="preserve">la Comisión sostuvo que </w:t>
      </w:r>
      <w:r w:rsidR="00CA094D" w:rsidRPr="004421C0">
        <w:t>el Estado no realizó consideración</w:t>
      </w:r>
      <w:r w:rsidR="00FC5BED">
        <w:t xml:space="preserve"> alguna</w:t>
      </w:r>
      <w:r w:rsidR="00CA094D" w:rsidRPr="004421C0">
        <w:t xml:space="preserve"> sobre el riesgo de apatridia en </w:t>
      </w:r>
      <w:r w:rsidR="00ED7DD3">
        <w:t>el</w:t>
      </w:r>
      <w:r w:rsidR="00ED7DD3" w:rsidRPr="004421C0">
        <w:t xml:space="preserve"> </w:t>
      </w:r>
      <w:r w:rsidR="00CA094D" w:rsidRPr="004421C0">
        <w:t>que estaba la señora Habbal</w:t>
      </w:r>
      <w:r w:rsidR="00CA094D">
        <w:t xml:space="preserve"> al momento de anular el acto que le otorgó la ciudadanía</w:t>
      </w:r>
      <w:r w:rsidR="00ED7DD3" w:rsidRPr="00D35F5C">
        <w:t xml:space="preserve">, </w:t>
      </w:r>
      <w:r w:rsidR="00ED7DD3">
        <w:t>en</w:t>
      </w:r>
      <w:r w:rsidR="00CA094D" w:rsidRPr="004421C0">
        <w:t xml:space="preserve"> violación del deber de prevención de la apatridia</w:t>
      </w:r>
      <w:r w:rsidR="00ED7DD3">
        <w:t xml:space="preserve">. </w:t>
      </w:r>
      <w:r w:rsidR="00953F8D" w:rsidRPr="00953F8D">
        <w:t>Por todo lo anterior, la Comisión concluyó que el Estado argentino violó el principio de presunción de inocencia</w:t>
      </w:r>
      <w:r w:rsidR="00FC2CAC">
        <w:t>,</w:t>
      </w:r>
      <w:r w:rsidR="00953F8D" w:rsidRPr="00953F8D">
        <w:t xml:space="preserve"> el principio de legalidad</w:t>
      </w:r>
      <w:r w:rsidR="00FC2CAC">
        <w:t>, y el derecho a la nacionalidad,</w:t>
      </w:r>
      <w:r w:rsidR="00953F8D" w:rsidRPr="00953F8D">
        <w:t xml:space="preserve"> establecidos en los artículos 8.2</w:t>
      </w:r>
      <w:r w:rsidR="00FC2CAC">
        <w:t>,</w:t>
      </w:r>
      <w:r w:rsidR="00953F8D" w:rsidRPr="00953F8D">
        <w:t xml:space="preserve"> 9</w:t>
      </w:r>
      <w:r w:rsidR="00FC2CAC">
        <w:t xml:space="preserve"> y 20</w:t>
      </w:r>
      <w:r w:rsidR="00953F8D" w:rsidRPr="00953F8D">
        <w:t xml:space="preserve"> de la Convención Americana en relación con el artículo 1.1 del mismo instrumento, en perjuicio de Raghda Habbal. </w:t>
      </w:r>
    </w:p>
    <w:p w14:paraId="19EDF0F7" w14:textId="77777777" w:rsidR="00953F8D" w:rsidRPr="00953F8D" w:rsidRDefault="00953F8D" w:rsidP="00D753D0">
      <w:pPr>
        <w:pStyle w:val="PrrafodeSentencia"/>
        <w:numPr>
          <w:ilvl w:val="0"/>
          <w:numId w:val="0"/>
        </w:numPr>
      </w:pPr>
    </w:p>
    <w:p w14:paraId="0770F1E7" w14:textId="5FC28459" w:rsidR="00B65DE0" w:rsidRPr="00953F8D" w:rsidRDefault="001A38F1" w:rsidP="00D753D0">
      <w:pPr>
        <w:pStyle w:val="PrrafodeSentencia"/>
      </w:pPr>
      <w:r>
        <w:rPr>
          <w:rFonts w:eastAsia="Calibri" w:cs="Arial"/>
          <w:lang w:val="es-CO" w:eastAsia="es-CR"/>
        </w:rPr>
        <w:t>Los</w:t>
      </w:r>
      <w:r w:rsidR="00953F8D" w:rsidRPr="00953F8D">
        <w:rPr>
          <w:rFonts w:eastAsia="Calibri" w:cs="Arial"/>
          <w:lang w:val="es-CO" w:eastAsia="es-CR"/>
        </w:rPr>
        <w:t xml:space="preserve"> </w:t>
      </w:r>
      <w:r w:rsidR="00953F8D" w:rsidRPr="00953F8D">
        <w:rPr>
          <w:rFonts w:eastAsia="Calibri" w:cs="Arial"/>
          <w:b/>
          <w:i/>
          <w:lang w:val="es-CO" w:eastAsia="es-CR"/>
        </w:rPr>
        <w:t>representante</w:t>
      </w:r>
      <w:r>
        <w:rPr>
          <w:rFonts w:eastAsia="Calibri" w:cs="Arial"/>
          <w:b/>
          <w:i/>
          <w:lang w:val="es-CO" w:eastAsia="es-CR"/>
        </w:rPr>
        <w:t>s</w:t>
      </w:r>
      <w:r w:rsidR="00953F8D" w:rsidRPr="00953F8D">
        <w:rPr>
          <w:rFonts w:eastAsia="Calibri" w:cs="Arial"/>
          <w:b/>
          <w:i/>
          <w:lang w:val="es-CO" w:eastAsia="es-CR"/>
        </w:rPr>
        <w:t xml:space="preserve"> </w:t>
      </w:r>
      <w:r w:rsidR="00953F8D" w:rsidRPr="00953F8D">
        <w:rPr>
          <w:rFonts w:eastAsia="Calibri" w:cs="Arial"/>
          <w:lang w:val="es-CO" w:eastAsia="es-CR"/>
        </w:rPr>
        <w:t>sostuv</w:t>
      </w:r>
      <w:r>
        <w:rPr>
          <w:rFonts w:eastAsia="Calibri" w:cs="Arial"/>
          <w:lang w:val="es-CO" w:eastAsia="es-CR"/>
        </w:rPr>
        <w:t>ieron</w:t>
      </w:r>
      <w:r w:rsidR="00953F8D" w:rsidRPr="00953F8D">
        <w:rPr>
          <w:rFonts w:eastAsia="Calibri" w:cs="Arial"/>
          <w:lang w:val="es-CO" w:eastAsia="es-CR"/>
        </w:rPr>
        <w:t xml:space="preserve"> que </w:t>
      </w:r>
      <w:r w:rsidR="00953F8D" w:rsidRPr="00953F8D">
        <w:t>el Estado vulneró los derechos protegidos por los artículos 8, 2</w:t>
      </w:r>
      <w:r w:rsidR="00FC2CAC">
        <w:t>0</w:t>
      </w:r>
      <w:r w:rsidR="00953F8D" w:rsidRPr="00953F8D">
        <w:t xml:space="preserve"> y 9 de la Convención, en relación con el artículo 1.1, por la vulneración en el caso del principio de presunción de inocencia. Al respecto, manifest</w:t>
      </w:r>
      <w:r>
        <w:t>aron</w:t>
      </w:r>
      <w:r w:rsidR="00953F8D" w:rsidRPr="00953F8D">
        <w:t xml:space="preserve"> que el juez del proceso</w:t>
      </w:r>
      <w:r w:rsidR="007C4808">
        <w:t xml:space="preserve"> de revocación de la ciudadanía</w:t>
      </w:r>
      <w:r w:rsidR="00953F8D" w:rsidRPr="00953F8D">
        <w:t xml:space="preserve"> anuló la ciudadanía de Raghda Habbal sin esperar al resultado del proceso penal</w:t>
      </w:r>
      <w:r w:rsidR="007C4808">
        <w:t>, violando el</w:t>
      </w:r>
      <w:r w:rsidR="00953F8D" w:rsidRPr="00953F8D">
        <w:t xml:space="preserve"> principio de inocencia en el caso.</w:t>
      </w:r>
      <w:r w:rsidR="00063421">
        <w:t xml:space="preserve"> Asimismo, </w:t>
      </w:r>
      <w:r>
        <w:rPr>
          <w:rFonts w:cs="Times New Roman"/>
        </w:rPr>
        <w:t>los representantes alegaron</w:t>
      </w:r>
      <w:r w:rsidR="00B65DE0" w:rsidRPr="00063421">
        <w:rPr>
          <w:rFonts w:cs="Times New Roman"/>
        </w:rPr>
        <w:t xml:space="preserve"> que se violó el </w:t>
      </w:r>
      <w:r w:rsidR="00B65DE0" w:rsidRPr="00063421">
        <w:rPr>
          <w:rFonts w:cs="TimesNewRomanPS-BoldMT"/>
        </w:rPr>
        <w:t xml:space="preserve">derecho a la nacionalidad y prevención de la apatridia </w:t>
      </w:r>
      <w:r w:rsidR="00B65DE0" w:rsidRPr="00482155">
        <w:t xml:space="preserve">debido a que la señora Habbal, al ser obligada a renunciar a su nacionalidad siria para adoptar la argentina, cuando su nacionalidad argentina fue anulada por el Poder Judicial, quedó en calidad de apátrida. </w:t>
      </w:r>
      <w:r>
        <w:t>Los representantes sostuvieron</w:t>
      </w:r>
      <w:r w:rsidR="00B65DE0" w:rsidRPr="00482155">
        <w:t xml:space="preserve"> que nada dijeron los tribunales intervinientes en materia civil respecto de ello. </w:t>
      </w:r>
      <w:r w:rsidR="002B22D8">
        <w:t>En el mismo sentido</w:t>
      </w:r>
      <w:r w:rsidR="00B65DE0" w:rsidRPr="00482155">
        <w:t>, sostuv</w:t>
      </w:r>
      <w:r>
        <w:t>ieron</w:t>
      </w:r>
      <w:r w:rsidR="00B65DE0" w:rsidRPr="00482155">
        <w:t xml:space="preserve"> que la Resolución 1088 vulneró sus derechos pues no tuvo en cuenta la situación de posible apatridia al dictarla. Aleg</w:t>
      </w:r>
      <w:r>
        <w:t>ar</w:t>
      </w:r>
      <w:r w:rsidR="00342DA3">
        <w:t>o</w:t>
      </w:r>
      <w:r>
        <w:t>n</w:t>
      </w:r>
      <w:r w:rsidR="00B65DE0" w:rsidRPr="00482155">
        <w:t xml:space="preserve"> que este acto administrativo, siendo sumamente gravoso para las presuntas víctimas, no les dio derecho de defensa ni fue motivado en forma exhaustiva para mostrar su proporcionalidad.</w:t>
      </w:r>
    </w:p>
    <w:p w14:paraId="51F571C4" w14:textId="77777777" w:rsidR="00953F8D" w:rsidRPr="001A38F1" w:rsidRDefault="00953F8D" w:rsidP="00792F0B">
      <w:pPr>
        <w:autoSpaceDE w:val="0"/>
        <w:autoSpaceDN w:val="0"/>
        <w:adjustRightInd w:val="0"/>
        <w:rPr>
          <w:rFonts w:ascii="Verdana" w:hAnsi="Verdana" w:cs="TimesNewRomanPS-BoldMT"/>
          <w:b/>
          <w:bCs/>
          <w:sz w:val="20"/>
          <w:szCs w:val="20"/>
          <w:lang w:val="es-ES_tradnl"/>
        </w:rPr>
      </w:pPr>
    </w:p>
    <w:p w14:paraId="523B25C0" w14:textId="7F73DEA9" w:rsidR="00224EFA" w:rsidRPr="00224EFA" w:rsidRDefault="00953F8D" w:rsidP="00D753D0">
      <w:pPr>
        <w:pStyle w:val="PrrafodeSentencia"/>
      </w:pPr>
      <w:r w:rsidRPr="006E543A">
        <w:t xml:space="preserve">El </w:t>
      </w:r>
      <w:r w:rsidRPr="006E543A">
        <w:rPr>
          <w:b/>
          <w:i/>
        </w:rPr>
        <w:t xml:space="preserve">Estado </w:t>
      </w:r>
      <w:r w:rsidRPr="006E543A">
        <w:t>sostu</w:t>
      </w:r>
      <w:r>
        <w:t>vo que la conclusión a la que arrib</w:t>
      </w:r>
      <w:r w:rsidR="00ED7DD3">
        <w:t>ó</w:t>
      </w:r>
      <w:r>
        <w:t xml:space="preserve"> la Comisión sobre la existencia de una violación a los principios de legalidad y presunción de inocencia, así como al derecho a una motivación suficiente, como resultado de la anulación de la ciudadanía, se encuentran basados en una equivocada interpretación de los principios jurídicos en juego, particularmente respecto a un alcance errado que se concede a la “prejudicialidad” y su derivación del principio de </w:t>
      </w:r>
      <w:r w:rsidR="00597268">
        <w:t xml:space="preserve">presunción de </w:t>
      </w:r>
      <w:r>
        <w:t xml:space="preserve">inocencia. En ese sentido, alegó que lo que tuvo en cuenta el Juzgado Federal No. 2 de Mendoza al momento de declarar nula la ciudadanía otorgada a la señora Habbal no fue su responsabilidad penal individual en la presentación de los documentos ideológicamente falsos, sino la falsedad de dichos documentos respecto de los presupuestos de hecho que sustentaron la naturalización. Sostuvo que de ahí se deriva que no era necesario aguardar una sentencia penal para determinar que existió un “fraude”, pues la connotación no era penal sino </w:t>
      </w:r>
      <w:r>
        <w:lastRenderedPageBreak/>
        <w:t xml:space="preserve">civil en el análisis realizado por el Juzgado Federal. En consecuencia, sostuvo que la anulación de la ciudadanía no infringió el principio de presunción de inocencia de la señora Habbal, ya que no juzgo ni prejuzgó sobre su culpabilidad penal, sino que basó su decisión en la constatación de la falsedad ideológica representada en los documentos que </w:t>
      </w:r>
      <w:r w:rsidR="004757FE">
        <w:t xml:space="preserve">la señora Habbal </w:t>
      </w:r>
      <w:r>
        <w:t>presentó.</w:t>
      </w:r>
    </w:p>
    <w:p w14:paraId="4F57798A" w14:textId="77777777" w:rsidR="00BD5657" w:rsidRPr="008A12F5" w:rsidRDefault="00BD5657" w:rsidP="00D753D0">
      <w:pPr>
        <w:pStyle w:val="PrrafodeSentencia"/>
        <w:numPr>
          <w:ilvl w:val="0"/>
          <w:numId w:val="0"/>
        </w:numPr>
        <w:rPr>
          <w:highlight w:val="yellow"/>
        </w:rPr>
      </w:pPr>
    </w:p>
    <w:p w14:paraId="69DE70D5" w14:textId="6A4CFB91" w:rsidR="00BD5657" w:rsidRPr="00BD45C6" w:rsidRDefault="00E17F8E" w:rsidP="004330E3">
      <w:pPr>
        <w:pStyle w:val="Ttulo3"/>
      </w:pPr>
      <w:bookmarkStart w:id="59" w:name="_Toc115167442"/>
      <w:r>
        <w:t>B</w:t>
      </w:r>
      <w:r w:rsidR="00BD5657">
        <w:t>.</w:t>
      </w:r>
      <w:r>
        <w:t>2</w:t>
      </w:r>
      <w:r w:rsidR="00BD5657">
        <w:t xml:space="preserve">. </w:t>
      </w:r>
      <w:r w:rsidR="00BD5657" w:rsidRPr="00BD45C6">
        <w:t>Consideraciones de la Corte</w:t>
      </w:r>
      <w:bookmarkEnd w:id="59"/>
    </w:p>
    <w:p w14:paraId="38E14707" w14:textId="417FD91F" w:rsidR="0067245B" w:rsidRDefault="0067245B" w:rsidP="00D753D0">
      <w:pPr>
        <w:pStyle w:val="PrrafodeSentencia"/>
        <w:numPr>
          <w:ilvl w:val="0"/>
          <w:numId w:val="0"/>
        </w:numPr>
      </w:pPr>
    </w:p>
    <w:p w14:paraId="3DBD1F12" w14:textId="0B255574" w:rsidR="0067245B" w:rsidRPr="005E7E0B" w:rsidRDefault="0067245B" w:rsidP="0067245B">
      <w:pPr>
        <w:pStyle w:val="Ttulo4"/>
      </w:pPr>
      <w:r>
        <w:t>B</w:t>
      </w:r>
      <w:r w:rsidRPr="005E7E0B">
        <w:t>.</w:t>
      </w:r>
      <w:r>
        <w:t>2</w:t>
      </w:r>
      <w:r w:rsidRPr="005E7E0B">
        <w:t xml:space="preserve">.1. </w:t>
      </w:r>
      <w:r>
        <w:t>El derecho a la nacionalidad</w:t>
      </w:r>
      <w:r w:rsidR="00E64069">
        <w:t xml:space="preserve"> y las garantías mínimas del debido proceso en procedimientos de privación de nacionalidad </w:t>
      </w:r>
    </w:p>
    <w:p w14:paraId="6EDD7935" w14:textId="77777777" w:rsidR="0067245B" w:rsidRPr="0067245B" w:rsidRDefault="0067245B" w:rsidP="00D753D0">
      <w:pPr>
        <w:pStyle w:val="PrrafodeSentencia"/>
        <w:numPr>
          <w:ilvl w:val="0"/>
          <w:numId w:val="0"/>
        </w:numPr>
      </w:pPr>
    </w:p>
    <w:p w14:paraId="28BB8A84" w14:textId="58C48F6E" w:rsidR="00983629" w:rsidRPr="00983629" w:rsidRDefault="001412CF" w:rsidP="00D753D0">
      <w:pPr>
        <w:pStyle w:val="PrrafodeSentencia"/>
        <w:rPr>
          <w:rFonts w:cs="Arial"/>
        </w:rPr>
      </w:pPr>
      <w:r w:rsidRPr="001412CF">
        <w:t xml:space="preserve">Respecto al derecho a la nacionalidad, consagrado en el artículo 20 de la Convención Americana, </w:t>
      </w:r>
      <w:r w:rsidRPr="001412CF">
        <w:rPr>
          <w:lang w:val="es-MX"/>
        </w:rPr>
        <w:t>la Corte ha</w:t>
      </w:r>
      <w:r w:rsidRPr="001412CF">
        <w:t xml:space="preserve"> indicado que la nacionalidad</w:t>
      </w:r>
      <w:r w:rsidR="000C7A5E">
        <w:t xml:space="preserve"> es el</w:t>
      </w:r>
      <w:r w:rsidRPr="001412CF">
        <w:t xml:space="preserve"> vínculo jurídico político que liga una persona a un Estado determinado, permite que el individuo adquiera y ejerza los derechos y responsabilidades propias de la pertenencia a una comunidad política. Como tal, la nacionalidad es un prerrequisito para el ejercicio de determinados derechos</w:t>
      </w:r>
      <w:r w:rsidRPr="001412CF">
        <w:rPr>
          <w:vertAlign w:val="superscript"/>
        </w:rPr>
        <w:footnoteReference w:id="117"/>
      </w:r>
      <w:r w:rsidRPr="001412CF">
        <w:t xml:space="preserve">, y </w:t>
      </w:r>
      <w:r w:rsidR="000C7A5E">
        <w:t>es</w:t>
      </w:r>
      <w:r w:rsidRPr="001412CF">
        <w:t xml:space="preserve"> además un derecho de carácter inderogable de conformidad con el artículo 27 de la Convención. </w:t>
      </w:r>
      <w:r w:rsidRPr="001412CF">
        <w:rPr>
          <w:lang w:val="es-MX"/>
        </w:rPr>
        <w:t>Al respecto, resulta pertinente mencionar que la nacionalidad es un derecho fundamental de la persona humana que está establecido en otros instrumentos internacionales</w:t>
      </w:r>
      <w:r w:rsidRPr="001412CF">
        <w:rPr>
          <w:rStyle w:val="Refdenotaalpie"/>
          <w:iCs w:val="0"/>
          <w:lang w:val="es-MX"/>
        </w:rPr>
        <w:footnoteReference w:id="118"/>
      </w:r>
      <w:r w:rsidRPr="001412CF">
        <w:rPr>
          <w:lang w:val="es-MX"/>
        </w:rPr>
        <w:t>.</w:t>
      </w:r>
      <w:r w:rsidR="003271AF">
        <w:rPr>
          <w:lang w:val="es-MX"/>
        </w:rPr>
        <w:t xml:space="preserve"> </w:t>
      </w:r>
      <w:r w:rsidRPr="003271AF">
        <w:t>Asimismo, cabe señalar que la Convención Americana recoge el derecho a la nacionalidad en un doble aspecto:</w:t>
      </w:r>
      <w:r w:rsidR="00F47942">
        <w:t xml:space="preserve"> a)</w:t>
      </w:r>
      <w:r w:rsidRPr="003271AF">
        <w:t xml:space="preserve"> el derecho a tener una nacionalidad desde la perspectiva de dotar al individuo de un mínimo de amparo jurídico en el conjunto de relaciones, al establecer su vinculación con un Estado determinado, y</w:t>
      </w:r>
      <w:r w:rsidR="00F47942">
        <w:t xml:space="preserve"> b)</w:t>
      </w:r>
      <w:r w:rsidRPr="003271AF">
        <w:t xml:space="preserve"> el de proteger al individuo</w:t>
      </w:r>
      <w:r w:rsidRPr="003271AF">
        <w:rPr>
          <w:b/>
        </w:rPr>
        <w:t xml:space="preserve"> </w:t>
      </w:r>
      <w:r w:rsidRPr="003271AF">
        <w:t>contra la privación de su nacionalidad en forma arbitraria, porque de ese modo se le estaría privando de la totalidad de sus derechos políticos</w:t>
      </w:r>
      <w:r w:rsidR="00D0648F">
        <w:t>,</w:t>
      </w:r>
      <w:r w:rsidRPr="003271AF">
        <w:t xml:space="preserve"> y de aquellos derechos civiles que se sustentan en la nacionalidad del individuo</w:t>
      </w:r>
      <w:r w:rsidRPr="001412CF">
        <w:rPr>
          <w:rStyle w:val="Refdenotaalpie"/>
          <w:iCs w:val="0"/>
        </w:rPr>
        <w:footnoteReference w:id="119"/>
      </w:r>
      <w:r w:rsidRPr="003271AF">
        <w:t>.</w:t>
      </w:r>
    </w:p>
    <w:p w14:paraId="77579BDB" w14:textId="77777777" w:rsidR="00983629" w:rsidRDefault="00983629" w:rsidP="00D753D0">
      <w:pPr>
        <w:pStyle w:val="PrrafodeSentencia"/>
        <w:numPr>
          <w:ilvl w:val="0"/>
          <w:numId w:val="0"/>
        </w:numPr>
      </w:pPr>
    </w:p>
    <w:p w14:paraId="32E2CC5A" w14:textId="078F19EF" w:rsidR="00A10CCE" w:rsidRPr="00A10CCE" w:rsidRDefault="00983629" w:rsidP="00D753D0">
      <w:pPr>
        <w:pStyle w:val="PrrafodeSentencia"/>
      </w:pPr>
      <w:r w:rsidRPr="00983629">
        <w:t>En relación con lo anterior, e</w:t>
      </w:r>
      <w:r w:rsidR="001412CF" w:rsidRPr="00983629">
        <w:t xml:space="preserve">ste Tribunal ha establecido que </w:t>
      </w:r>
      <w:r>
        <w:t>l</w:t>
      </w:r>
      <w:r w:rsidR="001412CF" w:rsidRPr="00983629">
        <w:t>a nacionalidad, conforme se acepta mayoritariamente, debe ser considerada como un estado natural del ser humano. Tal estado es no sólo el fundamento mismo de su capacidad política</w:t>
      </w:r>
      <w:r w:rsidR="001B5EA2">
        <w:t>,</w:t>
      </w:r>
      <w:r w:rsidR="001412CF" w:rsidRPr="00983629">
        <w:t xml:space="preserve"> sino también de parte de su capacidad civil. De allí que, no obstante que tradicionalmente se ha aceptado que la determinación y regulación de la nacionalidad </w:t>
      </w:r>
      <w:r w:rsidR="004D6B6F">
        <w:t>es</w:t>
      </w:r>
      <w:r w:rsidR="001412CF" w:rsidRPr="00983629">
        <w:t xml:space="preserve"> competencia de cada Estado, la evolución cumplida en esta materia demuestra que el derecho internacional impone ciertos límites a la discrecionalidad de los Estados</w:t>
      </w:r>
      <w:r w:rsidR="001412CF" w:rsidRPr="001412CF">
        <w:rPr>
          <w:vertAlign w:val="superscript"/>
        </w:rPr>
        <w:footnoteReference w:id="120"/>
      </w:r>
      <w:r w:rsidR="001412CF" w:rsidRPr="00983629">
        <w:t>.</w:t>
      </w:r>
      <w:r w:rsidR="003A51C5">
        <w:t xml:space="preserve"> </w:t>
      </w:r>
      <w:r w:rsidR="001412CF" w:rsidRPr="003A51C5">
        <w:rPr>
          <w:lang w:val="es-CR"/>
        </w:rPr>
        <w:t>En este sentido, la Corte</w:t>
      </w:r>
      <w:r w:rsidR="003A51C5">
        <w:rPr>
          <w:lang w:val="es-CR"/>
        </w:rPr>
        <w:t xml:space="preserve"> ha</w:t>
      </w:r>
      <w:r w:rsidR="001412CF" w:rsidRPr="003A51C5">
        <w:rPr>
          <w:lang w:val="es-CR"/>
        </w:rPr>
        <w:t xml:space="preserve"> considera</w:t>
      </w:r>
      <w:r w:rsidR="003A51C5">
        <w:rPr>
          <w:lang w:val="es-CR"/>
        </w:rPr>
        <w:t>do</w:t>
      </w:r>
      <w:r w:rsidR="001412CF" w:rsidRPr="003A51C5">
        <w:rPr>
          <w:lang w:val="es-CR"/>
        </w:rPr>
        <w:t xml:space="preserve"> que la determinación de quienes son nacionales sigue siendo competencia interna de los Estados. Sin perjuicio de ello, resulta necesario que dicha atribución estatal se ejerza en concordancia con los parámetros emanados de normas obligatorias del derecho internacional a las que los propios Estados, en ejercicio de su soberanía, se hayan sometido</w:t>
      </w:r>
      <w:r w:rsidR="00A10CCE" w:rsidRPr="001412CF">
        <w:rPr>
          <w:rStyle w:val="Refdenotaalpie"/>
          <w:iCs w:val="0"/>
        </w:rPr>
        <w:footnoteReference w:id="121"/>
      </w:r>
      <w:r w:rsidR="001412CF" w:rsidRPr="003A51C5">
        <w:rPr>
          <w:lang w:val="es-CR"/>
        </w:rPr>
        <w:t xml:space="preserve">. </w:t>
      </w:r>
    </w:p>
    <w:p w14:paraId="41C675FB" w14:textId="77777777" w:rsidR="00A10CCE" w:rsidRPr="00A10CCE" w:rsidRDefault="00A10CCE" w:rsidP="00792F0B">
      <w:pPr>
        <w:rPr>
          <w:iCs/>
          <w:lang w:val="es-ES"/>
        </w:rPr>
      </w:pPr>
    </w:p>
    <w:p w14:paraId="5B2541AF" w14:textId="5C03AD67" w:rsidR="00F66220" w:rsidRPr="00BB18CF" w:rsidRDefault="001412CF" w:rsidP="00D753D0">
      <w:pPr>
        <w:pStyle w:val="PrrafodeSentencia"/>
        <w:rPr>
          <w:lang w:val="es-ES"/>
        </w:rPr>
      </w:pPr>
      <w:r w:rsidRPr="00BB18CF">
        <w:t xml:space="preserve">Así, de acuerdo al desarrollo actual del derecho internacional de los derechos humanos, </w:t>
      </w:r>
      <w:r w:rsidR="00192DCF" w:rsidRPr="00BB18CF">
        <w:t xml:space="preserve">el Tribunal ha señalado que </w:t>
      </w:r>
      <w:r w:rsidRPr="00BB18CF">
        <w:t>es necesario que los Estados, al regular el otorgamiento</w:t>
      </w:r>
      <w:r w:rsidR="00F63D93" w:rsidRPr="00BB18CF">
        <w:t xml:space="preserve"> </w:t>
      </w:r>
      <w:r w:rsidRPr="00BB18CF">
        <w:t xml:space="preserve">de la nacionalidad, tengan en cuenta: a) su deber de prevenir, evitar y reducir la apatridia y b) su deber de brindar a los individuos una protección igualitaria y efectiva de la ley y sin </w:t>
      </w:r>
      <w:r w:rsidRPr="00BB18CF">
        <w:lastRenderedPageBreak/>
        <w:t>discriminación</w:t>
      </w:r>
      <w:r w:rsidRPr="00BB18CF">
        <w:rPr>
          <w:rStyle w:val="Refdenotaalpie"/>
          <w:iCs w:val="0"/>
        </w:rPr>
        <w:footnoteReference w:id="122"/>
      </w:r>
      <w:r w:rsidRPr="00BB18CF">
        <w:t>.</w:t>
      </w:r>
      <w:r w:rsidR="009F3D97" w:rsidRPr="00BB18CF">
        <w:t xml:space="preserve"> </w:t>
      </w:r>
      <w:r w:rsidR="00F66220" w:rsidRPr="00BB18CF">
        <w:t xml:space="preserve">En cuanto a su deber de prevenir, evitar y reducir la apatridia, </w:t>
      </w:r>
      <w:r w:rsidR="00866D79">
        <w:t>la Corte</w:t>
      </w:r>
      <w:r w:rsidR="00F66220" w:rsidRPr="00BB18CF">
        <w:t xml:space="preserve"> ha </w:t>
      </w:r>
      <w:r w:rsidR="00330090">
        <w:t>establecido</w:t>
      </w:r>
      <w:r w:rsidR="00F66220" w:rsidRPr="00BB18CF">
        <w:t xml:space="preserve"> que los Estados tienen la obligación de no adoptar prácticas o legislación, respecto al otorgamiento de la nacionalidad, cuya aplicación favorezca el incremento del número de personas apátridas. La apatridia tiene como consecuencia imposibilitar el goce de los derechos civiles y políticos de una persona, y ocasionarle una condición de extrema vulnerabilidad</w:t>
      </w:r>
      <w:r w:rsidR="00F66220" w:rsidRPr="00BB18CF">
        <w:rPr>
          <w:rStyle w:val="Refdenotaalpie"/>
          <w:iCs w:val="0"/>
        </w:rPr>
        <w:footnoteReference w:id="123"/>
      </w:r>
      <w:r w:rsidR="00F66220" w:rsidRPr="00BB18CF">
        <w:t>.</w:t>
      </w:r>
      <w:r w:rsidR="005B3C3D" w:rsidRPr="00BB18CF">
        <w:t xml:space="preserve"> De esta forma, la Corte </w:t>
      </w:r>
      <w:r w:rsidR="004F0094">
        <w:t>ha señalado</w:t>
      </w:r>
      <w:r w:rsidR="004F0094" w:rsidRPr="00BB18CF">
        <w:t xml:space="preserve"> </w:t>
      </w:r>
      <w:r w:rsidR="005B3C3D" w:rsidRPr="00BB18CF">
        <w:t xml:space="preserve">que el artículo 20.2 de la Convención Americana, el cual </w:t>
      </w:r>
      <w:r w:rsidR="004F0094">
        <w:t xml:space="preserve">dispone </w:t>
      </w:r>
      <w:r w:rsidR="005B3C3D" w:rsidRPr="00BB18CF">
        <w:t>que una persona nacida en el territorio de un Estado tiene derecho a la nacionalidad de ese Estado “si no tiene derecho a otra”, debe ser interpretado a la luz de la obligación de garantizar a toda persona sujeta a la jurisdicción estatal el ejercicio de los derechos, establecida en el artículo 1.1 de la Convención</w:t>
      </w:r>
      <w:r w:rsidR="004C2C56" w:rsidRPr="00BB18CF">
        <w:rPr>
          <w:rStyle w:val="Refdenotaalpie"/>
          <w:lang w:val="es-CR"/>
        </w:rPr>
        <w:footnoteReference w:id="124"/>
      </w:r>
      <w:r w:rsidR="005B3C3D" w:rsidRPr="00BB18CF">
        <w:t>.</w:t>
      </w:r>
    </w:p>
    <w:p w14:paraId="3F55B31C" w14:textId="77777777" w:rsidR="00F66220" w:rsidRPr="00D53B53" w:rsidRDefault="00F66220" w:rsidP="00792F0B">
      <w:pPr>
        <w:rPr>
          <w:rFonts w:ascii="Verdana" w:hAnsi="Verdana"/>
          <w:iCs/>
          <w:sz w:val="20"/>
          <w:szCs w:val="20"/>
          <w:highlight w:val="yellow"/>
        </w:rPr>
      </w:pPr>
    </w:p>
    <w:p w14:paraId="2401888F" w14:textId="473C32EC" w:rsidR="0031285C" w:rsidRPr="00F07BA9" w:rsidRDefault="00C65682" w:rsidP="00D753D0">
      <w:pPr>
        <w:pStyle w:val="PrrafodeSentencia"/>
        <w:rPr>
          <w:lang w:val="es-ES"/>
        </w:rPr>
      </w:pPr>
      <w:r w:rsidRPr="00BB18CF">
        <w:t>E</w:t>
      </w:r>
      <w:r w:rsidR="009F3D97" w:rsidRPr="00BB18CF">
        <w:t xml:space="preserve">ste Tribunal considera que </w:t>
      </w:r>
      <w:r w:rsidR="007025B7" w:rsidRPr="00BB18CF">
        <w:t>las obligaciones antes señaladas son aplicables no solo en lo que respecta al otorgamiento de la nacionalidad, sino también</w:t>
      </w:r>
      <w:r w:rsidR="00814507">
        <w:t>, en lo pertinente,</w:t>
      </w:r>
      <w:r w:rsidR="007025B7" w:rsidRPr="00BB18CF">
        <w:t xml:space="preserve"> en lo que se refiere a la </w:t>
      </w:r>
      <w:r w:rsidR="00367E5E">
        <w:t>privación</w:t>
      </w:r>
      <w:r w:rsidR="007025B7" w:rsidRPr="00BB18CF">
        <w:t xml:space="preserve"> de la misma. </w:t>
      </w:r>
      <w:r w:rsidR="004F1344" w:rsidRPr="00BB18CF">
        <w:t xml:space="preserve">El derecho a la nacionalidad conlleva la obligación estatal de </w:t>
      </w:r>
      <w:r w:rsidR="0016661F" w:rsidRPr="00BB18CF">
        <w:t xml:space="preserve">dotar de un mínimo de protección jurídica a las personas contra la </w:t>
      </w:r>
      <w:r w:rsidR="00367E5E">
        <w:t>privación</w:t>
      </w:r>
      <w:r w:rsidR="0016661F" w:rsidRPr="00BB18CF">
        <w:t xml:space="preserve"> de la </w:t>
      </w:r>
      <w:r w:rsidR="00A4198B" w:rsidRPr="00BB18CF">
        <w:t>nacionalidad</w:t>
      </w:r>
      <w:r w:rsidR="00B35403" w:rsidRPr="00BB18CF">
        <w:t>.</w:t>
      </w:r>
      <w:r w:rsidR="00F42DF0">
        <w:t xml:space="preserve"> En ese sentido, el artículo 20.3 de la Convención señala que </w:t>
      </w:r>
      <w:r w:rsidR="00F42DF0" w:rsidRPr="00157A51">
        <w:t>“</w:t>
      </w:r>
      <w:r w:rsidR="00157A51" w:rsidRPr="00157A51">
        <w:rPr>
          <w:rFonts w:cs="Tahoma"/>
          <w:color w:val="000000"/>
        </w:rPr>
        <w:t>[a] nadie se privará arbitrariamente de su nacionalidad ni del derecho a cambiarla.”</w:t>
      </w:r>
      <w:r w:rsidR="00B35403" w:rsidRPr="00BB18CF">
        <w:t xml:space="preserve"> De lo anterior se desprende que</w:t>
      </w:r>
      <w:r w:rsidR="00566F45">
        <w:t>,</w:t>
      </w:r>
      <w:r w:rsidR="00A4198B" w:rsidRPr="00BB18CF">
        <w:t xml:space="preserve"> si bien los Estados pueden establecer </w:t>
      </w:r>
      <w:r w:rsidR="00837DFF" w:rsidRPr="00BB18CF">
        <w:t xml:space="preserve">las pautas para la regulación </w:t>
      </w:r>
      <w:r w:rsidR="00924219">
        <w:t>del derecho a la</w:t>
      </w:r>
      <w:r w:rsidR="00837DFF" w:rsidRPr="00BB18CF">
        <w:t xml:space="preserve"> nacionalidad conforme su derecho interno,</w:t>
      </w:r>
      <w:r w:rsidR="00B35403" w:rsidRPr="00BB18CF">
        <w:t xml:space="preserve"> cualquier </w:t>
      </w:r>
      <w:r w:rsidR="000345E4">
        <w:t xml:space="preserve">proceso </w:t>
      </w:r>
      <w:r w:rsidR="00703663" w:rsidRPr="00BB18CF">
        <w:t xml:space="preserve">relacionado con la </w:t>
      </w:r>
      <w:r w:rsidR="00367E5E">
        <w:t>privación</w:t>
      </w:r>
      <w:r w:rsidR="00703663" w:rsidRPr="00BB18CF">
        <w:t xml:space="preserve"> de </w:t>
      </w:r>
      <w:r w:rsidR="00D932CB">
        <w:t>la misma</w:t>
      </w:r>
      <w:r w:rsidR="00703663" w:rsidRPr="00BB18CF">
        <w:t xml:space="preserve"> debe ser compatible con los derechos humanos reconocidos en la Convención Americana. Por esta razón, </w:t>
      </w:r>
      <w:r w:rsidR="0046356B">
        <w:t>el</w:t>
      </w:r>
      <w:r w:rsidR="00F45DBB" w:rsidRPr="00BB18CF">
        <w:t xml:space="preserve"> debido proceso debe ser garantizado a aquellas personas que se encuentren sujetas a </w:t>
      </w:r>
      <w:r w:rsidR="0069373F" w:rsidRPr="00BB18CF">
        <w:t>un procedimiento</w:t>
      </w:r>
      <w:r w:rsidR="0046356B">
        <w:t xml:space="preserve"> </w:t>
      </w:r>
      <w:r w:rsidR="0069373F" w:rsidRPr="00BB18CF">
        <w:t xml:space="preserve">de </w:t>
      </w:r>
      <w:r w:rsidR="00324BD2">
        <w:t>privación</w:t>
      </w:r>
      <w:r w:rsidR="0069373F" w:rsidRPr="00BB18CF">
        <w:t xml:space="preserve"> de nacionalidad, a efectos de</w:t>
      </w:r>
      <w:r w:rsidR="00A851A4" w:rsidRPr="00BB18CF">
        <w:t xml:space="preserve"> </w:t>
      </w:r>
      <w:r w:rsidR="006C26D4">
        <w:t xml:space="preserve">que </w:t>
      </w:r>
      <w:r w:rsidR="0069373F" w:rsidRPr="00BB18CF">
        <w:t>se</w:t>
      </w:r>
      <w:r w:rsidR="00B2075F">
        <w:t xml:space="preserve"> evite la arbitrariedad y las personas sujetas a estos procedimientos se</w:t>
      </w:r>
      <w:r w:rsidR="0069373F" w:rsidRPr="00BB18CF">
        <w:t xml:space="preserve"> encuentre</w:t>
      </w:r>
      <w:r w:rsidR="006C26D4">
        <w:t>n</w:t>
      </w:r>
      <w:r w:rsidR="0069373F" w:rsidRPr="00BB18CF">
        <w:t xml:space="preserve"> en condiciones de defender sus derechos</w:t>
      </w:r>
      <w:r w:rsidR="000C02B8" w:rsidRPr="00BB18CF">
        <w:t>.</w:t>
      </w:r>
      <w:r w:rsidR="0069373F" w:rsidRPr="00BB18CF">
        <w:t xml:space="preserve"> </w:t>
      </w:r>
      <w:r w:rsidR="0046356B">
        <w:t xml:space="preserve">Asimismo, </w:t>
      </w:r>
      <w:r w:rsidR="00276FC9">
        <w:t xml:space="preserve">los Estados deben cumplir con el principio de legalidad. </w:t>
      </w:r>
      <w:r w:rsidR="002A4273">
        <w:t>Todo l</w:t>
      </w:r>
      <w:r w:rsidR="006C26D4">
        <w:t>o anterior</w:t>
      </w:r>
      <w:r w:rsidR="0069373F" w:rsidRPr="00BB18CF">
        <w:t xml:space="preserve"> </w:t>
      </w:r>
      <w:r w:rsidR="002A4273">
        <w:t>conlleva</w:t>
      </w:r>
      <w:r w:rsidR="0069373F" w:rsidRPr="00BB18CF">
        <w:t xml:space="preserve"> que </w:t>
      </w:r>
      <w:r w:rsidR="0038676F" w:rsidRPr="00BB18CF">
        <w:t xml:space="preserve">los </w:t>
      </w:r>
      <w:r w:rsidR="0074699A">
        <w:t>procedimientos</w:t>
      </w:r>
      <w:r w:rsidR="0038676F" w:rsidRPr="00BB18CF">
        <w:t xml:space="preserve"> de </w:t>
      </w:r>
      <w:r w:rsidR="00324BD2">
        <w:t>privación</w:t>
      </w:r>
      <w:r w:rsidR="0038676F" w:rsidRPr="00BB18CF">
        <w:t xml:space="preserve"> de nacionalidad deben realizarse </w:t>
      </w:r>
      <w:r w:rsidR="00EF1278">
        <w:t>de conformidad con</w:t>
      </w:r>
      <w:r w:rsidR="0038676F" w:rsidRPr="00BB18CF">
        <w:t xml:space="preserve"> </w:t>
      </w:r>
      <w:r w:rsidR="00CD35E4">
        <w:t>lo dispuesto en los artículos 8.1, 8.2 y 9 de la Convención Americana</w:t>
      </w:r>
      <w:r w:rsidR="0038676F" w:rsidRPr="00BB18CF">
        <w:t>.</w:t>
      </w:r>
    </w:p>
    <w:p w14:paraId="61BD2EB3" w14:textId="77777777" w:rsidR="00F07BA9" w:rsidRPr="00F07BA9" w:rsidRDefault="00F07BA9" w:rsidP="00D753D0">
      <w:pPr>
        <w:pStyle w:val="PrrafodeSentencia"/>
        <w:numPr>
          <w:ilvl w:val="0"/>
          <w:numId w:val="0"/>
        </w:numPr>
      </w:pPr>
    </w:p>
    <w:p w14:paraId="628D468F" w14:textId="787B20BA" w:rsidR="00F07BA9" w:rsidRPr="00C41EBA" w:rsidRDefault="00F07BA9" w:rsidP="000B0365">
      <w:pPr>
        <w:pStyle w:val="Prrafodelista"/>
        <w:widowControl/>
        <w:numPr>
          <w:ilvl w:val="0"/>
          <w:numId w:val="28"/>
        </w:numPr>
        <w:tabs>
          <w:tab w:val="left" w:pos="720"/>
        </w:tabs>
        <w:autoSpaceDE w:val="0"/>
        <w:autoSpaceDN w:val="0"/>
        <w:adjustRightInd w:val="0"/>
        <w:spacing w:after="0" w:line="240" w:lineRule="auto"/>
        <w:ind w:left="0" w:right="-90" w:firstLine="0"/>
        <w:contextualSpacing w:val="0"/>
        <w:jc w:val="both"/>
        <w:rPr>
          <w:rFonts w:ascii="Verdana" w:eastAsiaTheme="minorHAnsi" w:hAnsi="Verdana" w:cs="Arial"/>
          <w:sz w:val="20"/>
          <w:szCs w:val="20"/>
          <w:lang w:val="es-CR"/>
        </w:rPr>
      </w:pPr>
      <w:bookmarkStart w:id="60" w:name="_Ref375063243"/>
      <w:r>
        <w:rPr>
          <w:rFonts w:ascii="Verdana" w:eastAsiaTheme="minorHAnsi" w:hAnsi="Verdana" w:cs="Arial"/>
          <w:bCs/>
          <w:iCs/>
          <w:sz w:val="20"/>
          <w:szCs w:val="20"/>
          <w:lang w:val="es-CR"/>
        </w:rPr>
        <w:t>En relación con las obligaciones que se desprenden del artículo 8.1 de la Convención, y tal como fue señalado anteriormente (</w:t>
      </w:r>
      <w:r w:rsidRPr="0074699A">
        <w:rPr>
          <w:rFonts w:ascii="Verdana" w:eastAsiaTheme="minorHAnsi" w:hAnsi="Verdana" w:cs="Arial"/>
          <w:bCs/>
          <w:i/>
          <w:sz w:val="20"/>
          <w:szCs w:val="20"/>
          <w:lang w:val="es-CR"/>
        </w:rPr>
        <w:t>supra</w:t>
      </w:r>
      <w:r>
        <w:rPr>
          <w:rFonts w:ascii="Verdana" w:eastAsiaTheme="minorHAnsi" w:hAnsi="Verdana" w:cs="Arial"/>
          <w:bCs/>
          <w:i/>
          <w:sz w:val="20"/>
          <w:szCs w:val="20"/>
          <w:lang w:val="es-CR"/>
        </w:rPr>
        <w:t>,</w:t>
      </w:r>
      <w:r>
        <w:rPr>
          <w:rFonts w:ascii="Verdana" w:eastAsiaTheme="minorHAnsi" w:hAnsi="Verdana" w:cs="Arial"/>
          <w:bCs/>
          <w:iCs/>
          <w:sz w:val="20"/>
          <w:szCs w:val="20"/>
          <w:lang w:val="es-CR"/>
        </w:rPr>
        <w:t xml:space="preserve"> párr</w:t>
      </w:r>
      <w:r w:rsidR="009849A1">
        <w:rPr>
          <w:rFonts w:ascii="Verdana" w:eastAsiaTheme="minorHAnsi" w:hAnsi="Verdana" w:cs="Arial"/>
          <w:bCs/>
          <w:iCs/>
          <w:sz w:val="20"/>
          <w:szCs w:val="20"/>
          <w:lang w:val="es-CR"/>
        </w:rPr>
        <w:t xml:space="preserve">. 68), </w:t>
      </w:r>
      <w:r>
        <w:rPr>
          <w:rFonts w:ascii="Verdana" w:eastAsiaTheme="minorHAnsi" w:hAnsi="Verdana" w:cs="Arial"/>
          <w:bCs/>
          <w:iCs/>
          <w:sz w:val="20"/>
          <w:szCs w:val="20"/>
          <w:lang w:val="es-CR"/>
        </w:rPr>
        <w:t>esta Corte ha señalado que</w:t>
      </w:r>
      <w:r>
        <w:rPr>
          <w:rFonts w:ascii="Verdana" w:eastAsiaTheme="minorHAnsi" w:hAnsi="Verdana" w:cs="Arial"/>
          <w:sz w:val="20"/>
          <w:szCs w:val="20"/>
          <w:lang w:val="es-CR"/>
        </w:rPr>
        <w:t xml:space="preserve"> </w:t>
      </w:r>
      <w:r w:rsidRPr="008603B2">
        <w:rPr>
          <w:rFonts w:ascii="Verdana" w:hAnsi="Verdana" w:cs="Verdana"/>
          <w:bCs/>
          <w:iCs/>
          <w:noProof/>
          <w:sz w:val="20"/>
          <w:szCs w:val="20"/>
          <w:lang w:val="es-ES_tradnl"/>
        </w:rPr>
        <w:t xml:space="preserve">el deber de motivación es una de las debidas garantías incluidas en </w:t>
      </w:r>
      <w:r>
        <w:rPr>
          <w:rFonts w:ascii="Verdana" w:hAnsi="Verdana" w:cs="Verdana"/>
          <w:bCs/>
          <w:iCs/>
          <w:noProof/>
          <w:sz w:val="20"/>
          <w:szCs w:val="20"/>
          <w:lang w:val="es-ES_tradnl"/>
        </w:rPr>
        <w:t>dicho artículo</w:t>
      </w:r>
      <w:r w:rsidRPr="008603B2">
        <w:rPr>
          <w:rFonts w:ascii="Verdana" w:hAnsi="Verdana" w:cs="Verdana"/>
          <w:bCs/>
          <w:iCs/>
          <w:noProof/>
          <w:sz w:val="20"/>
          <w:szCs w:val="20"/>
          <w:lang w:val="es-ES_tradnl"/>
        </w:rPr>
        <w:t xml:space="preserve"> para salvaguardar el derecho al debido proceso. </w:t>
      </w:r>
      <w:bookmarkStart w:id="61" w:name="_Ref454242864"/>
      <w:r w:rsidRPr="008603B2">
        <w:rPr>
          <w:rFonts w:ascii="Verdana" w:hAnsi="Verdana" w:cs="Verdana"/>
          <w:bCs/>
          <w:iCs/>
          <w:noProof/>
          <w:sz w:val="20"/>
          <w:szCs w:val="20"/>
          <w:lang w:val="es-ES_tradnl"/>
        </w:rPr>
        <w:t>En este sentido, el deber de motivar las resoluciones es una garantía vinculada a la recta administración de justicia, que le garantiza a los ciudadanos el derecho a ser juzgados por las razones que el derecho otorga, a la vez que brinda credibilidad a las decisiones judiciales en una sociedad democrática</w:t>
      </w:r>
      <w:r w:rsidRPr="001A563C">
        <w:rPr>
          <w:rFonts w:ascii="Verdana" w:hAnsi="Verdana" w:cs="Verdana"/>
          <w:bCs/>
          <w:iCs/>
          <w:noProof/>
          <w:sz w:val="20"/>
          <w:szCs w:val="20"/>
          <w:vertAlign w:val="superscript"/>
          <w:lang w:val="es-ES_tradnl"/>
        </w:rPr>
        <w:footnoteReference w:id="125"/>
      </w:r>
      <w:r w:rsidRPr="008603B2">
        <w:rPr>
          <w:rFonts w:ascii="Verdana" w:hAnsi="Verdana" w:cs="Verdana"/>
          <w:bCs/>
          <w:iCs/>
          <w:noProof/>
          <w:sz w:val="20"/>
          <w:szCs w:val="20"/>
          <w:lang w:val="es-ES_tradnl"/>
        </w:rPr>
        <w:t>. En virtud de lo anterior, las decisiones que adopten los órganos internos de los Estados que puedan afectar derechos humanos deben de estar motivadas, de lo contrario serían decisiones arbitrarias</w:t>
      </w:r>
      <w:r w:rsidRPr="001A563C">
        <w:rPr>
          <w:rFonts w:ascii="Verdana" w:hAnsi="Verdana" w:cs="Verdana"/>
          <w:bCs/>
          <w:iCs/>
          <w:noProof/>
          <w:sz w:val="20"/>
          <w:szCs w:val="20"/>
          <w:vertAlign w:val="superscript"/>
          <w:lang w:val="es-ES_tradnl"/>
        </w:rPr>
        <w:footnoteReference w:id="126"/>
      </w:r>
      <w:r w:rsidRPr="008603B2">
        <w:rPr>
          <w:rFonts w:ascii="Verdana" w:hAnsi="Verdana" w:cs="Verdana"/>
          <w:bCs/>
          <w:iCs/>
          <w:noProof/>
          <w:sz w:val="20"/>
          <w:szCs w:val="20"/>
          <w:lang w:val="es-ES_tradnl"/>
        </w:rPr>
        <w:t>. La motivación de un fallo debe permitir conocer cuáles son los hechos, motivos y normas en las que se basó el órgano que lo dictó para tomar su decisión de modo que se pueda desechar cualquier indicio de arbitrariedad, a la vez que les demuestra a las partes que estas han sido oídas en el marco del proceso</w:t>
      </w:r>
      <w:r w:rsidRPr="001A563C">
        <w:rPr>
          <w:rFonts w:ascii="Verdana" w:hAnsi="Verdana" w:cs="Verdana"/>
          <w:bCs/>
          <w:iCs/>
          <w:noProof/>
          <w:sz w:val="20"/>
          <w:szCs w:val="20"/>
          <w:vertAlign w:val="superscript"/>
          <w:lang w:val="es-ES_tradnl"/>
        </w:rPr>
        <w:footnoteReference w:id="127"/>
      </w:r>
      <w:r w:rsidRPr="008603B2">
        <w:rPr>
          <w:rFonts w:ascii="Verdana" w:hAnsi="Verdana" w:cs="Verdana"/>
          <w:bCs/>
          <w:iCs/>
          <w:noProof/>
          <w:sz w:val="20"/>
          <w:szCs w:val="20"/>
          <w:lang w:val="es-ES_tradnl"/>
        </w:rPr>
        <w:t xml:space="preserve">. Además, debe </w:t>
      </w:r>
      <w:r w:rsidRPr="008603B2">
        <w:rPr>
          <w:rFonts w:ascii="Verdana" w:hAnsi="Verdana" w:cs="Verdana"/>
          <w:bCs/>
          <w:iCs/>
          <w:noProof/>
          <w:sz w:val="20"/>
          <w:szCs w:val="20"/>
          <w:lang w:val="es-ES_tradnl"/>
        </w:rPr>
        <w:lastRenderedPageBreak/>
        <w:t>mostrar que han sido debidamente tomados en cuenta los alegatos de las partes y que el conjunto de pruebas ha sido analizado</w:t>
      </w:r>
      <w:r w:rsidRPr="001A563C">
        <w:rPr>
          <w:rFonts w:ascii="Verdana" w:hAnsi="Verdana" w:cs="Verdana"/>
          <w:bCs/>
          <w:iCs/>
          <w:noProof/>
          <w:sz w:val="20"/>
          <w:szCs w:val="20"/>
          <w:vertAlign w:val="superscript"/>
          <w:lang w:val="es-ES_tradnl"/>
        </w:rPr>
        <w:footnoteReference w:id="128"/>
      </w:r>
      <w:bookmarkEnd w:id="61"/>
      <w:r>
        <w:rPr>
          <w:rFonts w:ascii="Verdana" w:hAnsi="Verdana" w:cs="Verdana"/>
          <w:bCs/>
          <w:iCs/>
          <w:noProof/>
          <w:sz w:val="20"/>
          <w:szCs w:val="20"/>
          <w:lang w:val="es-ES_tradnl"/>
        </w:rPr>
        <w:t>.</w:t>
      </w:r>
    </w:p>
    <w:p w14:paraId="60D8C047" w14:textId="77777777" w:rsidR="00F07BA9" w:rsidRPr="00C41EBA" w:rsidRDefault="00F07BA9" w:rsidP="000B0365">
      <w:pPr>
        <w:pStyle w:val="Prrafodelista"/>
        <w:widowControl/>
        <w:tabs>
          <w:tab w:val="left" w:pos="720"/>
        </w:tabs>
        <w:autoSpaceDE w:val="0"/>
        <w:autoSpaceDN w:val="0"/>
        <w:adjustRightInd w:val="0"/>
        <w:spacing w:after="0" w:line="240" w:lineRule="auto"/>
        <w:ind w:left="0" w:right="-90"/>
        <w:contextualSpacing w:val="0"/>
        <w:jc w:val="both"/>
        <w:rPr>
          <w:rFonts w:ascii="Verdana" w:eastAsiaTheme="minorHAnsi" w:hAnsi="Verdana" w:cs="Arial"/>
          <w:sz w:val="20"/>
          <w:szCs w:val="20"/>
          <w:lang w:val="es-CR"/>
        </w:rPr>
      </w:pPr>
    </w:p>
    <w:p w14:paraId="3447E240" w14:textId="39C6881F" w:rsidR="00EF0A5B" w:rsidRPr="00EF0A5B" w:rsidRDefault="00F07BA9" w:rsidP="000B0365">
      <w:pPr>
        <w:pStyle w:val="Prrafodelista"/>
        <w:widowControl/>
        <w:numPr>
          <w:ilvl w:val="0"/>
          <w:numId w:val="28"/>
        </w:numPr>
        <w:tabs>
          <w:tab w:val="left" w:pos="720"/>
        </w:tabs>
        <w:autoSpaceDE w:val="0"/>
        <w:autoSpaceDN w:val="0"/>
        <w:adjustRightInd w:val="0"/>
        <w:spacing w:after="0" w:line="240" w:lineRule="auto"/>
        <w:ind w:left="0" w:right="-90" w:firstLine="0"/>
        <w:contextualSpacing w:val="0"/>
        <w:jc w:val="both"/>
        <w:rPr>
          <w:rFonts w:ascii="Verdana" w:eastAsiaTheme="minorHAnsi" w:hAnsi="Verdana" w:cs="Arial"/>
          <w:sz w:val="20"/>
          <w:szCs w:val="20"/>
          <w:lang w:val="es-CR"/>
        </w:rPr>
      </w:pPr>
      <w:r>
        <w:rPr>
          <w:rFonts w:ascii="Verdana" w:eastAsiaTheme="minorHAnsi" w:hAnsi="Verdana" w:cs="Arial"/>
          <w:bCs/>
          <w:iCs/>
          <w:sz w:val="20"/>
          <w:szCs w:val="20"/>
          <w:lang w:val="es-CR"/>
        </w:rPr>
        <w:t>Por su parte, e</w:t>
      </w:r>
      <w:r w:rsidRPr="00C41EBA">
        <w:rPr>
          <w:rFonts w:ascii="Verdana" w:eastAsiaTheme="minorHAnsi" w:hAnsi="Verdana" w:cs="Arial"/>
          <w:bCs/>
          <w:iCs/>
          <w:sz w:val="20"/>
          <w:szCs w:val="20"/>
          <w:lang w:val="es-CR"/>
        </w:rPr>
        <w:t xml:space="preserve">l artículo 8.2 de la Convención dispone que “[t]oda persona inculpada de delito tiene derecho a que se presuma su inocencia mientras no se establezca legalmente su culpabilidad”. Por ello, la Corte </w:t>
      </w:r>
      <w:r w:rsidRPr="00C41EBA">
        <w:rPr>
          <w:rFonts w:ascii="Verdana" w:eastAsiaTheme="minorHAnsi" w:hAnsi="Verdana" w:cs="Arial"/>
          <w:sz w:val="20"/>
          <w:szCs w:val="20"/>
          <w:lang w:val="es-CR"/>
        </w:rPr>
        <w:t>ha señalado que el principio de presunción de inocencia constituye un fundamento de las garantías judiciales</w:t>
      </w:r>
      <w:r w:rsidRPr="00CC55E0">
        <w:rPr>
          <w:rFonts w:ascii="Verdana" w:eastAsiaTheme="minorHAnsi" w:hAnsi="Verdana" w:cs="Arial"/>
          <w:sz w:val="20"/>
          <w:szCs w:val="20"/>
          <w:vertAlign w:val="superscript"/>
          <w:lang w:val="es-CR"/>
        </w:rPr>
        <w:footnoteReference w:id="129"/>
      </w:r>
      <w:r w:rsidRPr="00C41EBA">
        <w:rPr>
          <w:rFonts w:ascii="Verdana" w:eastAsiaTheme="minorHAnsi" w:hAnsi="Verdana" w:cs="Arial"/>
          <w:sz w:val="20"/>
          <w:szCs w:val="20"/>
          <w:lang w:val="es-CR"/>
        </w:rPr>
        <w:t xml:space="preserve">. </w:t>
      </w:r>
      <w:bookmarkEnd w:id="60"/>
      <w:r w:rsidRPr="00C41EBA">
        <w:rPr>
          <w:rFonts w:ascii="Verdana" w:eastAsiaTheme="minorHAnsi" w:hAnsi="Verdana" w:cs="Arial"/>
          <w:sz w:val="20"/>
          <w:szCs w:val="20"/>
          <w:lang w:val="es-CR"/>
        </w:rPr>
        <w:t>La presunción de inocencia implica que el imputado goza de un estado jurídico de inocencia o no culpabilidad mientras se resuelve acerca de su responsabilidad penal, de modo tal que debe recibir del Estado un trato acorde con su condición de persona no condenada</w:t>
      </w:r>
      <w:r w:rsidRPr="00CC55E0">
        <w:rPr>
          <w:rFonts w:ascii="Verdana" w:eastAsiaTheme="minorHAnsi" w:hAnsi="Verdana"/>
          <w:sz w:val="20"/>
          <w:szCs w:val="20"/>
          <w:vertAlign w:val="superscript"/>
          <w:lang w:val="es-CR"/>
        </w:rPr>
        <w:footnoteReference w:id="130"/>
      </w:r>
      <w:r w:rsidRPr="00C41EBA">
        <w:rPr>
          <w:rFonts w:ascii="Verdana" w:eastAsiaTheme="minorHAnsi" w:hAnsi="Verdana" w:cs="Arial"/>
          <w:sz w:val="20"/>
          <w:szCs w:val="20"/>
          <w:lang w:val="es-CR"/>
        </w:rPr>
        <w:t xml:space="preserve">. </w:t>
      </w:r>
      <w:r w:rsidRPr="00C41EBA">
        <w:rPr>
          <w:rFonts w:ascii="Verdana" w:eastAsiaTheme="minorHAnsi" w:hAnsi="Verdana" w:cs="Helvetica"/>
          <w:sz w:val="20"/>
          <w:szCs w:val="20"/>
          <w:lang w:val="es-CR"/>
        </w:rPr>
        <w:t>En relación con lo anterior, el principio de presunción de inocencia requiere que nadie sea condenado salvo la existencia de prueba plena o más allá de toda duda razonable de su culpabilidad, tras un proceso sustanciado de acuerdo a las debidas garantías</w:t>
      </w:r>
      <w:r w:rsidRPr="00CC55E0">
        <w:rPr>
          <w:rFonts w:ascii="Verdana" w:eastAsiaTheme="minorHAnsi" w:hAnsi="Verdana" w:cs="Helvetica"/>
          <w:sz w:val="20"/>
          <w:szCs w:val="20"/>
          <w:vertAlign w:val="superscript"/>
          <w:lang w:val="es-CR"/>
        </w:rPr>
        <w:footnoteReference w:id="131"/>
      </w:r>
      <w:r w:rsidRPr="00C41EBA">
        <w:rPr>
          <w:rFonts w:ascii="Verdana" w:eastAsiaTheme="minorHAnsi" w:hAnsi="Verdana" w:cs="Helvetica"/>
          <w:sz w:val="20"/>
          <w:szCs w:val="20"/>
          <w:lang w:val="es-CR"/>
        </w:rPr>
        <w:t>.</w:t>
      </w:r>
    </w:p>
    <w:p w14:paraId="74A85E82" w14:textId="77777777" w:rsidR="00EF0A5B" w:rsidRPr="00EF0A5B" w:rsidRDefault="00EF0A5B" w:rsidP="00EF0A5B">
      <w:pPr>
        <w:rPr>
          <w:rFonts w:ascii="Verdana" w:eastAsia="Calibri" w:hAnsi="Verdana"/>
          <w:sz w:val="20"/>
          <w:szCs w:val="20"/>
          <w:lang w:val="es-ES"/>
        </w:rPr>
      </w:pPr>
    </w:p>
    <w:p w14:paraId="08AE33FC" w14:textId="5286D057" w:rsidR="00F07BA9" w:rsidRPr="00EF0A5B" w:rsidRDefault="00F07BA9" w:rsidP="000B0365">
      <w:pPr>
        <w:pStyle w:val="Prrafodelista"/>
        <w:widowControl/>
        <w:numPr>
          <w:ilvl w:val="0"/>
          <w:numId w:val="28"/>
        </w:numPr>
        <w:tabs>
          <w:tab w:val="left" w:pos="720"/>
        </w:tabs>
        <w:autoSpaceDE w:val="0"/>
        <w:autoSpaceDN w:val="0"/>
        <w:adjustRightInd w:val="0"/>
        <w:spacing w:after="0" w:line="240" w:lineRule="auto"/>
        <w:ind w:left="0" w:right="-90" w:firstLine="0"/>
        <w:contextualSpacing w:val="0"/>
        <w:jc w:val="both"/>
        <w:rPr>
          <w:rFonts w:ascii="Verdana" w:eastAsiaTheme="minorHAnsi" w:hAnsi="Verdana" w:cs="Arial"/>
          <w:sz w:val="20"/>
          <w:szCs w:val="20"/>
          <w:lang w:val="es-CR"/>
        </w:rPr>
      </w:pPr>
      <w:r w:rsidRPr="00EF0A5B">
        <w:rPr>
          <w:rFonts w:ascii="Verdana" w:eastAsia="Calibri" w:hAnsi="Verdana"/>
          <w:sz w:val="20"/>
          <w:szCs w:val="20"/>
          <w:lang w:val="es-ES"/>
        </w:rPr>
        <w:t>Asimismo, el</w:t>
      </w:r>
      <w:r w:rsidRPr="00EF0A5B">
        <w:rPr>
          <w:rFonts w:ascii="Verdana" w:hAnsi="Verdana" w:cs="Arial"/>
          <w:sz w:val="20"/>
          <w:szCs w:val="20"/>
          <w:lang w:val="es-VE"/>
        </w:rPr>
        <w:t xml:space="preserve"> artículo 9 de la Convención Americana dispone que: </w:t>
      </w:r>
      <w:r w:rsidRPr="00EF0A5B">
        <w:rPr>
          <w:rFonts w:ascii="Verdana" w:eastAsia="Calibri" w:hAnsi="Verdana"/>
          <w:sz w:val="20"/>
          <w:szCs w:val="20"/>
          <w:lang w:val="es-ES"/>
        </w:rPr>
        <w:t xml:space="preserve">“Nadie puede ser condenado por acciones u omisiones que en el momento de cometerse no fueran delictivos según el derecho aplicable. </w:t>
      </w:r>
      <w:r w:rsidRPr="00692D32">
        <w:rPr>
          <w:rFonts w:ascii="Verdana" w:eastAsia="Calibri" w:hAnsi="Verdana"/>
          <w:sz w:val="20"/>
          <w:szCs w:val="20"/>
          <w:lang w:val="es-ES"/>
        </w:rPr>
        <w:t xml:space="preserve">Tampoco se puede imponer pena más grave que la aplicable en el momento de la comisión del delito. Si con posterioridad a la comisión del delito la ley dispone la imposición de una pena más </w:t>
      </w:r>
      <w:r w:rsidRPr="00EF0A5B">
        <w:rPr>
          <w:rFonts w:ascii="Verdana" w:hAnsi="Verdana"/>
          <w:sz w:val="20"/>
          <w:szCs w:val="20"/>
          <w:lang w:val="es-ES_tradnl" w:eastAsia="es-CR"/>
        </w:rPr>
        <w:t>leve</w:t>
      </w:r>
      <w:r w:rsidRPr="00692D32">
        <w:rPr>
          <w:rFonts w:ascii="Verdana" w:eastAsia="Calibri" w:hAnsi="Verdana"/>
          <w:sz w:val="20"/>
          <w:szCs w:val="20"/>
          <w:lang w:val="es-ES"/>
        </w:rPr>
        <w:t>, el delincuente se beneficiará de ello”.</w:t>
      </w:r>
      <w:r w:rsidRPr="00EF0A5B">
        <w:rPr>
          <w:rFonts w:ascii="Verdana" w:eastAsia="Calibri" w:hAnsi="Verdana"/>
          <w:sz w:val="20"/>
          <w:szCs w:val="20"/>
          <w:lang w:val="es-VE"/>
        </w:rPr>
        <w:t xml:space="preserve"> En relación con esta disposición, este Tribunal ha interpretado que el principio de legalidad es aplicable no sólo al ámbito penal, sino que, además, su alcance se extiende a la materia sancionatoria administrativa</w:t>
      </w:r>
      <w:r w:rsidRPr="00EF0A5B">
        <w:rPr>
          <w:rFonts w:ascii="ZWAdobeF" w:eastAsia="Calibri" w:hAnsi="ZWAdobeF" w:cs="ZWAdobeF"/>
          <w:sz w:val="2"/>
          <w:szCs w:val="2"/>
          <w:lang w:val="es-VE"/>
        </w:rPr>
        <w:t>132F</w:t>
      </w:r>
      <w:r w:rsidRPr="00A36965">
        <w:rPr>
          <w:rFonts w:ascii="Verdana" w:hAnsi="Verdana"/>
          <w:sz w:val="20"/>
          <w:szCs w:val="20"/>
          <w:vertAlign w:val="superscript"/>
        </w:rPr>
        <w:footnoteReference w:id="132"/>
      </w:r>
      <w:r w:rsidRPr="00EF0A5B">
        <w:rPr>
          <w:rFonts w:ascii="Verdana" w:eastAsia="Calibri" w:hAnsi="Verdana"/>
          <w:sz w:val="20"/>
          <w:szCs w:val="20"/>
          <w:lang w:val="es-VE"/>
        </w:rPr>
        <w:t xml:space="preserve">. </w:t>
      </w:r>
      <w:r w:rsidRPr="00EF0A5B">
        <w:rPr>
          <w:rFonts w:ascii="Verdana" w:hAnsi="Verdana" w:cs="Arial"/>
          <w:sz w:val="20"/>
          <w:szCs w:val="20"/>
          <w:lang w:val="es-ES_tradnl"/>
        </w:rPr>
        <w:t>La Corte ha indicado que las sanciones administrativas son una expresión del poder punitivo del Estado y que tienen, en ocasiones, naturaleza similar a las sanciones penales. Unas y otras implican menoscabo, privación o alteración de los derechos de las personas, como consecuencia de una conducta ilícita. Por lo tanto, en un sistema democrático es preciso extremar las precauciones para que dichas medidas se adopten con estricto respeto a los derechos básicos de las personas y previa una cuidadosa verificación de la efectiva existencia de la conducta ilícita</w:t>
      </w:r>
      <w:r w:rsidRPr="004C372D">
        <w:rPr>
          <w:rStyle w:val="Refdenotaalpie"/>
          <w:rFonts w:ascii="Verdana" w:hAnsi="Verdana"/>
          <w:sz w:val="20"/>
          <w:szCs w:val="20"/>
          <w:lang w:val="es-ES_tradnl"/>
        </w:rPr>
        <w:footnoteReference w:id="133"/>
      </w:r>
      <w:r w:rsidRPr="00EF0A5B">
        <w:rPr>
          <w:rFonts w:ascii="Verdana" w:hAnsi="Verdana"/>
          <w:sz w:val="20"/>
          <w:szCs w:val="20"/>
          <w:lang w:val="es-ES_tradnl"/>
        </w:rPr>
        <w:t>.</w:t>
      </w:r>
    </w:p>
    <w:p w14:paraId="1156CE57" w14:textId="77777777" w:rsidR="009E4071" w:rsidRPr="00745A5E" w:rsidRDefault="009E4071" w:rsidP="00D753D0">
      <w:pPr>
        <w:pStyle w:val="PrrafodeSentencia"/>
        <w:numPr>
          <w:ilvl w:val="0"/>
          <w:numId w:val="0"/>
        </w:numPr>
      </w:pPr>
    </w:p>
    <w:p w14:paraId="6386B776" w14:textId="63A167ED" w:rsidR="005652E9" w:rsidRPr="00BB18CF" w:rsidRDefault="00B94486" w:rsidP="00D753D0">
      <w:pPr>
        <w:pStyle w:val="PrrafodeSentencia"/>
      </w:pPr>
      <w:r>
        <w:t>Tomando lo anterior en consideración</w:t>
      </w:r>
      <w:r w:rsidR="005652E9">
        <w:t xml:space="preserve">, la Corte considera que </w:t>
      </w:r>
      <w:r w:rsidR="0023413A">
        <w:t xml:space="preserve">para que la privación de la nacionalidad no sea arbitraria, </w:t>
      </w:r>
      <w:r w:rsidR="004772C1">
        <w:t>todo acto administrativo o judicial debe respetar lo siguiente: a) el principio de legalidad</w:t>
      </w:r>
      <w:r w:rsidR="00F67432">
        <w:t xml:space="preserve">, de forma tal que </w:t>
      </w:r>
      <w:r w:rsidR="00CC36A1">
        <w:t xml:space="preserve">la persona no sea sancionada </w:t>
      </w:r>
      <w:r w:rsidR="00997612">
        <w:t>por acciones y omisiones que no estuvieran previstas en la ley</w:t>
      </w:r>
      <w:r w:rsidR="004772C1">
        <w:t xml:space="preserve">; b) </w:t>
      </w:r>
      <w:r w:rsidR="008E42B1">
        <w:t xml:space="preserve">el derecho a la igualdad y la prohibición de discriminación; c) debe prevenir la apatridia; d) </w:t>
      </w:r>
      <w:r w:rsidR="00407E67">
        <w:t>debe ser proporcional</w:t>
      </w:r>
      <w:r w:rsidR="005F5C46">
        <w:t xml:space="preserve">, lo que requiere </w:t>
      </w:r>
      <w:r w:rsidR="0031554D">
        <w:t>la verificación respecto de la legitimidad de los f</w:t>
      </w:r>
      <w:r w:rsidR="0038015D">
        <w:t>ines perseguidos y los medios utilizados por la autoridad</w:t>
      </w:r>
      <w:r w:rsidR="00D753D0">
        <w:t>,</w:t>
      </w:r>
      <w:r w:rsidR="00407E67">
        <w:t xml:space="preserve"> y e) debe respetar las garantías del debido proceso, brindando garantías especiales de protección a la niñez</w:t>
      </w:r>
      <w:r w:rsidR="00407E67">
        <w:rPr>
          <w:rStyle w:val="Refdenotaalpie"/>
          <w:lang w:val="es-ES"/>
        </w:rPr>
        <w:footnoteReference w:id="134"/>
      </w:r>
      <w:r w:rsidR="00407E67">
        <w:t>.</w:t>
      </w:r>
      <w:r w:rsidR="0031052C">
        <w:t xml:space="preserve"> </w:t>
      </w:r>
      <w:r w:rsidR="0038015D">
        <w:t xml:space="preserve">Respecto </w:t>
      </w:r>
      <w:r w:rsidR="00AA6E8D">
        <w:t>al deber de respeto del debido proceso</w:t>
      </w:r>
      <w:r w:rsidR="0038015D">
        <w:t xml:space="preserve">, este Tribunal considera que </w:t>
      </w:r>
      <w:r w:rsidR="006A02E6">
        <w:t>todo acto administrativo o judicial que implique la pérdida de la nacionalidad debe cumplir con</w:t>
      </w:r>
      <w:r w:rsidR="00DC5267">
        <w:t xml:space="preserve"> las garantías del artículo 8 de la Convención, entre ellas las siguientes</w:t>
      </w:r>
      <w:r w:rsidR="006A02E6">
        <w:t xml:space="preserve">: </w:t>
      </w:r>
    </w:p>
    <w:p w14:paraId="7418BB1E" w14:textId="598280A0" w:rsidR="00CC526C" w:rsidRDefault="00CC526C" w:rsidP="00D753D0">
      <w:pPr>
        <w:pStyle w:val="PrrafodeSentencia"/>
        <w:numPr>
          <w:ilvl w:val="0"/>
          <w:numId w:val="0"/>
        </w:numPr>
      </w:pPr>
    </w:p>
    <w:p w14:paraId="0D75DCA0" w14:textId="7D9D9208" w:rsidR="009F2D53" w:rsidRDefault="00447A10" w:rsidP="00D753D0">
      <w:pPr>
        <w:pStyle w:val="PrrafodeSentencia"/>
        <w:numPr>
          <w:ilvl w:val="0"/>
          <w:numId w:val="36"/>
        </w:numPr>
      </w:pPr>
      <w:r>
        <w:lastRenderedPageBreak/>
        <w:t xml:space="preserve">La persona sujeta al proceso debe </w:t>
      </w:r>
      <w:r w:rsidR="00095C99" w:rsidRPr="00B33B19">
        <w:t xml:space="preserve">ser </w:t>
      </w:r>
      <w:r w:rsidR="00BF22F7">
        <w:t>notificada</w:t>
      </w:r>
      <w:r w:rsidR="00C60BF0">
        <w:t xml:space="preserve"> sobre el inicio de la causa, </w:t>
      </w:r>
      <w:r w:rsidR="009F2D53">
        <w:t xml:space="preserve">y la autoridad debe exponer las razones sobre la pérdida de la nacionalidad; </w:t>
      </w:r>
    </w:p>
    <w:p w14:paraId="71EF1FEC" w14:textId="77777777" w:rsidR="0085793E" w:rsidRDefault="004504F0" w:rsidP="00D753D0">
      <w:pPr>
        <w:pStyle w:val="PrrafodeSentencia"/>
        <w:numPr>
          <w:ilvl w:val="0"/>
          <w:numId w:val="36"/>
        </w:numPr>
      </w:pPr>
      <w:r>
        <w:t>Debe existir una</w:t>
      </w:r>
      <w:r w:rsidR="00095C99" w:rsidRPr="00B33B19">
        <w:t xml:space="preserve"> posibilidad de</w:t>
      </w:r>
      <w:r>
        <w:t xml:space="preserve"> defenderse,</w:t>
      </w:r>
      <w:r w:rsidR="00095C99" w:rsidRPr="00B33B19">
        <w:t xml:space="preserve"> </w:t>
      </w:r>
      <w:r w:rsidR="0085793E">
        <w:t>lo que incluye la existencia de una audiencia justa y</w:t>
      </w:r>
      <w:r w:rsidR="00095C99" w:rsidRPr="00B33B19">
        <w:t xml:space="preserve"> asesoría legal y, de ser el caso, traducción o interpretación</w:t>
      </w:r>
      <w:r w:rsidR="0085793E">
        <w:t>;</w:t>
      </w:r>
    </w:p>
    <w:p w14:paraId="4165072D" w14:textId="36B64D71" w:rsidR="00D8319F" w:rsidRDefault="00BF27C6" w:rsidP="00D753D0">
      <w:pPr>
        <w:pStyle w:val="PrrafodeSentencia"/>
        <w:numPr>
          <w:ilvl w:val="0"/>
          <w:numId w:val="36"/>
        </w:numPr>
      </w:pPr>
      <w:r>
        <w:t xml:space="preserve">El acto mediante el cual se determine la pérdida de nacionalidad debe poder ser </w:t>
      </w:r>
      <w:r w:rsidR="00FB0823">
        <w:t xml:space="preserve">sujeto </w:t>
      </w:r>
      <w:r>
        <w:t xml:space="preserve">de revisión </w:t>
      </w:r>
      <w:r w:rsidR="00D8319F">
        <w:t>plena por una segunda instancia judicial</w:t>
      </w:r>
      <w:r w:rsidR="00095C99" w:rsidRPr="00B33B19">
        <w:t>,</w:t>
      </w:r>
      <w:r w:rsidR="00D8319F">
        <w:t xml:space="preserve"> </w:t>
      </w:r>
      <w:r w:rsidR="00FB0823">
        <w:t xml:space="preserve">o </w:t>
      </w:r>
      <w:r w:rsidR="00D8319F">
        <w:t>un órgano independiente e imparcial;</w:t>
      </w:r>
    </w:p>
    <w:p w14:paraId="3C6B2EC5" w14:textId="28AB54A1" w:rsidR="00FD5BDC" w:rsidRDefault="00813B2C" w:rsidP="00D753D0">
      <w:pPr>
        <w:pStyle w:val="PrrafodeSentencia"/>
        <w:numPr>
          <w:ilvl w:val="0"/>
          <w:numId w:val="36"/>
        </w:numPr>
      </w:pPr>
      <w:r>
        <w:t xml:space="preserve">En caso de la presencia de niños, niñas o adolescentes, </w:t>
      </w:r>
      <w:r w:rsidR="00CA3BC2">
        <w:t>se deberá considerar su interés superior, y permitirles participar en el procedimiento conforme a su grado de madurez</w:t>
      </w:r>
      <w:r w:rsidR="00095C99">
        <w:t>.</w:t>
      </w:r>
    </w:p>
    <w:p w14:paraId="0280E7C3" w14:textId="01C0DE7B" w:rsidR="00095C99" w:rsidRDefault="00095C99" w:rsidP="00D753D0">
      <w:pPr>
        <w:pStyle w:val="PrrafodeSentencia"/>
        <w:numPr>
          <w:ilvl w:val="0"/>
          <w:numId w:val="0"/>
        </w:numPr>
        <w:rPr>
          <w:highlight w:val="yellow"/>
          <w:lang w:bidi="en-US"/>
        </w:rPr>
      </w:pPr>
    </w:p>
    <w:p w14:paraId="1FBAF6D3" w14:textId="00BCA4D4" w:rsidR="00D60DD1" w:rsidRPr="005E7E0B" w:rsidRDefault="00D60DD1" w:rsidP="00D60DD1">
      <w:pPr>
        <w:pStyle w:val="Ttulo4"/>
      </w:pPr>
      <w:r>
        <w:t>B</w:t>
      </w:r>
      <w:r w:rsidRPr="005E7E0B">
        <w:t>.</w:t>
      </w:r>
      <w:r>
        <w:t>2</w:t>
      </w:r>
      <w:r w:rsidRPr="005E7E0B">
        <w:t>.</w:t>
      </w:r>
      <w:r>
        <w:t>2</w:t>
      </w:r>
      <w:r w:rsidRPr="005E7E0B">
        <w:t xml:space="preserve">. </w:t>
      </w:r>
      <w:r>
        <w:t xml:space="preserve">Análisis del caso concreto </w:t>
      </w:r>
    </w:p>
    <w:p w14:paraId="6686A867" w14:textId="77777777" w:rsidR="009E4071" w:rsidRPr="00D60DD1" w:rsidRDefault="009E4071" w:rsidP="00D753D0">
      <w:pPr>
        <w:pStyle w:val="PrrafodeSentencia"/>
        <w:numPr>
          <w:ilvl w:val="0"/>
          <w:numId w:val="0"/>
        </w:numPr>
        <w:rPr>
          <w:highlight w:val="yellow"/>
          <w:lang w:bidi="en-US"/>
        </w:rPr>
      </w:pPr>
    </w:p>
    <w:p w14:paraId="6B6AD6D2" w14:textId="0A3B7C14" w:rsidR="00691F03" w:rsidRPr="001D36EB" w:rsidRDefault="00691F03" w:rsidP="00D753D0">
      <w:pPr>
        <w:pStyle w:val="PrrafodeSentencia"/>
        <w:rPr>
          <w:lang w:val="es-ES"/>
        </w:rPr>
      </w:pPr>
      <w:r>
        <w:rPr>
          <w:lang w:bidi="en-US"/>
        </w:rPr>
        <w:t>En el presente caso, l</w:t>
      </w:r>
      <w:r w:rsidRPr="00E360C4">
        <w:rPr>
          <w:lang w:bidi="en-US"/>
        </w:rPr>
        <w:t xml:space="preserve">a Corte </w:t>
      </w:r>
      <w:r>
        <w:rPr>
          <w:lang w:bidi="en-US"/>
        </w:rPr>
        <w:t>recuerda</w:t>
      </w:r>
      <w:r w:rsidRPr="00E360C4">
        <w:rPr>
          <w:lang w:bidi="en-US"/>
        </w:rPr>
        <w:t xml:space="preserve"> que</w:t>
      </w:r>
      <w:r w:rsidRPr="00E360C4">
        <w:t xml:space="preserve"> la señora Habbal adquirió la nacionalidad argentina el 4 de abril de 1992, previa renuncia</w:t>
      </w:r>
      <w:r w:rsidR="005C4584">
        <w:t xml:space="preserve"> jurada</w:t>
      </w:r>
      <w:r w:rsidRPr="00E360C4">
        <w:t xml:space="preserve"> de su ciudadanía de origen</w:t>
      </w:r>
      <w:r>
        <w:t>,</w:t>
      </w:r>
      <w:r w:rsidRPr="00E360C4">
        <w:t xml:space="preserve"> con motivo de la resolución emitida por el Juez Federal Número 2 de Mendoza (</w:t>
      </w:r>
      <w:r w:rsidRPr="00E360C4">
        <w:rPr>
          <w:i/>
        </w:rPr>
        <w:t>supra</w:t>
      </w:r>
      <w:r>
        <w:t>,</w:t>
      </w:r>
      <w:r w:rsidRPr="00E360C4">
        <w:t xml:space="preserve"> párr</w:t>
      </w:r>
      <w:r w:rsidR="00FB0823" w:rsidRPr="00E360C4">
        <w:t>.</w:t>
      </w:r>
      <w:r w:rsidR="00FB0823">
        <w:t xml:space="preserve"> 32</w:t>
      </w:r>
      <w:r w:rsidR="00FB0823" w:rsidRPr="00E360C4">
        <w:t xml:space="preserve">). </w:t>
      </w:r>
      <w:r w:rsidRPr="00E360C4">
        <w:t>Asimismo, que el 12 de mayo de 1992 el Director Nacional de Población y Migraciones</w:t>
      </w:r>
      <w:r>
        <w:t xml:space="preserve"> </w:t>
      </w:r>
      <w:r w:rsidRPr="00E360C4">
        <w:rPr>
          <w:spacing w:val="3"/>
          <w:lang w:val="es-ES"/>
        </w:rPr>
        <w:t>puso en conocimiento del Juez Federal No. 2 el contenido de la Resolución 1088, el cual culminó con la sentencia dictada por el</w:t>
      </w:r>
      <w:r w:rsidRPr="00E360C4">
        <w:rPr>
          <w:lang w:val="es-ES"/>
        </w:rPr>
        <w:t xml:space="preserve"> Juez Federal Subrogante el 27 de octubre de 1994</w:t>
      </w:r>
      <w:r>
        <w:rPr>
          <w:lang w:val="es-ES"/>
        </w:rPr>
        <w:t>,</w:t>
      </w:r>
      <w:r w:rsidRPr="00E360C4">
        <w:rPr>
          <w:lang w:val="es-ES"/>
        </w:rPr>
        <w:t xml:space="preserve"> confirmada por </w:t>
      </w:r>
      <w:r w:rsidR="00403B14">
        <w:rPr>
          <w:lang w:val="es-ES"/>
        </w:rPr>
        <w:t>la</w:t>
      </w:r>
      <w:r w:rsidRPr="00E360C4">
        <w:rPr>
          <w:lang w:val="es-ES"/>
        </w:rPr>
        <w:t xml:space="preserve"> Cámara Federal de Apelaciones, </w:t>
      </w:r>
      <w:r>
        <w:rPr>
          <w:lang w:val="es-ES"/>
        </w:rPr>
        <w:t xml:space="preserve">en la que se </w:t>
      </w:r>
      <w:r w:rsidR="004C44BC">
        <w:rPr>
          <w:lang w:val="es-ES"/>
        </w:rPr>
        <w:t xml:space="preserve">canceló la </w:t>
      </w:r>
      <w:r w:rsidRPr="00E360C4">
        <w:rPr>
          <w:lang w:val="es-ES"/>
        </w:rPr>
        <w:t>ciudadanía</w:t>
      </w:r>
      <w:r w:rsidR="002B6B21">
        <w:rPr>
          <w:lang w:val="es-ES"/>
        </w:rPr>
        <w:t xml:space="preserve"> obtenida por naturalización</w:t>
      </w:r>
      <w:r w:rsidRPr="00E360C4">
        <w:rPr>
          <w:lang w:val="es-ES"/>
        </w:rPr>
        <w:t xml:space="preserve"> a la señora Habbal</w:t>
      </w:r>
      <w:r>
        <w:rPr>
          <w:lang w:val="es-ES"/>
        </w:rPr>
        <w:t>,</w:t>
      </w:r>
      <w:r w:rsidRPr="00E360C4">
        <w:rPr>
          <w:lang w:val="es-ES"/>
        </w:rPr>
        <w:t xml:space="preserve"> y </w:t>
      </w:r>
      <w:r w:rsidR="007E1523">
        <w:rPr>
          <w:lang w:val="es-ES"/>
        </w:rPr>
        <w:t>se ordenó la cancelación de</w:t>
      </w:r>
      <w:r w:rsidRPr="00E360C4">
        <w:rPr>
          <w:lang w:val="es-ES"/>
        </w:rPr>
        <w:t xml:space="preserve"> cualquier documento de identidad</w:t>
      </w:r>
      <w:r w:rsidR="0020085B">
        <w:rPr>
          <w:lang w:val="es-ES"/>
        </w:rPr>
        <w:t xml:space="preserve"> que se le hubiera otorgado co</w:t>
      </w:r>
      <w:r w:rsidR="009F31BC">
        <w:rPr>
          <w:lang w:val="es-ES"/>
        </w:rPr>
        <w:t>mo ciudadana argentina</w:t>
      </w:r>
      <w:r w:rsidRPr="00E360C4">
        <w:rPr>
          <w:lang w:val="es-ES"/>
        </w:rPr>
        <w:t>.</w:t>
      </w:r>
      <w:r>
        <w:rPr>
          <w:lang w:val="es-ES"/>
        </w:rPr>
        <w:t xml:space="preserve"> </w:t>
      </w:r>
      <w:r w:rsidR="008B131A">
        <w:rPr>
          <w:lang w:val="es-ES"/>
        </w:rPr>
        <w:t>Adicionalmente, el Tribunal recuerda que</w:t>
      </w:r>
      <w:r>
        <w:rPr>
          <w:lang w:val="es-ES"/>
        </w:rPr>
        <w:t xml:space="preserve"> la señora Habbal estuvo sujeta a un proceso penal </w:t>
      </w:r>
      <w:r w:rsidRPr="00A965FD">
        <w:rPr>
          <w:lang w:val="es-ES"/>
        </w:rPr>
        <w:t>por la presunta comisión del delito de falsedad ideológica</w:t>
      </w:r>
      <w:r w:rsidR="00FF2841">
        <w:rPr>
          <w:lang w:val="es-ES"/>
        </w:rPr>
        <w:t>,</w:t>
      </w:r>
      <w:r w:rsidRPr="00A965FD">
        <w:rPr>
          <w:lang w:val="es-ES"/>
        </w:rPr>
        <w:t xml:space="preserve"> por hechos relacionados con la documentación presentada para la obtención de la residencia y la ciudadanía (</w:t>
      </w:r>
      <w:r w:rsidRPr="00A965FD">
        <w:rPr>
          <w:i/>
          <w:lang w:val="es-ES"/>
        </w:rPr>
        <w:t>supra</w:t>
      </w:r>
      <w:r w:rsidRPr="00A965FD">
        <w:rPr>
          <w:lang w:val="es-ES"/>
        </w:rPr>
        <w:t>, párr</w:t>
      </w:r>
      <w:r w:rsidR="00FB0823" w:rsidRPr="00A965FD">
        <w:rPr>
          <w:lang w:val="es-ES"/>
        </w:rPr>
        <w:t>.</w:t>
      </w:r>
      <w:r w:rsidR="00FB0823">
        <w:rPr>
          <w:lang w:val="es-ES"/>
        </w:rPr>
        <w:t xml:space="preserve"> 42</w:t>
      </w:r>
      <w:r w:rsidR="00FB0823" w:rsidRPr="00A965FD">
        <w:rPr>
          <w:lang w:val="es-ES"/>
        </w:rPr>
        <w:t>).</w:t>
      </w:r>
      <w:r w:rsidR="00FB0823">
        <w:rPr>
          <w:lang w:val="es-ES"/>
        </w:rPr>
        <w:t xml:space="preserve"> </w:t>
      </w:r>
      <w:r w:rsidR="00BA1C4F">
        <w:rPr>
          <w:lang w:val="es-ES"/>
        </w:rPr>
        <w:t xml:space="preserve">En relación con estos hechos, el 14 de abril de 1997 el Juez Penal que conoció de </w:t>
      </w:r>
      <w:r w:rsidR="002F1119">
        <w:rPr>
          <w:lang w:val="es-ES"/>
        </w:rPr>
        <w:t xml:space="preserve">dicho proceso concluyó que </w:t>
      </w:r>
      <w:r w:rsidR="002F1119" w:rsidRPr="004F6879">
        <w:t>la señora Habbal no tuvo responsabilidad en los sucesos investigados</w:t>
      </w:r>
      <w:r w:rsidR="00B10E61">
        <w:t>,</w:t>
      </w:r>
      <w:r w:rsidR="002F1119" w:rsidRPr="004F6879">
        <w:t xml:space="preserve"> ni que existieran pruebas en su contra. En consecuencia, determinó el sobreseimiento de la causa seguida contra la </w:t>
      </w:r>
      <w:r w:rsidR="002F1119">
        <w:t>presunta víctima.</w:t>
      </w:r>
    </w:p>
    <w:p w14:paraId="7CC021BC" w14:textId="77777777" w:rsidR="00691F03" w:rsidRPr="007B559D" w:rsidRDefault="00691F03" w:rsidP="00691F03">
      <w:pPr>
        <w:rPr>
          <w:rFonts w:ascii="Verdana" w:hAnsi="Verdana"/>
          <w:sz w:val="20"/>
          <w:szCs w:val="20"/>
        </w:rPr>
      </w:pPr>
    </w:p>
    <w:p w14:paraId="22D5C0FE" w14:textId="02B3C0F2" w:rsidR="009F4AAA" w:rsidRPr="00C10E81" w:rsidRDefault="00691F03" w:rsidP="0047350C">
      <w:pPr>
        <w:pStyle w:val="Prrafodelista"/>
        <w:widowControl/>
        <w:numPr>
          <w:ilvl w:val="0"/>
          <w:numId w:val="28"/>
        </w:numPr>
        <w:spacing w:after="0" w:line="240" w:lineRule="auto"/>
        <w:ind w:left="0" w:right="51" w:hanging="11"/>
        <w:jc w:val="both"/>
        <w:rPr>
          <w:rFonts w:ascii="Verdana" w:hAnsi="Verdana"/>
          <w:sz w:val="20"/>
          <w:szCs w:val="20"/>
          <w:lang w:val="es-ES"/>
        </w:rPr>
      </w:pPr>
      <w:r w:rsidRPr="00C10E81">
        <w:rPr>
          <w:rFonts w:ascii="Verdana" w:hAnsi="Verdana"/>
          <w:sz w:val="20"/>
          <w:szCs w:val="20"/>
          <w:lang w:val="es-CR"/>
        </w:rPr>
        <w:t xml:space="preserve">En relación con lo anterior, </w:t>
      </w:r>
      <w:r w:rsidR="00C10E81">
        <w:rPr>
          <w:rFonts w:ascii="Verdana" w:hAnsi="Verdana"/>
          <w:sz w:val="20"/>
          <w:szCs w:val="20"/>
          <w:lang w:val="es-CR"/>
        </w:rPr>
        <w:t>e</w:t>
      </w:r>
      <w:r w:rsidR="00D243D7" w:rsidRPr="00C10E81">
        <w:rPr>
          <w:rFonts w:ascii="Verdana" w:hAnsi="Verdana"/>
          <w:sz w:val="20"/>
          <w:szCs w:val="20"/>
          <w:lang w:val="es-ES"/>
        </w:rPr>
        <w:t>n primer lugar</w:t>
      </w:r>
      <w:r w:rsidR="001F4823" w:rsidRPr="00C10E81">
        <w:rPr>
          <w:rFonts w:ascii="Verdana" w:hAnsi="Verdana"/>
          <w:sz w:val="20"/>
          <w:szCs w:val="20"/>
          <w:lang w:val="es-ES"/>
        </w:rPr>
        <w:t xml:space="preserve">, la Corte </w:t>
      </w:r>
      <w:r w:rsidR="00C10E81">
        <w:rPr>
          <w:rFonts w:ascii="Verdana" w:hAnsi="Verdana"/>
          <w:sz w:val="20"/>
          <w:szCs w:val="20"/>
          <w:lang w:val="es-ES"/>
        </w:rPr>
        <w:t>destaca</w:t>
      </w:r>
      <w:r w:rsidR="001F4823" w:rsidRPr="00C10E81">
        <w:rPr>
          <w:rFonts w:ascii="Verdana" w:hAnsi="Verdana"/>
          <w:sz w:val="20"/>
          <w:szCs w:val="20"/>
          <w:lang w:val="es-ES"/>
        </w:rPr>
        <w:t xml:space="preserve"> que el Juez Penal se pronunció respecto de la causa penal seguida en contra de la señora Habbal como resultado de su participación en el certificado policial de residencia y la promesa de compraventa de un inmueble. Dicho Juez consideró que “el desconocimiento del idioma resulta, claramente en este caso, una barrera infranqueable como para formular contra la imputada cualquier tipo de reproche”. Respecto de la promesa de compraventa de un inmueble en la provincia de Mendoza, consideró que el responsable de esas operaciones no fue </w:t>
      </w:r>
      <w:r w:rsidR="002C287B" w:rsidRPr="00C10E81">
        <w:rPr>
          <w:rFonts w:ascii="Verdana" w:hAnsi="Verdana"/>
          <w:sz w:val="20"/>
          <w:szCs w:val="20"/>
          <w:lang w:val="es-ES"/>
        </w:rPr>
        <w:t>la señora Habbal,</w:t>
      </w:r>
      <w:r w:rsidR="001F4823" w:rsidRPr="00C10E81">
        <w:rPr>
          <w:rFonts w:ascii="Verdana" w:hAnsi="Verdana"/>
          <w:sz w:val="20"/>
          <w:szCs w:val="20"/>
          <w:lang w:val="es-ES"/>
        </w:rPr>
        <w:t xml:space="preserve"> sino</w:t>
      </w:r>
      <w:r w:rsidR="002C287B" w:rsidRPr="00C10E81">
        <w:rPr>
          <w:rFonts w:ascii="Verdana" w:hAnsi="Verdana"/>
          <w:sz w:val="20"/>
          <w:szCs w:val="20"/>
          <w:lang w:val="es-ES"/>
        </w:rPr>
        <w:t xml:space="preserve"> su marido,</w:t>
      </w:r>
      <w:r w:rsidR="001F4823" w:rsidRPr="00C10E81">
        <w:rPr>
          <w:rFonts w:ascii="Verdana" w:hAnsi="Verdana"/>
          <w:sz w:val="20"/>
          <w:szCs w:val="20"/>
          <w:lang w:val="es-ES"/>
        </w:rPr>
        <w:t xml:space="preserve"> el señor Al Kassar. Lo anterior derivó en el convencimiento del Juez de que la señora Habbal no tuvo responsabilidad</w:t>
      </w:r>
      <w:r w:rsidR="00111377" w:rsidRPr="00C10E81">
        <w:rPr>
          <w:rFonts w:ascii="Verdana" w:hAnsi="Verdana"/>
          <w:sz w:val="20"/>
          <w:szCs w:val="20"/>
          <w:lang w:val="es-ES"/>
        </w:rPr>
        <w:t xml:space="preserve"> penal</w:t>
      </w:r>
      <w:r w:rsidR="001F4823" w:rsidRPr="00C10E81">
        <w:rPr>
          <w:rFonts w:ascii="Verdana" w:hAnsi="Verdana"/>
          <w:sz w:val="20"/>
          <w:szCs w:val="20"/>
          <w:lang w:val="es-ES"/>
        </w:rPr>
        <w:t xml:space="preserve"> en los sucesos investigados</w:t>
      </w:r>
      <w:r w:rsidR="002C287B" w:rsidRPr="00C10E81">
        <w:rPr>
          <w:rFonts w:ascii="Verdana" w:hAnsi="Verdana"/>
          <w:sz w:val="20"/>
          <w:szCs w:val="20"/>
          <w:lang w:val="es-ES"/>
        </w:rPr>
        <w:t>,</w:t>
      </w:r>
      <w:r w:rsidR="001F4823" w:rsidRPr="00C10E81">
        <w:rPr>
          <w:rFonts w:ascii="Verdana" w:hAnsi="Verdana"/>
          <w:sz w:val="20"/>
          <w:szCs w:val="20"/>
          <w:lang w:val="es-ES"/>
        </w:rPr>
        <w:t xml:space="preserve"> ni que existieran pruebas en su contra. En consecuencia, determinó el sobreseimiento parcial y provisional de la causa seguida contra la señora Habbal.</w:t>
      </w:r>
    </w:p>
    <w:p w14:paraId="05B4AD93" w14:textId="77777777" w:rsidR="009F4AAA" w:rsidRPr="009F4AAA" w:rsidRDefault="009F4AAA" w:rsidP="009F4AAA">
      <w:pPr>
        <w:rPr>
          <w:rFonts w:ascii="Verdana" w:hAnsi="Verdana"/>
          <w:sz w:val="20"/>
          <w:szCs w:val="20"/>
          <w:lang w:val="es-ES"/>
        </w:rPr>
      </w:pPr>
    </w:p>
    <w:p w14:paraId="5D9FB8EC" w14:textId="0DBE876D" w:rsidR="003A311D" w:rsidRDefault="00D243D7" w:rsidP="0038705D">
      <w:pPr>
        <w:pStyle w:val="Prrafodelista"/>
        <w:widowControl/>
        <w:numPr>
          <w:ilvl w:val="0"/>
          <w:numId w:val="28"/>
        </w:numPr>
        <w:tabs>
          <w:tab w:val="left" w:pos="0"/>
        </w:tabs>
        <w:spacing w:after="0" w:line="240" w:lineRule="auto"/>
        <w:ind w:left="0" w:hanging="11"/>
        <w:jc w:val="both"/>
        <w:rPr>
          <w:rFonts w:ascii="Verdana" w:hAnsi="Verdana"/>
          <w:sz w:val="20"/>
          <w:szCs w:val="20"/>
          <w:lang w:val="es-ES"/>
        </w:rPr>
      </w:pPr>
      <w:r>
        <w:rPr>
          <w:rFonts w:ascii="Verdana" w:hAnsi="Verdana"/>
          <w:sz w:val="20"/>
          <w:szCs w:val="20"/>
          <w:lang w:val="es-ES"/>
        </w:rPr>
        <w:t>Al respecto, l</w:t>
      </w:r>
      <w:r w:rsidR="002C287B" w:rsidRPr="009F4AAA">
        <w:rPr>
          <w:rFonts w:ascii="Verdana" w:hAnsi="Verdana"/>
          <w:sz w:val="20"/>
          <w:szCs w:val="20"/>
          <w:lang w:val="es-ES"/>
        </w:rPr>
        <w:t>a Corte advierte que e</w:t>
      </w:r>
      <w:r w:rsidR="001F4823" w:rsidRPr="009F4AAA">
        <w:rPr>
          <w:rFonts w:ascii="Verdana" w:hAnsi="Verdana"/>
          <w:sz w:val="20"/>
          <w:szCs w:val="20"/>
          <w:lang w:val="es-ES"/>
        </w:rPr>
        <w:t xml:space="preserve">l sobreseimiento de la causa penal seguida en contra de la presunta víctima implicó </w:t>
      </w:r>
      <w:r w:rsidR="002C287B" w:rsidRPr="009F4AAA">
        <w:rPr>
          <w:rFonts w:ascii="Verdana" w:hAnsi="Verdana"/>
          <w:sz w:val="20"/>
          <w:szCs w:val="20"/>
          <w:lang w:val="es-ES"/>
        </w:rPr>
        <w:t>la conclusión de</w:t>
      </w:r>
      <w:r w:rsidR="007D63D7">
        <w:rPr>
          <w:rFonts w:ascii="Verdana" w:hAnsi="Verdana"/>
          <w:sz w:val="20"/>
          <w:szCs w:val="20"/>
          <w:lang w:val="es-ES"/>
        </w:rPr>
        <w:t>l Juez Penal respecto</w:t>
      </w:r>
      <w:r w:rsidR="002C287B" w:rsidRPr="009F4AAA">
        <w:rPr>
          <w:rFonts w:ascii="Verdana" w:hAnsi="Verdana"/>
          <w:sz w:val="20"/>
          <w:szCs w:val="20"/>
          <w:lang w:val="es-ES"/>
        </w:rPr>
        <w:t xml:space="preserve"> </w:t>
      </w:r>
      <w:r w:rsidR="001F4823" w:rsidRPr="009F4AAA">
        <w:rPr>
          <w:rFonts w:ascii="Verdana" w:hAnsi="Verdana"/>
          <w:sz w:val="20"/>
          <w:szCs w:val="20"/>
          <w:lang w:val="es-ES"/>
        </w:rPr>
        <w:t>que la señora Habbal no participó en</w:t>
      </w:r>
      <w:r w:rsidR="0039424C">
        <w:rPr>
          <w:rFonts w:ascii="Verdana" w:hAnsi="Verdana"/>
          <w:sz w:val="20"/>
          <w:szCs w:val="20"/>
          <w:lang w:val="es-ES"/>
        </w:rPr>
        <w:t xml:space="preserve"> la elaboración</w:t>
      </w:r>
      <w:r w:rsidR="001F4823" w:rsidRPr="009F4AAA">
        <w:rPr>
          <w:rFonts w:ascii="Verdana" w:hAnsi="Verdana"/>
          <w:sz w:val="20"/>
          <w:szCs w:val="20"/>
          <w:lang w:val="es-ES"/>
        </w:rPr>
        <w:t xml:space="preserve"> </w:t>
      </w:r>
      <w:r w:rsidR="0039424C">
        <w:rPr>
          <w:rFonts w:ascii="Verdana" w:hAnsi="Verdana"/>
          <w:sz w:val="20"/>
          <w:szCs w:val="20"/>
          <w:lang w:val="es-ES"/>
        </w:rPr>
        <w:t>d</w:t>
      </w:r>
      <w:r w:rsidR="001F4823" w:rsidRPr="009F4AAA">
        <w:rPr>
          <w:rFonts w:ascii="Verdana" w:hAnsi="Verdana"/>
          <w:sz w:val="20"/>
          <w:szCs w:val="20"/>
          <w:lang w:val="es-ES"/>
        </w:rPr>
        <w:t>el certificado policial de residencia</w:t>
      </w:r>
      <w:r w:rsidR="0039424C">
        <w:rPr>
          <w:rFonts w:ascii="Verdana" w:hAnsi="Verdana"/>
          <w:sz w:val="20"/>
          <w:szCs w:val="20"/>
          <w:lang w:val="es-ES"/>
        </w:rPr>
        <w:t xml:space="preserve"> o</w:t>
      </w:r>
      <w:r w:rsidR="001F4823" w:rsidRPr="009F4AAA">
        <w:rPr>
          <w:rFonts w:ascii="Verdana" w:hAnsi="Verdana"/>
          <w:sz w:val="20"/>
          <w:szCs w:val="20"/>
          <w:lang w:val="es-ES"/>
        </w:rPr>
        <w:t xml:space="preserve"> </w:t>
      </w:r>
      <w:r w:rsidR="0039424C">
        <w:rPr>
          <w:rFonts w:ascii="Verdana" w:hAnsi="Verdana"/>
          <w:sz w:val="20"/>
          <w:szCs w:val="20"/>
          <w:lang w:val="es-ES"/>
        </w:rPr>
        <w:t>d</w:t>
      </w:r>
      <w:r w:rsidR="001F4823" w:rsidRPr="009F4AAA">
        <w:rPr>
          <w:rFonts w:ascii="Verdana" w:hAnsi="Verdana"/>
          <w:sz w:val="20"/>
          <w:szCs w:val="20"/>
          <w:lang w:val="es-ES"/>
        </w:rPr>
        <w:t xml:space="preserve">el documento de la promesa de compraventa de un inmueble, pero </w:t>
      </w:r>
      <w:r w:rsidR="00902AE5" w:rsidRPr="009F4AAA">
        <w:rPr>
          <w:rFonts w:ascii="Verdana" w:hAnsi="Verdana"/>
          <w:sz w:val="20"/>
          <w:szCs w:val="20"/>
          <w:lang w:val="es-ES"/>
        </w:rPr>
        <w:t xml:space="preserve">no </w:t>
      </w:r>
      <w:r w:rsidR="00EE240B" w:rsidRPr="009F4AAA">
        <w:rPr>
          <w:rFonts w:ascii="Verdana" w:hAnsi="Verdana"/>
          <w:sz w:val="20"/>
          <w:szCs w:val="20"/>
          <w:lang w:val="es-ES"/>
        </w:rPr>
        <w:t>necesariamente</w:t>
      </w:r>
      <w:r w:rsidR="001F4823" w:rsidRPr="009F4AAA">
        <w:rPr>
          <w:rFonts w:ascii="Verdana" w:hAnsi="Verdana"/>
          <w:sz w:val="20"/>
          <w:szCs w:val="20"/>
          <w:lang w:val="es-ES"/>
        </w:rPr>
        <w:t xml:space="preserve"> que los hechos invocados en la obtención de la nacionalidad </w:t>
      </w:r>
      <w:r w:rsidR="0039424C">
        <w:rPr>
          <w:rFonts w:ascii="Verdana" w:hAnsi="Verdana"/>
          <w:sz w:val="20"/>
          <w:szCs w:val="20"/>
          <w:lang w:val="es-ES"/>
        </w:rPr>
        <w:t>fueran</w:t>
      </w:r>
      <w:r w:rsidR="0039424C" w:rsidRPr="009F4AAA">
        <w:rPr>
          <w:rFonts w:ascii="Verdana" w:hAnsi="Verdana"/>
          <w:sz w:val="20"/>
          <w:szCs w:val="20"/>
          <w:lang w:val="es-ES"/>
        </w:rPr>
        <w:t xml:space="preserve"> </w:t>
      </w:r>
      <w:r w:rsidR="001F4823" w:rsidRPr="009F4AAA">
        <w:rPr>
          <w:rFonts w:ascii="Verdana" w:hAnsi="Verdana"/>
          <w:sz w:val="20"/>
          <w:szCs w:val="20"/>
          <w:lang w:val="es-ES"/>
        </w:rPr>
        <w:t xml:space="preserve">verdaderos. Por esta razón, este Tribunal </w:t>
      </w:r>
      <w:r w:rsidR="00361640" w:rsidRPr="009F4AAA">
        <w:rPr>
          <w:rFonts w:ascii="Verdana" w:hAnsi="Verdana"/>
          <w:sz w:val="20"/>
          <w:szCs w:val="20"/>
          <w:lang w:val="es-ES"/>
        </w:rPr>
        <w:t xml:space="preserve">considera que el Juez Federal Subrogante no vulneró el principio de presunción de inocencia </w:t>
      </w:r>
      <w:r w:rsidR="0010688B" w:rsidRPr="009F4AAA">
        <w:rPr>
          <w:rFonts w:ascii="Verdana" w:hAnsi="Verdana"/>
          <w:sz w:val="20"/>
          <w:szCs w:val="20"/>
          <w:lang w:val="es-ES"/>
        </w:rPr>
        <w:t xml:space="preserve">al </w:t>
      </w:r>
      <w:r w:rsidR="00EE240B" w:rsidRPr="009F4AAA">
        <w:rPr>
          <w:rFonts w:ascii="Verdana" w:hAnsi="Verdana"/>
          <w:sz w:val="20"/>
          <w:szCs w:val="20"/>
          <w:lang w:val="es-ES"/>
        </w:rPr>
        <w:t>re</w:t>
      </w:r>
      <w:r w:rsidR="0010688B" w:rsidRPr="009F4AAA">
        <w:rPr>
          <w:rFonts w:ascii="Verdana" w:hAnsi="Verdana"/>
          <w:sz w:val="20"/>
          <w:szCs w:val="20"/>
          <w:lang w:val="es-ES"/>
        </w:rPr>
        <w:t>solver</w:t>
      </w:r>
      <w:r w:rsidR="00EE240B" w:rsidRPr="009F4AAA">
        <w:rPr>
          <w:rFonts w:ascii="Verdana" w:hAnsi="Verdana"/>
          <w:sz w:val="20"/>
          <w:szCs w:val="20"/>
          <w:lang w:val="es-ES"/>
        </w:rPr>
        <w:t xml:space="preserve"> </w:t>
      </w:r>
      <w:r w:rsidR="001F4823" w:rsidRPr="009F4AAA">
        <w:rPr>
          <w:rFonts w:ascii="Verdana" w:hAnsi="Verdana"/>
          <w:sz w:val="20"/>
          <w:szCs w:val="20"/>
          <w:lang w:val="es-ES"/>
        </w:rPr>
        <w:t>la causa de cancelación de la nacionalidad en la vía civil,</w:t>
      </w:r>
      <w:r w:rsidR="0010688B" w:rsidRPr="009F4AAA">
        <w:rPr>
          <w:rFonts w:ascii="Verdana" w:hAnsi="Verdana"/>
          <w:sz w:val="20"/>
          <w:szCs w:val="20"/>
          <w:lang w:val="es-ES"/>
        </w:rPr>
        <w:t xml:space="preserve"> previo a que existiera una sentencia en vía penal, pues</w:t>
      </w:r>
      <w:r w:rsidR="001F4823" w:rsidRPr="009F4AAA">
        <w:rPr>
          <w:rFonts w:ascii="Verdana" w:hAnsi="Verdana"/>
          <w:sz w:val="20"/>
          <w:szCs w:val="20"/>
          <w:lang w:val="es-ES"/>
        </w:rPr>
        <w:t xml:space="preserve"> la calificación de la falsedad de los hechos sobre los cuales se sustentó la solicitud de obtención de la nacionalidad </w:t>
      </w:r>
      <w:r w:rsidR="00FA4527" w:rsidRPr="009F4AAA">
        <w:rPr>
          <w:rFonts w:ascii="Verdana" w:hAnsi="Verdana"/>
          <w:sz w:val="20"/>
          <w:szCs w:val="20"/>
          <w:lang w:val="es-ES"/>
        </w:rPr>
        <w:t>podía</w:t>
      </w:r>
      <w:r w:rsidR="001F4823" w:rsidRPr="009F4AAA">
        <w:rPr>
          <w:rFonts w:ascii="Verdana" w:hAnsi="Verdana"/>
          <w:sz w:val="20"/>
          <w:szCs w:val="20"/>
          <w:lang w:val="es-ES"/>
        </w:rPr>
        <w:t xml:space="preserve"> realizarse sin que </w:t>
      </w:r>
      <w:r w:rsidR="00FA4527" w:rsidRPr="009F4AAA">
        <w:rPr>
          <w:rFonts w:ascii="Verdana" w:hAnsi="Verdana"/>
          <w:sz w:val="20"/>
          <w:szCs w:val="20"/>
          <w:lang w:val="es-ES"/>
        </w:rPr>
        <w:t>fuera</w:t>
      </w:r>
      <w:r w:rsidR="001F4823" w:rsidRPr="009F4AAA">
        <w:rPr>
          <w:rFonts w:ascii="Verdana" w:hAnsi="Verdana"/>
          <w:sz w:val="20"/>
          <w:szCs w:val="20"/>
          <w:lang w:val="es-ES"/>
        </w:rPr>
        <w:t xml:space="preserve"> necesario esperar la determinación firme sobre</w:t>
      </w:r>
      <w:r w:rsidR="001549DB" w:rsidRPr="009F4AAA">
        <w:rPr>
          <w:rFonts w:ascii="Verdana" w:hAnsi="Verdana"/>
          <w:sz w:val="20"/>
          <w:szCs w:val="20"/>
          <w:lang w:val="es-ES"/>
        </w:rPr>
        <w:t xml:space="preserve"> la comisión del delito de</w:t>
      </w:r>
      <w:r w:rsidR="001F4823" w:rsidRPr="009F4AAA">
        <w:rPr>
          <w:rFonts w:ascii="Verdana" w:hAnsi="Verdana"/>
          <w:sz w:val="20"/>
          <w:szCs w:val="20"/>
          <w:lang w:val="es-ES"/>
        </w:rPr>
        <w:t xml:space="preserve"> falsedad ideológica </w:t>
      </w:r>
      <w:r w:rsidR="006117DE">
        <w:rPr>
          <w:rFonts w:ascii="Verdana" w:hAnsi="Verdana"/>
          <w:sz w:val="20"/>
          <w:szCs w:val="20"/>
          <w:lang w:val="es-ES"/>
        </w:rPr>
        <w:t>presuntamente cometido por la señora Habbal</w:t>
      </w:r>
      <w:r w:rsidR="001F4823" w:rsidRPr="009F4AAA">
        <w:rPr>
          <w:rFonts w:ascii="Verdana" w:hAnsi="Verdana"/>
          <w:sz w:val="20"/>
          <w:szCs w:val="20"/>
          <w:lang w:val="es-ES"/>
        </w:rPr>
        <w:t xml:space="preserve">. </w:t>
      </w:r>
    </w:p>
    <w:p w14:paraId="06512967" w14:textId="77777777" w:rsidR="003A311D" w:rsidRPr="003A311D" w:rsidRDefault="003A311D" w:rsidP="003A311D">
      <w:pPr>
        <w:rPr>
          <w:rFonts w:ascii="Verdana" w:hAnsi="Verdana"/>
          <w:sz w:val="20"/>
          <w:szCs w:val="20"/>
          <w:lang w:val="es-ES"/>
        </w:rPr>
      </w:pPr>
    </w:p>
    <w:p w14:paraId="5C6A10E1" w14:textId="60AD5790" w:rsidR="001F4823" w:rsidRPr="003A311D" w:rsidRDefault="00FA38EB" w:rsidP="0038705D">
      <w:pPr>
        <w:pStyle w:val="Prrafodelista"/>
        <w:widowControl/>
        <w:numPr>
          <w:ilvl w:val="0"/>
          <w:numId w:val="28"/>
        </w:numPr>
        <w:tabs>
          <w:tab w:val="left" w:pos="0"/>
        </w:tabs>
        <w:spacing w:after="0" w:line="240" w:lineRule="auto"/>
        <w:ind w:left="0" w:hanging="11"/>
        <w:jc w:val="both"/>
        <w:rPr>
          <w:rFonts w:ascii="Verdana" w:hAnsi="Verdana"/>
          <w:sz w:val="20"/>
          <w:szCs w:val="20"/>
          <w:lang w:val="es-ES"/>
        </w:rPr>
      </w:pPr>
      <w:r w:rsidRPr="003A311D">
        <w:rPr>
          <w:rFonts w:ascii="Verdana" w:hAnsi="Verdana"/>
          <w:sz w:val="20"/>
          <w:szCs w:val="20"/>
          <w:lang w:val="es-ES"/>
        </w:rPr>
        <w:lastRenderedPageBreak/>
        <w:t>En</w:t>
      </w:r>
      <w:r>
        <w:rPr>
          <w:rFonts w:ascii="Verdana" w:hAnsi="Verdana"/>
          <w:sz w:val="20"/>
          <w:szCs w:val="20"/>
          <w:lang w:val="es-ES"/>
        </w:rPr>
        <w:t xml:space="preserve"> r</w:t>
      </w:r>
      <w:r w:rsidRPr="003A311D">
        <w:rPr>
          <w:rFonts w:ascii="Verdana" w:hAnsi="Verdana"/>
          <w:sz w:val="20"/>
          <w:szCs w:val="20"/>
          <w:lang w:val="es-ES"/>
        </w:rPr>
        <w:t>elación con el</w:t>
      </w:r>
      <w:r w:rsidR="001F4823" w:rsidRPr="003A311D">
        <w:rPr>
          <w:rFonts w:ascii="Verdana" w:hAnsi="Verdana"/>
          <w:sz w:val="20"/>
          <w:szCs w:val="20"/>
          <w:lang w:val="es-ES"/>
        </w:rPr>
        <w:t xml:space="preserve"> principio de legalidad, y en consideración a lo antes señalado, la Corte destaca que el artículo 15 del Decreto 3213/84 atribuye consecuencias jurídicas a un supuesto distinto del tipo penal</w:t>
      </w:r>
      <w:r w:rsidR="00DC4883" w:rsidRPr="003A311D">
        <w:rPr>
          <w:rFonts w:ascii="Verdana" w:hAnsi="Verdana"/>
          <w:sz w:val="20"/>
          <w:szCs w:val="20"/>
          <w:lang w:val="es-ES"/>
        </w:rPr>
        <w:t>. El primero</w:t>
      </w:r>
      <w:r w:rsidR="001F4823" w:rsidRPr="003A311D">
        <w:rPr>
          <w:rFonts w:ascii="Verdana" w:hAnsi="Verdana"/>
          <w:sz w:val="20"/>
          <w:szCs w:val="20"/>
          <w:lang w:val="es-ES"/>
        </w:rPr>
        <w:t xml:space="preserve"> consiste en la invocación de hechos falsos para la obtención de la ciudadanía, sin que se advierta de dicha norma, que la falsedad deba ser del conocimiento de quien formula la solicitud. En este sentido, la Corte encuentra que se siguió un proceso civil en contra de la señora Habbal con fundamento en una causal legalmente establecida. Esa causal estaba referida a la falsedad de los hechos que se sustentaran en la solicitud de nacionalidad con independencia del conocimiento de la presunta víctima</w:t>
      </w:r>
      <w:r w:rsidR="00A1200F">
        <w:rPr>
          <w:rFonts w:ascii="Verdana" w:hAnsi="Verdana"/>
          <w:sz w:val="20"/>
          <w:szCs w:val="20"/>
          <w:lang w:val="es-ES"/>
        </w:rPr>
        <w:t xml:space="preserve"> o su culpabilidad en la comisión de un delito</w:t>
      </w:r>
      <w:r w:rsidR="001F4823" w:rsidRPr="003A311D">
        <w:rPr>
          <w:rFonts w:ascii="Verdana" w:hAnsi="Verdana"/>
          <w:sz w:val="20"/>
          <w:szCs w:val="20"/>
          <w:lang w:val="es-ES"/>
        </w:rPr>
        <w:t xml:space="preserve">. De modo que, a juicio de este Tribunal, la aplicación del artículo 15 del Decreto 3213/84, sin que se haya dictado sentencia en el procedimiento penal no constituye, en </w:t>
      </w:r>
      <w:r w:rsidR="00A1200F">
        <w:rPr>
          <w:rFonts w:ascii="Verdana" w:hAnsi="Verdana"/>
          <w:sz w:val="20"/>
          <w:szCs w:val="20"/>
          <w:lang w:val="es-ES"/>
        </w:rPr>
        <w:t>el presente caso</w:t>
      </w:r>
      <w:r w:rsidR="001F4823" w:rsidRPr="003A311D">
        <w:rPr>
          <w:rFonts w:ascii="Verdana" w:hAnsi="Verdana"/>
          <w:sz w:val="20"/>
          <w:szCs w:val="20"/>
          <w:lang w:val="es-ES"/>
        </w:rPr>
        <w:t>, una violación al principio de legalidad.</w:t>
      </w:r>
    </w:p>
    <w:p w14:paraId="1E15A012" w14:textId="77777777" w:rsidR="001C6BBD" w:rsidRPr="001F4823" w:rsidRDefault="001C6BBD" w:rsidP="00691F03">
      <w:pPr>
        <w:pStyle w:val="Prrafodelista"/>
        <w:tabs>
          <w:tab w:val="left" w:pos="0"/>
        </w:tabs>
        <w:spacing w:after="0" w:line="240" w:lineRule="auto"/>
        <w:ind w:left="0"/>
        <w:jc w:val="both"/>
        <w:rPr>
          <w:rFonts w:ascii="Verdana" w:hAnsi="Verdana"/>
          <w:sz w:val="20"/>
          <w:szCs w:val="20"/>
          <w:lang w:val="es-ES"/>
        </w:rPr>
      </w:pPr>
    </w:p>
    <w:p w14:paraId="2D04CAC6" w14:textId="4C105F50" w:rsidR="00951636" w:rsidRPr="00951636" w:rsidRDefault="002F1119" w:rsidP="00951636">
      <w:pPr>
        <w:pStyle w:val="Prrafodelista"/>
        <w:widowControl/>
        <w:numPr>
          <w:ilvl w:val="0"/>
          <w:numId w:val="28"/>
        </w:numPr>
        <w:tabs>
          <w:tab w:val="left" w:pos="0"/>
        </w:tabs>
        <w:spacing w:after="0" w:line="240" w:lineRule="auto"/>
        <w:ind w:left="0" w:hanging="11"/>
        <w:jc w:val="both"/>
        <w:rPr>
          <w:rFonts w:ascii="Verdana" w:hAnsi="Verdana"/>
          <w:sz w:val="20"/>
          <w:szCs w:val="20"/>
          <w:lang w:val="es-CR"/>
        </w:rPr>
      </w:pPr>
      <w:r>
        <w:rPr>
          <w:rFonts w:ascii="Verdana" w:hAnsi="Verdana"/>
          <w:sz w:val="20"/>
          <w:szCs w:val="20"/>
          <w:lang w:val="es-CR"/>
        </w:rPr>
        <w:t xml:space="preserve">En </w:t>
      </w:r>
      <w:r w:rsidR="009A08D8">
        <w:rPr>
          <w:rFonts w:ascii="Verdana" w:hAnsi="Verdana"/>
          <w:sz w:val="20"/>
          <w:szCs w:val="20"/>
          <w:lang w:val="es-CR"/>
        </w:rPr>
        <w:t>segundo</w:t>
      </w:r>
      <w:r>
        <w:rPr>
          <w:rFonts w:ascii="Verdana" w:hAnsi="Verdana"/>
          <w:sz w:val="20"/>
          <w:szCs w:val="20"/>
          <w:lang w:val="es-CR"/>
        </w:rPr>
        <w:t xml:space="preserve"> lugar, este Tribunal recuerda que</w:t>
      </w:r>
      <w:r w:rsidR="006B5FA7">
        <w:rPr>
          <w:rFonts w:ascii="Verdana" w:hAnsi="Verdana"/>
          <w:sz w:val="20"/>
          <w:szCs w:val="20"/>
          <w:lang w:val="es-CR"/>
        </w:rPr>
        <w:t xml:space="preserve"> </w:t>
      </w:r>
      <w:r w:rsidR="006B5FA7" w:rsidRPr="006B5FA7">
        <w:rPr>
          <w:rFonts w:ascii="Verdana" w:eastAsia="Calibri" w:hAnsi="Verdana"/>
          <w:sz w:val="20"/>
          <w:szCs w:val="20"/>
          <w:lang w:val="es-CR"/>
        </w:rPr>
        <w:t>el deber de</w:t>
      </w:r>
      <w:r w:rsidR="006B5FA7">
        <w:rPr>
          <w:rFonts w:ascii="Verdana" w:eastAsia="Calibri" w:hAnsi="Verdana"/>
          <w:sz w:val="20"/>
          <w:szCs w:val="20"/>
          <w:lang w:val="es-CR"/>
        </w:rPr>
        <w:t xml:space="preserve"> </w:t>
      </w:r>
      <w:r w:rsidR="006B5FA7" w:rsidRPr="006B5FA7">
        <w:rPr>
          <w:rFonts w:ascii="Verdana" w:eastAsia="Calibri" w:hAnsi="Verdana"/>
          <w:sz w:val="20"/>
          <w:szCs w:val="20"/>
          <w:lang w:val="es-CR"/>
        </w:rPr>
        <w:t>motivación</w:t>
      </w:r>
      <w:r w:rsidR="006B5FA7">
        <w:rPr>
          <w:rFonts w:ascii="Verdana" w:eastAsia="Calibri" w:hAnsi="Verdana"/>
          <w:sz w:val="20"/>
          <w:szCs w:val="20"/>
          <w:lang w:val="es-CR"/>
        </w:rPr>
        <w:t xml:space="preserve"> </w:t>
      </w:r>
      <w:r w:rsidR="006B5FA7" w:rsidRPr="006B5FA7">
        <w:rPr>
          <w:rFonts w:ascii="Verdana" w:eastAsia="Calibri" w:hAnsi="Verdana"/>
          <w:sz w:val="20"/>
          <w:szCs w:val="20"/>
          <w:lang w:val="es-CR"/>
        </w:rPr>
        <w:t>es</w:t>
      </w:r>
      <w:r w:rsidR="006B5FA7">
        <w:rPr>
          <w:rFonts w:ascii="Verdana" w:eastAsia="Calibri" w:hAnsi="Verdana"/>
          <w:sz w:val="20"/>
          <w:szCs w:val="20"/>
          <w:lang w:val="es-CR"/>
        </w:rPr>
        <w:t xml:space="preserve"> </w:t>
      </w:r>
      <w:r w:rsidR="006B5FA7" w:rsidRPr="00D64A1D">
        <w:rPr>
          <w:rFonts w:ascii="Verdana" w:eastAsia="Calibri" w:hAnsi="Verdana"/>
          <w:sz w:val="20"/>
          <w:szCs w:val="20"/>
          <w:lang w:val="es-VE"/>
        </w:rPr>
        <w:t>una</w:t>
      </w:r>
      <w:r w:rsidR="006B5FA7">
        <w:rPr>
          <w:rFonts w:ascii="Verdana" w:eastAsia="Calibri" w:hAnsi="Verdana"/>
          <w:sz w:val="20"/>
          <w:szCs w:val="20"/>
          <w:lang w:val="es-CR"/>
        </w:rPr>
        <w:t xml:space="preserve"> </w:t>
      </w:r>
      <w:r w:rsidR="006B5FA7" w:rsidRPr="006B5FA7">
        <w:rPr>
          <w:rFonts w:ascii="Verdana" w:eastAsia="Calibri" w:hAnsi="Verdana"/>
          <w:sz w:val="20"/>
          <w:szCs w:val="20"/>
          <w:lang w:val="es-CR"/>
        </w:rPr>
        <w:t xml:space="preserve">de las </w:t>
      </w:r>
      <w:r w:rsidR="006B5FA7">
        <w:rPr>
          <w:rFonts w:ascii="Verdana" w:eastAsia="Calibri" w:hAnsi="Verdana"/>
          <w:sz w:val="20"/>
          <w:szCs w:val="20"/>
          <w:lang w:val="es-CR"/>
        </w:rPr>
        <w:t>“</w:t>
      </w:r>
      <w:r w:rsidR="006B5FA7" w:rsidRPr="006B5FA7">
        <w:rPr>
          <w:rFonts w:ascii="Verdana" w:eastAsia="Calibri" w:hAnsi="Verdana"/>
          <w:sz w:val="20"/>
          <w:szCs w:val="20"/>
          <w:lang w:val="es-CR"/>
        </w:rPr>
        <w:t>debidas garantías</w:t>
      </w:r>
      <w:r w:rsidR="006B5FA7">
        <w:rPr>
          <w:rFonts w:ascii="Verdana" w:eastAsia="Calibri" w:hAnsi="Verdana"/>
          <w:sz w:val="20"/>
          <w:szCs w:val="20"/>
          <w:lang w:val="es-CR"/>
        </w:rPr>
        <w:t>”</w:t>
      </w:r>
      <w:r w:rsidR="006B5FA7" w:rsidRPr="006B5FA7">
        <w:rPr>
          <w:rFonts w:ascii="Verdana" w:eastAsia="Calibri" w:hAnsi="Verdana"/>
          <w:sz w:val="20"/>
          <w:szCs w:val="20"/>
          <w:lang w:val="es-CR"/>
        </w:rPr>
        <w:t xml:space="preserve"> incluidas en el artículo 8.1 para salvaguardar el derecho a un debido proceso</w:t>
      </w:r>
      <w:r w:rsidR="004C477C">
        <w:rPr>
          <w:rFonts w:ascii="Verdana" w:eastAsia="Calibri" w:hAnsi="Verdana"/>
          <w:sz w:val="20"/>
          <w:szCs w:val="20"/>
          <w:lang w:val="es-CR"/>
        </w:rPr>
        <w:t>.</w:t>
      </w:r>
      <w:r w:rsidR="006B5FA7">
        <w:rPr>
          <w:rFonts w:ascii="ZWAdobeF" w:eastAsia="Calibri" w:hAnsi="ZWAdobeF" w:cs="ZWAdobeF"/>
          <w:sz w:val="2"/>
          <w:szCs w:val="2"/>
          <w:lang w:val="es-CR"/>
        </w:rPr>
        <w:t>.</w:t>
      </w:r>
      <w:r>
        <w:rPr>
          <w:rFonts w:ascii="Verdana" w:hAnsi="Verdana"/>
          <w:sz w:val="20"/>
          <w:szCs w:val="20"/>
          <w:lang w:val="es-CR"/>
        </w:rPr>
        <w:t xml:space="preserve"> </w:t>
      </w:r>
      <w:r w:rsidR="004C477C">
        <w:rPr>
          <w:rFonts w:ascii="Verdana" w:hAnsi="Verdana"/>
          <w:sz w:val="20"/>
          <w:szCs w:val="20"/>
          <w:lang w:val="es-CR"/>
        </w:rPr>
        <w:t xml:space="preserve">En ese sentido, la Corte advierte que </w:t>
      </w:r>
      <w:r w:rsidR="004C477C">
        <w:rPr>
          <w:rFonts w:ascii="Verdana" w:hAnsi="Verdana"/>
          <w:sz w:val="20"/>
          <w:szCs w:val="20"/>
          <w:lang w:val="es-ES"/>
        </w:rPr>
        <w:t>e</w:t>
      </w:r>
      <w:r w:rsidR="004C477C" w:rsidRPr="00F51EDF">
        <w:rPr>
          <w:rFonts w:ascii="Verdana" w:hAnsi="Verdana"/>
          <w:sz w:val="20"/>
          <w:szCs w:val="20"/>
          <w:lang w:val="es-ES"/>
        </w:rPr>
        <w:t>l Juez Federal Subrogante acredit</w:t>
      </w:r>
      <w:r w:rsidR="00213751">
        <w:rPr>
          <w:rFonts w:ascii="Verdana" w:hAnsi="Verdana"/>
          <w:sz w:val="20"/>
          <w:szCs w:val="20"/>
          <w:lang w:val="es-ES"/>
        </w:rPr>
        <w:t>ó</w:t>
      </w:r>
      <w:r w:rsidR="004C477C" w:rsidRPr="00F51EDF">
        <w:rPr>
          <w:rFonts w:ascii="Verdana" w:hAnsi="Verdana"/>
          <w:sz w:val="20"/>
          <w:szCs w:val="20"/>
          <w:lang w:val="es-ES"/>
        </w:rPr>
        <w:t xml:space="preserve"> </w:t>
      </w:r>
      <w:r w:rsidR="0038396C">
        <w:rPr>
          <w:rFonts w:ascii="Verdana" w:hAnsi="Verdana"/>
          <w:sz w:val="20"/>
          <w:szCs w:val="20"/>
          <w:lang w:val="es-ES"/>
        </w:rPr>
        <w:t>la falsedad de los hechos</w:t>
      </w:r>
      <w:r w:rsidR="006626B9">
        <w:rPr>
          <w:rFonts w:ascii="Verdana" w:hAnsi="Verdana"/>
          <w:sz w:val="20"/>
          <w:szCs w:val="20"/>
          <w:lang w:val="es-ES"/>
        </w:rPr>
        <w:t xml:space="preserve"> invocados para la obtención de la nacionalidad</w:t>
      </w:r>
      <w:r w:rsidR="004C477C" w:rsidRPr="00F51EDF">
        <w:rPr>
          <w:rFonts w:ascii="Verdana" w:hAnsi="Verdana"/>
          <w:sz w:val="20"/>
          <w:szCs w:val="20"/>
          <w:lang w:val="es-ES"/>
        </w:rPr>
        <w:t xml:space="preserve"> al considerar que </w:t>
      </w:r>
      <w:r w:rsidR="004C477C" w:rsidRPr="00691F03">
        <w:rPr>
          <w:rFonts w:ascii="Verdana" w:hAnsi="Verdana"/>
          <w:sz w:val="20"/>
          <w:szCs w:val="20"/>
          <w:lang w:val="es-CR"/>
        </w:rPr>
        <w:t xml:space="preserve">“… </w:t>
      </w:r>
      <w:r w:rsidR="004C477C" w:rsidRPr="00F51EDF">
        <w:rPr>
          <w:rFonts w:ascii="Verdana" w:hAnsi="Verdana"/>
          <w:sz w:val="20"/>
          <w:szCs w:val="20"/>
          <w:lang w:val="es-ES"/>
        </w:rPr>
        <w:t xml:space="preserve">La falsedad del certificado de residencia, surge del propio instrumento si se considera la fecha de ingreso al país; en cuanto a la supuesta industria a concretar, el vendedor no es otro que ADUR, sobre quien pesa orden de captura, en la causa criminal ya mencionada, aparece demostrado en esos autos que, que el terreno rural que presuntamente compraría Raghda </w:t>
      </w:r>
      <w:r w:rsidR="0039424C">
        <w:rPr>
          <w:rFonts w:ascii="Verdana" w:hAnsi="Verdana"/>
          <w:sz w:val="20"/>
          <w:szCs w:val="20"/>
          <w:lang w:val="es-ES"/>
        </w:rPr>
        <w:t>[Habbal]</w:t>
      </w:r>
      <w:r w:rsidR="0039424C" w:rsidRPr="00F51EDF">
        <w:rPr>
          <w:rFonts w:ascii="Verdana" w:hAnsi="Verdana"/>
          <w:sz w:val="20"/>
          <w:szCs w:val="20"/>
          <w:lang w:val="es-ES"/>
        </w:rPr>
        <w:t xml:space="preserve"> </w:t>
      </w:r>
      <w:r w:rsidR="004C477C" w:rsidRPr="00F51EDF">
        <w:rPr>
          <w:rFonts w:ascii="Verdana" w:hAnsi="Verdana"/>
          <w:sz w:val="20"/>
          <w:szCs w:val="20"/>
          <w:lang w:val="es-ES"/>
        </w:rPr>
        <w:t xml:space="preserve">con su esposo, su dueño nunca pensó en venderlo…”. </w:t>
      </w:r>
      <w:r w:rsidR="004C477C">
        <w:rPr>
          <w:rFonts w:ascii="Verdana" w:hAnsi="Verdana"/>
          <w:sz w:val="20"/>
          <w:szCs w:val="20"/>
          <w:lang w:val="es-CR"/>
        </w:rPr>
        <w:t xml:space="preserve"> </w:t>
      </w:r>
      <w:r w:rsidR="001A7B8C">
        <w:rPr>
          <w:rFonts w:ascii="Verdana" w:hAnsi="Verdana"/>
          <w:sz w:val="20"/>
          <w:szCs w:val="20"/>
          <w:lang w:val="es-CR"/>
        </w:rPr>
        <w:t>Sobre la base de lo anterior</w:t>
      </w:r>
      <w:r w:rsidR="00691F03" w:rsidRPr="00691F03">
        <w:rPr>
          <w:rFonts w:ascii="Verdana" w:hAnsi="Verdana"/>
          <w:sz w:val="20"/>
          <w:szCs w:val="20"/>
          <w:lang w:val="es-CR"/>
        </w:rPr>
        <w:t xml:space="preserve"> el Juez Federal Subrogante </w:t>
      </w:r>
      <w:r w:rsidR="001A7B8C">
        <w:rPr>
          <w:rFonts w:ascii="Verdana" w:hAnsi="Verdana"/>
          <w:sz w:val="20"/>
          <w:szCs w:val="20"/>
          <w:lang w:val="es-CR"/>
        </w:rPr>
        <w:t xml:space="preserve">consideró que </w:t>
      </w:r>
      <w:r w:rsidR="007C0710">
        <w:rPr>
          <w:rFonts w:ascii="Verdana" w:hAnsi="Verdana"/>
          <w:sz w:val="20"/>
          <w:szCs w:val="20"/>
          <w:lang w:val="es-CR"/>
        </w:rPr>
        <w:t>la obtención de la nacionalidad de la señora Habbal</w:t>
      </w:r>
      <w:r w:rsidR="00691F03" w:rsidRPr="00691F03">
        <w:rPr>
          <w:rFonts w:ascii="Verdana" w:hAnsi="Verdana"/>
          <w:sz w:val="20"/>
          <w:szCs w:val="20"/>
          <w:lang w:val="es-CR"/>
        </w:rPr>
        <w:t xml:space="preserve"> se ajustó al supuesto d</w:t>
      </w:r>
      <w:r w:rsidR="00691F03" w:rsidRPr="00F51EDF">
        <w:rPr>
          <w:rFonts w:ascii="Verdana" w:hAnsi="Verdana"/>
          <w:sz w:val="20"/>
          <w:szCs w:val="20"/>
          <w:lang w:val="es-ES"/>
        </w:rPr>
        <w:t xml:space="preserve">el artículo 15 del Decreto 3213/84, la cual fue la norma invocada como fundamento para la cancelación de </w:t>
      </w:r>
      <w:r w:rsidR="007C0710">
        <w:rPr>
          <w:rFonts w:ascii="Verdana" w:hAnsi="Verdana"/>
          <w:sz w:val="20"/>
          <w:szCs w:val="20"/>
          <w:lang w:val="es-ES"/>
        </w:rPr>
        <w:t>la</w:t>
      </w:r>
      <w:r w:rsidR="00691F03" w:rsidRPr="00F51EDF">
        <w:rPr>
          <w:rFonts w:ascii="Verdana" w:hAnsi="Verdana"/>
          <w:sz w:val="20"/>
          <w:szCs w:val="20"/>
          <w:lang w:val="es-ES"/>
        </w:rPr>
        <w:t xml:space="preserve"> nacionalidad</w:t>
      </w:r>
      <w:r w:rsidR="007C0710">
        <w:rPr>
          <w:rFonts w:ascii="Verdana" w:hAnsi="Verdana"/>
          <w:sz w:val="20"/>
          <w:szCs w:val="20"/>
          <w:lang w:val="es-ES"/>
        </w:rPr>
        <w:t xml:space="preserve"> argentina</w:t>
      </w:r>
      <w:r w:rsidR="00691F03" w:rsidRPr="00F51EDF">
        <w:rPr>
          <w:rFonts w:ascii="Verdana" w:hAnsi="Verdana"/>
          <w:sz w:val="20"/>
          <w:szCs w:val="20"/>
          <w:lang w:val="es-ES"/>
        </w:rPr>
        <w:t xml:space="preserve">. La Corte </w:t>
      </w:r>
      <w:r w:rsidR="00696BE3">
        <w:rPr>
          <w:rFonts w:ascii="Verdana" w:hAnsi="Verdana"/>
          <w:sz w:val="20"/>
          <w:szCs w:val="20"/>
          <w:lang w:val="es-ES"/>
        </w:rPr>
        <w:t>advierte que</w:t>
      </w:r>
      <w:r w:rsidR="008F6227">
        <w:rPr>
          <w:rFonts w:ascii="Verdana" w:hAnsi="Verdana"/>
          <w:sz w:val="20"/>
          <w:szCs w:val="20"/>
          <w:lang w:val="es-ES"/>
        </w:rPr>
        <w:t xml:space="preserve"> </w:t>
      </w:r>
      <w:r w:rsidR="00082ED1">
        <w:rPr>
          <w:rFonts w:ascii="Verdana" w:hAnsi="Verdana"/>
          <w:sz w:val="20"/>
          <w:szCs w:val="20"/>
          <w:lang w:val="es-ES"/>
        </w:rPr>
        <w:t xml:space="preserve">en la sentencia se </w:t>
      </w:r>
      <w:r w:rsidR="00860DE7">
        <w:rPr>
          <w:rFonts w:ascii="Verdana" w:hAnsi="Verdana"/>
          <w:sz w:val="20"/>
          <w:szCs w:val="20"/>
          <w:lang w:val="es-ES"/>
        </w:rPr>
        <w:t>exteriorizó la justificación mediante la cual se arribó a las conclusiones de</w:t>
      </w:r>
      <w:r w:rsidR="00AE6A67">
        <w:rPr>
          <w:rFonts w:ascii="Verdana" w:hAnsi="Verdana"/>
          <w:sz w:val="20"/>
          <w:szCs w:val="20"/>
          <w:lang w:val="es-ES"/>
        </w:rPr>
        <w:t>l caso, y es posible advertir los hechos, motivos y normas por las cuales se concluyó la cancelación de la nacionalidad de la señora Habbal. En consecuencia, la Corte considera que</w:t>
      </w:r>
      <w:r w:rsidR="00124F04">
        <w:rPr>
          <w:rFonts w:ascii="Verdana" w:hAnsi="Verdana"/>
          <w:sz w:val="20"/>
          <w:szCs w:val="20"/>
          <w:lang w:val="es-ES"/>
        </w:rPr>
        <w:t xml:space="preserve"> no</w:t>
      </w:r>
      <w:r w:rsidR="00AE6A67">
        <w:rPr>
          <w:rFonts w:ascii="Verdana" w:hAnsi="Verdana"/>
          <w:sz w:val="20"/>
          <w:szCs w:val="20"/>
          <w:lang w:val="es-ES"/>
        </w:rPr>
        <w:t xml:space="preserve"> existió</w:t>
      </w:r>
      <w:r w:rsidR="008F6227">
        <w:rPr>
          <w:rFonts w:ascii="Verdana" w:hAnsi="Verdana"/>
          <w:sz w:val="20"/>
          <w:szCs w:val="20"/>
          <w:lang w:val="es-ES"/>
        </w:rPr>
        <w:t xml:space="preserve"> un incumplimiento de</w:t>
      </w:r>
      <w:r w:rsidR="00AE6A67">
        <w:rPr>
          <w:rFonts w:ascii="Verdana" w:hAnsi="Verdana"/>
          <w:sz w:val="20"/>
          <w:szCs w:val="20"/>
          <w:lang w:val="es-ES"/>
        </w:rPr>
        <w:t>l</w:t>
      </w:r>
      <w:r w:rsidR="00691F03" w:rsidRPr="00F51EDF">
        <w:rPr>
          <w:rFonts w:ascii="Verdana" w:hAnsi="Verdana"/>
          <w:sz w:val="20"/>
          <w:szCs w:val="20"/>
          <w:lang w:val="es-ES"/>
        </w:rPr>
        <w:t xml:space="preserve"> deber de motivación</w:t>
      </w:r>
      <w:r w:rsidR="008F6227">
        <w:rPr>
          <w:rFonts w:ascii="Verdana" w:hAnsi="Verdana"/>
          <w:sz w:val="20"/>
          <w:szCs w:val="20"/>
          <w:lang w:val="es-ES"/>
        </w:rPr>
        <w:t xml:space="preserve"> en términos del artículo 8.1 de la Convención</w:t>
      </w:r>
      <w:r w:rsidR="00691F03" w:rsidRPr="00F51EDF">
        <w:rPr>
          <w:rFonts w:ascii="Verdana" w:hAnsi="Verdana"/>
          <w:sz w:val="20"/>
          <w:szCs w:val="20"/>
          <w:lang w:val="es-ES"/>
        </w:rPr>
        <w:t>.</w:t>
      </w:r>
      <w:bookmarkStart w:id="62" w:name="_Hlk111639230"/>
    </w:p>
    <w:p w14:paraId="1E686F7B" w14:textId="77777777" w:rsidR="00951636" w:rsidRPr="00951636" w:rsidRDefault="00951636" w:rsidP="00951636">
      <w:pPr>
        <w:pStyle w:val="Prrafodelista"/>
        <w:widowControl/>
        <w:tabs>
          <w:tab w:val="left" w:pos="0"/>
        </w:tabs>
        <w:spacing w:after="0" w:line="240" w:lineRule="auto"/>
        <w:ind w:left="0"/>
        <w:jc w:val="both"/>
        <w:rPr>
          <w:rFonts w:ascii="Verdana" w:hAnsi="Verdana"/>
          <w:sz w:val="20"/>
          <w:szCs w:val="20"/>
          <w:lang w:val="es-CR"/>
        </w:rPr>
      </w:pPr>
    </w:p>
    <w:p w14:paraId="56BD0CC5" w14:textId="63E5040C" w:rsidR="000217DC" w:rsidRPr="0039424C" w:rsidRDefault="005B2507" w:rsidP="002044F2">
      <w:pPr>
        <w:pStyle w:val="Prrafodelista"/>
        <w:widowControl/>
        <w:numPr>
          <w:ilvl w:val="0"/>
          <w:numId w:val="28"/>
        </w:numPr>
        <w:tabs>
          <w:tab w:val="left" w:pos="0"/>
        </w:tabs>
        <w:spacing w:after="0" w:line="240" w:lineRule="auto"/>
        <w:ind w:left="0" w:hanging="11"/>
        <w:jc w:val="both"/>
        <w:rPr>
          <w:rFonts w:ascii="Verdana" w:hAnsi="Verdana"/>
          <w:sz w:val="20"/>
          <w:szCs w:val="20"/>
          <w:lang w:val="es-CR"/>
        </w:rPr>
      </w:pPr>
      <w:r w:rsidRPr="0039424C">
        <w:rPr>
          <w:rFonts w:ascii="Verdana" w:hAnsi="Verdana"/>
          <w:sz w:val="20"/>
          <w:szCs w:val="20"/>
          <w:lang w:val="es-ES"/>
        </w:rPr>
        <w:t xml:space="preserve">En tercer lugar, este Tribunal advierte que, en efecto, el Juez Federal Subrogante, </w:t>
      </w:r>
      <w:r w:rsidR="00B66916" w:rsidRPr="0039424C">
        <w:rPr>
          <w:rFonts w:ascii="Verdana" w:hAnsi="Verdana"/>
          <w:sz w:val="20"/>
          <w:szCs w:val="20"/>
          <w:lang w:val="es-ES"/>
        </w:rPr>
        <w:t>en su sentencia de</w:t>
      </w:r>
      <w:r w:rsidR="009F38E7" w:rsidRPr="0039424C">
        <w:rPr>
          <w:rFonts w:ascii="Verdana" w:hAnsi="Verdana"/>
          <w:sz w:val="20"/>
          <w:szCs w:val="20"/>
          <w:lang w:val="es-ES"/>
        </w:rPr>
        <w:t xml:space="preserve"> 27 de octubre de 1994</w:t>
      </w:r>
      <w:r w:rsidR="00B66916" w:rsidRPr="0039424C">
        <w:rPr>
          <w:rFonts w:ascii="Verdana" w:hAnsi="Verdana"/>
          <w:sz w:val="20"/>
          <w:szCs w:val="20"/>
          <w:lang w:val="es-ES"/>
        </w:rPr>
        <w:t>,</w:t>
      </w:r>
      <w:r w:rsidRPr="0039424C">
        <w:rPr>
          <w:rFonts w:ascii="Verdana" w:hAnsi="Verdana"/>
          <w:sz w:val="20"/>
          <w:szCs w:val="20"/>
          <w:lang w:val="es-ES"/>
        </w:rPr>
        <w:t xml:space="preserve"> </w:t>
      </w:r>
      <w:r w:rsidR="00951636" w:rsidRPr="0039424C">
        <w:rPr>
          <w:rFonts w:ascii="Verdana" w:hAnsi="Verdana"/>
          <w:sz w:val="20"/>
          <w:szCs w:val="20"/>
          <w:lang w:val="es-ES"/>
        </w:rPr>
        <w:t>no consideró</w:t>
      </w:r>
      <w:r w:rsidR="00DE39E4" w:rsidRPr="0039424C">
        <w:rPr>
          <w:rFonts w:ascii="Verdana" w:hAnsi="Verdana"/>
          <w:sz w:val="20"/>
          <w:szCs w:val="20"/>
          <w:lang w:val="es-MX"/>
        </w:rPr>
        <w:t xml:space="preserve"> si</w:t>
      </w:r>
      <w:r w:rsidRPr="0039424C">
        <w:rPr>
          <w:rFonts w:ascii="Verdana" w:hAnsi="Verdana"/>
          <w:sz w:val="20"/>
          <w:szCs w:val="20"/>
          <w:lang w:val="es-MX"/>
        </w:rPr>
        <w:t xml:space="preserve"> la señora Habbal quedar</w:t>
      </w:r>
      <w:r w:rsidR="00217A69" w:rsidRPr="0039424C">
        <w:rPr>
          <w:rFonts w:ascii="Verdana" w:hAnsi="Verdana"/>
          <w:sz w:val="20"/>
          <w:szCs w:val="20"/>
          <w:lang w:val="es-MX"/>
        </w:rPr>
        <w:t>í</w:t>
      </w:r>
      <w:r w:rsidRPr="0039424C">
        <w:rPr>
          <w:rFonts w:ascii="Verdana" w:hAnsi="Verdana"/>
          <w:sz w:val="20"/>
          <w:szCs w:val="20"/>
          <w:lang w:val="es-MX"/>
        </w:rPr>
        <w:t xml:space="preserve">a en situación de apatridia ante la </w:t>
      </w:r>
      <w:r w:rsidR="00094EDF" w:rsidRPr="0039424C">
        <w:rPr>
          <w:rFonts w:ascii="Verdana" w:hAnsi="Verdana"/>
          <w:sz w:val="20"/>
          <w:szCs w:val="20"/>
          <w:lang w:val="es-MX"/>
        </w:rPr>
        <w:t>renuncia jurada a su nacionalidad de origen</w:t>
      </w:r>
      <w:r w:rsidRPr="0039424C">
        <w:rPr>
          <w:rFonts w:ascii="Verdana" w:hAnsi="Verdana"/>
          <w:sz w:val="20"/>
          <w:szCs w:val="20"/>
          <w:lang w:val="es-MX"/>
        </w:rPr>
        <w:t xml:space="preserve">. </w:t>
      </w:r>
      <w:r w:rsidRPr="00E709E9">
        <w:rPr>
          <w:rFonts w:ascii="Verdana" w:hAnsi="Verdana"/>
          <w:sz w:val="20"/>
          <w:szCs w:val="20"/>
          <w:lang w:val="es-MX"/>
        </w:rPr>
        <w:t xml:space="preserve">Sin embargo, de la prueba sometida ante este Tribunal se advierte que la señora </w:t>
      </w:r>
      <w:r w:rsidRPr="00E709E9">
        <w:rPr>
          <w:rFonts w:ascii="Verdana" w:hAnsi="Verdana"/>
          <w:sz w:val="20"/>
          <w:szCs w:val="20"/>
          <w:lang w:val="es-CR"/>
        </w:rPr>
        <w:t xml:space="preserve">Raghda Habbal ingresó en </w:t>
      </w:r>
      <w:r w:rsidR="00071606" w:rsidRPr="00E709E9">
        <w:rPr>
          <w:rFonts w:ascii="Verdana" w:hAnsi="Verdana"/>
          <w:sz w:val="20"/>
          <w:szCs w:val="20"/>
          <w:lang w:val="es-CR"/>
        </w:rPr>
        <w:t xml:space="preserve">al menos </w:t>
      </w:r>
      <w:r w:rsidR="001E7AFD" w:rsidRPr="00E709E9">
        <w:rPr>
          <w:rFonts w:ascii="Verdana" w:hAnsi="Verdana"/>
          <w:sz w:val="20"/>
          <w:szCs w:val="20"/>
          <w:lang w:val="es-CR"/>
        </w:rPr>
        <w:t>cuatro ocasiones a la República Argentina</w:t>
      </w:r>
      <w:r w:rsidR="009A28A4" w:rsidRPr="00E709E9">
        <w:rPr>
          <w:rFonts w:ascii="Verdana" w:hAnsi="Verdana"/>
          <w:sz w:val="20"/>
          <w:szCs w:val="20"/>
          <w:lang w:val="es-CR"/>
        </w:rPr>
        <w:t xml:space="preserve"> entre los años 1994 y 1996</w:t>
      </w:r>
      <w:r w:rsidR="001E7AFD" w:rsidRPr="00E709E9">
        <w:rPr>
          <w:rFonts w:ascii="Verdana" w:hAnsi="Verdana"/>
          <w:sz w:val="20"/>
          <w:szCs w:val="20"/>
          <w:lang w:val="es-CR"/>
        </w:rPr>
        <w:t>, siendo registrada</w:t>
      </w:r>
      <w:r w:rsidR="009A28A4" w:rsidRPr="00E709E9">
        <w:rPr>
          <w:rFonts w:ascii="Verdana" w:hAnsi="Verdana"/>
          <w:sz w:val="20"/>
          <w:szCs w:val="20"/>
          <w:lang w:val="es-CR"/>
        </w:rPr>
        <w:t xml:space="preserve"> en el Registro Nacional de Ingreso y Egreso de Personas al Territorio Nacional</w:t>
      </w:r>
      <w:r w:rsidR="001E7AFD" w:rsidRPr="00E709E9">
        <w:rPr>
          <w:rFonts w:ascii="Verdana" w:hAnsi="Verdana"/>
          <w:sz w:val="20"/>
          <w:szCs w:val="20"/>
          <w:lang w:val="es-CR"/>
        </w:rPr>
        <w:t xml:space="preserve"> con la nacionalidad siria y española, además de la argentina</w:t>
      </w:r>
      <w:r w:rsidRPr="00E709E9">
        <w:rPr>
          <w:rStyle w:val="Refdenotaalpie"/>
          <w:rFonts w:ascii="Verdana" w:hAnsi="Verdana"/>
          <w:sz w:val="20"/>
          <w:szCs w:val="20"/>
          <w:lang w:val="es-CR"/>
        </w:rPr>
        <w:footnoteReference w:id="135"/>
      </w:r>
      <w:r w:rsidRPr="00E709E9">
        <w:rPr>
          <w:rFonts w:ascii="Verdana" w:hAnsi="Verdana"/>
          <w:sz w:val="20"/>
          <w:szCs w:val="20"/>
          <w:lang w:val="es-CR"/>
        </w:rPr>
        <w:t xml:space="preserve">. </w:t>
      </w:r>
      <w:r w:rsidR="00DC3C4E" w:rsidRPr="0039424C">
        <w:rPr>
          <w:rFonts w:ascii="Verdana" w:hAnsi="Verdana"/>
          <w:sz w:val="20"/>
          <w:szCs w:val="20"/>
          <w:lang w:val="es-CR"/>
        </w:rPr>
        <w:t>Adicionalmente,</w:t>
      </w:r>
      <w:r w:rsidR="00A24666" w:rsidRPr="0039424C">
        <w:rPr>
          <w:rFonts w:ascii="Verdana" w:hAnsi="Verdana"/>
          <w:sz w:val="20"/>
          <w:szCs w:val="20"/>
          <w:lang w:val="es-CR"/>
        </w:rPr>
        <w:t xml:space="preserve"> </w:t>
      </w:r>
      <w:r w:rsidR="001E7AFD" w:rsidRPr="0039424C">
        <w:rPr>
          <w:rFonts w:ascii="Verdana" w:hAnsi="Verdana"/>
          <w:sz w:val="20"/>
          <w:szCs w:val="20"/>
          <w:lang w:val="es-CR"/>
        </w:rPr>
        <w:t>la Corte advierte que</w:t>
      </w:r>
      <w:r w:rsidR="009A28A4" w:rsidRPr="0039424C">
        <w:rPr>
          <w:rFonts w:ascii="Verdana" w:hAnsi="Verdana"/>
          <w:sz w:val="20"/>
          <w:szCs w:val="20"/>
          <w:lang w:val="es-CR"/>
        </w:rPr>
        <w:t xml:space="preserve">, </w:t>
      </w:r>
      <w:r w:rsidR="00612F9D" w:rsidRPr="0039424C">
        <w:rPr>
          <w:rFonts w:ascii="Verdana" w:hAnsi="Verdana"/>
          <w:sz w:val="20"/>
          <w:szCs w:val="20"/>
          <w:lang w:val="es-CR"/>
        </w:rPr>
        <w:t>tal como lo alegó</w:t>
      </w:r>
      <w:r w:rsidR="009A28A4" w:rsidRPr="0039424C">
        <w:rPr>
          <w:rFonts w:ascii="Verdana" w:hAnsi="Verdana"/>
          <w:sz w:val="20"/>
          <w:szCs w:val="20"/>
          <w:lang w:val="es-CR"/>
        </w:rPr>
        <w:t xml:space="preserve"> el Estado,</w:t>
      </w:r>
      <w:r w:rsidRPr="0039424C">
        <w:rPr>
          <w:rFonts w:ascii="Verdana" w:hAnsi="Verdana"/>
          <w:sz w:val="20"/>
          <w:szCs w:val="20"/>
          <w:lang w:val="es-CR"/>
        </w:rPr>
        <w:t xml:space="preserve"> la renuncia</w:t>
      </w:r>
      <w:r w:rsidR="00094EDF" w:rsidRPr="0039424C">
        <w:rPr>
          <w:rFonts w:ascii="Verdana" w:hAnsi="Verdana"/>
          <w:sz w:val="20"/>
          <w:szCs w:val="20"/>
          <w:lang w:val="es-CR"/>
        </w:rPr>
        <w:t xml:space="preserve"> jurada</w:t>
      </w:r>
      <w:r w:rsidRPr="0039424C">
        <w:rPr>
          <w:rFonts w:ascii="Verdana" w:hAnsi="Verdana"/>
          <w:sz w:val="20"/>
          <w:szCs w:val="20"/>
          <w:lang w:val="es-CR"/>
        </w:rPr>
        <w:t xml:space="preserve"> </w:t>
      </w:r>
      <w:r w:rsidR="00094EDF" w:rsidRPr="0039424C">
        <w:rPr>
          <w:rFonts w:ascii="Verdana" w:hAnsi="Verdana"/>
          <w:sz w:val="20"/>
          <w:szCs w:val="20"/>
          <w:lang w:val="es-CR"/>
        </w:rPr>
        <w:t>que la señora Habbal realizó a</w:t>
      </w:r>
      <w:r w:rsidRPr="0039424C">
        <w:rPr>
          <w:rFonts w:ascii="Verdana" w:hAnsi="Verdana"/>
          <w:sz w:val="20"/>
          <w:szCs w:val="20"/>
          <w:lang w:val="es-CR"/>
        </w:rPr>
        <w:t xml:space="preserve"> </w:t>
      </w:r>
      <w:r w:rsidR="00094EDF" w:rsidRPr="0039424C">
        <w:rPr>
          <w:rFonts w:ascii="Verdana" w:hAnsi="Verdana"/>
          <w:sz w:val="20"/>
          <w:szCs w:val="20"/>
          <w:lang w:val="es-CR"/>
        </w:rPr>
        <w:t xml:space="preserve">su </w:t>
      </w:r>
      <w:r w:rsidRPr="0039424C">
        <w:rPr>
          <w:rFonts w:ascii="Verdana" w:hAnsi="Verdana"/>
          <w:sz w:val="20"/>
          <w:szCs w:val="20"/>
          <w:lang w:val="es-CR"/>
        </w:rPr>
        <w:t>nacionalidad de origen no tuvo efectos en Siria</w:t>
      </w:r>
      <w:r w:rsidR="009A28A4" w:rsidRPr="0039424C">
        <w:rPr>
          <w:rFonts w:ascii="Verdana" w:hAnsi="Verdana"/>
          <w:sz w:val="20"/>
          <w:szCs w:val="20"/>
          <w:lang w:val="es-CR"/>
        </w:rPr>
        <w:t xml:space="preserve">, por lo que la señora Habbal </w:t>
      </w:r>
      <w:r w:rsidR="00094EDF" w:rsidRPr="0039424C">
        <w:rPr>
          <w:rFonts w:ascii="Verdana" w:hAnsi="Verdana"/>
          <w:sz w:val="20"/>
          <w:szCs w:val="20"/>
          <w:lang w:val="es-CR"/>
        </w:rPr>
        <w:t>nunca</w:t>
      </w:r>
      <w:r w:rsidR="009A28A4" w:rsidRPr="0039424C">
        <w:rPr>
          <w:rFonts w:ascii="Verdana" w:hAnsi="Verdana"/>
          <w:sz w:val="20"/>
          <w:szCs w:val="20"/>
          <w:lang w:val="es-CR"/>
        </w:rPr>
        <w:t xml:space="preserve"> cesó de ser nacional de dicho Estado</w:t>
      </w:r>
      <w:r w:rsidRPr="0039424C">
        <w:rPr>
          <w:rStyle w:val="Refdenotaalpie"/>
          <w:rFonts w:ascii="Verdana" w:hAnsi="Verdana"/>
          <w:sz w:val="20"/>
          <w:szCs w:val="20"/>
          <w:lang w:val="es-CR"/>
        </w:rPr>
        <w:footnoteReference w:id="136"/>
      </w:r>
      <w:r w:rsidRPr="0039424C">
        <w:rPr>
          <w:rFonts w:ascii="Verdana" w:hAnsi="Verdana"/>
          <w:sz w:val="20"/>
          <w:szCs w:val="20"/>
          <w:lang w:val="es-CR"/>
        </w:rPr>
        <w:t xml:space="preserve">. </w:t>
      </w:r>
      <w:r w:rsidR="00021CCE" w:rsidRPr="0039424C">
        <w:rPr>
          <w:rFonts w:ascii="Verdana" w:hAnsi="Verdana"/>
          <w:sz w:val="20"/>
          <w:szCs w:val="20"/>
          <w:lang w:val="es-CR"/>
        </w:rPr>
        <w:t>Los anteriores elementos permiten a esta Corte concluir que</w:t>
      </w:r>
      <w:r w:rsidRPr="0039424C">
        <w:rPr>
          <w:rFonts w:ascii="Verdana" w:hAnsi="Verdana"/>
          <w:sz w:val="20"/>
          <w:szCs w:val="20"/>
          <w:lang w:val="es-CR"/>
        </w:rPr>
        <w:t>, en las circunstancias del presente caso,</w:t>
      </w:r>
      <w:r w:rsidR="00612F9D" w:rsidRPr="0039424C">
        <w:rPr>
          <w:rFonts w:ascii="Verdana" w:hAnsi="Verdana"/>
          <w:sz w:val="20"/>
          <w:szCs w:val="20"/>
          <w:lang w:val="es-CR"/>
        </w:rPr>
        <w:t xml:space="preserve"> resulta eviden</w:t>
      </w:r>
      <w:r w:rsidR="005B684E" w:rsidRPr="0039424C">
        <w:rPr>
          <w:rFonts w:ascii="Verdana" w:hAnsi="Verdana"/>
          <w:sz w:val="20"/>
          <w:szCs w:val="20"/>
          <w:lang w:val="es-CR"/>
        </w:rPr>
        <w:t>t</w:t>
      </w:r>
      <w:r w:rsidR="00612F9D" w:rsidRPr="0039424C">
        <w:rPr>
          <w:rFonts w:ascii="Verdana" w:hAnsi="Verdana"/>
          <w:sz w:val="20"/>
          <w:szCs w:val="20"/>
          <w:lang w:val="es-CR"/>
        </w:rPr>
        <w:t>e que</w:t>
      </w:r>
      <w:r w:rsidRPr="0039424C">
        <w:rPr>
          <w:rFonts w:ascii="Verdana" w:hAnsi="Verdana"/>
          <w:sz w:val="20"/>
          <w:szCs w:val="20"/>
          <w:lang w:val="es-CR"/>
        </w:rPr>
        <w:t xml:space="preserve"> no existió riesgo de que la presunta víctima se encontrara en situación de apatridia tras la </w:t>
      </w:r>
      <w:r w:rsidR="009A28A4" w:rsidRPr="0039424C">
        <w:rPr>
          <w:rFonts w:ascii="Verdana" w:hAnsi="Verdana"/>
          <w:sz w:val="20"/>
          <w:szCs w:val="20"/>
          <w:lang w:val="es-CR"/>
        </w:rPr>
        <w:t>cancelación</w:t>
      </w:r>
      <w:r w:rsidRPr="0039424C">
        <w:rPr>
          <w:rFonts w:ascii="Verdana" w:hAnsi="Verdana"/>
          <w:sz w:val="20"/>
          <w:szCs w:val="20"/>
          <w:lang w:val="es-CR"/>
        </w:rPr>
        <w:t xml:space="preserve"> de su nacionalidad argentina, por lo que no se advierte que el actuar </w:t>
      </w:r>
      <w:r w:rsidRPr="0039424C">
        <w:rPr>
          <w:rFonts w:ascii="Verdana" w:hAnsi="Verdana"/>
          <w:sz w:val="20"/>
          <w:szCs w:val="20"/>
          <w:lang w:val="es-CR"/>
        </w:rPr>
        <w:lastRenderedPageBreak/>
        <w:t xml:space="preserve">del Juez Federal Subrogante haya </w:t>
      </w:r>
      <w:r w:rsidR="00612F9D" w:rsidRPr="0039424C">
        <w:rPr>
          <w:rFonts w:ascii="Verdana" w:hAnsi="Verdana"/>
          <w:sz w:val="20"/>
          <w:szCs w:val="20"/>
          <w:lang w:val="es-CR"/>
        </w:rPr>
        <w:t>constituido una violación al</w:t>
      </w:r>
      <w:r w:rsidR="009A28A4" w:rsidRPr="0039424C">
        <w:rPr>
          <w:rFonts w:ascii="Verdana" w:hAnsi="Verdana"/>
          <w:sz w:val="20"/>
          <w:szCs w:val="20"/>
          <w:lang w:val="es-CR"/>
        </w:rPr>
        <w:t xml:space="preserve"> artículo 20 de la Convención</w:t>
      </w:r>
      <w:r w:rsidR="00612F9D" w:rsidRPr="0039424C">
        <w:rPr>
          <w:rFonts w:ascii="Verdana" w:hAnsi="Verdana"/>
          <w:sz w:val="20"/>
          <w:szCs w:val="20"/>
          <w:lang w:val="es-CR"/>
        </w:rPr>
        <w:t xml:space="preserve"> Americana</w:t>
      </w:r>
      <w:r w:rsidRPr="0039424C">
        <w:rPr>
          <w:rFonts w:ascii="Verdana" w:hAnsi="Verdana"/>
          <w:sz w:val="20"/>
          <w:szCs w:val="20"/>
          <w:lang w:val="es-MX"/>
        </w:rPr>
        <w:t>.</w:t>
      </w:r>
    </w:p>
    <w:bookmarkEnd w:id="62"/>
    <w:p w14:paraId="26E0822F" w14:textId="77777777" w:rsidR="00094EDF" w:rsidRPr="009A28A4" w:rsidRDefault="00094EDF" w:rsidP="006F245D">
      <w:pPr>
        <w:pStyle w:val="Prrafodelista"/>
        <w:widowControl/>
        <w:tabs>
          <w:tab w:val="left" w:pos="0"/>
        </w:tabs>
        <w:spacing w:after="0" w:line="240" w:lineRule="auto"/>
        <w:ind w:left="0"/>
        <w:jc w:val="both"/>
        <w:rPr>
          <w:rFonts w:ascii="Verdana" w:hAnsi="Verdana"/>
          <w:sz w:val="20"/>
          <w:szCs w:val="20"/>
          <w:lang w:val="es-CL"/>
        </w:rPr>
      </w:pPr>
    </w:p>
    <w:p w14:paraId="19F64255" w14:textId="292BC4B2" w:rsidR="00561AD5" w:rsidRPr="006F245D" w:rsidRDefault="00446389" w:rsidP="00653FD1">
      <w:pPr>
        <w:pStyle w:val="Prrafodelista"/>
        <w:widowControl/>
        <w:numPr>
          <w:ilvl w:val="0"/>
          <w:numId w:val="28"/>
        </w:numPr>
        <w:tabs>
          <w:tab w:val="left" w:pos="0"/>
        </w:tabs>
        <w:spacing w:after="0" w:line="240" w:lineRule="auto"/>
        <w:ind w:left="0" w:hanging="11"/>
        <w:jc w:val="both"/>
        <w:rPr>
          <w:rFonts w:ascii="Verdana" w:hAnsi="Verdana"/>
          <w:sz w:val="20"/>
          <w:szCs w:val="20"/>
          <w:lang w:val="es-CR"/>
        </w:rPr>
      </w:pPr>
      <w:r>
        <w:rPr>
          <w:rFonts w:ascii="Verdana" w:hAnsi="Verdana"/>
          <w:sz w:val="20"/>
          <w:szCs w:val="20"/>
          <w:lang w:val="es-MX"/>
        </w:rPr>
        <w:t xml:space="preserve">Por </w:t>
      </w:r>
      <w:r w:rsidR="00FF1236" w:rsidRPr="006F245D">
        <w:rPr>
          <w:rFonts w:ascii="Verdana" w:hAnsi="Verdana"/>
          <w:sz w:val="20"/>
          <w:szCs w:val="20"/>
          <w:lang w:val="es-MX"/>
        </w:rPr>
        <w:t xml:space="preserve">lo anterior, la Corte concluye que el Estado </w:t>
      </w:r>
      <w:r w:rsidR="009A08D8">
        <w:rPr>
          <w:rFonts w:ascii="Verdana" w:hAnsi="Verdana"/>
          <w:sz w:val="20"/>
          <w:szCs w:val="20"/>
          <w:lang w:val="es-MX"/>
        </w:rPr>
        <w:t xml:space="preserve">no es responsable por la violación a </w:t>
      </w:r>
      <w:r w:rsidR="00022FC7" w:rsidRPr="006F245D">
        <w:rPr>
          <w:rFonts w:ascii="Verdana" w:hAnsi="Verdana"/>
          <w:sz w:val="20"/>
          <w:szCs w:val="20"/>
          <w:lang w:val="es-MX"/>
        </w:rPr>
        <w:t>los</w:t>
      </w:r>
      <w:r w:rsidR="00FF1236" w:rsidRPr="006F245D">
        <w:rPr>
          <w:rFonts w:ascii="Verdana" w:hAnsi="Verdana"/>
          <w:sz w:val="20"/>
          <w:szCs w:val="20"/>
          <w:lang w:val="es-MX"/>
        </w:rPr>
        <w:t xml:space="preserve"> artículo</w:t>
      </w:r>
      <w:r w:rsidR="00022FC7" w:rsidRPr="006F245D">
        <w:rPr>
          <w:rFonts w:ascii="Verdana" w:hAnsi="Verdana"/>
          <w:sz w:val="20"/>
          <w:szCs w:val="20"/>
          <w:lang w:val="es-MX"/>
        </w:rPr>
        <w:t>s</w:t>
      </w:r>
      <w:r w:rsidR="00FF1236" w:rsidRPr="006F245D">
        <w:rPr>
          <w:rFonts w:ascii="Verdana" w:hAnsi="Verdana"/>
          <w:sz w:val="20"/>
          <w:szCs w:val="20"/>
          <w:lang w:val="es-MX"/>
        </w:rPr>
        <w:t xml:space="preserve"> 8.1</w:t>
      </w:r>
      <w:r w:rsidR="00022FC7" w:rsidRPr="006F245D">
        <w:rPr>
          <w:rFonts w:ascii="Verdana" w:hAnsi="Verdana"/>
          <w:sz w:val="20"/>
          <w:szCs w:val="20"/>
          <w:lang w:val="es-MX"/>
        </w:rPr>
        <w:t>, 8.2</w:t>
      </w:r>
      <w:r w:rsidR="009A08D8">
        <w:rPr>
          <w:rFonts w:ascii="Verdana" w:hAnsi="Verdana"/>
          <w:sz w:val="20"/>
          <w:szCs w:val="20"/>
          <w:lang w:val="es-MX"/>
        </w:rPr>
        <w:t>,</w:t>
      </w:r>
      <w:r w:rsidR="00022FC7" w:rsidRPr="006F245D">
        <w:rPr>
          <w:rFonts w:ascii="Verdana" w:hAnsi="Verdana"/>
          <w:sz w:val="20"/>
          <w:szCs w:val="20"/>
          <w:lang w:val="es-MX"/>
        </w:rPr>
        <w:t xml:space="preserve"> 9</w:t>
      </w:r>
      <w:r w:rsidR="009A08D8">
        <w:rPr>
          <w:rFonts w:ascii="Verdana" w:hAnsi="Verdana"/>
          <w:sz w:val="20"/>
          <w:szCs w:val="20"/>
          <w:lang w:val="es-MX"/>
        </w:rPr>
        <w:t xml:space="preserve"> y 20</w:t>
      </w:r>
      <w:r w:rsidR="00FF1236" w:rsidRPr="006F245D">
        <w:rPr>
          <w:rFonts w:ascii="Verdana" w:hAnsi="Verdana"/>
          <w:sz w:val="20"/>
          <w:szCs w:val="20"/>
          <w:lang w:val="es-MX"/>
        </w:rPr>
        <w:t xml:space="preserve"> de la Convención Americana, en relación con el artículo 1.1 del mismo instrumento</w:t>
      </w:r>
      <w:r w:rsidR="009A08D8">
        <w:rPr>
          <w:rFonts w:ascii="Verdana" w:hAnsi="Verdana"/>
          <w:sz w:val="20"/>
          <w:szCs w:val="20"/>
          <w:lang w:val="es-MX"/>
        </w:rPr>
        <w:t>, en perjuicio de la señora Raghda Habbal</w:t>
      </w:r>
      <w:r w:rsidR="00FF1236" w:rsidRPr="006F245D">
        <w:rPr>
          <w:rFonts w:ascii="Verdana" w:hAnsi="Verdana"/>
          <w:sz w:val="20"/>
          <w:szCs w:val="20"/>
          <w:lang w:val="es-MX"/>
        </w:rPr>
        <w:t>.</w:t>
      </w:r>
    </w:p>
    <w:p w14:paraId="0E954C08" w14:textId="77777777" w:rsidR="00716D54" w:rsidRPr="00716D54" w:rsidRDefault="00716D54" w:rsidP="00D753D0">
      <w:pPr>
        <w:pStyle w:val="PrrafodeSentencia"/>
        <w:numPr>
          <w:ilvl w:val="0"/>
          <w:numId w:val="0"/>
        </w:numPr>
      </w:pPr>
    </w:p>
    <w:p w14:paraId="77B60171" w14:textId="1A16B4D0" w:rsidR="00E202C2" w:rsidRPr="00376AFF" w:rsidRDefault="009450E9" w:rsidP="004330E3">
      <w:pPr>
        <w:pStyle w:val="Ttulo1"/>
        <w:rPr>
          <w:caps/>
        </w:rPr>
      </w:pPr>
      <w:bookmarkStart w:id="63" w:name="_Toc88058653"/>
      <w:bookmarkStart w:id="64" w:name="_Toc115167443"/>
      <w:r w:rsidRPr="00376AFF">
        <w:rPr>
          <w:caps/>
        </w:rPr>
        <w:t>VII-2</w:t>
      </w:r>
      <w:r w:rsidR="00A8497C" w:rsidRPr="00376AFF">
        <w:rPr>
          <w:caps/>
        </w:rPr>
        <w:br/>
      </w:r>
      <w:r w:rsidR="00E202C2" w:rsidRPr="00376AFF">
        <w:rPr>
          <w:caps/>
        </w:rPr>
        <w:t xml:space="preserve">DERECHO A LA </w:t>
      </w:r>
      <w:bookmarkEnd w:id="63"/>
      <w:r w:rsidR="00224EFA" w:rsidRPr="00376AFF">
        <w:rPr>
          <w:caps/>
        </w:rPr>
        <w:t>protección judicial en relación con la obligación de respetar los derechos</w:t>
      </w:r>
      <w:bookmarkEnd w:id="64"/>
    </w:p>
    <w:p w14:paraId="50AF6C65" w14:textId="4CBF2576" w:rsidR="00E202C2" w:rsidRPr="008A12F5" w:rsidRDefault="00E202C2" w:rsidP="004330E3">
      <w:pPr>
        <w:rPr>
          <w:rFonts w:ascii="Verdana" w:hAnsi="Verdana"/>
          <w:sz w:val="20"/>
          <w:szCs w:val="20"/>
          <w:highlight w:val="yellow"/>
          <w:lang w:val="es-ES"/>
        </w:rPr>
      </w:pPr>
    </w:p>
    <w:p w14:paraId="550996B6" w14:textId="0E17CB41" w:rsidR="00887A7C" w:rsidRPr="00376AFF" w:rsidRDefault="00887A7C" w:rsidP="004330E3">
      <w:pPr>
        <w:pStyle w:val="Ttulo2"/>
        <w:numPr>
          <w:ilvl w:val="0"/>
          <w:numId w:val="10"/>
        </w:numPr>
      </w:pPr>
      <w:bookmarkStart w:id="65" w:name="_Toc88058654"/>
      <w:bookmarkStart w:id="66" w:name="_Toc115167444"/>
      <w:r w:rsidRPr="00376AFF">
        <w:t xml:space="preserve">Alegatos </w:t>
      </w:r>
      <w:bookmarkEnd w:id="65"/>
      <w:r w:rsidR="00905CD5">
        <w:t>de las partes y observaciones de la Comisión</w:t>
      </w:r>
      <w:bookmarkEnd w:id="66"/>
    </w:p>
    <w:p w14:paraId="2C8721E1" w14:textId="77777777" w:rsidR="00887A7C" w:rsidRPr="008A12F5" w:rsidRDefault="00887A7C" w:rsidP="004330E3">
      <w:pPr>
        <w:rPr>
          <w:rFonts w:ascii="Verdana" w:hAnsi="Verdana"/>
          <w:sz w:val="20"/>
          <w:szCs w:val="20"/>
          <w:highlight w:val="yellow"/>
          <w:lang w:val="es-ES"/>
        </w:rPr>
      </w:pPr>
    </w:p>
    <w:p w14:paraId="6053F34D" w14:textId="4F8D7921" w:rsidR="001A38F1" w:rsidRPr="001A38F1" w:rsidRDefault="00376AFF" w:rsidP="00D753D0">
      <w:pPr>
        <w:pStyle w:val="PrrafodeSentencia"/>
        <w:rPr>
          <w:rFonts w:eastAsia="Calibri" w:cs="Arial"/>
          <w:lang w:val="es-CO" w:eastAsia="es-CR"/>
        </w:rPr>
      </w:pPr>
      <w:r w:rsidRPr="005E70B3">
        <w:rPr>
          <w:rFonts w:eastAsia="Calibri" w:cs="Arial"/>
          <w:lang w:val="es-CO" w:eastAsia="es-CR"/>
        </w:rPr>
        <w:t xml:space="preserve">La </w:t>
      </w:r>
      <w:r w:rsidRPr="005E70B3">
        <w:rPr>
          <w:rFonts w:eastAsia="Calibri" w:cs="Arial"/>
          <w:b/>
          <w:i/>
          <w:lang w:val="es-CO" w:eastAsia="es-CR"/>
        </w:rPr>
        <w:t xml:space="preserve">Comisión </w:t>
      </w:r>
      <w:r w:rsidRPr="005E70B3">
        <w:t xml:space="preserve">encontró que las afectaciones a las garantías judiciales </w:t>
      </w:r>
      <w:r>
        <w:t xml:space="preserve">en el presente caso </w:t>
      </w:r>
      <w:r w:rsidRPr="005E70B3">
        <w:t>se dieron tanto en el marco del proceso administrativo que anuló las radicaciones, como en el proceso judicial que privó de la nacionalidad argentina a la señora Raghda Habbal. En cuanto al proceso administrativo, consideró que la ausencia de participación de las personas afectadas en el proceso, así como la falta de evidencia de la notificación de la Resolución 1088</w:t>
      </w:r>
      <w:r w:rsidR="00B5432B">
        <w:t>,</w:t>
      </w:r>
      <w:r w:rsidRPr="005E70B3">
        <w:t xml:space="preserve"> les impidió controvertir la decisión ante instancias judiciales, lo cual afectó su derecho a interponer un recurso ante jueces o tribunales competentes. Con respecto al proceso judicial que anuló la ciudadanía argentina de </w:t>
      </w:r>
      <w:r>
        <w:t>la señora</w:t>
      </w:r>
      <w:r w:rsidRPr="005E70B3">
        <w:t xml:space="preserve"> Habbal, la Comisión encontró que en el marco de los recursos interpuestos no se brindó una protección efectiva de los derechos violados en el proceso de retiro de la nacionalidad. Por lo anterior, la Comisión estimó que Argentina violó el derecho a la protección judicial de Raghda Habbal y sus hij</w:t>
      </w:r>
      <w:r w:rsidR="00E96A11">
        <w:t>a</w:t>
      </w:r>
      <w:r w:rsidRPr="005E70B3">
        <w:t>s contenido en el artículo 25 de la Convención Americana en relación con el artículo 1.1 del mismo instrumento.</w:t>
      </w:r>
    </w:p>
    <w:p w14:paraId="000705D1" w14:textId="77777777" w:rsidR="001A38F1" w:rsidRPr="001A38F1" w:rsidRDefault="001A38F1" w:rsidP="00D753D0">
      <w:pPr>
        <w:pStyle w:val="PrrafodeSentencia"/>
        <w:numPr>
          <w:ilvl w:val="0"/>
          <w:numId w:val="0"/>
        </w:numPr>
      </w:pPr>
    </w:p>
    <w:p w14:paraId="6065FE27" w14:textId="74473AB6" w:rsidR="00376AFF" w:rsidRPr="001A38F1" w:rsidRDefault="001A38F1" w:rsidP="00D753D0">
      <w:pPr>
        <w:pStyle w:val="PrrafodeSentencia"/>
        <w:rPr>
          <w:rFonts w:eastAsia="Calibri" w:cs="Arial"/>
          <w:lang w:val="es-CO" w:eastAsia="es-CR"/>
        </w:rPr>
      </w:pPr>
      <w:r>
        <w:rPr>
          <w:rFonts w:eastAsia="Calibri" w:cs="Arial"/>
          <w:lang w:val="es-CO" w:eastAsia="es-CR"/>
        </w:rPr>
        <w:t>Los</w:t>
      </w:r>
      <w:r w:rsidR="00376AFF" w:rsidRPr="001A38F1">
        <w:rPr>
          <w:rFonts w:eastAsia="Calibri" w:cs="Arial"/>
          <w:lang w:val="es-CO" w:eastAsia="es-CR"/>
        </w:rPr>
        <w:t xml:space="preserve"> </w:t>
      </w:r>
      <w:r w:rsidR="00376AFF" w:rsidRPr="001A38F1">
        <w:rPr>
          <w:rFonts w:eastAsia="Calibri" w:cs="Arial"/>
          <w:b/>
          <w:i/>
          <w:lang w:val="es-CO" w:eastAsia="es-CR"/>
        </w:rPr>
        <w:t>representante</w:t>
      </w:r>
      <w:r>
        <w:rPr>
          <w:rFonts w:eastAsia="Calibri" w:cs="Arial"/>
          <w:b/>
          <w:i/>
          <w:lang w:val="es-CO" w:eastAsia="es-CR"/>
        </w:rPr>
        <w:t>s</w:t>
      </w:r>
      <w:r w:rsidR="00376AFF" w:rsidRPr="001A38F1">
        <w:rPr>
          <w:rFonts w:eastAsia="Calibri" w:cs="Arial"/>
          <w:lang w:val="es-CO" w:eastAsia="es-CR"/>
        </w:rPr>
        <w:t xml:space="preserve"> aleg</w:t>
      </w:r>
      <w:r>
        <w:rPr>
          <w:rFonts w:eastAsia="Calibri" w:cs="Arial"/>
          <w:lang w:val="es-CO" w:eastAsia="es-CR"/>
        </w:rPr>
        <w:t>aron</w:t>
      </w:r>
      <w:r w:rsidR="00376AFF" w:rsidRPr="001A38F1">
        <w:rPr>
          <w:rFonts w:eastAsia="Calibri" w:cs="Arial"/>
          <w:lang w:val="es-CO" w:eastAsia="es-CR"/>
        </w:rPr>
        <w:t xml:space="preserve"> que el Estado violó el derecho </w:t>
      </w:r>
      <w:r w:rsidR="00376AFF" w:rsidRPr="00376AFF">
        <w:t xml:space="preserve">a la protección judicial (artículo 25 en relación con el artículo 8.1 de la Convención). En primer lugar, debido a que se omitió la </w:t>
      </w:r>
      <w:r w:rsidR="00376AFF" w:rsidRPr="001A38F1">
        <w:rPr>
          <w:rFonts w:cs="TimesNewRomanPSMT"/>
        </w:rPr>
        <w:t>posibilidad de cuestionar en sede administrativa la validez de la Resolución 1088 y</w:t>
      </w:r>
      <w:r w:rsidR="00BD3E85" w:rsidRPr="001A38F1">
        <w:rPr>
          <w:rFonts w:cs="TimesNewRomanPSMT"/>
        </w:rPr>
        <w:t>,</w:t>
      </w:r>
      <w:r w:rsidR="00376AFF" w:rsidRPr="001A38F1">
        <w:rPr>
          <w:rFonts w:cs="TimesNewRomanPSMT"/>
        </w:rPr>
        <w:t xml:space="preserve"> luego, de buscar su revisión en sede judicial. En este caso, sostuvo el representante, no existió el recurso adecuado. En segundo lugar, </w:t>
      </w:r>
      <w:r w:rsidR="00EB1A83">
        <w:rPr>
          <w:rFonts w:cs="TimesNewRomanPSMT"/>
        </w:rPr>
        <w:t>alegaron</w:t>
      </w:r>
      <w:r w:rsidR="00376AFF" w:rsidRPr="001A38F1">
        <w:rPr>
          <w:rFonts w:cs="TimesNewRomanPSMT"/>
        </w:rPr>
        <w:t xml:space="preserve"> que el proceso federal civil de anulación de ciudadanía fue mal notificado. La notificación inválida, alertada por la defensa pública</w:t>
      </w:r>
      <w:r w:rsidR="00BD3E85" w:rsidRPr="001A38F1">
        <w:rPr>
          <w:rFonts w:cs="TimesNewRomanPSMT"/>
        </w:rPr>
        <w:t>,</w:t>
      </w:r>
      <w:r w:rsidR="00376AFF" w:rsidRPr="001A38F1">
        <w:rPr>
          <w:rFonts w:cs="TimesNewRomanPSMT"/>
        </w:rPr>
        <w:t xml:space="preserve"> y por los apoderados privados</w:t>
      </w:r>
      <w:r w:rsidR="00BD3E85" w:rsidRPr="001A38F1">
        <w:rPr>
          <w:rFonts w:cs="TimesNewRomanPSMT"/>
        </w:rPr>
        <w:t>,</w:t>
      </w:r>
      <w:r w:rsidR="00376AFF" w:rsidRPr="001A38F1">
        <w:rPr>
          <w:rFonts w:cs="TimesNewRomanPSMT"/>
        </w:rPr>
        <w:t xml:space="preserve"> es una violación al artículo 25. En tercer lugar, </w:t>
      </w:r>
      <w:r w:rsidR="00EB1A83">
        <w:rPr>
          <w:rFonts w:cs="TimesNewRomanPSMT"/>
        </w:rPr>
        <w:t>consideraron</w:t>
      </w:r>
      <w:r w:rsidR="00376AFF" w:rsidRPr="001A38F1">
        <w:rPr>
          <w:rFonts w:cs="TimesNewRomanPSMT"/>
        </w:rPr>
        <w:t xml:space="preserve"> que, al basarse en una resolución administrativa nula, que fue confirmada por la justicia, el resultado es también nulo. </w:t>
      </w:r>
      <w:r w:rsidR="00EB1A83">
        <w:rPr>
          <w:rFonts w:cs="TimesNewRomanPSMT"/>
        </w:rPr>
        <w:t>Los representantes sostuvieron</w:t>
      </w:r>
      <w:r w:rsidR="00376AFF" w:rsidRPr="001A38F1">
        <w:rPr>
          <w:rFonts w:cs="TimesNewRomanPSMT"/>
        </w:rPr>
        <w:t xml:space="preserve"> que la Resolución 1088 era inválida para dar comienzo al proceso. Sin embargo, la sentencia anulando la ciudadanía y convirtiendo a </w:t>
      </w:r>
      <w:r w:rsidR="006F1ABF">
        <w:rPr>
          <w:rFonts w:cs="TimesNewRomanPSMT"/>
        </w:rPr>
        <w:t xml:space="preserve">la señora </w:t>
      </w:r>
      <w:r w:rsidR="00376AFF" w:rsidRPr="001A38F1">
        <w:rPr>
          <w:rFonts w:cs="TimesNewRomanPSMT"/>
        </w:rPr>
        <w:t xml:space="preserve">Habbal en extranjera nuevamente fue dictada en primera instancia y confirmada por la Cámara Federal y denegados todos los recursos existentes, quedando firmes las decisiones. </w:t>
      </w:r>
      <w:r w:rsidR="001F6DCC" w:rsidRPr="001A38F1">
        <w:rPr>
          <w:rFonts w:cs="TimesNewRomanPSMT"/>
        </w:rPr>
        <w:t xml:space="preserve">Los representantes </w:t>
      </w:r>
      <w:r w:rsidR="00AF1AED">
        <w:rPr>
          <w:rFonts w:cs="TimesNewRomanPSMT"/>
        </w:rPr>
        <w:t>c</w:t>
      </w:r>
      <w:r w:rsidR="00376AFF" w:rsidRPr="001A38F1">
        <w:rPr>
          <w:rFonts w:cs="TimesNewRomanPSMT"/>
        </w:rPr>
        <w:t>oncluy</w:t>
      </w:r>
      <w:r w:rsidR="001F6DCC" w:rsidRPr="001A38F1">
        <w:rPr>
          <w:rFonts w:cs="TimesNewRomanPSMT"/>
        </w:rPr>
        <w:t>eron</w:t>
      </w:r>
      <w:r w:rsidR="00376AFF" w:rsidRPr="001A38F1">
        <w:rPr>
          <w:rFonts w:cs="TimesNewRomanPSMT"/>
        </w:rPr>
        <w:t xml:space="preserve"> que no hubo, por tanto, ni derecho a ser oído ni protección judicial conforme a lo establecido por la Convención.</w:t>
      </w:r>
    </w:p>
    <w:p w14:paraId="3AF752B0" w14:textId="77777777" w:rsidR="00376AFF" w:rsidRPr="00376AFF" w:rsidRDefault="00376AFF" w:rsidP="00D753D0">
      <w:pPr>
        <w:pStyle w:val="PrrafodeSentencia"/>
        <w:numPr>
          <w:ilvl w:val="0"/>
          <w:numId w:val="0"/>
        </w:numPr>
      </w:pPr>
    </w:p>
    <w:p w14:paraId="77AC5492" w14:textId="47846469" w:rsidR="00E202C2" w:rsidRPr="00376AFF" w:rsidRDefault="00376AFF" w:rsidP="00D753D0">
      <w:pPr>
        <w:pStyle w:val="PrrafodeSentencia"/>
        <w:rPr>
          <w:rFonts w:eastAsia="Calibri" w:cs="Arial"/>
          <w:lang w:val="es-CO" w:eastAsia="es-CR"/>
        </w:rPr>
      </w:pPr>
      <w:r w:rsidRPr="00376AFF">
        <w:t xml:space="preserve">El </w:t>
      </w:r>
      <w:r w:rsidRPr="00376AFF">
        <w:rPr>
          <w:b/>
          <w:i/>
        </w:rPr>
        <w:t xml:space="preserve">Estado </w:t>
      </w:r>
      <w:r w:rsidRPr="00376AFF">
        <w:t xml:space="preserve">rechazó las conclusiones de la Comisión y los representantes respecto a la ausencia de recursos judiciales efectivos. Consideró que los argumentos presentados no se fundamentan como una violación autónoma de derechos, ya que se afirma que hubieron derechos violados conforme a las consideraciones presentadas respecto de otros derechos. Asimismo, señaló que la circunstancia de que los recursos no prosperaran no constituye, por sí, la violación del derecho a la protección judicial o al debido proceso. Señaló que para que ello pueda establecerse debe justificarse que existieron obstáculos para recurrir o ejercer la defensa, que las autoridades judiciales fueron displicentes con los agravios presentados, o que los resolvieron arbitrariamente, lo cual no ocurrió en el presente caso. En ese sentido, explicaron que la señora Habbal tuvo la posibilidad de conocer los fundamentos y motivaciones de la anulación de su nacionalidad y de las resoluciones judiciales que la confirmaron, así como de </w:t>
      </w:r>
      <w:r w:rsidRPr="00376AFF">
        <w:lastRenderedPageBreak/>
        <w:t>interponer los recursos, argumentos y defensas que entendió correspondientes, las cuales recibieron adecuadas respuestas.</w:t>
      </w:r>
    </w:p>
    <w:p w14:paraId="0C17AE76" w14:textId="54EC072A" w:rsidR="00E202C2" w:rsidRPr="008A12F5" w:rsidRDefault="00E202C2" w:rsidP="004330E3">
      <w:pPr>
        <w:rPr>
          <w:highlight w:val="yellow"/>
        </w:rPr>
      </w:pPr>
    </w:p>
    <w:p w14:paraId="42CF04FF" w14:textId="7125DA8E" w:rsidR="00887A7C" w:rsidRPr="00376AFF" w:rsidRDefault="00887A7C" w:rsidP="004330E3">
      <w:pPr>
        <w:pStyle w:val="Ttulo2"/>
        <w:numPr>
          <w:ilvl w:val="0"/>
          <w:numId w:val="10"/>
        </w:numPr>
      </w:pPr>
      <w:bookmarkStart w:id="67" w:name="_Toc88058655"/>
      <w:bookmarkStart w:id="68" w:name="_Toc115167445"/>
      <w:r w:rsidRPr="00376AFF">
        <w:t>Consideraciones de la Corte</w:t>
      </w:r>
      <w:bookmarkEnd w:id="67"/>
      <w:bookmarkEnd w:id="68"/>
    </w:p>
    <w:p w14:paraId="7F788567" w14:textId="1DE93744" w:rsidR="00D8508C" w:rsidRPr="008A12F5" w:rsidRDefault="00D8508C" w:rsidP="00D753D0">
      <w:pPr>
        <w:pStyle w:val="PrrafodeSentencia"/>
        <w:numPr>
          <w:ilvl w:val="0"/>
          <w:numId w:val="0"/>
        </w:numPr>
        <w:rPr>
          <w:highlight w:val="yellow"/>
        </w:rPr>
      </w:pPr>
    </w:p>
    <w:p w14:paraId="1FD1460F" w14:textId="1EB85EAE" w:rsidR="00166B08" w:rsidRPr="00F65FCC" w:rsidRDefault="00166B08" w:rsidP="003C2B8F">
      <w:pPr>
        <w:pStyle w:val="Prrafodelista"/>
        <w:widowControl/>
        <w:numPr>
          <w:ilvl w:val="0"/>
          <w:numId w:val="28"/>
        </w:numPr>
        <w:spacing w:after="0" w:line="240" w:lineRule="auto"/>
        <w:ind w:left="0" w:firstLine="0"/>
        <w:jc w:val="both"/>
        <w:rPr>
          <w:rFonts w:ascii="Verdana" w:hAnsi="Verdana" w:cs="Verdana"/>
          <w:bCs/>
          <w:i/>
          <w:iCs/>
          <w:sz w:val="20"/>
          <w:szCs w:val="20"/>
          <w:lang w:val="es-ES"/>
        </w:rPr>
      </w:pPr>
      <w:r w:rsidRPr="00F65FCC">
        <w:rPr>
          <w:rFonts w:ascii="Verdana" w:hAnsi="Verdana" w:cs="Verdana"/>
          <w:bCs/>
          <w:iCs/>
          <w:sz w:val="20"/>
          <w:szCs w:val="20"/>
          <w:lang w:val="es-ES"/>
        </w:rPr>
        <w:t xml:space="preserve">Este Tribunal ha señalado, en relación con el artículo 25.1 de la Convención, que dicha norma </w:t>
      </w:r>
      <w:r w:rsidRPr="00F65FCC">
        <w:rPr>
          <w:rFonts w:ascii="Verdana" w:hAnsi="Verdana"/>
          <w:sz w:val="20"/>
          <w:szCs w:val="20"/>
          <w:lang w:val="es-ES"/>
        </w:rPr>
        <w:t>contempla la obligación de los Estados Partes de garantizar, a todas las personas bajo su jurisdicción, un recurso judicial efectivo contra actos violatorios de sus derechos fundamentales</w:t>
      </w:r>
      <w:r w:rsidRPr="00F65FCC">
        <w:rPr>
          <w:rFonts w:ascii="Verdana" w:hAnsi="Verdana"/>
          <w:sz w:val="20"/>
          <w:szCs w:val="20"/>
          <w:vertAlign w:val="superscript"/>
          <w:lang w:val="es-AR"/>
        </w:rPr>
        <w:footnoteReference w:id="137"/>
      </w:r>
      <w:r w:rsidRPr="00F65FCC">
        <w:rPr>
          <w:rFonts w:ascii="Verdana" w:hAnsi="Verdana"/>
          <w:sz w:val="20"/>
          <w:szCs w:val="20"/>
          <w:lang w:val="es-ES"/>
        </w:rPr>
        <w:t xml:space="preserve">. Dicha efectividad supone que, además de la existencia formal de </w:t>
      </w:r>
      <w:r w:rsidRPr="00F65FCC">
        <w:rPr>
          <w:rFonts w:ascii="Verdana" w:hAnsi="Verdana" w:cs="Arial"/>
          <w:sz w:val="20"/>
          <w:szCs w:val="20"/>
          <w:lang w:val="es-ES"/>
        </w:rPr>
        <w:t>los</w:t>
      </w:r>
      <w:r w:rsidRPr="00F65FCC">
        <w:rPr>
          <w:rFonts w:ascii="Verdana" w:hAnsi="Verdana"/>
          <w:sz w:val="20"/>
          <w:szCs w:val="20"/>
          <w:lang w:val="es-ES"/>
        </w:rPr>
        <w:t xml:space="preserve"> recursos, éstos den resultados o respuestas a las violaciones de derechos contemplados ya sea en la Convención, en la Constitución o en las leyes</w:t>
      </w:r>
      <w:r w:rsidRPr="00F65FCC">
        <w:rPr>
          <w:rStyle w:val="Refdenotaalpie"/>
          <w:rFonts w:ascii="Verdana" w:eastAsiaTheme="majorEastAsia" w:hAnsi="Verdana"/>
          <w:sz w:val="20"/>
          <w:szCs w:val="20"/>
        </w:rPr>
        <w:footnoteReference w:id="138"/>
      </w:r>
      <w:r w:rsidRPr="00F65FCC">
        <w:rPr>
          <w:rFonts w:ascii="Verdana" w:hAnsi="Verdana"/>
          <w:sz w:val="20"/>
          <w:szCs w:val="20"/>
          <w:lang w:val="es-ES"/>
        </w:rPr>
        <w:t xml:space="preserve">. </w:t>
      </w:r>
      <w:r w:rsidRPr="00F65FCC">
        <w:rPr>
          <w:rFonts w:ascii="Verdana" w:hAnsi="Verdana" w:cs="Verdana"/>
          <w:bCs/>
          <w:iCs/>
          <w:sz w:val="20"/>
          <w:szCs w:val="20"/>
          <w:lang w:val="es-ES"/>
        </w:rPr>
        <w:t>Esto implica que el recurso debe ser idóneo para combatir la violación y que sea efectiva su aplicación por la autoridad competente</w:t>
      </w:r>
      <w:r w:rsidRPr="00F65FCC">
        <w:rPr>
          <w:rFonts w:ascii="Verdana" w:hAnsi="Verdana" w:cs="Verdana"/>
          <w:bCs/>
          <w:iCs/>
          <w:sz w:val="20"/>
          <w:szCs w:val="20"/>
          <w:vertAlign w:val="superscript"/>
        </w:rPr>
        <w:footnoteReference w:id="139"/>
      </w:r>
      <w:r w:rsidRPr="00F65FCC">
        <w:rPr>
          <w:rFonts w:ascii="Verdana" w:hAnsi="Verdana" w:cs="Verdana"/>
          <w:bCs/>
          <w:iCs/>
          <w:sz w:val="20"/>
          <w:szCs w:val="20"/>
          <w:lang w:val="es-ES"/>
        </w:rPr>
        <w:t>. De igual manera, esta Corte ha establecido que un recurso judicial efectivo implica que el análisis por la autoridad competente de un recurso judicial no puede reducirse a una mera formalidad, sino que debe examinar las razones invocadas por el demandante y manifestarse expresamente sobre ellas</w:t>
      </w:r>
      <w:r w:rsidRPr="00F65FCC">
        <w:rPr>
          <w:rFonts w:ascii="Verdana" w:hAnsi="Verdana" w:cs="Verdana"/>
          <w:bCs/>
          <w:iCs/>
          <w:sz w:val="20"/>
          <w:szCs w:val="20"/>
          <w:vertAlign w:val="superscript"/>
        </w:rPr>
        <w:footnoteReference w:id="140"/>
      </w:r>
      <w:r w:rsidRPr="00F65FCC">
        <w:rPr>
          <w:rFonts w:ascii="Verdana" w:hAnsi="Verdana" w:cs="Verdana"/>
          <w:bCs/>
          <w:iCs/>
          <w:sz w:val="20"/>
          <w:szCs w:val="20"/>
          <w:lang w:val="es-ES"/>
        </w:rPr>
        <w:t>. Lo anterior no implica que se evalúe la efectividad de un recurso en función de que éste produzca un resultado favorable para el demandante</w:t>
      </w:r>
      <w:r w:rsidRPr="00F65FCC">
        <w:rPr>
          <w:rFonts w:ascii="Verdana" w:hAnsi="Verdana" w:cs="Verdana"/>
          <w:bCs/>
          <w:iCs/>
          <w:sz w:val="20"/>
          <w:szCs w:val="20"/>
          <w:vertAlign w:val="superscript"/>
        </w:rPr>
        <w:footnoteReference w:id="141"/>
      </w:r>
      <w:r w:rsidRPr="00F65FCC">
        <w:rPr>
          <w:rFonts w:ascii="Verdana" w:hAnsi="Verdana" w:cs="Verdana"/>
          <w:bCs/>
          <w:iCs/>
          <w:sz w:val="20"/>
          <w:szCs w:val="20"/>
          <w:lang w:val="es-ES"/>
        </w:rPr>
        <w:t>.</w:t>
      </w:r>
    </w:p>
    <w:p w14:paraId="22150E42" w14:textId="77777777" w:rsidR="00B41453" w:rsidRPr="00B41453" w:rsidRDefault="00B41453" w:rsidP="003C2B8F">
      <w:pPr>
        <w:pStyle w:val="Prrafodelista"/>
        <w:widowControl/>
        <w:spacing w:after="0" w:line="240" w:lineRule="auto"/>
        <w:ind w:left="0"/>
        <w:jc w:val="both"/>
        <w:rPr>
          <w:rFonts w:ascii="Verdana" w:hAnsi="Verdana" w:cs="Verdana"/>
          <w:bCs/>
          <w:sz w:val="20"/>
          <w:szCs w:val="20"/>
          <w:lang w:val="es-ES"/>
        </w:rPr>
      </w:pPr>
    </w:p>
    <w:p w14:paraId="1BBD1687" w14:textId="1B91BD82" w:rsidR="00926222" w:rsidRPr="00820DFA" w:rsidRDefault="002F4D9E" w:rsidP="00E870B1">
      <w:pPr>
        <w:pStyle w:val="Prrafodelista"/>
        <w:widowControl/>
        <w:numPr>
          <w:ilvl w:val="0"/>
          <w:numId w:val="28"/>
        </w:numPr>
        <w:spacing w:after="0" w:line="240" w:lineRule="auto"/>
        <w:ind w:left="0" w:firstLine="0"/>
        <w:jc w:val="both"/>
        <w:rPr>
          <w:rFonts w:ascii="Verdana" w:hAnsi="Verdana" w:cs="Verdana"/>
          <w:bCs/>
          <w:iCs/>
          <w:sz w:val="20"/>
          <w:szCs w:val="20"/>
          <w:lang w:val="es-ES"/>
        </w:rPr>
      </w:pPr>
      <w:r w:rsidRPr="00820DFA">
        <w:rPr>
          <w:rFonts w:ascii="Verdana" w:hAnsi="Verdana" w:cs="Verdana"/>
          <w:bCs/>
          <w:iCs/>
          <w:sz w:val="20"/>
          <w:szCs w:val="20"/>
          <w:lang w:val="es-ES"/>
        </w:rPr>
        <w:t>En el presente caso, l</w:t>
      </w:r>
      <w:r w:rsidR="00DA0802" w:rsidRPr="00820DFA">
        <w:rPr>
          <w:rFonts w:ascii="Verdana" w:hAnsi="Verdana" w:cs="Verdana"/>
          <w:bCs/>
          <w:iCs/>
          <w:sz w:val="20"/>
          <w:szCs w:val="20"/>
          <w:lang w:val="es-ES"/>
        </w:rPr>
        <w:t>a Corte recuerda que</w:t>
      </w:r>
      <w:r w:rsidR="00215ECE" w:rsidRPr="00820DFA">
        <w:rPr>
          <w:rFonts w:ascii="Verdana" w:hAnsi="Verdana" w:cs="Verdana"/>
          <w:bCs/>
          <w:iCs/>
          <w:sz w:val="20"/>
          <w:szCs w:val="20"/>
          <w:lang w:val="es-ES"/>
        </w:rPr>
        <w:t xml:space="preserve"> </w:t>
      </w:r>
      <w:r w:rsidR="00061BC6" w:rsidRPr="00820DFA">
        <w:rPr>
          <w:rFonts w:ascii="Verdana" w:hAnsi="Verdana"/>
          <w:sz w:val="20"/>
          <w:szCs w:val="20"/>
          <w:lang w:val="es-CR"/>
        </w:rPr>
        <w:t>los efectos</w:t>
      </w:r>
      <w:r w:rsidR="00D501F8" w:rsidRPr="00820DFA">
        <w:rPr>
          <w:rFonts w:ascii="Verdana" w:hAnsi="Verdana"/>
          <w:sz w:val="20"/>
          <w:szCs w:val="20"/>
          <w:lang w:val="es-CR"/>
        </w:rPr>
        <w:t xml:space="preserve"> </w:t>
      </w:r>
      <w:r w:rsidR="006F5CA7" w:rsidRPr="00820DFA">
        <w:rPr>
          <w:rFonts w:ascii="Verdana" w:hAnsi="Verdana"/>
          <w:sz w:val="20"/>
          <w:szCs w:val="20"/>
          <w:lang w:val="es-CR"/>
        </w:rPr>
        <w:t>derivados de</w:t>
      </w:r>
      <w:r w:rsidR="00D501F8" w:rsidRPr="00820DFA">
        <w:rPr>
          <w:rFonts w:ascii="Verdana" w:hAnsi="Verdana"/>
          <w:sz w:val="20"/>
          <w:szCs w:val="20"/>
          <w:lang w:val="es-CR"/>
        </w:rPr>
        <w:t xml:space="preserve"> la imposibilidad de someter la Resolución 1088 a una revisión ante una autoridad competente </w:t>
      </w:r>
      <w:r w:rsidR="00061BC6" w:rsidRPr="00820DFA">
        <w:rPr>
          <w:rFonts w:ascii="Verdana" w:hAnsi="Verdana"/>
          <w:sz w:val="20"/>
          <w:szCs w:val="20"/>
          <w:lang w:val="es-CR"/>
        </w:rPr>
        <w:t>ya fue</w:t>
      </w:r>
      <w:r w:rsidR="00D501F8" w:rsidRPr="00820DFA">
        <w:rPr>
          <w:rFonts w:ascii="Verdana" w:hAnsi="Verdana"/>
          <w:sz w:val="20"/>
          <w:szCs w:val="20"/>
          <w:lang w:val="es-CR"/>
        </w:rPr>
        <w:t>ron objeto de análisis por este Tribunal</w:t>
      </w:r>
      <w:r w:rsidR="00B826AA" w:rsidRPr="00820DFA">
        <w:rPr>
          <w:rFonts w:ascii="Verdana" w:hAnsi="Verdana"/>
          <w:sz w:val="20"/>
          <w:szCs w:val="20"/>
          <w:lang w:val="es-CR"/>
        </w:rPr>
        <w:t>,</w:t>
      </w:r>
      <w:r w:rsidR="00D501F8" w:rsidRPr="00820DFA">
        <w:rPr>
          <w:rFonts w:ascii="Verdana" w:hAnsi="Verdana"/>
          <w:sz w:val="20"/>
          <w:szCs w:val="20"/>
          <w:lang w:val="es-CR"/>
        </w:rPr>
        <w:t xml:space="preserve"> a partir de las obligaciones del Estado establecidas en el artículo 8.2.h) de la Convención Americana</w:t>
      </w:r>
      <w:r w:rsidR="006146BF" w:rsidRPr="00820DFA">
        <w:rPr>
          <w:rFonts w:ascii="Verdana" w:hAnsi="Verdana"/>
          <w:sz w:val="20"/>
          <w:szCs w:val="20"/>
          <w:lang w:val="es-CR"/>
        </w:rPr>
        <w:t xml:space="preserve"> (</w:t>
      </w:r>
      <w:r w:rsidR="006146BF" w:rsidRPr="00820DFA">
        <w:rPr>
          <w:rFonts w:ascii="Verdana" w:hAnsi="Verdana"/>
          <w:i/>
          <w:iCs/>
          <w:sz w:val="20"/>
          <w:szCs w:val="20"/>
          <w:lang w:val="es-CR"/>
        </w:rPr>
        <w:t>supra</w:t>
      </w:r>
      <w:r w:rsidR="006146BF" w:rsidRPr="00820DFA">
        <w:rPr>
          <w:rFonts w:ascii="Verdana" w:hAnsi="Verdana"/>
          <w:sz w:val="20"/>
          <w:szCs w:val="20"/>
          <w:lang w:val="es-CR"/>
        </w:rPr>
        <w:t xml:space="preserve"> párr.</w:t>
      </w:r>
      <w:r w:rsidR="00820DFA">
        <w:rPr>
          <w:rFonts w:ascii="Verdana" w:hAnsi="Verdana"/>
          <w:sz w:val="20"/>
          <w:szCs w:val="20"/>
          <w:lang w:val="es-CR"/>
        </w:rPr>
        <w:t xml:space="preserve"> 73</w:t>
      </w:r>
      <w:r w:rsidR="006146BF" w:rsidRPr="00820DFA">
        <w:rPr>
          <w:rFonts w:ascii="Verdana" w:hAnsi="Verdana"/>
          <w:sz w:val="20"/>
          <w:szCs w:val="20"/>
          <w:lang w:val="es-CR"/>
        </w:rPr>
        <w:t>)</w:t>
      </w:r>
      <w:r w:rsidR="00D501F8" w:rsidRPr="00820DFA">
        <w:rPr>
          <w:rFonts w:ascii="Verdana" w:hAnsi="Verdana"/>
          <w:sz w:val="20"/>
          <w:szCs w:val="20"/>
          <w:lang w:val="es-CR"/>
        </w:rPr>
        <w:t>.</w:t>
      </w:r>
      <w:r w:rsidR="006F5CA7" w:rsidRPr="00820DFA">
        <w:rPr>
          <w:rFonts w:ascii="Verdana" w:hAnsi="Verdana"/>
          <w:sz w:val="20"/>
          <w:szCs w:val="20"/>
          <w:lang w:val="es-CR"/>
        </w:rPr>
        <w:t xml:space="preserve"> E</w:t>
      </w:r>
      <w:r w:rsidR="001142E8" w:rsidRPr="00820DFA">
        <w:rPr>
          <w:rFonts w:ascii="Verdana" w:hAnsi="Verdana"/>
          <w:sz w:val="20"/>
          <w:szCs w:val="20"/>
          <w:lang w:val="es-CR"/>
        </w:rPr>
        <w:t>n ese sentido, el Tribunal</w:t>
      </w:r>
      <w:r w:rsidR="006F5CA7" w:rsidRPr="00820DFA">
        <w:rPr>
          <w:rFonts w:ascii="Verdana" w:hAnsi="Verdana"/>
          <w:sz w:val="20"/>
          <w:szCs w:val="20"/>
          <w:lang w:val="es-CR"/>
        </w:rPr>
        <w:t xml:space="preserve"> </w:t>
      </w:r>
      <w:r w:rsidR="00926222" w:rsidRPr="00820DFA">
        <w:rPr>
          <w:rFonts w:ascii="Verdana" w:hAnsi="Verdana"/>
          <w:sz w:val="20"/>
          <w:szCs w:val="20"/>
          <w:lang w:val="es-CR"/>
        </w:rPr>
        <w:t>recuerda</w:t>
      </w:r>
      <w:r w:rsidR="00D501F8" w:rsidRPr="00820DFA">
        <w:rPr>
          <w:rFonts w:ascii="Verdana" w:hAnsi="Verdana"/>
          <w:sz w:val="20"/>
          <w:szCs w:val="20"/>
          <w:lang w:val="es-CR"/>
        </w:rPr>
        <w:t xml:space="preserve"> que</w:t>
      </w:r>
      <w:r w:rsidR="00926222" w:rsidRPr="00820DFA">
        <w:rPr>
          <w:rFonts w:ascii="Verdana" w:hAnsi="Verdana"/>
          <w:sz w:val="20"/>
          <w:szCs w:val="20"/>
          <w:lang w:val="es-CR"/>
        </w:rPr>
        <w:t>, si bien la ausencia de notificación de la Resolución 1088 impidió a las presuntas víctimas presentar un recurso ante una autoridad competente, incluido un recurso judicial</w:t>
      </w:r>
      <w:r w:rsidR="00331734" w:rsidRPr="00820DFA">
        <w:rPr>
          <w:rFonts w:ascii="Verdana" w:hAnsi="Verdana"/>
          <w:sz w:val="20"/>
          <w:szCs w:val="20"/>
          <w:lang w:val="es-CR"/>
        </w:rPr>
        <w:t xml:space="preserve"> en términos del artículo 25 de la Convención</w:t>
      </w:r>
      <w:r w:rsidR="00926222" w:rsidRPr="00820DFA">
        <w:rPr>
          <w:rFonts w:ascii="Verdana" w:hAnsi="Verdana"/>
          <w:sz w:val="20"/>
          <w:szCs w:val="20"/>
          <w:lang w:val="es-CR"/>
        </w:rPr>
        <w:t xml:space="preserve">, </w:t>
      </w:r>
      <w:r w:rsidR="00B826AA" w:rsidRPr="00820DFA">
        <w:rPr>
          <w:rFonts w:ascii="Verdana" w:hAnsi="Verdana"/>
          <w:sz w:val="20"/>
          <w:szCs w:val="20"/>
          <w:lang w:val="es-CR"/>
        </w:rPr>
        <w:t xml:space="preserve">la Resolución 1088 nunca </w:t>
      </w:r>
      <w:r w:rsidR="00FB2631" w:rsidRPr="00820DFA">
        <w:rPr>
          <w:rFonts w:ascii="Verdana" w:hAnsi="Verdana"/>
          <w:sz w:val="20"/>
          <w:szCs w:val="20"/>
          <w:lang w:val="es-CR"/>
        </w:rPr>
        <w:t>tuvo efectos</w:t>
      </w:r>
      <w:r w:rsidR="00175242" w:rsidRPr="00820DFA">
        <w:rPr>
          <w:rFonts w:ascii="Verdana" w:hAnsi="Verdana"/>
          <w:sz w:val="20"/>
          <w:szCs w:val="20"/>
          <w:lang w:val="es-CR"/>
        </w:rPr>
        <w:t xml:space="preserve"> </w:t>
      </w:r>
      <w:r w:rsidR="00820DFA">
        <w:rPr>
          <w:rFonts w:ascii="Verdana" w:hAnsi="Verdana"/>
          <w:sz w:val="20"/>
          <w:szCs w:val="20"/>
          <w:lang w:val="es-CR"/>
        </w:rPr>
        <w:t xml:space="preserve">que </w:t>
      </w:r>
      <w:r w:rsidR="000F0A64" w:rsidRPr="00820DFA">
        <w:rPr>
          <w:rFonts w:ascii="Verdana" w:hAnsi="Verdana"/>
          <w:sz w:val="20"/>
          <w:szCs w:val="20"/>
          <w:lang w:val="es-CR"/>
        </w:rPr>
        <w:t>afectaran</w:t>
      </w:r>
      <w:r w:rsidR="00175242" w:rsidRPr="00820DFA">
        <w:rPr>
          <w:rFonts w:ascii="Verdana" w:hAnsi="Verdana"/>
          <w:sz w:val="20"/>
          <w:szCs w:val="20"/>
          <w:lang w:val="es-CR"/>
        </w:rPr>
        <w:t xml:space="preserve"> materialmente los derechos de las presuntas víctimas,</w:t>
      </w:r>
      <w:r w:rsidR="00B826AA" w:rsidRPr="00820DFA">
        <w:rPr>
          <w:rFonts w:ascii="Verdana" w:hAnsi="Verdana"/>
          <w:sz w:val="20"/>
          <w:szCs w:val="20"/>
          <w:lang w:val="es-CR"/>
        </w:rPr>
        <w:t xml:space="preserve"> además de que la misma fue revocada, por lo que las violaciones a los derechos </w:t>
      </w:r>
      <w:r w:rsidR="00331734" w:rsidRPr="00820DFA">
        <w:rPr>
          <w:rFonts w:ascii="Verdana" w:hAnsi="Verdana"/>
          <w:sz w:val="20"/>
          <w:szCs w:val="20"/>
          <w:lang w:val="es-CR"/>
        </w:rPr>
        <w:t>producidos</w:t>
      </w:r>
      <w:r w:rsidR="00B826AA" w:rsidRPr="00820DFA">
        <w:rPr>
          <w:rFonts w:ascii="Verdana" w:hAnsi="Verdana"/>
          <w:sz w:val="20"/>
          <w:szCs w:val="20"/>
          <w:lang w:val="es-CR"/>
        </w:rPr>
        <w:t xml:space="preserve"> por su existencia cesaron y fueron reparados.</w:t>
      </w:r>
      <w:r w:rsidR="000F0A64" w:rsidRPr="00820DFA">
        <w:rPr>
          <w:rFonts w:ascii="Verdana" w:hAnsi="Verdana"/>
          <w:sz w:val="20"/>
          <w:szCs w:val="20"/>
          <w:lang w:val="es-CR"/>
        </w:rPr>
        <w:t xml:space="preserve"> </w:t>
      </w:r>
      <w:r w:rsidR="000F0A64" w:rsidRPr="00E709E9">
        <w:rPr>
          <w:rFonts w:ascii="Verdana" w:hAnsi="Verdana"/>
          <w:sz w:val="20"/>
          <w:szCs w:val="20"/>
          <w:lang w:val="es-CR"/>
        </w:rPr>
        <w:t xml:space="preserve">Asimismo, el Tribunal recuerda que la ausencia de participación de las presuntas víctimas en el proceso no permitió conocer </w:t>
      </w:r>
      <w:r w:rsidR="00662682" w:rsidRPr="00E709E9">
        <w:rPr>
          <w:rFonts w:ascii="Verdana" w:hAnsi="Verdana"/>
          <w:sz w:val="20"/>
          <w:szCs w:val="20"/>
          <w:lang w:val="es-CR"/>
        </w:rPr>
        <w:t>el alcance de las afectaciones que pudieron existir a sus derechos por las omisiones estatales en el procedimiento y emisión de la Resolución 1088 (</w:t>
      </w:r>
      <w:r w:rsidR="00662682" w:rsidRPr="00E709E9">
        <w:rPr>
          <w:rFonts w:ascii="Verdana" w:hAnsi="Verdana"/>
          <w:i/>
          <w:iCs/>
          <w:sz w:val="20"/>
          <w:szCs w:val="20"/>
          <w:lang w:val="es-CR"/>
        </w:rPr>
        <w:t>supra</w:t>
      </w:r>
      <w:r w:rsidR="00662682" w:rsidRPr="00E709E9">
        <w:rPr>
          <w:rFonts w:ascii="Verdana" w:hAnsi="Verdana"/>
          <w:sz w:val="20"/>
          <w:szCs w:val="20"/>
          <w:lang w:val="es-CR"/>
        </w:rPr>
        <w:t xml:space="preserve"> párr.</w:t>
      </w:r>
      <w:r w:rsidR="00E34FE9" w:rsidRPr="00E709E9">
        <w:rPr>
          <w:rFonts w:ascii="Verdana" w:hAnsi="Verdana"/>
          <w:sz w:val="20"/>
          <w:szCs w:val="20"/>
          <w:lang w:val="es-CR"/>
        </w:rPr>
        <w:t xml:space="preserve"> 81)</w:t>
      </w:r>
      <w:r w:rsidR="00662682" w:rsidRPr="00E709E9">
        <w:rPr>
          <w:rFonts w:ascii="Verdana" w:hAnsi="Verdana"/>
          <w:sz w:val="20"/>
          <w:szCs w:val="20"/>
          <w:lang w:val="es-CR"/>
        </w:rPr>
        <w:t>.</w:t>
      </w:r>
      <w:r w:rsidR="00B826AA" w:rsidRPr="00820DFA">
        <w:rPr>
          <w:rFonts w:ascii="Verdana" w:hAnsi="Verdana"/>
          <w:sz w:val="20"/>
          <w:szCs w:val="20"/>
          <w:lang w:val="es-CR"/>
        </w:rPr>
        <w:t xml:space="preserve"> En consecuencia, </w:t>
      </w:r>
      <w:r w:rsidR="00885377" w:rsidRPr="00820DFA">
        <w:rPr>
          <w:rFonts w:ascii="Verdana" w:hAnsi="Verdana"/>
          <w:sz w:val="20"/>
          <w:szCs w:val="20"/>
          <w:lang w:val="es-CR"/>
        </w:rPr>
        <w:t>respecto de</w:t>
      </w:r>
      <w:r w:rsidR="00DE17B4" w:rsidRPr="00820DFA">
        <w:rPr>
          <w:rFonts w:ascii="Verdana" w:hAnsi="Verdana"/>
          <w:sz w:val="20"/>
          <w:szCs w:val="20"/>
          <w:lang w:val="es-CR"/>
        </w:rPr>
        <w:t xml:space="preserve"> la imposibilidad de presentar un recurso judicial por la emisión de la Resolución 1088, </w:t>
      </w:r>
      <w:r w:rsidR="00B826AA" w:rsidRPr="00820DFA">
        <w:rPr>
          <w:rFonts w:ascii="Verdana" w:hAnsi="Verdana"/>
          <w:sz w:val="20"/>
          <w:szCs w:val="20"/>
          <w:lang w:val="es-CR"/>
        </w:rPr>
        <w:t>por las</w:t>
      </w:r>
      <w:r w:rsidR="00331734" w:rsidRPr="00820DFA">
        <w:rPr>
          <w:rFonts w:ascii="Verdana" w:hAnsi="Verdana"/>
          <w:sz w:val="20"/>
          <w:szCs w:val="20"/>
          <w:lang w:val="es-CR"/>
        </w:rPr>
        <w:t xml:space="preserve"> mismas</w:t>
      </w:r>
      <w:r w:rsidR="00B826AA" w:rsidRPr="00820DFA">
        <w:rPr>
          <w:rFonts w:ascii="Verdana" w:hAnsi="Verdana"/>
          <w:sz w:val="20"/>
          <w:szCs w:val="20"/>
          <w:lang w:val="es-CR"/>
        </w:rPr>
        <w:t xml:space="preserve"> razones señaladas anteriormente</w:t>
      </w:r>
      <w:r w:rsidR="00331734" w:rsidRPr="00820DFA">
        <w:rPr>
          <w:rFonts w:ascii="Verdana" w:hAnsi="Verdana"/>
          <w:sz w:val="20"/>
          <w:szCs w:val="20"/>
          <w:lang w:val="es-CR"/>
        </w:rPr>
        <w:t xml:space="preserve"> (</w:t>
      </w:r>
      <w:r w:rsidR="00331734" w:rsidRPr="00820DFA">
        <w:rPr>
          <w:rFonts w:ascii="Verdana" w:hAnsi="Verdana"/>
          <w:i/>
          <w:iCs/>
          <w:sz w:val="20"/>
          <w:szCs w:val="20"/>
          <w:lang w:val="es-CR"/>
        </w:rPr>
        <w:t>supra</w:t>
      </w:r>
      <w:r w:rsidR="00331734" w:rsidRPr="00820DFA">
        <w:rPr>
          <w:rFonts w:ascii="Verdana" w:hAnsi="Verdana"/>
          <w:sz w:val="20"/>
          <w:szCs w:val="20"/>
          <w:lang w:val="es-CR"/>
        </w:rPr>
        <w:t xml:space="preserve"> párr.</w:t>
      </w:r>
      <w:r w:rsidR="0071350A" w:rsidRPr="00820DFA">
        <w:rPr>
          <w:rFonts w:ascii="Verdana" w:hAnsi="Verdana"/>
          <w:sz w:val="20"/>
          <w:szCs w:val="20"/>
          <w:lang w:val="es-CR"/>
        </w:rPr>
        <w:t xml:space="preserve"> 80 a 84</w:t>
      </w:r>
      <w:r w:rsidR="00331734" w:rsidRPr="00820DFA">
        <w:rPr>
          <w:rFonts w:ascii="Verdana" w:hAnsi="Verdana"/>
          <w:sz w:val="20"/>
          <w:szCs w:val="20"/>
          <w:lang w:val="es-CR"/>
        </w:rPr>
        <w:t>)</w:t>
      </w:r>
      <w:r w:rsidR="00B826AA" w:rsidRPr="00820DFA">
        <w:rPr>
          <w:rFonts w:ascii="Verdana" w:hAnsi="Verdana"/>
          <w:sz w:val="20"/>
          <w:szCs w:val="20"/>
          <w:lang w:val="es-CR"/>
        </w:rPr>
        <w:t>, y en aplicación del principio de complementariedad, el Tribunal considera que el Estado no es responsable por la violación al derecho a la protección judicial.</w:t>
      </w:r>
      <w:r w:rsidR="00DE2B97" w:rsidRPr="00820DFA">
        <w:rPr>
          <w:rFonts w:ascii="Verdana" w:hAnsi="Verdana"/>
          <w:sz w:val="20"/>
          <w:szCs w:val="20"/>
          <w:lang w:val="es-CR"/>
        </w:rPr>
        <w:t xml:space="preserve"> </w:t>
      </w:r>
    </w:p>
    <w:p w14:paraId="240D9613" w14:textId="77777777" w:rsidR="00926222" w:rsidRPr="00331734" w:rsidRDefault="00926222" w:rsidP="00331734">
      <w:pPr>
        <w:rPr>
          <w:rFonts w:ascii="Verdana" w:hAnsi="Verdana"/>
          <w:sz w:val="20"/>
          <w:szCs w:val="20"/>
          <w:highlight w:val="yellow"/>
        </w:rPr>
      </w:pPr>
    </w:p>
    <w:p w14:paraId="067D202D" w14:textId="610FED89" w:rsidR="00DA0802" w:rsidRPr="00DA0802" w:rsidRDefault="005278E3" w:rsidP="003C2B8F">
      <w:pPr>
        <w:pStyle w:val="Prrafodelista"/>
        <w:widowControl/>
        <w:numPr>
          <w:ilvl w:val="0"/>
          <w:numId w:val="28"/>
        </w:numPr>
        <w:spacing w:after="0" w:line="240" w:lineRule="auto"/>
        <w:ind w:left="0" w:right="18" w:firstLine="0"/>
        <w:jc w:val="both"/>
        <w:rPr>
          <w:rFonts w:ascii="Verdana" w:hAnsi="Verdana"/>
          <w:sz w:val="20"/>
          <w:szCs w:val="20"/>
          <w:lang w:val="es-CR"/>
        </w:rPr>
      </w:pPr>
      <w:r>
        <w:rPr>
          <w:rFonts w:ascii="Verdana" w:hAnsi="Verdana" w:cs="Verdana"/>
          <w:bCs/>
          <w:iCs/>
          <w:sz w:val="20"/>
          <w:szCs w:val="20"/>
          <w:lang w:val="es-ES"/>
        </w:rPr>
        <w:t>Por otro lado</w:t>
      </w:r>
      <w:r w:rsidR="00DA0802" w:rsidRPr="00AD5AB1">
        <w:rPr>
          <w:rFonts w:ascii="Verdana" w:hAnsi="Verdana" w:cs="Verdana"/>
          <w:bCs/>
          <w:iCs/>
          <w:sz w:val="20"/>
          <w:szCs w:val="20"/>
          <w:lang w:val="es-ES"/>
        </w:rPr>
        <w:t xml:space="preserve">, la Corte recuerda que </w:t>
      </w:r>
      <w:r w:rsidR="00AF73DD">
        <w:rPr>
          <w:rFonts w:ascii="Verdana" w:hAnsi="Verdana" w:cs="Verdana"/>
          <w:bCs/>
          <w:iCs/>
          <w:sz w:val="20"/>
          <w:szCs w:val="20"/>
          <w:lang w:val="es-ES"/>
        </w:rPr>
        <w:t>el 2 de noviembre de 1994</w:t>
      </w:r>
      <w:r w:rsidR="00A12214">
        <w:rPr>
          <w:rFonts w:ascii="Verdana" w:hAnsi="Verdana" w:cs="Verdana"/>
          <w:bCs/>
          <w:iCs/>
          <w:sz w:val="20"/>
          <w:szCs w:val="20"/>
          <w:lang w:val="es-ES"/>
        </w:rPr>
        <w:t>,</w:t>
      </w:r>
      <w:r w:rsidR="00AF73DD">
        <w:rPr>
          <w:rFonts w:ascii="Verdana" w:hAnsi="Verdana" w:cs="Verdana"/>
          <w:bCs/>
          <w:iCs/>
          <w:sz w:val="20"/>
          <w:szCs w:val="20"/>
          <w:lang w:val="es-ES"/>
        </w:rPr>
        <w:t xml:space="preserve"> </w:t>
      </w:r>
      <w:r w:rsidR="00DA0802" w:rsidRPr="00DA0802">
        <w:rPr>
          <w:rFonts w:ascii="Verdana" w:hAnsi="Verdana"/>
          <w:sz w:val="20"/>
          <w:szCs w:val="20"/>
          <w:lang w:val="es-CR"/>
        </w:rPr>
        <w:t>la señora Habbal interpuso</w:t>
      </w:r>
      <w:r w:rsidR="004D3D56">
        <w:rPr>
          <w:rFonts w:ascii="Verdana" w:hAnsi="Verdana"/>
          <w:sz w:val="20"/>
          <w:szCs w:val="20"/>
          <w:lang w:val="es-CR"/>
        </w:rPr>
        <w:t xml:space="preserve"> ante </w:t>
      </w:r>
      <w:r w:rsidR="004D3D56" w:rsidRPr="00A12214">
        <w:rPr>
          <w:rFonts w:ascii="Verdana" w:hAnsi="Verdana"/>
          <w:sz w:val="20"/>
          <w:szCs w:val="20"/>
          <w:lang w:val="es-ES"/>
        </w:rPr>
        <w:t>la Cámara Federal de Apelaciones de Mendoza</w:t>
      </w:r>
      <w:r w:rsidR="009451CF">
        <w:rPr>
          <w:rFonts w:ascii="Verdana" w:hAnsi="Verdana"/>
          <w:sz w:val="20"/>
          <w:szCs w:val="20"/>
          <w:lang w:val="es-CR"/>
        </w:rPr>
        <w:t xml:space="preserve"> un</w:t>
      </w:r>
      <w:r w:rsidR="00DA0802" w:rsidRPr="00DA0802">
        <w:rPr>
          <w:rFonts w:ascii="Verdana" w:hAnsi="Verdana"/>
          <w:sz w:val="20"/>
          <w:szCs w:val="20"/>
          <w:lang w:val="es-CR"/>
        </w:rPr>
        <w:t xml:space="preserve"> recurso de apelación y nulidad conjunta</w:t>
      </w:r>
      <w:r w:rsidR="00A12214">
        <w:rPr>
          <w:rFonts w:ascii="Verdana" w:hAnsi="Verdana"/>
          <w:sz w:val="20"/>
          <w:szCs w:val="20"/>
          <w:lang w:val="es-CR"/>
        </w:rPr>
        <w:t xml:space="preserve"> </w:t>
      </w:r>
      <w:r w:rsidR="00DA0802" w:rsidRPr="00DA0802">
        <w:rPr>
          <w:rFonts w:ascii="Verdana" w:hAnsi="Verdana"/>
          <w:sz w:val="20"/>
          <w:szCs w:val="20"/>
          <w:lang w:val="es-CR"/>
        </w:rPr>
        <w:t>contra la sentencia dictada por el Juez Federal Subrogante</w:t>
      </w:r>
      <w:r w:rsidR="004D3D56">
        <w:rPr>
          <w:rFonts w:ascii="Verdana" w:hAnsi="Verdana"/>
          <w:sz w:val="20"/>
          <w:szCs w:val="20"/>
          <w:lang w:val="es-CR"/>
        </w:rPr>
        <w:t xml:space="preserve"> el</w:t>
      </w:r>
      <w:r w:rsidR="004D3D56" w:rsidRPr="00DA0802">
        <w:rPr>
          <w:rFonts w:ascii="Verdana" w:hAnsi="Verdana"/>
          <w:sz w:val="20"/>
          <w:szCs w:val="20"/>
          <w:lang w:val="es-CR"/>
        </w:rPr>
        <w:t xml:space="preserve"> 27 de octubre de 1994</w:t>
      </w:r>
      <w:r w:rsidR="00AF73DD">
        <w:rPr>
          <w:rFonts w:ascii="Verdana" w:hAnsi="Verdana"/>
          <w:sz w:val="20"/>
          <w:szCs w:val="20"/>
          <w:lang w:val="es-CR"/>
        </w:rPr>
        <w:t xml:space="preserve">. </w:t>
      </w:r>
      <w:r w:rsidR="001651B6">
        <w:rPr>
          <w:rFonts w:ascii="Verdana" w:hAnsi="Verdana"/>
          <w:sz w:val="20"/>
          <w:szCs w:val="20"/>
          <w:lang w:val="es-CR"/>
        </w:rPr>
        <w:t>En este recurso, la señora Habbal sostuvo</w:t>
      </w:r>
      <w:r w:rsidR="00AF73DD">
        <w:rPr>
          <w:rFonts w:ascii="Verdana" w:hAnsi="Verdana"/>
          <w:sz w:val="20"/>
          <w:szCs w:val="20"/>
          <w:lang w:val="es-CR"/>
        </w:rPr>
        <w:t xml:space="preserve"> </w:t>
      </w:r>
      <w:r w:rsidR="00DA0802" w:rsidRPr="00DA0802">
        <w:rPr>
          <w:rFonts w:ascii="Verdana" w:hAnsi="Verdana"/>
          <w:sz w:val="20"/>
          <w:szCs w:val="20"/>
          <w:lang w:val="es-CR"/>
        </w:rPr>
        <w:t>que</w:t>
      </w:r>
      <w:r w:rsidR="007813AA">
        <w:rPr>
          <w:rFonts w:ascii="Verdana" w:hAnsi="Verdana"/>
          <w:sz w:val="20"/>
          <w:szCs w:val="20"/>
          <w:lang w:val="es-CR"/>
        </w:rPr>
        <w:t xml:space="preserve"> </w:t>
      </w:r>
      <w:r w:rsidR="00956C38">
        <w:rPr>
          <w:rFonts w:ascii="Verdana" w:hAnsi="Verdana"/>
          <w:sz w:val="20"/>
          <w:szCs w:val="20"/>
          <w:lang w:val="es-CR"/>
        </w:rPr>
        <w:t>la Resolución 1088</w:t>
      </w:r>
      <w:r w:rsidR="00123799">
        <w:rPr>
          <w:rFonts w:ascii="Verdana" w:hAnsi="Verdana"/>
          <w:sz w:val="20"/>
          <w:szCs w:val="20"/>
          <w:lang w:val="es-CR"/>
        </w:rPr>
        <w:t xml:space="preserve"> constituyó un acto arbitrario</w:t>
      </w:r>
      <w:r w:rsidR="0041737F">
        <w:rPr>
          <w:rFonts w:ascii="Verdana" w:hAnsi="Verdana"/>
          <w:sz w:val="20"/>
          <w:szCs w:val="20"/>
          <w:lang w:val="es-CR"/>
        </w:rPr>
        <w:t xml:space="preserve"> </w:t>
      </w:r>
      <w:r w:rsidR="0041737F">
        <w:rPr>
          <w:rFonts w:ascii="Verdana" w:hAnsi="Verdana"/>
          <w:sz w:val="20"/>
          <w:szCs w:val="20"/>
          <w:lang w:val="es-CR"/>
        </w:rPr>
        <w:lastRenderedPageBreak/>
        <w:t xml:space="preserve">que violó </w:t>
      </w:r>
      <w:r w:rsidR="00B956B0">
        <w:rPr>
          <w:rFonts w:ascii="Verdana" w:hAnsi="Verdana"/>
          <w:sz w:val="20"/>
          <w:szCs w:val="20"/>
          <w:lang w:val="es-CR"/>
        </w:rPr>
        <w:t>su</w:t>
      </w:r>
      <w:r w:rsidR="0041737F">
        <w:rPr>
          <w:rFonts w:ascii="Verdana" w:hAnsi="Verdana"/>
          <w:sz w:val="20"/>
          <w:szCs w:val="20"/>
          <w:lang w:val="es-CR"/>
        </w:rPr>
        <w:t xml:space="preserve"> derecho a la nacionalidad</w:t>
      </w:r>
      <w:r w:rsidR="00E57E9A">
        <w:rPr>
          <w:rFonts w:ascii="Verdana" w:hAnsi="Verdana"/>
          <w:sz w:val="20"/>
          <w:szCs w:val="20"/>
          <w:lang w:val="es-CR"/>
        </w:rPr>
        <w:t>, y que se vulneró el debido proceso</w:t>
      </w:r>
      <w:r w:rsidR="0083374E">
        <w:rPr>
          <w:rStyle w:val="Refdenotaalpie"/>
          <w:rFonts w:ascii="Verdana" w:hAnsi="Verdana"/>
          <w:sz w:val="20"/>
          <w:szCs w:val="20"/>
          <w:lang w:val="es-CR"/>
        </w:rPr>
        <w:footnoteReference w:id="142"/>
      </w:r>
      <w:r w:rsidR="0041737F">
        <w:rPr>
          <w:rFonts w:ascii="Verdana" w:hAnsi="Verdana"/>
          <w:sz w:val="20"/>
          <w:szCs w:val="20"/>
          <w:lang w:val="es-CR"/>
        </w:rPr>
        <w:t xml:space="preserve">. </w:t>
      </w:r>
      <w:r w:rsidR="00E57E9A">
        <w:rPr>
          <w:rFonts w:ascii="Verdana" w:hAnsi="Verdana"/>
          <w:sz w:val="20"/>
          <w:szCs w:val="20"/>
          <w:lang w:val="es-CR"/>
        </w:rPr>
        <w:t>Entre otras cuestiones</w:t>
      </w:r>
      <w:r w:rsidR="00BC108E">
        <w:rPr>
          <w:rFonts w:ascii="Verdana" w:hAnsi="Verdana"/>
          <w:sz w:val="20"/>
          <w:szCs w:val="20"/>
          <w:lang w:val="es-CR"/>
        </w:rPr>
        <w:t xml:space="preserve">, la señora Habbal </w:t>
      </w:r>
      <w:r w:rsidR="00CF1422">
        <w:rPr>
          <w:rFonts w:ascii="Verdana" w:hAnsi="Verdana"/>
          <w:sz w:val="20"/>
          <w:szCs w:val="20"/>
          <w:lang w:val="es-CR"/>
        </w:rPr>
        <w:t>alegó que</w:t>
      </w:r>
      <w:r w:rsidR="00DA0802" w:rsidRPr="00DA0802">
        <w:rPr>
          <w:rFonts w:ascii="Verdana" w:hAnsi="Verdana"/>
          <w:sz w:val="20"/>
          <w:szCs w:val="20"/>
          <w:lang w:val="es-CR"/>
        </w:rPr>
        <w:t xml:space="preserve"> la notificación practicada por medio de edictos era nula, ya que el emplazamiento del proceso de cancelación de ciudadanía debía practicarse en el domicilio señalado ante el Registro Nacional de Electore</w:t>
      </w:r>
      <w:r w:rsidR="00FE66E6">
        <w:rPr>
          <w:rFonts w:ascii="Verdana" w:hAnsi="Verdana"/>
          <w:sz w:val="20"/>
          <w:szCs w:val="20"/>
          <w:lang w:val="es-CR"/>
        </w:rPr>
        <w:t>s</w:t>
      </w:r>
      <w:r w:rsidR="00F16BB6">
        <w:rPr>
          <w:rFonts w:ascii="Verdana" w:hAnsi="Verdana"/>
          <w:sz w:val="20"/>
          <w:szCs w:val="20"/>
          <w:lang w:val="es-CR"/>
        </w:rPr>
        <w:t>. Además</w:t>
      </w:r>
      <w:r w:rsidR="00DA0802" w:rsidRPr="00DA0802">
        <w:rPr>
          <w:rFonts w:ascii="Verdana" w:hAnsi="Verdana"/>
          <w:sz w:val="20"/>
          <w:szCs w:val="20"/>
          <w:lang w:val="es-CR"/>
        </w:rPr>
        <w:t>,</w:t>
      </w:r>
      <w:r w:rsidR="00F16BB6">
        <w:rPr>
          <w:rFonts w:ascii="Verdana" w:hAnsi="Verdana"/>
          <w:sz w:val="20"/>
          <w:szCs w:val="20"/>
          <w:lang w:val="es-CR"/>
        </w:rPr>
        <w:t xml:space="preserve"> </w:t>
      </w:r>
      <w:r w:rsidR="00FE66E6">
        <w:rPr>
          <w:rFonts w:ascii="Verdana" w:hAnsi="Verdana"/>
          <w:sz w:val="20"/>
          <w:szCs w:val="20"/>
          <w:lang w:val="es-CR"/>
        </w:rPr>
        <w:t>sostuvo</w:t>
      </w:r>
      <w:r w:rsidR="00DA0802" w:rsidRPr="00DA0802">
        <w:rPr>
          <w:rFonts w:ascii="Verdana" w:hAnsi="Verdana"/>
          <w:sz w:val="20"/>
          <w:szCs w:val="20"/>
          <w:lang w:val="es-CR"/>
        </w:rPr>
        <w:t xml:space="preserve"> que el Juez debió contar con más elementos de prueba para demostrar la presunta falsedad ideológica de los documentos</w:t>
      </w:r>
      <w:r w:rsidR="00DB3CE1">
        <w:rPr>
          <w:rFonts w:ascii="Verdana" w:hAnsi="Verdana"/>
          <w:sz w:val="20"/>
          <w:szCs w:val="20"/>
          <w:lang w:val="es-CR"/>
        </w:rPr>
        <w:t>,</w:t>
      </w:r>
      <w:r w:rsidR="00DA0802" w:rsidRPr="00DA0802">
        <w:rPr>
          <w:rFonts w:ascii="Verdana" w:hAnsi="Verdana"/>
          <w:sz w:val="20"/>
          <w:szCs w:val="20"/>
          <w:lang w:val="es-CR"/>
        </w:rPr>
        <w:t xml:space="preserve"> y comprobar la alegada mala fe de la señora Habbal</w:t>
      </w:r>
      <w:r w:rsidR="003368C5">
        <w:rPr>
          <w:rFonts w:ascii="Verdana" w:hAnsi="Verdana"/>
          <w:sz w:val="20"/>
          <w:szCs w:val="20"/>
          <w:lang w:val="es-CR"/>
        </w:rPr>
        <w:t>. Finalmente, que</w:t>
      </w:r>
      <w:r w:rsidR="00DA0802" w:rsidRPr="00DA0802">
        <w:rPr>
          <w:rFonts w:ascii="Verdana" w:hAnsi="Verdana"/>
          <w:sz w:val="20"/>
          <w:szCs w:val="20"/>
          <w:lang w:val="es-CR"/>
        </w:rPr>
        <w:t xml:space="preserve"> el Juez Federal debió esperar la decisión del Juez Penal para determinar si existió fraude en el otorgamiento de la ciudadanía a la señora Raghda Habbal</w:t>
      </w:r>
      <w:r w:rsidR="00FE66E6">
        <w:rPr>
          <w:rFonts w:ascii="Verdana" w:hAnsi="Verdana"/>
          <w:sz w:val="20"/>
          <w:szCs w:val="20"/>
          <w:lang w:val="es-CR"/>
        </w:rPr>
        <w:t>,</w:t>
      </w:r>
      <w:r w:rsidR="00DA0802" w:rsidRPr="00DA0802">
        <w:rPr>
          <w:rFonts w:ascii="Verdana" w:hAnsi="Verdana"/>
          <w:sz w:val="20"/>
          <w:szCs w:val="20"/>
          <w:lang w:val="es-CR"/>
        </w:rPr>
        <w:t xml:space="preserve"> </w:t>
      </w:r>
      <w:r w:rsidR="00FE66E6">
        <w:rPr>
          <w:rFonts w:ascii="Verdana" w:hAnsi="Verdana"/>
          <w:sz w:val="20"/>
          <w:szCs w:val="20"/>
          <w:lang w:val="es-CR"/>
        </w:rPr>
        <w:t>para así determinar</w:t>
      </w:r>
      <w:r w:rsidR="00DA0802" w:rsidRPr="00DA0802">
        <w:rPr>
          <w:rFonts w:ascii="Verdana" w:hAnsi="Verdana"/>
          <w:sz w:val="20"/>
          <w:szCs w:val="20"/>
          <w:lang w:val="es-CR"/>
        </w:rPr>
        <w:t xml:space="preserve"> si le correspondía mantenerla o revocarla</w:t>
      </w:r>
      <w:r w:rsidR="008E1DF3">
        <w:rPr>
          <w:rStyle w:val="Refdenotaalpie"/>
          <w:rFonts w:ascii="Verdana" w:hAnsi="Verdana"/>
          <w:sz w:val="20"/>
          <w:szCs w:val="20"/>
          <w:lang w:val="es-CR"/>
        </w:rPr>
        <w:footnoteReference w:id="143"/>
      </w:r>
      <w:r w:rsidR="00DA0802" w:rsidRPr="00DA0802">
        <w:rPr>
          <w:rFonts w:ascii="Verdana" w:hAnsi="Verdana"/>
          <w:sz w:val="20"/>
          <w:szCs w:val="20"/>
          <w:lang w:val="es-CR"/>
        </w:rPr>
        <w:t>.</w:t>
      </w:r>
    </w:p>
    <w:p w14:paraId="09481CFE" w14:textId="77777777" w:rsidR="00DA0802" w:rsidRPr="00DA0802" w:rsidRDefault="00DA0802" w:rsidP="003C2B8F">
      <w:pPr>
        <w:pStyle w:val="Prrafodelista"/>
        <w:spacing w:after="0" w:line="240" w:lineRule="auto"/>
        <w:rPr>
          <w:rFonts w:ascii="Verdana" w:hAnsi="Verdana"/>
          <w:sz w:val="20"/>
          <w:szCs w:val="20"/>
          <w:lang w:val="es-CR"/>
        </w:rPr>
      </w:pPr>
    </w:p>
    <w:p w14:paraId="5577D538" w14:textId="4F4A3C8A" w:rsidR="0075410B" w:rsidRDefault="00CC390A" w:rsidP="003C2B8F">
      <w:pPr>
        <w:pStyle w:val="Prrafodelista"/>
        <w:widowControl/>
        <w:numPr>
          <w:ilvl w:val="0"/>
          <w:numId w:val="28"/>
        </w:numPr>
        <w:spacing w:after="0" w:line="240" w:lineRule="auto"/>
        <w:ind w:left="0" w:right="17" w:firstLine="0"/>
        <w:jc w:val="both"/>
        <w:rPr>
          <w:rFonts w:ascii="Verdana" w:hAnsi="Verdana"/>
          <w:sz w:val="20"/>
          <w:szCs w:val="20"/>
          <w:lang w:val="es-CR"/>
        </w:rPr>
      </w:pPr>
      <w:r>
        <w:rPr>
          <w:rFonts w:ascii="Verdana" w:hAnsi="Verdana"/>
          <w:sz w:val="20"/>
          <w:szCs w:val="20"/>
          <w:lang w:val="es-CR"/>
        </w:rPr>
        <w:t xml:space="preserve">Al respecto, la Corte </w:t>
      </w:r>
      <w:r w:rsidR="00371F36">
        <w:rPr>
          <w:rFonts w:ascii="Verdana" w:hAnsi="Verdana"/>
          <w:sz w:val="20"/>
          <w:szCs w:val="20"/>
          <w:lang w:val="es-CR"/>
        </w:rPr>
        <w:t>recuerda</w:t>
      </w:r>
      <w:r>
        <w:rPr>
          <w:rFonts w:ascii="Verdana" w:hAnsi="Verdana"/>
          <w:sz w:val="20"/>
          <w:szCs w:val="20"/>
          <w:lang w:val="es-CR"/>
        </w:rPr>
        <w:t xml:space="preserve"> que</w:t>
      </w:r>
      <w:r w:rsidR="00DA0802" w:rsidRPr="00DA0802">
        <w:rPr>
          <w:rFonts w:ascii="Verdana" w:hAnsi="Verdana"/>
          <w:sz w:val="20"/>
          <w:szCs w:val="20"/>
          <w:lang w:val="es-CR"/>
        </w:rPr>
        <w:t xml:space="preserve"> en la sentencia de 30 de junio de 1995, la Cámara de Apelaciones de Mendoza </w:t>
      </w:r>
      <w:r w:rsidR="00371F36">
        <w:rPr>
          <w:rFonts w:ascii="Verdana" w:hAnsi="Verdana"/>
          <w:sz w:val="20"/>
          <w:szCs w:val="20"/>
          <w:lang w:val="es-CR"/>
        </w:rPr>
        <w:t>confirmó</w:t>
      </w:r>
      <w:r w:rsidR="00DA0802" w:rsidRPr="00DA0802">
        <w:rPr>
          <w:rFonts w:ascii="Verdana" w:hAnsi="Verdana"/>
          <w:sz w:val="20"/>
          <w:szCs w:val="20"/>
          <w:lang w:val="es-CR"/>
        </w:rPr>
        <w:t xml:space="preserve"> la resolución del Juez </w:t>
      </w:r>
      <w:r w:rsidR="00136260">
        <w:rPr>
          <w:rFonts w:ascii="Verdana" w:hAnsi="Verdana"/>
          <w:sz w:val="20"/>
          <w:szCs w:val="20"/>
          <w:lang w:val="es-CR"/>
        </w:rPr>
        <w:t xml:space="preserve">Federal </w:t>
      </w:r>
      <w:r w:rsidR="00DA0802" w:rsidRPr="00DA0802">
        <w:rPr>
          <w:rFonts w:ascii="Verdana" w:hAnsi="Verdana"/>
          <w:sz w:val="20"/>
          <w:szCs w:val="20"/>
          <w:lang w:val="es-CR"/>
        </w:rPr>
        <w:t>Subrogante</w:t>
      </w:r>
      <w:r>
        <w:rPr>
          <w:rFonts w:ascii="Verdana" w:hAnsi="Verdana"/>
          <w:sz w:val="20"/>
          <w:szCs w:val="20"/>
          <w:lang w:val="es-CR"/>
        </w:rPr>
        <w:t>.</w:t>
      </w:r>
      <w:r w:rsidR="00DA0802" w:rsidRPr="00DA0802">
        <w:rPr>
          <w:rFonts w:ascii="Verdana" w:hAnsi="Verdana"/>
          <w:sz w:val="20"/>
          <w:szCs w:val="20"/>
          <w:lang w:val="es-CR"/>
        </w:rPr>
        <w:t xml:space="preserve"> </w:t>
      </w:r>
      <w:r w:rsidR="00136260">
        <w:rPr>
          <w:rFonts w:ascii="Verdana" w:hAnsi="Verdana"/>
          <w:sz w:val="20"/>
          <w:szCs w:val="20"/>
          <w:lang w:val="es-CR"/>
        </w:rPr>
        <w:t>Dicha Cámara consideró que</w:t>
      </w:r>
      <w:r w:rsidR="00DA0802" w:rsidRPr="00DA0802">
        <w:rPr>
          <w:rFonts w:ascii="Verdana" w:hAnsi="Verdana"/>
          <w:sz w:val="20"/>
          <w:szCs w:val="20"/>
          <w:lang w:val="es-CR"/>
        </w:rPr>
        <w:t xml:space="preserve"> </w:t>
      </w:r>
      <w:r w:rsidR="00B311C8">
        <w:rPr>
          <w:rFonts w:ascii="Verdana" w:hAnsi="Verdana"/>
          <w:sz w:val="20"/>
          <w:szCs w:val="20"/>
          <w:lang w:val="es-CR"/>
        </w:rPr>
        <w:t xml:space="preserve">ninguno de los cuestionamientos de la señora Habbal “constituye motivo suficiente para declarar la nulidad de la sentencia atacada, porque en realidad la mayoría se traducen </w:t>
      </w:r>
      <w:r w:rsidR="00714D96">
        <w:rPr>
          <w:rFonts w:ascii="Verdana" w:hAnsi="Verdana"/>
          <w:sz w:val="20"/>
          <w:szCs w:val="20"/>
          <w:lang w:val="es-CR"/>
        </w:rPr>
        <w:t xml:space="preserve">en </w:t>
      </w:r>
      <w:r w:rsidR="00777DAC">
        <w:rPr>
          <w:rFonts w:ascii="Verdana" w:hAnsi="Verdana"/>
          <w:sz w:val="20"/>
          <w:szCs w:val="20"/>
          <w:lang w:val="es-CR"/>
        </w:rPr>
        <w:t>‘</w:t>
      </w:r>
      <w:r w:rsidR="00714D96">
        <w:rPr>
          <w:rFonts w:ascii="Verdana" w:hAnsi="Verdana"/>
          <w:sz w:val="20"/>
          <w:szCs w:val="20"/>
          <w:lang w:val="es-CR"/>
        </w:rPr>
        <w:t>vicios</w:t>
      </w:r>
      <w:r w:rsidR="00777DAC">
        <w:rPr>
          <w:rFonts w:ascii="Verdana" w:hAnsi="Verdana"/>
          <w:sz w:val="20"/>
          <w:szCs w:val="20"/>
          <w:lang w:val="es-CR"/>
        </w:rPr>
        <w:t xml:space="preserve"> in</w:t>
      </w:r>
      <w:r w:rsidR="00714D96">
        <w:rPr>
          <w:rFonts w:ascii="Verdana" w:hAnsi="Verdana"/>
          <w:sz w:val="20"/>
          <w:szCs w:val="20"/>
          <w:lang w:val="es-CR"/>
        </w:rPr>
        <w:t xml:space="preserve"> iudicando</w:t>
      </w:r>
      <w:r w:rsidR="00777DAC">
        <w:rPr>
          <w:rFonts w:ascii="Verdana" w:hAnsi="Verdana"/>
          <w:sz w:val="20"/>
          <w:szCs w:val="20"/>
          <w:lang w:val="es-CR"/>
        </w:rPr>
        <w:t>’</w:t>
      </w:r>
      <w:r w:rsidR="00714D96">
        <w:rPr>
          <w:rFonts w:ascii="Verdana" w:hAnsi="Verdana"/>
          <w:sz w:val="20"/>
          <w:szCs w:val="20"/>
          <w:lang w:val="es-CR"/>
        </w:rPr>
        <w:t xml:space="preserve"> que carecen de entidad como para afectar el derecho de defensa de la apelante o para descalificar </w:t>
      </w:r>
      <w:r w:rsidR="00153004">
        <w:rPr>
          <w:rFonts w:ascii="Verdana" w:hAnsi="Verdana"/>
          <w:sz w:val="20"/>
          <w:szCs w:val="20"/>
          <w:lang w:val="es-CR"/>
        </w:rPr>
        <w:t>la sentencia como acto jurisdiccional válido, pudiendo los mismos ser solucionados, en todo caso, a través del recurso de apelación”</w:t>
      </w:r>
      <w:r w:rsidR="00153004">
        <w:rPr>
          <w:rStyle w:val="Refdenotaalpie"/>
          <w:rFonts w:ascii="Verdana" w:hAnsi="Verdana"/>
          <w:sz w:val="20"/>
          <w:szCs w:val="20"/>
          <w:lang w:val="es-CR"/>
        </w:rPr>
        <w:footnoteReference w:id="144"/>
      </w:r>
      <w:r w:rsidR="00153004">
        <w:rPr>
          <w:rFonts w:ascii="Verdana" w:hAnsi="Verdana"/>
          <w:sz w:val="20"/>
          <w:szCs w:val="20"/>
          <w:lang w:val="es-CR"/>
        </w:rPr>
        <w:t xml:space="preserve">. </w:t>
      </w:r>
      <w:r w:rsidR="009879F2">
        <w:rPr>
          <w:rFonts w:ascii="Verdana" w:hAnsi="Verdana"/>
          <w:sz w:val="20"/>
          <w:szCs w:val="20"/>
          <w:lang w:val="es-CR"/>
        </w:rPr>
        <w:t>S</w:t>
      </w:r>
      <w:r w:rsidR="00DA0802" w:rsidRPr="00DA0802">
        <w:rPr>
          <w:rFonts w:ascii="Verdana" w:hAnsi="Verdana"/>
          <w:sz w:val="20"/>
          <w:szCs w:val="20"/>
          <w:lang w:val="es-CR"/>
        </w:rPr>
        <w:t xml:space="preserve">obre </w:t>
      </w:r>
      <w:r w:rsidR="008144E0">
        <w:rPr>
          <w:rFonts w:ascii="Verdana" w:hAnsi="Verdana"/>
          <w:sz w:val="20"/>
          <w:szCs w:val="20"/>
          <w:lang w:val="es-CR"/>
        </w:rPr>
        <w:t>el agravio relativo a la nulidad del emplazamiento</w:t>
      </w:r>
      <w:r w:rsidR="00DA0802" w:rsidRPr="00DA0802">
        <w:rPr>
          <w:rFonts w:ascii="Verdana" w:hAnsi="Verdana"/>
          <w:sz w:val="20"/>
          <w:szCs w:val="20"/>
          <w:lang w:val="es-CR"/>
        </w:rPr>
        <w:t>,</w:t>
      </w:r>
      <w:r w:rsidR="008144E0">
        <w:rPr>
          <w:rFonts w:ascii="Verdana" w:hAnsi="Verdana"/>
          <w:sz w:val="20"/>
          <w:szCs w:val="20"/>
          <w:lang w:val="es-CR"/>
        </w:rPr>
        <w:t xml:space="preserve"> manifestó que</w:t>
      </w:r>
      <w:r w:rsidR="006722B8">
        <w:rPr>
          <w:rFonts w:ascii="Verdana" w:hAnsi="Verdana"/>
          <w:sz w:val="20"/>
          <w:szCs w:val="20"/>
          <w:lang w:val="es-CR"/>
        </w:rPr>
        <w:t xml:space="preserve"> el recurso de nulidad “solo es procedente respecto de vicios de la sentencia, lo que no se cumple en el caso </w:t>
      </w:r>
      <w:r w:rsidR="00443CB0">
        <w:rPr>
          <w:rFonts w:ascii="Verdana" w:hAnsi="Verdana"/>
          <w:sz w:val="20"/>
          <w:szCs w:val="20"/>
          <w:lang w:val="es-CR"/>
        </w:rPr>
        <w:t>en examen, pues la deficiencia apuntada por los apelantes se remonta al inicio mismo de la causa: la notificación que debió</w:t>
      </w:r>
      <w:r w:rsidR="00096B64">
        <w:rPr>
          <w:rFonts w:ascii="Verdana" w:hAnsi="Verdana"/>
          <w:sz w:val="20"/>
          <w:szCs w:val="20"/>
          <w:lang w:val="es-CR"/>
        </w:rPr>
        <w:t xml:space="preserve"> realizarse a la Sra. Habbal de la iniciación del proceso de nulidad de la ciudadanía en el domicilio electoral”</w:t>
      </w:r>
      <w:r w:rsidR="00943D94">
        <w:rPr>
          <w:rStyle w:val="Refdenotaalpie"/>
          <w:rFonts w:ascii="Verdana" w:hAnsi="Verdana"/>
          <w:sz w:val="20"/>
          <w:szCs w:val="20"/>
          <w:lang w:val="es-CR"/>
        </w:rPr>
        <w:footnoteReference w:id="145"/>
      </w:r>
      <w:r w:rsidR="00096B64">
        <w:rPr>
          <w:rFonts w:ascii="Verdana" w:hAnsi="Verdana"/>
          <w:sz w:val="20"/>
          <w:szCs w:val="20"/>
          <w:lang w:val="es-CR"/>
        </w:rPr>
        <w:t>.</w:t>
      </w:r>
      <w:r w:rsidR="00DA0802" w:rsidRPr="00DA0802">
        <w:rPr>
          <w:rFonts w:ascii="Verdana" w:hAnsi="Verdana"/>
          <w:sz w:val="20"/>
          <w:szCs w:val="20"/>
          <w:lang w:val="es-CR"/>
        </w:rPr>
        <w:t xml:space="preserve"> </w:t>
      </w:r>
      <w:r w:rsidR="00063319">
        <w:rPr>
          <w:rFonts w:ascii="Verdana" w:hAnsi="Verdana"/>
          <w:sz w:val="20"/>
          <w:szCs w:val="20"/>
          <w:lang w:val="es-CR"/>
        </w:rPr>
        <w:t>En razón de ello, los</w:t>
      </w:r>
      <w:r w:rsidR="00DA0802" w:rsidRPr="00063319">
        <w:rPr>
          <w:rFonts w:ascii="Verdana" w:hAnsi="Verdana"/>
          <w:sz w:val="20"/>
          <w:szCs w:val="20"/>
          <w:lang w:val="es-CR"/>
        </w:rPr>
        <w:t xml:space="preserve"> </w:t>
      </w:r>
      <w:r w:rsidR="00063319">
        <w:rPr>
          <w:rFonts w:ascii="Verdana" w:hAnsi="Verdana"/>
          <w:sz w:val="20"/>
          <w:szCs w:val="20"/>
          <w:lang w:val="es-CR"/>
        </w:rPr>
        <w:t>abogados</w:t>
      </w:r>
      <w:r w:rsidR="00DA0802" w:rsidRPr="00063319">
        <w:rPr>
          <w:rFonts w:ascii="Verdana" w:hAnsi="Verdana"/>
          <w:sz w:val="20"/>
          <w:szCs w:val="20"/>
          <w:lang w:val="es-CR"/>
        </w:rPr>
        <w:t xml:space="preserve"> de la señora Habbal presentaron</w:t>
      </w:r>
      <w:r w:rsidR="00355F4F">
        <w:rPr>
          <w:rFonts w:ascii="Verdana" w:hAnsi="Verdana"/>
          <w:sz w:val="20"/>
          <w:szCs w:val="20"/>
          <w:lang w:val="es-CR"/>
        </w:rPr>
        <w:t xml:space="preserve"> un</w:t>
      </w:r>
      <w:r w:rsidR="00DA0802" w:rsidRPr="00063319">
        <w:rPr>
          <w:rFonts w:ascii="Verdana" w:hAnsi="Verdana"/>
          <w:sz w:val="20"/>
          <w:szCs w:val="20"/>
          <w:lang w:val="es-CR"/>
        </w:rPr>
        <w:t xml:space="preserve"> recurso extraordinario ante la Cámara Federal de Apelaciones. El 18 de octubre de 1995, la Cámara Federal de Apelaciones de la Provincia de Mendoza resolvió denegar el recurso extraordinario interpuesto </w:t>
      </w:r>
      <w:r w:rsidR="00355F4F">
        <w:rPr>
          <w:rFonts w:ascii="Verdana" w:hAnsi="Verdana"/>
          <w:sz w:val="20"/>
          <w:szCs w:val="20"/>
          <w:lang w:val="es-CR"/>
        </w:rPr>
        <w:t>al considerar</w:t>
      </w:r>
      <w:r w:rsidR="00DA0802" w:rsidRPr="00063319">
        <w:rPr>
          <w:rFonts w:ascii="Verdana" w:hAnsi="Verdana"/>
          <w:sz w:val="20"/>
          <w:szCs w:val="20"/>
          <w:lang w:val="es-CR"/>
        </w:rPr>
        <w:t xml:space="preserve"> que no se evidenciaba la existencia de un </w:t>
      </w:r>
      <w:r w:rsidR="00476389">
        <w:rPr>
          <w:rFonts w:ascii="Verdana" w:hAnsi="Verdana"/>
          <w:sz w:val="20"/>
          <w:szCs w:val="20"/>
          <w:lang w:val="es-CR"/>
        </w:rPr>
        <w:t>“</w:t>
      </w:r>
      <w:r w:rsidR="00DA0802" w:rsidRPr="00063319">
        <w:rPr>
          <w:rFonts w:ascii="Verdana" w:hAnsi="Verdana"/>
          <w:sz w:val="20"/>
          <w:szCs w:val="20"/>
          <w:lang w:val="es-CR"/>
        </w:rPr>
        <w:t>caso federal</w:t>
      </w:r>
      <w:r w:rsidR="00476389">
        <w:rPr>
          <w:rFonts w:ascii="Verdana" w:hAnsi="Verdana"/>
          <w:sz w:val="20"/>
          <w:szCs w:val="20"/>
          <w:lang w:val="es-CR"/>
        </w:rPr>
        <w:t>”</w:t>
      </w:r>
      <w:r w:rsidR="00DA0802" w:rsidRPr="00063319">
        <w:rPr>
          <w:rFonts w:ascii="Verdana" w:hAnsi="Verdana"/>
          <w:sz w:val="20"/>
          <w:szCs w:val="20"/>
          <w:lang w:val="es-CR"/>
        </w:rPr>
        <w:t xml:space="preserve"> aunque se cumplían con los requisitos formales del recurso.</w:t>
      </w:r>
    </w:p>
    <w:p w14:paraId="43458686" w14:textId="77777777" w:rsidR="0075410B" w:rsidRDefault="0075410B" w:rsidP="003C2B8F">
      <w:pPr>
        <w:pStyle w:val="Prrafodelista"/>
        <w:widowControl/>
        <w:spacing w:after="0" w:line="240" w:lineRule="auto"/>
        <w:ind w:left="0" w:right="18"/>
        <w:jc w:val="both"/>
        <w:rPr>
          <w:rFonts w:ascii="Verdana" w:hAnsi="Verdana"/>
          <w:sz w:val="20"/>
          <w:szCs w:val="20"/>
          <w:lang w:val="es-CR"/>
        </w:rPr>
      </w:pPr>
    </w:p>
    <w:p w14:paraId="5ADE124B" w14:textId="0149681B" w:rsidR="006A561D" w:rsidRPr="006A561D" w:rsidRDefault="00685A5E" w:rsidP="003C2B8F">
      <w:pPr>
        <w:pStyle w:val="Prrafodelista"/>
        <w:widowControl/>
        <w:numPr>
          <w:ilvl w:val="0"/>
          <w:numId w:val="28"/>
        </w:numPr>
        <w:spacing w:after="0" w:line="240" w:lineRule="auto"/>
        <w:ind w:left="0" w:right="18" w:firstLine="0"/>
        <w:jc w:val="both"/>
        <w:rPr>
          <w:rFonts w:ascii="Verdana" w:hAnsi="Verdana"/>
          <w:sz w:val="20"/>
          <w:szCs w:val="20"/>
          <w:lang w:val="es-CR"/>
        </w:rPr>
      </w:pPr>
      <w:r w:rsidRPr="0075410B">
        <w:rPr>
          <w:rFonts w:ascii="Verdana" w:hAnsi="Verdana" w:cs="Verdana"/>
          <w:bCs/>
          <w:iCs/>
          <w:sz w:val="20"/>
          <w:szCs w:val="20"/>
          <w:lang w:val="es-ES"/>
        </w:rPr>
        <w:t>En el presente caso, la</w:t>
      </w:r>
      <w:r w:rsidR="00765663" w:rsidRPr="0075410B">
        <w:rPr>
          <w:rFonts w:ascii="Verdana" w:hAnsi="Verdana" w:cs="Verdana"/>
          <w:bCs/>
          <w:iCs/>
          <w:sz w:val="20"/>
          <w:szCs w:val="20"/>
          <w:lang w:val="es-ES"/>
        </w:rPr>
        <w:t xml:space="preserve"> Corte advierte que la</w:t>
      </w:r>
      <w:r w:rsidRPr="0075410B">
        <w:rPr>
          <w:rFonts w:ascii="Verdana" w:hAnsi="Verdana" w:cs="Verdana"/>
          <w:bCs/>
          <w:iCs/>
          <w:sz w:val="20"/>
          <w:szCs w:val="20"/>
          <w:lang w:val="es-ES"/>
        </w:rPr>
        <w:t xml:space="preserve"> señora Habbal tuvo a su disposición distintos recursos judiciales para resolver sus reclamos respecto de las violaciones a sus derechos a la nacionalidad y al debido proceso. Dichos recursos fueron efectivos en tanto las autoridades judiciales que los conocieron analizaron y respondieron los alegatos presentados por la señora Habbal. En este sentido</w:t>
      </w:r>
      <w:r w:rsidRPr="0075410B">
        <w:rPr>
          <w:rFonts w:ascii="Verdana" w:hAnsi="Verdana"/>
          <w:sz w:val="20"/>
          <w:szCs w:val="20"/>
          <w:lang w:val="es-CR"/>
        </w:rPr>
        <w:t>, la Cámara Federal de Apelaciones procedió a analizar los alegatos de fondo de la presunta víctima en apelación, denegándolos con fundamento en razonamientos basados en el derecho y la jurisprudencia interna</w:t>
      </w:r>
      <w:r w:rsidR="00694715">
        <w:rPr>
          <w:rFonts w:ascii="Verdana" w:hAnsi="Verdana"/>
          <w:sz w:val="20"/>
          <w:szCs w:val="20"/>
          <w:lang w:val="es-CR"/>
        </w:rPr>
        <w:t xml:space="preserve"> sin que se adviertan omisiones de las que se desprenda un incumplimiento de las obligaciones del Estado establecidas en los artículos 8 y 25 de la Convención</w:t>
      </w:r>
      <w:r>
        <w:rPr>
          <w:rStyle w:val="Refdenotaalpie"/>
          <w:rFonts w:ascii="Verdana" w:hAnsi="Verdana"/>
          <w:sz w:val="20"/>
          <w:szCs w:val="20"/>
          <w:lang w:val="es-CR"/>
        </w:rPr>
        <w:footnoteReference w:id="146"/>
      </w:r>
      <w:r w:rsidRPr="0075410B">
        <w:rPr>
          <w:rFonts w:ascii="Verdana" w:hAnsi="Verdana"/>
          <w:sz w:val="20"/>
          <w:szCs w:val="20"/>
          <w:lang w:val="es-CR"/>
        </w:rPr>
        <w:t xml:space="preserve">. En este sentido, la Corte reitera que la efectividad de los recursos no debe ser evaluada </w:t>
      </w:r>
      <w:r w:rsidRPr="0075410B">
        <w:rPr>
          <w:rFonts w:ascii="Verdana" w:hAnsi="Verdana" w:cs="Verdana"/>
          <w:bCs/>
          <w:iCs/>
          <w:sz w:val="20"/>
          <w:szCs w:val="20"/>
          <w:lang w:val="es-ES"/>
        </w:rPr>
        <w:t>en función de que éste produzca un resultado favorable para el demandante</w:t>
      </w:r>
      <w:r w:rsidR="003E6660">
        <w:rPr>
          <w:rFonts w:ascii="Verdana" w:hAnsi="Verdana" w:cs="Verdana"/>
          <w:bCs/>
          <w:iCs/>
          <w:sz w:val="20"/>
          <w:szCs w:val="20"/>
          <w:lang w:val="es-ES"/>
        </w:rPr>
        <w:t xml:space="preserve"> (</w:t>
      </w:r>
      <w:r w:rsidR="003E6660" w:rsidRPr="003A6FC2">
        <w:rPr>
          <w:rFonts w:ascii="Verdana" w:hAnsi="Verdana" w:cs="Verdana"/>
          <w:bCs/>
          <w:i/>
          <w:sz w:val="20"/>
          <w:szCs w:val="20"/>
          <w:lang w:val="es-ES"/>
        </w:rPr>
        <w:t xml:space="preserve">supra </w:t>
      </w:r>
      <w:r w:rsidR="003E6660">
        <w:rPr>
          <w:rFonts w:ascii="Verdana" w:hAnsi="Verdana" w:cs="Verdana"/>
          <w:bCs/>
          <w:iCs/>
          <w:sz w:val="20"/>
          <w:szCs w:val="20"/>
          <w:lang w:val="es-ES"/>
        </w:rPr>
        <w:t>párr. 108)</w:t>
      </w:r>
      <w:r w:rsidRPr="0075410B">
        <w:rPr>
          <w:rFonts w:ascii="Verdana" w:hAnsi="Verdana" w:cs="Verdana"/>
          <w:bCs/>
          <w:iCs/>
          <w:sz w:val="20"/>
          <w:szCs w:val="20"/>
          <w:lang w:val="es-ES"/>
        </w:rPr>
        <w:t xml:space="preserve">. Por lo tanto, no corresponde en este caso analizar alegados errores de derecho de </w:t>
      </w:r>
      <w:r w:rsidRPr="0075410B">
        <w:rPr>
          <w:rFonts w:ascii="Verdana" w:hAnsi="Verdana" w:cs="Verdana"/>
          <w:bCs/>
          <w:iCs/>
          <w:sz w:val="20"/>
          <w:szCs w:val="20"/>
          <w:lang w:val="es-ES"/>
        </w:rPr>
        <w:lastRenderedPageBreak/>
        <w:t>las autoridades judiciales internas que resolvieron dichos recursos, en tanto su razonamiento no resulta manifiestamente arbitrario o irrazonable</w:t>
      </w:r>
      <w:r>
        <w:rPr>
          <w:rStyle w:val="Refdenotaalpie"/>
          <w:rFonts w:ascii="Verdana" w:hAnsi="Verdana" w:cs="Verdana"/>
          <w:bCs/>
          <w:iCs/>
          <w:sz w:val="20"/>
          <w:szCs w:val="20"/>
          <w:lang w:val="es-ES"/>
        </w:rPr>
        <w:footnoteReference w:id="147"/>
      </w:r>
      <w:r w:rsidRPr="0075410B">
        <w:rPr>
          <w:rFonts w:ascii="Verdana" w:hAnsi="Verdana" w:cs="Verdana"/>
          <w:bCs/>
          <w:iCs/>
          <w:sz w:val="20"/>
          <w:szCs w:val="20"/>
          <w:lang w:val="es-ES"/>
        </w:rPr>
        <w:t xml:space="preserve">. </w:t>
      </w:r>
    </w:p>
    <w:p w14:paraId="0A3780AB" w14:textId="77777777" w:rsidR="006A561D" w:rsidRPr="006A561D" w:rsidRDefault="006A561D" w:rsidP="006A561D">
      <w:pPr>
        <w:rPr>
          <w:rFonts w:ascii="Verdana" w:hAnsi="Verdana" w:cs="Verdana"/>
          <w:bCs/>
          <w:iCs/>
          <w:sz w:val="20"/>
          <w:szCs w:val="20"/>
          <w:lang w:val="es-ES"/>
        </w:rPr>
      </w:pPr>
    </w:p>
    <w:p w14:paraId="31C79023" w14:textId="3BD116A1" w:rsidR="003E1629" w:rsidRPr="00612F9D" w:rsidRDefault="00685A5E" w:rsidP="00612F9D">
      <w:pPr>
        <w:pStyle w:val="Prrafodelista"/>
        <w:widowControl/>
        <w:numPr>
          <w:ilvl w:val="0"/>
          <w:numId w:val="28"/>
        </w:numPr>
        <w:spacing w:after="0" w:line="240" w:lineRule="auto"/>
        <w:ind w:left="0" w:right="18" w:firstLine="0"/>
        <w:jc w:val="both"/>
        <w:rPr>
          <w:rFonts w:ascii="Verdana" w:hAnsi="Verdana"/>
          <w:sz w:val="20"/>
          <w:szCs w:val="20"/>
          <w:lang w:val="es-CR"/>
        </w:rPr>
      </w:pPr>
      <w:r w:rsidRPr="0075410B">
        <w:rPr>
          <w:rFonts w:ascii="Verdana" w:hAnsi="Verdana" w:cs="Verdana"/>
          <w:bCs/>
          <w:iCs/>
          <w:sz w:val="20"/>
          <w:szCs w:val="20"/>
          <w:lang w:val="es-ES"/>
        </w:rPr>
        <w:t xml:space="preserve">En consecuencia, este Tribunal considera que el Estado no ha violado </w:t>
      </w:r>
      <w:r w:rsidRPr="0075410B">
        <w:rPr>
          <w:rFonts w:ascii="Verdana" w:hAnsi="Verdana"/>
          <w:sz w:val="20"/>
          <w:szCs w:val="20"/>
          <w:lang w:val="es-CR"/>
        </w:rPr>
        <w:t>el derecho a la protección judicial consagrado en el artículo 25.1 de la Convención, en relación con el artículo 1.1 del mismo instrumento, en perjuicio de la señora Raghda Habbal</w:t>
      </w:r>
      <w:r w:rsidR="00CB5CC9">
        <w:rPr>
          <w:rFonts w:ascii="Verdana" w:hAnsi="Verdana"/>
          <w:sz w:val="20"/>
          <w:szCs w:val="20"/>
          <w:lang w:val="es-CR"/>
        </w:rPr>
        <w:t xml:space="preserve"> y sus hijas</w:t>
      </w:r>
      <w:r w:rsidRPr="0075410B">
        <w:rPr>
          <w:rFonts w:ascii="Verdana" w:hAnsi="Verdana"/>
          <w:sz w:val="20"/>
          <w:szCs w:val="20"/>
          <w:lang w:val="es-CR"/>
        </w:rPr>
        <w:t>.</w:t>
      </w:r>
    </w:p>
    <w:p w14:paraId="3FD39E7E" w14:textId="77777777" w:rsidR="002909C8" w:rsidRPr="008A12F5" w:rsidRDefault="002909C8" w:rsidP="004330E3">
      <w:pPr>
        <w:rPr>
          <w:rFonts w:ascii="Verdana" w:hAnsi="Verdana"/>
          <w:sz w:val="20"/>
          <w:szCs w:val="20"/>
          <w:highlight w:val="yellow"/>
          <w:lang w:val="es-CO"/>
        </w:rPr>
      </w:pPr>
    </w:p>
    <w:p w14:paraId="09430E52" w14:textId="3D182B09" w:rsidR="00095114" w:rsidRPr="00147EAD" w:rsidRDefault="005E5BD5" w:rsidP="004330E3">
      <w:pPr>
        <w:pStyle w:val="Ttulo1"/>
      </w:pPr>
      <w:bookmarkStart w:id="69" w:name="_Toc88058675"/>
      <w:bookmarkStart w:id="70" w:name="_Toc115167446"/>
      <w:r>
        <w:t>VIII</w:t>
      </w:r>
      <w:r w:rsidR="00123A20" w:rsidRPr="00147EAD">
        <w:rPr>
          <w:lang w:eastAsia="es-CR"/>
        </w:rPr>
        <w:br/>
      </w:r>
      <w:r w:rsidR="00123A20" w:rsidRPr="00147EAD">
        <w:t>PUNTOS RESOLUTIVOS</w:t>
      </w:r>
      <w:bookmarkEnd w:id="69"/>
      <w:bookmarkEnd w:id="70"/>
    </w:p>
    <w:p w14:paraId="6C892638" w14:textId="77777777" w:rsidR="00095114" w:rsidRPr="008A12F5" w:rsidRDefault="00095114" w:rsidP="004330E3">
      <w:pPr>
        <w:pStyle w:val="Textoindependiente"/>
        <w:spacing w:line="240" w:lineRule="auto"/>
        <w:rPr>
          <w:b/>
          <w:sz w:val="19"/>
          <w:highlight w:val="yellow"/>
        </w:rPr>
      </w:pPr>
    </w:p>
    <w:p w14:paraId="313EA2D9" w14:textId="71272C83" w:rsidR="00123A20" w:rsidRPr="00096912" w:rsidRDefault="009E7F6B" w:rsidP="004330E3">
      <w:pPr>
        <w:pStyle w:val="Prrafodelista"/>
        <w:tabs>
          <w:tab w:val="left" w:pos="685"/>
        </w:tabs>
        <w:autoSpaceDE w:val="0"/>
        <w:autoSpaceDN w:val="0"/>
        <w:spacing w:after="0" w:line="240" w:lineRule="auto"/>
        <w:ind w:left="0" w:right="7959"/>
        <w:contextualSpacing w:val="0"/>
        <w:rPr>
          <w:rFonts w:ascii="Verdana" w:hAnsi="Verdana"/>
          <w:sz w:val="20"/>
          <w:szCs w:val="20"/>
          <w:lang w:val="es-ES_tradnl"/>
        </w:rPr>
      </w:pPr>
      <w:r>
        <w:rPr>
          <w:rFonts w:ascii="Verdana" w:hAnsi="Verdana"/>
          <w:sz w:val="20"/>
          <w:szCs w:val="20"/>
          <w:lang w:val="es-ES_tradnl"/>
        </w:rPr>
        <w:t>115</w:t>
      </w:r>
      <w:r w:rsidR="00123A20" w:rsidRPr="00096912">
        <w:rPr>
          <w:rFonts w:ascii="Verdana" w:hAnsi="Verdana"/>
          <w:sz w:val="20"/>
          <w:szCs w:val="20"/>
          <w:lang w:val="es-ES_tradnl"/>
        </w:rPr>
        <w:t xml:space="preserve">. </w:t>
      </w:r>
      <w:r w:rsidR="00095114" w:rsidRPr="00096912">
        <w:rPr>
          <w:rFonts w:ascii="Verdana" w:hAnsi="Verdana"/>
          <w:sz w:val="20"/>
          <w:szCs w:val="20"/>
          <w:lang w:val="es-ES_tradnl"/>
        </w:rPr>
        <w:t>Por</w:t>
      </w:r>
      <w:r w:rsidR="00095114" w:rsidRPr="00096912">
        <w:rPr>
          <w:rFonts w:ascii="Verdana" w:hAnsi="Verdana"/>
          <w:spacing w:val="-13"/>
          <w:sz w:val="20"/>
          <w:szCs w:val="20"/>
          <w:lang w:val="es-ES_tradnl"/>
        </w:rPr>
        <w:t xml:space="preserve"> </w:t>
      </w:r>
      <w:r w:rsidR="00095114" w:rsidRPr="00096912">
        <w:rPr>
          <w:rFonts w:ascii="Verdana" w:hAnsi="Verdana"/>
          <w:sz w:val="20"/>
          <w:szCs w:val="20"/>
          <w:lang w:val="es-ES_tradnl"/>
        </w:rPr>
        <w:t xml:space="preserve">tanto, </w:t>
      </w:r>
    </w:p>
    <w:p w14:paraId="15098E8C" w14:textId="77777777" w:rsidR="00123A20" w:rsidRPr="00096912" w:rsidRDefault="00123A20" w:rsidP="004330E3">
      <w:pPr>
        <w:pStyle w:val="Prrafodelista"/>
        <w:tabs>
          <w:tab w:val="left" w:pos="685"/>
        </w:tabs>
        <w:autoSpaceDE w:val="0"/>
        <w:autoSpaceDN w:val="0"/>
        <w:spacing w:after="0" w:line="240" w:lineRule="auto"/>
        <w:ind w:left="0" w:right="7959"/>
        <w:contextualSpacing w:val="0"/>
        <w:rPr>
          <w:rFonts w:ascii="Verdana" w:hAnsi="Verdana"/>
          <w:sz w:val="20"/>
          <w:szCs w:val="20"/>
          <w:lang w:val="es-ES_tradnl"/>
        </w:rPr>
      </w:pPr>
    </w:p>
    <w:p w14:paraId="4242621F" w14:textId="77777777" w:rsidR="00123A20" w:rsidRPr="00096912" w:rsidRDefault="00095114" w:rsidP="004330E3">
      <w:pPr>
        <w:pStyle w:val="Prrafodelista"/>
        <w:tabs>
          <w:tab w:val="left" w:pos="685"/>
        </w:tabs>
        <w:autoSpaceDE w:val="0"/>
        <w:autoSpaceDN w:val="0"/>
        <w:spacing w:after="0" w:line="240" w:lineRule="auto"/>
        <w:ind w:left="0" w:right="7959"/>
        <w:contextualSpacing w:val="0"/>
        <w:rPr>
          <w:rFonts w:ascii="Verdana" w:hAnsi="Verdana"/>
          <w:b/>
          <w:sz w:val="20"/>
          <w:szCs w:val="20"/>
          <w:lang w:val="es-ES_tradnl"/>
        </w:rPr>
      </w:pPr>
      <w:r w:rsidRPr="00096912">
        <w:rPr>
          <w:rFonts w:ascii="Verdana" w:hAnsi="Verdana"/>
          <w:b/>
          <w:sz w:val="20"/>
          <w:szCs w:val="20"/>
          <w:lang w:val="es-ES_tradnl"/>
        </w:rPr>
        <w:t xml:space="preserve">LA CORTE </w:t>
      </w:r>
    </w:p>
    <w:p w14:paraId="556E093B" w14:textId="77777777" w:rsidR="00123A20" w:rsidRPr="00096912" w:rsidRDefault="00123A20" w:rsidP="004330E3">
      <w:pPr>
        <w:pStyle w:val="Prrafodelista"/>
        <w:tabs>
          <w:tab w:val="left" w:pos="685"/>
        </w:tabs>
        <w:autoSpaceDE w:val="0"/>
        <w:autoSpaceDN w:val="0"/>
        <w:spacing w:after="0" w:line="240" w:lineRule="auto"/>
        <w:ind w:left="0" w:right="7959"/>
        <w:contextualSpacing w:val="0"/>
        <w:rPr>
          <w:rFonts w:ascii="Verdana" w:hAnsi="Verdana"/>
          <w:b/>
          <w:sz w:val="20"/>
          <w:szCs w:val="20"/>
          <w:lang w:val="es-ES_tradnl"/>
        </w:rPr>
      </w:pPr>
    </w:p>
    <w:p w14:paraId="648C28A7" w14:textId="01C09DB0" w:rsidR="00095114" w:rsidRPr="00096912" w:rsidRDefault="00095114" w:rsidP="004330E3">
      <w:pPr>
        <w:pStyle w:val="Prrafodelista"/>
        <w:tabs>
          <w:tab w:val="left" w:pos="685"/>
        </w:tabs>
        <w:autoSpaceDE w:val="0"/>
        <w:autoSpaceDN w:val="0"/>
        <w:spacing w:after="0" w:line="240" w:lineRule="auto"/>
        <w:ind w:left="0" w:right="7959"/>
        <w:contextualSpacing w:val="0"/>
        <w:rPr>
          <w:rFonts w:ascii="Verdana" w:hAnsi="Verdana"/>
          <w:b/>
          <w:sz w:val="20"/>
          <w:szCs w:val="20"/>
          <w:lang w:val="es-ES_tradnl"/>
        </w:rPr>
      </w:pPr>
      <w:r w:rsidRPr="00096912">
        <w:rPr>
          <w:rFonts w:ascii="Verdana" w:hAnsi="Verdana"/>
          <w:b/>
          <w:sz w:val="20"/>
          <w:szCs w:val="20"/>
          <w:lang w:val="es-ES_tradnl"/>
        </w:rPr>
        <w:t>DECIDE,</w:t>
      </w:r>
    </w:p>
    <w:p w14:paraId="7F4159C6" w14:textId="77777777" w:rsidR="00123A20" w:rsidRPr="00096912" w:rsidRDefault="00123A20" w:rsidP="004330E3">
      <w:pPr>
        <w:pStyle w:val="Textoindependiente"/>
        <w:spacing w:line="240" w:lineRule="auto"/>
      </w:pPr>
    </w:p>
    <w:p w14:paraId="700087AD" w14:textId="00213AE6" w:rsidR="00095114" w:rsidRPr="00CE3B8F" w:rsidRDefault="00095114" w:rsidP="004330E3">
      <w:pPr>
        <w:pStyle w:val="Textoindependiente"/>
        <w:spacing w:line="240" w:lineRule="auto"/>
      </w:pPr>
      <w:r w:rsidRPr="00CE3B8F">
        <w:t xml:space="preserve">Por </w:t>
      </w:r>
      <w:r w:rsidR="00293CD2">
        <w:t>unanimidad</w:t>
      </w:r>
      <w:r w:rsidRPr="00CE3B8F">
        <w:t>:</w:t>
      </w:r>
    </w:p>
    <w:p w14:paraId="5F61DF19" w14:textId="77777777" w:rsidR="00095114" w:rsidRPr="00CE3B8F" w:rsidRDefault="00095114" w:rsidP="004330E3">
      <w:pPr>
        <w:pStyle w:val="Textoindependiente"/>
        <w:spacing w:line="240" w:lineRule="auto"/>
      </w:pPr>
    </w:p>
    <w:p w14:paraId="48B8A79C" w14:textId="02F5E69F" w:rsidR="00095114" w:rsidRPr="00CE3B8F" w:rsidRDefault="00095114" w:rsidP="004330E3">
      <w:pPr>
        <w:pStyle w:val="Prrafodelista"/>
        <w:numPr>
          <w:ilvl w:val="0"/>
          <w:numId w:val="12"/>
        </w:numPr>
        <w:tabs>
          <w:tab w:val="left" w:pos="685"/>
        </w:tabs>
        <w:autoSpaceDE w:val="0"/>
        <w:autoSpaceDN w:val="0"/>
        <w:spacing w:after="0" w:line="240" w:lineRule="auto"/>
        <w:ind w:left="0" w:right="116" w:firstLine="0"/>
        <w:contextualSpacing w:val="0"/>
        <w:jc w:val="both"/>
        <w:rPr>
          <w:rFonts w:ascii="Verdana" w:hAnsi="Verdana"/>
          <w:sz w:val="20"/>
          <w:szCs w:val="20"/>
          <w:lang w:val="es-ES_tradnl"/>
        </w:rPr>
      </w:pPr>
      <w:r w:rsidRPr="00CE3B8F">
        <w:rPr>
          <w:rFonts w:ascii="Verdana" w:hAnsi="Verdana"/>
          <w:sz w:val="20"/>
          <w:szCs w:val="20"/>
          <w:lang w:val="es-ES_tradnl"/>
        </w:rPr>
        <w:t>Desestimar</w:t>
      </w:r>
      <w:r w:rsidRPr="00CE3B8F">
        <w:rPr>
          <w:rFonts w:ascii="Verdana" w:hAnsi="Verdana"/>
          <w:spacing w:val="-11"/>
          <w:sz w:val="20"/>
          <w:szCs w:val="20"/>
          <w:lang w:val="es-ES_tradnl"/>
        </w:rPr>
        <w:t xml:space="preserve"> </w:t>
      </w:r>
      <w:r w:rsidRPr="00CE3B8F">
        <w:rPr>
          <w:rFonts w:ascii="Verdana" w:hAnsi="Verdana"/>
          <w:sz w:val="20"/>
          <w:szCs w:val="20"/>
          <w:lang w:val="es-ES_tradnl"/>
        </w:rPr>
        <w:t>la</w:t>
      </w:r>
      <w:r w:rsidRPr="00CE3B8F">
        <w:rPr>
          <w:rFonts w:ascii="Verdana" w:hAnsi="Verdana"/>
          <w:spacing w:val="-9"/>
          <w:sz w:val="20"/>
          <w:szCs w:val="20"/>
          <w:lang w:val="es-ES_tradnl"/>
        </w:rPr>
        <w:t xml:space="preserve"> </w:t>
      </w:r>
      <w:r w:rsidRPr="00CE3B8F">
        <w:rPr>
          <w:rFonts w:ascii="Verdana" w:hAnsi="Verdana"/>
          <w:sz w:val="20"/>
          <w:szCs w:val="20"/>
          <w:lang w:val="es-ES_tradnl"/>
        </w:rPr>
        <w:t>excepción</w:t>
      </w:r>
      <w:r w:rsidRPr="00CE3B8F">
        <w:rPr>
          <w:rFonts w:ascii="Verdana" w:hAnsi="Verdana"/>
          <w:spacing w:val="-5"/>
          <w:sz w:val="20"/>
          <w:szCs w:val="20"/>
          <w:lang w:val="es-ES_tradnl"/>
        </w:rPr>
        <w:t xml:space="preserve"> </w:t>
      </w:r>
      <w:r w:rsidRPr="00CE3B8F">
        <w:rPr>
          <w:rFonts w:ascii="Verdana" w:hAnsi="Verdana"/>
          <w:sz w:val="20"/>
          <w:szCs w:val="20"/>
          <w:lang w:val="es-ES_tradnl"/>
        </w:rPr>
        <w:t>preliminar</w:t>
      </w:r>
      <w:r w:rsidRPr="00CE3B8F">
        <w:rPr>
          <w:rFonts w:ascii="Verdana" w:hAnsi="Verdana"/>
          <w:spacing w:val="-10"/>
          <w:sz w:val="20"/>
          <w:szCs w:val="20"/>
          <w:lang w:val="es-ES_tradnl"/>
        </w:rPr>
        <w:t xml:space="preserve"> </w:t>
      </w:r>
      <w:r w:rsidR="00123A20" w:rsidRPr="00CE3B8F">
        <w:rPr>
          <w:rFonts w:ascii="Verdana" w:hAnsi="Verdana"/>
          <w:sz w:val="20"/>
          <w:szCs w:val="20"/>
          <w:lang w:val="es-ES_tradnl"/>
        </w:rPr>
        <w:t xml:space="preserve">por </w:t>
      </w:r>
      <w:r w:rsidR="002B5665" w:rsidRPr="00CE3B8F">
        <w:rPr>
          <w:rFonts w:ascii="Verdana" w:hAnsi="Verdana"/>
          <w:sz w:val="20"/>
          <w:szCs w:val="20"/>
          <w:lang w:val="es-ES_tradnl"/>
        </w:rPr>
        <w:t xml:space="preserve">la ausencia de participación de las </w:t>
      </w:r>
      <w:r w:rsidR="008136B4">
        <w:rPr>
          <w:rFonts w:ascii="Verdana" w:hAnsi="Verdana"/>
          <w:sz w:val="20"/>
          <w:szCs w:val="20"/>
          <w:lang w:val="es-ES_tradnl"/>
        </w:rPr>
        <w:t xml:space="preserve">presuntas </w:t>
      </w:r>
      <w:r w:rsidR="002B5665" w:rsidRPr="00CE3B8F">
        <w:rPr>
          <w:rFonts w:ascii="Verdana" w:hAnsi="Verdana"/>
          <w:sz w:val="20"/>
          <w:szCs w:val="20"/>
          <w:lang w:val="es-ES_tradnl"/>
        </w:rPr>
        <w:t>víctimas en el proceso</w:t>
      </w:r>
      <w:r w:rsidRPr="00CE3B8F">
        <w:rPr>
          <w:rFonts w:ascii="Verdana" w:hAnsi="Verdana"/>
          <w:sz w:val="20"/>
          <w:szCs w:val="20"/>
          <w:lang w:val="es-ES_tradnl"/>
        </w:rPr>
        <w:t>,</w:t>
      </w:r>
      <w:r w:rsidRPr="00CE3B8F">
        <w:rPr>
          <w:rFonts w:ascii="Verdana" w:hAnsi="Verdana"/>
          <w:spacing w:val="-6"/>
          <w:sz w:val="20"/>
          <w:szCs w:val="20"/>
          <w:lang w:val="es-ES_tradnl"/>
        </w:rPr>
        <w:t xml:space="preserve"> </w:t>
      </w:r>
      <w:r w:rsidRPr="00CE3B8F">
        <w:rPr>
          <w:rFonts w:ascii="Verdana" w:hAnsi="Verdana"/>
          <w:sz w:val="20"/>
          <w:szCs w:val="20"/>
          <w:lang w:val="es-ES_tradnl"/>
        </w:rPr>
        <w:t>de</w:t>
      </w:r>
      <w:r w:rsidRPr="00CE3B8F">
        <w:rPr>
          <w:rFonts w:ascii="Verdana" w:hAnsi="Verdana"/>
          <w:spacing w:val="-7"/>
          <w:sz w:val="20"/>
          <w:szCs w:val="20"/>
          <w:lang w:val="es-ES_tradnl"/>
        </w:rPr>
        <w:t xml:space="preserve"> </w:t>
      </w:r>
      <w:r w:rsidRPr="00CE3B8F">
        <w:rPr>
          <w:rFonts w:ascii="Verdana" w:hAnsi="Verdana"/>
          <w:sz w:val="20"/>
          <w:szCs w:val="20"/>
          <w:lang w:val="es-ES_tradnl"/>
        </w:rPr>
        <w:t>conformidad</w:t>
      </w:r>
      <w:r w:rsidRPr="00CE3B8F">
        <w:rPr>
          <w:rFonts w:ascii="Verdana" w:hAnsi="Verdana"/>
          <w:spacing w:val="-4"/>
          <w:sz w:val="20"/>
          <w:szCs w:val="20"/>
          <w:lang w:val="es-ES_tradnl"/>
        </w:rPr>
        <w:t xml:space="preserve"> </w:t>
      </w:r>
      <w:r w:rsidRPr="00CE3B8F">
        <w:rPr>
          <w:rFonts w:ascii="Verdana" w:hAnsi="Verdana"/>
          <w:sz w:val="20"/>
          <w:szCs w:val="20"/>
          <w:lang w:val="es-ES_tradnl"/>
        </w:rPr>
        <w:t>con</w:t>
      </w:r>
      <w:r w:rsidRPr="00CE3B8F">
        <w:rPr>
          <w:rFonts w:ascii="Verdana" w:hAnsi="Verdana"/>
          <w:spacing w:val="-4"/>
          <w:sz w:val="20"/>
          <w:szCs w:val="20"/>
          <w:lang w:val="es-ES_tradnl"/>
        </w:rPr>
        <w:t xml:space="preserve"> </w:t>
      </w:r>
      <w:r w:rsidRPr="00CE3B8F">
        <w:rPr>
          <w:rFonts w:ascii="Verdana" w:hAnsi="Verdana"/>
          <w:sz w:val="20"/>
          <w:szCs w:val="20"/>
          <w:lang w:val="es-ES_tradnl"/>
        </w:rPr>
        <w:t>los</w:t>
      </w:r>
      <w:r w:rsidRPr="00CE3B8F">
        <w:rPr>
          <w:rFonts w:ascii="Verdana" w:hAnsi="Verdana"/>
          <w:spacing w:val="-6"/>
          <w:sz w:val="20"/>
          <w:szCs w:val="20"/>
          <w:lang w:val="es-ES_tradnl"/>
        </w:rPr>
        <w:t xml:space="preserve"> </w:t>
      </w:r>
      <w:r w:rsidRPr="00CE3B8F">
        <w:rPr>
          <w:rFonts w:ascii="Verdana" w:hAnsi="Verdana"/>
          <w:sz w:val="20"/>
          <w:szCs w:val="20"/>
          <w:lang w:val="es-ES_tradnl"/>
        </w:rPr>
        <w:t>párrafos</w:t>
      </w:r>
      <w:r w:rsidRPr="00CE3B8F">
        <w:rPr>
          <w:rFonts w:ascii="Verdana" w:hAnsi="Verdana"/>
          <w:spacing w:val="-6"/>
          <w:sz w:val="20"/>
          <w:szCs w:val="20"/>
          <w:lang w:val="es-ES_tradnl"/>
        </w:rPr>
        <w:t xml:space="preserve"> </w:t>
      </w:r>
      <w:r w:rsidR="002E5D3C">
        <w:rPr>
          <w:rFonts w:ascii="Verdana" w:hAnsi="Verdana"/>
          <w:sz w:val="20"/>
          <w:szCs w:val="20"/>
          <w:lang w:val="es-ES_tradnl"/>
        </w:rPr>
        <w:t>21</w:t>
      </w:r>
      <w:r w:rsidRPr="00CE3B8F">
        <w:rPr>
          <w:rFonts w:ascii="Verdana" w:hAnsi="Verdana"/>
          <w:spacing w:val="-5"/>
          <w:sz w:val="20"/>
          <w:szCs w:val="20"/>
          <w:lang w:val="es-ES_tradnl"/>
        </w:rPr>
        <w:t xml:space="preserve"> </w:t>
      </w:r>
      <w:r w:rsidRPr="00CE3B8F">
        <w:rPr>
          <w:rFonts w:ascii="Verdana" w:hAnsi="Verdana"/>
          <w:sz w:val="20"/>
          <w:szCs w:val="20"/>
          <w:lang w:val="es-ES_tradnl"/>
        </w:rPr>
        <w:t>a</w:t>
      </w:r>
      <w:r w:rsidRPr="00CE3B8F">
        <w:rPr>
          <w:rFonts w:ascii="Verdana" w:hAnsi="Verdana"/>
          <w:spacing w:val="-4"/>
          <w:sz w:val="20"/>
          <w:szCs w:val="20"/>
          <w:lang w:val="es-ES_tradnl"/>
        </w:rPr>
        <w:t xml:space="preserve"> </w:t>
      </w:r>
      <w:r w:rsidR="002E5D3C">
        <w:rPr>
          <w:rFonts w:ascii="Verdana" w:hAnsi="Verdana"/>
          <w:sz w:val="20"/>
          <w:szCs w:val="20"/>
          <w:lang w:val="es-ES_tradnl"/>
        </w:rPr>
        <w:t>2</w:t>
      </w:r>
      <w:r w:rsidR="006A27B4">
        <w:rPr>
          <w:rFonts w:ascii="Verdana" w:hAnsi="Verdana"/>
          <w:sz w:val="20"/>
          <w:szCs w:val="20"/>
          <w:lang w:val="es-ES_tradnl"/>
        </w:rPr>
        <w:t>4</w:t>
      </w:r>
      <w:r w:rsidRPr="00CE3B8F">
        <w:rPr>
          <w:rFonts w:ascii="Verdana" w:hAnsi="Verdana"/>
          <w:spacing w:val="-5"/>
          <w:sz w:val="20"/>
          <w:szCs w:val="20"/>
          <w:lang w:val="es-ES_tradnl"/>
        </w:rPr>
        <w:t xml:space="preserve"> </w:t>
      </w:r>
      <w:r w:rsidRPr="00CE3B8F">
        <w:rPr>
          <w:rFonts w:ascii="Verdana" w:hAnsi="Verdana"/>
          <w:sz w:val="20"/>
          <w:szCs w:val="20"/>
          <w:lang w:val="es-ES_tradnl"/>
        </w:rPr>
        <w:t>de esta</w:t>
      </w:r>
      <w:r w:rsidRPr="00CE3B8F">
        <w:rPr>
          <w:rFonts w:ascii="Verdana" w:hAnsi="Verdana"/>
          <w:spacing w:val="-2"/>
          <w:sz w:val="20"/>
          <w:szCs w:val="20"/>
          <w:lang w:val="es-ES_tradnl"/>
        </w:rPr>
        <w:t xml:space="preserve"> </w:t>
      </w:r>
      <w:r w:rsidRPr="00CE3B8F">
        <w:rPr>
          <w:rFonts w:ascii="Verdana" w:hAnsi="Verdana"/>
          <w:sz w:val="20"/>
          <w:szCs w:val="20"/>
          <w:lang w:val="es-ES_tradnl"/>
        </w:rPr>
        <w:t>Sentencia.</w:t>
      </w:r>
    </w:p>
    <w:p w14:paraId="6F02EA3B" w14:textId="77777777" w:rsidR="00095114" w:rsidRPr="00CE3B8F" w:rsidRDefault="00095114" w:rsidP="004330E3">
      <w:pPr>
        <w:pStyle w:val="Textoindependiente"/>
        <w:spacing w:line="240" w:lineRule="auto"/>
      </w:pPr>
    </w:p>
    <w:p w14:paraId="5DE0BC1D" w14:textId="0A3E4A82" w:rsidR="00095114" w:rsidRPr="00CE3B8F" w:rsidRDefault="00095114" w:rsidP="004330E3">
      <w:pPr>
        <w:pStyle w:val="Prrafodelista"/>
        <w:numPr>
          <w:ilvl w:val="0"/>
          <w:numId w:val="12"/>
        </w:numPr>
        <w:tabs>
          <w:tab w:val="left" w:pos="684"/>
        </w:tabs>
        <w:autoSpaceDE w:val="0"/>
        <w:autoSpaceDN w:val="0"/>
        <w:spacing w:after="0" w:line="240" w:lineRule="auto"/>
        <w:ind w:left="0" w:right="117" w:firstLine="0"/>
        <w:contextualSpacing w:val="0"/>
        <w:jc w:val="both"/>
        <w:rPr>
          <w:rFonts w:ascii="Verdana" w:hAnsi="Verdana"/>
          <w:sz w:val="20"/>
          <w:szCs w:val="20"/>
          <w:lang w:val="es-ES_tradnl"/>
        </w:rPr>
      </w:pPr>
      <w:r w:rsidRPr="00CE3B8F">
        <w:rPr>
          <w:rFonts w:ascii="Verdana" w:hAnsi="Verdana"/>
          <w:sz w:val="20"/>
          <w:szCs w:val="20"/>
          <w:lang w:val="es-ES_tradnl"/>
        </w:rPr>
        <w:t>Desestimar</w:t>
      </w:r>
      <w:r w:rsidRPr="00CE3B8F">
        <w:rPr>
          <w:rFonts w:ascii="Verdana" w:hAnsi="Verdana"/>
          <w:spacing w:val="-12"/>
          <w:sz w:val="20"/>
          <w:szCs w:val="20"/>
          <w:lang w:val="es-ES_tradnl"/>
        </w:rPr>
        <w:t xml:space="preserve"> </w:t>
      </w:r>
      <w:r w:rsidRPr="00CE3B8F">
        <w:rPr>
          <w:rFonts w:ascii="Verdana" w:hAnsi="Verdana"/>
          <w:sz w:val="20"/>
          <w:szCs w:val="20"/>
          <w:lang w:val="es-ES_tradnl"/>
        </w:rPr>
        <w:t>la</w:t>
      </w:r>
      <w:r w:rsidRPr="00CE3B8F">
        <w:rPr>
          <w:rFonts w:ascii="Verdana" w:hAnsi="Verdana"/>
          <w:spacing w:val="-7"/>
          <w:sz w:val="20"/>
          <w:szCs w:val="20"/>
          <w:lang w:val="es-ES_tradnl"/>
        </w:rPr>
        <w:t xml:space="preserve"> </w:t>
      </w:r>
      <w:r w:rsidRPr="00CE3B8F">
        <w:rPr>
          <w:rFonts w:ascii="Verdana" w:hAnsi="Verdana"/>
          <w:sz w:val="20"/>
          <w:szCs w:val="20"/>
          <w:lang w:val="es-ES_tradnl"/>
        </w:rPr>
        <w:t>excepción</w:t>
      </w:r>
      <w:r w:rsidRPr="00CE3B8F">
        <w:rPr>
          <w:rFonts w:ascii="Verdana" w:hAnsi="Verdana"/>
          <w:spacing w:val="-6"/>
          <w:sz w:val="20"/>
          <w:szCs w:val="20"/>
          <w:lang w:val="es-ES_tradnl"/>
        </w:rPr>
        <w:t xml:space="preserve"> </w:t>
      </w:r>
      <w:r w:rsidRPr="00CE3B8F">
        <w:rPr>
          <w:rFonts w:ascii="Verdana" w:hAnsi="Verdana"/>
          <w:sz w:val="20"/>
          <w:szCs w:val="20"/>
          <w:lang w:val="es-ES_tradnl"/>
        </w:rPr>
        <w:t>preliminar</w:t>
      </w:r>
      <w:r w:rsidRPr="00CE3B8F">
        <w:rPr>
          <w:rFonts w:ascii="Verdana" w:hAnsi="Verdana"/>
          <w:spacing w:val="-10"/>
          <w:sz w:val="20"/>
          <w:szCs w:val="20"/>
          <w:lang w:val="es-ES_tradnl"/>
        </w:rPr>
        <w:t xml:space="preserve"> </w:t>
      </w:r>
      <w:r w:rsidRPr="00CE3B8F">
        <w:rPr>
          <w:rFonts w:ascii="Verdana" w:hAnsi="Verdana"/>
          <w:sz w:val="20"/>
          <w:szCs w:val="20"/>
          <w:lang w:val="es-ES_tradnl"/>
        </w:rPr>
        <w:t>relativa</w:t>
      </w:r>
      <w:r w:rsidRPr="00CE3B8F">
        <w:rPr>
          <w:rFonts w:ascii="Verdana" w:hAnsi="Verdana"/>
          <w:spacing w:val="-10"/>
          <w:sz w:val="20"/>
          <w:szCs w:val="20"/>
          <w:lang w:val="es-ES_tradnl"/>
        </w:rPr>
        <w:t xml:space="preserve"> </w:t>
      </w:r>
      <w:r w:rsidR="002B5665" w:rsidRPr="00CE3B8F">
        <w:rPr>
          <w:rFonts w:ascii="Verdana" w:hAnsi="Verdana"/>
          <w:sz w:val="20"/>
          <w:szCs w:val="20"/>
          <w:lang w:val="es-ES_tradnl"/>
        </w:rPr>
        <w:t>al carácter abstracto, hipotético-conjetural</w:t>
      </w:r>
      <w:r w:rsidR="00CE3B8F" w:rsidRPr="00CE3B8F">
        <w:rPr>
          <w:rFonts w:ascii="Verdana" w:hAnsi="Verdana"/>
          <w:sz w:val="20"/>
          <w:szCs w:val="20"/>
          <w:lang w:val="es-CR" w:eastAsia="es-CR"/>
        </w:rPr>
        <w:t xml:space="preserve"> y/o insubsistente de las violaciones a los derechos alegadas</w:t>
      </w:r>
      <w:r w:rsidRPr="00CE3B8F">
        <w:rPr>
          <w:rFonts w:ascii="Verdana" w:hAnsi="Verdana"/>
          <w:sz w:val="20"/>
          <w:szCs w:val="20"/>
          <w:lang w:val="es-ES_tradnl"/>
        </w:rPr>
        <w:t xml:space="preserve">, de conformidad con los párrafos </w:t>
      </w:r>
      <w:r w:rsidR="002E5D3C">
        <w:rPr>
          <w:rFonts w:ascii="Verdana" w:hAnsi="Verdana"/>
          <w:sz w:val="20"/>
          <w:szCs w:val="20"/>
          <w:lang w:val="es-ES_tradnl"/>
        </w:rPr>
        <w:t>21</w:t>
      </w:r>
      <w:r w:rsidRPr="00CE3B8F">
        <w:rPr>
          <w:rFonts w:ascii="Verdana" w:hAnsi="Verdana"/>
          <w:sz w:val="20"/>
          <w:szCs w:val="20"/>
          <w:lang w:val="es-ES_tradnl"/>
        </w:rPr>
        <w:t xml:space="preserve"> </w:t>
      </w:r>
      <w:r w:rsidR="006A27B4">
        <w:rPr>
          <w:rFonts w:ascii="Verdana" w:hAnsi="Verdana"/>
          <w:sz w:val="20"/>
          <w:szCs w:val="20"/>
          <w:lang w:val="es-ES_tradnl"/>
        </w:rPr>
        <w:t>y</w:t>
      </w:r>
      <w:r w:rsidRPr="00CE3B8F">
        <w:rPr>
          <w:rFonts w:ascii="Verdana" w:hAnsi="Verdana"/>
          <w:sz w:val="20"/>
          <w:szCs w:val="20"/>
          <w:lang w:val="es-ES_tradnl"/>
        </w:rPr>
        <w:t xml:space="preserve"> </w:t>
      </w:r>
      <w:r w:rsidR="002E5D3C">
        <w:rPr>
          <w:rFonts w:ascii="Verdana" w:hAnsi="Verdana"/>
          <w:sz w:val="20"/>
          <w:szCs w:val="20"/>
          <w:lang w:val="es-ES_tradnl"/>
        </w:rPr>
        <w:t>25</w:t>
      </w:r>
      <w:r w:rsidRPr="00CE3B8F">
        <w:rPr>
          <w:rFonts w:ascii="Verdana" w:hAnsi="Verdana"/>
          <w:sz w:val="20"/>
          <w:szCs w:val="20"/>
          <w:lang w:val="es-ES_tradnl"/>
        </w:rPr>
        <w:t xml:space="preserve"> de esta</w:t>
      </w:r>
      <w:r w:rsidRPr="00CE3B8F">
        <w:rPr>
          <w:rFonts w:ascii="Verdana" w:hAnsi="Verdana"/>
          <w:spacing w:val="-28"/>
          <w:sz w:val="20"/>
          <w:szCs w:val="20"/>
          <w:lang w:val="es-ES_tradnl"/>
        </w:rPr>
        <w:t xml:space="preserve"> </w:t>
      </w:r>
      <w:r w:rsidRPr="00CE3B8F">
        <w:rPr>
          <w:rFonts w:ascii="Verdana" w:hAnsi="Verdana"/>
          <w:sz w:val="20"/>
          <w:szCs w:val="20"/>
          <w:lang w:val="es-ES_tradnl"/>
        </w:rPr>
        <w:t>Sentencia.</w:t>
      </w:r>
    </w:p>
    <w:p w14:paraId="119D86EB" w14:textId="77777777" w:rsidR="00095114" w:rsidRPr="008A12F5" w:rsidRDefault="00095114" w:rsidP="004330E3">
      <w:pPr>
        <w:pStyle w:val="Textoindependiente"/>
        <w:spacing w:line="240" w:lineRule="auto"/>
        <w:rPr>
          <w:highlight w:val="yellow"/>
        </w:rPr>
      </w:pPr>
    </w:p>
    <w:p w14:paraId="634DABCD" w14:textId="77777777" w:rsidR="00095114" w:rsidRPr="00CE3B8F" w:rsidRDefault="00095114" w:rsidP="004330E3">
      <w:pPr>
        <w:pStyle w:val="Prrafodelista"/>
        <w:spacing w:after="0" w:line="240" w:lineRule="auto"/>
        <w:ind w:left="0"/>
        <w:rPr>
          <w:rFonts w:ascii="Verdana" w:hAnsi="Verdana"/>
          <w:b/>
          <w:sz w:val="20"/>
          <w:szCs w:val="20"/>
          <w:lang w:val="es-ES_tradnl"/>
        </w:rPr>
      </w:pPr>
      <w:r w:rsidRPr="00CE3B8F">
        <w:rPr>
          <w:rFonts w:ascii="Verdana" w:hAnsi="Verdana"/>
          <w:b/>
          <w:sz w:val="20"/>
          <w:szCs w:val="20"/>
          <w:lang w:val="es-ES_tradnl"/>
        </w:rPr>
        <w:t>DECLARA,</w:t>
      </w:r>
    </w:p>
    <w:p w14:paraId="35C4CDC9" w14:textId="77777777" w:rsidR="00095114" w:rsidRPr="00CE3B8F" w:rsidRDefault="00095114" w:rsidP="004330E3">
      <w:pPr>
        <w:pStyle w:val="Textoindependiente"/>
        <w:spacing w:line="240" w:lineRule="auto"/>
        <w:rPr>
          <w:b/>
        </w:rPr>
      </w:pPr>
    </w:p>
    <w:p w14:paraId="18348005" w14:textId="1E9C65F8" w:rsidR="00A649DA" w:rsidRPr="00113EA3" w:rsidRDefault="00095114" w:rsidP="00113EA3">
      <w:pPr>
        <w:pStyle w:val="Textoindependiente"/>
        <w:spacing w:line="240" w:lineRule="auto"/>
      </w:pPr>
      <w:r w:rsidRPr="00CE3B8F">
        <w:t xml:space="preserve">Por </w:t>
      </w:r>
      <w:r w:rsidR="006A27B4">
        <w:t>unanimidad</w:t>
      </w:r>
      <w:r w:rsidRPr="00CE3B8F">
        <w:t>, que:</w:t>
      </w:r>
    </w:p>
    <w:p w14:paraId="0F6C6812" w14:textId="77777777" w:rsidR="00113EA3" w:rsidRPr="00612F9D" w:rsidRDefault="00113EA3" w:rsidP="00612F9D">
      <w:pPr>
        <w:rPr>
          <w:rFonts w:ascii="Verdana" w:hAnsi="Verdana"/>
          <w:sz w:val="20"/>
          <w:szCs w:val="20"/>
          <w:lang w:val="es-ES_tradnl"/>
        </w:rPr>
      </w:pPr>
    </w:p>
    <w:p w14:paraId="60DB576A" w14:textId="1CA1DFF0" w:rsidR="00113EA3" w:rsidRPr="00935F48" w:rsidRDefault="00113EA3" w:rsidP="00113EA3">
      <w:pPr>
        <w:pStyle w:val="Prrafodelista"/>
        <w:numPr>
          <w:ilvl w:val="0"/>
          <w:numId w:val="12"/>
        </w:numPr>
        <w:tabs>
          <w:tab w:val="left" w:pos="684"/>
        </w:tabs>
        <w:autoSpaceDE w:val="0"/>
        <w:autoSpaceDN w:val="0"/>
        <w:spacing w:after="0" w:line="240" w:lineRule="auto"/>
        <w:ind w:left="0" w:right="118" w:firstLine="0"/>
        <w:contextualSpacing w:val="0"/>
        <w:jc w:val="both"/>
        <w:rPr>
          <w:rFonts w:ascii="Verdana" w:hAnsi="Verdana"/>
          <w:sz w:val="20"/>
          <w:szCs w:val="20"/>
          <w:lang w:val="es-ES_tradnl"/>
        </w:rPr>
      </w:pPr>
      <w:r w:rsidRPr="00935F48">
        <w:rPr>
          <w:rFonts w:ascii="Verdana" w:hAnsi="Verdana"/>
          <w:sz w:val="20"/>
          <w:szCs w:val="20"/>
          <w:lang w:val="es-ES_tradnl"/>
        </w:rPr>
        <w:t>El Estado no es responsable por la violación de los derechos a la circulación y residencia, y a las garantías judiciales, en relación con la obligación de respetar los derechos, establecidos en los artículos 22.5</w:t>
      </w:r>
      <w:r w:rsidR="005E5BD5">
        <w:rPr>
          <w:rFonts w:ascii="Verdana" w:hAnsi="Verdana"/>
          <w:sz w:val="20"/>
          <w:szCs w:val="20"/>
          <w:lang w:val="es-ES_tradnl"/>
        </w:rPr>
        <w:t xml:space="preserve">, </w:t>
      </w:r>
      <w:r w:rsidRPr="00935F48">
        <w:rPr>
          <w:rFonts w:ascii="Verdana" w:hAnsi="Verdana"/>
          <w:sz w:val="20"/>
          <w:szCs w:val="20"/>
          <w:lang w:val="es-CR" w:eastAsia="es-CR"/>
        </w:rPr>
        <w:t>8.1, 8.2.b), c), d) y h) de la Convención Americana, en relación con el artículo 1.1 del mismo instrumento</w:t>
      </w:r>
      <w:r w:rsidRPr="00935F48">
        <w:rPr>
          <w:rFonts w:ascii="Verdana" w:hAnsi="Verdana"/>
          <w:sz w:val="20"/>
          <w:szCs w:val="20"/>
          <w:lang w:val="es-ES_tradnl"/>
        </w:rPr>
        <w:t xml:space="preserve">, en perjuicio de Raghda Habbal, en los términos de los párrafos </w:t>
      </w:r>
      <w:r w:rsidR="00B95465">
        <w:rPr>
          <w:rFonts w:ascii="Verdana" w:hAnsi="Verdana"/>
          <w:sz w:val="20"/>
          <w:szCs w:val="20"/>
          <w:lang w:val="es-ES_tradnl"/>
        </w:rPr>
        <w:t>58</w:t>
      </w:r>
      <w:r w:rsidRPr="00935F48">
        <w:rPr>
          <w:rFonts w:ascii="Verdana" w:hAnsi="Verdana"/>
          <w:sz w:val="20"/>
          <w:szCs w:val="20"/>
          <w:lang w:val="es-ES_tradnl"/>
        </w:rPr>
        <w:t xml:space="preserve"> a </w:t>
      </w:r>
      <w:r w:rsidR="00FD2F50">
        <w:rPr>
          <w:rFonts w:ascii="Verdana" w:hAnsi="Verdana"/>
          <w:sz w:val="20"/>
          <w:szCs w:val="20"/>
          <w:lang w:val="es-ES_tradnl"/>
        </w:rPr>
        <w:t>84</w:t>
      </w:r>
      <w:r w:rsidRPr="00935F48">
        <w:rPr>
          <w:rFonts w:ascii="Verdana" w:hAnsi="Verdana"/>
          <w:sz w:val="20"/>
          <w:szCs w:val="20"/>
          <w:lang w:val="es-ES_tradnl"/>
        </w:rPr>
        <w:t xml:space="preserve"> de la presente</w:t>
      </w:r>
      <w:r w:rsidRPr="00935F48">
        <w:rPr>
          <w:rFonts w:ascii="Verdana" w:hAnsi="Verdana"/>
          <w:spacing w:val="-6"/>
          <w:sz w:val="20"/>
          <w:szCs w:val="20"/>
          <w:lang w:val="es-ES_tradnl"/>
        </w:rPr>
        <w:t xml:space="preserve"> </w:t>
      </w:r>
      <w:r w:rsidRPr="00935F48">
        <w:rPr>
          <w:rFonts w:ascii="Verdana" w:hAnsi="Verdana"/>
          <w:sz w:val="20"/>
          <w:szCs w:val="20"/>
          <w:lang w:val="es-ES_tradnl"/>
        </w:rPr>
        <w:t>Sentencia.</w:t>
      </w:r>
    </w:p>
    <w:p w14:paraId="59B57A69" w14:textId="77777777" w:rsidR="00113EA3" w:rsidRPr="00935F48" w:rsidRDefault="00113EA3" w:rsidP="00113EA3">
      <w:pPr>
        <w:tabs>
          <w:tab w:val="left" w:pos="684"/>
        </w:tabs>
        <w:autoSpaceDE w:val="0"/>
        <w:autoSpaceDN w:val="0"/>
        <w:ind w:right="114"/>
        <w:jc w:val="both"/>
        <w:rPr>
          <w:rFonts w:ascii="Verdana" w:hAnsi="Verdana"/>
          <w:sz w:val="20"/>
          <w:szCs w:val="20"/>
          <w:lang w:val="es-ES_tradnl"/>
        </w:rPr>
      </w:pPr>
    </w:p>
    <w:p w14:paraId="2226067B" w14:textId="5976357A" w:rsidR="00113EA3" w:rsidRPr="00935F48" w:rsidRDefault="00113EA3" w:rsidP="00113EA3">
      <w:pPr>
        <w:pStyle w:val="Prrafodelista"/>
        <w:numPr>
          <w:ilvl w:val="0"/>
          <w:numId w:val="12"/>
        </w:numPr>
        <w:tabs>
          <w:tab w:val="left" w:pos="684"/>
        </w:tabs>
        <w:autoSpaceDE w:val="0"/>
        <w:autoSpaceDN w:val="0"/>
        <w:spacing w:after="0" w:line="240" w:lineRule="auto"/>
        <w:ind w:left="0" w:right="118" w:firstLine="0"/>
        <w:contextualSpacing w:val="0"/>
        <w:jc w:val="both"/>
        <w:rPr>
          <w:rFonts w:ascii="Verdana" w:hAnsi="Verdana"/>
          <w:sz w:val="20"/>
          <w:szCs w:val="20"/>
          <w:lang w:val="es-ES_tradnl"/>
        </w:rPr>
      </w:pPr>
      <w:r w:rsidRPr="00935F48">
        <w:rPr>
          <w:rFonts w:ascii="Verdana" w:hAnsi="Verdana"/>
          <w:sz w:val="20"/>
          <w:szCs w:val="20"/>
          <w:lang w:val="es-ES_tradnl"/>
        </w:rPr>
        <w:t xml:space="preserve">El Estado no es responsable por la violación de los derechos a la circulación y residencia, a las garantías judiciales, y a la niñez, en relación con la obligación de respetar los derechos, establecidos en los artículos 22.6, </w:t>
      </w:r>
      <w:r w:rsidRPr="00935F48">
        <w:rPr>
          <w:rFonts w:ascii="Verdana" w:hAnsi="Verdana"/>
          <w:sz w:val="20"/>
          <w:szCs w:val="20"/>
          <w:lang w:val="es-CR" w:eastAsia="es-CR"/>
        </w:rPr>
        <w:t>8.1, 8.2.b), c), d) y h), y 19 de la Convención Americana, en relación con el artículo 1.1 del mismo instrumento</w:t>
      </w:r>
      <w:r w:rsidRPr="00935F48">
        <w:rPr>
          <w:rFonts w:ascii="Verdana" w:hAnsi="Verdana"/>
          <w:sz w:val="20"/>
          <w:szCs w:val="20"/>
          <w:lang w:val="es-ES_tradnl"/>
        </w:rPr>
        <w:t xml:space="preserve">, en perjuicio de </w:t>
      </w:r>
      <w:r w:rsidRPr="00935F48">
        <w:rPr>
          <w:rFonts w:ascii="Verdana" w:hAnsi="Verdana"/>
          <w:sz w:val="20"/>
          <w:szCs w:val="20"/>
          <w:lang w:val="es-CR" w:eastAsia="es-CR"/>
        </w:rPr>
        <w:t>Monnawar Al Kassar, Hifaa Al Kassar y Natasha Al Kassar</w:t>
      </w:r>
      <w:r w:rsidRPr="00935F48">
        <w:rPr>
          <w:rFonts w:ascii="Verdana" w:hAnsi="Verdana"/>
          <w:sz w:val="20"/>
          <w:szCs w:val="20"/>
          <w:lang w:val="es-ES_tradnl"/>
        </w:rPr>
        <w:t xml:space="preserve">, en los términos de los párrafos </w:t>
      </w:r>
      <w:r w:rsidR="00FD2F50">
        <w:rPr>
          <w:rFonts w:ascii="Verdana" w:hAnsi="Verdana"/>
          <w:sz w:val="20"/>
          <w:szCs w:val="20"/>
          <w:lang w:val="es-ES_tradnl"/>
        </w:rPr>
        <w:t>58</w:t>
      </w:r>
      <w:r w:rsidRPr="00935F48">
        <w:rPr>
          <w:rFonts w:ascii="Verdana" w:hAnsi="Verdana"/>
          <w:sz w:val="20"/>
          <w:szCs w:val="20"/>
          <w:lang w:val="es-ES_tradnl"/>
        </w:rPr>
        <w:t xml:space="preserve"> a </w:t>
      </w:r>
      <w:r w:rsidR="00FD2F50">
        <w:rPr>
          <w:rFonts w:ascii="Verdana" w:hAnsi="Verdana"/>
          <w:sz w:val="20"/>
          <w:szCs w:val="20"/>
          <w:lang w:val="es-ES_tradnl"/>
        </w:rPr>
        <w:t>84</w:t>
      </w:r>
      <w:r w:rsidRPr="00935F48">
        <w:rPr>
          <w:rFonts w:ascii="Verdana" w:hAnsi="Verdana"/>
          <w:sz w:val="20"/>
          <w:szCs w:val="20"/>
          <w:lang w:val="es-ES_tradnl"/>
        </w:rPr>
        <w:t xml:space="preserve"> de la presente</w:t>
      </w:r>
      <w:r w:rsidRPr="00935F48">
        <w:rPr>
          <w:rFonts w:ascii="Verdana" w:hAnsi="Verdana"/>
          <w:spacing w:val="-6"/>
          <w:sz w:val="20"/>
          <w:szCs w:val="20"/>
          <w:lang w:val="es-ES_tradnl"/>
        </w:rPr>
        <w:t xml:space="preserve"> </w:t>
      </w:r>
      <w:r w:rsidRPr="00935F48">
        <w:rPr>
          <w:rFonts w:ascii="Verdana" w:hAnsi="Verdana"/>
          <w:sz w:val="20"/>
          <w:szCs w:val="20"/>
          <w:lang w:val="es-ES_tradnl"/>
        </w:rPr>
        <w:t>Sentencia.</w:t>
      </w:r>
    </w:p>
    <w:p w14:paraId="27D36B96" w14:textId="77777777" w:rsidR="00113EA3" w:rsidRPr="00935F48" w:rsidRDefault="00113EA3" w:rsidP="00113EA3">
      <w:pPr>
        <w:pStyle w:val="Prrafodelista"/>
        <w:tabs>
          <w:tab w:val="left" w:pos="684"/>
        </w:tabs>
        <w:autoSpaceDE w:val="0"/>
        <w:autoSpaceDN w:val="0"/>
        <w:spacing w:after="0" w:line="240" w:lineRule="auto"/>
        <w:ind w:left="0" w:right="118"/>
        <w:contextualSpacing w:val="0"/>
        <w:jc w:val="both"/>
        <w:rPr>
          <w:rFonts w:ascii="Verdana" w:hAnsi="Verdana"/>
          <w:sz w:val="20"/>
          <w:szCs w:val="20"/>
          <w:lang w:val="es-ES_tradnl"/>
        </w:rPr>
      </w:pPr>
    </w:p>
    <w:p w14:paraId="74D3173B" w14:textId="1DE245FC" w:rsidR="00113EA3" w:rsidRPr="00935F48" w:rsidRDefault="00113EA3" w:rsidP="00113EA3">
      <w:pPr>
        <w:pStyle w:val="Prrafodelista"/>
        <w:numPr>
          <w:ilvl w:val="0"/>
          <w:numId w:val="12"/>
        </w:numPr>
        <w:tabs>
          <w:tab w:val="left" w:pos="684"/>
        </w:tabs>
        <w:autoSpaceDE w:val="0"/>
        <w:autoSpaceDN w:val="0"/>
        <w:spacing w:after="0" w:line="240" w:lineRule="auto"/>
        <w:ind w:left="0" w:right="118" w:firstLine="0"/>
        <w:contextualSpacing w:val="0"/>
        <w:jc w:val="both"/>
        <w:rPr>
          <w:rFonts w:ascii="Verdana" w:hAnsi="Verdana"/>
          <w:sz w:val="20"/>
          <w:szCs w:val="20"/>
          <w:lang w:val="es-ES_tradnl"/>
        </w:rPr>
      </w:pPr>
      <w:r w:rsidRPr="00935F48">
        <w:rPr>
          <w:rFonts w:ascii="Verdana" w:hAnsi="Verdana"/>
          <w:sz w:val="20"/>
          <w:szCs w:val="20"/>
          <w:lang w:val="es-ES_tradnl"/>
        </w:rPr>
        <w:t>El Estado</w:t>
      </w:r>
      <w:r w:rsidR="00D943BE" w:rsidRPr="00935F48">
        <w:rPr>
          <w:rFonts w:ascii="Verdana" w:hAnsi="Verdana"/>
          <w:sz w:val="20"/>
          <w:szCs w:val="20"/>
          <w:lang w:val="es-ES_tradnl"/>
        </w:rPr>
        <w:t xml:space="preserve"> no</w:t>
      </w:r>
      <w:r w:rsidRPr="00935F48">
        <w:rPr>
          <w:rFonts w:ascii="Verdana" w:hAnsi="Verdana"/>
          <w:sz w:val="20"/>
          <w:szCs w:val="20"/>
          <w:lang w:val="es-ES_tradnl"/>
        </w:rPr>
        <w:t xml:space="preserve"> es responsable por la violación de los derechos a la niñez y a las garantías judiciales, en relación con la obligación de respetar los derechos, establecidos en los artículos </w:t>
      </w:r>
      <w:r w:rsidRPr="00935F48">
        <w:rPr>
          <w:rFonts w:ascii="Verdana" w:hAnsi="Verdana"/>
          <w:sz w:val="20"/>
          <w:szCs w:val="20"/>
          <w:lang w:val="es-CR" w:eastAsia="es-CR"/>
        </w:rPr>
        <w:t>19 y 8.1 de la Convención Americana, en relación con el artículo 1.1 del mismo instrumento</w:t>
      </w:r>
      <w:r w:rsidRPr="00935F48">
        <w:rPr>
          <w:rFonts w:ascii="Verdana" w:hAnsi="Verdana"/>
          <w:sz w:val="20"/>
          <w:szCs w:val="20"/>
          <w:lang w:val="es-ES_tradnl"/>
        </w:rPr>
        <w:t xml:space="preserve">, en perjuicio de </w:t>
      </w:r>
      <w:r w:rsidRPr="00935F48">
        <w:rPr>
          <w:rFonts w:ascii="Verdana" w:hAnsi="Verdana"/>
          <w:sz w:val="20"/>
          <w:szCs w:val="20"/>
          <w:lang w:val="es-CR" w:eastAsia="es-CR"/>
        </w:rPr>
        <w:t>Mohamed Al Kassar</w:t>
      </w:r>
      <w:r w:rsidRPr="00935F48">
        <w:rPr>
          <w:rFonts w:ascii="Verdana" w:hAnsi="Verdana"/>
          <w:sz w:val="20"/>
          <w:szCs w:val="20"/>
          <w:lang w:val="es-ES_tradnl"/>
        </w:rPr>
        <w:t xml:space="preserve">, en los términos de los párrafos </w:t>
      </w:r>
      <w:r w:rsidR="00F66945">
        <w:rPr>
          <w:rFonts w:ascii="Verdana" w:hAnsi="Verdana"/>
          <w:sz w:val="20"/>
          <w:szCs w:val="20"/>
          <w:lang w:val="es-ES_tradnl"/>
        </w:rPr>
        <w:t>58</w:t>
      </w:r>
      <w:r w:rsidRPr="00935F48">
        <w:rPr>
          <w:rFonts w:ascii="Verdana" w:hAnsi="Verdana"/>
          <w:sz w:val="20"/>
          <w:szCs w:val="20"/>
          <w:lang w:val="es-ES_tradnl"/>
        </w:rPr>
        <w:t xml:space="preserve"> a </w:t>
      </w:r>
      <w:r w:rsidR="00F66945">
        <w:rPr>
          <w:rFonts w:ascii="Verdana" w:hAnsi="Verdana"/>
          <w:sz w:val="20"/>
          <w:szCs w:val="20"/>
          <w:lang w:val="es-ES_tradnl"/>
        </w:rPr>
        <w:t>84</w:t>
      </w:r>
      <w:r w:rsidRPr="00935F48">
        <w:rPr>
          <w:rFonts w:ascii="Verdana" w:hAnsi="Verdana"/>
          <w:sz w:val="20"/>
          <w:szCs w:val="20"/>
          <w:lang w:val="es-ES_tradnl"/>
        </w:rPr>
        <w:t xml:space="preserve"> de la presente</w:t>
      </w:r>
      <w:r w:rsidRPr="00935F48">
        <w:rPr>
          <w:rFonts w:ascii="Verdana" w:hAnsi="Verdana"/>
          <w:spacing w:val="-6"/>
          <w:sz w:val="20"/>
          <w:szCs w:val="20"/>
          <w:lang w:val="es-ES_tradnl"/>
        </w:rPr>
        <w:t xml:space="preserve"> </w:t>
      </w:r>
      <w:r w:rsidRPr="00935F48">
        <w:rPr>
          <w:rFonts w:ascii="Verdana" w:hAnsi="Verdana"/>
          <w:sz w:val="20"/>
          <w:szCs w:val="20"/>
          <w:lang w:val="es-ES_tradnl"/>
        </w:rPr>
        <w:t>Sentencia.</w:t>
      </w:r>
    </w:p>
    <w:p w14:paraId="612F260C" w14:textId="77777777" w:rsidR="00113EA3" w:rsidRPr="00935F48" w:rsidRDefault="00113EA3" w:rsidP="00113EA3">
      <w:pPr>
        <w:rPr>
          <w:rFonts w:ascii="Verdana" w:hAnsi="Verdana"/>
          <w:sz w:val="20"/>
          <w:szCs w:val="20"/>
          <w:lang w:val="es-ES_tradnl"/>
        </w:rPr>
      </w:pPr>
    </w:p>
    <w:p w14:paraId="1C8F90E7" w14:textId="1FE3A289" w:rsidR="00113EA3" w:rsidRPr="00935F48" w:rsidRDefault="00113EA3" w:rsidP="00113EA3">
      <w:pPr>
        <w:pStyle w:val="Prrafodelista"/>
        <w:numPr>
          <w:ilvl w:val="0"/>
          <w:numId w:val="12"/>
        </w:numPr>
        <w:tabs>
          <w:tab w:val="left" w:pos="684"/>
        </w:tabs>
        <w:autoSpaceDE w:val="0"/>
        <w:autoSpaceDN w:val="0"/>
        <w:spacing w:after="0" w:line="240" w:lineRule="auto"/>
        <w:ind w:left="0" w:right="118" w:firstLine="0"/>
        <w:contextualSpacing w:val="0"/>
        <w:jc w:val="both"/>
        <w:rPr>
          <w:rFonts w:ascii="Verdana" w:hAnsi="Verdana"/>
          <w:sz w:val="20"/>
          <w:szCs w:val="20"/>
          <w:lang w:val="es-ES_tradnl"/>
        </w:rPr>
      </w:pPr>
      <w:r w:rsidRPr="00935F48">
        <w:rPr>
          <w:rFonts w:ascii="Verdana" w:hAnsi="Verdana"/>
          <w:sz w:val="20"/>
          <w:szCs w:val="20"/>
          <w:lang w:val="es-ES_tradnl"/>
        </w:rPr>
        <w:t>El Estado</w:t>
      </w:r>
      <w:r w:rsidR="00D943BE" w:rsidRPr="00935F48">
        <w:rPr>
          <w:rFonts w:ascii="Verdana" w:hAnsi="Verdana"/>
          <w:sz w:val="20"/>
          <w:szCs w:val="20"/>
          <w:lang w:val="es-ES_tradnl"/>
        </w:rPr>
        <w:t xml:space="preserve"> no</w:t>
      </w:r>
      <w:r w:rsidRPr="00935F48">
        <w:rPr>
          <w:rFonts w:ascii="Verdana" w:hAnsi="Verdana"/>
          <w:sz w:val="20"/>
          <w:szCs w:val="20"/>
          <w:lang w:val="es-ES_tradnl"/>
        </w:rPr>
        <w:t xml:space="preserve"> es responsable por la violación del derecho a la libertad personal, en relación </w:t>
      </w:r>
      <w:r w:rsidRPr="00935F48">
        <w:rPr>
          <w:rFonts w:ascii="Verdana" w:hAnsi="Verdana"/>
          <w:sz w:val="20"/>
          <w:szCs w:val="20"/>
          <w:lang w:val="es-ES_tradnl"/>
        </w:rPr>
        <w:lastRenderedPageBreak/>
        <w:t xml:space="preserve">con la obligación de respetar los derechos, establecido en </w:t>
      </w:r>
      <w:r w:rsidR="00223E81">
        <w:rPr>
          <w:rFonts w:ascii="Verdana" w:hAnsi="Verdana"/>
          <w:sz w:val="20"/>
          <w:szCs w:val="20"/>
          <w:lang w:val="es-ES_tradnl"/>
        </w:rPr>
        <w:t>el artículo 7</w:t>
      </w:r>
      <w:r w:rsidRPr="00935F48">
        <w:rPr>
          <w:rFonts w:ascii="Verdana" w:hAnsi="Verdana"/>
          <w:sz w:val="20"/>
          <w:szCs w:val="20"/>
          <w:lang w:val="es-CR" w:eastAsia="es-CR"/>
        </w:rPr>
        <w:t xml:space="preserve"> de la Convención Americana, en relación con el artículo 1.1 del mismo instrumento</w:t>
      </w:r>
      <w:r w:rsidRPr="00935F48">
        <w:rPr>
          <w:rFonts w:ascii="Verdana" w:hAnsi="Verdana"/>
          <w:sz w:val="20"/>
          <w:szCs w:val="20"/>
          <w:lang w:val="es-ES_tradnl"/>
        </w:rPr>
        <w:t xml:space="preserve">, en perjuicio de Raghda Habbal, </w:t>
      </w:r>
      <w:r w:rsidRPr="00935F48">
        <w:rPr>
          <w:rFonts w:ascii="Verdana" w:hAnsi="Verdana"/>
          <w:sz w:val="20"/>
          <w:szCs w:val="20"/>
          <w:lang w:val="es-CR" w:eastAsia="es-CR"/>
        </w:rPr>
        <w:t>Monnawar Al Kassar, Hifaa Al Kassar y Natasha Al Kassar</w:t>
      </w:r>
      <w:r w:rsidRPr="00935F48">
        <w:rPr>
          <w:rFonts w:ascii="Verdana" w:hAnsi="Verdana"/>
          <w:sz w:val="20"/>
          <w:szCs w:val="20"/>
          <w:lang w:val="es-ES_tradnl"/>
        </w:rPr>
        <w:t xml:space="preserve">, en los términos de los párrafos </w:t>
      </w:r>
      <w:r w:rsidR="00F66945">
        <w:rPr>
          <w:rFonts w:ascii="Verdana" w:hAnsi="Verdana"/>
          <w:sz w:val="20"/>
          <w:szCs w:val="20"/>
          <w:lang w:val="es-ES_tradnl"/>
        </w:rPr>
        <w:t>58</w:t>
      </w:r>
      <w:r w:rsidRPr="00935F48">
        <w:rPr>
          <w:rFonts w:ascii="Verdana" w:hAnsi="Verdana"/>
          <w:sz w:val="20"/>
          <w:szCs w:val="20"/>
          <w:lang w:val="es-ES_tradnl"/>
        </w:rPr>
        <w:t xml:space="preserve"> a </w:t>
      </w:r>
      <w:r w:rsidR="00F66945">
        <w:rPr>
          <w:rFonts w:ascii="Verdana" w:hAnsi="Verdana"/>
          <w:sz w:val="20"/>
          <w:szCs w:val="20"/>
          <w:lang w:val="es-ES_tradnl"/>
        </w:rPr>
        <w:t>84</w:t>
      </w:r>
      <w:r w:rsidRPr="00935F48">
        <w:rPr>
          <w:rFonts w:ascii="Verdana" w:hAnsi="Verdana"/>
          <w:sz w:val="20"/>
          <w:szCs w:val="20"/>
          <w:lang w:val="es-ES_tradnl"/>
        </w:rPr>
        <w:t xml:space="preserve"> de la presente</w:t>
      </w:r>
      <w:r w:rsidRPr="00935F48">
        <w:rPr>
          <w:rFonts w:ascii="Verdana" w:hAnsi="Verdana"/>
          <w:spacing w:val="-6"/>
          <w:sz w:val="20"/>
          <w:szCs w:val="20"/>
          <w:lang w:val="es-ES_tradnl"/>
        </w:rPr>
        <w:t xml:space="preserve"> </w:t>
      </w:r>
      <w:r w:rsidRPr="00935F48">
        <w:rPr>
          <w:rFonts w:ascii="Verdana" w:hAnsi="Verdana"/>
          <w:sz w:val="20"/>
          <w:szCs w:val="20"/>
          <w:lang w:val="es-ES_tradnl"/>
        </w:rPr>
        <w:t>Sentencia.</w:t>
      </w:r>
    </w:p>
    <w:p w14:paraId="3CE5B771" w14:textId="4DDF258A" w:rsidR="005D4E2D" w:rsidRDefault="005D4E2D" w:rsidP="00142328">
      <w:pPr>
        <w:pStyle w:val="Prrafodelista"/>
        <w:tabs>
          <w:tab w:val="left" w:pos="684"/>
        </w:tabs>
        <w:autoSpaceDE w:val="0"/>
        <w:autoSpaceDN w:val="0"/>
        <w:spacing w:after="0" w:line="240" w:lineRule="auto"/>
        <w:ind w:left="0" w:right="118"/>
        <w:contextualSpacing w:val="0"/>
        <w:jc w:val="both"/>
        <w:rPr>
          <w:rFonts w:ascii="Verdana" w:hAnsi="Verdana"/>
          <w:sz w:val="20"/>
          <w:szCs w:val="20"/>
          <w:lang w:val="es-ES_tradnl"/>
        </w:rPr>
      </w:pPr>
    </w:p>
    <w:p w14:paraId="1C0C354E" w14:textId="0C149D79" w:rsidR="00612F9D" w:rsidRPr="00935F48" w:rsidRDefault="00612F9D" w:rsidP="00612F9D">
      <w:pPr>
        <w:pStyle w:val="Prrafodelista"/>
        <w:numPr>
          <w:ilvl w:val="0"/>
          <w:numId w:val="12"/>
        </w:numPr>
        <w:tabs>
          <w:tab w:val="left" w:pos="684"/>
        </w:tabs>
        <w:autoSpaceDE w:val="0"/>
        <w:autoSpaceDN w:val="0"/>
        <w:spacing w:after="0" w:line="240" w:lineRule="auto"/>
        <w:ind w:left="0" w:right="118" w:firstLine="0"/>
        <w:contextualSpacing w:val="0"/>
        <w:jc w:val="both"/>
        <w:rPr>
          <w:rFonts w:ascii="Verdana" w:hAnsi="Verdana"/>
          <w:sz w:val="20"/>
          <w:szCs w:val="20"/>
          <w:lang w:val="es-ES_tradnl"/>
        </w:rPr>
      </w:pPr>
      <w:r w:rsidRPr="00935F48">
        <w:rPr>
          <w:rFonts w:ascii="Verdana" w:hAnsi="Verdana"/>
          <w:sz w:val="20"/>
          <w:szCs w:val="20"/>
          <w:lang w:val="es-ES_tradnl"/>
        </w:rPr>
        <w:t xml:space="preserve">El Estado </w:t>
      </w:r>
      <w:r>
        <w:rPr>
          <w:rFonts w:ascii="Verdana" w:hAnsi="Verdana"/>
          <w:sz w:val="20"/>
          <w:szCs w:val="20"/>
          <w:lang w:val="es-ES_tradnl"/>
        </w:rPr>
        <w:t xml:space="preserve">no </w:t>
      </w:r>
      <w:r w:rsidRPr="00935F48">
        <w:rPr>
          <w:rFonts w:ascii="Verdana" w:hAnsi="Verdana"/>
          <w:sz w:val="20"/>
          <w:szCs w:val="20"/>
          <w:lang w:val="es-ES_tradnl"/>
        </w:rPr>
        <w:t xml:space="preserve">es responsable por la violación del </w:t>
      </w:r>
      <w:r>
        <w:rPr>
          <w:rFonts w:ascii="Verdana" w:hAnsi="Verdana"/>
          <w:sz w:val="20"/>
          <w:szCs w:val="20"/>
          <w:lang w:val="es-ES_tradnl"/>
        </w:rPr>
        <w:t>derecho</w:t>
      </w:r>
      <w:r w:rsidRPr="00935F48">
        <w:rPr>
          <w:rFonts w:ascii="Verdana" w:hAnsi="Verdana"/>
          <w:sz w:val="20"/>
          <w:szCs w:val="20"/>
          <w:lang w:val="es-ES_tradnl"/>
        </w:rPr>
        <w:t xml:space="preserve"> a la nacionalidad,</w:t>
      </w:r>
      <w:r w:rsidR="00C9113F" w:rsidRPr="00935F48">
        <w:rPr>
          <w:rFonts w:ascii="Verdana" w:hAnsi="Verdana"/>
          <w:sz w:val="20"/>
          <w:szCs w:val="20"/>
          <w:lang w:val="es-ES_tradnl"/>
        </w:rPr>
        <w:t xml:space="preserve"> en relación con la obligación de respetar los derechos,</w:t>
      </w:r>
      <w:r w:rsidR="00C9113F">
        <w:rPr>
          <w:rFonts w:ascii="Verdana" w:hAnsi="Verdana"/>
          <w:sz w:val="20"/>
          <w:szCs w:val="20"/>
          <w:lang w:val="es-ES_tradnl"/>
        </w:rPr>
        <w:t xml:space="preserve"> </w:t>
      </w:r>
      <w:r w:rsidRPr="00935F48">
        <w:rPr>
          <w:rFonts w:ascii="Verdana" w:hAnsi="Verdana"/>
          <w:sz w:val="20"/>
          <w:szCs w:val="20"/>
          <w:lang w:val="es-ES_tradnl"/>
        </w:rPr>
        <w:t>establecido en el artículo 20</w:t>
      </w:r>
      <w:r w:rsidRPr="00935F48">
        <w:rPr>
          <w:rFonts w:ascii="Verdana" w:hAnsi="Verdana"/>
          <w:sz w:val="20"/>
          <w:szCs w:val="20"/>
          <w:lang w:val="es-CR" w:eastAsia="es-CR"/>
        </w:rPr>
        <w:t xml:space="preserve"> de la Convención Americana, en relación con el artículo 1.1 del mismo instrumento</w:t>
      </w:r>
      <w:r w:rsidRPr="00935F48">
        <w:rPr>
          <w:rFonts w:ascii="Verdana" w:hAnsi="Verdana"/>
          <w:sz w:val="20"/>
          <w:szCs w:val="20"/>
          <w:lang w:val="es-ES_tradnl"/>
        </w:rPr>
        <w:t xml:space="preserve">, en perjuicio de Raghda Habbal, en los términos de los párrafos </w:t>
      </w:r>
      <w:r w:rsidR="00F66945">
        <w:rPr>
          <w:rFonts w:ascii="Verdana" w:hAnsi="Verdana"/>
          <w:sz w:val="20"/>
          <w:szCs w:val="20"/>
          <w:lang w:val="es-ES_tradnl"/>
        </w:rPr>
        <w:t>90</w:t>
      </w:r>
      <w:r w:rsidRPr="00935F48">
        <w:rPr>
          <w:rFonts w:ascii="Verdana" w:hAnsi="Verdana"/>
          <w:sz w:val="20"/>
          <w:szCs w:val="20"/>
          <w:lang w:val="es-ES_tradnl"/>
        </w:rPr>
        <w:t xml:space="preserve"> a </w:t>
      </w:r>
      <w:r w:rsidR="00F66945">
        <w:rPr>
          <w:rFonts w:ascii="Verdana" w:hAnsi="Verdana"/>
          <w:sz w:val="20"/>
          <w:szCs w:val="20"/>
          <w:lang w:val="es-ES_tradnl"/>
        </w:rPr>
        <w:t>10</w:t>
      </w:r>
      <w:r w:rsidR="008B6078">
        <w:rPr>
          <w:rFonts w:ascii="Verdana" w:hAnsi="Verdana"/>
          <w:sz w:val="20"/>
          <w:szCs w:val="20"/>
          <w:lang w:val="es-ES_tradnl"/>
        </w:rPr>
        <w:t>4</w:t>
      </w:r>
      <w:r w:rsidRPr="00935F48">
        <w:rPr>
          <w:rFonts w:ascii="Verdana" w:hAnsi="Verdana"/>
          <w:sz w:val="20"/>
          <w:szCs w:val="20"/>
          <w:lang w:val="es-ES_tradnl"/>
        </w:rPr>
        <w:t xml:space="preserve"> de la presente</w:t>
      </w:r>
      <w:r w:rsidRPr="00935F48">
        <w:rPr>
          <w:rFonts w:ascii="Verdana" w:hAnsi="Verdana"/>
          <w:spacing w:val="-6"/>
          <w:sz w:val="20"/>
          <w:szCs w:val="20"/>
          <w:lang w:val="es-ES_tradnl"/>
        </w:rPr>
        <w:t xml:space="preserve"> </w:t>
      </w:r>
      <w:r w:rsidRPr="00935F48">
        <w:rPr>
          <w:rFonts w:ascii="Verdana" w:hAnsi="Verdana"/>
          <w:sz w:val="20"/>
          <w:szCs w:val="20"/>
          <w:lang w:val="es-ES_tradnl"/>
        </w:rPr>
        <w:t>Sentencia.</w:t>
      </w:r>
    </w:p>
    <w:p w14:paraId="2A692690" w14:textId="77777777" w:rsidR="00612F9D" w:rsidRPr="00935F48" w:rsidRDefault="00612F9D" w:rsidP="00142328">
      <w:pPr>
        <w:pStyle w:val="Prrafodelista"/>
        <w:tabs>
          <w:tab w:val="left" w:pos="684"/>
        </w:tabs>
        <w:autoSpaceDE w:val="0"/>
        <w:autoSpaceDN w:val="0"/>
        <w:spacing w:after="0" w:line="240" w:lineRule="auto"/>
        <w:ind w:left="0" w:right="118"/>
        <w:contextualSpacing w:val="0"/>
        <w:jc w:val="both"/>
        <w:rPr>
          <w:rFonts w:ascii="Verdana" w:hAnsi="Verdana"/>
          <w:sz w:val="20"/>
          <w:szCs w:val="20"/>
          <w:lang w:val="es-ES_tradnl"/>
        </w:rPr>
      </w:pPr>
    </w:p>
    <w:p w14:paraId="28FDF0C9" w14:textId="61DBA4EA" w:rsidR="00587496" w:rsidRDefault="00982C47" w:rsidP="00587496">
      <w:pPr>
        <w:pStyle w:val="Prrafodelista"/>
        <w:numPr>
          <w:ilvl w:val="0"/>
          <w:numId w:val="12"/>
        </w:numPr>
        <w:tabs>
          <w:tab w:val="left" w:pos="684"/>
        </w:tabs>
        <w:autoSpaceDE w:val="0"/>
        <w:autoSpaceDN w:val="0"/>
        <w:spacing w:after="0" w:line="240" w:lineRule="auto"/>
        <w:ind w:left="0" w:right="118" w:firstLine="0"/>
        <w:contextualSpacing w:val="0"/>
        <w:jc w:val="both"/>
        <w:rPr>
          <w:rFonts w:ascii="Verdana" w:hAnsi="Verdana"/>
          <w:sz w:val="20"/>
          <w:szCs w:val="20"/>
          <w:lang w:val="es-ES_tradnl"/>
        </w:rPr>
      </w:pPr>
      <w:r w:rsidRPr="00935F48">
        <w:rPr>
          <w:rFonts w:ascii="Verdana" w:hAnsi="Verdana"/>
          <w:sz w:val="20"/>
          <w:szCs w:val="20"/>
          <w:lang w:val="es-ES_tradnl"/>
        </w:rPr>
        <w:t xml:space="preserve">El Estado no es responsable por la violación </w:t>
      </w:r>
      <w:r w:rsidR="00680B02" w:rsidRPr="00935F48">
        <w:rPr>
          <w:rFonts w:ascii="Verdana" w:hAnsi="Verdana"/>
          <w:sz w:val="20"/>
          <w:szCs w:val="20"/>
          <w:lang w:val="es-ES_tradnl"/>
        </w:rPr>
        <w:t>del derecho a las</w:t>
      </w:r>
      <w:r w:rsidRPr="00935F48">
        <w:rPr>
          <w:rFonts w:ascii="Verdana" w:hAnsi="Verdana"/>
          <w:sz w:val="20"/>
          <w:szCs w:val="20"/>
          <w:lang w:val="es-ES_tradnl"/>
        </w:rPr>
        <w:t xml:space="preserve"> garantías judiciales</w:t>
      </w:r>
      <w:r w:rsidR="00D943BE" w:rsidRPr="00935F48">
        <w:rPr>
          <w:rFonts w:ascii="Verdana" w:hAnsi="Verdana"/>
          <w:sz w:val="20"/>
          <w:szCs w:val="20"/>
          <w:lang w:val="es-ES_tradnl"/>
        </w:rPr>
        <w:t xml:space="preserve"> y al principio de legalidad</w:t>
      </w:r>
      <w:r w:rsidRPr="00935F48">
        <w:rPr>
          <w:rFonts w:ascii="Verdana" w:hAnsi="Verdana"/>
          <w:sz w:val="20"/>
          <w:szCs w:val="20"/>
          <w:lang w:val="es-ES_tradnl"/>
        </w:rPr>
        <w:t>, en relación con la obligación de respetar los derechos, establecid</w:t>
      </w:r>
      <w:r w:rsidR="00CE272E" w:rsidRPr="00935F48">
        <w:rPr>
          <w:rFonts w:ascii="Verdana" w:hAnsi="Verdana"/>
          <w:sz w:val="20"/>
          <w:szCs w:val="20"/>
          <w:lang w:val="es-ES_tradnl"/>
        </w:rPr>
        <w:t>o</w:t>
      </w:r>
      <w:r w:rsidR="00D943BE" w:rsidRPr="00935F48">
        <w:rPr>
          <w:rFonts w:ascii="Verdana" w:hAnsi="Verdana"/>
          <w:sz w:val="20"/>
          <w:szCs w:val="20"/>
          <w:lang w:val="es-ES_tradnl"/>
        </w:rPr>
        <w:t>s</w:t>
      </w:r>
      <w:r w:rsidR="00680B02" w:rsidRPr="00935F48">
        <w:rPr>
          <w:rFonts w:ascii="Verdana" w:hAnsi="Verdana"/>
          <w:sz w:val="20"/>
          <w:szCs w:val="20"/>
          <w:lang w:val="es-ES_tradnl"/>
        </w:rPr>
        <w:t xml:space="preserve"> en </w:t>
      </w:r>
      <w:r w:rsidR="00D943BE" w:rsidRPr="00935F48">
        <w:rPr>
          <w:rFonts w:ascii="Verdana" w:hAnsi="Verdana"/>
          <w:sz w:val="20"/>
          <w:szCs w:val="20"/>
          <w:lang w:val="es-ES_tradnl"/>
        </w:rPr>
        <w:t>los</w:t>
      </w:r>
      <w:r w:rsidRPr="00935F48">
        <w:rPr>
          <w:rFonts w:ascii="Verdana" w:hAnsi="Verdana"/>
          <w:sz w:val="20"/>
          <w:szCs w:val="20"/>
          <w:lang w:val="es-ES_tradnl"/>
        </w:rPr>
        <w:t xml:space="preserve"> artículo</w:t>
      </w:r>
      <w:r w:rsidR="00D943BE" w:rsidRPr="00935F48">
        <w:rPr>
          <w:rFonts w:ascii="Verdana" w:hAnsi="Verdana"/>
          <w:sz w:val="20"/>
          <w:szCs w:val="20"/>
          <w:lang w:val="es-ES_tradnl"/>
        </w:rPr>
        <w:t>s</w:t>
      </w:r>
      <w:r w:rsidR="00680B02" w:rsidRPr="00935F48">
        <w:rPr>
          <w:rFonts w:ascii="Verdana" w:hAnsi="Verdana"/>
          <w:sz w:val="20"/>
          <w:szCs w:val="20"/>
          <w:lang w:val="es-ES_tradnl"/>
        </w:rPr>
        <w:t xml:space="preserve"> 8.1</w:t>
      </w:r>
      <w:r w:rsidR="00D943BE" w:rsidRPr="00935F48">
        <w:rPr>
          <w:rFonts w:ascii="Verdana" w:hAnsi="Verdana"/>
          <w:sz w:val="20"/>
          <w:szCs w:val="20"/>
          <w:lang w:val="es-ES_tradnl"/>
        </w:rPr>
        <w:t>, 8.2 y 9</w:t>
      </w:r>
      <w:r w:rsidRPr="00935F48">
        <w:rPr>
          <w:rFonts w:ascii="Verdana" w:hAnsi="Verdana"/>
          <w:sz w:val="20"/>
          <w:szCs w:val="20"/>
          <w:lang w:val="es-CR" w:eastAsia="es-CR"/>
        </w:rPr>
        <w:t xml:space="preserve"> de la Convención Americana, en relación con el artículo 1.1 del mismo instrumento</w:t>
      </w:r>
      <w:r w:rsidRPr="00935F48">
        <w:rPr>
          <w:rFonts w:ascii="Verdana" w:hAnsi="Verdana"/>
          <w:sz w:val="20"/>
          <w:szCs w:val="20"/>
          <w:lang w:val="es-ES_tradnl"/>
        </w:rPr>
        <w:t xml:space="preserve">, en perjuicio de Raghda Habbal, en los términos de los párrafos </w:t>
      </w:r>
      <w:r w:rsidR="00F66945">
        <w:rPr>
          <w:rFonts w:ascii="Verdana" w:hAnsi="Verdana"/>
          <w:sz w:val="20"/>
          <w:szCs w:val="20"/>
          <w:lang w:val="es-ES_tradnl"/>
        </w:rPr>
        <w:t>90</w:t>
      </w:r>
      <w:r w:rsidRPr="00935F48">
        <w:rPr>
          <w:rFonts w:ascii="Verdana" w:hAnsi="Verdana"/>
          <w:sz w:val="20"/>
          <w:szCs w:val="20"/>
          <w:lang w:val="es-ES_tradnl"/>
        </w:rPr>
        <w:t xml:space="preserve"> a </w:t>
      </w:r>
      <w:r w:rsidR="00F66945">
        <w:rPr>
          <w:rFonts w:ascii="Verdana" w:hAnsi="Verdana"/>
          <w:sz w:val="20"/>
          <w:szCs w:val="20"/>
          <w:lang w:val="es-ES_tradnl"/>
        </w:rPr>
        <w:t>10</w:t>
      </w:r>
      <w:r w:rsidR="008B6078">
        <w:rPr>
          <w:rFonts w:ascii="Verdana" w:hAnsi="Verdana"/>
          <w:sz w:val="20"/>
          <w:szCs w:val="20"/>
          <w:lang w:val="es-ES_tradnl"/>
        </w:rPr>
        <w:t>4</w:t>
      </w:r>
      <w:r w:rsidRPr="00935F48">
        <w:rPr>
          <w:rFonts w:ascii="Verdana" w:hAnsi="Verdana"/>
          <w:sz w:val="20"/>
          <w:szCs w:val="20"/>
          <w:lang w:val="es-ES_tradnl"/>
        </w:rPr>
        <w:t xml:space="preserve"> de la presente</w:t>
      </w:r>
      <w:r w:rsidRPr="00935F48">
        <w:rPr>
          <w:rFonts w:ascii="Verdana" w:hAnsi="Verdana"/>
          <w:spacing w:val="-6"/>
          <w:sz w:val="20"/>
          <w:szCs w:val="20"/>
          <w:lang w:val="es-ES_tradnl"/>
        </w:rPr>
        <w:t xml:space="preserve"> </w:t>
      </w:r>
      <w:r w:rsidRPr="00935F48">
        <w:rPr>
          <w:rFonts w:ascii="Verdana" w:hAnsi="Verdana"/>
          <w:sz w:val="20"/>
          <w:szCs w:val="20"/>
          <w:lang w:val="es-ES_tradnl"/>
        </w:rPr>
        <w:t>Sentencia</w:t>
      </w:r>
      <w:r w:rsidR="00680B02" w:rsidRPr="00935F48">
        <w:rPr>
          <w:rFonts w:ascii="Verdana" w:hAnsi="Verdana"/>
          <w:sz w:val="20"/>
          <w:szCs w:val="20"/>
          <w:lang w:val="es-ES_tradnl"/>
        </w:rPr>
        <w:t>.</w:t>
      </w:r>
    </w:p>
    <w:p w14:paraId="6937DB85" w14:textId="77777777" w:rsidR="00612F9D" w:rsidRPr="00612F9D" w:rsidRDefault="00612F9D" w:rsidP="00612F9D">
      <w:pPr>
        <w:rPr>
          <w:rFonts w:ascii="Verdana" w:hAnsi="Verdana"/>
          <w:sz w:val="20"/>
          <w:szCs w:val="20"/>
          <w:lang w:val="es-ES_tradnl"/>
        </w:rPr>
      </w:pPr>
    </w:p>
    <w:p w14:paraId="432C956F" w14:textId="75F81F79" w:rsidR="00612F9D" w:rsidRPr="00612F9D" w:rsidRDefault="00612F9D" w:rsidP="00612F9D">
      <w:pPr>
        <w:pStyle w:val="Prrafodelista"/>
        <w:numPr>
          <w:ilvl w:val="0"/>
          <w:numId w:val="12"/>
        </w:numPr>
        <w:tabs>
          <w:tab w:val="left" w:pos="684"/>
        </w:tabs>
        <w:autoSpaceDE w:val="0"/>
        <w:autoSpaceDN w:val="0"/>
        <w:spacing w:after="0" w:line="240" w:lineRule="auto"/>
        <w:ind w:left="0" w:right="118" w:firstLine="0"/>
        <w:contextualSpacing w:val="0"/>
        <w:jc w:val="both"/>
        <w:rPr>
          <w:rFonts w:ascii="Verdana" w:hAnsi="Verdana"/>
          <w:sz w:val="20"/>
          <w:szCs w:val="20"/>
          <w:lang w:val="es-ES_tradnl"/>
        </w:rPr>
      </w:pPr>
      <w:r w:rsidRPr="00935F48">
        <w:rPr>
          <w:rFonts w:ascii="Verdana" w:hAnsi="Verdana"/>
          <w:sz w:val="20"/>
          <w:szCs w:val="20"/>
          <w:lang w:val="es-ES_tradnl"/>
        </w:rPr>
        <w:t>El Estado</w:t>
      </w:r>
      <w:r>
        <w:rPr>
          <w:rFonts w:ascii="Verdana" w:hAnsi="Verdana"/>
          <w:sz w:val="20"/>
          <w:szCs w:val="20"/>
          <w:lang w:val="es-ES_tradnl"/>
        </w:rPr>
        <w:t xml:space="preserve"> no</w:t>
      </w:r>
      <w:r w:rsidRPr="00935F48">
        <w:rPr>
          <w:rFonts w:ascii="Verdana" w:hAnsi="Verdana"/>
          <w:sz w:val="20"/>
          <w:szCs w:val="20"/>
          <w:lang w:val="es-ES_tradnl"/>
        </w:rPr>
        <w:t xml:space="preserve"> es responsable por la violación del derecho a la protección judicial, en relación con la obligación de respetar los derechos, establecido en el artículo 25.1</w:t>
      </w:r>
      <w:r w:rsidRPr="00935F48">
        <w:rPr>
          <w:rFonts w:ascii="Verdana" w:hAnsi="Verdana"/>
          <w:sz w:val="20"/>
          <w:szCs w:val="20"/>
          <w:lang w:val="es-CR" w:eastAsia="es-CR"/>
        </w:rPr>
        <w:t xml:space="preserve"> de la Convención Americana, en relación con el artículo 1.1 del mismo instrumento</w:t>
      </w:r>
      <w:r w:rsidRPr="00935F48">
        <w:rPr>
          <w:rFonts w:ascii="Verdana" w:hAnsi="Verdana"/>
          <w:sz w:val="20"/>
          <w:szCs w:val="20"/>
          <w:lang w:val="es-ES_tradnl"/>
        </w:rPr>
        <w:t>, en perjuicio de Raghda Habbal,</w:t>
      </w:r>
      <w:r w:rsidR="001E52B9">
        <w:rPr>
          <w:rFonts w:ascii="Verdana" w:hAnsi="Verdana"/>
          <w:sz w:val="20"/>
          <w:szCs w:val="20"/>
          <w:lang w:val="es-ES_tradnl"/>
        </w:rPr>
        <w:t xml:space="preserve"> </w:t>
      </w:r>
      <w:r w:rsidR="001E52B9" w:rsidRPr="00935F48">
        <w:rPr>
          <w:rFonts w:ascii="Verdana" w:hAnsi="Verdana"/>
          <w:sz w:val="20"/>
          <w:szCs w:val="20"/>
          <w:lang w:val="es-CR" w:eastAsia="es-CR"/>
        </w:rPr>
        <w:t>Monnawar Al Kassar, Hifaa Al Kassar y Natasha Al Kassar</w:t>
      </w:r>
      <w:r w:rsidR="001E52B9">
        <w:rPr>
          <w:rFonts w:ascii="Verdana" w:hAnsi="Verdana"/>
          <w:sz w:val="20"/>
          <w:szCs w:val="20"/>
          <w:lang w:val="es-CR" w:eastAsia="es-CR"/>
        </w:rPr>
        <w:t>,</w:t>
      </w:r>
      <w:r w:rsidRPr="00935F48">
        <w:rPr>
          <w:rFonts w:ascii="Verdana" w:hAnsi="Verdana"/>
          <w:sz w:val="20"/>
          <w:szCs w:val="20"/>
          <w:lang w:val="es-ES_tradnl"/>
        </w:rPr>
        <w:t xml:space="preserve"> en los términos de los párrafos </w:t>
      </w:r>
      <w:r w:rsidR="00926A69">
        <w:rPr>
          <w:rFonts w:ascii="Verdana" w:hAnsi="Verdana"/>
          <w:sz w:val="20"/>
          <w:szCs w:val="20"/>
          <w:lang w:val="es-ES_tradnl"/>
        </w:rPr>
        <w:t>10</w:t>
      </w:r>
      <w:r w:rsidR="008B6078">
        <w:rPr>
          <w:rFonts w:ascii="Verdana" w:hAnsi="Verdana"/>
          <w:sz w:val="20"/>
          <w:szCs w:val="20"/>
          <w:lang w:val="es-ES_tradnl"/>
        </w:rPr>
        <w:t>8</w:t>
      </w:r>
      <w:r w:rsidRPr="00935F48">
        <w:rPr>
          <w:rFonts w:ascii="Verdana" w:hAnsi="Verdana"/>
          <w:sz w:val="20"/>
          <w:szCs w:val="20"/>
          <w:lang w:val="es-ES_tradnl"/>
        </w:rPr>
        <w:t xml:space="preserve"> a </w:t>
      </w:r>
      <w:r w:rsidR="00926A69">
        <w:rPr>
          <w:rFonts w:ascii="Verdana" w:hAnsi="Verdana"/>
          <w:sz w:val="20"/>
          <w:szCs w:val="20"/>
          <w:lang w:val="es-ES_tradnl"/>
        </w:rPr>
        <w:t>11</w:t>
      </w:r>
      <w:r w:rsidR="008B6078">
        <w:rPr>
          <w:rFonts w:ascii="Verdana" w:hAnsi="Verdana"/>
          <w:sz w:val="20"/>
          <w:szCs w:val="20"/>
          <w:lang w:val="es-ES_tradnl"/>
        </w:rPr>
        <w:t>3</w:t>
      </w:r>
      <w:r w:rsidRPr="00935F48">
        <w:rPr>
          <w:rFonts w:ascii="Verdana" w:hAnsi="Verdana"/>
          <w:sz w:val="20"/>
          <w:szCs w:val="20"/>
          <w:lang w:val="es-ES_tradnl"/>
        </w:rPr>
        <w:t xml:space="preserve"> de la presente</w:t>
      </w:r>
      <w:r w:rsidRPr="00935F48">
        <w:rPr>
          <w:rFonts w:ascii="Verdana" w:hAnsi="Verdana"/>
          <w:spacing w:val="-6"/>
          <w:sz w:val="20"/>
          <w:szCs w:val="20"/>
          <w:lang w:val="es-ES_tradnl"/>
        </w:rPr>
        <w:t xml:space="preserve"> </w:t>
      </w:r>
      <w:r w:rsidRPr="00935F48">
        <w:rPr>
          <w:rFonts w:ascii="Verdana" w:hAnsi="Verdana"/>
          <w:sz w:val="20"/>
          <w:szCs w:val="20"/>
          <w:lang w:val="es-ES_tradnl"/>
        </w:rPr>
        <w:t>Sentencia.</w:t>
      </w:r>
    </w:p>
    <w:p w14:paraId="30EB4DDB" w14:textId="3063437B" w:rsidR="008919A1" w:rsidRPr="008A12F5" w:rsidRDefault="008919A1" w:rsidP="004330E3">
      <w:pPr>
        <w:pStyle w:val="Prrafodelista"/>
        <w:tabs>
          <w:tab w:val="left" w:pos="684"/>
        </w:tabs>
        <w:autoSpaceDE w:val="0"/>
        <w:autoSpaceDN w:val="0"/>
        <w:spacing w:after="0" w:line="240" w:lineRule="auto"/>
        <w:ind w:left="0" w:right="118"/>
        <w:contextualSpacing w:val="0"/>
        <w:jc w:val="both"/>
        <w:rPr>
          <w:rFonts w:ascii="Verdana" w:hAnsi="Verdana"/>
          <w:sz w:val="20"/>
          <w:szCs w:val="20"/>
          <w:highlight w:val="yellow"/>
          <w:lang w:val="es-ES_tradnl"/>
        </w:rPr>
      </w:pPr>
    </w:p>
    <w:p w14:paraId="5D23ED65" w14:textId="385B4BC5" w:rsidR="00095114" w:rsidRPr="00680B02" w:rsidRDefault="003A1875" w:rsidP="004330E3">
      <w:pPr>
        <w:pStyle w:val="Prrafodelista"/>
        <w:spacing w:after="0" w:line="240" w:lineRule="auto"/>
        <w:ind w:left="0"/>
        <w:rPr>
          <w:rFonts w:ascii="Verdana" w:hAnsi="Verdana"/>
          <w:b/>
          <w:sz w:val="20"/>
          <w:szCs w:val="20"/>
          <w:lang w:val="es-CR"/>
        </w:rPr>
      </w:pPr>
      <w:r w:rsidRPr="00680B02">
        <w:rPr>
          <w:rFonts w:ascii="Verdana" w:hAnsi="Verdana"/>
          <w:b/>
          <w:sz w:val="20"/>
          <w:szCs w:val="20"/>
          <w:lang w:val="es-CR"/>
        </w:rPr>
        <w:t xml:space="preserve">Y </w:t>
      </w:r>
      <w:r w:rsidR="00095114" w:rsidRPr="00680B02">
        <w:rPr>
          <w:rFonts w:ascii="Verdana" w:hAnsi="Verdana"/>
          <w:b/>
          <w:sz w:val="20"/>
          <w:szCs w:val="20"/>
          <w:lang w:val="es-CR"/>
        </w:rPr>
        <w:t>DISPONE</w:t>
      </w:r>
    </w:p>
    <w:p w14:paraId="465712FC" w14:textId="77777777" w:rsidR="00095114" w:rsidRPr="00F21E7C" w:rsidRDefault="00095114" w:rsidP="004330E3">
      <w:pPr>
        <w:pStyle w:val="Textoindependiente"/>
        <w:spacing w:line="240" w:lineRule="auto"/>
        <w:rPr>
          <w:b/>
        </w:rPr>
      </w:pPr>
    </w:p>
    <w:p w14:paraId="1580187A" w14:textId="69A35198" w:rsidR="00095114" w:rsidRPr="00F21E7C" w:rsidRDefault="00095114" w:rsidP="004330E3">
      <w:pPr>
        <w:pStyle w:val="Textoindependiente"/>
        <w:spacing w:line="240" w:lineRule="auto"/>
      </w:pPr>
      <w:r w:rsidRPr="00F21E7C">
        <w:t xml:space="preserve">Por </w:t>
      </w:r>
      <w:r w:rsidR="00926A69">
        <w:t>unanimidad</w:t>
      </w:r>
      <w:r w:rsidRPr="00F21E7C">
        <w:t>, que:</w:t>
      </w:r>
    </w:p>
    <w:p w14:paraId="6E37CC5F" w14:textId="77777777" w:rsidR="00095114" w:rsidRPr="00F21E7C" w:rsidRDefault="00095114" w:rsidP="004330E3">
      <w:pPr>
        <w:pStyle w:val="Textoindependiente"/>
        <w:spacing w:line="240" w:lineRule="auto"/>
      </w:pPr>
    </w:p>
    <w:p w14:paraId="75D3AC3B" w14:textId="48805A61" w:rsidR="00F21E7C" w:rsidRPr="00F21E7C" w:rsidRDefault="00612F9D" w:rsidP="00F21E7C">
      <w:pPr>
        <w:pStyle w:val="Prrafodelista"/>
        <w:numPr>
          <w:ilvl w:val="0"/>
          <w:numId w:val="12"/>
        </w:numPr>
        <w:tabs>
          <w:tab w:val="left" w:pos="685"/>
        </w:tabs>
        <w:autoSpaceDE w:val="0"/>
        <w:autoSpaceDN w:val="0"/>
        <w:spacing w:after="0" w:line="240" w:lineRule="auto"/>
        <w:ind w:left="0" w:right="117" w:hanging="1"/>
        <w:contextualSpacing w:val="0"/>
        <w:jc w:val="both"/>
        <w:rPr>
          <w:rFonts w:ascii="Verdana" w:hAnsi="Verdana"/>
          <w:sz w:val="20"/>
          <w:szCs w:val="20"/>
          <w:lang w:val="es-ES_tradnl"/>
        </w:rPr>
      </w:pPr>
      <w:r w:rsidRPr="00F21E7C">
        <w:rPr>
          <w:rFonts w:ascii="Verdana" w:hAnsi="Verdana"/>
          <w:sz w:val="20"/>
          <w:szCs w:val="20"/>
          <w:lang w:val="es-ES"/>
        </w:rPr>
        <w:t>La Secretaría de la Corte notifique la presente Sentencia a la República de Argentina, a los representantes</w:t>
      </w:r>
      <w:r w:rsidR="00F21E7C" w:rsidRPr="00F21E7C">
        <w:rPr>
          <w:rFonts w:ascii="Verdana" w:hAnsi="Verdana"/>
          <w:sz w:val="20"/>
          <w:szCs w:val="20"/>
          <w:lang w:val="es-ES"/>
        </w:rPr>
        <w:t xml:space="preserve"> de</w:t>
      </w:r>
      <w:r w:rsidRPr="00F21E7C">
        <w:rPr>
          <w:rFonts w:ascii="Verdana" w:hAnsi="Verdana"/>
          <w:sz w:val="20"/>
          <w:szCs w:val="20"/>
          <w:lang w:val="es-ES"/>
        </w:rPr>
        <w:t xml:space="preserve"> </w:t>
      </w:r>
      <w:r w:rsidR="005178F1">
        <w:rPr>
          <w:rFonts w:ascii="Verdana" w:hAnsi="Verdana"/>
          <w:sz w:val="20"/>
          <w:szCs w:val="20"/>
          <w:lang w:val="es-ES"/>
        </w:rPr>
        <w:t>Raghda</w:t>
      </w:r>
      <w:r w:rsidR="00F21E7C" w:rsidRPr="00F21E7C">
        <w:rPr>
          <w:rFonts w:ascii="Verdana" w:hAnsi="Verdana"/>
          <w:sz w:val="20"/>
          <w:szCs w:val="20"/>
          <w:lang w:val="es-ES"/>
        </w:rPr>
        <w:t xml:space="preserve"> Habbal, Monnawar Al Kassar, Hifaa Al Kassar, Natasha Al Kassar, y Monzer Al Kassar, </w:t>
      </w:r>
      <w:r w:rsidRPr="00F21E7C">
        <w:rPr>
          <w:rFonts w:ascii="Verdana" w:hAnsi="Verdana"/>
          <w:sz w:val="20"/>
          <w:szCs w:val="20"/>
          <w:lang w:val="es-ES"/>
        </w:rPr>
        <w:t>y a la Comisión Interamericana de Derechos Humanos</w:t>
      </w:r>
      <w:r w:rsidR="00095114" w:rsidRPr="00F21E7C">
        <w:rPr>
          <w:rFonts w:ascii="Verdana" w:hAnsi="Verdana"/>
          <w:sz w:val="20"/>
          <w:szCs w:val="20"/>
          <w:lang w:val="es-ES_tradnl"/>
        </w:rPr>
        <w:t>.</w:t>
      </w:r>
    </w:p>
    <w:p w14:paraId="3AED1FBF" w14:textId="77777777" w:rsidR="00095114" w:rsidRPr="00F21E7C" w:rsidRDefault="00095114" w:rsidP="004330E3">
      <w:pPr>
        <w:pStyle w:val="Textoindependiente"/>
        <w:spacing w:line="240" w:lineRule="auto"/>
      </w:pPr>
    </w:p>
    <w:p w14:paraId="35E7B329" w14:textId="6512C15B" w:rsidR="00095114" w:rsidRPr="00F21E7C" w:rsidRDefault="00F21E7C" w:rsidP="004330E3">
      <w:pPr>
        <w:pStyle w:val="Prrafodelista"/>
        <w:numPr>
          <w:ilvl w:val="0"/>
          <w:numId w:val="12"/>
        </w:numPr>
        <w:tabs>
          <w:tab w:val="left" w:pos="686"/>
        </w:tabs>
        <w:autoSpaceDE w:val="0"/>
        <w:autoSpaceDN w:val="0"/>
        <w:spacing w:after="0" w:line="240" w:lineRule="auto"/>
        <w:ind w:left="0" w:right="115" w:hanging="1"/>
        <w:contextualSpacing w:val="0"/>
        <w:jc w:val="both"/>
        <w:rPr>
          <w:rFonts w:ascii="Verdana" w:hAnsi="Verdana"/>
          <w:sz w:val="20"/>
          <w:szCs w:val="20"/>
          <w:lang w:val="es-ES_tradnl"/>
        </w:rPr>
      </w:pPr>
      <w:r w:rsidRPr="00F21E7C">
        <w:rPr>
          <w:rFonts w:ascii="Verdana" w:hAnsi="Verdana"/>
          <w:sz w:val="20"/>
          <w:szCs w:val="20"/>
        </w:rPr>
        <w:t>Se archive el expediente.</w:t>
      </w:r>
    </w:p>
    <w:p w14:paraId="14D0FE65" w14:textId="77777777" w:rsidR="00095114" w:rsidRPr="00680B02" w:rsidRDefault="00095114" w:rsidP="004330E3">
      <w:pPr>
        <w:pStyle w:val="Textoindependiente"/>
        <w:spacing w:line="240" w:lineRule="auto"/>
      </w:pPr>
    </w:p>
    <w:p w14:paraId="517A8466" w14:textId="4CD03725" w:rsidR="00095114" w:rsidRDefault="00095114" w:rsidP="004330E3">
      <w:pPr>
        <w:pStyle w:val="Textoindependiente"/>
        <w:spacing w:line="240" w:lineRule="auto"/>
      </w:pPr>
      <w:r w:rsidRPr="00680B02">
        <w:t xml:space="preserve">Redactada en español en San José, Costa Rica, el </w:t>
      </w:r>
      <w:r w:rsidR="00105410">
        <w:t xml:space="preserve">31 </w:t>
      </w:r>
      <w:r w:rsidRPr="00680B02">
        <w:t xml:space="preserve">de </w:t>
      </w:r>
      <w:r w:rsidR="00105410">
        <w:t>agosto</w:t>
      </w:r>
      <w:r w:rsidR="00713833" w:rsidRPr="00680B02">
        <w:t xml:space="preserve"> de 202</w:t>
      </w:r>
      <w:r w:rsidR="00B33FEC">
        <w:t>2</w:t>
      </w:r>
      <w:r w:rsidRPr="00680B02">
        <w:t>.</w:t>
      </w:r>
    </w:p>
    <w:p w14:paraId="70CA794A" w14:textId="77777777" w:rsidR="00515B22" w:rsidRPr="00680B02" w:rsidRDefault="00515B22" w:rsidP="004330E3">
      <w:pPr>
        <w:pStyle w:val="Textoindependiente"/>
        <w:spacing w:line="240" w:lineRule="auto"/>
      </w:pPr>
    </w:p>
    <w:p w14:paraId="64362F05" w14:textId="77777777" w:rsidR="00095114" w:rsidRPr="00680B02" w:rsidRDefault="00095114" w:rsidP="004330E3">
      <w:pPr>
        <w:rPr>
          <w:rFonts w:ascii="Verdana" w:hAnsi="Verdana"/>
          <w:sz w:val="20"/>
          <w:szCs w:val="20"/>
          <w:lang w:val="es-ES_tradnl"/>
        </w:rPr>
        <w:sectPr w:rsidR="00095114" w:rsidRPr="00680B02" w:rsidSect="00032F50">
          <w:headerReference w:type="even" r:id="rId8"/>
          <w:headerReference w:type="default" r:id="rId9"/>
          <w:footerReference w:type="even" r:id="rId10"/>
          <w:footerReference w:type="default" r:id="rId11"/>
          <w:headerReference w:type="first" r:id="rId12"/>
          <w:footerReference w:type="first" r:id="rId13"/>
          <w:pgSz w:w="12240" w:h="15840"/>
          <w:pgMar w:top="1500" w:right="1300" w:bottom="1180" w:left="1300" w:header="0" w:footer="994" w:gutter="0"/>
          <w:cols w:space="720"/>
          <w:docGrid w:linePitch="326"/>
        </w:sectPr>
      </w:pPr>
    </w:p>
    <w:p w14:paraId="2EB6EC9D" w14:textId="6D0CD717" w:rsidR="00095114" w:rsidRPr="000823EE" w:rsidRDefault="00095114" w:rsidP="004330E3">
      <w:pPr>
        <w:pStyle w:val="Textoindependiente"/>
        <w:spacing w:line="240" w:lineRule="auto"/>
        <w:ind w:left="118" w:right="116"/>
      </w:pPr>
      <w:r w:rsidRPr="000823EE">
        <w:lastRenderedPageBreak/>
        <w:t xml:space="preserve">Corte IDH. </w:t>
      </w:r>
      <w:r w:rsidR="005C0347" w:rsidRPr="000823EE">
        <w:rPr>
          <w:i/>
        </w:rPr>
        <w:t>Habbal</w:t>
      </w:r>
      <w:r w:rsidR="00123A20" w:rsidRPr="000823EE">
        <w:rPr>
          <w:i/>
        </w:rPr>
        <w:t xml:space="preserve"> y otros Vs</w:t>
      </w:r>
      <w:r w:rsidRPr="000823EE">
        <w:rPr>
          <w:i/>
        </w:rPr>
        <w:t>.</w:t>
      </w:r>
      <w:r w:rsidR="00123A20" w:rsidRPr="000823EE">
        <w:rPr>
          <w:i/>
        </w:rPr>
        <w:t xml:space="preserve"> </w:t>
      </w:r>
      <w:r w:rsidR="005C0347" w:rsidRPr="000823EE">
        <w:rPr>
          <w:i/>
        </w:rPr>
        <w:t>Argentina</w:t>
      </w:r>
      <w:r w:rsidR="00123A20" w:rsidRPr="000823EE">
        <w:rPr>
          <w:i/>
        </w:rPr>
        <w:t>.</w:t>
      </w:r>
      <w:r w:rsidRPr="000823EE">
        <w:rPr>
          <w:i/>
        </w:rPr>
        <w:t xml:space="preserve"> </w:t>
      </w:r>
      <w:r w:rsidRPr="000823EE">
        <w:t>Excepciones Preliminares</w:t>
      </w:r>
      <w:r w:rsidR="00F21E7C" w:rsidRPr="000823EE">
        <w:t xml:space="preserve"> y</w:t>
      </w:r>
      <w:r w:rsidRPr="000823EE">
        <w:t xml:space="preserve"> Fondo</w:t>
      </w:r>
      <w:r w:rsidRPr="000823EE">
        <w:rPr>
          <w:i/>
        </w:rPr>
        <w:t xml:space="preserve">. </w:t>
      </w:r>
      <w:r w:rsidRPr="000823EE">
        <w:t xml:space="preserve">Sentencia de </w:t>
      </w:r>
      <w:r w:rsidR="00B619E3" w:rsidRPr="000823EE">
        <w:t>31 de agosto de</w:t>
      </w:r>
      <w:r w:rsidR="00123A20" w:rsidRPr="000823EE">
        <w:t xml:space="preserve"> 202</w:t>
      </w:r>
      <w:r w:rsidR="005C0347" w:rsidRPr="000823EE">
        <w:t>2</w:t>
      </w:r>
      <w:r w:rsidRPr="000823EE">
        <w:t>. Sentencia adoptada en San José, Costa Rica.</w:t>
      </w:r>
    </w:p>
    <w:p w14:paraId="3AA009B1" w14:textId="0A3FA0C3" w:rsidR="00095114" w:rsidRPr="000823EE" w:rsidRDefault="00095114" w:rsidP="004330E3">
      <w:pPr>
        <w:pStyle w:val="Textoindependiente"/>
        <w:spacing w:line="240" w:lineRule="auto"/>
        <w:rPr>
          <w:highlight w:val="yellow"/>
        </w:rPr>
      </w:pPr>
    </w:p>
    <w:p w14:paraId="28A0B028" w14:textId="0A5C6C53" w:rsidR="00095114" w:rsidRPr="000823EE" w:rsidRDefault="00095114" w:rsidP="004330E3">
      <w:pPr>
        <w:pStyle w:val="Textoindependiente"/>
        <w:spacing w:line="240" w:lineRule="auto"/>
        <w:rPr>
          <w:highlight w:val="yellow"/>
        </w:rPr>
      </w:pPr>
    </w:p>
    <w:p w14:paraId="3792B4BD" w14:textId="6D58CEF0" w:rsidR="00095114" w:rsidRDefault="00095114" w:rsidP="004330E3">
      <w:pPr>
        <w:pStyle w:val="Textoindependiente"/>
        <w:spacing w:line="240" w:lineRule="auto"/>
        <w:rPr>
          <w:highlight w:val="yellow"/>
        </w:rPr>
      </w:pPr>
    </w:p>
    <w:p w14:paraId="17826838" w14:textId="21D3B29E" w:rsidR="000823EE" w:rsidRPr="000823EE" w:rsidRDefault="000823EE" w:rsidP="004330E3">
      <w:pPr>
        <w:pStyle w:val="Textoindependiente"/>
        <w:spacing w:line="240" w:lineRule="auto"/>
        <w:rPr>
          <w:highlight w:val="yellow"/>
        </w:rPr>
      </w:pPr>
    </w:p>
    <w:p w14:paraId="122C9812" w14:textId="55244C1B" w:rsidR="00095114" w:rsidRPr="000823EE" w:rsidRDefault="00095114" w:rsidP="004330E3">
      <w:pPr>
        <w:pStyle w:val="Textoindependiente"/>
        <w:spacing w:line="240" w:lineRule="auto"/>
        <w:rPr>
          <w:highlight w:val="yellow"/>
        </w:rPr>
      </w:pPr>
    </w:p>
    <w:p w14:paraId="46536EE5" w14:textId="1A79BCFE" w:rsidR="0009634C" w:rsidRPr="000823EE" w:rsidRDefault="0009634C" w:rsidP="0009634C">
      <w:pPr>
        <w:jc w:val="center"/>
        <w:rPr>
          <w:rFonts w:ascii="Verdana" w:eastAsia="Batang" w:hAnsi="Verdana"/>
          <w:sz w:val="20"/>
          <w:szCs w:val="20"/>
          <w:lang w:val="es-ES_tradnl" w:eastAsia="en-US"/>
        </w:rPr>
      </w:pPr>
      <w:r w:rsidRPr="000823EE">
        <w:rPr>
          <w:rFonts w:ascii="Verdana" w:hAnsi="Verdana"/>
          <w:sz w:val="20"/>
          <w:szCs w:val="20"/>
          <w:lang w:val="es-ES_tradnl"/>
        </w:rPr>
        <w:t>Ricardo C. Pérez Manrique</w:t>
      </w:r>
    </w:p>
    <w:p w14:paraId="09D2127F" w14:textId="1F52A513" w:rsidR="0009634C" w:rsidRPr="000823EE" w:rsidRDefault="0009634C" w:rsidP="0009634C">
      <w:pPr>
        <w:jc w:val="center"/>
        <w:rPr>
          <w:rFonts w:ascii="Verdana" w:eastAsiaTheme="minorHAnsi" w:hAnsi="Verdana"/>
          <w:sz w:val="20"/>
          <w:szCs w:val="20"/>
          <w:lang w:val="es-ES_tradnl"/>
        </w:rPr>
      </w:pPr>
      <w:r w:rsidRPr="000823EE">
        <w:rPr>
          <w:rFonts w:ascii="Verdana" w:hAnsi="Verdana"/>
          <w:sz w:val="20"/>
          <w:szCs w:val="20"/>
          <w:lang w:val="es-ES_tradnl"/>
        </w:rPr>
        <w:t>Presidente</w:t>
      </w:r>
    </w:p>
    <w:p w14:paraId="5B1C5AAA" w14:textId="7F0675EE" w:rsidR="0009634C" w:rsidRPr="000823EE" w:rsidRDefault="0009634C" w:rsidP="0009634C">
      <w:pPr>
        <w:rPr>
          <w:rFonts w:ascii="Verdana" w:hAnsi="Verdana"/>
          <w:sz w:val="20"/>
          <w:szCs w:val="20"/>
          <w:lang w:val="es-ES_tradnl"/>
        </w:rPr>
      </w:pPr>
    </w:p>
    <w:p w14:paraId="4AD9596B" w14:textId="43DC6316" w:rsidR="0009634C" w:rsidRDefault="0009634C" w:rsidP="0009634C">
      <w:pPr>
        <w:rPr>
          <w:rFonts w:ascii="Verdana" w:hAnsi="Verdana"/>
          <w:sz w:val="20"/>
          <w:szCs w:val="20"/>
          <w:lang w:val="es-ES_tradnl"/>
        </w:rPr>
      </w:pPr>
    </w:p>
    <w:p w14:paraId="6A034F16" w14:textId="7AE84074" w:rsidR="000823EE" w:rsidRPr="000823EE" w:rsidRDefault="00AC75A6" w:rsidP="00AC75A6">
      <w:pPr>
        <w:tabs>
          <w:tab w:val="left" w:pos="7646"/>
        </w:tabs>
        <w:rPr>
          <w:rFonts w:ascii="Verdana" w:hAnsi="Verdana"/>
          <w:sz w:val="20"/>
          <w:szCs w:val="20"/>
          <w:lang w:val="es-ES_tradnl"/>
        </w:rPr>
      </w:pPr>
      <w:r>
        <w:rPr>
          <w:rFonts w:ascii="Verdana" w:hAnsi="Verdana"/>
          <w:sz w:val="20"/>
          <w:szCs w:val="20"/>
          <w:lang w:val="es-ES_tradnl"/>
        </w:rPr>
        <w:tab/>
      </w:r>
    </w:p>
    <w:p w14:paraId="0F4848A6" w14:textId="2D572438" w:rsidR="0009634C" w:rsidRPr="000823EE" w:rsidRDefault="0009634C" w:rsidP="0009634C">
      <w:pPr>
        <w:rPr>
          <w:rFonts w:ascii="Verdana" w:hAnsi="Verdana"/>
          <w:sz w:val="20"/>
          <w:szCs w:val="20"/>
          <w:lang w:val="es-ES_tradnl"/>
        </w:rPr>
      </w:pPr>
    </w:p>
    <w:p w14:paraId="6317B58F" w14:textId="5178265F" w:rsidR="0009634C" w:rsidRPr="007427B6" w:rsidRDefault="0009634C" w:rsidP="0009634C">
      <w:pPr>
        <w:rPr>
          <w:rFonts w:ascii="Verdana" w:hAnsi="Verdana"/>
          <w:sz w:val="20"/>
          <w:szCs w:val="20"/>
          <w:lang w:val="es-ES_tradnl"/>
        </w:rPr>
      </w:pPr>
    </w:p>
    <w:p w14:paraId="1F9D2410" w14:textId="0964F597" w:rsidR="0009634C" w:rsidRPr="00617C74" w:rsidRDefault="0009634C" w:rsidP="0009634C">
      <w:pPr>
        <w:rPr>
          <w:rFonts w:ascii="Verdana" w:hAnsi="Verdana"/>
          <w:sz w:val="20"/>
          <w:szCs w:val="20"/>
          <w:lang w:val="pt-BR"/>
        </w:rPr>
      </w:pPr>
      <w:r w:rsidRPr="00617C74">
        <w:rPr>
          <w:rFonts w:ascii="Verdana" w:hAnsi="Verdana"/>
          <w:sz w:val="20"/>
          <w:szCs w:val="20"/>
          <w:lang w:val="pt-BR"/>
        </w:rPr>
        <w:t>Humberto Antonio Sierra Porto</w:t>
      </w:r>
      <w:r w:rsidRPr="00617C74">
        <w:rPr>
          <w:rFonts w:ascii="Verdana" w:hAnsi="Verdana"/>
          <w:sz w:val="20"/>
          <w:szCs w:val="20"/>
          <w:lang w:val="pt-BR"/>
        </w:rPr>
        <w:tab/>
      </w:r>
      <w:r w:rsidRPr="00617C74">
        <w:rPr>
          <w:rFonts w:ascii="Verdana" w:hAnsi="Verdana"/>
          <w:sz w:val="20"/>
          <w:szCs w:val="20"/>
          <w:lang w:val="pt-BR"/>
        </w:rPr>
        <w:tab/>
      </w:r>
      <w:r w:rsidR="0091287A" w:rsidRPr="00617C74">
        <w:rPr>
          <w:rFonts w:ascii="Verdana" w:hAnsi="Verdana"/>
          <w:sz w:val="20"/>
          <w:szCs w:val="20"/>
          <w:lang w:val="pt-BR"/>
        </w:rPr>
        <w:tab/>
      </w:r>
      <w:r w:rsidRPr="00617C74">
        <w:rPr>
          <w:rFonts w:ascii="Verdana" w:hAnsi="Verdana"/>
          <w:sz w:val="20"/>
          <w:szCs w:val="20"/>
          <w:lang w:val="pt-BR"/>
        </w:rPr>
        <w:tab/>
        <w:t>Eduardo Ferrer Mac-Gregor Poisot</w:t>
      </w:r>
    </w:p>
    <w:p w14:paraId="6A7D4FFA" w14:textId="041A200D" w:rsidR="0009634C" w:rsidRPr="00617C74" w:rsidRDefault="0009634C" w:rsidP="0009634C">
      <w:pPr>
        <w:rPr>
          <w:rFonts w:ascii="Verdana" w:hAnsi="Verdana"/>
          <w:sz w:val="20"/>
          <w:szCs w:val="20"/>
          <w:lang w:val="pt-BR"/>
        </w:rPr>
      </w:pPr>
    </w:p>
    <w:p w14:paraId="647225AD" w14:textId="4C68DA59" w:rsidR="0009634C" w:rsidRPr="00617C74" w:rsidRDefault="0009634C" w:rsidP="0009634C">
      <w:pPr>
        <w:rPr>
          <w:rFonts w:ascii="Verdana" w:hAnsi="Verdana"/>
          <w:sz w:val="20"/>
          <w:szCs w:val="20"/>
          <w:lang w:val="pt-BR"/>
        </w:rPr>
      </w:pPr>
    </w:p>
    <w:p w14:paraId="0A1C415B" w14:textId="3CC0629B" w:rsidR="0009634C" w:rsidRPr="00617C74" w:rsidRDefault="0009634C" w:rsidP="0009634C">
      <w:pPr>
        <w:rPr>
          <w:rFonts w:ascii="Verdana" w:hAnsi="Verdana"/>
          <w:sz w:val="20"/>
          <w:szCs w:val="20"/>
          <w:lang w:val="pt-BR"/>
        </w:rPr>
      </w:pPr>
    </w:p>
    <w:p w14:paraId="7903FBEC" w14:textId="687A4A1D" w:rsidR="0009634C" w:rsidRPr="00617C74" w:rsidRDefault="00AC75A6" w:rsidP="00AC75A6">
      <w:pPr>
        <w:tabs>
          <w:tab w:val="left" w:pos="7402"/>
        </w:tabs>
        <w:rPr>
          <w:rFonts w:ascii="Verdana" w:hAnsi="Verdana"/>
          <w:sz w:val="20"/>
          <w:szCs w:val="20"/>
          <w:lang w:val="pt-BR"/>
        </w:rPr>
      </w:pPr>
      <w:r w:rsidRPr="00617C74">
        <w:rPr>
          <w:rFonts w:ascii="Verdana" w:hAnsi="Verdana"/>
          <w:sz w:val="20"/>
          <w:szCs w:val="20"/>
          <w:lang w:val="pt-BR"/>
        </w:rPr>
        <w:tab/>
      </w:r>
    </w:p>
    <w:p w14:paraId="28E491F5" w14:textId="41D74B0F" w:rsidR="0009634C" w:rsidRPr="00617C74" w:rsidRDefault="0009634C" w:rsidP="0009634C">
      <w:pPr>
        <w:rPr>
          <w:rFonts w:ascii="Verdana" w:hAnsi="Verdana"/>
          <w:sz w:val="20"/>
          <w:szCs w:val="20"/>
          <w:lang w:val="pt-BR"/>
        </w:rPr>
      </w:pPr>
    </w:p>
    <w:p w14:paraId="63C03C58" w14:textId="012E44A0" w:rsidR="0009634C" w:rsidRPr="000823EE" w:rsidRDefault="00124CFE" w:rsidP="0009634C">
      <w:pPr>
        <w:rPr>
          <w:rFonts w:ascii="Verdana" w:hAnsi="Verdana"/>
          <w:sz w:val="20"/>
          <w:szCs w:val="20"/>
        </w:rPr>
      </w:pPr>
      <w:r w:rsidRPr="000823EE">
        <w:rPr>
          <w:rFonts w:ascii="Verdana" w:eastAsia="Times" w:hAnsi="Verdana"/>
          <w:sz w:val="20"/>
          <w:szCs w:val="20"/>
        </w:rPr>
        <w:t>Nancy Hernández</w:t>
      </w:r>
      <w:r w:rsidR="0091287A" w:rsidRPr="000823EE">
        <w:rPr>
          <w:rFonts w:ascii="Verdana" w:eastAsia="Times" w:hAnsi="Verdana"/>
          <w:sz w:val="20"/>
          <w:szCs w:val="20"/>
        </w:rPr>
        <w:t xml:space="preserve"> López</w:t>
      </w:r>
      <w:r w:rsidR="0009634C" w:rsidRPr="000823EE">
        <w:rPr>
          <w:rFonts w:ascii="Verdana" w:eastAsia="Times" w:hAnsi="Verdana"/>
          <w:sz w:val="20"/>
          <w:szCs w:val="20"/>
        </w:rPr>
        <w:tab/>
      </w:r>
      <w:r w:rsidR="0009634C" w:rsidRPr="000823EE">
        <w:rPr>
          <w:rFonts w:ascii="Verdana" w:hAnsi="Verdana"/>
          <w:sz w:val="20"/>
          <w:szCs w:val="20"/>
        </w:rPr>
        <w:tab/>
      </w:r>
      <w:r w:rsidR="0009634C" w:rsidRPr="000823EE">
        <w:rPr>
          <w:rFonts w:ascii="Verdana" w:hAnsi="Verdana"/>
          <w:sz w:val="20"/>
          <w:szCs w:val="20"/>
        </w:rPr>
        <w:tab/>
      </w:r>
      <w:r w:rsidR="0009634C" w:rsidRPr="000823EE">
        <w:rPr>
          <w:rFonts w:ascii="Verdana" w:hAnsi="Verdana"/>
          <w:sz w:val="20"/>
          <w:szCs w:val="20"/>
        </w:rPr>
        <w:tab/>
      </w:r>
      <w:r w:rsidR="0009634C" w:rsidRPr="000823EE">
        <w:rPr>
          <w:rFonts w:ascii="Verdana" w:hAnsi="Verdana"/>
          <w:sz w:val="20"/>
          <w:szCs w:val="20"/>
        </w:rPr>
        <w:tab/>
      </w:r>
      <w:r w:rsidR="0009634C" w:rsidRPr="000823EE">
        <w:rPr>
          <w:rFonts w:ascii="Verdana" w:hAnsi="Verdana"/>
          <w:sz w:val="20"/>
          <w:szCs w:val="20"/>
        </w:rPr>
        <w:tab/>
        <w:t>Patricia Pérez Goldberg</w:t>
      </w:r>
    </w:p>
    <w:p w14:paraId="60D7DBBA" w14:textId="25294844" w:rsidR="0009634C" w:rsidRPr="000823EE" w:rsidRDefault="0009634C" w:rsidP="0009634C">
      <w:pPr>
        <w:rPr>
          <w:rFonts w:ascii="Verdana" w:hAnsi="Verdana"/>
          <w:sz w:val="20"/>
          <w:szCs w:val="20"/>
        </w:rPr>
      </w:pPr>
    </w:p>
    <w:p w14:paraId="54154DA7" w14:textId="437B83A7" w:rsidR="0009634C" w:rsidRPr="000823EE" w:rsidRDefault="00AC75A6" w:rsidP="00AC75A6">
      <w:pPr>
        <w:tabs>
          <w:tab w:val="left" w:pos="3802"/>
        </w:tabs>
        <w:rPr>
          <w:rFonts w:ascii="Verdana" w:hAnsi="Verdana"/>
          <w:sz w:val="20"/>
          <w:szCs w:val="20"/>
        </w:rPr>
      </w:pPr>
      <w:r>
        <w:rPr>
          <w:rFonts w:ascii="Verdana" w:hAnsi="Verdana"/>
          <w:sz w:val="20"/>
          <w:szCs w:val="20"/>
        </w:rPr>
        <w:tab/>
      </w:r>
    </w:p>
    <w:p w14:paraId="5050ECC3" w14:textId="0018948F" w:rsidR="0009634C" w:rsidRPr="000823EE" w:rsidRDefault="0009634C" w:rsidP="0009634C">
      <w:pPr>
        <w:rPr>
          <w:rFonts w:ascii="Verdana" w:hAnsi="Verdana"/>
          <w:sz w:val="20"/>
          <w:szCs w:val="20"/>
        </w:rPr>
      </w:pPr>
    </w:p>
    <w:p w14:paraId="4B97E0A9" w14:textId="670B6C63" w:rsidR="0009634C" w:rsidRPr="000823EE" w:rsidRDefault="0009634C" w:rsidP="0009634C">
      <w:pPr>
        <w:rPr>
          <w:rFonts w:ascii="Verdana" w:hAnsi="Verdana"/>
          <w:sz w:val="20"/>
          <w:szCs w:val="20"/>
        </w:rPr>
      </w:pPr>
    </w:p>
    <w:p w14:paraId="1C929BD9" w14:textId="77777777" w:rsidR="0009634C" w:rsidRPr="00617C74" w:rsidRDefault="0009634C" w:rsidP="0009634C">
      <w:pPr>
        <w:rPr>
          <w:rFonts w:ascii="Verdana" w:hAnsi="Verdana"/>
          <w:sz w:val="20"/>
          <w:szCs w:val="20"/>
          <w:lang w:val="pt-BR"/>
        </w:rPr>
      </w:pPr>
    </w:p>
    <w:p w14:paraId="3F718F40" w14:textId="77777777" w:rsidR="0009634C" w:rsidRPr="00617C74" w:rsidRDefault="0009634C" w:rsidP="0009634C">
      <w:pPr>
        <w:jc w:val="center"/>
        <w:rPr>
          <w:rFonts w:ascii="Verdana" w:hAnsi="Verdana"/>
          <w:sz w:val="20"/>
          <w:szCs w:val="20"/>
          <w:lang w:val="pt-BR"/>
        </w:rPr>
      </w:pPr>
      <w:r w:rsidRPr="00617C74">
        <w:rPr>
          <w:rFonts w:ascii="Verdana" w:hAnsi="Verdana"/>
          <w:sz w:val="20"/>
          <w:szCs w:val="20"/>
          <w:lang w:val="pt-BR"/>
        </w:rPr>
        <w:t>Rodrigo de Bittencourt Mudrovitsch</w:t>
      </w:r>
    </w:p>
    <w:p w14:paraId="029165AB" w14:textId="77777777" w:rsidR="0009634C" w:rsidRPr="00617C74" w:rsidRDefault="0009634C" w:rsidP="0009634C">
      <w:pPr>
        <w:rPr>
          <w:rFonts w:ascii="Verdana" w:hAnsi="Verdana"/>
          <w:sz w:val="20"/>
          <w:szCs w:val="20"/>
          <w:lang w:val="pt-BR"/>
        </w:rPr>
      </w:pPr>
    </w:p>
    <w:p w14:paraId="1EF5F550" w14:textId="77777777" w:rsidR="0009634C" w:rsidRPr="00617C74" w:rsidRDefault="0009634C" w:rsidP="0009634C">
      <w:pPr>
        <w:rPr>
          <w:rFonts w:ascii="Verdana" w:hAnsi="Verdana"/>
          <w:sz w:val="20"/>
          <w:szCs w:val="20"/>
          <w:lang w:val="pt-BR"/>
        </w:rPr>
      </w:pPr>
    </w:p>
    <w:p w14:paraId="5CD0CDA3" w14:textId="77777777" w:rsidR="0009634C" w:rsidRPr="00617C74" w:rsidRDefault="0009634C" w:rsidP="0009634C">
      <w:pPr>
        <w:rPr>
          <w:rFonts w:ascii="Verdana" w:eastAsia="Times" w:hAnsi="Verdana"/>
          <w:sz w:val="20"/>
          <w:szCs w:val="20"/>
          <w:lang w:val="pt-BR"/>
        </w:rPr>
      </w:pPr>
    </w:p>
    <w:p w14:paraId="516DD34F" w14:textId="77777777" w:rsidR="0009634C" w:rsidRPr="00617C74" w:rsidRDefault="0009634C" w:rsidP="00AC75A6">
      <w:pPr>
        <w:jc w:val="center"/>
        <w:rPr>
          <w:rFonts w:ascii="Verdana" w:eastAsia="Times" w:hAnsi="Verdana"/>
          <w:sz w:val="20"/>
          <w:szCs w:val="20"/>
          <w:lang w:val="pt-BR"/>
        </w:rPr>
      </w:pPr>
    </w:p>
    <w:p w14:paraId="7D506985" w14:textId="77777777" w:rsidR="0009634C" w:rsidRPr="00617C74" w:rsidRDefault="0009634C" w:rsidP="0009634C">
      <w:pPr>
        <w:rPr>
          <w:rFonts w:ascii="Verdana" w:eastAsia="Times" w:hAnsi="Verdana"/>
          <w:sz w:val="20"/>
          <w:szCs w:val="20"/>
          <w:lang w:val="pt-BR"/>
        </w:rPr>
      </w:pPr>
    </w:p>
    <w:p w14:paraId="10ECFBC5" w14:textId="77777777" w:rsidR="0009634C" w:rsidRPr="00617C74" w:rsidRDefault="0009634C" w:rsidP="0009634C">
      <w:pPr>
        <w:jc w:val="center"/>
        <w:rPr>
          <w:rFonts w:ascii="Verdana" w:eastAsia="Times" w:hAnsi="Verdana"/>
          <w:sz w:val="20"/>
          <w:szCs w:val="20"/>
          <w:lang w:val="pt-BR"/>
        </w:rPr>
      </w:pPr>
      <w:r w:rsidRPr="00617C74">
        <w:rPr>
          <w:rFonts w:ascii="Verdana" w:eastAsia="Times" w:hAnsi="Verdana"/>
          <w:sz w:val="20"/>
          <w:szCs w:val="20"/>
          <w:lang w:val="pt-BR"/>
        </w:rPr>
        <w:t>Pablo Saavedra Alessandri</w:t>
      </w:r>
    </w:p>
    <w:p w14:paraId="6E837022" w14:textId="77777777" w:rsidR="0009634C" w:rsidRPr="000823EE" w:rsidRDefault="0009634C" w:rsidP="0009634C">
      <w:pPr>
        <w:jc w:val="center"/>
        <w:rPr>
          <w:rFonts w:ascii="Verdana" w:eastAsia="Times" w:hAnsi="Verdana"/>
          <w:sz w:val="20"/>
          <w:szCs w:val="20"/>
          <w:lang w:val="pt-BR"/>
        </w:rPr>
      </w:pPr>
      <w:r w:rsidRPr="000823EE">
        <w:rPr>
          <w:rFonts w:ascii="Verdana" w:eastAsia="Times" w:hAnsi="Verdana"/>
          <w:sz w:val="20"/>
          <w:szCs w:val="20"/>
          <w:lang w:val="pt-BR"/>
        </w:rPr>
        <w:t>Secretario</w:t>
      </w:r>
    </w:p>
    <w:p w14:paraId="4371B1B3" w14:textId="1BFDDF81" w:rsidR="0009634C" w:rsidRDefault="0009634C" w:rsidP="0009634C">
      <w:pPr>
        <w:rPr>
          <w:rFonts w:ascii="Verdana" w:eastAsia="Times" w:hAnsi="Verdana"/>
          <w:sz w:val="20"/>
          <w:szCs w:val="20"/>
          <w:lang w:val="pt-BR"/>
        </w:rPr>
      </w:pPr>
    </w:p>
    <w:p w14:paraId="75741500" w14:textId="0156A999" w:rsidR="000823EE" w:rsidRDefault="000823EE" w:rsidP="0009634C">
      <w:pPr>
        <w:rPr>
          <w:rFonts w:ascii="Verdana" w:eastAsia="Times" w:hAnsi="Verdana"/>
          <w:sz w:val="20"/>
          <w:szCs w:val="20"/>
          <w:lang w:val="pt-BR"/>
        </w:rPr>
      </w:pPr>
    </w:p>
    <w:p w14:paraId="74B50B26" w14:textId="64282BC4" w:rsidR="000823EE" w:rsidRPr="000823EE" w:rsidRDefault="000823EE" w:rsidP="0009634C">
      <w:pPr>
        <w:rPr>
          <w:rFonts w:ascii="Verdana" w:eastAsia="Times" w:hAnsi="Verdana"/>
          <w:sz w:val="20"/>
          <w:szCs w:val="20"/>
          <w:lang w:val="pt-BR"/>
        </w:rPr>
      </w:pPr>
    </w:p>
    <w:p w14:paraId="7BBB08D9" w14:textId="5CBE4F25" w:rsidR="0009634C" w:rsidRPr="000823EE" w:rsidRDefault="0009634C" w:rsidP="0009634C">
      <w:pPr>
        <w:rPr>
          <w:rFonts w:ascii="Verdana" w:eastAsia="Times" w:hAnsi="Verdana"/>
          <w:sz w:val="20"/>
          <w:szCs w:val="20"/>
          <w:lang w:val="pt-BR"/>
        </w:rPr>
      </w:pPr>
    </w:p>
    <w:p w14:paraId="514F7174" w14:textId="3C4A0FFF" w:rsidR="0009634C" w:rsidRPr="000823EE" w:rsidRDefault="0009634C" w:rsidP="0009634C">
      <w:pPr>
        <w:rPr>
          <w:rFonts w:ascii="Verdana" w:eastAsia="Times" w:hAnsi="Verdana"/>
          <w:sz w:val="20"/>
          <w:szCs w:val="20"/>
          <w:lang w:val="pt-BR"/>
        </w:rPr>
      </w:pPr>
      <w:r w:rsidRPr="000823EE">
        <w:rPr>
          <w:rFonts w:ascii="Verdana" w:eastAsia="Times" w:hAnsi="Verdana"/>
          <w:sz w:val="20"/>
          <w:szCs w:val="20"/>
          <w:lang w:val="pt-BR"/>
        </w:rPr>
        <w:t>Comuníquese y ejecútese,</w:t>
      </w:r>
    </w:p>
    <w:p w14:paraId="6FC05C75" w14:textId="0B86D855" w:rsidR="0009634C" w:rsidRPr="000823EE" w:rsidRDefault="0009634C" w:rsidP="0009634C">
      <w:pPr>
        <w:rPr>
          <w:rFonts w:ascii="Verdana" w:eastAsia="Times" w:hAnsi="Verdana"/>
          <w:sz w:val="20"/>
          <w:szCs w:val="20"/>
          <w:lang w:val="pt-BR"/>
        </w:rPr>
      </w:pPr>
    </w:p>
    <w:p w14:paraId="41A7F53B" w14:textId="00547C83" w:rsidR="0009634C" w:rsidRDefault="0009634C" w:rsidP="0009634C">
      <w:pPr>
        <w:rPr>
          <w:rFonts w:ascii="Verdana" w:eastAsia="Times" w:hAnsi="Verdana"/>
          <w:sz w:val="20"/>
          <w:szCs w:val="20"/>
          <w:lang w:val="pt-BR"/>
        </w:rPr>
      </w:pPr>
    </w:p>
    <w:p w14:paraId="64A39F5D" w14:textId="5549799B" w:rsidR="000823EE" w:rsidRPr="000823EE" w:rsidRDefault="000823EE" w:rsidP="0009634C">
      <w:pPr>
        <w:rPr>
          <w:rFonts w:ascii="Verdana" w:eastAsia="Times" w:hAnsi="Verdana"/>
          <w:sz w:val="20"/>
          <w:szCs w:val="20"/>
          <w:lang w:val="pt-BR"/>
        </w:rPr>
      </w:pPr>
    </w:p>
    <w:p w14:paraId="6377B4AB" w14:textId="1E37A1DF" w:rsidR="0009634C" w:rsidRPr="000823EE" w:rsidRDefault="0009634C" w:rsidP="0009634C">
      <w:pPr>
        <w:rPr>
          <w:rFonts w:ascii="Verdana" w:eastAsia="Times" w:hAnsi="Verdana"/>
          <w:sz w:val="20"/>
          <w:szCs w:val="20"/>
          <w:lang w:val="pt-BR"/>
        </w:rPr>
      </w:pPr>
    </w:p>
    <w:p w14:paraId="025AF4F8" w14:textId="7A9EC38A" w:rsidR="0009634C" w:rsidRPr="000823EE" w:rsidRDefault="0009634C" w:rsidP="0009634C">
      <w:pPr>
        <w:ind w:left="6096"/>
        <w:jc w:val="center"/>
        <w:rPr>
          <w:rFonts w:ascii="Verdana" w:eastAsia="Batang" w:hAnsi="Verdana"/>
          <w:sz w:val="20"/>
          <w:szCs w:val="20"/>
          <w:lang w:val="pt-BR"/>
        </w:rPr>
      </w:pPr>
      <w:r w:rsidRPr="000823EE">
        <w:rPr>
          <w:rFonts w:ascii="Verdana" w:hAnsi="Verdana"/>
          <w:sz w:val="20"/>
          <w:szCs w:val="20"/>
          <w:lang w:val="pt-BR"/>
        </w:rPr>
        <w:t>Ricardo C. Pérez Manrique</w:t>
      </w:r>
    </w:p>
    <w:p w14:paraId="76747055" w14:textId="77777777" w:rsidR="0009634C" w:rsidRPr="000823EE" w:rsidRDefault="0009634C" w:rsidP="0009634C">
      <w:pPr>
        <w:ind w:left="6372"/>
        <w:jc w:val="center"/>
        <w:rPr>
          <w:rFonts w:ascii="Verdana" w:eastAsiaTheme="minorHAnsi" w:hAnsi="Verdana"/>
          <w:sz w:val="20"/>
          <w:szCs w:val="20"/>
          <w:lang w:val="pt-BR"/>
        </w:rPr>
      </w:pPr>
      <w:r w:rsidRPr="000823EE">
        <w:rPr>
          <w:rFonts w:ascii="Verdana" w:hAnsi="Verdana"/>
          <w:sz w:val="20"/>
          <w:szCs w:val="20"/>
          <w:lang w:val="pt-BR"/>
        </w:rPr>
        <w:t>Presidente</w:t>
      </w:r>
    </w:p>
    <w:p w14:paraId="6C066D75" w14:textId="1ECF0BC4" w:rsidR="0009634C" w:rsidRDefault="0009634C" w:rsidP="0009634C">
      <w:pPr>
        <w:rPr>
          <w:rFonts w:ascii="Verdana" w:eastAsia="Times" w:hAnsi="Verdana"/>
          <w:sz w:val="20"/>
          <w:szCs w:val="20"/>
          <w:lang w:val="pt-BR"/>
        </w:rPr>
      </w:pPr>
    </w:p>
    <w:p w14:paraId="08033234" w14:textId="11238249" w:rsidR="000823EE" w:rsidRDefault="000823EE" w:rsidP="0009634C">
      <w:pPr>
        <w:rPr>
          <w:rFonts w:ascii="Verdana" w:eastAsia="Times" w:hAnsi="Verdana"/>
          <w:sz w:val="20"/>
          <w:szCs w:val="20"/>
          <w:lang w:val="pt-BR"/>
        </w:rPr>
      </w:pPr>
    </w:p>
    <w:p w14:paraId="650E488E" w14:textId="77777777" w:rsidR="000823EE" w:rsidRDefault="000823EE" w:rsidP="0009634C">
      <w:pPr>
        <w:rPr>
          <w:rFonts w:ascii="Verdana" w:eastAsia="Times" w:hAnsi="Verdana"/>
          <w:sz w:val="20"/>
          <w:szCs w:val="20"/>
          <w:lang w:val="pt-BR"/>
        </w:rPr>
      </w:pPr>
    </w:p>
    <w:p w14:paraId="6E7C6909" w14:textId="5FC16F8E" w:rsidR="000823EE" w:rsidRDefault="000823EE" w:rsidP="0009634C">
      <w:pPr>
        <w:rPr>
          <w:rFonts w:ascii="Verdana" w:eastAsia="Times" w:hAnsi="Verdana"/>
          <w:sz w:val="20"/>
          <w:szCs w:val="20"/>
          <w:lang w:val="pt-BR"/>
        </w:rPr>
      </w:pPr>
    </w:p>
    <w:p w14:paraId="0062BDD9" w14:textId="77777777" w:rsidR="000823EE" w:rsidRPr="000823EE" w:rsidRDefault="000823EE" w:rsidP="0009634C">
      <w:pPr>
        <w:rPr>
          <w:rFonts w:ascii="Verdana" w:eastAsia="Times" w:hAnsi="Verdana"/>
          <w:sz w:val="20"/>
          <w:szCs w:val="20"/>
          <w:lang w:val="pt-BR"/>
        </w:rPr>
      </w:pPr>
    </w:p>
    <w:p w14:paraId="4DA206BB" w14:textId="77777777" w:rsidR="0009634C" w:rsidRPr="000823EE" w:rsidRDefault="0009634C" w:rsidP="0009634C">
      <w:pPr>
        <w:rPr>
          <w:rFonts w:ascii="Verdana" w:eastAsia="Times" w:hAnsi="Verdana"/>
          <w:sz w:val="20"/>
          <w:szCs w:val="20"/>
          <w:lang w:val="pt-BR"/>
        </w:rPr>
      </w:pPr>
      <w:r w:rsidRPr="000823EE">
        <w:rPr>
          <w:rFonts w:ascii="Verdana" w:eastAsia="Times" w:hAnsi="Verdana"/>
          <w:sz w:val="20"/>
          <w:szCs w:val="20"/>
          <w:lang w:val="pt-BR"/>
        </w:rPr>
        <w:t>Pablo Saavedra Alessandri</w:t>
      </w:r>
    </w:p>
    <w:p w14:paraId="5BE91D0E" w14:textId="77777777" w:rsidR="0009634C" w:rsidRPr="000823EE" w:rsidRDefault="0009634C" w:rsidP="0009634C">
      <w:pPr>
        <w:rPr>
          <w:rFonts w:ascii="Verdana" w:hAnsi="Verdana"/>
          <w:sz w:val="20"/>
          <w:szCs w:val="20"/>
          <w:lang w:val="en-US" w:eastAsia="en-US"/>
        </w:rPr>
      </w:pPr>
      <w:r w:rsidRPr="000823EE">
        <w:rPr>
          <w:rFonts w:ascii="Verdana" w:eastAsia="Times" w:hAnsi="Verdana"/>
          <w:sz w:val="20"/>
          <w:szCs w:val="20"/>
          <w:lang w:val="pt-BR"/>
        </w:rPr>
        <w:tab/>
      </w:r>
      <w:r w:rsidRPr="000823EE">
        <w:rPr>
          <w:rFonts w:ascii="Verdana" w:eastAsia="Times" w:hAnsi="Verdana"/>
          <w:sz w:val="20"/>
          <w:szCs w:val="20"/>
        </w:rPr>
        <w:t>Secretario</w:t>
      </w:r>
    </w:p>
    <w:sectPr w:rsidR="0009634C" w:rsidRPr="000823EE" w:rsidSect="007427B6">
      <w:headerReference w:type="even" r:id="rId14"/>
      <w:headerReference w:type="default" r:id="rId15"/>
      <w:footerReference w:type="even" r:id="rId16"/>
      <w:footerReference w:type="default" r:id="rId17"/>
      <w:headerReference w:type="first" r:id="rId18"/>
      <w:pgSz w:w="12240" w:h="15840"/>
      <w:pgMar w:top="1418" w:right="1418" w:bottom="1418" w:left="1418" w:header="720" w:footer="113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07EBCC" w14:textId="77777777" w:rsidR="009022B5" w:rsidRDefault="009022B5" w:rsidP="00C66E22">
      <w:r>
        <w:separator/>
      </w:r>
    </w:p>
  </w:endnote>
  <w:endnote w:type="continuationSeparator" w:id="0">
    <w:p w14:paraId="38D0B5EA" w14:textId="77777777" w:rsidR="009022B5" w:rsidRDefault="009022B5" w:rsidP="00C66E22">
      <w:r>
        <w:continuationSeparator/>
      </w:r>
    </w:p>
  </w:endnote>
  <w:endnote w:type="continuationNotice" w:id="1">
    <w:p w14:paraId="55B66B28" w14:textId="77777777" w:rsidR="009022B5" w:rsidRDefault="009022B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imes">
    <w:altName w:val="Times"/>
    <w:panose1 w:val="02020603050405020304"/>
    <w:charset w:val="00"/>
    <w:family w:val="auto"/>
    <w:pitch w:val="variable"/>
    <w:sig w:usb0="E00002FF" w:usb1="5000205A" w:usb2="00000000" w:usb3="00000000" w:csb0="0000019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Palatino-Italic">
    <w:altName w:val="Segoe UI Historic"/>
    <w:charset w:val="4D"/>
    <w:family w:val="auto"/>
    <w:pitch w:val="variable"/>
    <w:sig w:usb0="A00002FF" w:usb1="7800205A" w:usb2="14600000" w:usb3="00000000" w:csb0="00000193"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Times-Roman">
    <w:altName w:val="Times New Roman"/>
    <w:charset w:val="00"/>
    <w:family w:val="auto"/>
    <w:pitch w:val="variable"/>
    <w:sig w:usb0="E00002FF" w:usb1="5000205A" w:usb2="00000000" w:usb3="00000000" w:csb0="0000019F" w:csb1="00000000"/>
  </w:font>
  <w:font w:name="TimesNewRomanPS-ItalicMT">
    <w:altName w:val="Times New Roman"/>
    <w:charset w:val="00"/>
    <w:family w:val="auto"/>
    <w:pitch w:val="default"/>
    <w:sig w:usb0="00000003" w:usb1="00000000" w:usb2="00000000" w:usb3="00000000" w:csb0="00000001" w:csb1="00000000"/>
  </w:font>
  <w:font w:name="TimesNewRomanPS-BoldMT">
    <w:panose1 w:val="00000000000000000000"/>
    <w:charset w:val="00"/>
    <w:family w:val="auto"/>
    <w:notTrueType/>
    <w:pitch w:val="default"/>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ZWAdobeF">
    <w:altName w:val="Calibri"/>
    <w:panose1 w:val="00000000000000000000"/>
    <w:charset w:val="00"/>
    <w:family w:val="auto"/>
    <w:pitch w:val="variable"/>
    <w:sig w:usb0="20002A87" w:usb1="00000000"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14D72A" w14:textId="77777777" w:rsidR="007427B6" w:rsidRDefault="007427B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65652422"/>
      <w:docPartObj>
        <w:docPartGallery w:val="Page Numbers (Bottom of Page)"/>
        <w:docPartUnique/>
      </w:docPartObj>
    </w:sdtPr>
    <w:sdtEndPr>
      <w:rPr>
        <w:rFonts w:ascii="Verdana" w:hAnsi="Verdana"/>
        <w:sz w:val="20"/>
        <w:szCs w:val="20"/>
      </w:rPr>
    </w:sdtEndPr>
    <w:sdtContent>
      <w:p w14:paraId="47536012" w14:textId="70FEC217" w:rsidR="004059FD" w:rsidRPr="00CF48EE" w:rsidRDefault="004059FD">
        <w:pPr>
          <w:pStyle w:val="Piedepgina"/>
          <w:jc w:val="center"/>
          <w:rPr>
            <w:rFonts w:ascii="Verdana" w:hAnsi="Verdana"/>
            <w:sz w:val="20"/>
            <w:szCs w:val="20"/>
          </w:rPr>
        </w:pPr>
        <w:r w:rsidRPr="00CF48EE">
          <w:rPr>
            <w:rFonts w:ascii="Verdana" w:hAnsi="Verdana"/>
            <w:sz w:val="20"/>
            <w:szCs w:val="20"/>
          </w:rPr>
          <w:fldChar w:fldCharType="begin"/>
        </w:r>
        <w:r w:rsidRPr="00CF48EE">
          <w:rPr>
            <w:rFonts w:ascii="Verdana" w:hAnsi="Verdana"/>
            <w:sz w:val="20"/>
            <w:szCs w:val="20"/>
          </w:rPr>
          <w:instrText>PAGE   \* MERGEFORMAT</w:instrText>
        </w:r>
        <w:r w:rsidRPr="00CF48EE">
          <w:rPr>
            <w:rFonts w:ascii="Verdana" w:hAnsi="Verdana"/>
            <w:sz w:val="20"/>
            <w:szCs w:val="20"/>
          </w:rPr>
          <w:fldChar w:fldCharType="separate"/>
        </w:r>
        <w:r w:rsidR="00B33953" w:rsidRPr="00B33953">
          <w:rPr>
            <w:rFonts w:ascii="Verdana" w:hAnsi="Verdana"/>
            <w:noProof/>
            <w:sz w:val="20"/>
            <w:szCs w:val="20"/>
            <w:lang w:val="es-ES"/>
          </w:rPr>
          <w:t>66</w:t>
        </w:r>
        <w:r w:rsidRPr="00CF48EE">
          <w:rPr>
            <w:rFonts w:ascii="Verdana" w:hAnsi="Verdana"/>
            <w:sz w:val="20"/>
            <w:szCs w:val="20"/>
          </w:rPr>
          <w:fldChar w:fldCharType="end"/>
        </w:r>
      </w:p>
    </w:sdtContent>
  </w:sdt>
  <w:p w14:paraId="64997238" w14:textId="77777777" w:rsidR="004059FD" w:rsidRDefault="004059F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4408C0" w14:textId="1A4B0C87" w:rsidR="007427B6" w:rsidRPr="007427B6" w:rsidRDefault="007427B6" w:rsidP="007427B6">
    <w:pPr>
      <w:pStyle w:val="Piedepgina"/>
      <w:jc w:val="center"/>
      <w:rPr>
        <w:rFonts w:ascii="Verdana" w:hAnsi="Verdana"/>
        <w:sz w:val="20"/>
        <w:szCs w:val="20"/>
        <w:lang w:val="es-ES"/>
      </w:rPr>
    </w:pPr>
    <w:r w:rsidRPr="007427B6">
      <w:rPr>
        <w:rFonts w:ascii="Verdana" w:hAnsi="Verdana"/>
        <w:sz w:val="20"/>
        <w:szCs w:val="20"/>
        <w:lang w:val="es-ES"/>
      </w:rPr>
      <w:t>40</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7B3DC" w14:textId="77777777" w:rsidR="004059FD" w:rsidRDefault="004059FD" w:rsidP="00155756">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152BD804" w14:textId="77777777" w:rsidR="004059FD" w:rsidRDefault="004059FD">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069213" w14:textId="53FF0287" w:rsidR="004059FD" w:rsidRDefault="004059FD" w:rsidP="00155756">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59</w:t>
    </w:r>
    <w:r>
      <w:rPr>
        <w:rStyle w:val="Nmerodepgina"/>
      </w:rPr>
      <w:fldChar w:fldCharType="end"/>
    </w:r>
  </w:p>
  <w:p w14:paraId="2D1EAD62" w14:textId="77777777" w:rsidR="004059FD" w:rsidRDefault="004059F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AD3327" w14:textId="77777777" w:rsidR="009022B5" w:rsidRDefault="009022B5" w:rsidP="00C66E22">
      <w:r>
        <w:separator/>
      </w:r>
    </w:p>
  </w:footnote>
  <w:footnote w:type="continuationSeparator" w:id="0">
    <w:p w14:paraId="7AAED883" w14:textId="77777777" w:rsidR="009022B5" w:rsidRDefault="009022B5" w:rsidP="00C66E22">
      <w:r>
        <w:continuationSeparator/>
      </w:r>
    </w:p>
  </w:footnote>
  <w:footnote w:type="continuationNotice" w:id="1">
    <w:p w14:paraId="5DA2DE64" w14:textId="77777777" w:rsidR="009022B5" w:rsidRDefault="009022B5"/>
  </w:footnote>
  <w:footnote w:id="2">
    <w:p w14:paraId="23B343BC" w14:textId="6BBD9E1B" w:rsidR="00684CFF" w:rsidRPr="005B2507" w:rsidRDefault="00684CFF" w:rsidP="005B2507">
      <w:pPr>
        <w:pStyle w:val="Textonotapie"/>
        <w:tabs>
          <w:tab w:val="left" w:pos="709"/>
        </w:tabs>
        <w:spacing w:before="120" w:after="120"/>
        <w:contextualSpacing/>
        <w:jc w:val="both"/>
        <w:rPr>
          <w:rFonts w:ascii="Verdana" w:hAnsi="Verdana"/>
          <w:sz w:val="16"/>
          <w:szCs w:val="16"/>
        </w:rPr>
      </w:pPr>
      <w:r w:rsidRPr="005B2507">
        <w:rPr>
          <w:rStyle w:val="Refdenotaalpie"/>
          <w:rFonts w:ascii="Verdana" w:hAnsi="Verdana"/>
          <w:sz w:val="16"/>
          <w:szCs w:val="16"/>
        </w:rPr>
        <w:t>*</w:t>
      </w:r>
      <w:r w:rsidRPr="005B2507">
        <w:rPr>
          <w:rFonts w:ascii="Verdana" w:hAnsi="Verdana"/>
          <w:sz w:val="16"/>
          <w:szCs w:val="16"/>
        </w:rPr>
        <w:tab/>
        <w:t>La</w:t>
      </w:r>
      <w:r w:rsidR="00DE49AE" w:rsidRPr="005B2507">
        <w:rPr>
          <w:rFonts w:ascii="Verdana" w:hAnsi="Verdana"/>
          <w:sz w:val="16"/>
          <w:szCs w:val="16"/>
        </w:rPr>
        <w:t xml:space="preserve"> Jueza</w:t>
      </w:r>
      <w:r w:rsidRPr="005B2507">
        <w:rPr>
          <w:rFonts w:ascii="Verdana" w:hAnsi="Verdana"/>
          <w:sz w:val="16"/>
          <w:szCs w:val="16"/>
        </w:rPr>
        <w:t xml:space="preserve"> </w:t>
      </w:r>
      <w:r w:rsidRPr="005B2507">
        <w:rPr>
          <w:rFonts w:ascii="Verdana" w:hAnsi="Verdana" w:cs="Segoe UI"/>
          <w:sz w:val="16"/>
          <w:szCs w:val="16"/>
          <w:shd w:val="clear" w:color="auto" w:fill="FFFFFF"/>
        </w:rPr>
        <w:t>Verónica Gómez</w:t>
      </w:r>
      <w:r w:rsidRPr="005B2507">
        <w:rPr>
          <w:rFonts w:ascii="Verdana" w:hAnsi="Verdana"/>
          <w:sz w:val="16"/>
          <w:szCs w:val="16"/>
        </w:rPr>
        <w:t>, de nacionalidad argentina, no participó en la deliberación y firma de la presente Sentencia, de conformidad con lo dispuesto en los artículos 19.2 del Estatuto y 19.1 del Reglamento de la Corte.</w:t>
      </w:r>
    </w:p>
  </w:footnote>
  <w:footnote w:id="3">
    <w:p w14:paraId="2F3A4D7A" w14:textId="77777777" w:rsidR="00684CFF" w:rsidRPr="005B2507" w:rsidRDefault="00684CFF" w:rsidP="005B2507">
      <w:pPr>
        <w:pStyle w:val="Textonotapie"/>
        <w:tabs>
          <w:tab w:val="left" w:pos="709"/>
        </w:tabs>
        <w:spacing w:before="120" w:after="120"/>
        <w:contextualSpacing/>
        <w:jc w:val="both"/>
        <w:rPr>
          <w:rFonts w:ascii="Verdana" w:hAnsi="Verdana"/>
          <w:sz w:val="16"/>
          <w:szCs w:val="16"/>
        </w:rPr>
      </w:pPr>
      <w:r w:rsidRPr="005B2507">
        <w:rPr>
          <w:rStyle w:val="Refdenotaalpie"/>
          <w:rFonts w:ascii="Verdana" w:hAnsi="Verdana"/>
          <w:sz w:val="16"/>
          <w:szCs w:val="16"/>
        </w:rPr>
        <w:t>*</w:t>
      </w:r>
      <w:r w:rsidRPr="005B2507">
        <w:rPr>
          <w:rFonts w:ascii="Verdana" w:hAnsi="Verdana"/>
          <w:sz w:val="16"/>
          <w:szCs w:val="16"/>
          <w:vertAlign w:val="superscript"/>
        </w:rPr>
        <w:t>*</w:t>
      </w:r>
      <w:r w:rsidRPr="005B2507">
        <w:rPr>
          <w:rFonts w:ascii="Verdana" w:hAnsi="Verdana"/>
          <w:sz w:val="16"/>
          <w:szCs w:val="16"/>
        </w:rPr>
        <w:tab/>
        <w:t xml:space="preserve">La </w:t>
      </w:r>
      <w:r w:rsidRPr="005B2507">
        <w:rPr>
          <w:rFonts w:ascii="Verdana" w:hAnsi="Verdana" w:cs="Segoe UI"/>
          <w:sz w:val="16"/>
          <w:szCs w:val="16"/>
          <w:shd w:val="clear" w:color="auto" w:fill="FFFFFF"/>
        </w:rPr>
        <w:t>Secretaria Adjunta, Romina I. Sijniensky,</w:t>
      </w:r>
      <w:r w:rsidRPr="005B2507">
        <w:rPr>
          <w:rFonts w:ascii="Verdana" w:hAnsi="Verdana"/>
          <w:sz w:val="16"/>
          <w:szCs w:val="16"/>
        </w:rPr>
        <w:t xml:space="preserve"> no participó en la deliberación y firma de esta Sentencia.</w:t>
      </w:r>
    </w:p>
  </w:footnote>
  <w:footnote w:id="4">
    <w:p w14:paraId="6ABB146A" w14:textId="7BF7D567" w:rsidR="00684CFF" w:rsidRPr="005B2507" w:rsidRDefault="00684CFF" w:rsidP="005B2507">
      <w:pPr>
        <w:pStyle w:val="Textonotapie"/>
        <w:tabs>
          <w:tab w:val="left" w:pos="709"/>
        </w:tabs>
        <w:spacing w:before="120" w:after="120"/>
        <w:jc w:val="both"/>
        <w:rPr>
          <w:rFonts w:ascii="Verdana" w:hAnsi="Verdana"/>
          <w:b/>
          <w:sz w:val="16"/>
          <w:szCs w:val="16"/>
        </w:rPr>
      </w:pPr>
      <w:r w:rsidRPr="005B2507">
        <w:rPr>
          <w:rStyle w:val="Refdenotaalpie"/>
          <w:rFonts w:ascii="Verdana" w:hAnsi="Verdana"/>
          <w:sz w:val="16"/>
          <w:szCs w:val="16"/>
        </w:rPr>
        <w:footnoteRef/>
      </w:r>
      <w:r w:rsidRPr="005B2507">
        <w:rPr>
          <w:rFonts w:ascii="Verdana" w:hAnsi="Verdana"/>
          <w:sz w:val="16"/>
          <w:szCs w:val="16"/>
        </w:rPr>
        <w:t xml:space="preserve"> </w:t>
      </w:r>
      <w:r w:rsidRPr="005B2507">
        <w:rPr>
          <w:rFonts w:ascii="Verdana" w:hAnsi="Verdana"/>
          <w:sz w:val="16"/>
          <w:szCs w:val="16"/>
        </w:rPr>
        <w:tab/>
        <w:t xml:space="preserve">La Comisión designó como su delegada ante la Corte a la Comisionada Julissa Mantilla Falcón. Asimismo, designó a la </w:t>
      </w:r>
      <w:r w:rsidR="00C60E73" w:rsidRPr="005B2507">
        <w:rPr>
          <w:rFonts w:ascii="Verdana" w:hAnsi="Verdana"/>
          <w:sz w:val="16"/>
          <w:szCs w:val="16"/>
        </w:rPr>
        <w:t xml:space="preserve">entonces </w:t>
      </w:r>
      <w:r w:rsidRPr="005B2507">
        <w:rPr>
          <w:rFonts w:ascii="Verdana" w:hAnsi="Verdana"/>
          <w:sz w:val="16"/>
          <w:szCs w:val="16"/>
        </w:rPr>
        <w:t>Secretaria Ejecutiva Adjunta Marisol Blanchard,</w:t>
      </w:r>
      <w:r w:rsidR="00140441" w:rsidRPr="005B2507">
        <w:rPr>
          <w:rFonts w:ascii="Verdana" w:hAnsi="Verdana"/>
          <w:sz w:val="16"/>
          <w:szCs w:val="16"/>
        </w:rPr>
        <w:t xml:space="preserve"> </w:t>
      </w:r>
      <w:r w:rsidRPr="005B2507">
        <w:rPr>
          <w:rFonts w:ascii="Verdana" w:hAnsi="Verdana"/>
          <w:sz w:val="16"/>
          <w:szCs w:val="16"/>
        </w:rPr>
        <w:t>a Jorge Hu</w:t>
      </w:r>
      <w:r w:rsidR="00D075F6" w:rsidRPr="005B2507">
        <w:rPr>
          <w:rFonts w:ascii="Verdana" w:hAnsi="Verdana"/>
          <w:sz w:val="16"/>
          <w:szCs w:val="16"/>
        </w:rPr>
        <w:t>m</w:t>
      </w:r>
      <w:r w:rsidRPr="005B2507">
        <w:rPr>
          <w:rFonts w:ascii="Verdana" w:hAnsi="Verdana"/>
          <w:sz w:val="16"/>
          <w:szCs w:val="16"/>
        </w:rPr>
        <w:t xml:space="preserve">berto Meza Flores y a </w:t>
      </w:r>
      <w:r w:rsidR="00047028">
        <w:rPr>
          <w:rFonts w:ascii="Verdana" w:hAnsi="Verdana"/>
          <w:sz w:val="16"/>
          <w:szCs w:val="16"/>
        </w:rPr>
        <w:t>Paula Rangel Garzón</w:t>
      </w:r>
      <w:r w:rsidR="00764731" w:rsidRPr="005B2507">
        <w:rPr>
          <w:rFonts w:ascii="Verdana" w:hAnsi="Verdana"/>
          <w:sz w:val="16"/>
          <w:szCs w:val="16"/>
        </w:rPr>
        <w:t>,</w:t>
      </w:r>
      <w:r w:rsidRPr="005B2507">
        <w:rPr>
          <w:rFonts w:ascii="Verdana" w:hAnsi="Verdana"/>
          <w:sz w:val="16"/>
          <w:szCs w:val="16"/>
        </w:rPr>
        <w:t xml:space="preserve"> como asesores legales.</w:t>
      </w:r>
    </w:p>
  </w:footnote>
  <w:footnote w:id="5">
    <w:p w14:paraId="260B1135" w14:textId="77777777" w:rsidR="00684CFF" w:rsidRPr="005B2507" w:rsidRDefault="00684CFF" w:rsidP="005B2507">
      <w:pPr>
        <w:pStyle w:val="Textonotapie"/>
        <w:tabs>
          <w:tab w:val="left" w:pos="709"/>
        </w:tabs>
        <w:spacing w:before="120" w:after="120"/>
        <w:jc w:val="both"/>
        <w:rPr>
          <w:rFonts w:ascii="Verdana" w:hAnsi="Verdana"/>
          <w:sz w:val="16"/>
          <w:szCs w:val="16"/>
        </w:rPr>
      </w:pPr>
      <w:r w:rsidRPr="005B2507">
        <w:rPr>
          <w:rStyle w:val="Refdenotaalpie"/>
          <w:rFonts w:ascii="Verdana" w:hAnsi="Verdana"/>
          <w:sz w:val="16"/>
          <w:szCs w:val="16"/>
        </w:rPr>
        <w:footnoteRef/>
      </w:r>
      <w:r w:rsidRPr="005B2507">
        <w:rPr>
          <w:rFonts w:ascii="Verdana" w:hAnsi="Verdana"/>
          <w:sz w:val="16"/>
          <w:szCs w:val="16"/>
        </w:rPr>
        <w:t xml:space="preserve"> </w:t>
      </w:r>
      <w:r w:rsidRPr="005B2507">
        <w:rPr>
          <w:rFonts w:ascii="Verdana" w:hAnsi="Verdana"/>
          <w:sz w:val="16"/>
          <w:szCs w:val="16"/>
        </w:rPr>
        <w:tab/>
        <w:t>La representación de las presuntas víctimas fue ejercida por Carlos Varela Álvarez e Ignacio A. Boulin.</w:t>
      </w:r>
    </w:p>
  </w:footnote>
  <w:footnote w:id="6">
    <w:p w14:paraId="119FEAE9" w14:textId="111E46D4" w:rsidR="00684CFF" w:rsidRPr="005B2507" w:rsidRDefault="00684CFF" w:rsidP="005B2507">
      <w:pPr>
        <w:pStyle w:val="Textonotapie"/>
        <w:tabs>
          <w:tab w:val="left" w:pos="709"/>
        </w:tabs>
        <w:spacing w:before="120" w:after="120"/>
        <w:jc w:val="both"/>
        <w:rPr>
          <w:rFonts w:ascii="Verdana" w:hAnsi="Verdana"/>
          <w:sz w:val="16"/>
          <w:szCs w:val="16"/>
        </w:rPr>
      </w:pPr>
      <w:r w:rsidRPr="005B2507">
        <w:rPr>
          <w:rStyle w:val="Refdenotaalpie"/>
          <w:rFonts w:ascii="Verdana" w:hAnsi="Verdana"/>
          <w:sz w:val="16"/>
          <w:szCs w:val="16"/>
        </w:rPr>
        <w:footnoteRef/>
      </w:r>
      <w:r w:rsidRPr="005B2507">
        <w:rPr>
          <w:rFonts w:ascii="Verdana" w:hAnsi="Verdana"/>
          <w:sz w:val="16"/>
          <w:szCs w:val="16"/>
        </w:rPr>
        <w:t xml:space="preserve"> </w:t>
      </w:r>
      <w:r w:rsidRPr="005B2507">
        <w:rPr>
          <w:rFonts w:ascii="Verdana" w:hAnsi="Verdana"/>
          <w:sz w:val="16"/>
          <w:szCs w:val="16"/>
        </w:rPr>
        <w:tab/>
        <w:t xml:space="preserve">El Estado designó como agentes en el caso a Javier A. Salgado, María Julia Loreto, Andrea Pochak, Gabriela Kletzel, y Rodrigo Robles Tristán </w:t>
      </w:r>
    </w:p>
  </w:footnote>
  <w:footnote w:id="7">
    <w:p w14:paraId="3F039927" w14:textId="77777777" w:rsidR="00684CFF" w:rsidRPr="005B2507" w:rsidRDefault="00684CFF" w:rsidP="005B2507">
      <w:pPr>
        <w:pStyle w:val="Textonotapie"/>
        <w:tabs>
          <w:tab w:val="left" w:pos="709"/>
        </w:tabs>
        <w:spacing w:before="120" w:after="120"/>
        <w:jc w:val="both"/>
        <w:rPr>
          <w:rStyle w:val="Refdenotaalpie"/>
          <w:rFonts w:ascii="Verdana" w:hAnsi="Verdana"/>
          <w:sz w:val="16"/>
          <w:szCs w:val="16"/>
        </w:rPr>
      </w:pPr>
      <w:r w:rsidRPr="005B2507">
        <w:rPr>
          <w:rStyle w:val="Refdenotaalpie"/>
          <w:rFonts w:ascii="Verdana" w:hAnsi="Verdana"/>
          <w:sz w:val="16"/>
          <w:szCs w:val="16"/>
        </w:rPr>
        <w:footnoteRef/>
      </w:r>
      <w:r w:rsidRPr="005B2507">
        <w:rPr>
          <w:rFonts w:ascii="Verdana" w:hAnsi="Verdana"/>
          <w:sz w:val="16"/>
          <w:szCs w:val="16"/>
        </w:rPr>
        <w:t xml:space="preserve"> </w:t>
      </w:r>
      <w:r w:rsidRPr="005B2507">
        <w:rPr>
          <w:rFonts w:ascii="Verdana" w:hAnsi="Verdana"/>
          <w:sz w:val="16"/>
          <w:szCs w:val="16"/>
        </w:rPr>
        <w:tab/>
      </w:r>
      <w:r w:rsidRPr="005B2507">
        <w:rPr>
          <w:rFonts w:ascii="Verdana" w:hAnsi="Verdana"/>
          <w:i/>
          <w:sz w:val="16"/>
          <w:szCs w:val="16"/>
        </w:rPr>
        <w:t xml:space="preserve">Cfr. Caso Habbal y otros Vs. Argentina. </w:t>
      </w:r>
      <w:r w:rsidRPr="005B2507">
        <w:rPr>
          <w:rFonts w:ascii="Verdana" w:hAnsi="Verdana" w:cs="Open Sans"/>
          <w:sz w:val="16"/>
          <w:szCs w:val="16"/>
          <w:shd w:val="clear" w:color="auto" w:fill="FFFFFF"/>
        </w:rPr>
        <w:t>Convocatoria a audiencia. Resolución del Presidente de la Corte Interamericana de Derechos Humanos de 22 de febrero de 2022</w:t>
      </w:r>
      <w:r w:rsidRPr="005B2507">
        <w:rPr>
          <w:rFonts w:ascii="Verdana" w:hAnsi="Verdana"/>
          <w:sz w:val="16"/>
          <w:szCs w:val="16"/>
        </w:rPr>
        <w:t xml:space="preserve">. Disponible en: </w:t>
      </w:r>
      <w:hyperlink r:id="rId1" w:history="1">
        <w:r w:rsidRPr="005B2507">
          <w:rPr>
            <w:rStyle w:val="Hipervnculo"/>
            <w:rFonts w:ascii="Verdana" w:hAnsi="Verdana"/>
            <w:sz w:val="16"/>
            <w:szCs w:val="16"/>
          </w:rPr>
          <w:t>https://www.corteidh.or.cr/docs/asuntos/habbal_22_02_22.pdf</w:t>
        </w:r>
      </w:hyperlink>
      <w:r w:rsidRPr="005B2507">
        <w:rPr>
          <w:rFonts w:ascii="Verdana" w:hAnsi="Verdana"/>
          <w:sz w:val="16"/>
          <w:szCs w:val="16"/>
        </w:rPr>
        <w:t xml:space="preserve"> El 18 de marzo de 2022, a raíz de una solicitud de reconsideración interpuesta por el Estado, el Pleno de la Corte decidió modificar el objeto de la declaración pericial del señor Juan Ignacio Mondelli, propuesto por la Comisión Interamericana. </w:t>
      </w:r>
      <w:r w:rsidRPr="005B2507">
        <w:rPr>
          <w:rFonts w:ascii="Verdana" w:hAnsi="Verdana"/>
          <w:i/>
          <w:sz w:val="16"/>
          <w:szCs w:val="16"/>
        </w:rPr>
        <w:t>Cfr.</w:t>
      </w:r>
      <w:r w:rsidRPr="005B2507">
        <w:rPr>
          <w:rFonts w:ascii="Verdana" w:hAnsi="Verdana"/>
          <w:sz w:val="16"/>
          <w:szCs w:val="16"/>
        </w:rPr>
        <w:t xml:space="preserve"> </w:t>
      </w:r>
      <w:r w:rsidRPr="005B2507">
        <w:rPr>
          <w:rFonts w:ascii="Verdana" w:hAnsi="Verdana"/>
          <w:i/>
          <w:sz w:val="16"/>
          <w:szCs w:val="16"/>
        </w:rPr>
        <w:t xml:space="preserve">Caso Habbal y otros Vs. Argentina. </w:t>
      </w:r>
      <w:r w:rsidRPr="005B2507">
        <w:rPr>
          <w:rFonts w:ascii="Verdana" w:hAnsi="Verdana"/>
          <w:iCs/>
          <w:sz w:val="16"/>
          <w:szCs w:val="16"/>
        </w:rPr>
        <w:t>Resolución de la Corte Interamericana de Derechos Humanos de 18 de marzo de 2022.</w:t>
      </w:r>
      <w:r w:rsidRPr="005B2507">
        <w:rPr>
          <w:rFonts w:ascii="Verdana" w:hAnsi="Verdana"/>
          <w:sz w:val="16"/>
          <w:szCs w:val="16"/>
        </w:rPr>
        <w:t xml:space="preserve"> Disponible en: </w:t>
      </w:r>
      <w:hyperlink r:id="rId2" w:history="1">
        <w:r w:rsidRPr="005B2507">
          <w:rPr>
            <w:rStyle w:val="Hipervnculo"/>
            <w:rFonts w:ascii="Verdana" w:hAnsi="Verdana"/>
            <w:sz w:val="16"/>
            <w:szCs w:val="16"/>
          </w:rPr>
          <w:t>https://www.corteidh.or.cr/docs/asuntos/habbal_y_otros_18_03_22.pdf</w:t>
        </w:r>
      </w:hyperlink>
      <w:r w:rsidRPr="005B2507">
        <w:rPr>
          <w:rFonts w:ascii="Verdana" w:hAnsi="Verdana"/>
          <w:sz w:val="16"/>
          <w:szCs w:val="16"/>
        </w:rPr>
        <w:t xml:space="preserve"> </w:t>
      </w:r>
    </w:p>
  </w:footnote>
  <w:footnote w:id="8">
    <w:p w14:paraId="081742F7" w14:textId="2B997C2A" w:rsidR="00684CFF" w:rsidRPr="005B2507" w:rsidRDefault="00684CFF" w:rsidP="005B2507">
      <w:pPr>
        <w:pStyle w:val="Textonotapie"/>
        <w:tabs>
          <w:tab w:val="left" w:pos="709"/>
        </w:tabs>
        <w:spacing w:before="120" w:after="120"/>
        <w:jc w:val="both"/>
        <w:rPr>
          <w:rFonts w:ascii="Verdana" w:hAnsi="Verdana"/>
          <w:sz w:val="16"/>
          <w:szCs w:val="16"/>
          <w:lang w:val="es-ES"/>
        </w:rPr>
      </w:pPr>
      <w:r w:rsidRPr="005B2507">
        <w:rPr>
          <w:rStyle w:val="Refdenotaalpie"/>
          <w:rFonts w:ascii="Verdana" w:hAnsi="Verdana"/>
          <w:sz w:val="16"/>
          <w:szCs w:val="16"/>
        </w:rPr>
        <w:footnoteRef/>
      </w:r>
      <w:r w:rsidRPr="005B2507">
        <w:rPr>
          <w:rFonts w:ascii="Verdana" w:hAnsi="Verdana"/>
          <w:sz w:val="16"/>
          <w:szCs w:val="16"/>
        </w:rPr>
        <w:t xml:space="preserve"> </w:t>
      </w:r>
      <w:r w:rsidRPr="005B2507">
        <w:rPr>
          <w:rFonts w:ascii="Verdana" w:hAnsi="Verdana"/>
          <w:sz w:val="16"/>
          <w:szCs w:val="16"/>
          <w:lang w:val="es-ES"/>
        </w:rPr>
        <w:tab/>
        <w:t>A esta audiencia comparecieron: a) por la Comisión Interamericana: Julissa Mantilla Falcón, Marisol Blanchard, Jorge Meza Flores y Paula Rangel; b) por los representantes: Carlos Varela Álvarez e Ignacio Boulin,</w:t>
      </w:r>
      <w:r w:rsidR="008E3C5A" w:rsidRPr="005B2507">
        <w:rPr>
          <w:rFonts w:ascii="Verdana" w:hAnsi="Verdana"/>
          <w:sz w:val="16"/>
          <w:szCs w:val="16"/>
          <w:lang w:val="es-ES"/>
        </w:rPr>
        <w:t xml:space="preserve"> y</w:t>
      </w:r>
      <w:r w:rsidRPr="005B2507">
        <w:rPr>
          <w:rFonts w:ascii="Verdana" w:hAnsi="Verdana"/>
          <w:sz w:val="16"/>
          <w:szCs w:val="16"/>
          <w:lang w:val="es-ES"/>
        </w:rPr>
        <w:t xml:space="preserve"> c) por el Estado: </w:t>
      </w:r>
      <w:bookmarkStart w:id="6" w:name="_Hlk103674264"/>
      <w:r w:rsidRPr="005B2507">
        <w:rPr>
          <w:rFonts w:ascii="Verdana" w:hAnsi="Verdana"/>
          <w:sz w:val="16"/>
          <w:szCs w:val="16"/>
          <w:lang w:val="es-ES"/>
        </w:rPr>
        <w:t>Javier A. Salgado, Andrea Pochak, Gabriela Kletzel, María Julia Loreto, y Rodrigo Robles Tristán</w:t>
      </w:r>
      <w:bookmarkEnd w:id="6"/>
      <w:r w:rsidRPr="005B2507">
        <w:rPr>
          <w:rFonts w:ascii="Verdana" w:hAnsi="Verdana"/>
          <w:sz w:val="16"/>
          <w:szCs w:val="16"/>
          <w:lang w:val="es-ES"/>
        </w:rPr>
        <w:t>.</w:t>
      </w:r>
    </w:p>
  </w:footnote>
  <w:footnote w:id="9">
    <w:p w14:paraId="7F70B061" w14:textId="77777777" w:rsidR="00684CFF" w:rsidRPr="005B2507" w:rsidRDefault="00684CFF" w:rsidP="005B2507">
      <w:pPr>
        <w:pStyle w:val="Textonotapie"/>
        <w:tabs>
          <w:tab w:val="left" w:pos="709"/>
        </w:tabs>
        <w:spacing w:before="120" w:after="120"/>
        <w:jc w:val="both"/>
        <w:rPr>
          <w:rFonts w:ascii="Verdana" w:hAnsi="Verdana"/>
          <w:sz w:val="16"/>
          <w:szCs w:val="16"/>
        </w:rPr>
      </w:pPr>
      <w:r w:rsidRPr="005B2507">
        <w:rPr>
          <w:rStyle w:val="Refdenotaalpie"/>
          <w:rFonts w:ascii="Verdana" w:hAnsi="Verdana"/>
          <w:sz w:val="16"/>
          <w:szCs w:val="16"/>
        </w:rPr>
        <w:footnoteRef/>
      </w:r>
      <w:r w:rsidRPr="005B2507">
        <w:rPr>
          <w:rFonts w:ascii="Verdana" w:hAnsi="Verdana"/>
          <w:sz w:val="16"/>
          <w:szCs w:val="16"/>
        </w:rPr>
        <w:t xml:space="preserve"> </w:t>
      </w:r>
      <w:r w:rsidRPr="005B2507">
        <w:rPr>
          <w:rFonts w:ascii="Verdana" w:hAnsi="Verdana"/>
          <w:sz w:val="16"/>
          <w:szCs w:val="16"/>
        </w:rPr>
        <w:tab/>
        <w:t>El escrito, firmado por Juliana Betancur Vásquez, Alejandro Gómez Restrepo, Yeni Fernanda García Palacio, Daniela Estefanía Cadavid Deossa, Jorge Andrés Pinzón Cabezas, Sebastián Alarcón Ruíz, Gabriel Jaime Roldán Peña y Juan Camilo Carrascal Bula, presenta consideraciones respecto de la discriminación indirecta y encubierta a la que argumentan estuvieron sujetas las presuntas víctimas, y presenta un análisis jurídico de las distintas violaciones a los derechos humanos alegadas en el presente caso.</w:t>
      </w:r>
    </w:p>
  </w:footnote>
  <w:footnote w:id="10">
    <w:p w14:paraId="5826992A" w14:textId="693F51BC" w:rsidR="00CD135D" w:rsidRPr="005B2507" w:rsidRDefault="00CD135D" w:rsidP="005B2507">
      <w:pPr>
        <w:pStyle w:val="Textonotapie"/>
        <w:tabs>
          <w:tab w:val="left" w:pos="709"/>
        </w:tabs>
        <w:spacing w:before="120" w:after="120"/>
        <w:jc w:val="both"/>
        <w:rPr>
          <w:rFonts w:ascii="Verdana" w:hAnsi="Verdana"/>
          <w:sz w:val="16"/>
          <w:szCs w:val="16"/>
        </w:rPr>
      </w:pPr>
      <w:r w:rsidRPr="005B2507">
        <w:rPr>
          <w:rStyle w:val="Refdenotaalpie"/>
          <w:rFonts w:ascii="Verdana" w:hAnsi="Verdana"/>
          <w:sz w:val="16"/>
          <w:szCs w:val="16"/>
        </w:rPr>
        <w:footnoteRef/>
      </w:r>
      <w:r w:rsidRPr="005B2507">
        <w:rPr>
          <w:rFonts w:ascii="Verdana" w:hAnsi="Verdana"/>
          <w:sz w:val="16"/>
          <w:szCs w:val="16"/>
        </w:rPr>
        <w:t xml:space="preserve"> </w:t>
      </w:r>
      <w:r w:rsidRPr="005B2507">
        <w:rPr>
          <w:rFonts w:ascii="Verdana" w:hAnsi="Verdana"/>
          <w:sz w:val="16"/>
          <w:szCs w:val="16"/>
        </w:rPr>
        <w:tab/>
      </w:r>
      <w:r w:rsidRPr="005B2507">
        <w:rPr>
          <w:rFonts w:ascii="Verdana" w:hAnsi="Verdana"/>
          <w:i/>
          <w:sz w:val="16"/>
          <w:szCs w:val="16"/>
        </w:rPr>
        <w:t xml:space="preserve">Cfr. Caso Cepeda Vargas Vs. Colombia. Excepciones Preliminares, Fondo, Reparaciones y Costas. </w:t>
      </w:r>
      <w:r w:rsidRPr="005B2507">
        <w:rPr>
          <w:rFonts w:ascii="Verdana" w:hAnsi="Verdana"/>
          <w:sz w:val="16"/>
          <w:szCs w:val="16"/>
        </w:rPr>
        <w:t xml:space="preserve">Sentencia de 26 de mayo de 2010. Serie C No. 213, párr. 35, y </w:t>
      </w:r>
      <w:r w:rsidR="00095481" w:rsidRPr="005B2507">
        <w:rPr>
          <w:rFonts w:ascii="Verdana" w:hAnsi="Verdana" w:cs="Open Sans"/>
          <w:i/>
          <w:iCs/>
          <w:color w:val="000000" w:themeColor="text1"/>
          <w:sz w:val="16"/>
          <w:szCs w:val="16"/>
          <w:shd w:val="clear" w:color="auto" w:fill="FFFFFF"/>
        </w:rPr>
        <w:t>Caso Petro Urrego Vs. Colombia. Excepciones Preliminares, Fondo, Reparaciones y Costas.</w:t>
      </w:r>
      <w:r w:rsidR="00095481" w:rsidRPr="005B2507">
        <w:rPr>
          <w:rFonts w:ascii="Verdana" w:hAnsi="Verdana" w:cs="Open Sans"/>
          <w:color w:val="000000" w:themeColor="text1"/>
          <w:sz w:val="16"/>
          <w:szCs w:val="16"/>
          <w:shd w:val="clear" w:color="auto" w:fill="FFFFFF"/>
        </w:rPr>
        <w:t xml:space="preserve"> Sentencia de 8 de julio de 2020. Serie C No. 406</w:t>
      </w:r>
      <w:r w:rsidR="00095481" w:rsidRPr="005B2507">
        <w:rPr>
          <w:rFonts w:ascii="Verdana" w:hAnsi="Verdana"/>
          <w:color w:val="000000" w:themeColor="text1"/>
          <w:sz w:val="16"/>
          <w:szCs w:val="16"/>
        </w:rPr>
        <w:t>, párr.</w:t>
      </w:r>
      <w:r w:rsidR="00095481" w:rsidRPr="005B2507">
        <w:rPr>
          <w:rFonts w:ascii="Verdana" w:hAnsi="Verdana"/>
          <w:color w:val="000000" w:themeColor="text1"/>
          <w:spacing w:val="-12"/>
          <w:sz w:val="16"/>
          <w:szCs w:val="16"/>
        </w:rPr>
        <w:t xml:space="preserve"> </w:t>
      </w:r>
      <w:r w:rsidR="00095481" w:rsidRPr="005B2507">
        <w:rPr>
          <w:rFonts w:ascii="Verdana" w:hAnsi="Verdana"/>
          <w:color w:val="000000" w:themeColor="text1"/>
          <w:sz w:val="16"/>
          <w:szCs w:val="16"/>
        </w:rPr>
        <w:t>32.</w:t>
      </w:r>
    </w:p>
  </w:footnote>
  <w:footnote w:id="11">
    <w:p w14:paraId="2B8D4FCF" w14:textId="2B686272" w:rsidR="00CD135D" w:rsidRPr="005B2507" w:rsidRDefault="00CD135D" w:rsidP="005B2507">
      <w:pPr>
        <w:tabs>
          <w:tab w:val="left" w:pos="709"/>
        </w:tabs>
        <w:spacing w:before="120" w:after="120"/>
        <w:jc w:val="both"/>
        <w:rPr>
          <w:rFonts w:ascii="Verdana" w:hAnsi="Verdana"/>
          <w:color w:val="000000" w:themeColor="text1"/>
          <w:sz w:val="16"/>
          <w:szCs w:val="16"/>
        </w:rPr>
      </w:pPr>
      <w:r w:rsidRPr="005B2507">
        <w:rPr>
          <w:rStyle w:val="Refdenotaalpie"/>
          <w:rFonts w:ascii="Verdana" w:hAnsi="Verdana"/>
          <w:color w:val="000000" w:themeColor="text1"/>
          <w:sz w:val="16"/>
          <w:szCs w:val="16"/>
        </w:rPr>
        <w:footnoteRef/>
      </w:r>
      <w:r w:rsidRPr="005B2507">
        <w:rPr>
          <w:rFonts w:ascii="Verdana" w:hAnsi="Verdana"/>
          <w:color w:val="000000" w:themeColor="text1"/>
          <w:sz w:val="16"/>
          <w:szCs w:val="16"/>
        </w:rPr>
        <w:t xml:space="preserve"> </w:t>
      </w:r>
      <w:r w:rsidR="00852199" w:rsidRPr="005B2507">
        <w:rPr>
          <w:rFonts w:ascii="Verdana" w:hAnsi="Verdana"/>
          <w:color w:val="000000" w:themeColor="text1"/>
          <w:sz w:val="16"/>
          <w:szCs w:val="16"/>
        </w:rPr>
        <w:tab/>
      </w:r>
      <w:r w:rsidR="00852199" w:rsidRPr="005B2507">
        <w:rPr>
          <w:rFonts w:ascii="Verdana" w:hAnsi="Verdana"/>
          <w:i/>
          <w:color w:val="000000" w:themeColor="text1"/>
          <w:sz w:val="16"/>
          <w:szCs w:val="16"/>
        </w:rPr>
        <w:t>Cfr.</w:t>
      </w:r>
      <w:r w:rsidR="00852199" w:rsidRPr="005B2507">
        <w:rPr>
          <w:rFonts w:ascii="Verdana" w:hAnsi="Verdana"/>
          <w:i/>
          <w:color w:val="000000" w:themeColor="text1"/>
          <w:spacing w:val="-4"/>
          <w:sz w:val="16"/>
          <w:szCs w:val="16"/>
        </w:rPr>
        <w:t xml:space="preserve"> </w:t>
      </w:r>
      <w:r w:rsidR="00852199" w:rsidRPr="005B2507">
        <w:rPr>
          <w:rFonts w:ascii="Verdana" w:hAnsi="Verdana"/>
          <w:i/>
          <w:color w:val="000000" w:themeColor="text1"/>
          <w:sz w:val="16"/>
          <w:szCs w:val="16"/>
        </w:rPr>
        <w:t>Caso</w:t>
      </w:r>
      <w:r w:rsidR="00852199" w:rsidRPr="005B2507">
        <w:rPr>
          <w:rFonts w:ascii="Verdana" w:hAnsi="Verdana"/>
          <w:i/>
          <w:color w:val="000000" w:themeColor="text1"/>
          <w:spacing w:val="-2"/>
          <w:sz w:val="16"/>
          <w:szCs w:val="16"/>
        </w:rPr>
        <w:t xml:space="preserve"> </w:t>
      </w:r>
      <w:r w:rsidR="00852199" w:rsidRPr="005B2507">
        <w:rPr>
          <w:rFonts w:ascii="Verdana" w:hAnsi="Verdana"/>
          <w:i/>
          <w:color w:val="000000" w:themeColor="text1"/>
          <w:sz w:val="16"/>
          <w:szCs w:val="16"/>
        </w:rPr>
        <w:t>Las</w:t>
      </w:r>
      <w:r w:rsidR="00852199" w:rsidRPr="005B2507">
        <w:rPr>
          <w:rFonts w:ascii="Verdana" w:hAnsi="Verdana"/>
          <w:i/>
          <w:color w:val="000000" w:themeColor="text1"/>
          <w:spacing w:val="-3"/>
          <w:sz w:val="16"/>
          <w:szCs w:val="16"/>
        </w:rPr>
        <w:t xml:space="preserve"> </w:t>
      </w:r>
      <w:r w:rsidR="00852199" w:rsidRPr="005B2507">
        <w:rPr>
          <w:rFonts w:ascii="Verdana" w:hAnsi="Verdana"/>
          <w:i/>
          <w:color w:val="000000" w:themeColor="text1"/>
          <w:sz w:val="16"/>
          <w:szCs w:val="16"/>
        </w:rPr>
        <w:t>Palmeras</w:t>
      </w:r>
      <w:r w:rsidR="00852199" w:rsidRPr="005B2507">
        <w:rPr>
          <w:rFonts w:ascii="Verdana" w:hAnsi="Verdana"/>
          <w:i/>
          <w:color w:val="000000" w:themeColor="text1"/>
          <w:spacing w:val="-5"/>
          <w:sz w:val="16"/>
          <w:szCs w:val="16"/>
        </w:rPr>
        <w:t xml:space="preserve"> </w:t>
      </w:r>
      <w:r w:rsidR="00852199" w:rsidRPr="005B2507">
        <w:rPr>
          <w:rFonts w:ascii="Verdana" w:hAnsi="Verdana"/>
          <w:i/>
          <w:color w:val="000000" w:themeColor="text1"/>
          <w:sz w:val="16"/>
          <w:szCs w:val="16"/>
        </w:rPr>
        <w:t>Vs.</w:t>
      </w:r>
      <w:r w:rsidR="00852199" w:rsidRPr="005B2507">
        <w:rPr>
          <w:rFonts w:ascii="Verdana" w:hAnsi="Verdana"/>
          <w:i/>
          <w:color w:val="000000" w:themeColor="text1"/>
          <w:spacing w:val="-4"/>
          <w:sz w:val="16"/>
          <w:szCs w:val="16"/>
        </w:rPr>
        <w:t xml:space="preserve"> </w:t>
      </w:r>
      <w:r w:rsidR="00852199" w:rsidRPr="005B2507">
        <w:rPr>
          <w:rFonts w:ascii="Verdana" w:hAnsi="Verdana"/>
          <w:i/>
          <w:color w:val="000000" w:themeColor="text1"/>
          <w:sz w:val="16"/>
          <w:szCs w:val="16"/>
        </w:rPr>
        <w:t>Colombia.</w:t>
      </w:r>
      <w:r w:rsidR="00852199" w:rsidRPr="005B2507">
        <w:rPr>
          <w:rFonts w:ascii="Verdana" w:hAnsi="Verdana"/>
          <w:i/>
          <w:color w:val="000000" w:themeColor="text1"/>
          <w:spacing w:val="-2"/>
          <w:sz w:val="16"/>
          <w:szCs w:val="16"/>
        </w:rPr>
        <w:t xml:space="preserve"> </w:t>
      </w:r>
      <w:r w:rsidR="00852199" w:rsidRPr="005B2507">
        <w:rPr>
          <w:rFonts w:ascii="Verdana" w:hAnsi="Verdana"/>
          <w:i/>
          <w:color w:val="000000" w:themeColor="text1"/>
          <w:sz w:val="16"/>
          <w:szCs w:val="16"/>
        </w:rPr>
        <w:t>Excepciones</w:t>
      </w:r>
      <w:r w:rsidR="00852199" w:rsidRPr="005B2507">
        <w:rPr>
          <w:rFonts w:ascii="Verdana" w:hAnsi="Verdana"/>
          <w:i/>
          <w:color w:val="000000" w:themeColor="text1"/>
          <w:spacing w:val="-2"/>
          <w:sz w:val="16"/>
          <w:szCs w:val="16"/>
        </w:rPr>
        <w:t xml:space="preserve"> </w:t>
      </w:r>
      <w:r w:rsidR="00852199" w:rsidRPr="005B2507">
        <w:rPr>
          <w:rFonts w:ascii="Verdana" w:hAnsi="Verdana"/>
          <w:i/>
          <w:color w:val="000000" w:themeColor="text1"/>
          <w:sz w:val="16"/>
          <w:szCs w:val="16"/>
        </w:rPr>
        <w:t>Preliminares.</w:t>
      </w:r>
      <w:r w:rsidR="00852199" w:rsidRPr="005B2507">
        <w:rPr>
          <w:rFonts w:ascii="Verdana" w:hAnsi="Verdana"/>
          <w:i/>
          <w:color w:val="000000" w:themeColor="text1"/>
          <w:spacing w:val="-3"/>
          <w:sz w:val="16"/>
          <w:szCs w:val="16"/>
        </w:rPr>
        <w:t xml:space="preserve"> </w:t>
      </w:r>
      <w:r w:rsidR="00852199" w:rsidRPr="005B2507">
        <w:rPr>
          <w:rFonts w:ascii="Verdana" w:hAnsi="Verdana"/>
          <w:color w:val="000000" w:themeColor="text1"/>
          <w:sz w:val="16"/>
          <w:szCs w:val="16"/>
        </w:rPr>
        <w:t>Sentencia</w:t>
      </w:r>
      <w:r w:rsidR="00852199" w:rsidRPr="005B2507">
        <w:rPr>
          <w:rFonts w:ascii="Verdana" w:hAnsi="Verdana"/>
          <w:color w:val="000000" w:themeColor="text1"/>
          <w:spacing w:val="-4"/>
          <w:sz w:val="16"/>
          <w:szCs w:val="16"/>
        </w:rPr>
        <w:t xml:space="preserve"> </w:t>
      </w:r>
      <w:r w:rsidR="00852199" w:rsidRPr="005B2507">
        <w:rPr>
          <w:rFonts w:ascii="Verdana" w:hAnsi="Verdana"/>
          <w:color w:val="000000" w:themeColor="text1"/>
          <w:sz w:val="16"/>
          <w:szCs w:val="16"/>
        </w:rPr>
        <w:t>de</w:t>
      </w:r>
      <w:r w:rsidR="00852199" w:rsidRPr="005B2507">
        <w:rPr>
          <w:rFonts w:ascii="Verdana" w:hAnsi="Verdana"/>
          <w:color w:val="000000" w:themeColor="text1"/>
          <w:spacing w:val="-5"/>
          <w:sz w:val="16"/>
          <w:szCs w:val="16"/>
        </w:rPr>
        <w:t xml:space="preserve"> </w:t>
      </w:r>
      <w:r w:rsidR="00852199" w:rsidRPr="005B2507">
        <w:rPr>
          <w:rFonts w:ascii="Verdana" w:hAnsi="Verdana"/>
          <w:color w:val="000000" w:themeColor="text1"/>
          <w:sz w:val="16"/>
          <w:szCs w:val="16"/>
        </w:rPr>
        <w:t>4</w:t>
      </w:r>
      <w:r w:rsidR="00852199" w:rsidRPr="005B2507">
        <w:rPr>
          <w:rFonts w:ascii="Verdana" w:hAnsi="Verdana"/>
          <w:color w:val="000000" w:themeColor="text1"/>
          <w:spacing w:val="-3"/>
          <w:sz w:val="16"/>
          <w:szCs w:val="16"/>
        </w:rPr>
        <w:t xml:space="preserve"> </w:t>
      </w:r>
      <w:r w:rsidR="00852199" w:rsidRPr="005B2507">
        <w:rPr>
          <w:rFonts w:ascii="Verdana" w:hAnsi="Verdana"/>
          <w:color w:val="000000" w:themeColor="text1"/>
          <w:sz w:val="16"/>
          <w:szCs w:val="16"/>
        </w:rPr>
        <w:t>de</w:t>
      </w:r>
      <w:r w:rsidR="00852199" w:rsidRPr="005B2507">
        <w:rPr>
          <w:rFonts w:ascii="Verdana" w:hAnsi="Verdana"/>
          <w:color w:val="000000" w:themeColor="text1"/>
          <w:spacing w:val="-5"/>
          <w:sz w:val="16"/>
          <w:szCs w:val="16"/>
        </w:rPr>
        <w:t xml:space="preserve"> </w:t>
      </w:r>
      <w:r w:rsidR="00852199" w:rsidRPr="005B2507">
        <w:rPr>
          <w:rFonts w:ascii="Verdana" w:hAnsi="Verdana"/>
          <w:color w:val="000000" w:themeColor="text1"/>
          <w:sz w:val="16"/>
          <w:szCs w:val="16"/>
        </w:rPr>
        <w:t>febrero</w:t>
      </w:r>
      <w:r w:rsidR="00852199" w:rsidRPr="005B2507">
        <w:rPr>
          <w:rFonts w:ascii="Verdana" w:hAnsi="Verdana"/>
          <w:color w:val="000000" w:themeColor="text1"/>
          <w:spacing w:val="-2"/>
          <w:sz w:val="16"/>
          <w:szCs w:val="16"/>
        </w:rPr>
        <w:t xml:space="preserve"> </w:t>
      </w:r>
      <w:r w:rsidR="00852199" w:rsidRPr="005B2507">
        <w:rPr>
          <w:rFonts w:ascii="Verdana" w:hAnsi="Verdana"/>
          <w:color w:val="000000" w:themeColor="text1"/>
          <w:sz w:val="16"/>
          <w:szCs w:val="16"/>
        </w:rPr>
        <w:t>de</w:t>
      </w:r>
      <w:r w:rsidR="00852199" w:rsidRPr="005B2507">
        <w:rPr>
          <w:rFonts w:ascii="Verdana" w:hAnsi="Verdana"/>
          <w:color w:val="000000" w:themeColor="text1"/>
          <w:spacing w:val="-3"/>
          <w:sz w:val="16"/>
          <w:szCs w:val="16"/>
        </w:rPr>
        <w:t xml:space="preserve"> </w:t>
      </w:r>
      <w:r w:rsidR="00852199" w:rsidRPr="005B2507">
        <w:rPr>
          <w:rFonts w:ascii="Verdana" w:hAnsi="Verdana"/>
          <w:color w:val="000000" w:themeColor="text1"/>
          <w:sz w:val="16"/>
          <w:szCs w:val="16"/>
        </w:rPr>
        <w:t>2000.</w:t>
      </w:r>
      <w:r w:rsidR="00852199" w:rsidRPr="005B2507">
        <w:rPr>
          <w:rFonts w:ascii="Verdana" w:hAnsi="Verdana"/>
          <w:color w:val="000000" w:themeColor="text1"/>
          <w:spacing w:val="-3"/>
          <w:sz w:val="16"/>
          <w:szCs w:val="16"/>
        </w:rPr>
        <w:t xml:space="preserve"> </w:t>
      </w:r>
      <w:r w:rsidR="00852199" w:rsidRPr="005B2507">
        <w:rPr>
          <w:rFonts w:ascii="Verdana" w:hAnsi="Verdana"/>
          <w:color w:val="000000" w:themeColor="text1"/>
          <w:sz w:val="16"/>
          <w:szCs w:val="16"/>
        </w:rPr>
        <w:t>Serie</w:t>
      </w:r>
      <w:r w:rsidR="00852199" w:rsidRPr="005B2507">
        <w:rPr>
          <w:rFonts w:ascii="Verdana" w:hAnsi="Verdana"/>
          <w:color w:val="000000" w:themeColor="text1"/>
          <w:spacing w:val="-5"/>
          <w:sz w:val="16"/>
          <w:szCs w:val="16"/>
        </w:rPr>
        <w:t xml:space="preserve"> </w:t>
      </w:r>
      <w:r w:rsidR="00852199" w:rsidRPr="005B2507">
        <w:rPr>
          <w:rFonts w:ascii="Verdana" w:hAnsi="Verdana"/>
          <w:color w:val="000000" w:themeColor="text1"/>
          <w:sz w:val="16"/>
          <w:szCs w:val="16"/>
        </w:rPr>
        <w:t xml:space="preserve">C No. 67, párr. 32, y </w:t>
      </w:r>
      <w:r w:rsidR="00340DC7" w:rsidRPr="005B2507">
        <w:rPr>
          <w:rFonts w:ascii="Verdana" w:hAnsi="Verdana" w:cs="Open Sans"/>
          <w:i/>
          <w:iCs/>
          <w:color w:val="000000" w:themeColor="text1"/>
          <w:sz w:val="16"/>
          <w:szCs w:val="16"/>
          <w:shd w:val="clear" w:color="auto" w:fill="FFFFFF"/>
        </w:rPr>
        <w:t>Caso Petro Urrego Vs. Colombia</w:t>
      </w:r>
      <w:r w:rsidR="00B7318A">
        <w:rPr>
          <w:rFonts w:ascii="Verdana" w:hAnsi="Verdana" w:cs="Open Sans"/>
          <w:i/>
          <w:iCs/>
          <w:color w:val="000000" w:themeColor="text1"/>
          <w:sz w:val="16"/>
          <w:szCs w:val="16"/>
          <w:shd w:val="clear" w:color="auto" w:fill="FFFFFF"/>
        </w:rPr>
        <w:t>, supra</w:t>
      </w:r>
      <w:r w:rsidR="00852199" w:rsidRPr="005B2507">
        <w:rPr>
          <w:rFonts w:ascii="Verdana" w:hAnsi="Verdana"/>
          <w:color w:val="000000" w:themeColor="text1"/>
          <w:sz w:val="16"/>
          <w:szCs w:val="16"/>
        </w:rPr>
        <w:t>, párr.</w:t>
      </w:r>
      <w:r w:rsidR="00852199" w:rsidRPr="005B2507">
        <w:rPr>
          <w:rFonts w:ascii="Verdana" w:hAnsi="Verdana"/>
          <w:color w:val="000000" w:themeColor="text1"/>
          <w:spacing w:val="-12"/>
          <w:sz w:val="16"/>
          <w:szCs w:val="16"/>
        </w:rPr>
        <w:t xml:space="preserve"> </w:t>
      </w:r>
      <w:r w:rsidR="00F05183" w:rsidRPr="005B2507">
        <w:rPr>
          <w:rFonts w:ascii="Verdana" w:hAnsi="Verdana"/>
          <w:color w:val="000000" w:themeColor="text1"/>
          <w:sz w:val="16"/>
          <w:szCs w:val="16"/>
        </w:rPr>
        <w:t>32</w:t>
      </w:r>
      <w:r w:rsidR="00095481" w:rsidRPr="005B2507">
        <w:rPr>
          <w:rFonts w:ascii="Verdana" w:hAnsi="Verdana"/>
          <w:color w:val="000000" w:themeColor="text1"/>
          <w:sz w:val="16"/>
          <w:szCs w:val="16"/>
        </w:rPr>
        <w:t>.</w:t>
      </w:r>
    </w:p>
  </w:footnote>
  <w:footnote w:id="12">
    <w:p w14:paraId="7C7AF590" w14:textId="291B7BA9" w:rsidR="000743C5" w:rsidRPr="005B2507" w:rsidRDefault="000743C5" w:rsidP="005B2507">
      <w:pPr>
        <w:pStyle w:val="Textonotapie"/>
        <w:tabs>
          <w:tab w:val="left" w:pos="709"/>
        </w:tabs>
        <w:spacing w:before="120" w:after="120"/>
        <w:jc w:val="both"/>
        <w:rPr>
          <w:rFonts w:ascii="Verdana" w:hAnsi="Verdana"/>
          <w:sz w:val="16"/>
          <w:szCs w:val="16"/>
          <w:lang w:val="es-ES"/>
        </w:rPr>
      </w:pPr>
      <w:r w:rsidRPr="005B2507">
        <w:rPr>
          <w:rStyle w:val="Refdenotaalpie"/>
          <w:rFonts w:ascii="Verdana" w:hAnsi="Verdana"/>
          <w:sz w:val="16"/>
          <w:szCs w:val="16"/>
        </w:rPr>
        <w:footnoteRef/>
      </w:r>
      <w:r w:rsidRPr="005B2507">
        <w:rPr>
          <w:rFonts w:ascii="Verdana" w:hAnsi="Verdana"/>
          <w:sz w:val="16"/>
          <w:szCs w:val="16"/>
        </w:rPr>
        <w:t xml:space="preserve"> </w:t>
      </w:r>
      <w:r w:rsidRPr="005B2507">
        <w:rPr>
          <w:rFonts w:ascii="Verdana" w:hAnsi="Verdana"/>
          <w:sz w:val="16"/>
          <w:szCs w:val="16"/>
          <w:lang w:val="es-ES"/>
        </w:rPr>
        <w:tab/>
      </w:r>
      <w:r w:rsidRPr="005B2507">
        <w:rPr>
          <w:rFonts w:ascii="Verdana" w:hAnsi="Verdana"/>
          <w:i/>
          <w:sz w:val="16"/>
          <w:szCs w:val="16"/>
        </w:rPr>
        <w:t>Cfr.</w:t>
      </w:r>
      <w:r w:rsidRPr="005B2507">
        <w:rPr>
          <w:rFonts w:ascii="Verdana" w:hAnsi="Verdana"/>
          <w:i/>
          <w:spacing w:val="-14"/>
          <w:sz w:val="16"/>
          <w:szCs w:val="16"/>
        </w:rPr>
        <w:t xml:space="preserve"> </w:t>
      </w:r>
      <w:r w:rsidRPr="005B2507">
        <w:rPr>
          <w:rFonts w:ascii="Verdana" w:hAnsi="Verdana"/>
          <w:i/>
          <w:sz w:val="16"/>
          <w:szCs w:val="16"/>
        </w:rPr>
        <w:t>Caso</w:t>
      </w:r>
      <w:r w:rsidRPr="005B2507">
        <w:rPr>
          <w:rFonts w:ascii="Verdana" w:hAnsi="Verdana"/>
          <w:i/>
          <w:spacing w:val="-14"/>
          <w:sz w:val="16"/>
          <w:szCs w:val="16"/>
        </w:rPr>
        <w:t xml:space="preserve"> </w:t>
      </w:r>
      <w:r w:rsidRPr="005B2507">
        <w:rPr>
          <w:rFonts w:ascii="Verdana" w:hAnsi="Verdana"/>
          <w:i/>
          <w:sz w:val="16"/>
          <w:szCs w:val="16"/>
        </w:rPr>
        <w:t>Castañeda</w:t>
      </w:r>
      <w:r w:rsidRPr="005B2507">
        <w:rPr>
          <w:rFonts w:ascii="Verdana" w:hAnsi="Verdana"/>
          <w:i/>
          <w:spacing w:val="-13"/>
          <w:sz w:val="16"/>
          <w:szCs w:val="16"/>
        </w:rPr>
        <w:t xml:space="preserve"> </w:t>
      </w:r>
      <w:r w:rsidRPr="005B2507">
        <w:rPr>
          <w:rFonts w:ascii="Verdana" w:hAnsi="Verdana"/>
          <w:i/>
          <w:sz w:val="16"/>
          <w:szCs w:val="16"/>
        </w:rPr>
        <w:t>Gutman</w:t>
      </w:r>
      <w:r w:rsidRPr="005B2507">
        <w:rPr>
          <w:rFonts w:ascii="Verdana" w:hAnsi="Verdana"/>
          <w:i/>
          <w:spacing w:val="-15"/>
          <w:sz w:val="16"/>
          <w:szCs w:val="16"/>
        </w:rPr>
        <w:t xml:space="preserve"> </w:t>
      </w:r>
      <w:r w:rsidRPr="005B2507">
        <w:rPr>
          <w:rFonts w:ascii="Verdana" w:hAnsi="Verdana"/>
          <w:i/>
          <w:sz w:val="16"/>
          <w:szCs w:val="16"/>
        </w:rPr>
        <w:t>Vs.</w:t>
      </w:r>
      <w:r w:rsidRPr="005B2507">
        <w:rPr>
          <w:rFonts w:ascii="Verdana" w:hAnsi="Verdana"/>
          <w:i/>
          <w:spacing w:val="-13"/>
          <w:sz w:val="16"/>
          <w:szCs w:val="16"/>
        </w:rPr>
        <w:t xml:space="preserve"> </w:t>
      </w:r>
      <w:r w:rsidRPr="005B2507">
        <w:rPr>
          <w:rFonts w:ascii="Verdana" w:hAnsi="Verdana"/>
          <w:i/>
          <w:sz w:val="16"/>
          <w:szCs w:val="16"/>
        </w:rPr>
        <w:t>México.</w:t>
      </w:r>
      <w:r w:rsidRPr="005B2507">
        <w:rPr>
          <w:rFonts w:ascii="Verdana" w:hAnsi="Verdana"/>
          <w:i/>
          <w:spacing w:val="-11"/>
          <w:sz w:val="16"/>
          <w:szCs w:val="16"/>
        </w:rPr>
        <w:t xml:space="preserve"> </w:t>
      </w:r>
      <w:r w:rsidRPr="005B2507">
        <w:rPr>
          <w:rFonts w:ascii="Verdana" w:hAnsi="Verdana"/>
          <w:i/>
          <w:sz w:val="16"/>
          <w:szCs w:val="16"/>
        </w:rPr>
        <w:t>Excepciones</w:t>
      </w:r>
      <w:r w:rsidRPr="005B2507">
        <w:rPr>
          <w:rFonts w:ascii="Verdana" w:hAnsi="Verdana"/>
          <w:i/>
          <w:spacing w:val="-12"/>
          <w:sz w:val="16"/>
          <w:szCs w:val="16"/>
        </w:rPr>
        <w:t xml:space="preserve"> </w:t>
      </w:r>
      <w:r w:rsidRPr="005B2507">
        <w:rPr>
          <w:rFonts w:ascii="Verdana" w:hAnsi="Verdana"/>
          <w:i/>
          <w:sz w:val="16"/>
          <w:szCs w:val="16"/>
        </w:rPr>
        <w:t>Preliminares,</w:t>
      </w:r>
      <w:r w:rsidRPr="005B2507">
        <w:rPr>
          <w:rFonts w:ascii="Verdana" w:hAnsi="Verdana"/>
          <w:i/>
          <w:spacing w:val="-13"/>
          <w:sz w:val="16"/>
          <w:szCs w:val="16"/>
        </w:rPr>
        <w:t xml:space="preserve"> </w:t>
      </w:r>
      <w:r w:rsidRPr="005B2507">
        <w:rPr>
          <w:rFonts w:ascii="Verdana" w:hAnsi="Verdana"/>
          <w:i/>
          <w:sz w:val="16"/>
          <w:szCs w:val="16"/>
        </w:rPr>
        <w:t>Fondo,</w:t>
      </w:r>
      <w:r w:rsidRPr="005B2507">
        <w:rPr>
          <w:rFonts w:ascii="Verdana" w:hAnsi="Verdana"/>
          <w:i/>
          <w:spacing w:val="-15"/>
          <w:sz w:val="16"/>
          <w:szCs w:val="16"/>
        </w:rPr>
        <w:t xml:space="preserve"> </w:t>
      </w:r>
      <w:r w:rsidRPr="005B2507">
        <w:rPr>
          <w:rFonts w:ascii="Verdana" w:hAnsi="Verdana"/>
          <w:i/>
          <w:sz w:val="16"/>
          <w:szCs w:val="16"/>
        </w:rPr>
        <w:t>Reparaciones</w:t>
      </w:r>
      <w:r w:rsidRPr="005B2507">
        <w:rPr>
          <w:rFonts w:ascii="Verdana" w:hAnsi="Verdana"/>
          <w:i/>
          <w:spacing w:val="-15"/>
          <w:sz w:val="16"/>
          <w:szCs w:val="16"/>
        </w:rPr>
        <w:t xml:space="preserve"> </w:t>
      </w:r>
      <w:r w:rsidRPr="005B2507">
        <w:rPr>
          <w:rFonts w:ascii="Verdana" w:hAnsi="Verdana"/>
          <w:i/>
          <w:sz w:val="16"/>
          <w:szCs w:val="16"/>
        </w:rPr>
        <w:t>y</w:t>
      </w:r>
      <w:r w:rsidRPr="005B2507">
        <w:rPr>
          <w:rFonts w:ascii="Verdana" w:hAnsi="Verdana"/>
          <w:i/>
          <w:spacing w:val="-11"/>
          <w:sz w:val="16"/>
          <w:szCs w:val="16"/>
        </w:rPr>
        <w:t xml:space="preserve"> </w:t>
      </w:r>
      <w:r w:rsidRPr="005B2507">
        <w:rPr>
          <w:rFonts w:ascii="Verdana" w:hAnsi="Verdana"/>
          <w:i/>
          <w:sz w:val="16"/>
          <w:szCs w:val="16"/>
        </w:rPr>
        <w:t>Costas.</w:t>
      </w:r>
      <w:r w:rsidRPr="005B2507">
        <w:rPr>
          <w:rFonts w:ascii="Verdana" w:hAnsi="Verdana"/>
          <w:i/>
          <w:spacing w:val="-13"/>
          <w:sz w:val="16"/>
          <w:szCs w:val="16"/>
        </w:rPr>
        <w:t xml:space="preserve"> </w:t>
      </w:r>
      <w:r w:rsidRPr="005B2507">
        <w:rPr>
          <w:rFonts w:ascii="Verdana" w:hAnsi="Verdana"/>
          <w:sz w:val="16"/>
          <w:szCs w:val="16"/>
        </w:rPr>
        <w:t xml:space="preserve">Sentencia de 6 de agosto de 2008. Serie C No. 184, párr. 39, y </w:t>
      </w:r>
      <w:r w:rsidRPr="005B2507">
        <w:rPr>
          <w:rFonts w:ascii="Verdana" w:hAnsi="Verdana" w:cs="Open Sans"/>
          <w:i/>
          <w:iCs/>
          <w:color w:val="000000" w:themeColor="text1"/>
          <w:sz w:val="16"/>
          <w:szCs w:val="16"/>
          <w:shd w:val="clear" w:color="auto" w:fill="FFFFFF"/>
        </w:rPr>
        <w:t>Caso Petro Urrego Vs. Colombia</w:t>
      </w:r>
      <w:r w:rsidR="00B7318A">
        <w:rPr>
          <w:rFonts w:ascii="Verdana" w:hAnsi="Verdana" w:cs="Open Sans"/>
          <w:i/>
          <w:iCs/>
          <w:color w:val="000000" w:themeColor="text1"/>
          <w:sz w:val="16"/>
          <w:szCs w:val="16"/>
          <w:shd w:val="clear" w:color="auto" w:fill="FFFFFF"/>
        </w:rPr>
        <w:t>, supra</w:t>
      </w:r>
      <w:r w:rsidRPr="005B2507">
        <w:rPr>
          <w:rFonts w:ascii="Verdana" w:hAnsi="Verdana"/>
          <w:color w:val="000000" w:themeColor="text1"/>
          <w:sz w:val="16"/>
          <w:szCs w:val="16"/>
        </w:rPr>
        <w:t>, párr.</w:t>
      </w:r>
      <w:r w:rsidRPr="005B2507">
        <w:rPr>
          <w:rFonts w:ascii="Verdana" w:hAnsi="Verdana"/>
          <w:color w:val="000000" w:themeColor="text1"/>
          <w:spacing w:val="-12"/>
          <w:sz w:val="16"/>
          <w:szCs w:val="16"/>
        </w:rPr>
        <w:t xml:space="preserve"> </w:t>
      </w:r>
      <w:r w:rsidRPr="005B2507">
        <w:rPr>
          <w:rFonts w:ascii="Verdana" w:hAnsi="Verdana"/>
          <w:color w:val="000000" w:themeColor="text1"/>
          <w:sz w:val="16"/>
          <w:szCs w:val="16"/>
        </w:rPr>
        <w:t>32.</w:t>
      </w:r>
    </w:p>
  </w:footnote>
  <w:footnote w:id="13">
    <w:p w14:paraId="32FD6A8B" w14:textId="469EE3FC" w:rsidR="00F54888" w:rsidRPr="005B2507" w:rsidRDefault="00F54888" w:rsidP="005B2507">
      <w:pPr>
        <w:pStyle w:val="Textonotapie"/>
        <w:tabs>
          <w:tab w:val="left" w:pos="709"/>
        </w:tabs>
        <w:spacing w:before="120" w:after="120"/>
        <w:jc w:val="both"/>
        <w:rPr>
          <w:rFonts w:ascii="Verdana" w:hAnsi="Verdana"/>
          <w:sz w:val="16"/>
          <w:szCs w:val="16"/>
        </w:rPr>
      </w:pPr>
      <w:r w:rsidRPr="005B2507">
        <w:rPr>
          <w:rStyle w:val="Refdenotaalpie"/>
          <w:rFonts w:ascii="Verdana" w:hAnsi="Verdana"/>
          <w:sz w:val="16"/>
          <w:szCs w:val="16"/>
        </w:rPr>
        <w:footnoteRef/>
      </w:r>
      <w:r w:rsidRPr="005B2507">
        <w:rPr>
          <w:rFonts w:ascii="Verdana" w:hAnsi="Verdana"/>
          <w:sz w:val="16"/>
          <w:szCs w:val="16"/>
        </w:rPr>
        <w:t xml:space="preserve"> </w:t>
      </w:r>
      <w:r w:rsidRPr="005B2507">
        <w:rPr>
          <w:rFonts w:ascii="Verdana" w:hAnsi="Verdana"/>
          <w:sz w:val="16"/>
          <w:szCs w:val="16"/>
        </w:rPr>
        <w:tab/>
      </w:r>
      <w:r w:rsidRPr="005B2507">
        <w:rPr>
          <w:rFonts w:ascii="Verdana" w:hAnsi="Verdana"/>
          <w:i/>
          <w:iCs/>
          <w:sz w:val="16"/>
          <w:szCs w:val="16"/>
        </w:rPr>
        <w:t xml:space="preserve">Cfr. </w:t>
      </w:r>
      <w:r w:rsidR="00212FFC" w:rsidRPr="005B2507">
        <w:rPr>
          <w:rFonts w:ascii="Verdana" w:hAnsi="Verdana"/>
          <w:sz w:val="16"/>
          <w:szCs w:val="16"/>
        </w:rPr>
        <w:t xml:space="preserve">Poder conferido </w:t>
      </w:r>
      <w:r w:rsidR="00202468" w:rsidRPr="005B2507">
        <w:rPr>
          <w:rFonts w:ascii="Verdana" w:hAnsi="Verdana"/>
          <w:sz w:val="16"/>
          <w:szCs w:val="16"/>
        </w:rPr>
        <w:t xml:space="preserve">a </w:t>
      </w:r>
      <w:r w:rsidR="00ED4A5E" w:rsidRPr="00ED4A5E">
        <w:rPr>
          <w:rFonts w:ascii="Verdana" w:hAnsi="Verdana"/>
          <w:sz w:val="16"/>
          <w:szCs w:val="16"/>
        </w:rPr>
        <w:t>Carlos Varela Álvarez, Diego Jorge Lavado y Alejandro Omar Venier</w:t>
      </w:r>
      <w:r w:rsidR="00ED4A5E">
        <w:rPr>
          <w:rFonts w:ascii="Verdana" w:hAnsi="Verdana"/>
          <w:sz w:val="16"/>
          <w:szCs w:val="16"/>
        </w:rPr>
        <w:t xml:space="preserve"> el 24 de febrero de 1993 (expediente de prueba, folios 65 a 68)</w:t>
      </w:r>
      <w:r w:rsidR="00FF6762">
        <w:rPr>
          <w:rFonts w:ascii="Verdana" w:hAnsi="Verdana"/>
          <w:sz w:val="16"/>
          <w:szCs w:val="16"/>
        </w:rPr>
        <w:t xml:space="preserve">, </w:t>
      </w:r>
      <w:r w:rsidR="00D61554" w:rsidRPr="005B2507">
        <w:rPr>
          <w:rFonts w:ascii="Verdana" w:hAnsi="Verdana"/>
          <w:sz w:val="16"/>
          <w:szCs w:val="16"/>
        </w:rPr>
        <w:t>y Poder conferido a S.F.G.C el 18 de septiembre de 1991 (expediente de prueba, folio 60)</w:t>
      </w:r>
      <w:r w:rsidR="008F3ABD" w:rsidRPr="005B2507">
        <w:rPr>
          <w:rFonts w:ascii="Verdana" w:hAnsi="Verdana"/>
          <w:sz w:val="16"/>
          <w:szCs w:val="16"/>
        </w:rPr>
        <w:t>.</w:t>
      </w:r>
    </w:p>
  </w:footnote>
  <w:footnote w:id="14">
    <w:p w14:paraId="5C95D27B" w14:textId="23974380" w:rsidR="004059FD" w:rsidRPr="005B2507" w:rsidRDefault="004059FD" w:rsidP="005B2507">
      <w:pPr>
        <w:pStyle w:val="Textonotapie"/>
        <w:tabs>
          <w:tab w:val="left" w:pos="709"/>
        </w:tabs>
        <w:spacing w:before="120" w:after="120"/>
        <w:jc w:val="both"/>
        <w:rPr>
          <w:rFonts w:ascii="Verdana" w:hAnsi="Verdana"/>
          <w:sz w:val="16"/>
          <w:szCs w:val="16"/>
        </w:rPr>
      </w:pPr>
      <w:r w:rsidRPr="005B2507">
        <w:rPr>
          <w:rStyle w:val="Refdenotaalpie"/>
          <w:rFonts w:ascii="Verdana" w:hAnsi="Verdana"/>
          <w:sz w:val="16"/>
          <w:szCs w:val="16"/>
        </w:rPr>
        <w:footnoteRef/>
      </w:r>
      <w:r w:rsidRPr="005B2507">
        <w:rPr>
          <w:rFonts w:ascii="Verdana" w:hAnsi="Verdana"/>
          <w:sz w:val="16"/>
          <w:szCs w:val="16"/>
        </w:rPr>
        <w:t xml:space="preserve"> </w:t>
      </w:r>
      <w:r w:rsidRPr="005B2507">
        <w:rPr>
          <w:rFonts w:ascii="Verdana" w:hAnsi="Verdana"/>
          <w:sz w:val="16"/>
          <w:szCs w:val="16"/>
        </w:rPr>
        <w:tab/>
      </w:r>
      <w:r w:rsidRPr="005B2507">
        <w:rPr>
          <w:rFonts w:ascii="Verdana" w:hAnsi="Verdana"/>
          <w:i/>
          <w:sz w:val="16"/>
          <w:szCs w:val="16"/>
        </w:rPr>
        <w:t xml:space="preserve">Cfr. Caso Velásquez Rodríguez Vs. Honduras. </w:t>
      </w:r>
      <w:r w:rsidR="002A3DE5" w:rsidRPr="005B2507">
        <w:rPr>
          <w:rFonts w:ascii="Verdana" w:hAnsi="Verdana"/>
          <w:bCs/>
          <w:i/>
          <w:sz w:val="16"/>
          <w:szCs w:val="16"/>
        </w:rPr>
        <w:t xml:space="preserve">Fondo. </w:t>
      </w:r>
      <w:r w:rsidR="002A3DE5" w:rsidRPr="005B2507">
        <w:rPr>
          <w:rFonts w:ascii="Verdana" w:hAnsi="Verdana"/>
          <w:bCs/>
          <w:sz w:val="16"/>
          <w:szCs w:val="16"/>
        </w:rPr>
        <w:t>Sentencia de 29 de julio de 1988. Serie C No. 4</w:t>
      </w:r>
      <w:r w:rsidR="002A3DE5">
        <w:rPr>
          <w:rFonts w:ascii="Verdana" w:hAnsi="Verdana"/>
          <w:bCs/>
          <w:sz w:val="16"/>
          <w:szCs w:val="16"/>
        </w:rPr>
        <w:t xml:space="preserve">, </w:t>
      </w:r>
      <w:r w:rsidRPr="005B2507">
        <w:rPr>
          <w:rFonts w:ascii="Verdana" w:hAnsi="Verdana"/>
          <w:sz w:val="16"/>
          <w:szCs w:val="16"/>
        </w:rPr>
        <w:t xml:space="preserve">párr. 140, y </w:t>
      </w:r>
      <w:r w:rsidR="000B306B" w:rsidRPr="0037717D">
        <w:rPr>
          <w:rFonts w:ascii="Verdana" w:hAnsi="Verdana"/>
          <w:i/>
          <w:iCs/>
          <w:sz w:val="16"/>
          <w:szCs w:val="16"/>
        </w:rPr>
        <w:t>Caso Guevara Díaz Vs. Costa Rica. Fondo, Reparaciones y Costas</w:t>
      </w:r>
      <w:r w:rsidR="000B306B" w:rsidRPr="000B306B">
        <w:rPr>
          <w:rFonts w:ascii="Verdana" w:hAnsi="Verdana"/>
          <w:sz w:val="16"/>
          <w:szCs w:val="16"/>
        </w:rPr>
        <w:t>. Sentencia de 22 de junio de 2022. Serie C No. 453</w:t>
      </w:r>
      <w:r w:rsidR="000B306B">
        <w:rPr>
          <w:rFonts w:ascii="Verdana" w:hAnsi="Verdana"/>
          <w:sz w:val="16"/>
          <w:szCs w:val="16"/>
        </w:rPr>
        <w:t>, párr. 24.</w:t>
      </w:r>
    </w:p>
  </w:footnote>
  <w:footnote w:id="15">
    <w:p w14:paraId="5016BF1C" w14:textId="77777777" w:rsidR="00CC2E6D" w:rsidRPr="005B2507" w:rsidRDefault="00CC2E6D" w:rsidP="005B2507">
      <w:pPr>
        <w:pStyle w:val="Textonotapie"/>
        <w:tabs>
          <w:tab w:val="left" w:pos="709"/>
        </w:tabs>
        <w:spacing w:before="120" w:after="120"/>
        <w:contextualSpacing/>
        <w:jc w:val="both"/>
        <w:rPr>
          <w:rFonts w:ascii="Verdana" w:hAnsi="Verdana"/>
          <w:sz w:val="16"/>
          <w:szCs w:val="16"/>
        </w:rPr>
      </w:pPr>
      <w:r w:rsidRPr="005B2507">
        <w:rPr>
          <w:rStyle w:val="Refdenotaalpie"/>
          <w:rFonts w:ascii="Verdana" w:hAnsi="Verdana"/>
          <w:sz w:val="16"/>
          <w:szCs w:val="16"/>
        </w:rPr>
        <w:footnoteRef/>
      </w:r>
      <w:r w:rsidRPr="005B2507">
        <w:rPr>
          <w:rFonts w:ascii="Verdana" w:hAnsi="Verdana"/>
          <w:sz w:val="16"/>
          <w:szCs w:val="16"/>
        </w:rPr>
        <w:t xml:space="preserve">  </w:t>
      </w:r>
      <w:r w:rsidRPr="005B2507">
        <w:rPr>
          <w:rFonts w:ascii="Verdana" w:hAnsi="Verdana"/>
          <w:sz w:val="16"/>
          <w:szCs w:val="16"/>
        </w:rPr>
        <w:tab/>
        <w:t>Declaración pericial de Juan Ignacio Mondelli rendida en la audiencia pública del presente caso. En respuesta al requerimiento de la Corte en la audiencia pública, el 28 de abril de 2022 el perito remitió una versión escrita de su declaración, la cual ha sido incorporada al expediente de prueba del caso.</w:t>
      </w:r>
    </w:p>
  </w:footnote>
  <w:footnote w:id="16">
    <w:p w14:paraId="13AE76CE" w14:textId="390BC0A7" w:rsidR="00CC2E6D" w:rsidRPr="005B2507" w:rsidRDefault="00CC2E6D" w:rsidP="005B2507">
      <w:pPr>
        <w:tabs>
          <w:tab w:val="left" w:pos="709"/>
        </w:tabs>
        <w:spacing w:before="120" w:after="120"/>
        <w:jc w:val="both"/>
        <w:rPr>
          <w:rFonts w:ascii="Verdana" w:hAnsi="Verdana"/>
          <w:sz w:val="16"/>
          <w:szCs w:val="16"/>
        </w:rPr>
      </w:pPr>
      <w:r w:rsidRPr="005B2507">
        <w:rPr>
          <w:rStyle w:val="Refdenotaalpie"/>
          <w:rFonts w:ascii="Verdana" w:hAnsi="Verdana"/>
          <w:sz w:val="16"/>
          <w:szCs w:val="16"/>
        </w:rPr>
        <w:footnoteRef/>
      </w:r>
      <w:r w:rsidRPr="005B2507">
        <w:rPr>
          <w:rFonts w:ascii="Verdana" w:hAnsi="Verdana"/>
          <w:sz w:val="16"/>
          <w:szCs w:val="16"/>
        </w:rPr>
        <w:t xml:space="preserve">  </w:t>
      </w:r>
      <w:r w:rsidRPr="005B2507">
        <w:rPr>
          <w:rFonts w:ascii="Verdana" w:hAnsi="Verdana"/>
          <w:sz w:val="16"/>
          <w:szCs w:val="16"/>
        </w:rPr>
        <w:tab/>
        <w:t>Declaración pericial de Ignacio Odriozola rendida ante fedatario público el 18 de marzo de 2022 (expediente de prueba, folio 2368 a 2449). La Corte nota que los representantes desistieron de la declaración pericial de Emilio García Méndez</w:t>
      </w:r>
      <w:r w:rsidR="00122402" w:rsidRPr="005B2507">
        <w:rPr>
          <w:rFonts w:ascii="Verdana" w:hAnsi="Verdana"/>
          <w:sz w:val="16"/>
          <w:szCs w:val="16"/>
        </w:rPr>
        <w:t>.</w:t>
      </w:r>
    </w:p>
  </w:footnote>
  <w:footnote w:id="17">
    <w:p w14:paraId="27108A50" w14:textId="77777777" w:rsidR="00CC2E6D" w:rsidRPr="005B2507" w:rsidRDefault="00CC2E6D" w:rsidP="005B2507">
      <w:pPr>
        <w:tabs>
          <w:tab w:val="left" w:pos="709"/>
        </w:tabs>
        <w:spacing w:before="120" w:after="120"/>
        <w:jc w:val="both"/>
        <w:rPr>
          <w:rFonts w:ascii="Verdana" w:hAnsi="Verdana"/>
          <w:sz w:val="16"/>
          <w:szCs w:val="16"/>
        </w:rPr>
      </w:pPr>
      <w:r w:rsidRPr="005B2507">
        <w:rPr>
          <w:rStyle w:val="Refdenotaalpie"/>
          <w:rFonts w:ascii="Verdana" w:hAnsi="Verdana"/>
          <w:sz w:val="16"/>
          <w:szCs w:val="16"/>
        </w:rPr>
        <w:footnoteRef/>
      </w:r>
      <w:r w:rsidRPr="005B2507">
        <w:rPr>
          <w:rFonts w:ascii="Verdana" w:hAnsi="Verdana"/>
          <w:sz w:val="16"/>
          <w:szCs w:val="16"/>
        </w:rPr>
        <w:t xml:space="preserve">  </w:t>
      </w:r>
      <w:r w:rsidRPr="005B2507">
        <w:rPr>
          <w:rFonts w:ascii="Verdana" w:hAnsi="Verdana"/>
          <w:sz w:val="16"/>
          <w:szCs w:val="16"/>
        </w:rPr>
        <w:tab/>
      </w:r>
      <w:r w:rsidRPr="005B2507">
        <w:rPr>
          <w:rFonts w:ascii="Verdana" w:hAnsi="Verdana"/>
          <w:i/>
          <w:iCs/>
          <w:sz w:val="16"/>
          <w:szCs w:val="16"/>
        </w:rPr>
        <w:t>Cfr.</w:t>
      </w:r>
      <w:r w:rsidRPr="005B2507">
        <w:rPr>
          <w:rFonts w:ascii="Verdana" w:hAnsi="Verdana"/>
          <w:sz w:val="16"/>
          <w:szCs w:val="16"/>
        </w:rPr>
        <w:t xml:space="preserve"> </w:t>
      </w:r>
      <w:r w:rsidRPr="005B2507">
        <w:rPr>
          <w:rFonts w:ascii="Verdana" w:hAnsi="Verdana"/>
          <w:i/>
          <w:iCs/>
          <w:sz w:val="16"/>
          <w:szCs w:val="16"/>
        </w:rPr>
        <w:t>Caso Habbal y otros Vs. Argentina. Convocatoria a audiencia</w:t>
      </w:r>
      <w:r w:rsidRPr="005B2507">
        <w:rPr>
          <w:rFonts w:ascii="Verdana" w:hAnsi="Verdana"/>
          <w:sz w:val="16"/>
          <w:szCs w:val="16"/>
        </w:rPr>
        <w:t xml:space="preserve">. Resolución del Presidente de la Corte Interamericana de Derechos Humanos de 22 de febrero de 2022, y </w:t>
      </w:r>
      <w:r w:rsidRPr="005B2507">
        <w:rPr>
          <w:rFonts w:ascii="Verdana" w:hAnsi="Verdana"/>
          <w:i/>
          <w:iCs/>
          <w:sz w:val="16"/>
          <w:szCs w:val="16"/>
        </w:rPr>
        <w:t>Caso Habbal y otros Vs. Argentina</w:t>
      </w:r>
      <w:r w:rsidRPr="005B2507">
        <w:rPr>
          <w:rFonts w:ascii="Verdana" w:hAnsi="Verdana"/>
          <w:sz w:val="16"/>
          <w:szCs w:val="16"/>
        </w:rPr>
        <w:t>. Resolución de la Corte Interamericana de Derechos Humanos de 18 de marzo de 2022.</w:t>
      </w:r>
    </w:p>
  </w:footnote>
  <w:footnote w:id="18">
    <w:p w14:paraId="6204EB69" w14:textId="77777777" w:rsidR="004F6879" w:rsidRPr="005B2507" w:rsidRDefault="004F6879" w:rsidP="005B2507">
      <w:pPr>
        <w:pStyle w:val="Textonotapie"/>
        <w:tabs>
          <w:tab w:val="left" w:pos="709"/>
        </w:tabs>
        <w:spacing w:before="120" w:after="120"/>
        <w:jc w:val="both"/>
        <w:rPr>
          <w:rFonts w:ascii="Verdana" w:hAnsi="Verdana"/>
          <w:sz w:val="16"/>
          <w:szCs w:val="16"/>
        </w:rPr>
      </w:pPr>
      <w:r w:rsidRPr="005B2507">
        <w:rPr>
          <w:rStyle w:val="Refdenotaalpie"/>
          <w:rFonts w:ascii="Verdana" w:hAnsi="Verdana"/>
          <w:sz w:val="16"/>
          <w:szCs w:val="16"/>
        </w:rPr>
        <w:footnoteRef/>
      </w:r>
      <w:r w:rsidRPr="005B2507">
        <w:rPr>
          <w:rFonts w:ascii="Verdana" w:hAnsi="Verdana"/>
          <w:sz w:val="16"/>
          <w:szCs w:val="16"/>
        </w:rPr>
        <w:t xml:space="preserve"> </w:t>
      </w:r>
      <w:r w:rsidRPr="005B2507">
        <w:rPr>
          <w:rFonts w:ascii="Verdana" w:hAnsi="Verdana"/>
          <w:sz w:val="16"/>
          <w:szCs w:val="16"/>
        </w:rPr>
        <w:tab/>
      </w:r>
      <w:r w:rsidRPr="005B2507">
        <w:rPr>
          <w:rFonts w:ascii="Verdana" w:hAnsi="Verdana"/>
          <w:i/>
          <w:iCs/>
          <w:sz w:val="16"/>
          <w:szCs w:val="16"/>
        </w:rPr>
        <w:t xml:space="preserve">Cfr. </w:t>
      </w:r>
      <w:r w:rsidRPr="005B2507">
        <w:rPr>
          <w:rFonts w:ascii="Verdana" w:hAnsi="Verdana"/>
          <w:sz w:val="16"/>
          <w:szCs w:val="16"/>
          <w:lang w:val="es-ES"/>
        </w:rPr>
        <w:t>Documento nacional de identidad de Raghda Habbal (expediente de prueba, folio 6).</w:t>
      </w:r>
    </w:p>
  </w:footnote>
  <w:footnote w:id="19">
    <w:p w14:paraId="71C8181F" w14:textId="77777777" w:rsidR="004F6879" w:rsidRPr="005B2507" w:rsidRDefault="004F6879" w:rsidP="005B2507">
      <w:pPr>
        <w:pStyle w:val="Textonotapie"/>
        <w:tabs>
          <w:tab w:val="left" w:pos="709"/>
        </w:tabs>
        <w:spacing w:before="120" w:after="120"/>
        <w:jc w:val="both"/>
        <w:rPr>
          <w:rFonts w:ascii="Verdana" w:hAnsi="Verdana"/>
          <w:sz w:val="16"/>
          <w:szCs w:val="16"/>
        </w:rPr>
      </w:pPr>
      <w:r w:rsidRPr="005B2507">
        <w:rPr>
          <w:rStyle w:val="Refdenotaalpie"/>
          <w:rFonts w:ascii="Verdana" w:hAnsi="Verdana"/>
          <w:sz w:val="16"/>
          <w:szCs w:val="16"/>
        </w:rPr>
        <w:footnoteRef/>
      </w:r>
      <w:r w:rsidRPr="005B2507">
        <w:rPr>
          <w:rFonts w:ascii="Verdana" w:hAnsi="Verdana"/>
          <w:sz w:val="16"/>
          <w:szCs w:val="16"/>
        </w:rPr>
        <w:t xml:space="preserve"> </w:t>
      </w:r>
      <w:r w:rsidRPr="005B2507">
        <w:rPr>
          <w:rFonts w:ascii="Verdana" w:hAnsi="Verdana"/>
          <w:sz w:val="16"/>
          <w:szCs w:val="16"/>
        </w:rPr>
        <w:tab/>
      </w:r>
      <w:r w:rsidRPr="005B2507">
        <w:rPr>
          <w:rFonts w:ascii="Verdana" w:hAnsi="Verdana"/>
          <w:i/>
          <w:iCs/>
          <w:sz w:val="16"/>
          <w:szCs w:val="16"/>
        </w:rPr>
        <w:t xml:space="preserve">Cfr. </w:t>
      </w:r>
      <w:r w:rsidRPr="005B2507">
        <w:rPr>
          <w:rFonts w:ascii="Verdana" w:hAnsi="Verdana"/>
          <w:sz w:val="16"/>
          <w:szCs w:val="16"/>
        </w:rPr>
        <w:t>Documento firmado por el Secretario de Inteligencia del Estado (expediente de prueba, folio 1422).</w:t>
      </w:r>
    </w:p>
  </w:footnote>
  <w:footnote w:id="20">
    <w:p w14:paraId="24525C91" w14:textId="77777777" w:rsidR="004F6879" w:rsidRPr="005B2507" w:rsidRDefault="004F6879" w:rsidP="005B2507">
      <w:pPr>
        <w:pStyle w:val="Textonotapie"/>
        <w:tabs>
          <w:tab w:val="left" w:pos="709"/>
        </w:tabs>
        <w:spacing w:before="120" w:after="120"/>
        <w:jc w:val="both"/>
        <w:rPr>
          <w:rFonts w:ascii="Verdana" w:hAnsi="Verdana"/>
          <w:sz w:val="16"/>
          <w:szCs w:val="16"/>
        </w:rPr>
      </w:pPr>
      <w:r w:rsidRPr="005B2507">
        <w:rPr>
          <w:rStyle w:val="Refdenotaalpie"/>
          <w:rFonts w:ascii="Verdana" w:hAnsi="Verdana"/>
          <w:sz w:val="16"/>
          <w:szCs w:val="16"/>
        </w:rPr>
        <w:footnoteRef/>
      </w:r>
      <w:r w:rsidRPr="005B2507">
        <w:rPr>
          <w:rFonts w:ascii="Verdana" w:hAnsi="Verdana"/>
          <w:sz w:val="16"/>
          <w:szCs w:val="16"/>
        </w:rPr>
        <w:t xml:space="preserve"> </w:t>
      </w:r>
      <w:r w:rsidRPr="005B2507">
        <w:rPr>
          <w:rFonts w:ascii="Verdana" w:hAnsi="Verdana"/>
          <w:sz w:val="16"/>
          <w:szCs w:val="16"/>
        </w:rPr>
        <w:tab/>
      </w:r>
      <w:r w:rsidRPr="005B2507">
        <w:rPr>
          <w:rFonts w:ascii="Verdana" w:hAnsi="Verdana"/>
          <w:i/>
          <w:iCs/>
          <w:sz w:val="16"/>
          <w:szCs w:val="16"/>
        </w:rPr>
        <w:t xml:space="preserve">Cfr. </w:t>
      </w:r>
      <w:r w:rsidRPr="005B2507">
        <w:rPr>
          <w:rFonts w:ascii="Verdana" w:hAnsi="Verdana"/>
          <w:sz w:val="16"/>
          <w:szCs w:val="16"/>
          <w:lang w:val="es-ES"/>
        </w:rPr>
        <w:t>Registro de Estado Civil y Capacidad de las Personas que acredita el nacimiento de Mohamed René Al Kassar (expediente de prueba, folio 13).</w:t>
      </w:r>
    </w:p>
  </w:footnote>
  <w:footnote w:id="21">
    <w:p w14:paraId="06B5F188" w14:textId="131A1C7C" w:rsidR="004F6879" w:rsidRPr="005B2507" w:rsidRDefault="004F6879" w:rsidP="005B2507">
      <w:pPr>
        <w:pStyle w:val="Textoindependiente"/>
        <w:tabs>
          <w:tab w:val="left" w:pos="709"/>
        </w:tabs>
        <w:kinsoku w:val="0"/>
        <w:overflowPunct w:val="0"/>
        <w:spacing w:before="120" w:after="120" w:line="240" w:lineRule="auto"/>
        <w:rPr>
          <w:w w:val="110"/>
          <w:sz w:val="16"/>
          <w:szCs w:val="16"/>
          <w:lang w:val="es-ES"/>
        </w:rPr>
      </w:pPr>
      <w:r w:rsidRPr="005B2507">
        <w:rPr>
          <w:rStyle w:val="Refdenotaalpie"/>
          <w:sz w:val="16"/>
          <w:szCs w:val="16"/>
        </w:rPr>
        <w:footnoteRef/>
      </w:r>
      <w:r w:rsidRPr="005B2507">
        <w:rPr>
          <w:sz w:val="16"/>
          <w:szCs w:val="16"/>
          <w:lang w:val="es-ES"/>
        </w:rPr>
        <w:t xml:space="preserve"> </w:t>
      </w:r>
      <w:r w:rsidRPr="005B2507">
        <w:rPr>
          <w:sz w:val="16"/>
          <w:szCs w:val="16"/>
          <w:lang w:val="es-ES"/>
        </w:rPr>
        <w:tab/>
      </w:r>
      <w:r w:rsidRPr="005B2507">
        <w:rPr>
          <w:i/>
          <w:iCs/>
          <w:sz w:val="16"/>
          <w:szCs w:val="16"/>
          <w:lang w:val="es-ES"/>
        </w:rPr>
        <w:t xml:space="preserve">Cfr. </w:t>
      </w:r>
      <w:r w:rsidRPr="005B2507">
        <w:rPr>
          <w:w w:val="110"/>
          <w:sz w:val="16"/>
          <w:szCs w:val="16"/>
          <w:lang w:val="es-ES"/>
        </w:rPr>
        <w:t>Comunicación de Monzer Al Kassar dirigida al Director Nacional de Migraciones</w:t>
      </w:r>
      <w:r w:rsidR="00A958CA">
        <w:rPr>
          <w:w w:val="110"/>
          <w:sz w:val="16"/>
          <w:szCs w:val="16"/>
          <w:lang w:val="es-ES"/>
        </w:rPr>
        <w:t xml:space="preserve"> de </w:t>
      </w:r>
      <w:r w:rsidRPr="005B2507">
        <w:rPr>
          <w:w w:val="110"/>
          <w:sz w:val="16"/>
          <w:szCs w:val="16"/>
          <w:lang w:val="es-ES"/>
        </w:rPr>
        <w:t xml:space="preserve">21 de junio de 1990 </w:t>
      </w:r>
      <w:r w:rsidRPr="005B2507">
        <w:rPr>
          <w:rFonts w:eastAsiaTheme="minorHAnsi"/>
          <w:sz w:val="16"/>
          <w:szCs w:val="16"/>
          <w:lang w:val="es-ES"/>
        </w:rPr>
        <w:t>(expediente de prueba, folio 8)</w:t>
      </w:r>
      <w:r w:rsidRPr="005B2507">
        <w:rPr>
          <w:w w:val="110"/>
          <w:sz w:val="16"/>
          <w:szCs w:val="16"/>
          <w:lang w:val="es-ES"/>
        </w:rPr>
        <w:t>.</w:t>
      </w:r>
    </w:p>
  </w:footnote>
  <w:footnote w:id="22">
    <w:p w14:paraId="0CFFB37E" w14:textId="1F6A7128" w:rsidR="004F6879" w:rsidRPr="005B2507" w:rsidRDefault="004F6879" w:rsidP="005B2507">
      <w:pPr>
        <w:tabs>
          <w:tab w:val="left" w:pos="709"/>
        </w:tabs>
        <w:autoSpaceDE w:val="0"/>
        <w:autoSpaceDN w:val="0"/>
        <w:adjustRightInd w:val="0"/>
        <w:spacing w:before="120" w:after="120"/>
        <w:jc w:val="both"/>
        <w:rPr>
          <w:rFonts w:ascii="Verdana" w:hAnsi="Verdana"/>
          <w:w w:val="110"/>
          <w:sz w:val="16"/>
          <w:szCs w:val="16"/>
          <w:lang w:val="es-ES"/>
        </w:rPr>
      </w:pPr>
      <w:r w:rsidRPr="005B2507">
        <w:rPr>
          <w:rStyle w:val="Refdenotaalpie"/>
          <w:rFonts w:ascii="Verdana" w:hAnsi="Verdana"/>
          <w:sz w:val="16"/>
          <w:szCs w:val="16"/>
        </w:rPr>
        <w:footnoteRef/>
      </w:r>
      <w:r w:rsidRPr="005B2507">
        <w:rPr>
          <w:rFonts w:ascii="Verdana" w:hAnsi="Verdana"/>
          <w:sz w:val="16"/>
          <w:szCs w:val="16"/>
          <w:lang w:val="es-ES"/>
        </w:rPr>
        <w:t xml:space="preserve"> </w:t>
      </w:r>
      <w:r w:rsidRPr="005B2507">
        <w:rPr>
          <w:rFonts w:ascii="Verdana" w:hAnsi="Verdana"/>
          <w:sz w:val="16"/>
          <w:szCs w:val="16"/>
          <w:lang w:val="es-ES"/>
        </w:rPr>
        <w:tab/>
      </w:r>
      <w:r w:rsidRPr="005B2507">
        <w:rPr>
          <w:rFonts w:ascii="Verdana" w:hAnsi="Verdana"/>
          <w:i/>
          <w:iCs/>
          <w:sz w:val="16"/>
          <w:szCs w:val="16"/>
          <w:lang w:val="es-ES"/>
        </w:rPr>
        <w:t xml:space="preserve">Cfr. </w:t>
      </w:r>
      <w:r w:rsidRPr="005B2507">
        <w:rPr>
          <w:rFonts w:ascii="Verdana" w:hAnsi="Verdana"/>
          <w:sz w:val="16"/>
          <w:szCs w:val="16"/>
          <w:lang w:val="es-ES"/>
        </w:rPr>
        <w:t xml:space="preserve">Constancia de admisión como residente permanente de la señora Raghda Habbal, emitida por la Dirección Nacional de </w:t>
      </w:r>
      <w:r w:rsidRPr="005B2507">
        <w:rPr>
          <w:rFonts w:ascii="Verdana" w:hAnsi="Verdana"/>
          <w:w w:val="110"/>
          <w:sz w:val="16"/>
          <w:szCs w:val="16"/>
          <w:lang w:val="es-ES"/>
        </w:rPr>
        <w:t xml:space="preserve">Migraciones del Ministerio del Interior de la República Argentina </w:t>
      </w:r>
      <w:r w:rsidRPr="005B2507">
        <w:rPr>
          <w:rFonts w:ascii="Verdana" w:hAnsi="Verdana"/>
          <w:sz w:val="16"/>
          <w:szCs w:val="16"/>
          <w:lang w:val="es-ES"/>
        </w:rPr>
        <w:t>(expediente de prueba, folios 10</w:t>
      </w:r>
      <w:r w:rsidR="00A83EB6">
        <w:rPr>
          <w:rFonts w:ascii="Verdana" w:hAnsi="Verdana"/>
          <w:sz w:val="16"/>
          <w:szCs w:val="16"/>
          <w:lang w:val="es-ES"/>
        </w:rPr>
        <w:t xml:space="preserve"> y </w:t>
      </w:r>
      <w:r w:rsidRPr="005B2507">
        <w:rPr>
          <w:rFonts w:ascii="Verdana" w:hAnsi="Verdana"/>
          <w:sz w:val="16"/>
          <w:szCs w:val="16"/>
          <w:lang w:val="es-ES"/>
        </w:rPr>
        <w:t>11)</w:t>
      </w:r>
      <w:r w:rsidR="00A83EB6">
        <w:rPr>
          <w:rFonts w:ascii="Verdana" w:hAnsi="Verdana"/>
          <w:w w:val="110"/>
          <w:sz w:val="16"/>
          <w:szCs w:val="16"/>
          <w:lang w:val="es-ES"/>
        </w:rPr>
        <w:t>,</w:t>
      </w:r>
      <w:r w:rsidRPr="005B2507">
        <w:rPr>
          <w:rFonts w:ascii="Verdana" w:hAnsi="Verdana"/>
          <w:w w:val="110"/>
          <w:sz w:val="16"/>
          <w:szCs w:val="16"/>
          <w:lang w:val="es-ES"/>
        </w:rPr>
        <w:t xml:space="preserve"> y </w:t>
      </w:r>
      <w:r w:rsidRPr="005B2507">
        <w:rPr>
          <w:rFonts w:ascii="Verdana" w:hAnsi="Verdana" w:cs="Arial"/>
          <w:sz w:val="16"/>
          <w:szCs w:val="16"/>
          <w:lang w:val="es-ES"/>
        </w:rPr>
        <w:t>Disposición DI-2020-2347-APN-DNM#MI del 1 de junio de 2020 que revoca la resolución N° 1088 (expediente de prueba, folio 1579).</w:t>
      </w:r>
    </w:p>
  </w:footnote>
  <w:footnote w:id="23">
    <w:p w14:paraId="4895AE62" w14:textId="1B222611" w:rsidR="004F6879" w:rsidRPr="005B2507" w:rsidRDefault="004F6879" w:rsidP="005B2507">
      <w:pPr>
        <w:tabs>
          <w:tab w:val="left" w:pos="709"/>
        </w:tabs>
        <w:spacing w:before="120" w:after="120"/>
        <w:ind w:right="49"/>
        <w:jc w:val="both"/>
        <w:rPr>
          <w:rFonts w:ascii="Verdana" w:hAnsi="Verdana"/>
          <w:color w:val="000000"/>
          <w:sz w:val="16"/>
          <w:szCs w:val="16"/>
          <w:lang w:val="es-ES" w:eastAsia="es-ES"/>
        </w:rPr>
      </w:pPr>
      <w:r w:rsidRPr="005B2507">
        <w:rPr>
          <w:rStyle w:val="Refdenotaalpie"/>
          <w:rFonts w:ascii="Verdana" w:hAnsi="Verdana"/>
          <w:sz w:val="16"/>
          <w:szCs w:val="16"/>
        </w:rPr>
        <w:footnoteRef/>
      </w:r>
      <w:r w:rsidRPr="005B2507">
        <w:rPr>
          <w:rFonts w:ascii="Verdana" w:hAnsi="Verdana"/>
          <w:sz w:val="16"/>
          <w:szCs w:val="16"/>
        </w:rPr>
        <w:t xml:space="preserve"> </w:t>
      </w:r>
      <w:r w:rsidRPr="005B2507">
        <w:rPr>
          <w:rFonts w:ascii="Verdana" w:hAnsi="Verdana"/>
          <w:sz w:val="16"/>
          <w:szCs w:val="16"/>
        </w:rPr>
        <w:tab/>
      </w:r>
      <w:r w:rsidRPr="005B2507">
        <w:rPr>
          <w:rFonts w:ascii="Verdana" w:hAnsi="Verdana"/>
          <w:color w:val="000000"/>
          <w:sz w:val="16"/>
          <w:szCs w:val="16"/>
          <w:lang w:val="es-ES" w:eastAsia="es-ES"/>
        </w:rPr>
        <w:t>Art. 3°— Los extranjeros designados en el artículo 2° inciso 1° de la Ley N° 346, al tiempo de solicitar su naturalización deberán cumplimentar las siguientes condiciones:</w:t>
      </w:r>
      <w:r w:rsidR="00443668">
        <w:rPr>
          <w:rFonts w:ascii="Verdana" w:hAnsi="Verdana"/>
          <w:color w:val="000000"/>
          <w:sz w:val="16"/>
          <w:szCs w:val="16"/>
          <w:lang w:val="es-ES" w:eastAsia="es-ES"/>
        </w:rPr>
        <w:t xml:space="preserve"> […]</w:t>
      </w:r>
      <w:r w:rsidRPr="005B2507">
        <w:rPr>
          <w:rFonts w:ascii="Verdana" w:hAnsi="Verdana"/>
          <w:color w:val="000000"/>
          <w:sz w:val="16"/>
          <w:szCs w:val="16"/>
          <w:lang w:val="es-ES" w:eastAsia="es-ES"/>
        </w:rPr>
        <w:t xml:space="preserve"> c) manifestar ante los jueces federales su voluntad de serlo. También podrán obtener la naturalización cualquiera sea el tiempo de su residencia los extranjeros que acrediten las siguientes circunstancias:</w:t>
      </w:r>
      <w:r w:rsidR="00443668">
        <w:rPr>
          <w:rFonts w:ascii="Verdana" w:hAnsi="Verdana"/>
          <w:color w:val="000000"/>
          <w:sz w:val="16"/>
          <w:szCs w:val="16"/>
          <w:lang w:val="es-ES" w:eastAsia="es-ES"/>
        </w:rPr>
        <w:t xml:space="preserve"> […]</w:t>
      </w:r>
      <w:r w:rsidRPr="005B2507">
        <w:rPr>
          <w:rFonts w:ascii="Verdana" w:hAnsi="Verdana"/>
          <w:color w:val="000000"/>
          <w:sz w:val="16"/>
          <w:szCs w:val="16"/>
          <w:lang w:val="es-ES" w:eastAsia="es-ES"/>
        </w:rPr>
        <w:t xml:space="preserve"> c) haber establecido en el país una nueva industria, introducido una invención útil o realizado cualquier otra acción, que signifique un adelanto moral o material para la República.</w:t>
      </w:r>
    </w:p>
  </w:footnote>
  <w:footnote w:id="24">
    <w:p w14:paraId="314FB5A0" w14:textId="5EECE8C0" w:rsidR="004F6879" w:rsidRPr="005B2507" w:rsidRDefault="004F6879" w:rsidP="005B2507">
      <w:pPr>
        <w:pStyle w:val="Textonotapie"/>
        <w:tabs>
          <w:tab w:val="left" w:pos="709"/>
        </w:tabs>
        <w:spacing w:before="120" w:after="120"/>
        <w:jc w:val="both"/>
        <w:rPr>
          <w:rFonts w:ascii="Verdana" w:hAnsi="Verdana"/>
          <w:i/>
          <w:iCs/>
          <w:sz w:val="16"/>
          <w:szCs w:val="16"/>
        </w:rPr>
      </w:pPr>
      <w:r w:rsidRPr="005B2507">
        <w:rPr>
          <w:rStyle w:val="Refdenotaalpie"/>
          <w:rFonts w:ascii="Verdana" w:hAnsi="Verdana"/>
          <w:sz w:val="16"/>
          <w:szCs w:val="16"/>
        </w:rPr>
        <w:footnoteRef/>
      </w:r>
      <w:r w:rsidRPr="005B2507">
        <w:rPr>
          <w:rFonts w:ascii="Verdana" w:hAnsi="Verdana"/>
          <w:sz w:val="16"/>
          <w:szCs w:val="16"/>
        </w:rPr>
        <w:t xml:space="preserve"> </w:t>
      </w:r>
      <w:r w:rsidRPr="005B2507">
        <w:rPr>
          <w:rFonts w:ascii="Verdana" w:hAnsi="Verdana"/>
          <w:sz w:val="16"/>
          <w:szCs w:val="16"/>
        </w:rPr>
        <w:tab/>
      </w:r>
      <w:r w:rsidRPr="005B2507">
        <w:rPr>
          <w:rFonts w:ascii="Verdana" w:hAnsi="Verdana"/>
          <w:i/>
          <w:iCs/>
          <w:sz w:val="16"/>
          <w:szCs w:val="16"/>
        </w:rPr>
        <w:t xml:space="preserve">Cfr. </w:t>
      </w:r>
      <w:r w:rsidRPr="005B2507">
        <w:rPr>
          <w:rFonts w:ascii="Verdana" w:hAnsi="Verdana"/>
          <w:sz w:val="16"/>
          <w:szCs w:val="16"/>
          <w:lang w:val="es-ES"/>
        </w:rPr>
        <w:t>Escrito de la señora Raghda Habbal dirigido al Juez Federal, presentado el 24 de marzo de 1992 (expediente de prueba, folio 17)</w:t>
      </w:r>
      <w:r w:rsidR="00DA6C8A">
        <w:rPr>
          <w:rFonts w:ascii="Verdana" w:hAnsi="Verdana"/>
          <w:sz w:val="16"/>
          <w:szCs w:val="16"/>
          <w:lang w:val="es-ES"/>
        </w:rPr>
        <w:t>.</w:t>
      </w:r>
    </w:p>
  </w:footnote>
  <w:footnote w:id="25">
    <w:p w14:paraId="59F794AA" w14:textId="5B225E95" w:rsidR="004F6879" w:rsidRPr="005B2507" w:rsidRDefault="004F6879" w:rsidP="005B2507">
      <w:pPr>
        <w:pStyle w:val="Textonotapie"/>
        <w:tabs>
          <w:tab w:val="left" w:pos="709"/>
        </w:tabs>
        <w:spacing w:before="120" w:after="120"/>
        <w:jc w:val="both"/>
        <w:rPr>
          <w:rFonts w:ascii="Verdana" w:hAnsi="Verdana"/>
          <w:i/>
          <w:iCs/>
          <w:sz w:val="16"/>
          <w:szCs w:val="16"/>
        </w:rPr>
      </w:pPr>
      <w:r w:rsidRPr="005B2507">
        <w:rPr>
          <w:rStyle w:val="Refdenotaalpie"/>
          <w:rFonts w:ascii="Verdana" w:hAnsi="Verdana"/>
          <w:sz w:val="16"/>
          <w:szCs w:val="16"/>
        </w:rPr>
        <w:footnoteRef/>
      </w:r>
      <w:r w:rsidRPr="005B2507">
        <w:rPr>
          <w:rFonts w:ascii="Verdana" w:hAnsi="Verdana"/>
          <w:sz w:val="16"/>
          <w:szCs w:val="16"/>
        </w:rPr>
        <w:t xml:space="preserve"> </w:t>
      </w:r>
      <w:r w:rsidRPr="005B2507">
        <w:rPr>
          <w:rFonts w:ascii="Verdana" w:hAnsi="Verdana"/>
          <w:sz w:val="16"/>
          <w:szCs w:val="16"/>
        </w:rPr>
        <w:tab/>
      </w:r>
      <w:r w:rsidRPr="005B2507">
        <w:rPr>
          <w:rFonts w:ascii="Verdana" w:hAnsi="Verdana"/>
          <w:i/>
          <w:iCs/>
          <w:sz w:val="16"/>
          <w:szCs w:val="16"/>
        </w:rPr>
        <w:t xml:space="preserve">Cfr. </w:t>
      </w:r>
      <w:r w:rsidRPr="005B2507">
        <w:rPr>
          <w:rFonts w:ascii="Verdana" w:hAnsi="Verdana"/>
          <w:sz w:val="16"/>
          <w:szCs w:val="16"/>
          <w:lang w:val="es-ES"/>
        </w:rPr>
        <w:t>Escrito de la señora Raghda Habbal dirigido al Juez Federal, presentado el 24 de marzo de 1992 (expediente de prueba, folio 17)</w:t>
      </w:r>
      <w:r w:rsidR="00DA6C8A">
        <w:rPr>
          <w:rFonts w:ascii="Verdana" w:hAnsi="Verdana"/>
          <w:sz w:val="16"/>
          <w:szCs w:val="16"/>
          <w:lang w:val="es-ES"/>
        </w:rPr>
        <w:t>.</w:t>
      </w:r>
    </w:p>
  </w:footnote>
  <w:footnote w:id="26">
    <w:p w14:paraId="0A0F19EC" w14:textId="03D4BC01" w:rsidR="004F6879" w:rsidRPr="005B2507" w:rsidRDefault="004F6879" w:rsidP="005B2507">
      <w:pPr>
        <w:pStyle w:val="Textonotapie"/>
        <w:tabs>
          <w:tab w:val="left" w:pos="709"/>
        </w:tabs>
        <w:spacing w:before="120" w:after="120"/>
        <w:jc w:val="both"/>
        <w:rPr>
          <w:rFonts w:ascii="Verdana" w:hAnsi="Verdana"/>
          <w:sz w:val="16"/>
          <w:szCs w:val="16"/>
        </w:rPr>
      </w:pPr>
      <w:r w:rsidRPr="005B2507">
        <w:rPr>
          <w:rStyle w:val="Refdenotaalpie"/>
          <w:rFonts w:ascii="Verdana" w:hAnsi="Verdana"/>
          <w:sz w:val="16"/>
          <w:szCs w:val="16"/>
        </w:rPr>
        <w:footnoteRef/>
      </w:r>
      <w:r w:rsidRPr="005B2507">
        <w:rPr>
          <w:rFonts w:ascii="Verdana" w:hAnsi="Verdana"/>
          <w:sz w:val="16"/>
          <w:szCs w:val="16"/>
        </w:rPr>
        <w:t xml:space="preserve"> </w:t>
      </w:r>
      <w:r w:rsidRPr="005B2507">
        <w:rPr>
          <w:rFonts w:ascii="Verdana" w:hAnsi="Verdana"/>
          <w:sz w:val="16"/>
          <w:szCs w:val="16"/>
        </w:rPr>
        <w:tab/>
      </w:r>
      <w:r w:rsidRPr="005B2507">
        <w:rPr>
          <w:rFonts w:ascii="Verdana" w:hAnsi="Verdana"/>
          <w:i/>
          <w:iCs/>
          <w:sz w:val="16"/>
          <w:szCs w:val="16"/>
        </w:rPr>
        <w:t xml:space="preserve">Cfr. </w:t>
      </w:r>
      <w:r w:rsidRPr="005B2507">
        <w:rPr>
          <w:rFonts w:ascii="Verdana" w:hAnsi="Verdana"/>
          <w:sz w:val="16"/>
          <w:szCs w:val="16"/>
        </w:rPr>
        <w:t xml:space="preserve">Decisión del Juez Federal </w:t>
      </w:r>
      <w:r w:rsidR="00372436">
        <w:rPr>
          <w:rFonts w:ascii="Verdana" w:hAnsi="Verdana"/>
          <w:sz w:val="16"/>
          <w:szCs w:val="16"/>
        </w:rPr>
        <w:t xml:space="preserve">de Mendoza </w:t>
      </w:r>
      <w:r w:rsidRPr="005B2507">
        <w:rPr>
          <w:rFonts w:ascii="Verdana" w:hAnsi="Verdana"/>
          <w:sz w:val="16"/>
          <w:szCs w:val="16"/>
        </w:rPr>
        <w:t>de 3 de abril de 1992 (expediente de prueba, folio 21).</w:t>
      </w:r>
    </w:p>
  </w:footnote>
  <w:footnote w:id="27">
    <w:p w14:paraId="00623640" w14:textId="77777777" w:rsidR="004F6879" w:rsidRPr="005B2507" w:rsidRDefault="004F6879" w:rsidP="005B2507">
      <w:pPr>
        <w:pStyle w:val="Textonotapie"/>
        <w:tabs>
          <w:tab w:val="left" w:pos="709"/>
        </w:tabs>
        <w:spacing w:before="120" w:after="120"/>
        <w:jc w:val="both"/>
        <w:rPr>
          <w:rFonts w:ascii="Verdana" w:hAnsi="Verdana"/>
          <w:sz w:val="16"/>
          <w:szCs w:val="16"/>
        </w:rPr>
      </w:pPr>
      <w:r w:rsidRPr="005B2507">
        <w:rPr>
          <w:rStyle w:val="Refdenotaalpie"/>
          <w:rFonts w:ascii="Verdana" w:hAnsi="Verdana"/>
          <w:sz w:val="16"/>
          <w:szCs w:val="16"/>
        </w:rPr>
        <w:footnoteRef/>
      </w:r>
      <w:r w:rsidRPr="005B2507">
        <w:rPr>
          <w:rFonts w:ascii="Verdana" w:hAnsi="Verdana"/>
          <w:sz w:val="16"/>
          <w:szCs w:val="16"/>
        </w:rPr>
        <w:t xml:space="preserve"> </w:t>
      </w:r>
      <w:r w:rsidRPr="005B2507">
        <w:rPr>
          <w:rFonts w:ascii="Verdana" w:hAnsi="Verdana"/>
          <w:sz w:val="16"/>
          <w:szCs w:val="16"/>
        </w:rPr>
        <w:tab/>
      </w:r>
      <w:r w:rsidRPr="005B2507">
        <w:rPr>
          <w:rFonts w:ascii="Verdana" w:hAnsi="Verdana"/>
          <w:i/>
          <w:iCs/>
          <w:sz w:val="16"/>
          <w:szCs w:val="16"/>
        </w:rPr>
        <w:t xml:space="preserve">Cfr. </w:t>
      </w:r>
      <w:r w:rsidRPr="005B2507">
        <w:rPr>
          <w:rFonts w:ascii="Verdana" w:hAnsi="Verdana"/>
          <w:sz w:val="16"/>
          <w:szCs w:val="16"/>
        </w:rPr>
        <w:t>Oficios finales del expediente 6321/2 de 3 de abril de 1992 (expediente de prueba, folio 2027).</w:t>
      </w:r>
    </w:p>
  </w:footnote>
  <w:footnote w:id="28">
    <w:p w14:paraId="52C7DB9D" w14:textId="77777777" w:rsidR="004F6879" w:rsidRPr="005B2507" w:rsidRDefault="004F6879" w:rsidP="005B2507">
      <w:pPr>
        <w:pStyle w:val="Textoindependiente"/>
        <w:tabs>
          <w:tab w:val="left" w:pos="709"/>
        </w:tabs>
        <w:kinsoku w:val="0"/>
        <w:overflowPunct w:val="0"/>
        <w:spacing w:before="120" w:after="120" w:line="240" w:lineRule="auto"/>
        <w:rPr>
          <w:w w:val="110"/>
          <w:sz w:val="16"/>
          <w:szCs w:val="16"/>
          <w:lang w:val="es-ES"/>
        </w:rPr>
      </w:pPr>
      <w:r w:rsidRPr="005B2507">
        <w:rPr>
          <w:rStyle w:val="Refdenotaalpie"/>
          <w:sz w:val="16"/>
          <w:szCs w:val="16"/>
        </w:rPr>
        <w:footnoteRef/>
      </w:r>
      <w:r w:rsidRPr="005B2507">
        <w:rPr>
          <w:sz w:val="16"/>
          <w:szCs w:val="16"/>
          <w:lang w:val="es-ES"/>
        </w:rPr>
        <w:t xml:space="preserve"> </w:t>
      </w:r>
      <w:r w:rsidRPr="005B2507">
        <w:rPr>
          <w:sz w:val="16"/>
          <w:szCs w:val="16"/>
          <w:lang w:val="es-ES"/>
        </w:rPr>
        <w:tab/>
      </w:r>
      <w:r w:rsidRPr="005B2507">
        <w:rPr>
          <w:i/>
          <w:iCs/>
          <w:sz w:val="16"/>
          <w:szCs w:val="16"/>
          <w:lang w:val="es-ES"/>
        </w:rPr>
        <w:t xml:space="preserve">Cfr. </w:t>
      </w:r>
      <w:r w:rsidRPr="005B2507">
        <w:rPr>
          <w:w w:val="110"/>
          <w:sz w:val="16"/>
          <w:szCs w:val="16"/>
          <w:lang w:val="es-ES"/>
        </w:rPr>
        <w:t xml:space="preserve">Carta de Ciudadanía Argentina No. 932 a nombre de la señora Raghda Habbal, de fecha 3 de abril de 1992 </w:t>
      </w:r>
      <w:r w:rsidRPr="005B2507">
        <w:rPr>
          <w:sz w:val="16"/>
          <w:szCs w:val="16"/>
          <w:lang w:val="es-ES"/>
        </w:rPr>
        <w:t>(expediente de prueba, folio 23).</w:t>
      </w:r>
    </w:p>
  </w:footnote>
  <w:footnote w:id="29">
    <w:p w14:paraId="5840EFE0" w14:textId="395F4B0E" w:rsidR="004F6879" w:rsidRPr="005B2507" w:rsidRDefault="004F6879" w:rsidP="005B2507">
      <w:pPr>
        <w:tabs>
          <w:tab w:val="left" w:pos="709"/>
        </w:tabs>
        <w:autoSpaceDE w:val="0"/>
        <w:autoSpaceDN w:val="0"/>
        <w:adjustRightInd w:val="0"/>
        <w:spacing w:before="120" w:after="120"/>
        <w:jc w:val="both"/>
        <w:rPr>
          <w:rFonts w:ascii="Verdana" w:hAnsi="Verdana"/>
          <w:sz w:val="16"/>
          <w:szCs w:val="16"/>
          <w:lang w:val="es-ES"/>
        </w:rPr>
      </w:pPr>
      <w:r w:rsidRPr="005B2507">
        <w:rPr>
          <w:rStyle w:val="Refdenotaalpie"/>
          <w:rFonts w:ascii="Verdana" w:hAnsi="Verdana"/>
          <w:sz w:val="16"/>
          <w:szCs w:val="16"/>
        </w:rPr>
        <w:footnoteRef/>
      </w:r>
      <w:r w:rsidRPr="005B2507">
        <w:rPr>
          <w:rFonts w:ascii="Verdana" w:hAnsi="Verdana"/>
          <w:sz w:val="16"/>
          <w:szCs w:val="16"/>
        </w:rPr>
        <w:t xml:space="preserve"> </w:t>
      </w:r>
      <w:r w:rsidRPr="005B2507">
        <w:rPr>
          <w:rFonts w:ascii="Verdana" w:hAnsi="Verdana"/>
          <w:sz w:val="16"/>
          <w:szCs w:val="16"/>
          <w:lang w:val="es-ES"/>
        </w:rPr>
        <w:tab/>
      </w:r>
      <w:r w:rsidRPr="005B2507">
        <w:rPr>
          <w:rFonts w:ascii="Verdana" w:hAnsi="Verdana"/>
          <w:i/>
          <w:iCs/>
          <w:sz w:val="16"/>
          <w:szCs w:val="16"/>
          <w:lang w:val="es-ES"/>
        </w:rPr>
        <w:t xml:space="preserve">Cfr. </w:t>
      </w:r>
      <w:r w:rsidRPr="005B2507">
        <w:rPr>
          <w:rFonts w:ascii="Verdana" w:hAnsi="Verdana"/>
          <w:sz w:val="16"/>
          <w:szCs w:val="16"/>
          <w:lang w:val="es-ES"/>
        </w:rPr>
        <w:t xml:space="preserve">Resolución No. 1088 del Director Nacional de Población y Migración de 11 de mayo de 1992 (expediente de prueba, folios </w:t>
      </w:r>
      <w:r w:rsidR="005C397C">
        <w:rPr>
          <w:rFonts w:ascii="Verdana" w:hAnsi="Verdana"/>
          <w:sz w:val="16"/>
          <w:szCs w:val="16"/>
          <w:lang w:val="es-ES"/>
        </w:rPr>
        <w:t>444 y 445</w:t>
      </w:r>
      <w:r w:rsidRPr="005B2507">
        <w:rPr>
          <w:rFonts w:ascii="Verdana" w:hAnsi="Verdana"/>
          <w:sz w:val="16"/>
          <w:szCs w:val="16"/>
          <w:lang w:val="es-ES"/>
        </w:rPr>
        <w:t xml:space="preserve">); </w:t>
      </w:r>
      <w:r w:rsidRPr="005B2507">
        <w:rPr>
          <w:rFonts w:ascii="Verdana" w:hAnsi="Verdana" w:cs="Arial"/>
          <w:sz w:val="16"/>
          <w:szCs w:val="16"/>
          <w:lang w:val="es-ES"/>
        </w:rPr>
        <w:t xml:space="preserve">Resolución </w:t>
      </w:r>
      <w:r w:rsidR="00B74A92" w:rsidRPr="005B2507">
        <w:rPr>
          <w:rFonts w:ascii="Verdana" w:hAnsi="Verdana" w:cs="Arial"/>
          <w:sz w:val="16"/>
          <w:szCs w:val="16"/>
          <w:lang w:val="es-ES"/>
        </w:rPr>
        <w:t>No</w:t>
      </w:r>
      <w:r w:rsidR="00B74A92">
        <w:rPr>
          <w:rFonts w:ascii="Verdana" w:hAnsi="Verdana" w:cs="Arial"/>
          <w:sz w:val="16"/>
          <w:szCs w:val="16"/>
          <w:lang w:val="es-ES"/>
        </w:rPr>
        <w:t>.</w:t>
      </w:r>
      <w:r w:rsidR="00B74A92" w:rsidRPr="005B2507">
        <w:rPr>
          <w:rFonts w:ascii="Verdana" w:hAnsi="Verdana" w:cs="Arial"/>
          <w:sz w:val="16"/>
          <w:szCs w:val="16"/>
          <w:lang w:val="es-ES"/>
        </w:rPr>
        <w:t xml:space="preserve"> 972 </w:t>
      </w:r>
      <w:r w:rsidRPr="005B2507">
        <w:rPr>
          <w:rFonts w:ascii="Verdana" w:hAnsi="Verdana" w:cs="Arial"/>
          <w:sz w:val="16"/>
          <w:szCs w:val="16"/>
          <w:lang w:val="es-ES"/>
        </w:rPr>
        <w:t xml:space="preserve">del Director Nacional de Población y Migración de 28 de abril de 1992 (expediente de prueba, folio 1615); </w:t>
      </w:r>
      <w:r w:rsidR="00213751" w:rsidRPr="005B2507">
        <w:rPr>
          <w:rFonts w:ascii="Verdana" w:hAnsi="Verdana" w:cs="Arial"/>
          <w:sz w:val="16"/>
          <w:szCs w:val="16"/>
          <w:lang w:val="es-ES"/>
        </w:rPr>
        <w:t>Dictámenes</w:t>
      </w:r>
      <w:r w:rsidRPr="005B2507">
        <w:rPr>
          <w:rFonts w:ascii="Verdana" w:hAnsi="Verdana" w:cs="Arial"/>
          <w:sz w:val="16"/>
          <w:szCs w:val="16"/>
          <w:lang w:val="es-ES"/>
        </w:rPr>
        <w:t xml:space="preserve"> del Departamento de Asuntos Jurídicos de la Dirección Nacional de Migración y Población N</w:t>
      </w:r>
      <w:r w:rsidR="00B74A92">
        <w:rPr>
          <w:rFonts w:ascii="Verdana" w:hAnsi="Verdana" w:cs="Arial"/>
          <w:sz w:val="16"/>
          <w:szCs w:val="16"/>
          <w:lang w:val="es-ES"/>
        </w:rPr>
        <w:t>o.</w:t>
      </w:r>
      <w:r w:rsidRPr="005B2507">
        <w:rPr>
          <w:rFonts w:ascii="Verdana" w:hAnsi="Verdana" w:cs="Arial"/>
          <w:sz w:val="16"/>
          <w:szCs w:val="16"/>
          <w:lang w:val="es-ES"/>
        </w:rPr>
        <w:t xml:space="preserve"> 143.949 de 22 de abril de 1992 y </w:t>
      </w:r>
      <w:r w:rsidR="00B74A92" w:rsidRPr="005B2507">
        <w:rPr>
          <w:rFonts w:ascii="Verdana" w:hAnsi="Verdana" w:cs="Arial"/>
          <w:sz w:val="16"/>
          <w:szCs w:val="16"/>
          <w:lang w:val="es-ES"/>
        </w:rPr>
        <w:t>N</w:t>
      </w:r>
      <w:r w:rsidR="00B74A92">
        <w:rPr>
          <w:rFonts w:ascii="Verdana" w:hAnsi="Verdana" w:cs="Arial"/>
          <w:sz w:val="16"/>
          <w:szCs w:val="16"/>
          <w:lang w:val="es-ES"/>
        </w:rPr>
        <w:t>o.</w:t>
      </w:r>
      <w:r w:rsidR="00B74A92" w:rsidRPr="005B2507">
        <w:rPr>
          <w:rFonts w:ascii="Verdana" w:hAnsi="Verdana" w:cs="Arial"/>
          <w:sz w:val="16"/>
          <w:szCs w:val="16"/>
          <w:lang w:val="es-ES"/>
        </w:rPr>
        <w:t xml:space="preserve"> </w:t>
      </w:r>
      <w:r w:rsidRPr="005B2507">
        <w:rPr>
          <w:rFonts w:ascii="Verdana" w:hAnsi="Verdana" w:cs="Arial"/>
          <w:sz w:val="16"/>
          <w:szCs w:val="16"/>
          <w:lang w:val="es-ES"/>
        </w:rPr>
        <w:t>144.021 de 8 de mayo de 1992 (expediente de prueba, folios 1625 y 1750).</w:t>
      </w:r>
    </w:p>
  </w:footnote>
  <w:footnote w:id="30">
    <w:p w14:paraId="4E3F446F" w14:textId="17CF2F88" w:rsidR="004F6879" w:rsidRPr="00B74A92" w:rsidRDefault="004F6879" w:rsidP="005B2507">
      <w:pPr>
        <w:pStyle w:val="Textoindependiente"/>
        <w:tabs>
          <w:tab w:val="left" w:pos="709"/>
        </w:tabs>
        <w:kinsoku w:val="0"/>
        <w:overflowPunct w:val="0"/>
        <w:spacing w:before="120" w:after="120" w:line="240" w:lineRule="auto"/>
        <w:rPr>
          <w:w w:val="110"/>
          <w:sz w:val="16"/>
          <w:szCs w:val="16"/>
          <w:lang w:val="es-ES"/>
        </w:rPr>
      </w:pPr>
      <w:r w:rsidRPr="00B74A92">
        <w:rPr>
          <w:rStyle w:val="Refdenotaalpie"/>
          <w:sz w:val="16"/>
          <w:szCs w:val="16"/>
        </w:rPr>
        <w:footnoteRef/>
      </w:r>
      <w:r w:rsidRPr="00B74A92">
        <w:rPr>
          <w:sz w:val="16"/>
          <w:szCs w:val="16"/>
          <w:lang w:val="es-ES"/>
        </w:rPr>
        <w:t xml:space="preserve"> </w:t>
      </w:r>
      <w:r w:rsidRPr="00B74A92">
        <w:rPr>
          <w:sz w:val="16"/>
          <w:szCs w:val="16"/>
          <w:lang w:val="es-ES"/>
        </w:rPr>
        <w:tab/>
      </w:r>
      <w:r w:rsidRPr="00B74A92">
        <w:rPr>
          <w:i/>
          <w:iCs/>
          <w:sz w:val="16"/>
          <w:szCs w:val="16"/>
          <w:lang w:val="es-ES"/>
        </w:rPr>
        <w:t xml:space="preserve">Cfr. </w:t>
      </w:r>
      <w:r w:rsidRPr="00B74A92">
        <w:rPr>
          <w:w w:val="110"/>
          <w:sz w:val="16"/>
          <w:szCs w:val="16"/>
          <w:lang w:val="es-ES"/>
        </w:rPr>
        <w:t xml:space="preserve">Oficio del Director Nacional de Población y Migración dirigido al Juez Federal No. 2 de Mendoza de 12 de mayo de 1992 </w:t>
      </w:r>
      <w:r w:rsidRPr="00B74A92">
        <w:rPr>
          <w:sz w:val="16"/>
          <w:szCs w:val="16"/>
          <w:lang w:val="es-ES"/>
        </w:rPr>
        <w:t>(expediente de prueba, folio 25).</w:t>
      </w:r>
    </w:p>
  </w:footnote>
  <w:footnote w:id="31">
    <w:p w14:paraId="6C312AEA" w14:textId="26B983CB" w:rsidR="004F6879" w:rsidRPr="005B2507" w:rsidRDefault="004F6879" w:rsidP="005B2507">
      <w:pPr>
        <w:pStyle w:val="Textonotapie"/>
        <w:tabs>
          <w:tab w:val="left" w:pos="709"/>
        </w:tabs>
        <w:spacing w:before="120" w:after="120"/>
        <w:jc w:val="both"/>
        <w:rPr>
          <w:rFonts w:ascii="Verdana" w:hAnsi="Verdana"/>
          <w:sz w:val="16"/>
          <w:szCs w:val="16"/>
          <w:lang w:val="es-ES"/>
        </w:rPr>
      </w:pPr>
      <w:r w:rsidRPr="005B2507">
        <w:rPr>
          <w:rStyle w:val="Refdenotaalpie"/>
          <w:rFonts w:ascii="Verdana" w:hAnsi="Verdana"/>
          <w:sz w:val="16"/>
          <w:szCs w:val="16"/>
        </w:rPr>
        <w:footnoteRef/>
      </w:r>
      <w:r w:rsidRPr="005B2507">
        <w:rPr>
          <w:rFonts w:ascii="Verdana" w:hAnsi="Verdana"/>
          <w:sz w:val="16"/>
          <w:szCs w:val="16"/>
        </w:rPr>
        <w:t xml:space="preserve"> </w:t>
      </w:r>
      <w:r w:rsidRPr="005B2507">
        <w:rPr>
          <w:rFonts w:ascii="Verdana" w:hAnsi="Verdana"/>
          <w:sz w:val="16"/>
          <w:szCs w:val="16"/>
          <w:lang w:val="es-ES"/>
        </w:rPr>
        <w:tab/>
      </w:r>
      <w:r w:rsidRPr="005B2507">
        <w:rPr>
          <w:rFonts w:ascii="Verdana" w:hAnsi="Verdana"/>
          <w:i/>
          <w:iCs/>
          <w:sz w:val="16"/>
          <w:szCs w:val="16"/>
          <w:lang w:val="es-ES"/>
        </w:rPr>
        <w:t xml:space="preserve">Cfr. </w:t>
      </w:r>
      <w:r w:rsidRPr="005B2507">
        <w:rPr>
          <w:rFonts w:ascii="Verdana" w:hAnsi="Verdana"/>
          <w:sz w:val="16"/>
          <w:szCs w:val="16"/>
          <w:lang w:val="es-ES"/>
        </w:rPr>
        <w:t>Auto del titular del Juzgado Federal No. 2 de la ciudad de Mendoza de 18 de mayo de 1992 (expediente de prueba, folio 29).</w:t>
      </w:r>
    </w:p>
  </w:footnote>
  <w:footnote w:id="32">
    <w:p w14:paraId="4E7139CB" w14:textId="3E8D9938" w:rsidR="00777C15" w:rsidRPr="005B2507" w:rsidRDefault="00777C15" w:rsidP="005B2507">
      <w:pPr>
        <w:tabs>
          <w:tab w:val="left" w:pos="709"/>
        </w:tabs>
        <w:autoSpaceDE w:val="0"/>
        <w:autoSpaceDN w:val="0"/>
        <w:adjustRightInd w:val="0"/>
        <w:spacing w:before="120" w:after="120"/>
        <w:jc w:val="both"/>
        <w:rPr>
          <w:rFonts w:ascii="Verdana" w:hAnsi="Verdana"/>
          <w:sz w:val="16"/>
          <w:szCs w:val="16"/>
        </w:rPr>
      </w:pPr>
      <w:r w:rsidRPr="005B2507">
        <w:rPr>
          <w:rStyle w:val="Refdenotaalpie"/>
          <w:rFonts w:ascii="Verdana" w:hAnsi="Verdana"/>
          <w:sz w:val="16"/>
          <w:szCs w:val="16"/>
        </w:rPr>
        <w:footnoteRef/>
      </w:r>
      <w:r w:rsidRPr="005B2507">
        <w:rPr>
          <w:rFonts w:ascii="Verdana" w:hAnsi="Verdana"/>
          <w:sz w:val="16"/>
          <w:szCs w:val="16"/>
        </w:rPr>
        <w:t xml:space="preserve"> </w:t>
      </w:r>
      <w:r w:rsidRPr="005B2507">
        <w:rPr>
          <w:rFonts w:ascii="Verdana" w:hAnsi="Verdana"/>
          <w:sz w:val="16"/>
          <w:szCs w:val="16"/>
        </w:rPr>
        <w:tab/>
      </w:r>
      <w:r w:rsidRPr="005B2507">
        <w:rPr>
          <w:rFonts w:ascii="Verdana" w:eastAsiaTheme="minorHAnsi" w:hAnsi="Verdana" w:cs="TimesNewRomanPSMT"/>
          <w:color w:val="000000"/>
          <w:sz w:val="16"/>
          <w:szCs w:val="16"/>
          <w:lang w:val="es-ES" w:eastAsia="en-US"/>
        </w:rPr>
        <w:t xml:space="preserve">Ver, por ejemplo, </w:t>
      </w:r>
      <w:r w:rsidR="00201E93">
        <w:rPr>
          <w:rFonts w:ascii="Verdana" w:eastAsiaTheme="minorHAnsi" w:hAnsi="Verdana" w:cs="TimesNewRomanPSMT"/>
          <w:color w:val="000000"/>
          <w:sz w:val="16"/>
          <w:szCs w:val="16"/>
          <w:lang w:val="es-ES" w:eastAsia="en-US"/>
        </w:rPr>
        <w:t xml:space="preserve">Diario El País, </w:t>
      </w:r>
      <w:r w:rsidRPr="005B2507">
        <w:rPr>
          <w:rFonts w:ascii="Verdana" w:eastAsiaTheme="minorHAnsi" w:hAnsi="Verdana" w:cs="TimesNewRomanPSMT"/>
          <w:color w:val="000000"/>
          <w:sz w:val="16"/>
          <w:szCs w:val="16"/>
          <w:lang w:val="es-ES" w:eastAsia="en-US"/>
        </w:rPr>
        <w:t xml:space="preserve">Carlos Ares, </w:t>
      </w:r>
      <w:r w:rsidR="00201E93">
        <w:rPr>
          <w:rFonts w:ascii="Verdana" w:eastAsiaTheme="minorHAnsi" w:hAnsi="Verdana" w:cs="TimesNewRomanPSMT"/>
          <w:color w:val="000000"/>
          <w:sz w:val="16"/>
          <w:szCs w:val="16"/>
          <w:lang w:val="es-ES" w:eastAsia="en-US"/>
        </w:rPr>
        <w:t>“</w:t>
      </w:r>
      <w:r w:rsidRPr="005B2507">
        <w:rPr>
          <w:rFonts w:ascii="Verdana" w:eastAsiaTheme="minorHAnsi" w:hAnsi="Verdana" w:cs="TimesNewRomanPSMT"/>
          <w:color w:val="000000"/>
          <w:sz w:val="16"/>
          <w:szCs w:val="16"/>
          <w:lang w:val="es-ES" w:eastAsia="en-US"/>
        </w:rPr>
        <w:t>Menem despoja de la ciudadanía argentina al presunto 'narco' y terrorista Al Kassar</w:t>
      </w:r>
      <w:r w:rsidR="00201E93">
        <w:rPr>
          <w:rFonts w:ascii="Verdana" w:eastAsiaTheme="minorHAnsi" w:hAnsi="Verdana" w:cs="TimesNewRomanPSMT"/>
          <w:color w:val="000000"/>
          <w:sz w:val="16"/>
          <w:szCs w:val="16"/>
          <w:lang w:val="es-ES" w:eastAsia="en-US"/>
        </w:rPr>
        <w:t>”</w:t>
      </w:r>
      <w:r w:rsidRPr="005B2507">
        <w:rPr>
          <w:rFonts w:ascii="Verdana" w:eastAsiaTheme="minorHAnsi" w:hAnsi="Verdana" w:cs="TimesNewRomanPSMT"/>
          <w:color w:val="000000"/>
          <w:sz w:val="16"/>
          <w:szCs w:val="16"/>
          <w:lang w:val="es-ES" w:eastAsia="en-US"/>
        </w:rPr>
        <w:t>, 8 de mayo de 1992</w:t>
      </w:r>
      <w:r w:rsidR="005C397C">
        <w:rPr>
          <w:rFonts w:ascii="Verdana" w:eastAsiaTheme="minorHAnsi" w:hAnsi="Verdana" w:cs="TimesNewRomanPSMT"/>
          <w:color w:val="000000"/>
          <w:sz w:val="16"/>
          <w:szCs w:val="16"/>
          <w:lang w:val="es-ES" w:eastAsia="en-US"/>
        </w:rPr>
        <w:t>.</w:t>
      </w:r>
      <w:r w:rsidRPr="005B2507">
        <w:rPr>
          <w:rFonts w:ascii="Verdana" w:eastAsiaTheme="minorHAnsi" w:hAnsi="Verdana" w:cs="TimesNewRomanPSMT"/>
          <w:color w:val="000000"/>
          <w:sz w:val="16"/>
          <w:szCs w:val="16"/>
          <w:lang w:val="es-ES" w:eastAsia="en-US"/>
        </w:rPr>
        <w:t xml:space="preserve"> </w:t>
      </w:r>
      <w:r w:rsidR="005C397C">
        <w:rPr>
          <w:rFonts w:ascii="Verdana" w:eastAsiaTheme="minorHAnsi" w:hAnsi="Verdana" w:cs="TimesNewRomanPSMT"/>
          <w:color w:val="000000"/>
          <w:sz w:val="16"/>
          <w:szCs w:val="16"/>
          <w:lang w:val="es-ES" w:eastAsia="en-US"/>
        </w:rPr>
        <w:t>D</w:t>
      </w:r>
      <w:r w:rsidRPr="005B2507">
        <w:rPr>
          <w:rFonts w:ascii="Verdana" w:eastAsiaTheme="minorHAnsi" w:hAnsi="Verdana" w:cs="TimesNewRomanPSMT"/>
          <w:color w:val="000000"/>
          <w:sz w:val="16"/>
          <w:szCs w:val="16"/>
          <w:lang w:val="es-ES" w:eastAsia="en-US"/>
        </w:rPr>
        <w:t>isponible en</w:t>
      </w:r>
      <w:r w:rsidR="005C397C">
        <w:rPr>
          <w:rFonts w:ascii="Verdana" w:eastAsiaTheme="minorHAnsi" w:hAnsi="Verdana" w:cs="TimesNewRomanPSMT"/>
          <w:color w:val="000000"/>
          <w:sz w:val="16"/>
          <w:szCs w:val="16"/>
          <w:lang w:val="es-ES" w:eastAsia="en-US"/>
        </w:rPr>
        <w:t>:</w:t>
      </w:r>
      <w:r w:rsidRPr="005B2507">
        <w:rPr>
          <w:rFonts w:ascii="Verdana" w:eastAsiaTheme="minorHAnsi" w:hAnsi="Verdana" w:cs="TimesNewRomanPSMT"/>
          <w:color w:val="000000"/>
          <w:sz w:val="16"/>
          <w:szCs w:val="16"/>
          <w:lang w:val="es-ES" w:eastAsia="en-US"/>
        </w:rPr>
        <w:t xml:space="preserve"> </w:t>
      </w:r>
      <w:hyperlink r:id="rId3" w:history="1">
        <w:r w:rsidR="00201E93" w:rsidRPr="00201E93">
          <w:rPr>
            <w:rStyle w:val="Hipervnculo"/>
            <w:rFonts w:ascii="Verdana" w:eastAsiaTheme="minorHAnsi" w:hAnsi="Verdana" w:cs="TimesNewRomanPSMT"/>
            <w:sz w:val="16"/>
            <w:szCs w:val="16"/>
            <w:lang w:val="es-ES" w:eastAsia="en-US"/>
          </w:rPr>
          <w:t>https://elpais.com/diario/1992/05/09/internacional/705362420_850215.html</w:t>
        </w:r>
      </w:hyperlink>
      <w:r w:rsidR="005C397C">
        <w:rPr>
          <w:rFonts w:ascii="Verdana" w:eastAsiaTheme="minorHAnsi" w:hAnsi="Verdana" w:cs="TimesNewRomanPSMT"/>
          <w:color w:val="000000"/>
          <w:sz w:val="16"/>
          <w:szCs w:val="16"/>
          <w:lang w:val="es-ES" w:eastAsia="en-US"/>
        </w:rPr>
        <w:t xml:space="preserve"> </w:t>
      </w:r>
    </w:p>
  </w:footnote>
  <w:footnote w:id="33">
    <w:p w14:paraId="354855FC" w14:textId="571C1AE8" w:rsidR="004F6879" w:rsidRPr="005B2507" w:rsidRDefault="004F6879" w:rsidP="005B2507">
      <w:pPr>
        <w:pStyle w:val="Textonotapie"/>
        <w:tabs>
          <w:tab w:val="left" w:pos="709"/>
        </w:tabs>
        <w:spacing w:before="120" w:after="120"/>
        <w:jc w:val="both"/>
        <w:rPr>
          <w:rFonts w:ascii="Verdana" w:hAnsi="Verdana"/>
          <w:sz w:val="16"/>
          <w:szCs w:val="16"/>
          <w:lang w:val="es-ES"/>
        </w:rPr>
      </w:pPr>
      <w:r w:rsidRPr="005B2507">
        <w:rPr>
          <w:rStyle w:val="Refdenotaalpie"/>
          <w:rFonts w:ascii="Verdana" w:hAnsi="Verdana"/>
          <w:sz w:val="16"/>
          <w:szCs w:val="16"/>
        </w:rPr>
        <w:footnoteRef/>
      </w:r>
      <w:r w:rsidRPr="005B2507">
        <w:rPr>
          <w:rFonts w:ascii="Verdana" w:hAnsi="Verdana"/>
          <w:sz w:val="16"/>
          <w:szCs w:val="16"/>
        </w:rPr>
        <w:t xml:space="preserve"> </w:t>
      </w:r>
      <w:r w:rsidRPr="005B2507">
        <w:rPr>
          <w:rFonts w:ascii="Verdana" w:hAnsi="Verdana"/>
          <w:sz w:val="16"/>
          <w:szCs w:val="16"/>
          <w:lang w:val="es-ES"/>
        </w:rPr>
        <w:tab/>
      </w:r>
      <w:r w:rsidRPr="005B2507">
        <w:rPr>
          <w:rFonts w:ascii="Verdana" w:hAnsi="Verdana"/>
          <w:i/>
          <w:iCs/>
          <w:sz w:val="16"/>
          <w:szCs w:val="16"/>
          <w:lang w:val="es-ES"/>
        </w:rPr>
        <w:t xml:space="preserve">Cfr. </w:t>
      </w:r>
      <w:r w:rsidRPr="005B2507">
        <w:rPr>
          <w:rFonts w:ascii="Verdana" w:hAnsi="Verdana"/>
          <w:sz w:val="16"/>
          <w:szCs w:val="16"/>
          <w:lang w:val="es-ES"/>
        </w:rPr>
        <w:t xml:space="preserve">Auto del Juez Federal </w:t>
      </w:r>
      <w:r w:rsidR="00201E93">
        <w:rPr>
          <w:rFonts w:ascii="Verdana" w:hAnsi="Verdana"/>
          <w:sz w:val="16"/>
          <w:szCs w:val="16"/>
          <w:lang w:val="es-ES"/>
        </w:rPr>
        <w:t>Subrogante de</w:t>
      </w:r>
      <w:r w:rsidRPr="005B2507">
        <w:rPr>
          <w:rFonts w:ascii="Verdana" w:hAnsi="Verdana"/>
          <w:sz w:val="16"/>
          <w:szCs w:val="16"/>
          <w:lang w:val="es-ES"/>
        </w:rPr>
        <w:t xml:space="preserve"> 21 de mayo de 1992 (expediente de prueba, folio 31).</w:t>
      </w:r>
    </w:p>
  </w:footnote>
  <w:footnote w:id="34">
    <w:p w14:paraId="33176B81" w14:textId="3A5A6018" w:rsidR="004F6879" w:rsidRPr="005B2507" w:rsidRDefault="004F6879" w:rsidP="005B2507">
      <w:pPr>
        <w:tabs>
          <w:tab w:val="left" w:pos="709"/>
        </w:tabs>
        <w:autoSpaceDE w:val="0"/>
        <w:autoSpaceDN w:val="0"/>
        <w:adjustRightInd w:val="0"/>
        <w:spacing w:before="120" w:after="120"/>
        <w:jc w:val="both"/>
        <w:rPr>
          <w:rFonts w:ascii="Verdana" w:hAnsi="Verdana"/>
          <w:sz w:val="16"/>
          <w:szCs w:val="16"/>
        </w:rPr>
      </w:pPr>
      <w:r w:rsidRPr="005B2507">
        <w:rPr>
          <w:rStyle w:val="Refdenotaalpie"/>
          <w:rFonts w:ascii="Verdana" w:hAnsi="Verdana"/>
          <w:sz w:val="16"/>
          <w:szCs w:val="16"/>
        </w:rPr>
        <w:footnoteRef/>
      </w:r>
      <w:r w:rsidRPr="005B2507">
        <w:rPr>
          <w:rFonts w:ascii="Verdana" w:hAnsi="Verdana"/>
          <w:sz w:val="16"/>
          <w:szCs w:val="16"/>
        </w:rPr>
        <w:t xml:space="preserve"> </w:t>
      </w:r>
      <w:r w:rsidRPr="005B2507">
        <w:rPr>
          <w:rFonts w:ascii="Verdana" w:hAnsi="Verdana"/>
          <w:sz w:val="16"/>
          <w:szCs w:val="16"/>
        </w:rPr>
        <w:tab/>
      </w:r>
      <w:r w:rsidRPr="005B2507">
        <w:rPr>
          <w:rFonts w:ascii="Verdana" w:hAnsi="Verdana"/>
          <w:i/>
          <w:iCs/>
          <w:sz w:val="16"/>
          <w:szCs w:val="16"/>
        </w:rPr>
        <w:t xml:space="preserve">Cfr. </w:t>
      </w:r>
      <w:r w:rsidRPr="005B2507">
        <w:rPr>
          <w:rFonts w:ascii="Verdana" w:hAnsi="Verdana"/>
          <w:sz w:val="16"/>
          <w:szCs w:val="16"/>
          <w:lang w:val="es-ES"/>
        </w:rPr>
        <w:t>Oficio presentado por el Procurador Fiscal Federal dirigido al Juzgado Federal de 29 de mayo de 1992 (expediente de prueba, folio 33).</w:t>
      </w:r>
    </w:p>
  </w:footnote>
  <w:footnote w:id="35">
    <w:p w14:paraId="24840E3B" w14:textId="7162AEE8" w:rsidR="004F6879" w:rsidRPr="005B2507" w:rsidRDefault="004F6879" w:rsidP="005B2507">
      <w:pPr>
        <w:pStyle w:val="Textonotapie"/>
        <w:tabs>
          <w:tab w:val="left" w:pos="709"/>
        </w:tabs>
        <w:spacing w:before="120" w:after="120"/>
        <w:jc w:val="both"/>
        <w:rPr>
          <w:rFonts w:ascii="Verdana" w:hAnsi="Verdana"/>
          <w:sz w:val="16"/>
          <w:szCs w:val="16"/>
          <w:lang w:val="es-ES"/>
        </w:rPr>
      </w:pPr>
      <w:r w:rsidRPr="005B2507">
        <w:rPr>
          <w:rStyle w:val="Refdenotaalpie"/>
          <w:rFonts w:ascii="Verdana" w:hAnsi="Verdana"/>
          <w:sz w:val="16"/>
          <w:szCs w:val="16"/>
        </w:rPr>
        <w:footnoteRef/>
      </w:r>
      <w:r w:rsidRPr="005B2507">
        <w:rPr>
          <w:rFonts w:ascii="Verdana" w:hAnsi="Verdana"/>
          <w:sz w:val="16"/>
          <w:szCs w:val="16"/>
        </w:rPr>
        <w:t xml:space="preserve"> </w:t>
      </w:r>
      <w:r w:rsidRPr="005B2507">
        <w:rPr>
          <w:rFonts w:ascii="Verdana" w:hAnsi="Verdana"/>
          <w:sz w:val="16"/>
          <w:szCs w:val="16"/>
          <w:lang w:val="es-ES"/>
        </w:rPr>
        <w:tab/>
      </w:r>
      <w:r w:rsidRPr="005B2507">
        <w:rPr>
          <w:rFonts w:ascii="Verdana" w:hAnsi="Verdana"/>
          <w:i/>
          <w:iCs/>
          <w:sz w:val="16"/>
          <w:szCs w:val="16"/>
          <w:lang w:val="es-ES"/>
        </w:rPr>
        <w:t xml:space="preserve">Cfr. </w:t>
      </w:r>
      <w:r w:rsidRPr="005B2507">
        <w:rPr>
          <w:rFonts w:ascii="Verdana" w:hAnsi="Verdana"/>
          <w:sz w:val="16"/>
          <w:szCs w:val="16"/>
          <w:lang w:val="es-ES"/>
        </w:rPr>
        <w:t>Auto del Juez Federal Subrogante del 11 de junio de 1992 (expediente de prueba, folios 34</w:t>
      </w:r>
      <w:r w:rsidR="004C3C57">
        <w:rPr>
          <w:rFonts w:ascii="Verdana" w:hAnsi="Verdana"/>
          <w:sz w:val="16"/>
          <w:szCs w:val="16"/>
          <w:lang w:val="es-ES"/>
        </w:rPr>
        <w:t xml:space="preserve"> a </w:t>
      </w:r>
      <w:r w:rsidRPr="005B2507">
        <w:rPr>
          <w:rFonts w:ascii="Verdana" w:hAnsi="Verdana"/>
          <w:sz w:val="16"/>
          <w:szCs w:val="16"/>
          <w:lang w:val="es-ES"/>
        </w:rPr>
        <w:t>36).</w:t>
      </w:r>
    </w:p>
  </w:footnote>
  <w:footnote w:id="36">
    <w:p w14:paraId="7922A327" w14:textId="77777777" w:rsidR="004F6879" w:rsidRPr="005B2507" w:rsidRDefault="004F6879" w:rsidP="005B2507">
      <w:pPr>
        <w:pStyle w:val="Textonotapie"/>
        <w:tabs>
          <w:tab w:val="left" w:pos="709"/>
        </w:tabs>
        <w:spacing w:before="120" w:after="120"/>
        <w:jc w:val="both"/>
        <w:rPr>
          <w:rFonts w:ascii="Verdana" w:hAnsi="Verdana"/>
          <w:sz w:val="16"/>
          <w:szCs w:val="16"/>
          <w:lang w:val="es-ES"/>
        </w:rPr>
      </w:pPr>
      <w:r w:rsidRPr="005B2507">
        <w:rPr>
          <w:rStyle w:val="Refdenotaalpie"/>
          <w:rFonts w:ascii="Verdana" w:hAnsi="Verdana"/>
          <w:sz w:val="16"/>
          <w:szCs w:val="16"/>
        </w:rPr>
        <w:footnoteRef/>
      </w:r>
      <w:r w:rsidRPr="005B2507">
        <w:rPr>
          <w:rFonts w:ascii="Verdana" w:hAnsi="Verdana"/>
          <w:sz w:val="16"/>
          <w:szCs w:val="16"/>
        </w:rPr>
        <w:t xml:space="preserve"> </w:t>
      </w:r>
      <w:r w:rsidRPr="005B2507">
        <w:rPr>
          <w:rFonts w:ascii="Verdana" w:hAnsi="Verdana"/>
          <w:sz w:val="16"/>
          <w:szCs w:val="16"/>
          <w:lang w:val="es-ES"/>
        </w:rPr>
        <w:tab/>
      </w:r>
      <w:r w:rsidRPr="005B2507">
        <w:rPr>
          <w:rFonts w:ascii="Verdana" w:hAnsi="Verdana"/>
          <w:i/>
          <w:iCs/>
          <w:sz w:val="16"/>
          <w:szCs w:val="16"/>
          <w:lang w:val="es-ES"/>
        </w:rPr>
        <w:t xml:space="preserve">Cfr. </w:t>
      </w:r>
      <w:r w:rsidRPr="005B2507">
        <w:rPr>
          <w:rFonts w:ascii="Verdana" w:hAnsi="Verdana"/>
          <w:sz w:val="16"/>
          <w:szCs w:val="16"/>
          <w:lang w:val="es-ES"/>
        </w:rPr>
        <w:t>Oficio de la Notificadora Federal al Juez, con fecha del 18 de junio de 1992 (expediente de prueba, folio 38).</w:t>
      </w:r>
    </w:p>
  </w:footnote>
  <w:footnote w:id="37">
    <w:p w14:paraId="40DA1870" w14:textId="1700518C" w:rsidR="004F6879" w:rsidRPr="005B2507" w:rsidRDefault="004F6879" w:rsidP="005B2507">
      <w:pPr>
        <w:pStyle w:val="Textonotapie"/>
        <w:tabs>
          <w:tab w:val="left" w:pos="709"/>
        </w:tabs>
        <w:spacing w:before="120" w:after="120"/>
        <w:jc w:val="both"/>
        <w:rPr>
          <w:rFonts w:ascii="Verdana" w:hAnsi="Verdana"/>
          <w:sz w:val="16"/>
          <w:szCs w:val="16"/>
          <w:lang w:val="es-ES"/>
        </w:rPr>
      </w:pPr>
      <w:r w:rsidRPr="005B2507">
        <w:rPr>
          <w:rStyle w:val="Refdenotaalpie"/>
          <w:rFonts w:ascii="Verdana" w:hAnsi="Verdana"/>
          <w:sz w:val="16"/>
          <w:szCs w:val="16"/>
        </w:rPr>
        <w:footnoteRef/>
      </w:r>
      <w:r w:rsidRPr="005B2507">
        <w:rPr>
          <w:rFonts w:ascii="Verdana" w:hAnsi="Verdana"/>
          <w:sz w:val="16"/>
          <w:szCs w:val="16"/>
        </w:rPr>
        <w:t xml:space="preserve"> </w:t>
      </w:r>
      <w:r w:rsidRPr="005B2507">
        <w:rPr>
          <w:rFonts w:ascii="Verdana" w:hAnsi="Verdana"/>
          <w:sz w:val="16"/>
          <w:szCs w:val="16"/>
          <w:lang w:val="es-ES"/>
        </w:rPr>
        <w:tab/>
      </w:r>
      <w:r w:rsidRPr="005B2507">
        <w:rPr>
          <w:rFonts w:ascii="Verdana" w:hAnsi="Verdana"/>
          <w:i/>
          <w:iCs/>
          <w:sz w:val="16"/>
          <w:szCs w:val="16"/>
          <w:lang w:val="es-ES"/>
        </w:rPr>
        <w:t xml:space="preserve">Cfr. </w:t>
      </w:r>
      <w:r w:rsidRPr="005B2507">
        <w:rPr>
          <w:rFonts w:ascii="Verdana" w:hAnsi="Verdana"/>
          <w:sz w:val="16"/>
          <w:szCs w:val="16"/>
          <w:lang w:val="es-ES"/>
        </w:rPr>
        <w:t>Auto del Juez Federal</w:t>
      </w:r>
      <w:r w:rsidR="00C83098">
        <w:rPr>
          <w:rFonts w:ascii="Verdana" w:hAnsi="Verdana"/>
          <w:sz w:val="16"/>
          <w:szCs w:val="16"/>
          <w:lang w:val="es-ES"/>
        </w:rPr>
        <w:t xml:space="preserve"> de</w:t>
      </w:r>
      <w:r w:rsidRPr="005B2507">
        <w:rPr>
          <w:rFonts w:ascii="Verdana" w:hAnsi="Verdana"/>
          <w:sz w:val="16"/>
          <w:szCs w:val="16"/>
          <w:lang w:val="es-ES"/>
        </w:rPr>
        <w:t xml:space="preserve"> 19 de junio de 1992 (expediente de prueba, folio 40).</w:t>
      </w:r>
    </w:p>
  </w:footnote>
  <w:footnote w:id="38">
    <w:p w14:paraId="09E8518A" w14:textId="2D000022" w:rsidR="004F6879" w:rsidRPr="005B2507" w:rsidRDefault="004F6879" w:rsidP="005B2507">
      <w:pPr>
        <w:pStyle w:val="Textoindependiente"/>
        <w:tabs>
          <w:tab w:val="left" w:pos="709"/>
        </w:tabs>
        <w:kinsoku w:val="0"/>
        <w:overflowPunct w:val="0"/>
        <w:spacing w:before="120" w:after="120" w:line="240" w:lineRule="auto"/>
        <w:rPr>
          <w:w w:val="110"/>
          <w:sz w:val="16"/>
          <w:szCs w:val="16"/>
          <w:lang w:val="es-ES"/>
        </w:rPr>
      </w:pPr>
      <w:r w:rsidRPr="005B2507">
        <w:rPr>
          <w:rStyle w:val="Refdenotaalpie"/>
          <w:sz w:val="16"/>
          <w:szCs w:val="16"/>
        </w:rPr>
        <w:footnoteRef/>
      </w:r>
      <w:r w:rsidRPr="005B2507">
        <w:rPr>
          <w:sz w:val="16"/>
          <w:szCs w:val="16"/>
          <w:lang w:val="es-ES"/>
        </w:rPr>
        <w:t xml:space="preserve"> </w:t>
      </w:r>
      <w:r w:rsidRPr="005B2507">
        <w:rPr>
          <w:sz w:val="16"/>
          <w:szCs w:val="16"/>
          <w:lang w:val="es-ES"/>
        </w:rPr>
        <w:tab/>
      </w:r>
      <w:r w:rsidRPr="005B2507">
        <w:rPr>
          <w:i/>
          <w:iCs/>
          <w:sz w:val="16"/>
          <w:szCs w:val="16"/>
          <w:lang w:val="es-ES"/>
        </w:rPr>
        <w:t xml:space="preserve">Cfr. </w:t>
      </w:r>
      <w:r w:rsidRPr="005B2507">
        <w:rPr>
          <w:w w:val="110"/>
          <w:sz w:val="16"/>
          <w:szCs w:val="16"/>
          <w:lang w:val="es-ES"/>
        </w:rPr>
        <w:t>Auto del Juez</w:t>
      </w:r>
      <w:r w:rsidR="00C83098">
        <w:rPr>
          <w:w w:val="110"/>
          <w:sz w:val="16"/>
          <w:szCs w:val="16"/>
          <w:lang w:val="es-ES"/>
        </w:rPr>
        <w:t xml:space="preserve"> Federal de</w:t>
      </w:r>
      <w:r w:rsidRPr="005B2507">
        <w:rPr>
          <w:w w:val="110"/>
          <w:sz w:val="16"/>
          <w:szCs w:val="16"/>
          <w:lang w:val="es-ES"/>
        </w:rPr>
        <w:t xml:space="preserve"> 3 de julio de 1992 y constancias de publicación de los edictos en el Boletín Oficial de la Nación </w:t>
      </w:r>
      <w:r w:rsidRPr="005B2507">
        <w:rPr>
          <w:sz w:val="16"/>
          <w:szCs w:val="16"/>
          <w:lang w:val="es-ES"/>
        </w:rPr>
        <w:t>(expediente de prueba, folios 42</w:t>
      </w:r>
      <w:r w:rsidR="00C83098">
        <w:rPr>
          <w:sz w:val="16"/>
          <w:szCs w:val="16"/>
          <w:lang w:val="es-ES"/>
        </w:rPr>
        <w:t xml:space="preserve"> a </w:t>
      </w:r>
      <w:r w:rsidRPr="005B2507">
        <w:rPr>
          <w:sz w:val="16"/>
          <w:szCs w:val="16"/>
          <w:lang w:val="es-ES"/>
        </w:rPr>
        <w:t>45 y 1437</w:t>
      </w:r>
      <w:r w:rsidR="00C83098">
        <w:rPr>
          <w:sz w:val="16"/>
          <w:szCs w:val="16"/>
          <w:lang w:val="es-ES"/>
        </w:rPr>
        <w:t xml:space="preserve"> a </w:t>
      </w:r>
      <w:r w:rsidRPr="005B2507">
        <w:rPr>
          <w:sz w:val="16"/>
          <w:szCs w:val="16"/>
          <w:lang w:val="es-ES"/>
        </w:rPr>
        <w:t>1446)</w:t>
      </w:r>
      <w:r w:rsidRPr="005B2507">
        <w:rPr>
          <w:rFonts w:eastAsiaTheme="minorHAnsi"/>
          <w:sz w:val="16"/>
          <w:szCs w:val="16"/>
          <w:lang w:val="es-ES"/>
        </w:rPr>
        <w:t>.</w:t>
      </w:r>
    </w:p>
  </w:footnote>
  <w:footnote w:id="39">
    <w:p w14:paraId="308CCE3C" w14:textId="59B6C934" w:rsidR="004F6879" w:rsidRPr="005B2507" w:rsidRDefault="004F6879" w:rsidP="005B2507">
      <w:pPr>
        <w:pStyle w:val="Textonotapie"/>
        <w:tabs>
          <w:tab w:val="left" w:pos="709"/>
        </w:tabs>
        <w:spacing w:before="120" w:after="120"/>
        <w:jc w:val="both"/>
        <w:rPr>
          <w:rFonts w:ascii="Verdana" w:hAnsi="Verdana"/>
          <w:sz w:val="16"/>
          <w:szCs w:val="16"/>
        </w:rPr>
      </w:pPr>
      <w:r w:rsidRPr="005B2507">
        <w:rPr>
          <w:rStyle w:val="Refdenotaalpie"/>
          <w:rFonts w:ascii="Verdana" w:hAnsi="Verdana"/>
          <w:sz w:val="16"/>
          <w:szCs w:val="16"/>
        </w:rPr>
        <w:footnoteRef/>
      </w:r>
      <w:r w:rsidRPr="005B2507">
        <w:rPr>
          <w:rFonts w:ascii="Verdana" w:hAnsi="Verdana"/>
          <w:sz w:val="16"/>
          <w:szCs w:val="16"/>
        </w:rPr>
        <w:t xml:space="preserve"> </w:t>
      </w:r>
      <w:r w:rsidRPr="005B2507">
        <w:rPr>
          <w:rFonts w:ascii="Verdana" w:hAnsi="Verdana"/>
          <w:sz w:val="16"/>
          <w:szCs w:val="16"/>
        </w:rPr>
        <w:tab/>
      </w:r>
      <w:r w:rsidRPr="005B2507">
        <w:rPr>
          <w:rFonts w:ascii="Verdana" w:hAnsi="Verdana"/>
          <w:i/>
          <w:iCs/>
          <w:sz w:val="16"/>
          <w:szCs w:val="16"/>
        </w:rPr>
        <w:t xml:space="preserve">Cfr. </w:t>
      </w:r>
      <w:r w:rsidRPr="005B2507">
        <w:rPr>
          <w:rFonts w:ascii="Verdana" w:hAnsi="Verdana"/>
          <w:sz w:val="16"/>
          <w:szCs w:val="16"/>
          <w:lang w:val="es-ES"/>
        </w:rPr>
        <w:t>Auto del Juez Federal</w:t>
      </w:r>
      <w:r w:rsidR="00A8173C">
        <w:rPr>
          <w:rFonts w:ascii="Verdana" w:hAnsi="Verdana"/>
          <w:sz w:val="16"/>
          <w:szCs w:val="16"/>
          <w:lang w:val="es-ES"/>
        </w:rPr>
        <w:t xml:space="preserve"> de</w:t>
      </w:r>
      <w:r w:rsidRPr="005B2507">
        <w:rPr>
          <w:rFonts w:ascii="Verdana" w:hAnsi="Verdana"/>
          <w:sz w:val="16"/>
          <w:szCs w:val="16"/>
          <w:lang w:val="es-ES"/>
        </w:rPr>
        <w:t xml:space="preserve"> 14 de septiembre de 1992 (expediente de prueba, folio 49).</w:t>
      </w:r>
    </w:p>
  </w:footnote>
  <w:footnote w:id="40">
    <w:p w14:paraId="24D0A8FE" w14:textId="5D81C85F" w:rsidR="004F6879" w:rsidRPr="005B2507" w:rsidRDefault="004F6879" w:rsidP="005B2507">
      <w:pPr>
        <w:pStyle w:val="Textonotapie"/>
        <w:tabs>
          <w:tab w:val="left" w:pos="709"/>
        </w:tabs>
        <w:spacing w:before="120" w:after="120"/>
        <w:jc w:val="both"/>
        <w:rPr>
          <w:rFonts w:ascii="Verdana" w:hAnsi="Verdana"/>
          <w:sz w:val="16"/>
          <w:szCs w:val="16"/>
        </w:rPr>
      </w:pPr>
      <w:r w:rsidRPr="005B2507">
        <w:rPr>
          <w:rStyle w:val="Refdenotaalpie"/>
          <w:rFonts w:ascii="Verdana" w:hAnsi="Verdana"/>
          <w:sz w:val="16"/>
          <w:szCs w:val="16"/>
        </w:rPr>
        <w:footnoteRef/>
      </w:r>
      <w:r w:rsidRPr="005B2507">
        <w:rPr>
          <w:rFonts w:ascii="Verdana" w:hAnsi="Verdana"/>
          <w:sz w:val="16"/>
          <w:szCs w:val="16"/>
        </w:rPr>
        <w:t xml:space="preserve"> </w:t>
      </w:r>
      <w:r w:rsidRPr="005B2507">
        <w:rPr>
          <w:rFonts w:ascii="Verdana" w:hAnsi="Verdana"/>
          <w:sz w:val="16"/>
          <w:szCs w:val="16"/>
        </w:rPr>
        <w:tab/>
      </w:r>
      <w:r w:rsidRPr="005B2507">
        <w:rPr>
          <w:rFonts w:ascii="Verdana" w:hAnsi="Verdana"/>
          <w:i/>
          <w:iCs/>
          <w:sz w:val="16"/>
          <w:szCs w:val="16"/>
        </w:rPr>
        <w:t xml:space="preserve">Cfr. </w:t>
      </w:r>
      <w:r w:rsidRPr="005B2507">
        <w:rPr>
          <w:rFonts w:ascii="Verdana" w:hAnsi="Verdana"/>
          <w:sz w:val="16"/>
          <w:szCs w:val="16"/>
          <w:lang w:val="es-ES"/>
        </w:rPr>
        <w:t>Oficio del Defensor Oficial</w:t>
      </w:r>
      <w:r w:rsidR="001A3F2B">
        <w:rPr>
          <w:rFonts w:ascii="Verdana" w:hAnsi="Verdana"/>
          <w:sz w:val="16"/>
          <w:szCs w:val="16"/>
          <w:lang w:val="es-ES"/>
        </w:rPr>
        <w:t xml:space="preserve"> de </w:t>
      </w:r>
      <w:r w:rsidRPr="005B2507">
        <w:rPr>
          <w:rFonts w:ascii="Verdana" w:hAnsi="Verdana"/>
          <w:sz w:val="16"/>
          <w:szCs w:val="16"/>
          <w:lang w:val="es-ES"/>
        </w:rPr>
        <w:t>14 de septiembre de 1992 (expediente de prueba, folio 49).</w:t>
      </w:r>
    </w:p>
  </w:footnote>
  <w:footnote w:id="41">
    <w:p w14:paraId="73EFDFE7" w14:textId="528BDB24" w:rsidR="004F6879" w:rsidRPr="005B2507" w:rsidRDefault="004F6879" w:rsidP="005B2507">
      <w:pPr>
        <w:pStyle w:val="Textonotapie"/>
        <w:tabs>
          <w:tab w:val="left" w:pos="709"/>
        </w:tabs>
        <w:spacing w:before="120" w:after="120"/>
        <w:jc w:val="both"/>
        <w:rPr>
          <w:rFonts w:ascii="Verdana" w:hAnsi="Verdana"/>
          <w:sz w:val="16"/>
          <w:szCs w:val="16"/>
        </w:rPr>
      </w:pPr>
      <w:r w:rsidRPr="005B2507">
        <w:rPr>
          <w:rStyle w:val="Refdenotaalpie"/>
          <w:rFonts w:ascii="Verdana" w:hAnsi="Verdana"/>
          <w:sz w:val="16"/>
          <w:szCs w:val="16"/>
        </w:rPr>
        <w:footnoteRef/>
      </w:r>
      <w:r w:rsidRPr="005B2507">
        <w:rPr>
          <w:rFonts w:ascii="Verdana" w:hAnsi="Verdana"/>
          <w:sz w:val="16"/>
          <w:szCs w:val="16"/>
        </w:rPr>
        <w:t xml:space="preserve"> </w:t>
      </w:r>
      <w:r w:rsidRPr="005B2507">
        <w:rPr>
          <w:rFonts w:ascii="Verdana" w:hAnsi="Verdana"/>
          <w:sz w:val="16"/>
          <w:szCs w:val="16"/>
        </w:rPr>
        <w:tab/>
      </w:r>
      <w:r w:rsidRPr="005B2507">
        <w:rPr>
          <w:rFonts w:ascii="Verdana" w:hAnsi="Verdana"/>
          <w:i/>
          <w:iCs/>
          <w:sz w:val="16"/>
          <w:szCs w:val="16"/>
        </w:rPr>
        <w:t xml:space="preserve">Cfr. </w:t>
      </w:r>
      <w:r w:rsidRPr="005B2507">
        <w:rPr>
          <w:rFonts w:ascii="Verdana" w:hAnsi="Verdana"/>
          <w:sz w:val="16"/>
          <w:szCs w:val="16"/>
          <w:lang w:val="es-ES"/>
        </w:rPr>
        <w:t>Auto del Juez Federal</w:t>
      </w:r>
      <w:r w:rsidR="001A3F2B">
        <w:rPr>
          <w:rFonts w:ascii="Verdana" w:hAnsi="Verdana"/>
          <w:sz w:val="16"/>
          <w:szCs w:val="16"/>
          <w:lang w:val="es-ES"/>
        </w:rPr>
        <w:t xml:space="preserve"> de </w:t>
      </w:r>
      <w:r w:rsidR="00393BAA">
        <w:rPr>
          <w:rFonts w:ascii="Verdana" w:hAnsi="Verdana"/>
          <w:sz w:val="16"/>
          <w:szCs w:val="16"/>
          <w:lang w:val="es-ES"/>
        </w:rPr>
        <w:t>28 de septiembre de 1992</w:t>
      </w:r>
      <w:r w:rsidRPr="005B2507">
        <w:rPr>
          <w:rFonts w:ascii="Verdana" w:hAnsi="Verdana"/>
          <w:sz w:val="16"/>
          <w:szCs w:val="16"/>
          <w:lang w:val="es-ES"/>
        </w:rPr>
        <w:t xml:space="preserve"> (expediente de prueba, folio 51).</w:t>
      </w:r>
    </w:p>
  </w:footnote>
  <w:footnote w:id="42">
    <w:p w14:paraId="546D93A2" w14:textId="5A62DEDA" w:rsidR="004F6879" w:rsidRPr="005B2507" w:rsidRDefault="004F6879" w:rsidP="005B2507">
      <w:pPr>
        <w:pStyle w:val="Textonotapie"/>
        <w:tabs>
          <w:tab w:val="left" w:pos="709"/>
        </w:tabs>
        <w:spacing w:before="120" w:after="120"/>
        <w:jc w:val="both"/>
        <w:rPr>
          <w:rFonts w:ascii="Verdana" w:hAnsi="Verdana"/>
          <w:sz w:val="16"/>
          <w:szCs w:val="16"/>
        </w:rPr>
      </w:pPr>
      <w:r w:rsidRPr="005B2507">
        <w:rPr>
          <w:rStyle w:val="Refdenotaalpie"/>
          <w:rFonts w:ascii="Verdana" w:hAnsi="Verdana"/>
          <w:sz w:val="16"/>
          <w:szCs w:val="16"/>
        </w:rPr>
        <w:footnoteRef/>
      </w:r>
      <w:r w:rsidRPr="005B2507">
        <w:rPr>
          <w:rFonts w:ascii="Verdana" w:hAnsi="Verdana"/>
          <w:sz w:val="16"/>
          <w:szCs w:val="16"/>
        </w:rPr>
        <w:t xml:space="preserve"> </w:t>
      </w:r>
      <w:r w:rsidRPr="005B2507">
        <w:rPr>
          <w:rFonts w:ascii="Verdana" w:hAnsi="Verdana"/>
          <w:sz w:val="16"/>
          <w:szCs w:val="16"/>
        </w:rPr>
        <w:tab/>
      </w:r>
      <w:r w:rsidRPr="005B2507">
        <w:rPr>
          <w:rFonts w:ascii="Verdana" w:hAnsi="Verdana"/>
          <w:i/>
          <w:iCs/>
          <w:sz w:val="16"/>
          <w:szCs w:val="16"/>
        </w:rPr>
        <w:t xml:space="preserve">Cfr. </w:t>
      </w:r>
      <w:r w:rsidRPr="005B2507">
        <w:rPr>
          <w:rFonts w:ascii="Verdana" w:hAnsi="Verdana"/>
          <w:sz w:val="16"/>
          <w:szCs w:val="16"/>
          <w:lang w:val="es-ES"/>
        </w:rPr>
        <w:t>Oficio del Defensor Oficial</w:t>
      </w:r>
      <w:r w:rsidR="00AE2EEE">
        <w:rPr>
          <w:rFonts w:ascii="Verdana" w:hAnsi="Verdana"/>
          <w:sz w:val="16"/>
          <w:szCs w:val="16"/>
          <w:lang w:val="es-ES"/>
        </w:rPr>
        <w:t xml:space="preserve"> de</w:t>
      </w:r>
      <w:r w:rsidRPr="005B2507">
        <w:rPr>
          <w:rFonts w:ascii="Verdana" w:hAnsi="Verdana"/>
          <w:sz w:val="16"/>
          <w:szCs w:val="16"/>
          <w:lang w:val="es-ES"/>
        </w:rPr>
        <w:t xml:space="preserve"> 20 de octubre de 1992 (expediente de prueba, folio 54).</w:t>
      </w:r>
    </w:p>
  </w:footnote>
  <w:footnote w:id="43">
    <w:p w14:paraId="0AC58B4A" w14:textId="52ED34AD" w:rsidR="004F6879" w:rsidRPr="005B2507" w:rsidRDefault="004F6879" w:rsidP="005B2507">
      <w:pPr>
        <w:pStyle w:val="Textonotapie"/>
        <w:tabs>
          <w:tab w:val="left" w:pos="709"/>
        </w:tabs>
        <w:spacing w:before="120" w:after="120"/>
        <w:jc w:val="both"/>
        <w:rPr>
          <w:rFonts w:ascii="Verdana" w:hAnsi="Verdana"/>
          <w:sz w:val="16"/>
          <w:szCs w:val="16"/>
        </w:rPr>
      </w:pPr>
      <w:r w:rsidRPr="005B2507">
        <w:rPr>
          <w:rStyle w:val="Refdenotaalpie"/>
          <w:rFonts w:ascii="Verdana" w:hAnsi="Verdana"/>
          <w:sz w:val="16"/>
          <w:szCs w:val="16"/>
        </w:rPr>
        <w:footnoteRef/>
      </w:r>
      <w:r w:rsidRPr="005B2507">
        <w:rPr>
          <w:rFonts w:ascii="Verdana" w:hAnsi="Verdana"/>
          <w:sz w:val="16"/>
          <w:szCs w:val="16"/>
        </w:rPr>
        <w:t xml:space="preserve"> </w:t>
      </w:r>
      <w:r w:rsidRPr="005B2507">
        <w:rPr>
          <w:rFonts w:ascii="Verdana" w:hAnsi="Verdana"/>
          <w:sz w:val="16"/>
          <w:szCs w:val="16"/>
        </w:rPr>
        <w:tab/>
      </w:r>
      <w:r w:rsidRPr="005B2507">
        <w:rPr>
          <w:rFonts w:ascii="Verdana" w:hAnsi="Verdana"/>
          <w:i/>
          <w:iCs/>
          <w:sz w:val="16"/>
          <w:szCs w:val="16"/>
        </w:rPr>
        <w:t xml:space="preserve">Cfr. </w:t>
      </w:r>
      <w:r w:rsidRPr="005B2507">
        <w:rPr>
          <w:rFonts w:ascii="Verdana" w:hAnsi="Verdana"/>
          <w:sz w:val="16"/>
          <w:szCs w:val="16"/>
          <w:lang w:val="es-ES"/>
        </w:rPr>
        <w:t>Auto del Juez Federal No. 2 de Mendoza</w:t>
      </w:r>
      <w:r w:rsidR="000C5C37">
        <w:rPr>
          <w:rFonts w:ascii="Verdana" w:hAnsi="Verdana"/>
          <w:sz w:val="16"/>
          <w:szCs w:val="16"/>
          <w:lang w:val="es-ES"/>
        </w:rPr>
        <w:t xml:space="preserve"> de</w:t>
      </w:r>
      <w:r w:rsidRPr="005B2507">
        <w:rPr>
          <w:rFonts w:ascii="Verdana" w:hAnsi="Verdana"/>
          <w:sz w:val="16"/>
          <w:szCs w:val="16"/>
          <w:lang w:val="es-ES"/>
        </w:rPr>
        <w:t xml:space="preserve"> 6 de noviembre de 1992 (expediente de prueba, folio 56).</w:t>
      </w:r>
    </w:p>
  </w:footnote>
  <w:footnote w:id="44">
    <w:p w14:paraId="577D5CC4" w14:textId="082FC091" w:rsidR="004F6879" w:rsidRPr="005B2507" w:rsidRDefault="004F6879" w:rsidP="005B2507">
      <w:pPr>
        <w:pStyle w:val="Textonotapie"/>
        <w:tabs>
          <w:tab w:val="left" w:pos="709"/>
        </w:tabs>
        <w:spacing w:before="120" w:after="120"/>
        <w:jc w:val="both"/>
        <w:rPr>
          <w:rFonts w:ascii="Verdana" w:hAnsi="Verdana"/>
          <w:sz w:val="16"/>
          <w:szCs w:val="16"/>
        </w:rPr>
      </w:pPr>
      <w:r w:rsidRPr="005B2507">
        <w:rPr>
          <w:rStyle w:val="Refdenotaalpie"/>
          <w:rFonts w:ascii="Verdana" w:hAnsi="Verdana"/>
          <w:sz w:val="16"/>
          <w:szCs w:val="16"/>
        </w:rPr>
        <w:footnoteRef/>
      </w:r>
      <w:r w:rsidRPr="005B2507">
        <w:rPr>
          <w:rFonts w:ascii="Verdana" w:hAnsi="Verdana"/>
          <w:sz w:val="16"/>
          <w:szCs w:val="16"/>
        </w:rPr>
        <w:t xml:space="preserve"> </w:t>
      </w:r>
      <w:r w:rsidRPr="005B2507">
        <w:rPr>
          <w:rFonts w:ascii="Verdana" w:hAnsi="Verdana"/>
          <w:sz w:val="16"/>
          <w:szCs w:val="16"/>
        </w:rPr>
        <w:tab/>
      </w:r>
      <w:r w:rsidRPr="005B2507">
        <w:rPr>
          <w:rFonts w:ascii="Verdana" w:hAnsi="Verdana"/>
          <w:i/>
          <w:iCs/>
          <w:sz w:val="16"/>
          <w:szCs w:val="16"/>
        </w:rPr>
        <w:t xml:space="preserve">Cfr. </w:t>
      </w:r>
      <w:r w:rsidRPr="005B2507">
        <w:rPr>
          <w:rFonts w:ascii="Verdana" w:hAnsi="Verdana"/>
          <w:sz w:val="16"/>
          <w:szCs w:val="16"/>
          <w:lang w:val="es-ES"/>
        </w:rPr>
        <w:t xml:space="preserve">Auto Juez Federal </w:t>
      </w:r>
      <w:r w:rsidR="004D0CDA">
        <w:rPr>
          <w:rFonts w:ascii="Verdana" w:hAnsi="Verdana"/>
          <w:sz w:val="16"/>
          <w:szCs w:val="16"/>
          <w:lang w:val="es-ES"/>
        </w:rPr>
        <w:t>de</w:t>
      </w:r>
      <w:r w:rsidRPr="005B2507">
        <w:rPr>
          <w:rFonts w:ascii="Verdana" w:hAnsi="Verdana"/>
          <w:sz w:val="16"/>
          <w:szCs w:val="16"/>
          <w:lang w:val="es-ES"/>
        </w:rPr>
        <w:t xml:space="preserve"> 24 de noviembre de 1992 (expediente de prueba, folio 58).</w:t>
      </w:r>
    </w:p>
  </w:footnote>
  <w:footnote w:id="45">
    <w:p w14:paraId="7F5C9E98" w14:textId="1E58761F" w:rsidR="004F6879" w:rsidRPr="005B2507" w:rsidRDefault="004F6879" w:rsidP="005B2507">
      <w:pPr>
        <w:pStyle w:val="Textonotapie"/>
        <w:tabs>
          <w:tab w:val="left" w:pos="709"/>
        </w:tabs>
        <w:spacing w:before="120" w:after="120"/>
        <w:jc w:val="both"/>
        <w:rPr>
          <w:rFonts w:ascii="Verdana" w:hAnsi="Verdana"/>
          <w:sz w:val="16"/>
          <w:szCs w:val="16"/>
        </w:rPr>
      </w:pPr>
      <w:r w:rsidRPr="005B2507">
        <w:rPr>
          <w:rStyle w:val="Refdenotaalpie"/>
          <w:rFonts w:ascii="Verdana" w:hAnsi="Verdana"/>
          <w:sz w:val="16"/>
          <w:szCs w:val="16"/>
        </w:rPr>
        <w:footnoteRef/>
      </w:r>
      <w:r w:rsidRPr="005B2507">
        <w:rPr>
          <w:rFonts w:ascii="Verdana" w:hAnsi="Verdana"/>
          <w:sz w:val="16"/>
          <w:szCs w:val="16"/>
        </w:rPr>
        <w:t xml:space="preserve"> </w:t>
      </w:r>
      <w:r w:rsidRPr="005B2507">
        <w:rPr>
          <w:rFonts w:ascii="Verdana" w:hAnsi="Verdana"/>
          <w:sz w:val="16"/>
          <w:szCs w:val="16"/>
        </w:rPr>
        <w:tab/>
      </w:r>
      <w:r w:rsidRPr="005B2507">
        <w:rPr>
          <w:rFonts w:ascii="Verdana" w:hAnsi="Verdana"/>
          <w:i/>
          <w:iCs/>
          <w:sz w:val="16"/>
          <w:szCs w:val="16"/>
        </w:rPr>
        <w:t xml:space="preserve">Cfr. </w:t>
      </w:r>
      <w:r w:rsidRPr="005B2507">
        <w:rPr>
          <w:rFonts w:ascii="Verdana" w:hAnsi="Verdana"/>
          <w:sz w:val="16"/>
          <w:szCs w:val="16"/>
          <w:lang w:val="es-ES"/>
        </w:rPr>
        <w:t>Sentencia de primera instancia proferida por el Juez Federal No. 2 de Mendoza de 27 de octubre de 1994 (expediente de prueba, folios 76</w:t>
      </w:r>
      <w:r w:rsidR="0025429C">
        <w:rPr>
          <w:rFonts w:ascii="Verdana" w:hAnsi="Verdana"/>
          <w:sz w:val="16"/>
          <w:szCs w:val="16"/>
          <w:lang w:val="es-ES"/>
        </w:rPr>
        <w:t xml:space="preserve"> a </w:t>
      </w:r>
      <w:r w:rsidRPr="005B2507">
        <w:rPr>
          <w:rFonts w:ascii="Verdana" w:hAnsi="Verdana"/>
          <w:sz w:val="16"/>
          <w:szCs w:val="16"/>
          <w:lang w:val="es-ES"/>
        </w:rPr>
        <w:t>80)</w:t>
      </w:r>
      <w:r w:rsidR="004C5CDA">
        <w:rPr>
          <w:rFonts w:ascii="Verdana" w:hAnsi="Verdana"/>
          <w:sz w:val="16"/>
          <w:szCs w:val="16"/>
          <w:lang w:val="es-ES"/>
        </w:rPr>
        <w:t>.</w:t>
      </w:r>
    </w:p>
  </w:footnote>
  <w:footnote w:id="46">
    <w:p w14:paraId="1F3D33CB" w14:textId="7A7BAFA7" w:rsidR="004F6879" w:rsidRPr="005B2507" w:rsidRDefault="004F6879" w:rsidP="005B2507">
      <w:pPr>
        <w:tabs>
          <w:tab w:val="left" w:pos="709"/>
        </w:tabs>
        <w:autoSpaceDE w:val="0"/>
        <w:autoSpaceDN w:val="0"/>
        <w:adjustRightInd w:val="0"/>
        <w:spacing w:before="120" w:after="120"/>
        <w:jc w:val="both"/>
        <w:rPr>
          <w:rFonts w:ascii="Verdana" w:hAnsi="Verdana"/>
          <w:sz w:val="16"/>
          <w:szCs w:val="16"/>
        </w:rPr>
      </w:pPr>
      <w:r w:rsidRPr="005B2507">
        <w:rPr>
          <w:rStyle w:val="Refdenotaalpie"/>
          <w:rFonts w:ascii="Verdana" w:hAnsi="Verdana"/>
          <w:sz w:val="16"/>
          <w:szCs w:val="16"/>
        </w:rPr>
        <w:footnoteRef/>
      </w:r>
      <w:r w:rsidRPr="005B2507">
        <w:rPr>
          <w:rFonts w:ascii="Verdana" w:hAnsi="Verdana"/>
          <w:sz w:val="16"/>
          <w:szCs w:val="16"/>
        </w:rPr>
        <w:t xml:space="preserve"> </w:t>
      </w:r>
      <w:r w:rsidRPr="005B2507">
        <w:rPr>
          <w:rFonts w:ascii="Verdana" w:hAnsi="Verdana"/>
          <w:sz w:val="16"/>
          <w:szCs w:val="16"/>
        </w:rPr>
        <w:tab/>
      </w:r>
      <w:r w:rsidRPr="005B2507">
        <w:rPr>
          <w:rFonts w:ascii="Verdana" w:hAnsi="Verdana"/>
          <w:i/>
          <w:iCs/>
          <w:sz w:val="16"/>
          <w:szCs w:val="16"/>
        </w:rPr>
        <w:t xml:space="preserve">Cfr. </w:t>
      </w:r>
      <w:r w:rsidRPr="005B2507">
        <w:rPr>
          <w:rFonts w:ascii="Verdana" w:hAnsi="Verdana"/>
          <w:sz w:val="16"/>
          <w:szCs w:val="16"/>
          <w:lang w:val="es-ES"/>
        </w:rPr>
        <w:t>Oficio presentado por Carlos Varela Álvarez</w:t>
      </w:r>
      <w:r w:rsidR="002D01BA">
        <w:rPr>
          <w:rFonts w:ascii="Verdana" w:hAnsi="Verdana"/>
          <w:sz w:val="16"/>
          <w:szCs w:val="16"/>
          <w:lang w:val="es-ES"/>
        </w:rPr>
        <w:t xml:space="preserve"> de</w:t>
      </w:r>
      <w:r w:rsidRPr="005B2507">
        <w:rPr>
          <w:rFonts w:ascii="Verdana" w:hAnsi="Verdana"/>
          <w:sz w:val="16"/>
          <w:szCs w:val="16"/>
          <w:lang w:val="es-ES"/>
        </w:rPr>
        <w:t xml:space="preserve"> 2 de noviembre de 1994 (expediente de prueba, folio 82), y </w:t>
      </w:r>
      <w:r w:rsidR="002D01BA">
        <w:rPr>
          <w:rFonts w:ascii="Verdana" w:hAnsi="Verdana"/>
          <w:sz w:val="16"/>
          <w:szCs w:val="16"/>
          <w:lang w:val="es-ES"/>
        </w:rPr>
        <w:t>s</w:t>
      </w:r>
      <w:r w:rsidRPr="005B2507">
        <w:rPr>
          <w:rFonts w:ascii="Verdana" w:hAnsi="Verdana"/>
          <w:sz w:val="16"/>
          <w:szCs w:val="16"/>
          <w:lang w:val="es-ES"/>
        </w:rPr>
        <w:t xml:space="preserve">ustentación de los recursos de apelación y nulidad por parte de los abogados Carlos Varela </w:t>
      </w:r>
      <w:r w:rsidR="002D01BA" w:rsidRPr="005B2507">
        <w:rPr>
          <w:rFonts w:ascii="Verdana" w:hAnsi="Verdana"/>
          <w:sz w:val="16"/>
          <w:szCs w:val="16"/>
          <w:lang w:val="es-ES"/>
        </w:rPr>
        <w:t>Álvarez</w:t>
      </w:r>
      <w:r w:rsidRPr="005B2507">
        <w:rPr>
          <w:rFonts w:ascii="Verdana" w:hAnsi="Verdana"/>
          <w:sz w:val="16"/>
          <w:szCs w:val="16"/>
          <w:lang w:val="es-ES"/>
        </w:rPr>
        <w:t xml:space="preserve"> </w:t>
      </w:r>
      <w:r w:rsidRPr="005B2507">
        <w:rPr>
          <w:rFonts w:ascii="Verdana" w:hAnsi="Verdana" w:cs="Arial"/>
          <w:sz w:val="16"/>
          <w:szCs w:val="16"/>
          <w:lang w:val="es-ES"/>
        </w:rPr>
        <w:t xml:space="preserve">y </w:t>
      </w:r>
      <w:r w:rsidRPr="005B2507">
        <w:rPr>
          <w:rFonts w:ascii="Verdana" w:hAnsi="Verdana"/>
          <w:sz w:val="16"/>
          <w:szCs w:val="16"/>
          <w:lang w:val="es-ES"/>
        </w:rPr>
        <w:t>Diego Lavado</w:t>
      </w:r>
      <w:r w:rsidR="00410DF2">
        <w:rPr>
          <w:rFonts w:ascii="Verdana" w:hAnsi="Verdana"/>
          <w:sz w:val="16"/>
          <w:szCs w:val="16"/>
          <w:lang w:val="es-ES"/>
        </w:rPr>
        <w:t xml:space="preserve"> de</w:t>
      </w:r>
      <w:r w:rsidRPr="005B2507">
        <w:rPr>
          <w:rFonts w:ascii="Verdana" w:hAnsi="Verdana"/>
          <w:sz w:val="16"/>
          <w:szCs w:val="16"/>
          <w:lang w:val="es-ES"/>
        </w:rPr>
        <w:t xml:space="preserve"> febrero de 1995 (expediente de prueba, folio 84).</w:t>
      </w:r>
    </w:p>
  </w:footnote>
  <w:footnote w:id="47">
    <w:p w14:paraId="09F8AEEB" w14:textId="77777777" w:rsidR="004F6879" w:rsidRPr="005B2507" w:rsidRDefault="004F6879" w:rsidP="005B2507">
      <w:pPr>
        <w:pStyle w:val="Textonotapie"/>
        <w:tabs>
          <w:tab w:val="left" w:pos="709"/>
        </w:tabs>
        <w:spacing w:before="120" w:after="120"/>
        <w:jc w:val="both"/>
        <w:rPr>
          <w:rFonts w:ascii="Verdana" w:hAnsi="Verdana"/>
          <w:sz w:val="16"/>
          <w:szCs w:val="16"/>
        </w:rPr>
      </w:pPr>
      <w:r w:rsidRPr="005B2507">
        <w:rPr>
          <w:rStyle w:val="Refdenotaalpie"/>
          <w:rFonts w:ascii="Verdana" w:hAnsi="Verdana"/>
          <w:sz w:val="16"/>
          <w:szCs w:val="16"/>
        </w:rPr>
        <w:footnoteRef/>
      </w:r>
      <w:r w:rsidRPr="005B2507">
        <w:rPr>
          <w:rFonts w:ascii="Verdana" w:hAnsi="Verdana"/>
          <w:sz w:val="16"/>
          <w:szCs w:val="16"/>
        </w:rPr>
        <w:t xml:space="preserve"> </w:t>
      </w:r>
      <w:r w:rsidRPr="005B2507">
        <w:rPr>
          <w:rFonts w:ascii="Verdana" w:hAnsi="Verdana"/>
          <w:sz w:val="16"/>
          <w:szCs w:val="16"/>
        </w:rPr>
        <w:tab/>
      </w:r>
      <w:r w:rsidRPr="005B2507">
        <w:rPr>
          <w:rFonts w:ascii="Verdana" w:hAnsi="Verdana"/>
          <w:i/>
          <w:iCs/>
          <w:sz w:val="16"/>
          <w:szCs w:val="16"/>
        </w:rPr>
        <w:t xml:space="preserve">Cfr. </w:t>
      </w:r>
      <w:r w:rsidRPr="005B2507">
        <w:rPr>
          <w:rFonts w:ascii="Verdana" w:hAnsi="Verdana"/>
          <w:sz w:val="16"/>
          <w:szCs w:val="16"/>
        </w:rPr>
        <w:t>Contestación de agravios del Fiscal de Cámara (expediente de prueba, folio 2169).</w:t>
      </w:r>
    </w:p>
  </w:footnote>
  <w:footnote w:id="48">
    <w:p w14:paraId="245B1B61" w14:textId="34F18A12" w:rsidR="004F6879" w:rsidRPr="005B2507" w:rsidRDefault="004F6879" w:rsidP="005B2507">
      <w:pPr>
        <w:pStyle w:val="Textonotapie"/>
        <w:tabs>
          <w:tab w:val="left" w:pos="709"/>
        </w:tabs>
        <w:spacing w:before="120" w:after="120"/>
        <w:jc w:val="both"/>
        <w:rPr>
          <w:rFonts w:ascii="Verdana" w:hAnsi="Verdana"/>
          <w:sz w:val="16"/>
          <w:szCs w:val="16"/>
          <w:lang w:val="es-ES"/>
        </w:rPr>
      </w:pPr>
      <w:r w:rsidRPr="005B2507">
        <w:rPr>
          <w:rStyle w:val="Refdenotaalpie"/>
          <w:rFonts w:ascii="Verdana" w:hAnsi="Verdana"/>
          <w:sz w:val="16"/>
          <w:szCs w:val="16"/>
        </w:rPr>
        <w:footnoteRef/>
      </w:r>
      <w:r w:rsidRPr="005B2507">
        <w:rPr>
          <w:rFonts w:ascii="Verdana" w:hAnsi="Verdana"/>
          <w:sz w:val="16"/>
          <w:szCs w:val="16"/>
        </w:rPr>
        <w:t xml:space="preserve"> </w:t>
      </w:r>
      <w:r w:rsidRPr="005B2507">
        <w:rPr>
          <w:rFonts w:ascii="Verdana" w:hAnsi="Verdana"/>
          <w:sz w:val="16"/>
          <w:szCs w:val="16"/>
          <w:lang w:val="es-ES"/>
        </w:rPr>
        <w:tab/>
      </w:r>
      <w:r w:rsidRPr="005B2507">
        <w:rPr>
          <w:rFonts w:ascii="Verdana" w:hAnsi="Verdana"/>
          <w:i/>
          <w:iCs/>
          <w:sz w:val="16"/>
          <w:szCs w:val="16"/>
          <w:lang w:val="es-ES"/>
        </w:rPr>
        <w:t xml:space="preserve">Cfr. </w:t>
      </w:r>
      <w:r w:rsidRPr="005B2507">
        <w:rPr>
          <w:rFonts w:ascii="Verdana" w:hAnsi="Verdana"/>
          <w:sz w:val="16"/>
          <w:szCs w:val="16"/>
          <w:lang w:val="es-ES"/>
        </w:rPr>
        <w:t>Sentencia de la Sala 8 de la Excma. Cámara Federal de Apelaciones de Mendoza</w:t>
      </w:r>
      <w:r w:rsidR="00D800D4">
        <w:rPr>
          <w:rFonts w:ascii="Verdana" w:hAnsi="Verdana"/>
          <w:sz w:val="16"/>
          <w:szCs w:val="16"/>
          <w:lang w:val="es-ES"/>
        </w:rPr>
        <w:t xml:space="preserve"> de</w:t>
      </w:r>
      <w:r w:rsidRPr="005B2507">
        <w:rPr>
          <w:rFonts w:ascii="Verdana" w:hAnsi="Verdana"/>
          <w:sz w:val="16"/>
          <w:szCs w:val="16"/>
          <w:lang w:val="es-ES"/>
        </w:rPr>
        <w:t xml:space="preserve"> 30 de junio de 1995</w:t>
      </w:r>
      <w:r w:rsidRPr="005B2507">
        <w:rPr>
          <w:rFonts w:ascii="Verdana" w:hAnsi="Verdana"/>
          <w:b/>
          <w:bCs/>
          <w:sz w:val="16"/>
          <w:szCs w:val="16"/>
          <w:lang w:val="es-ES"/>
        </w:rPr>
        <w:t xml:space="preserve"> </w:t>
      </w:r>
      <w:r w:rsidRPr="005B2507">
        <w:rPr>
          <w:rFonts w:ascii="Verdana" w:hAnsi="Verdana"/>
          <w:sz w:val="16"/>
          <w:szCs w:val="16"/>
          <w:lang w:val="es-ES"/>
        </w:rPr>
        <w:t>(expediente de prueba, folio 104).</w:t>
      </w:r>
    </w:p>
  </w:footnote>
  <w:footnote w:id="49">
    <w:p w14:paraId="56361FF2" w14:textId="4E540BFA" w:rsidR="004F6879" w:rsidRPr="005B2507" w:rsidRDefault="004F6879" w:rsidP="005B2507">
      <w:pPr>
        <w:pStyle w:val="Textonotapie"/>
        <w:tabs>
          <w:tab w:val="left" w:pos="709"/>
        </w:tabs>
        <w:spacing w:before="120" w:after="120"/>
        <w:jc w:val="both"/>
        <w:rPr>
          <w:rFonts w:ascii="Verdana" w:hAnsi="Verdana"/>
          <w:sz w:val="16"/>
          <w:szCs w:val="16"/>
          <w:lang w:val="es-ES"/>
        </w:rPr>
      </w:pPr>
      <w:r w:rsidRPr="005B2507">
        <w:rPr>
          <w:rStyle w:val="Refdenotaalpie"/>
          <w:rFonts w:ascii="Verdana" w:hAnsi="Verdana"/>
          <w:sz w:val="16"/>
          <w:szCs w:val="16"/>
        </w:rPr>
        <w:footnoteRef/>
      </w:r>
      <w:r w:rsidRPr="005B2507">
        <w:rPr>
          <w:rFonts w:ascii="Verdana" w:hAnsi="Verdana"/>
          <w:sz w:val="16"/>
          <w:szCs w:val="16"/>
        </w:rPr>
        <w:t xml:space="preserve"> </w:t>
      </w:r>
      <w:r w:rsidRPr="005B2507">
        <w:rPr>
          <w:rFonts w:ascii="Verdana" w:hAnsi="Verdana"/>
          <w:sz w:val="16"/>
          <w:szCs w:val="16"/>
          <w:lang w:val="es-ES"/>
        </w:rPr>
        <w:tab/>
      </w:r>
      <w:r w:rsidRPr="005B2507">
        <w:rPr>
          <w:rFonts w:ascii="Verdana" w:hAnsi="Verdana"/>
          <w:i/>
          <w:iCs/>
          <w:sz w:val="16"/>
          <w:szCs w:val="16"/>
          <w:lang w:val="es-ES"/>
        </w:rPr>
        <w:t xml:space="preserve">Cfr. </w:t>
      </w:r>
      <w:r w:rsidRPr="005B2507">
        <w:rPr>
          <w:rFonts w:ascii="Verdana" w:hAnsi="Verdana"/>
          <w:sz w:val="16"/>
          <w:szCs w:val="16"/>
          <w:lang w:val="es-ES"/>
        </w:rPr>
        <w:t>Sentencia de la Sala 8 de la Excma. Cámara Federal de Apelaciones de Mendoza, con fecha del 30 de junio de 1995</w:t>
      </w:r>
      <w:r w:rsidRPr="005B2507">
        <w:rPr>
          <w:rFonts w:ascii="Verdana" w:hAnsi="Verdana"/>
          <w:b/>
          <w:bCs/>
          <w:sz w:val="16"/>
          <w:szCs w:val="16"/>
          <w:lang w:val="es-ES"/>
        </w:rPr>
        <w:t xml:space="preserve"> </w:t>
      </w:r>
      <w:r w:rsidRPr="005B2507">
        <w:rPr>
          <w:rFonts w:ascii="Verdana" w:hAnsi="Verdana"/>
          <w:sz w:val="16"/>
          <w:szCs w:val="16"/>
          <w:lang w:val="es-ES"/>
        </w:rPr>
        <w:t>(expediente de prueba, folios 104</w:t>
      </w:r>
      <w:r w:rsidR="00D800D4">
        <w:rPr>
          <w:rFonts w:ascii="Verdana" w:hAnsi="Verdana"/>
          <w:sz w:val="16"/>
          <w:szCs w:val="16"/>
          <w:lang w:val="es-ES"/>
        </w:rPr>
        <w:t xml:space="preserve"> a</w:t>
      </w:r>
      <w:r w:rsidRPr="005B2507">
        <w:rPr>
          <w:rFonts w:ascii="Verdana" w:hAnsi="Verdana"/>
          <w:sz w:val="16"/>
          <w:szCs w:val="16"/>
          <w:lang w:val="es-ES"/>
        </w:rPr>
        <w:t>112).</w:t>
      </w:r>
    </w:p>
  </w:footnote>
  <w:footnote w:id="50">
    <w:p w14:paraId="75745A3B" w14:textId="095C63BE" w:rsidR="004F6879" w:rsidRPr="005B2507" w:rsidRDefault="004F6879" w:rsidP="005B2507">
      <w:pPr>
        <w:pStyle w:val="Textonotapie"/>
        <w:tabs>
          <w:tab w:val="left" w:pos="709"/>
        </w:tabs>
        <w:spacing w:before="120" w:after="120"/>
        <w:jc w:val="both"/>
        <w:rPr>
          <w:rFonts w:ascii="Verdana" w:hAnsi="Verdana"/>
          <w:sz w:val="16"/>
          <w:szCs w:val="16"/>
        </w:rPr>
      </w:pPr>
      <w:r w:rsidRPr="005B2507">
        <w:rPr>
          <w:rStyle w:val="Refdenotaalpie"/>
          <w:rFonts w:ascii="Verdana" w:hAnsi="Verdana"/>
          <w:sz w:val="16"/>
          <w:szCs w:val="16"/>
        </w:rPr>
        <w:footnoteRef/>
      </w:r>
      <w:r w:rsidRPr="005B2507">
        <w:rPr>
          <w:rFonts w:ascii="Verdana" w:hAnsi="Verdana"/>
          <w:sz w:val="16"/>
          <w:szCs w:val="16"/>
        </w:rPr>
        <w:t xml:space="preserve"> </w:t>
      </w:r>
      <w:r w:rsidRPr="005B2507">
        <w:rPr>
          <w:rFonts w:ascii="Verdana" w:hAnsi="Verdana"/>
          <w:sz w:val="16"/>
          <w:szCs w:val="16"/>
        </w:rPr>
        <w:tab/>
      </w:r>
      <w:r w:rsidRPr="005B2507">
        <w:rPr>
          <w:rFonts w:ascii="Verdana" w:hAnsi="Verdana"/>
          <w:i/>
          <w:iCs/>
          <w:sz w:val="16"/>
          <w:szCs w:val="16"/>
        </w:rPr>
        <w:t xml:space="preserve">Cfr. </w:t>
      </w:r>
      <w:r w:rsidRPr="005B2507">
        <w:rPr>
          <w:rFonts w:ascii="Verdana" w:hAnsi="Verdana"/>
          <w:sz w:val="16"/>
          <w:szCs w:val="16"/>
        </w:rPr>
        <w:t xml:space="preserve">Recurso extraordinario </w:t>
      </w:r>
      <w:r w:rsidR="00A1575E">
        <w:rPr>
          <w:rFonts w:ascii="Verdana" w:hAnsi="Verdana"/>
          <w:sz w:val="16"/>
          <w:szCs w:val="16"/>
        </w:rPr>
        <w:t>de</w:t>
      </w:r>
      <w:r w:rsidRPr="005B2507">
        <w:rPr>
          <w:rFonts w:ascii="Verdana" w:hAnsi="Verdana"/>
          <w:sz w:val="16"/>
          <w:szCs w:val="16"/>
        </w:rPr>
        <w:t xml:space="preserve"> 7 de agosto de 1995 </w:t>
      </w:r>
      <w:r w:rsidRPr="005B2507">
        <w:rPr>
          <w:rFonts w:ascii="Verdana" w:hAnsi="Verdana"/>
          <w:sz w:val="16"/>
          <w:szCs w:val="16"/>
          <w:lang w:val="es-ES"/>
        </w:rPr>
        <w:t>(expediente de prueba, folio 2200).</w:t>
      </w:r>
    </w:p>
  </w:footnote>
  <w:footnote w:id="51">
    <w:p w14:paraId="0BB6890A" w14:textId="54D1F354" w:rsidR="004F6879" w:rsidRPr="005B2507" w:rsidRDefault="004F6879" w:rsidP="005B2507">
      <w:pPr>
        <w:pStyle w:val="Textonotapie"/>
        <w:tabs>
          <w:tab w:val="left" w:pos="709"/>
        </w:tabs>
        <w:spacing w:before="120" w:after="120"/>
        <w:jc w:val="both"/>
        <w:rPr>
          <w:rFonts w:ascii="Verdana" w:hAnsi="Verdana"/>
          <w:sz w:val="16"/>
          <w:szCs w:val="16"/>
        </w:rPr>
      </w:pPr>
      <w:r w:rsidRPr="005B2507">
        <w:rPr>
          <w:rStyle w:val="Refdenotaalpie"/>
          <w:rFonts w:ascii="Verdana" w:hAnsi="Verdana"/>
          <w:sz w:val="16"/>
          <w:szCs w:val="16"/>
        </w:rPr>
        <w:footnoteRef/>
      </w:r>
      <w:r w:rsidRPr="005B2507">
        <w:rPr>
          <w:rFonts w:ascii="Verdana" w:hAnsi="Verdana"/>
          <w:sz w:val="16"/>
          <w:szCs w:val="16"/>
        </w:rPr>
        <w:t xml:space="preserve"> </w:t>
      </w:r>
      <w:r w:rsidRPr="005B2507">
        <w:rPr>
          <w:rFonts w:ascii="Verdana" w:hAnsi="Verdana"/>
          <w:sz w:val="16"/>
          <w:szCs w:val="16"/>
        </w:rPr>
        <w:tab/>
      </w:r>
      <w:r w:rsidRPr="005B2507">
        <w:rPr>
          <w:rFonts w:ascii="Verdana" w:hAnsi="Verdana"/>
          <w:i/>
          <w:iCs/>
          <w:sz w:val="16"/>
          <w:szCs w:val="16"/>
        </w:rPr>
        <w:t xml:space="preserve">Cfr. </w:t>
      </w:r>
      <w:r w:rsidRPr="005B2507">
        <w:rPr>
          <w:rFonts w:ascii="Verdana" w:hAnsi="Verdana" w:cs="TimesNewRomanPSMT"/>
          <w:sz w:val="16"/>
          <w:szCs w:val="16"/>
          <w:lang w:val="es-ES"/>
        </w:rPr>
        <w:t xml:space="preserve">Contestación de agravios presentada por el </w:t>
      </w:r>
      <w:r w:rsidR="00A1575E">
        <w:rPr>
          <w:rFonts w:ascii="Verdana" w:hAnsi="Verdana" w:cs="TimesNewRomanPSMT"/>
          <w:sz w:val="16"/>
          <w:szCs w:val="16"/>
          <w:lang w:val="es-ES"/>
        </w:rPr>
        <w:t>Fiscal de Cámara</w:t>
      </w:r>
      <w:r w:rsidRPr="005B2507">
        <w:rPr>
          <w:rFonts w:ascii="Verdana" w:hAnsi="Verdana" w:cs="TimesNewRomanPSMT"/>
          <w:sz w:val="16"/>
          <w:szCs w:val="16"/>
          <w:lang w:val="es-ES"/>
        </w:rPr>
        <w:t xml:space="preserve"> (expediente de prueba, folio 1406).</w:t>
      </w:r>
    </w:p>
  </w:footnote>
  <w:footnote w:id="52">
    <w:p w14:paraId="74B404FE" w14:textId="77777777" w:rsidR="004F6879" w:rsidRPr="005B2507" w:rsidRDefault="004F6879" w:rsidP="005B2507">
      <w:pPr>
        <w:pStyle w:val="Textonotapie"/>
        <w:tabs>
          <w:tab w:val="left" w:pos="709"/>
        </w:tabs>
        <w:spacing w:before="120" w:after="120"/>
        <w:jc w:val="both"/>
        <w:rPr>
          <w:rFonts w:ascii="Verdana" w:hAnsi="Verdana"/>
          <w:sz w:val="16"/>
          <w:szCs w:val="16"/>
          <w:lang w:val="es-ES"/>
        </w:rPr>
      </w:pPr>
      <w:r w:rsidRPr="005B2507">
        <w:rPr>
          <w:rStyle w:val="Refdenotaalpie"/>
          <w:rFonts w:ascii="Verdana" w:hAnsi="Verdana"/>
          <w:sz w:val="16"/>
          <w:szCs w:val="16"/>
        </w:rPr>
        <w:footnoteRef/>
      </w:r>
      <w:r w:rsidRPr="005B2507">
        <w:rPr>
          <w:rFonts w:ascii="Verdana" w:hAnsi="Verdana"/>
          <w:sz w:val="16"/>
          <w:szCs w:val="16"/>
        </w:rPr>
        <w:t xml:space="preserve"> </w:t>
      </w:r>
      <w:r w:rsidRPr="005B2507">
        <w:rPr>
          <w:rFonts w:ascii="Verdana" w:hAnsi="Verdana"/>
          <w:sz w:val="16"/>
          <w:szCs w:val="16"/>
          <w:lang w:val="es-ES"/>
        </w:rPr>
        <w:tab/>
      </w:r>
      <w:r w:rsidRPr="005B2507">
        <w:rPr>
          <w:rFonts w:ascii="Verdana" w:hAnsi="Verdana"/>
          <w:i/>
          <w:iCs/>
          <w:sz w:val="16"/>
          <w:szCs w:val="16"/>
          <w:lang w:val="es-ES"/>
        </w:rPr>
        <w:t xml:space="preserve">Cfr. </w:t>
      </w:r>
      <w:r w:rsidRPr="005B2507">
        <w:rPr>
          <w:rFonts w:ascii="Verdana" w:hAnsi="Verdana"/>
          <w:sz w:val="16"/>
          <w:szCs w:val="16"/>
          <w:lang w:val="es-ES"/>
        </w:rPr>
        <w:t>Sentencia de la Cámara Federal de Apelaciones de 18 de octubre de 1995 (expediente de prueba, folio 2232).</w:t>
      </w:r>
    </w:p>
  </w:footnote>
  <w:footnote w:id="53">
    <w:p w14:paraId="3930859A" w14:textId="2A640CC0" w:rsidR="004F6879" w:rsidRPr="005B2507" w:rsidRDefault="004F6879" w:rsidP="005B2507">
      <w:pPr>
        <w:pStyle w:val="Textonotapie"/>
        <w:tabs>
          <w:tab w:val="left" w:pos="709"/>
        </w:tabs>
        <w:spacing w:before="120" w:after="120"/>
        <w:jc w:val="both"/>
        <w:rPr>
          <w:rFonts w:ascii="Verdana" w:hAnsi="Verdana"/>
          <w:sz w:val="16"/>
          <w:szCs w:val="16"/>
          <w:lang w:val="es-ES"/>
        </w:rPr>
      </w:pPr>
      <w:r w:rsidRPr="005B2507">
        <w:rPr>
          <w:rStyle w:val="Refdenotaalpie"/>
          <w:rFonts w:ascii="Verdana" w:hAnsi="Verdana"/>
          <w:sz w:val="16"/>
          <w:szCs w:val="16"/>
        </w:rPr>
        <w:footnoteRef/>
      </w:r>
      <w:r w:rsidRPr="005B2507">
        <w:rPr>
          <w:rFonts w:ascii="Verdana" w:hAnsi="Verdana"/>
          <w:sz w:val="16"/>
          <w:szCs w:val="16"/>
        </w:rPr>
        <w:t xml:space="preserve"> </w:t>
      </w:r>
      <w:r w:rsidRPr="005B2507">
        <w:rPr>
          <w:rFonts w:ascii="Verdana" w:hAnsi="Verdana"/>
          <w:sz w:val="16"/>
          <w:szCs w:val="16"/>
          <w:lang w:val="es-ES"/>
        </w:rPr>
        <w:tab/>
      </w:r>
      <w:r w:rsidRPr="005B2507">
        <w:rPr>
          <w:rFonts w:ascii="Verdana" w:hAnsi="Verdana"/>
          <w:i/>
          <w:iCs/>
          <w:sz w:val="16"/>
          <w:szCs w:val="16"/>
          <w:lang w:val="es-ES"/>
        </w:rPr>
        <w:t xml:space="preserve">Cfr. </w:t>
      </w:r>
      <w:r w:rsidRPr="005B2507">
        <w:rPr>
          <w:rFonts w:ascii="Verdana" w:hAnsi="Verdana"/>
          <w:sz w:val="16"/>
          <w:szCs w:val="16"/>
          <w:lang w:val="es-ES"/>
        </w:rPr>
        <w:t>Recurso de queja presentado ante la Corte Suprema de Justicia de 3 de noviembre de 1995 (expediente de prueba, folio 114).</w:t>
      </w:r>
    </w:p>
  </w:footnote>
  <w:footnote w:id="54">
    <w:p w14:paraId="15822C34" w14:textId="64506A96" w:rsidR="004F6879" w:rsidRPr="005B2507" w:rsidRDefault="004F6879" w:rsidP="005B2507">
      <w:pPr>
        <w:pStyle w:val="Textonotapie"/>
        <w:tabs>
          <w:tab w:val="left" w:pos="709"/>
        </w:tabs>
        <w:spacing w:before="120" w:after="120"/>
        <w:jc w:val="both"/>
        <w:rPr>
          <w:rFonts w:ascii="Verdana" w:hAnsi="Verdana"/>
          <w:sz w:val="16"/>
          <w:szCs w:val="16"/>
          <w:lang w:val="es-ES"/>
        </w:rPr>
      </w:pPr>
      <w:r w:rsidRPr="005B2507">
        <w:rPr>
          <w:rStyle w:val="Refdenotaalpie"/>
          <w:rFonts w:ascii="Verdana" w:hAnsi="Verdana"/>
          <w:sz w:val="16"/>
          <w:szCs w:val="16"/>
        </w:rPr>
        <w:footnoteRef/>
      </w:r>
      <w:r w:rsidRPr="005B2507">
        <w:rPr>
          <w:rFonts w:ascii="Verdana" w:hAnsi="Verdana"/>
          <w:sz w:val="16"/>
          <w:szCs w:val="16"/>
        </w:rPr>
        <w:t xml:space="preserve"> </w:t>
      </w:r>
      <w:r w:rsidRPr="005B2507">
        <w:rPr>
          <w:rFonts w:ascii="Verdana" w:hAnsi="Verdana"/>
          <w:sz w:val="16"/>
          <w:szCs w:val="16"/>
          <w:lang w:val="es-ES"/>
        </w:rPr>
        <w:tab/>
      </w:r>
      <w:r w:rsidRPr="005B2507">
        <w:rPr>
          <w:rFonts w:ascii="Verdana" w:hAnsi="Verdana"/>
          <w:i/>
          <w:iCs/>
          <w:sz w:val="16"/>
          <w:szCs w:val="16"/>
          <w:lang w:val="es-ES"/>
        </w:rPr>
        <w:t xml:space="preserve">Cfr. </w:t>
      </w:r>
      <w:r w:rsidRPr="005B2507">
        <w:rPr>
          <w:rFonts w:ascii="Verdana" w:hAnsi="Verdana"/>
          <w:sz w:val="16"/>
          <w:szCs w:val="16"/>
          <w:lang w:val="es-ES"/>
        </w:rPr>
        <w:t>Auto de la Corte Suprema de Justicia de la Nación</w:t>
      </w:r>
      <w:r w:rsidR="00203B58">
        <w:rPr>
          <w:rFonts w:ascii="Verdana" w:hAnsi="Verdana"/>
          <w:sz w:val="16"/>
          <w:szCs w:val="16"/>
          <w:lang w:val="es-ES"/>
        </w:rPr>
        <w:t xml:space="preserve"> </w:t>
      </w:r>
      <w:r w:rsidRPr="005B2507">
        <w:rPr>
          <w:rFonts w:ascii="Verdana" w:hAnsi="Verdana"/>
          <w:sz w:val="16"/>
          <w:szCs w:val="16"/>
          <w:lang w:val="es-ES"/>
        </w:rPr>
        <w:t>de 27 de febrero de 1996 (expediente de prueba, folio 126).</w:t>
      </w:r>
    </w:p>
  </w:footnote>
  <w:footnote w:id="55">
    <w:p w14:paraId="4DC35A35" w14:textId="5F7F505D" w:rsidR="00BE6D71" w:rsidRPr="005B2507" w:rsidRDefault="00BE6D71" w:rsidP="005B2507">
      <w:pPr>
        <w:pStyle w:val="Textonotapie"/>
        <w:tabs>
          <w:tab w:val="left" w:pos="709"/>
        </w:tabs>
        <w:spacing w:before="120" w:after="120"/>
        <w:jc w:val="both"/>
        <w:rPr>
          <w:rFonts w:ascii="Verdana" w:hAnsi="Verdana"/>
          <w:sz w:val="16"/>
          <w:szCs w:val="16"/>
        </w:rPr>
      </w:pPr>
      <w:r w:rsidRPr="005B2507">
        <w:rPr>
          <w:rStyle w:val="Refdenotaalpie"/>
          <w:rFonts w:ascii="Verdana" w:hAnsi="Verdana"/>
          <w:sz w:val="16"/>
          <w:szCs w:val="16"/>
        </w:rPr>
        <w:footnoteRef/>
      </w:r>
      <w:r w:rsidRPr="005B2507">
        <w:rPr>
          <w:rFonts w:ascii="Verdana" w:hAnsi="Verdana"/>
          <w:sz w:val="16"/>
          <w:szCs w:val="16"/>
        </w:rPr>
        <w:t xml:space="preserve">  </w:t>
      </w:r>
      <w:r w:rsidRPr="005B2507">
        <w:rPr>
          <w:rFonts w:ascii="Verdana" w:hAnsi="Verdana"/>
          <w:sz w:val="16"/>
          <w:szCs w:val="16"/>
        </w:rPr>
        <w:tab/>
      </w:r>
      <w:r w:rsidRPr="005B2507">
        <w:rPr>
          <w:rFonts w:ascii="Verdana" w:hAnsi="Verdana"/>
          <w:i/>
          <w:iCs/>
          <w:sz w:val="16"/>
          <w:szCs w:val="16"/>
        </w:rPr>
        <w:t>Cfr</w:t>
      </w:r>
      <w:r w:rsidRPr="005B2507">
        <w:rPr>
          <w:rFonts w:ascii="Verdana" w:hAnsi="Verdana"/>
          <w:sz w:val="16"/>
          <w:szCs w:val="16"/>
        </w:rPr>
        <w:t xml:space="preserve">. </w:t>
      </w:r>
      <w:r w:rsidR="007C7DBC" w:rsidRPr="005B2507">
        <w:rPr>
          <w:rFonts w:ascii="Verdana" w:hAnsi="Verdana"/>
          <w:sz w:val="16"/>
          <w:szCs w:val="16"/>
        </w:rPr>
        <w:t xml:space="preserve">Dirección de Información Migratoria, </w:t>
      </w:r>
      <w:r w:rsidRPr="005B2507">
        <w:rPr>
          <w:rFonts w:ascii="Verdana" w:hAnsi="Verdana"/>
          <w:sz w:val="16"/>
          <w:szCs w:val="16"/>
        </w:rPr>
        <w:t>Reporte del registro de movimientos migratorios de Raghda Habbal</w:t>
      </w:r>
      <w:r w:rsidR="007C7DBC">
        <w:rPr>
          <w:rFonts w:ascii="Verdana" w:hAnsi="Verdana"/>
          <w:sz w:val="16"/>
          <w:szCs w:val="16"/>
        </w:rPr>
        <w:t xml:space="preserve"> </w:t>
      </w:r>
      <w:r w:rsidRPr="005B2507">
        <w:rPr>
          <w:rFonts w:ascii="Verdana" w:hAnsi="Verdana"/>
          <w:sz w:val="16"/>
          <w:szCs w:val="16"/>
        </w:rPr>
        <w:t>de 20 de agosto de 1994 al 17 de marzo de 1996 (expediente de prueba, folio 1047)</w:t>
      </w:r>
      <w:r w:rsidR="00203B58">
        <w:rPr>
          <w:rFonts w:ascii="Verdana" w:hAnsi="Verdana"/>
          <w:sz w:val="16"/>
          <w:szCs w:val="16"/>
        </w:rPr>
        <w:t>.</w:t>
      </w:r>
      <w:r w:rsidRPr="005B2507">
        <w:rPr>
          <w:rFonts w:ascii="Verdana" w:hAnsi="Verdana"/>
          <w:sz w:val="16"/>
          <w:szCs w:val="16"/>
        </w:rPr>
        <w:t xml:space="preserve"> </w:t>
      </w:r>
    </w:p>
  </w:footnote>
  <w:footnote w:id="56">
    <w:p w14:paraId="769D4905" w14:textId="7B6FE344" w:rsidR="009743E3" w:rsidRPr="005B2507" w:rsidRDefault="009743E3" w:rsidP="009743E3">
      <w:pPr>
        <w:pStyle w:val="Textonotapie"/>
        <w:tabs>
          <w:tab w:val="left" w:pos="709"/>
        </w:tabs>
        <w:spacing w:before="120" w:after="120"/>
        <w:jc w:val="both"/>
        <w:rPr>
          <w:rFonts w:ascii="Verdana" w:hAnsi="Verdana"/>
          <w:sz w:val="16"/>
          <w:szCs w:val="16"/>
        </w:rPr>
      </w:pPr>
      <w:r w:rsidRPr="005B2507">
        <w:rPr>
          <w:rStyle w:val="Refdenotaalpie"/>
          <w:rFonts w:ascii="Verdana" w:hAnsi="Verdana"/>
          <w:sz w:val="16"/>
          <w:szCs w:val="16"/>
        </w:rPr>
        <w:footnoteRef/>
      </w:r>
      <w:r w:rsidRPr="005B2507">
        <w:rPr>
          <w:rFonts w:ascii="Verdana" w:hAnsi="Verdana"/>
          <w:sz w:val="16"/>
          <w:szCs w:val="16"/>
        </w:rPr>
        <w:t xml:space="preserve">  </w:t>
      </w:r>
      <w:r w:rsidRPr="005B2507">
        <w:rPr>
          <w:rFonts w:ascii="Verdana" w:hAnsi="Verdana"/>
          <w:sz w:val="16"/>
          <w:szCs w:val="16"/>
        </w:rPr>
        <w:tab/>
      </w:r>
      <w:r w:rsidRPr="005B2507">
        <w:rPr>
          <w:rFonts w:ascii="Verdana" w:hAnsi="Verdana"/>
          <w:i/>
          <w:iCs/>
          <w:sz w:val="16"/>
          <w:szCs w:val="16"/>
        </w:rPr>
        <w:t>Cfr</w:t>
      </w:r>
      <w:r w:rsidRPr="005B2507">
        <w:rPr>
          <w:rFonts w:ascii="Verdana" w:hAnsi="Verdana"/>
          <w:sz w:val="16"/>
          <w:szCs w:val="16"/>
        </w:rPr>
        <w:t xml:space="preserve">. </w:t>
      </w:r>
      <w:r w:rsidR="007C7DBC" w:rsidRPr="005B2507">
        <w:rPr>
          <w:rFonts w:ascii="Verdana" w:hAnsi="Verdana"/>
          <w:sz w:val="16"/>
          <w:szCs w:val="16"/>
        </w:rPr>
        <w:t xml:space="preserve">Dirección de Información Migratoria, </w:t>
      </w:r>
      <w:r w:rsidRPr="005B2507">
        <w:rPr>
          <w:rFonts w:ascii="Verdana" w:hAnsi="Verdana"/>
          <w:sz w:val="16"/>
          <w:szCs w:val="16"/>
        </w:rPr>
        <w:t xml:space="preserve">Reporte </w:t>
      </w:r>
      <w:r>
        <w:rPr>
          <w:rFonts w:ascii="Verdana" w:hAnsi="Verdana"/>
          <w:sz w:val="16"/>
          <w:szCs w:val="16"/>
        </w:rPr>
        <w:t>de antecedentes</w:t>
      </w:r>
      <w:r w:rsidRPr="005B2507">
        <w:rPr>
          <w:rFonts w:ascii="Verdana" w:hAnsi="Verdana"/>
          <w:sz w:val="16"/>
          <w:szCs w:val="16"/>
        </w:rPr>
        <w:t xml:space="preserve"> migratorios de Raghda Habbal </w:t>
      </w:r>
      <w:r w:rsidR="007C7DBC">
        <w:rPr>
          <w:rFonts w:ascii="Verdana" w:hAnsi="Verdana"/>
          <w:sz w:val="16"/>
          <w:szCs w:val="16"/>
        </w:rPr>
        <w:t>de</w:t>
      </w:r>
      <w:r w:rsidRPr="005B2507">
        <w:rPr>
          <w:rFonts w:ascii="Verdana" w:hAnsi="Verdana"/>
          <w:sz w:val="16"/>
          <w:szCs w:val="16"/>
        </w:rPr>
        <w:t xml:space="preserve"> </w:t>
      </w:r>
      <w:r w:rsidR="007C7DBC">
        <w:rPr>
          <w:rFonts w:ascii="Verdana" w:hAnsi="Verdana"/>
          <w:sz w:val="16"/>
          <w:szCs w:val="16"/>
        </w:rPr>
        <w:t xml:space="preserve">10 de marzo de 1987 </w:t>
      </w:r>
      <w:r w:rsidRPr="005B2507">
        <w:rPr>
          <w:rFonts w:ascii="Verdana" w:hAnsi="Verdana"/>
          <w:sz w:val="16"/>
          <w:szCs w:val="16"/>
        </w:rPr>
        <w:t>(expediente de prueba, folio 10</w:t>
      </w:r>
      <w:r w:rsidR="00393346">
        <w:rPr>
          <w:rFonts w:ascii="Verdana" w:hAnsi="Verdana"/>
          <w:sz w:val="16"/>
          <w:szCs w:val="16"/>
        </w:rPr>
        <w:t>59</w:t>
      </w:r>
      <w:r w:rsidRPr="005B2507">
        <w:rPr>
          <w:rFonts w:ascii="Verdana" w:hAnsi="Verdana"/>
          <w:sz w:val="16"/>
          <w:szCs w:val="16"/>
        </w:rPr>
        <w:t>)</w:t>
      </w:r>
      <w:r w:rsidR="007C7DBC">
        <w:rPr>
          <w:rFonts w:ascii="Verdana" w:hAnsi="Verdana"/>
          <w:sz w:val="16"/>
          <w:szCs w:val="16"/>
        </w:rPr>
        <w:t>.</w:t>
      </w:r>
    </w:p>
  </w:footnote>
  <w:footnote w:id="57">
    <w:p w14:paraId="5FA46DA8" w14:textId="297929FC" w:rsidR="00A031DA" w:rsidRPr="005B2507" w:rsidRDefault="00A031DA" w:rsidP="005B2507">
      <w:pPr>
        <w:pStyle w:val="Textonotapie"/>
        <w:tabs>
          <w:tab w:val="left" w:pos="709"/>
        </w:tabs>
        <w:spacing w:before="120" w:after="120"/>
        <w:jc w:val="both"/>
        <w:rPr>
          <w:rFonts w:ascii="Verdana" w:hAnsi="Verdana"/>
          <w:sz w:val="16"/>
          <w:szCs w:val="16"/>
        </w:rPr>
      </w:pPr>
      <w:r w:rsidRPr="005B2507">
        <w:rPr>
          <w:rStyle w:val="Refdenotaalpie"/>
          <w:rFonts w:ascii="Verdana" w:hAnsi="Verdana"/>
          <w:sz w:val="16"/>
          <w:szCs w:val="16"/>
        </w:rPr>
        <w:footnoteRef/>
      </w:r>
      <w:r w:rsidRPr="005B2507">
        <w:rPr>
          <w:rFonts w:ascii="Verdana" w:hAnsi="Verdana"/>
          <w:sz w:val="16"/>
          <w:szCs w:val="16"/>
        </w:rPr>
        <w:t xml:space="preserve"> </w:t>
      </w:r>
      <w:r w:rsidRPr="005B2507">
        <w:rPr>
          <w:rFonts w:ascii="Verdana" w:hAnsi="Verdana"/>
          <w:sz w:val="16"/>
          <w:szCs w:val="16"/>
        </w:rPr>
        <w:tab/>
      </w:r>
      <w:r w:rsidRPr="005B2507">
        <w:rPr>
          <w:rFonts w:ascii="Verdana" w:hAnsi="Verdana"/>
          <w:i/>
          <w:iCs/>
          <w:sz w:val="16"/>
          <w:szCs w:val="16"/>
          <w:lang w:val="es-ES"/>
        </w:rPr>
        <w:t xml:space="preserve">Cfr. </w:t>
      </w:r>
      <w:r w:rsidR="00407E53">
        <w:rPr>
          <w:rFonts w:ascii="Verdana" w:hAnsi="Verdana"/>
          <w:sz w:val="16"/>
          <w:szCs w:val="16"/>
          <w:lang w:val="es-ES"/>
        </w:rPr>
        <w:t>Resolución de</w:t>
      </w:r>
      <w:r w:rsidRPr="005B2507">
        <w:rPr>
          <w:rFonts w:ascii="Verdana" w:hAnsi="Verdana"/>
          <w:sz w:val="16"/>
          <w:szCs w:val="16"/>
          <w:lang w:val="es-ES"/>
        </w:rPr>
        <w:t xml:space="preserve"> 14 de abril de 1997 (expediente de prueba, folio 128)</w:t>
      </w:r>
      <w:r w:rsidR="00B647F2">
        <w:rPr>
          <w:rFonts w:ascii="Verdana" w:hAnsi="Verdana"/>
          <w:sz w:val="16"/>
          <w:szCs w:val="16"/>
          <w:lang w:val="es-ES"/>
        </w:rPr>
        <w:t>, y</w:t>
      </w:r>
      <w:r w:rsidR="00F12BEF">
        <w:rPr>
          <w:rFonts w:ascii="Verdana" w:hAnsi="Verdana"/>
          <w:sz w:val="16"/>
          <w:szCs w:val="16"/>
          <w:lang w:val="es-ES"/>
        </w:rPr>
        <w:t xml:space="preserve"> </w:t>
      </w:r>
      <w:r w:rsidR="00B647F2">
        <w:rPr>
          <w:rFonts w:ascii="Verdana" w:hAnsi="Verdana"/>
          <w:sz w:val="16"/>
          <w:szCs w:val="16"/>
          <w:lang w:val="es-ES"/>
        </w:rPr>
        <w:t>e</w:t>
      </w:r>
      <w:r w:rsidR="00280B38" w:rsidRPr="005B2507">
        <w:rPr>
          <w:rFonts w:ascii="Verdana" w:hAnsi="Verdana"/>
          <w:sz w:val="16"/>
          <w:szCs w:val="16"/>
          <w:lang w:val="es-ES"/>
        </w:rPr>
        <w:t>scrito de solicitudes, argumentos y pruebas (expediente de fondo, folio 156).</w:t>
      </w:r>
    </w:p>
  </w:footnote>
  <w:footnote w:id="58">
    <w:p w14:paraId="100FAA3C" w14:textId="721C5B95" w:rsidR="008D32F5" w:rsidRPr="005B2507" w:rsidRDefault="008D32F5" w:rsidP="005B2507">
      <w:pPr>
        <w:pStyle w:val="Textonotapie"/>
        <w:tabs>
          <w:tab w:val="left" w:pos="709"/>
        </w:tabs>
        <w:spacing w:before="120" w:after="120"/>
        <w:jc w:val="both"/>
        <w:rPr>
          <w:rFonts w:ascii="Verdana" w:hAnsi="Verdana"/>
          <w:sz w:val="16"/>
          <w:szCs w:val="16"/>
        </w:rPr>
      </w:pPr>
      <w:r w:rsidRPr="005B2507">
        <w:rPr>
          <w:rStyle w:val="Refdenotaalpie"/>
          <w:rFonts w:ascii="Verdana" w:hAnsi="Verdana"/>
          <w:sz w:val="16"/>
          <w:szCs w:val="16"/>
        </w:rPr>
        <w:footnoteRef/>
      </w:r>
      <w:r w:rsidRPr="005B2507">
        <w:rPr>
          <w:rFonts w:ascii="Verdana" w:hAnsi="Verdana"/>
          <w:sz w:val="16"/>
          <w:szCs w:val="16"/>
        </w:rPr>
        <w:t xml:space="preserve"> </w:t>
      </w:r>
      <w:r w:rsidRPr="005B2507">
        <w:rPr>
          <w:rFonts w:ascii="Verdana" w:hAnsi="Verdana"/>
          <w:sz w:val="16"/>
          <w:szCs w:val="16"/>
        </w:rPr>
        <w:tab/>
      </w:r>
      <w:r w:rsidRPr="005B2507">
        <w:rPr>
          <w:rFonts w:ascii="Verdana" w:hAnsi="Verdana"/>
          <w:i/>
          <w:iCs/>
          <w:sz w:val="16"/>
          <w:szCs w:val="16"/>
        </w:rPr>
        <w:t>Cfr</w:t>
      </w:r>
      <w:r w:rsidRPr="005B2507">
        <w:rPr>
          <w:rFonts w:ascii="Verdana" w:hAnsi="Verdana"/>
          <w:sz w:val="16"/>
          <w:szCs w:val="16"/>
        </w:rPr>
        <w:t xml:space="preserve">. </w:t>
      </w:r>
      <w:r w:rsidR="00407E53">
        <w:rPr>
          <w:rFonts w:ascii="Verdana" w:hAnsi="Verdana"/>
          <w:sz w:val="16"/>
          <w:szCs w:val="16"/>
        </w:rPr>
        <w:t>Resolución</w:t>
      </w:r>
      <w:r w:rsidRPr="005B2507">
        <w:rPr>
          <w:rFonts w:ascii="Verdana" w:hAnsi="Verdana"/>
          <w:sz w:val="16"/>
          <w:szCs w:val="16"/>
        </w:rPr>
        <w:t xml:space="preserve"> de </w:t>
      </w:r>
      <w:r w:rsidR="00E11232" w:rsidRPr="005B2507">
        <w:rPr>
          <w:rFonts w:ascii="Verdana" w:hAnsi="Verdana"/>
          <w:sz w:val="16"/>
          <w:szCs w:val="16"/>
        </w:rPr>
        <w:t>17 de noviembre de 1995 del Juzgado Federal No. 1 de Mendoza (expediente de prueba, folio 2300).</w:t>
      </w:r>
    </w:p>
  </w:footnote>
  <w:footnote w:id="59">
    <w:p w14:paraId="03B92E63" w14:textId="63DC3F0D" w:rsidR="00A81B64" w:rsidRPr="005B2507" w:rsidRDefault="00A81B64" w:rsidP="005B2507">
      <w:pPr>
        <w:pStyle w:val="Textonotapie"/>
        <w:tabs>
          <w:tab w:val="left" w:pos="709"/>
        </w:tabs>
        <w:spacing w:before="120" w:after="120"/>
        <w:jc w:val="both"/>
        <w:rPr>
          <w:rFonts w:ascii="Verdana" w:hAnsi="Verdana"/>
          <w:sz w:val="16"/>
          <w:szCs w:val="16"/>
        </w:rPr>
      </w:pPr>
      <w:r w:rsidRPr="005B2507">
        <w:rPr>
          <w:rStyle w:val="Refdenotaalpie"/>
          <w:rFonts w:ascii="Verdana" w:hAnsi="Verdana"/>
          <w:sz w:val="16"/>
          <w:szCs w:val="16"/>
        </w:rPr>
        <w:footnoteRef/>
      </w:r>
      <w:r w:rsidRPr="005B2507">
        <w:rPr>
          <w:rFonts w:ascii="Verdana" w:hAnsi="Verdana"/>
          <w:sz w:val="16"/>
          <w:szCs w:val="16"/>
        </w:rPr>
        <w:t xml:space="preserve"> </w:t>
      </w:r>
      <w:r w:rsidRPr="005B2507">
        <w:rPr>
          <w:rFonts w:ascii="Verdana" w:hAnsi="Verdana"/>
          <w:sz w:val="16"/>
          <w:szCs w:val="16"/>
        </w:rPr>
        <w:tab/>
      </w:r>
      <w:r w:rsidRPr="005B2507">
        <w:rPr>
          <w:rFonts w:ascii="Verdana" w:hAnsi="Verdana"/>
          <w:i/>
          <w:iCs/>
          <w:sz w:val="16"/>
          <w:szCs w:val="16"/>
        </w:rPr>
        <w:t>Cfr</w:t>
      </w:r>
      <w:r w:rsidRPr="005B2507">
        <w:rPr>
          <w:rFonts w:ascii="Verdana" w:hAnsi="Verdana"/>
          <w:sz w:val="16"/>
          <w:szCs w:val="16"/>
        </w:rPr>
        <w:t xml:space="preserve">. </w:t>
      </w:r>
      <w:r w:rsidR="00F12BEF">
        <w:rPr>
          <w:rFonts w:ascii="Verdana" w:hAnsi="Verdana"/>
          <w:sz w:val="16"/>
          <w:szCs w:val="16"/>
        </w:rPr>
        <w:t xml:space="preserve">Resolución </w:t>
      </w:r>
      <w:r w:rsidRPr="005B2507">
        <w:rPr>
          <w:rFonts w:ascii="Verdana" w:hAnsi="Verdana"/>
          <w:sz w:val="16"/>
          <w:szCs w:val="16"/>
        </w:rPr>
        <w:t>de 17 de noviembre de 1995 del Juzgado Federal No. 1 de Mendoza (expediente de prueba, folio 23</w:t>
      </w:r>
      <w:r w:rsidR="00A45AB0" w:rsidRPr="005B2507">
        <w:rPr>
          <w:rFonts w:ascii="Verdana" w:hAnsi="Verdana"/>
          <w:sz w:val="16"/>
          <w:szCs w:val="16"/>
        </w:rPr>
        <w:t>11</w:t>
      </w:r>
      <w:r w:rsidRPr="005B2507">
        <w:rPr>
          <w:rFonts w:ascii="Verdana" w:hAnsi="Verdana"/>
          <w:sz w:val="16"/>
          <w:szCs w:val="16"/>
        </w:rPr>
        <w:t>).</w:t>
      </w:r>
    </w:p>
  </w:footnote>
  <w:footnote w:id="60">
    <w:p w14:paraId="5D00FC3F" w14:textId="65669152" w:rsidR="00331EAD" w:rsidRPr="005B2507" w:rsidRDefault="00331EAD" w:rsidP="005B2507">
      <w:pPr>
        <w:pStyle w:val="Textonotapie"/>
        <w:tabs>
          <w:tab w:val="left" w:pos="709"/>
        </w:tabs>
        <w:spacing w:before="120" w:after="120"/>
        <w:jc w:val="both"/>
        <w:rPr>
          <w:rFonts w:ascii="Verdana" w:hAnsi="Verdana"/>
          <w:sz w:val="16"/>
          <w:szCs w:val="16"/>
          <w:lang w:val="es-ES"/>
        </w:rPr>
      </w:pPr>
      <w:r w:rsidRPr="005B2507">
        <w:rPr>
          <w:rStyle w:val="Refdenotaalpie"/>
          <w:rFonts w:ascii="Verdana" w:hAnsi="Verdana"/>
          <w:sz w:val="16"/>
          <w:szCs w:val="16"/>
        </w:rPr>
        <w:footnoteRef/>
      </w:r>
      <w:r w:rsidRPr="005B2507">
        <w:rPr>
          <w:rFonts w:ascii="Verdana" w:hAnsi="Verdana"/>
          <w:sz w:val="16"/>
          <w:szCs w:val="16"/>
        </w:rPr>
        <w:t xml:space="preserve"> </w:t>
      </w:r>
      <w:r w:rsidRPr="005B2507">
        <w:rPr>
          <w:rFonts w:ascii="Verdana" w:hAnsi="Verdana"/>
          <w:sz w:val="16"/>
          <w:szCs w:val="16"/>
          <w:lang w:val="es-ES"/>
        </w:rPr>
        <w:tab/>
      </w:r>
      <w:r w:rsidRPr="005B2507">
        <w:rPr>
          <w:rFonts w:ascii="Verdana" w:hAnsi="Verdana"/>
          <w:i/>
          <w:iCs/>
          <w:sz w:val="16"/>
          <w:szCs w:val="16"/>
          <w:lang w:val="es-ES"/>
        </w:rPr>
        <w:t xml:space="preserve">Cfr. </w:t>
      </w:r>
      <w:r w:rsidR="00F12BEF">
        <w:rPr>
          <w:rFonts w:ascii="Verdana" w:hAnsi="Verdana"/>
          <w:sz w:val="16"/>
          <w:szCs w:val="16"/>
        </w:rPr>
        <w:t xml:space="preserve">Resolución </w:t>
      </w:r>
      <w:r w:rsidRPr="005B2507">
        <w:rPr>
          <w:rFonts w:ascii="Verdana" w:hAnsi="Verdana"/>
          <w:sz w:val="16"/>
          <w:szCs w:val="16"/>
          <w:lang w:val="es-ES"/>
        </w:rPr>
        <w:t>de 14 de abril de 1997 (expediente de prueba, folio 12</w:t>
      </w:r>
      <w:r w:rsidR="000C1593" w:rsidRPr="005B2507">
        <w:rPr>
          <w:rFonts w:ascii="Verdana" w:hAnsi="Verdana"/>
          <w:sz w:val="16"/>
          <w:szCs w:val="16"/>
          <w:lang w:val="es-ES"/>
        </w:rPr>
        <w:t>8</w:t>
      </w:r>
      <w:r w:rsidRPr="005B2507">
        <w:rPr>
          <w:rFonts w:ascii="Verdana" w:hAnsi="Verdana"/>
          <w:sz w:val="16"/>
          <w:szCs w:val="16"/>
          <w:lang w:val="es-ES"/>
        </w:rPr>
        <w:t>).</w:t>
      </w:r>
    </w:p>
  </w:footnote>
  <w:footnote w:id="61">
    <w:p w14:paraId="3DE696C4" w14:textId="1341F7CD" w:rsidR="004F6879" w:rsidRPr="005B2507" w:rsidRDefault="004F6879" w:rsidP="005B2507">
      <w:pPr>
        <w:pStyle w:val="Textonotapie"/>
        <w:tabs>
          <w:tab w:val="left" w:pos="709"/>
        </w:tabs>
        <w:spacing w:before="120" w:after="120"/>
        <w:jc w:val="both"/>
        <w:rPr>
          <w:rFonts w:ascii="Verdana" w:hAnsi="Verdana"/>
          <w:sz w:val="16"/>
          <w:szCs w:val="16"/>
          <w:lang w:val="es-ES"/>
        </w:rPr>
      </w:pPr>
      <w:r w:rsidRPr="005B2507">
        <w:rPr>
          <w:rStyle w:val="Refdenotaalpie"/>
          <w:rFonts w:ascii="Verdana" w:hAnsi="Verdana"/>
          <w:sz w:val="16"/>
          <w:szCs w:val="16"/>
        </w:rPr>
        <w:footnoteRef/>
      </w:r>
      <w:r w:rsidRPr="005B2507">
        <w:rPr>
          <w:rFonts w:ascii="Verdana" w:hAnsi="Verdana"/>
          <w:sz w:val="16"/>
          <w:szCs w:val="16"/>
        </w:rPr>
        <w:t xml:space="preserve"> </w:t>
      </w:r>
      <w:r w:rsidRPr="005B2507">
        <w:rPr>
          <w:rFonts w:ascii="Verdana" w:hAnsi="Verdana"/>
          <w:sz w:val="16"/>
          <w:szCs w:val="16"/>
          <w:lang w:val="es-ES"/>
        </w:rPr>
        <w:tab/>
      </w:r>
      <w:r w:rsidRPr="005B2507">
        <w:rPr>
          <w:rFonts w:ascii="Verdana" w:hAnsi="Verdana"/>
          <w:i/>
          <w:iCs/>
          <w:sz w:val="16"/>
          <w:szCs w:val="16"/>
          <w:lang w:val="es-ES"/>
        </w:rPr>
        <w:t xml:space="preserve">Cfr. </w:t>
      </w:r>
      <w:r w:rsidR="00F12BEF">
        <w:rPr>
          <w:rFonts w:ascii="Verdana" w:hAnsi="Verdana"/>
          <w:sz w:val="16"/>
          <w:szCs w:val="16"/>
        </w:rPr>
        <w:t xml:space="preserve">Resolución </w:t>
      </w:r>
      <w:r w:rsidRPr="005B2507">
        <w:rPr>
          <w:rFonts w:ascii="Verdana" w:hAnsi="Verdana"/>
          <w:sz w:val="16"/>
          <w:szCs w:val="16"/>
          <w:lang w:val="es-ES"/>
        </w:rPr>
        <w:t>de 14 de abril de 1997 (expediente de prueba, folio 128).</w:t>
      </w:r>
    </w:p>
  </w:footnote>
  <w:footnote w:id="62">
    <w:p w14:paraId="5232A8CE" w14:textId="09B0EAEA" w:rsidR="004F6879" w:rsidRPr="005B2507" w:rsidRDefault="004F6879" w:rsidP="005B2507">
      <w:pPr>
        <w:pStyle w:val="Textonotapie"/>
        <w:tabs>
          <w:tab w:val="left" w:pos="709"/>
        </w:tabs>
        <w:spacing w:before="120" w:after="120"/>
        <w:jc w:val="both"/>
        <w:rPr>
          <w:rFonts w:ascii="Verdana" w:hAnsi="Verdana"/>
          <w:sz w:val="16"/>
          <w:szCs w:val="16"/>
        </w:rPr>
      </w:pPr>
      <w:r w:rsidRPr="005B2507">
        <w:rPr>
          <w:rStyle w:val="Refdenotaalpie"/>
          <w:rFonts w:ascii="Verdana" w:hAnsi="Verdana"/>
          <w:sz w:val="16"/>
          <w:szCs w:val="16"/>
        </w:rPr>
        <w:footnoteRef/>
      </w:r>
      <w:r w:rsidRPr="005B2507">
        <w:rPr>
          <w:rFonts w:ascii="Verdana" w:hAnsi="Verdana"/>
          <w:sz w:val="16"/>
          <w:szCs w:val="16"/>
        </w:rPr>
        <w:t xml:space="preserve"> </w:t>
      </w:r>
      <w:r w:rsidRPr="005B2507">
        <w:rPr>
          <w:rFonts w:ascii="Verdana" w:hAnsi="Verdana"/>
          <w:sz w:val="16"/>
          <w:szCs w:val="16"/>
        </w:rPr>
        <w:tab/>
      </w:r>
      <w:r w:rsidRPr="005B2507">
        <w:rPr>
          <w:rFonts w:ascii="Verdana" w:hAnsi="Verdana"/>
          <w:i/>
          <w:iCs/>
          <w:sz w:val="16"/>
          <w:szCs w:val="16"/>
        </w:rPr>
        <w:t xml:space="preserve">Cfr. </w:t>
      </w:r>
      <w:r w:rsidR="00F12BEF">
        <w:rPr>
          <w:rFonts w:ascii="Verdana" w:hAnsi="Verdana"/>
          <w:sz w:val="16"/>
          <w:szCs w:val="16"/>
        </w:rPr>
        <w:t xml:space="preserve">Resolución </w:t>
      </w:r>
      <w:r w:rsidRPr="005B2507">
        <w:rPr>
          <w:rFonts w:ascii="Verdana" w:hAnsi="Verdana"/>
          <w:sz w:val="16"/>
          <w:szCs w:val="16"/>
          <w:lang w:val="es-ES"/>
        </w:rPr>
        <w:t>del Juzgado Federal de la 1a Instancia No. 1</w:t>
      </w:r>
      <w:r w:rsidR="00D02C47">
        <w:rPr>
          <w:rFonts w:ascii="Verdana" w:hAnsi="Verdana"/>
          <w:sz w:val="16"/>
          <w:szCs w:val="16"/>
          <w:lang w:val="es-ES"/>
        </w:rPr>
        <w:t xml:space="preserve"> de</w:t>
      </w:r>
      <w:r w:rsidRPr="005B2507">
        <w:rPr>
          <w:rFonts w:ascii="Verdana" w:hAnsi="Verdana"/>
          <w:sz w:val="16"/>
          <w:szCs w:val="16"/>
          <w:lang w:val="es-ES"/>
        </w:rPr>
        <w:t xml:space="preserve"> 9 de septiembre de 2009 (expediente de prueba, folios 133 a 171).</w:t>
      </w:r>
    </w:p>
  </w:footnote>
  <w:footnote w:id="63">
    <w:p w14:paraId="7C82CB3D" w14:textId="7DD76F33" w:rsidR="004F6879" w:rsidRPr="005B2507" w:rsidRDefault="004F6879" w:rsidP="005B2507">
      <w:pPr>
        <w:pStyle w:val="Textonotapie"/>
        <w:tabs>
          <w:tab w:val="left" w:pos="709"/>
        </w:tabs>
        <w:spacing w:before="120" w:after="120"/>
        <w:jc w:val="both"/>
        <w:rPr>
          <w:rFonts w:ascii="Verdana" w:hAnsi="Verdana"/>
          <w:sz w:val="16"/>
          <w:szCs w:val="16"/>
        </w:rPr>
      </w:pPr>
      <w:r w:rsidRPr="005B2507">
        <w:rPr>
          <w:rStyle w:val="Refdenotaalpie"/>
          <w:rFonts w:ascii="Verdana" w:hAnsi="Verdana"/>
          <w:sz w:val="16"/>
          <w:szCs w:val="16"/>
        </w:rPr>
        <w:footnoteRef/>
      </w:r>
      <w:r w:rsidRPr="005B2507">
        <w:rPr>
          <w:rFonts w:ascii="Verdana" w:hAnsi="Verdana"/>
          <w:sz w:val="16"/>
          <w:szCs w:val="16"/>
        </w:rPr>
        <w:t xml:space="preserve"> </w:t>
      </w:r>
      <w:r w:rsidRPr="005B2507">
        <w:rPr>
          <w:rFonts w:ascii="Verdana" w:hAnsi="Verdana"/>
          <w:sz w:val="16"/>
          <w:szCs w:val="16"/>
        </w:rPr>
        <w:tab/>
      </w:r>
      <w:r w:rsidR="00246376" w:rsidRPr="0037717D">
        <w:rPr>
          <w:rFonts w:ascii="Verdana" w:hAnsi="Verdana"/>
          <w:i/>
          <w:iCs/>
          <w:sz w:val="16"/>
          <w:szCs w:val="16"/>
        </w:rPr>
        <w:t>Cfr</w:t>
      </w:r>
      <w:r w:rsidR="00246376">
        <w:rPr>
          <w:rFonts w:ascii="Verdana" w:hAnsi="Verdana"/>
          <w:sz w:val="16"/>
          <w:szCs w:val="16"/>
        </w:rPr>
        <w:t xml:space="preserve">. </w:t>
      </w:r>
      <w:r w:rsidR="00246376" w:rsidRPr="00246376">
        <w:rPr>
          <w:rFonts w:ascii="Verdana" w:hAnsi="Verdana"/>
          <w:sz w:val="16"/>
          <w:szCs w:val="16"/>
        </w:rPr>
        <w:t>Sala II de la Cámara Nacional de Apelaciones en lo Criminal y Correccional Federal</w:t>
      </w:r>
      <w:r w:rsidR="00246376">
        <w:rPr>
          <w:rFonts w:ascii="Verdana" w:hAnsi="Verdana"/>
          <w:sz w:val="16"/>
          <w:szCs w:val="16"/>
        </w:rPr>
        <w:t>, sentencia de 18 de mayo de 2010 (expediente de prueba, folios 1095 a 1157).</w:t>
      </w:r>
    </w:p>
  </w:footnote>
  <w:footnote w:id="64">
    <w:p w14:paraId="40BBCC49" w14:textId="34657675" w:rsidR="004F6879" w:rsidRPr="005B2507" w:rsidRDefault="004F6879" w:rsidP="005B2507">
      <w:pPr>
        <w:pStyle w:val="Textonotapie"/>
        <w:tabs>
          <w:tab w:val="left" w:pos="709"/>
        </w:tabs>
        <w:spacing w:before="120" w:after="120"/>
        <w:jc w:val="both"/>
        <w:rPr>
          <w:rFonts w:ascii="Verdana" w:hAnsi="Verdana"/>
          <w:sz w:val="16"/>
          <w:szCs w:val="16"/>
        </w:rPr>
      </w:pPr>
      <w:r w:rsidRPr="005B2507">
        <w:rPr>
          <w:rStyle w:val="Refdenotaalpie"/>
          <w:rFonts w:ascii="Verdana" w:hAnsi="Verdana"/>
          <w:sz w:val="16"/>
          <w:szCs w:val="16"/>
        </w:rPr>
        <w:footnoteRef/>
      </w:r>
      <w:r w:rsidRPr="005B2507">
        <w:rPr>
          <w:rFonts w:ascii="Verdana" w:hAnsi="Verdana"/>
          <w:sz w:val="16"/>
          <w:szCs w:val="16"/>
        </w:rPr>
        <w:t xml:space="preserve"> </w:t>
      </w:r>
      <w:r w:rsidRPr="005B2507">
        <w:rPr>
          <w:rFonts w:ascii="Verdana" w:hAnsi="Verdana"/>
          <w:sz w:val="16"/>
          <w:szCs w:val="16"/>
        </w:rPr>
        <w:tab/>
      </w:r>
      <w:r w:rsidRPr="005B2507">
        <w:rPr>
          <w:rFonts w:ascii="Verdana" w:hAnsi="Verdana"/>
          <w:i/>
          <w:iCs/>
          <w:sz w:val="16"/>
          <w:szCs w:val="16"/>
        </w:rPr>
        <w:t xml:space="preserve">Cfr. </w:t>
      </w:r>
      <w:r w:rsidR="00246376" w:rsidRPr="00246376">
        <w:rPr>
          <w:rFonts w:ascii="Verdana" w:hAnsi="Verdana"/>
          <w:sz w:val="16"/>
          <w:szCs w:val="16"/>
        </w:rPr>
        <w:t>Sala II de la Cámara Nacional de Apelaciones en lo Criminal y Correccional Federal</w:t>
      </w:r>
      <w:r w:rsidR="00246376">
        <w:rPr>
          <w:rFonts w:ascii="Verdana" w:hAnsi="Verdana"/>
          <w:sz w:val="16"/>
          <w:szCs w:val="16"/>
          <w:lang w:val="es-ES"/>
        </w:rPr>
        <w:t xml:space="preserve">, resolución </w:t>
      </w:r>
      <w:r w:rsidRPr="005B2507">
        <w:rPr>
          <w:rFonts w:ascii="Verdana" w:hAnsi="Verdana"/>
          <w:sz w:val="16"/>
          <w:szCs w:val="16"/>
          <w:lang w:val="es-ES"/>
        </w:rPr>
        <w:t>de 31 de mayo de 2011 (expediente de prueba, folio 173).</w:t>
      </w:r>
    </w:p>
  </w:footnote>
  <w:footnote w:id="65">
    <w:p w14:paraId="0F9D764C" w14:textId="337E2E5C" w:rsidR="005F16DB" w:rsidRPr="00CC6CE5" w:rsidRDefault="005F16DB" w:rsidP="005B2507">
      <w:pPr>
        <w:pStyle w:val="Textonotapie"/>
        <w:tabs>
          <w:tab w:val="left" w:pos="709"/>
        </w:tabs>
        <w:spacing w:before="120" w:after="120"/>
        <w:jc w:val="both"/>
        <w:rPr>
          <w:rFonts w:ascii="Verdana" w:hAnsi="Verdana"/>
          <w:sz w:val="16"/>
          <w:szCs w:val="16"/>
          <w:lang w:val="es-ES"/>
        </w:rPr>
      </w:pPr>
      <w:r w:rsidRPr="00CC6CE5">
        <w:rPr>
          <w:rStyle w:val="Refdenotaalpie"/>
          <w:rFonts w:ascii="Verdana" w:hAnsi="Verdana"/>
          <w:sz w:val="16"/>
          <w:szCs w:val="16"/>
        </w:rPr>
        <w:footnoteRef/>
      </w:r>
      <w:r w:rsidRPr="00CC6CE5">
        <w:rPr>
          <w:rFonts w:ascii="Verdana" w:hAnsi="Verdana"/>
          <w:sz w:val="16"/>
          <w:szCs w:val="16"/>
        </w:rPr>
        <w:t xml:space="preserve"> </w:t>
      </w:r>
      <w:r w:rsidRPr="00CC6CE5">
        <w:rPr>
          <w:rFonts w:ascii="Verdana" w:hAnsi="Verdana"/>
          <w:sz w:val="16"/>
          <w:szCs w:val="16"/>
          <w:lang w:val="es-ES"/>
        </w:rPr>
        <w:tab/>
      </w:r>
      <w:r w:rsidRPr="00CC6CE5">
        <w:rPr>
          <w:rFonts w:ascii="Verdana" w:hAnsi="Verdana"/>
          <w:i/>
          <w:iCs/>
          <w:sz w:val="16"/>
          <w:szCs w:val="16"/>
          <w:lang w:val="es-ES"/>
        </w:rPr>
        <w:t xml:space="preserve">Cfr. </w:t>
      </w:r>
      <w:r w:rsidR="00CC6CE5" w:rsidRPr="0037717D">
        <w:rPr>
          <w:rFonts w:ascii="Verdana" w:hAnsi="Verdana"/>
          <w:sz w:val="16"/>
          <w:szCs w:val="16"/>
        </w:rPr>
        <w:t xml:space="preserve">Dirección Nacional de Migraciones, </w:t>
      </w:r>
      <w:r w:rsidRPr="00CC6CE5">
        <w:rPr>
          <w:rFonts w:ascii="Verdana" w:hAnsi="Verdana"/>
          <w:sz w:val="16"/>
          <w:szCs w:val="16"/>
          <w:lang w:val="es-ES"/>
        </w:rPr>
        <w:t>Disposición DI-2020-2347-APN-DNM</w:t>
      </w:r>
      <w:r w:rsidRPr="00CC6CE5">
        <w:rPr>
          <w:rFonts w:ascii="Verdana" w:hAnsi="Verdana"/>
          <w:sz w:val="16"/>
          <w:szCs w:val="16"/>
        </w:rPr>
        <w:t>#</w:t>
      </w:r>
      <w:r w:rsidRPr="00CC6CE5">
        <w:rPr>
          <w:rFonts w:ascii="Verdana" w:hAnsi="Verdana"/>
          <w:sz w:val="16"/>
          <w:szCs w:val="16"/>
          <w:lang w:val="es-ES"/>
        </w:rPr>
        <w:t>MI de 1 de junio de 2020 que revoca la resolución No. 1088 (expediente de prueba, folios 1578 a 1581).</w:t>
      </w:r>
    </w:p>
  </w:footnote>
  <w:footnote w:id="66">
    <w:p w14:paraId="6232308C" w14:textId="7BD34B87" w:rsidR="00E03054" w:rsidRPr="006D6878" w:rsidRDefault="00E03054" w:rsidP="0037717D">
      <w:pPr>
        <w:pStyle w:val="Footnotes"/>
      </w:pPr>
      <w:r>
        <w:rPr>
          <w:rStyle w:val="Refdenotaalpie"/>
        </w:rPr>
        <w:footnoteRef/>
      </w:r>
      <w:r>
        <w:t xml:space="preserve"> </w:t>
      </w:r>
      <w:r w:rsidR="002B4543">
        <w:t xml:space="preserve"> </w:t>
      </w:r>
      <w:r w:rsidR="002B4543">
        <w:tab/>
      </w:r>
      <w:r w:rsidR="006D6878">
        <w:tab/>
      </w:r>
      <w:r w:rsidR="002B4543" w:rsidRPr="0037717D">
        <w:rPr>
          <w:rFonts w:cs="Times New Roman"/>
          <w:iCs w:val="0"/>
          <w:spacing w:val="0"/>
          <w:lang w:bidi="ar-SA"/>
        </w:rPr>
        <w:t>Constitución de la Nación Argentina de 1 de mayo de 1853, artículo 20.</w:t>
      </w:r>
    </w:p>
  </w:footnote>
  <w:footnote w:id="67">
    <w:p w14:paraId="58A4EB3D" w14:textId="3605F79C" w:rsidR="00E03054" w:rsidRDefault="00E03054" w:rsidP="0037717D">
      <w:pPr>
        <w:pStyle w:val="Footnotes"/>
      </w:pPr>
      <w:r>
        <w:rPr>
          <w:rStyle w:val="Refdenotaalpie"/>
        </w:rPr>
        <w:footnoteRef/>
      </w:r>
      <w:r w:rsidR="006D6878">
        <w:t xml:space="preserve">  </w:t>
      </w:r>
      <w:r w:rsidR="006D6878">
        <w:tab/>
      </w:r>
      <w:r w:rsidR="005548B3">
        <w:tab/>
      </w:r>
      <w:r w:rsidR="006D6878" w:rsidRPr="0037717D">
        <w:rPr>
          <w:rFonts w:cs="Times New Roman"/>
          <w:iCs w:val="0"/>
          <w:spacing w:val="0"/>
          <w:lang w:bidi="ar-SA"/>
        </w:rPr>
        <w:t xml:space="preserve">Reglamento de la Ley No. 23.059 Decreto Reglamentario 3213 de 1984, artículo </w:t>
      </w:r>
      <w:r w:rsidR="005548B3">
        <w:rPr>
          <w:rFonts w:cs="Times New Roman"/>
          <w:iCs w:val="0"/>
          <w:spacing w:val="0"/>
          <w:lang w:bidi="ar-SA"/>
        </w:rPr>
        <w:t>3</w:t>
      </w:r>
      <w:r w:rsidR="006D6878" w:rsidRPr="0037717D">
        <w:rPr>
          <w:rFonts w:cs="Times New Roman"/>
          <w:iCs w:val="0"/>
          <w:spacing w:val="0"/>
          <w:lang w:bidi="ar-SA"/>
        </w:rPr>
        <w:t>.</w:t>
      </w:r>
    </w:p>
  </w:footnote>
  <w:footnote w:id="68">
    <w:p w14:paraId="3626587D" w14:textId="3D5B31A7" w:rsidR="005548B3" w:rsidRPr="0037717D" w:rsidRDefault="005548B3">
      <w:pPr>
        <w:pStyle w:val="Textonotapie"/>
        <w:rPr>
          <w:rFonts w:ascii="Verdana" w:hAnsi="Verdana"/>
          <w:sz w:val="16"/>
          <w:szCs w:val="16"/>
        </w:rPr>
      </w:pPr>
      <w:r w:rsidRPr="0037717D">
        <w:rPr>
          <w:rStyle w:val="Refdenotaalpie"/>
          <w:rFonts w:ascii="Verdana" w:hAnsi="Verdana"/>
          <w:sz w:val="16"/>
          <w:szCs w:val="16"/>
        </w:rPr>
        <w:footnoteRef/>
      </w:r>
      <w:r w:rsidRPr="0037717D">
        <w:rPr>
          <w:rFonts w:ascii="Verdana" w:hAnsi="Verdana"/>
          <w:sz w:val="16"/>
          <w:szCs w:val="16"/>
        </w:rPr>
        <w:t xml:space="preserve">  </w:t>
      </w:r>
      <w:r w:rsidRPr="0037717D">
        <w:rPr>
          <w:rFonts w:ascii="Verdana" w:hAnsi="Verdana"/>
          <w:sz w:val="16"/>
          <w:szCs w:val="16"/>
        </w:rPr>
        <w:tab/>
        <w:t>Decreto Reglamentario 3213 de 1984,</w:t>
      </w:r>
      <w:r w:rsidRPr="0037717D">
        <w:rPr>
          <w:rFonts w:ascii="Verdana" w:hAnsi="Verdana"/>
          <w:i/>
          <w:iCs/>
          <w:sz w:val="16"/>
          <w:szCs w:val="16"/>
        </w:rPr>
        <w:t xml:space="preserve"> supra</w:t>
      </w:r>
      <w:r w:rsidRPr="0037717D">
        <w:rPr>
          <w:rFonts w:ascii="Verdana" w:hAnsi="Verdana"/>
          <w:sz w:val="16"/>
          <w:szCs w:val="16"/>
        </w:rPr>
        <w:t>, artículo 5.</w:t>
      </w:r>
    </w:p>
  </w:footnote>
  <w:footnote w:id="69">
    <w:p w14:paraId="72825C48" w14:textId="0D7981FC" w:rsidR="00037164" w:rsidRPr="0037717D" w:rsidRDefault="00037164">
      <w:pPr>
        <w:pStyle w:val="Textonotapie"/>
        <w:rPr>
          <w:rFonts w:ascii="Verdana" w:hAnsi="Verdana"/>
          <w:sz w:val="16"/>
          <w:szCs w:val="16"/>
        </w:rPr>
      </w:pPr>
      <w:r w:rsidRPr="0037717D">
        <w:rPr>
          <w:rStyle w:val="Refdenotaalpie"/>
          <w:rFonts w:ascii="Verdana" w:hAnsi="Verdana"/>
          <w:sz w:val="16"/>
          <w:szCs w:val="16"/>
        </w:rPr>
        <w:footnoteRef/>
      </w:r>
      <w:r w:rsidRPr="0037717D">
        <w:rPr>
          <w:rFonts w:ascii="Verdana" w:hAnsi="Verdana"/>
          <w:sz w:val="16"/>
          <w:szCs w:val="16"/>
        </w:rPr>
        <w:t xml:space="preserve">  </w:t>
      </w:r>
      <w:r w:rsidRPr="0037717D">
        <w:rPr>
          <w:rFonts w:ascii="Verdana" w:hAnsi="Verdana"/>
          <w:sz w:val="16"/>
          <w:szCs w:val="16"/>
        </w:rPr>
        <w:tab/>
      </w:r>
      <w:r w:rsidR="003F7EEB" w:rsidRPr="003F7EEB">
        <w:rPr>
          <w:rFonts w:ascii="Verdana" w:hAnsi="Verdana"/>
          <w:sz w:val="16"/>
          <w:szCs w:val="16"/>
        </w:rPr>
        <w:t xml:space="preserve">Ley 21.610 </w:t>
      </w:r>
      <w:r w:rsidR="003F7EEB">
        <w:rPr>
          <w:rFonts w:ascii="Verdana" w:hAnsi="Verdana"/>
          <w:sz w:val="16"/>
          <w:szCs w:val="16"/>
        </w:rPr>
        <w:t>de</w:t>
      </w:r>
      <w:r w:rsidRPr="0037717D">
        <w:rPr>
          <w:rFonts w:ascii="Verdana" w:hAnsi="Verdana"/>
          <w:sz w:val="16"/>
          <w:szCs w:val="16"/>
        </w:rPr>
        <w:t xml:space="preserve"> 5 de agosto de 1977</w:t>
      </w:r>
      <w:r w:rsidR="002845D8">
        <w:rPr>
          <w:rFonts w:ascii="Verdana" w:hAnsi="Verdana"/>
          <w:sz w:val="16"/>
          <w:szCs w:val="16"/>
        </w:rPr>
        <w:t>, artículo 1.3.</w:t>
      </w:r>
    </w:p>
  </w:footnote>
  <w:footnote w:id="70">
    <w:p w14:paraId="3BE3E2A4" w14:textId="5397A7FE" w:rsidR="005548B3" w:rsidRPr="0037717D" w:rsidRDefault="005548B3">
      <w:pPr>
        <w:pStyle w:val="Textonotapie"/>
        <w:rPr>
          <w:rFonts w:ascii="Verdana" w:hAnsi="Verdana"/>
          <w:sz w:val="16"/>
          <w:szCs w:val="16"/>
        </w:rPr>
      </w:pPr>
      <w:r w:rsidRPr="0037717D">
        <w:rPr>
          <w:rStyle w:val="Refdenotaalpie"/>
          <w:rFonts w:ascii="Verdana" w:hAnsi="Verdana"/>
          <w:sz w:val="16"/>
          <w:szCs w:val="16"/>
        </w:rPr>
        <w:footnoteRef/>
      </w:r>
      <w:r w:rsidRPr="0037717D">
        <w:rPr>
          <w:rFonts w:ascii="Verdana" w:hAnsi="Verdana"/>
          <w:sz w:val="16"/>
          <w:szCs w:val="16"/>
        </w:rPr>
        <w:t xml:space="preserve">  </w:t>
      </w:r>
      <w:r w:rsidRPr="0037717D">
        <w:rPr>
          <w:rFonts w:ascii="Verdana" w:hAnsi="Verdana"/>
          <w:sz w:val="16"/>
          <w:szCs w:val="16"/>
        </w:rPr>
        <w:tab/>
        <w:t>Decreto Reglamentario 3213 de 1984,</w:t>
      </w:r>
      <w:r>
        <w:rPr>
          <w:rFonts w:ascii="Verdana" w:hAnsi="Verdana"/>
          <w:sz w:val="16"/>
          <w:szCs w:val="16"/>
        </w:rPr>
        <w:t xml:space="preserve"> </w:t>
      </w:r>
      <w:r w:rsidRPr="0037717D">
        <w:rPr>
          <w:rFonts w:ascii="Verdana" w:hAnsi="Verdana"/>
          <w:i/>
          <w:iCs/>
          <w:sz w:val="16"/>
          <w:szCs w:val="16"/>
        </w:rPr>
        <w:t>supra</w:t>
      </w:r>
      <w:r>
        <w:rPr>
          <w:rFonts w:ascii="Verdana" w:hAnsi="Verdana"/>
          <w:sz w:val="16"/>
          <w:szCs w:val="16"/>
        </w:rPr>
        <w:t>, artículos 15 y 18.</w:t>
      </w:r>
    </w:p>
  </w:footnote>
  <w:footnote w:id="71">
    <w:p w14:paraId="352E5CE6" w14:textId="011B51A1" w:rsidR="00904A44" w:rsidRPr="0037717D" w:rsidRDefault="00904A44">
      <w:pPr>
        <w:pStyle w:val="Textonotapie"/>
        <w:rPr>
          <w:rFonts w:ascii="Verdana" w:hAnsi="Verdana"/>
          <w:sz w:val="16"/>
          <w:szCs w:val="16"/>
        </w:rPr>
      </w:pPr>
      <w:r w:rsidRPr="0037717D">
        <w:rPr>
          <w:rFonts w:ascii="Verdana" w:hAnsi="Verdana"/>
          <w:sz w:val="16"/>
          <w:szCs w:val="16"/>
        </w:rPr>
        <w:footnoteRef/>
      </w:r>
      <w:r w:rsidRPr="0037717D">
        <w:rPr>
          <w:rFonts w:ascii="Verdana" w:hAnsi="Verdana"/>
          <w:sz w:val="16"/>
          <w:szCs w:val="16"/>
          <w:vertAlign w:val="superscript"/>
        </w:rPr>
        <w:t xml:space="preserve">  </w:t>
      </w:r>
      <w:r w:rsidRPr="0037717D">
        <w:rPr>
          <w:rFonts w:ascii="Verdana" w:hAnsi="Verdana"/>
          <w:sz w:val="16"/>
          <w:szCs w:val="16"/>
          <w:vertAlign w:val="superscript"/>
        </w:rPr>
        <w:tab/>
      </w:r>
      <w:r w:rsidRPr="0037717D">
        <w:rPr>
          <w:rFonts w:ascii="Verdana" w:hAnsi="Verdana"/>
          <w:sz w:val="16"/>
          <w:szCs w:val="16"/>
        </w:rPr>
        <w:t>Código Civil</w:t>
      </w:r>
      <w:r>
        <w:rPr>
          <w:rFonts w:ascii="Verdana" w:hAnsi="Verdana"/>
          <w:sz w:val="16"/>
          <w:szCs w:val="16"/>
        </w:rPr>
        <w:t xml:space="preserve"> argentino de </w:t>
      </w:r>
      <w:r w:rsidRPr="00904A44">
        <w:rPr>
          <w:rFonts w:ascii="Verdana" w:hAnsi="Verdana"/>
          <w:sz w:val="16"/>
          <w:szCs w:val="16"/>
        </w:rPr>
        <w:t>1 de enero de 1871</w:t>
      </w:r>
      <w:r>
        <w:rPr>
          <w:rFonts w:ascii="Verdana" w:hAnsi="Verdana"/>
          <w:sz w:val="16"/>
          <w:szCs w:val="16"/>
        </w:rPr>
        <w:t>, artículo 1101.</w:t>
      </w:r>
    </w:p>
  </w:footnote>
  <w:footnote w:id="72">
    <w:p w14:paraId="02CEB113" w14:textId="3F01EC1D" w:rsidR="004E5D8E" w:rsidRPr="005B2507" w:rsidRDefault="004E5D8E" w:rsidP="005B2507">
      <w:pPr>
        <w:tabs>
          <w:tab w:val="left" w:pos="709"/>
        </w:tabs>
        <w:spacing w:before="120" w:after="120"/>
        <w:jc w:val="both"/>
        <w:rPr>
          <w:rFonts w:ascii="Verdana" w:hAnsi="Verdana"/>
          <w:color w:val="000000" w:themeColor="text1"/>
          <w:sz w:val="16"/>
          <w:szCs w:val="16"/>
        </w:rPr>
      </w:pPr>
      <w:r w:rsidRPr="005B2507">
        <w:rPr>
          <w:rStyle w:val="Refdenotaalpie"/>
          <w:rFonts w:ascii="Verdana" w:hAnsi="Verdana"/>
          <w:color w:val="000000" w:themeColor="text1"/>
          <w:sz w:val="16"/>
          <w:szCs w:val="16"/>
        </w:rPr>
        <w:footnoteRef/>
      </w:r>
      <w:r w:rsidRPr="005B2507">
        <w:rPr>
          <w:rFonts w:ascii="Verdana" w:hAnsi="Verdana"/>
          <w:color w:val="000000" w:themeColor="text1"/>
          <w:sz w:val="16"/>
          <w:szCs w:val="16"/>
        </w:rPr>
        <w:t xml:space="preserve"> </w:t>
      </w:r>
      <w:r w:rsidRPr="005B2507">
        <w:rPr>
          <w:rFonts w:ascii="Verdana" w:hAnsi="Verdana"/>
          <w:color w:val="000000" w:themeColor="text1"/>
          <w:sz w:val="16"/>
          <w:szCs w:val="16"/>
          <w:lang w:val="es-ES"/>
        </w:rPr>
        <w:tab/>
      </w:r>
      <w:r w:rsidR="00ED388A" w:rsidRPr="005B2507">
        <w:rPr>
          <w:rFonts w:ascii="Verdana" w:hAnsi="Verdana"/>
          <w:i/>
          <w:iCs/>
          <w:color w:val="000000" w:themeColor="text1"/>
          <w:sz w:val="16"/>
          <w:szCs w:val="16"/>
          <w:lang w:val="es-ES"/>
        </w:rPr>
        <w:t xml:space="preserve">Cfr. </w:t>
      </w:r>
      <w:r w:rsidR="00050D5D" w:rsidRPr="005B2507">
        <w:rPr>
          <w:rFonts w:ascii="Verdana" w:hAnsi="Verdana" w:cs="Open Sans"/>
          <w:i/>
          <w:iCs/>
          <w:color w:val="000000" w:themeColor="text1"/>
          <w:sz w:val="16"/>
          <w:szCs w:val="16"/>
          <w:shd w:val="clear" w:color="auto" w:fill="FFFFFF"/>
        </w:rPr>
        <w:t>Condición jurídica y derechos de los migrantes indocumentados</w:t>
      </w:r>
      <w:r w:rsidR="00050D5D" w:rsidRPr="005B2507">
        <w:rPr>
          <w:rFonts w:ascii="Verdana" w:hAnsi="Verdana" w:cs="Open Sans"/>
          <w:color w:val="000000" w:themeColor="text1"/>
          <w:sz w:val="16"/>
          <w:szCs w:val="16"/>
          <w:shd w:val="clear" w:color="auto" w:fill="FFFFFF"/>
        </w:rPr>
        <w:t xml:space="preserve">. Opinión Consultiva OC-18/03 de 17 de septiembre de 2003. Serie A No. 18, párr. 164, y </w:t>
      </w:r>
      <w:r w:rsidR="00ED388A" w:rsidRPr="005B2507">
        <w:rPr>
          <w:rFonts w:ascii="Verdana" w:hAnsi="Verdana" w:cs="Open Sans"/>
          <w:i/>
          <w:iCs/>
          <w:color w:val="000000" w:themeColor="text1"/>
          <w:sz w:val="16"/>
          <w:szCs w:val="16"/>
          <w:shd w:val="clear" w:color="auto" w:fill="FFFFFF"/>
        </w:rPr>
        <w:t>Caso de Personas dominicanas y haitianas expulsadas Vs. República Dominicana. Excepciones Preliminares, Fondo, Reparaciones y Costas</w:t>
      </w:r>
      <w:r w:rsidR="00ED388A" w:rsidRPr="005B2507">
        <w:rPr>
          <w:rFonts w:ascii="Verdana" w:hAnsi="Verdana" w:cs="Open Sans"/>
          <w:color w:val="000000" w:themeColor="text1"/>
          <w:sz w:val="16"/>
          <w:szCs w:val="16"/>
          <w:shd w:val="clear" w:color="auto" w:fill="FFFFFF"/>
        </w:rPr>
        <w:t>. Sentencia de 28 de agosto de 2014. Serie C No. 282., párr. 350.</w:t>
      </w:r>
    </w:p>
  </w:footnote>
  <w:footnote w:id="73">
    <w:p w14:paraId="676C5E4E" w14:textId="6EABC1FD" w:rsidR="009B5E61" w:rsidRPr="005B2507" w:rsidRDefault="009B5E61" w:rsidP="005B2507">
      <w:pPr>
        <w:pStyle w:val="Textonotapie"/>
        <w:tabs>
          <w:tab w:val="left" w:pos="709"/>
        </w:tabs>
        <w:spacing w:before="120" w:after="120"/>
        <w:jc w:val="both"/>
        <w:rPr>
          <w:rFonts w:ascii="Verdana" w:hAnsi="Verdana"/>
          <w:sz w:val="16"/>
          <w:szCs w:val="16"/>
          <w:lang w:val="es-ES"/>
        </w:rPr>
      </w:pPr>
      <w:r w:rsidRPr="005B2507">
        <w:rPr>
          <w:rStyle w:val="Refdenotaalpie"/>
          <w:rFonts w:ascii="Verdana" w:hAnsi="Verdana"/>
          <w:sz w:val="16"/>
          <w:szCs w:val="16"/>
        </w:rPr>
        <w:footnoteRef/>
      </w:r>
      <w:r w:rsidRPr="005B2507">
        <w:rPr>
          <w:rFonts w:ascii="Verdana" w:hAnsi="Verdana"/>
          <w:sz w:val="16"/>
          <w:szCs w:val="16"/>
        </w:rPr>
        <w:t xml:space="preserve"> </w:t>
      </w:r>
      <w:r w:rsidRPr="005B2507">
        <w:rPr>
          <w:rFonts w:ascii="Verdana" w:hAnsi="Verdana"/>
          <w:sz w:val="16"/>
          <w:szCs w:val="16"/>
          <w:lang w:val="es-ES"/>
        </w:rPr>
        <w:tab/>
      </w:r>
      <w:r w:rsidR="00DE14B2" w:rsidRPr="005B2507">
        <w:rPr>
          <w:rFonts w:ascii="Verdana" w:hAnsi="Verdana"/>
          <w:i/>
          <w:iCs/>
          <w:color w:val="000000" w:themeColor="text1"/>
          <w:sz w:val="16"/>
          <w:szCs w:val="16"/>
          <w:lang w:val="es-ES"/>
        </w:rPr>
        <w:t xml:space="preserve">Cfr. </w:t>
      </w:r>
      <w:r w:rsidR="00DE14B2" w:rsidRPr="005B2507">
        <w:rPr>
          <w:rFonts w:ascii="Verdana" w:hAnsi="Verdana" w:cs="Open Sans"/>
          <w:color w:val="000000" w:themeColor="text1"/>
          <w:sz w:val="16"/>
          <w:szCs w:val="16"/>
          <w:shd w:val="clear" w:color="auto" w:fill="FFFFFF"/>
        </w:rPr>
        <w:t xml:space="preserve">Opinión Consultiva OC-18/03, </w:t>
      </w:r>
      <w:r w:rsidR="00DE14B2" w:rsidRPr="005B2507">
        <w:rPr>
          <w:rFonts w:ascii="Verdana" w:hAnsi="Verdana" w:cs="Open Sans"/>
          <w:i/>
          <w:iCs/>
          <w:color w:val="000000" w:themeColor="text1"/>
          <w:sz w:val="16"/>
          <w:szCs w:val="16"/>
          <w:shd w:val="clear" w:color="auto" w:fill="FFFFFF"/>
        </w:rPr>
        <w:t>supra</w:t>
      </w:r>
      <w:r w:rsidR="00DE14B2" w:rsidRPr="005B2507">
        <w:rPr>
          <w:rFonts w:ascii="Verdana" w:hAnsi="Verdana" w:cs="Open Sans"/>
          <w:color w:val="000000" w:themeColor="text1"/>
          <w:sz w:val="16"/>
          <w:szCs w:val="16"/>
          <w:shd w:val="clear" w:color="auto" w:fill="FFFFFF"/>
        </w:rPr>
        <w:t xml:space="preserve">, párr. 168, y </w:t>
      </w:r>
      <w:r w:rsidR="00DE14B2" w:rsidRPr="005B2507">
        <w:rPr>
          <w:rFonts w:ascii="Verdana" w:hAnsi="Verdana" w:cs="Open Sans"/>
          <w:i/>
          <w:iCs/>
          <w:color w:val="000000" w:themeColor="text1"/>
          <w:sz w:val="16"/>
          <w:szCs w:val="16"/>
          <w:shd w:val="clear" w:color="auto" w:fill="FFFFFF"/>
        </w:rPr>
        <w:t>Caso de Personas dominicanas y haitianas expulsadas Vs. República Dominicana</w:t>
      </w:r>
      <w:r w:rsidR="00DE14B2" w:rsidRPr="005B2507">
        <w:rPr>
          <w:rFonts w:ascii="Verdana" w:hAnsi="Verdana" w:cs="Open Sans"/>
          <w:color w:val="000000" w:themeColor="text1"/>
          <w:sz w:val="16"/>
          <w:szCs w:val="16"/>
          <w:shd w:val="clear" w:color="auto" w:fill="FFFFFF"/>
        </w:rPr>
        <w:t xml:space="preserve">, </w:t>
      </w:r>
      <w:r w:rsidR="00DE14B2" w:rsidRPr="005B2507">
        <w:rPr>
          <w:rFonts w:ascii="Verdana" w:hAnsi="Verdana" w:cs="Open Sans"/>
          <w:i/>
          <w:iCs/>
          <w:color w:val="000000" w:themeColor="text1"/>
          <w:sz w:val="16"/>
          <w:szCs w:val="16"/>
          <w:shd w:val="clear" w:color="auto" w:fill="FFFFFF"/>
        </w:rPr>
        <w:t>supra</w:t>
      </w:r>
      <w:r w:rsidR="00DE14B2" w:rsidRPr="005B2507">
        <w:rPr>
          <w:rFonts w:ascii="Verdana" w:hAnsi="Verdana" w:cs="Open Sans"/>
          <w:color w:val="000000" w:themeColor="text1"/>
          <w:sz w:val="16"/>
          <w:szCs w:val="16"/>
          <w:shd w:val="clear" w:color="auto" w:fill="FFFFFF"/>
        </w:rPr>
        <w:t>, párr. 350.</w:t>
      </w:r>
    </w:p>
  </w:footnote>
  <w:footnote w:id="74">
    <w:p w14:paraId="777B7338" w14:textId="456856A6" w:rsidR="005E20CD" w:rsidRPr="005B2507" w:rsidRDefault="005E20CD" w:rsidP="005B2507">
      <w:pPr>
        <w:pStyle w:val="Textonotapie"/>
        <w:tabs>
          <w:tab w:val="left" w:pos="709"/>
        </w:tabs>
        <w:spacing w:before="120" w:after="120"/>
        <w:jc w:val="both"/>
        <w:rPr>
          <w:rFonts w:ascii="Verdana" w:hAnsi="Verdana"/>
          <w:sz w:val="16"/>
          <w:szCs w:val="16"/>
          <w:lang w:val="es-ES"/>
        </w:rPr>
      </w:pPr>
      <w:r w:rsidRPr="005B2507">
        <w:rPr>
          <w:rStyle w:val="Refdenotaalpie"/>
          <w:rFonts w:ascii="Verdana" w:hAnsi="Verdana"/>
          <w:sz w:val="16"/>
          <w:szCs w:val="16"/>
        </w:rPr>
        <w:footnoteRef/>
      </w:r>
      <w:r w:rsidRPr="005B2507">
        <w:rPr>
          <w:rFonts w:ascii="Verdana" w:hAnsi="Verdana"/>
          <w:sz w:val="16"/>
          <w:szCs w:val="16"/>
        </w:rPr>
        <w:t xml:space="preserve"> </w:t>
      </w:r>
      <w:r w:rsidRPr="005B2507">
        <w:rPr>
          <w:rFonts w:ascii="Verdana" w:hAnsi="Verdana"/>
          <w:sz w:val="16"/>
          <w:szCs w:val="16"/>
          <w:lang w:val="es-ES"/>
        </w:rPr>
        <w:tab/>
      </w:r>
      <w:r w:rsidRPr="005B2507">
        <w:rPr>
          <w:rFonts w:ascii="Verdana" w:hAnsi="Verdana"/>
          <w:i/>
          <w:iCs/>
          <w:color w:val="000000" w:themeColor="text1"/>
          <w:sz w:val="16"/>
          <w:szCs w:val="16"/>
          <w:lang w:val="es-ES"/>
        </w:rPr>
        <w:t xml:space="preserve">Cfr. </w:t>
      </w:r>
      <w:r w:rsidRPr="005B2507">
        <w:rPr>
          <w:rFonts w:ascii="Verdana" w:hAnsi="Verdana" w:cs="Open Sans"/>
          <w:color w:val="000000" w:themeColor="text1"/>
          <w:sz w:val="16"/>
          <w:szCs w:val="16"/>
          <w:shd w:val="clear" w:color="auto" w:fill="FFFFFF"/>
        </w:rPr>
        <w:t xml:space="preserve">Opinión Consultiva OC-18/03, </w:t>
      </w:r>
      <w:r w:rsidRPr="005B2507">
        <w:rPr>
          <w:rFonts w:ascii="Verdana" w:hAnsi="Verdana" w:cs="Open Sans"/>
          <w:i/>
          <w:iCs/>
          <w:color w:val="000000" w:themeColor="text1"/>
          <w:sz w:val="16"/>
          <w:szCs w:val="16"/>
          <w:shd w:val="clear" w:color="auto" w:fill="FFFFFF"/>
        </w:rPr>
        <w:t>supra</w:t>
      </w:r>
      <w:r w:rsidRPr="005B2507">
        <w:rPr>
          <w:rFonts w:ascii="Verdana" w:hAnsi="Verdana" w:cs="Open Sans"/>
          <w:color w:val="000000" w:themeColor="text1"/>
          <w:sz w:val="16"/>
          <w:szCs w:val="16"/>
          <w:shd w:val="clear" w:color="auto" w:fill="FFFFFF"/>
        </w:rPr>
        <w:t xml:space="preserve">, párr. 163, y </w:t>
      </w:r>
      <w:r w:rsidRPr="005B2507">
        <w:rPr>
          <w:rFonts w:ascii="Verdana" w:hAnsi="Verdana" w:cs="Open Sans"/>
          <w:i/>
          <w:iCs/>
          <w:color w:val="000000" w:themeColor="text1"/>
          <w:sz w:val="16"/>
          <w:szCs w:val="16"/>
          <w:shd w:val="clear" w:color="auto" w:fill="FFFFFF"/>
        </w:rPr>
        <w:t>Caso de Personas dominicanas y haitianas expulsadas Vs. República Dominicana</w:t>
      </w:r>
      <w:r w:rsidRPr="005B2507">
        <w:rPr>
          <w:rFonts w:ascii="Verdana" w:hAnsi="Verdana" w:cs="Open Sans"/>
          <w:color w:val="000000" w:themeColor="text1"/>
          <w:sz w:val="16"/>
          <w:szCs w:val="16"/>
          <w:shd w:val="clear" w:color="auto" w:fill="FFFFFF"/>
        </w:rPr>
        <w:t xml:space="preserve">, </w:t>
      </w:r>
      <w:r w:rsidRPr="005B2507">
        <w:rPr>
          <w:rFonts w:ascii="Verdana" w:hAnsi="Verdana" w:cs="Open Sans"/>
          <w:i/>
          <w:iCs/>
          <w:color w:val="000000" w:themeColor="text1"/>
          <w:sz w:val="16"/>
          <w:szCs w:val="16"/>
          <w:shd w:val="clear" w:color="auto" w:fill="FFFFFF"/>
        </w:rPr>
        <w:t>supra</w:t>
      </w:r>
      <w:r w:rsidRPr="005B2507">
        <w:rPr>
          <w:rFonts w:ascii="Verdana" w:hAnsi="Verdana" w:cs="Open Sans"/>
          <w:color w:val="000000" w:themeColor="text1"/>
          <w:sz w:val="16"/>
          <w:szCs w:val="16"/>
          <w:shd w:val="clear" w:color="auto" w:fill="FFFFFF"/>
        </w:rPr>
        <w:t>, párr. 351.</w:t>
      </w:r>
    </w:p>
  </w:footnote>
  <w:footnote w:id="75">
    <w:p w14:paraId="4BCD18DF" w14:textId="59DDBB2A" w:rsidR="00A76BE1" w:rsidRPr="005B2507" w:rsidRDefault="00A76BE1" w:rsidP="005B2507">
      <w:pPr>
        <w:tabs>
          <w:tab w:val="left" w:pos="709"/>
        </w:tabs>
        <w:spacing w:before="120" w:after="120"/>
        <w:jc w:val="both"/>
        <w:rPr>
          <w:rFonts w:ascii="Verdana" w:hAnsi="Verdana"/>
          <w:color w:val="000000" w:themeColor="text1"/>
          <w:sz w:val="16"/>
          <w:szCs w:val="16"/>
        </w:rPr>
      </w:pPr>
      <w:r w:rsidRPr="005B2507">
        <w:rPr>
          <w:rStyle w:val="Refdenotaalpie"/>
          <w:rFonts w:ascii="Verdana" w:hAnsi="Verdana"/>
          <w:color w:val="000000" w:themeColor="text1"/>
          <w:sz w:val="16"/>
          <w:szCs w:val="16"/>
        </w:rPr>
        <w:footnoteRef/>
      </w:r>
      <w:r w:rsidRPr="005B2507">
        <w:rPr>
          <w:rFonts w:ascii="Verdana" w:hAnsi="Verdana"/>
          <w:color w:val="000000" w:themeColor="text1"/>
          <w:sz w:val="16"/>
          <w:szCs w:val="16"/>
          <w:lang w:val="es-ES"/>
        </w:rPr>
        <w:t xml:space="preserve"> </w:t>
      </w:r>
      <w:r w:rsidRPr="005B2507">
        <w:rPr>
          <w:rFonts w:ascii="Verdana" w:hAnsi="Verdana"/>
          <w:color w:val="000000" w:themeColor="text1"/>
          <w:sz w:val="16"/>
          <w:szCs w:val="16"/>
          <w:lang w:val="es-ES"/>
        </w:rPr>
        <w:tab/>
      </w:r>
      <w:r w:rsidRPr="005B2507">
        <w:rPr>
          <w:rFonts w:ascii="Verdana" w:hAnsi="Verdana"/>
          <w:i/>
          <w:iCs/>
          <w:color w:val="000000" w:themeColor="text1"/>
          <w:sz w:val="16"/>
          <w:szCs w:val="16"/>
          <w:lang w:val="es-ES"/>
        </w:rPr>
        <w:t xml:space="preserve">Cfr. </w:t>
      </w:r>
      <w:r w:rsidRPr="005B2507">
        <w:rPr>
          <w:rFonts w:ascii="Verdana" w:hAnsi="Verdana"/>
          <w:i/>
          <w:color w:val="000000" w:themeColor="text1"/>
          <w:sz w:val="16"/>
          <w:szCs w:val="16"/>
        </w:rPr>
        <w:t>Caso del Tribunal Constitucional Vs. Perú</w:t>
      </w:r>
      <w:r w:rsidRPr="005B2507">
        <w:rPr>
          <w:rFonts w:ascii="Verdana" w:hAnsi="Verdana"/>
          <w:color w:val="000000" w:themeColor="text1"/>
          <w:sz w:val="16"/>
          <w:szCs w:val="16"/>
        </w:rPr>
        <w:t>.</w:t>
      </w:r>
      <w:r w:rsidR="00226412" w:rsidRPr="005B2507">
        <w:rPr>
          <w:rFonts w:ascii="Verdana" w:hAnsi="Verdana"/>
          <w:color w:val="000000" w:themeColor="text1"/>
          <w:sz w:val="16"/>
          <w:szCs w:val="16"/>
        </w:rPr>
        <w:t xml:space="preserve"> </w:t>
      </w:r>
      <w:r w:rsidRPr="005B2507">
        <w:rPr>
          <w:rFonts w:ascii="Verdana" w:hAnsi="Verdana"/>
          <w:i/>
          <w:color w:val="000000" w:themeColor="text1"/>
          <w:sz w:val="16"/>
          <w:szCs w:val="16"/>
        </w:rPr>
        <w:t>Fondo, Reparaciones y Costas</w:t>
      </w:r>
      <w:r w:rsidRPr="005B2507">
        <w:rPr>
          <w:rFonts w:ascii="Verdana" w:hAnsi="Verdana"/>
          <w:color w:val="000000" w:themeColor="text1"/>
          <w:sz w:val="16"/>
          <w:szCs w:val="16"/>
        </w:rPr>
        <w:t>. Sentencia de 31 de enero de 2001. Serie C No. 71</w:t>
      </w:r>
      <w:r w:rsidRPr="005B2507">
        <w:rPr>
          <w:rFonts w:ascii="Verdana" w:hAnsi="Verdana"/>
          <w:color w:val="000000" w:themeColor="text1"/>
          <w:sz w:val="16"/>
          <w:szCs w:val="16"/>
          <w:lang w:val="es-CO"/>
        </w:rPr>
        <w:t xml:space="preserve">, párr. 69, y </w:t>
      </w:r>
      <w:r w:rsidR="00A66975" w:rsidRPr="0037717D">
        <w:rPr>
          <w:rFonts w:ascii="Verdana" w:hAnsi="Verdana"/>
          <w:i/>
          <w:iCs/>
          <w:color w:val="000000" w:themeColor="text1"/>
          <w:sz w:val="16"/>
          <w:szCs w:val="16"/>
          <w:lang w:val="es-CO"/>
        </w:rPr>
        <w:t>Caso Cuya Lavy y otros Vs. Perú. Excepciones preliminares, Fondo, Reparaciones y Costas</w:t>
      </w:r>
      <w:r w:rsidR="00A66975" w:rsidRPr="00A66975">
        <w:rPr>
          <w:rFonts w:ascii="Verdana" w:hAnsi="Verdana"/>
          <w:color w:val="000000" w:themeColor="text1"/>
          <w:sz w:val="16"/>
          <w:szCs w:val="16"/>
          <w:lang w:val="es-CO"/>
        </w:rPr>
        <w:t>. Sentencia de 28 de septiembre de 2021. Serie C No. 438</w:t>
      </w:r>
      <w:r w:rsidR="00A66975">
        <w:rPr>
          <w:rFonts w:ascii="Verdana" w:hAnsi="Verdana"/>
          <w:color w:val="000000" w:themeColor="text1"/>
          <w:sz w:val="16"/>
          <w:szCs w:val="16"/>
          <w:lang w:val="es-CO"/>
        </w:rPr>
        <w:t>, párr. 133</w:t>
      </w:r>
      <w:r w:rsidR="00226412" w:rsidRPr="005B2507">
        <w:rPr>
          <w:rFonts w:ascii="Verdana" w:hAnsi="Verdana" w:cs="Open Sans"/>
          <w:color w:val="000000" w:themeColor="text1"/>
          <w:sz w:val="16"/>
          <w:szCs w:val="16"/>
          <w:shd w:val="clear" w:color="auto" w:fill="FFFFFF"/>
        </w:rPr>
        <w:t>.</w:t>
      </w:r>
      <w:r w:rsidR="005C745B" w:rsidRPr="005B2507">
        <w:rPr>
          <w:rFonts w:ascii="Verdana" w:hAnsi="Verdana" w:cs="Arial"/>
          <w:i/>
          <w:color w:val="000000" w:themeColor="text1"/>
          <w:sz w:val="16"/>
          <w:szCs w:val="16"/>
        </w:rPr>
        <w:t xml:space="preserve"> </w:t>
      </w:r>
    </w:p>
  </w:footnote>
  <w:footnote w:id="76">
    <w:p w14:paraId="16400D7D" w14:textId="6ECB4089" w:rsidR="00A76BE1" w:rsidRPr="005B2507" w:rsidRDefault="00A76BE1" w:rsidP="005B2507">
      <w:pPr>
        <w:pStyle w:val="Textonotapie"/>
        <w:tabs>
          <w:tab w:val="left" w:pos="709"/>
        </w:tabs>
        <w:spacing w:before="120" w:after="120"/>
        <w:jc w:val="both"/>
        <w:rPr>
          <w:rFonts w:ascii="Verdana" w:hAnsi="Verdana"/>
          <w:sz w:val="16"/>
          <w:szCs w:val="16"/>
          <w:lang w:val="es-CO"/>
        </w:rPr>
      </w:pPr>
      <w:r w:rsidRPr="005B2507">
        <w:rPr>
          <w:rStyle w:val="Refdenotaalpie"/>
          <w:rFonts w:ascii="Verdana" w:hAnsi="Verdana"/>
          <w:sz w:val="16"/>
          <w:szCs w:val="16"/>
        </w:rPr>
        <w:footnoteRef/>
      </w:r>
      <w:r w:rsidRPr="005B2507">
        <w:rPr>
          <w:rFonts w:ascii="Verdana" w:hAnsi="Verdana"/>
          <w:sz w:val="16"/>
          <w:szCs w:val="16"/>
          <w:lang w:val="es-CO"/>
        </w:rPr>
        <w:t xml:space="preserve"> </w:t>
      </w:r>
      <w:r w:rsidRPr="005B2507">
        <w:rPr>
          <w:rFonts w:ascii="Verdana" w:hAnsi="Verdana"/>
          <w:sz w:val="16"/>
          <w:szCs w:val="16"/>
          <w:lang w:val="es-CO"/>
        </w:rPr>
        <w:tab/>
      </w:r>
      <w:r w:rsidRPr="005B2507">
        <w:rPr>
          <w:rFonts w:ascii="Verdana" w:hAnsi="Verdana"/>
          <w:i/>
          <w:sz w:val="16"/>
          <w:szCs w:val="16"/>
        </w:rPr>
        <w:t>Caso del Tribunal Constitucional Vs. Perú,</w:t>
      </w:r>
      <w:r w:rsidR="00675B4E">
        <w:rPr>
          <w:rFonts w:ascii="Verdana" w:hAnsi="Verdana"/>
          <w:i/>
          <w:sz w:val="16"/>
          <w:szCs w:val="16"/>
        </w:rPr>
        <w:t xml:space="preserve"> supra,</w:t>
      </w:r>
      <w:r w:rsidR="0020649E" w:rsidRPr="005B2507">
        <w:rPr>
          <w:rFonts w:ascii="Verdana" w:hAnsi="Verdana"/>
          <w:i/>
          <w:sz w:val="16"/>
          <w:szCs w:val="16"/>
        </w:rPr>
        <w:t xml:space="preserve"> </w:t>
      </w:r>
      <w:r w:rsidRPr="005B2507">
        <w:rPr>
          <w:rFonts w:ascii="Verdana" w:hAnsi="Verdana"/>
          <w:sz w:val="16"/>
          <w:szCs w:val="16"/>
          <w:lang w:val="es-CO"/>
        </w:rPr>
        <w:t xml:space="preserve">párr. 70, y </w:t>
      </w:r>
      <w:r w:rsidR="00A66975" w:rsidRPr="0037717D">
        <w:rPr>
          <w:rFonts w:ascii="Verdana" w:hAnsi="Verdana"/>
          <w:i/>
          <w:iCs/>
          <w:sz w:val="16"/>
          <w:szCs w:val="16"/>
          <w:lang w:val="es-CO"/>
        </w:rPr>
        <w:t>Caso Federación Nacional de Trabajadores Marítimos y Portuarios (FEMAPOR) Vs. Perú. Excepciones Preliminares, Fondo y Reparaciones</w:t>
      </w:r>
      <w:r w:rsidR="00A66975" w:rsidRPr="00A66975">
        <w:rPr>
          <w:rFonts w:ascii="Verdana" w:hAnsi="Verdana"/>
          <w:sz w:val="16"/>
          <w:szCs w:val="16"/>
          <w:lang w:val="es-CO"/>
        </w:rPr>
        <w:t>. Sentencia de 1 de febrero de 2022. Serie C No. 448</w:t>
      </w:r>
      <w:r w:rsidR="00645D60" w:rsidRPr="005B2507">
        <w:rPr>
          <w:rFonts w:ascii="Verdana" w:hAnsi="Verdana" w:cs="Open Sans"/>
          <w:color w:val="000000" w:themeColor="text1"/>
          <w:sz w:val="16"/>
          <w:szCs w:val="16"/>
          <w:shd w:val="clear" w:color="auto" w:fill="FFFFFF"/>
        </w:rPr>
        <w:t xml:space="preserve">, párr. </w:t>
      </w:r>
      <w:r w:rsidR="00A66975">
        <w:rPr>
          <w:rFonts w:ascii="Verdana" w:hAnsi="Verdana" w:cs="Open Sans"/>
          <w:color w:val="000000" w:themeColor="text1"/>
          <w:sz w:val="16"/>
          <w:szCs w:val="16"/>
          <w:shd w:val="clear" w:color="auto" w:fill="FFFFFF"/>
        </w:rPr>
        <w:t>80</w:t>
      </w:r>
      <w:r w:rsidR="00645D60" w:rsidRPr="005B2507">
        <w:rPr>
          <w:rFonts w:ascii="Verdana" w:hAnsi="Verdana" w:cs="Open Sans"/>
          <w:color w:val="000000" w:themeColor="text1"/>
          <w:sz w:val="16"/>
          <w:szCs w:val="16"/>
          <w:shd w:val="clear" w:color="auto" w:fill="FFFFFF"/>
        </w:rPr>
        <w:t>.</w:t>
      </w:r>
    </w:p>
  </w:footnote>
  <w:footnote w:id="77">
    <w:p w14:paraId="32522C28" w14:textId="64B9BBCE" w:rsidR="00A76BE1" w:rsidRPr="005B2507" w:rsidRDefault="00A76BE1" w:rsidP="005B2507">
      <w:pPr>
        <w:pStyle w:val="Textonotapie"/>
        <w:tabs>
          <w:tab w:val="left" w:pos="709"/>
        </w:tabs>
        <w:spacing w:before="120" w:after="120"/>
        <w:jc w:val="both"/>
        <w:rPr>
          <w:rFonts w:ascii="Verdana" w:hAnsi="Verdana"/>
          <w:sz w:val="16"/>
          <w:szCs w:val="16"/>
          <w:lang w:val="es-CO"/>
        </w:rPr>
      </w:pPr>
      <w:r w:rsidRPr="005B2507">
        <w:rPr>
          <w:rStyle w:val="Refdenotaalpie"/>
          <w:rFonts w:ascii="Verdana" w:hAnsi="Verdana"/>
          <w:sz w:val="16"/>
          <w:szCs w:val="16"/>
        </w:rPr>
        <w:footnoteRef/>
      </w:r>
      <w:r w:rsidRPr="005B2507">
        <w:rPr>
          <w:rFonts w:ascii="Verdana" w:hAnsi="Verdana"/>
          <w:sz w:val="16"/>
          <w:szCs w:val="16"/>
          <w:lang w:val="es-CO"/>
        </w:rPr>
        <w:t xml:space="preserve"> </w:t>
      </w:r>
      <w:r w:rsidRPr="005B2507">
        <w:rPr>
          <w:rFonts w:ascii="Verdana" w:hAnsi="Verdana"/>
          <w:sz w:val="16"/>
          <w:szCs w:val="16"/>
          <w:lang w:val="es-CO"/>
        </w:rPr>
        <w:tab/>
      </w:r>
      <w:r w:rsidRPr="005B2507">
        <w:rPr>
          <w:rFonts w:ascii="Verdana" w:hAnsi="Verdana"/>
          <w:i/>
          <w:sz w:val="16"/>
          <w:szCs w:val="16"/>
        </w:rPr>
        <w:t>Caso Baena Ricardo y otros Vs. Panamá</w:t>
      </w:r>
      <w:r w:rsidRPr="005B2507">
        <w:rPr>
          <w:rFonts w:ascii="Verdana" w:hAnsi="Verdana"/>
          <w:sz w:val="16"/>
          <w:szCs w:val="16"/>
        </w:rPr>
        <w:t>. </w:t>
      </w:r>
      <w:r w:rsidRPr="005B2507">
        <w:rPr>
          <w:rFonts w:ascii="Verdana" w:hAnsi="Verdana"/>
          <w:i/>
          <w:sz w:val="16"/>
          <w:szCs w:val="16"/>
        </w:rPr>
        <w:t>Fondo, Reparaciones y Costas.</w:t>
      </w:r>
      <w:r w:rsidRPr="005B2507">
        <w:rPr>
          <w:rFonts w:ascii="Verdana" w:hAnsi="Verdana"/>
          <w:sz w:val="16"/>
          <w:szCs w:val="16"/>
        </w:rPr>
        <w:t xml:space="preserve"> Sentencia de 2 de febrero de 2001. Serie C No. 72, párr. 124, </w:t>
      </w:r>
      <w:r w:rsidR="0020649E" w:rsidRPr="005B2507">
        <w:rPr>
          <w:rFonts w:ascii="Verdana" w:hAnsi="Verdana"/>
          <w:sz w:val="16"/>
          <w:szCs w:val="16"/>
          <w:lang w:val="es-CO"/>
        </w:rPr>
        <w:t>y</w:t>
      </w:r>
      <w:r w:rsidR="00675B4E" w:rsidRPr="00675B4E">
        <w:rPr>
          <w:rFonts w:ascii="Verdana" w:hAnsi="Verdana"/>
          <w:sz w:val="16"/>
          <w:szCs w:val="16"/>
          <w:lang w:val="es-CO"/>
        </w:rPr>
        <w:t xml:space="preserve"> </w:t>
      </w:r>
      <w:r w:rsidR="00675B4E" w:rsidRPr="0037717D">
        <w:rPr>
          <w:rFonts w:ascii="Verdana" w:hAnsi="Verdana"/>
          <w:i/>
          <w:iCs/>
          <w:sz w:val="16"/>
          <w:szCs w:val="16"/>
          <w:lang w:val="es-CO"/>
        </w:rPr>
        <w:t>Caso Extrabajadores del Organismo Judicial Vs. Guatemala. Excepciones Preliminares, Fondo y Reparaciones</w:t>
      </w:r>
      <w:r w:rsidR="00675B4E" w:rsidRPr="00675B4E">
        <w:rPr>
          <w:rFonts w:ascii="Verdana" w:hAnsi="Verdana"/>
          <w:sz w:val="16"/>
          <w:szCs w:val="16"/>
          <w:lang w:val="es-CO"/>
        </w:rPr>
        <w:t>. Sentencia de 17 de noviembre de 2021. Serie C No. 445</w:t>
      </w:r>
      <w:r w:rsidR="00675B4E">
        <w:rPr>
          <w:rFonts w:ascii="Verdana" w:hAnsi="Verdana"/>
          <w:sz w:val="16"/>
          <w:szCs w:val="16"/>
          <w:lang w:val="es-CO"/>
        </w:rPr>
        <w:t>, párr. 63.</w:t>
      </w:r>
      <w:r w:rsidR="0020649E" w:rsidRPr="005B2507">
        <w:rPr>
          <w:rFonts w:ascii="Verdana" w:hAnsi="Verdana"/>
          <w:sz w:val="16"/>
          <w:szCs w:val="16"/>
          <w:lang w:val="es-CO"/>
        </w:rPr>
        <w:t xml:space="preserve"> </w:t>
      </w:r>
    </w:p>
  </w:footnote>
  <w:footnote w:id="78">
    <w:p w14:paraId="2956F819" w14:textId="566E7725" w:rsidR="00E72532" w:rsidRPr="005B2507" w:rsidRDefault="00E72532" w:rsidP="005B2507">
      <w:pPr>
        <w:tabs>
          <w:tab w:val="left" w:pos="709"/>
        </w:tabs>
        <w:spacing w:before="120" w:after="120"/>
        <w:jc w:val="both"/>
        <w:rPr>
          <w:rFonts w:ascii="Verdana" w:hAnsi="Verdana"/>
          <w:color w:val="000000" w:themeColor="text1"/>
          <w:sz w:val="16"/>
          <w:szCs w:val="16"/>
        </w:rPr>
      </w:pPr>
      <w:r w:rsidRPr="005B2507">
        <w:rPr>
          <w:rStyle w:val="Refdenotaalpie"/>
          <w:rFonts w:ascii="Verdana" w:hAnsi="Verdana"/>
          <w:color w:val="000000" w:themeColor="text1"/>
          <w:sz w:val="16"/>
          <w:szCs w:val="16"/>
        </w:rPr>
        <w:footnoteRef/>
      </w:r>
      <w:r w:rsidRPr="005B2507">
        <w:rPr>
          <w:rFonts w:ascii="Verdana" w:hAnsi="Verdana"/>
          <w:color w:val="000000" w:themeColor="text1"/>
          <w:sz w:val="16"/>
          <w:szCs w:val="16"/>
        </w:rPr>
        <w:t xml:space="preserve"> </w:t>
      </w:r>
      <w:r w:rsidRPr="005B2507">
        <w:rPr>
          <w:rFonts w:ascii="Verdana" w:hAnsi="Verdana"/>
          <w:color w:val="000000" w:themeColor="text1"/>
          <w:sz w:val="16"/>
          <w:szCs w:val="16"/>
        </w:rPr>
        <w:tab/>
      </w:r>
      <w:r w:rsidR="00AA7278" w:rsidRPr="005B2507">
        <w:rPr>
          <w:rFonts w:ascii="Verdana" w:hAnsi="Verdana"/>
          <w:i/>
          <w:iCs/>
          <w:color w:val="000000" w:themeColor="text1"/>
          <w:sz w:val="16"/>
          <w:szCs w:val="16"/>
        </w:rPr>
        <w:t xml:space="preserve">Cfr. </w:t>
      </w:r>
      <w:r w:rsidR="00AA7278" w:rsidRPr="005B2507">
        <w:rPr>
          <w:rFonts w:ascii="Verdana" w:hAnsi="Verdana" w:cs="Open Sans"/>
          <w:i/>
          <w:iCs/>
          <w:color w:val="000000" w:themeColor="text1"/>
          <w:sz w:val="16"/>
          <w:szCs w:val="16"/>
          <w:shd w:val="clear" w:color="auto" w:fill="FFFFFF"/>
        </w:rPr>
        <w:t>Caso Vélez Loor Vs. Panamá. Excepciones Preliminares, Fondo, Reparaciones y Costas</w:t>
      </w:r>
      <w:r w:rsidR="00AA7278" w:rsidRPr="005B2507">
        <w:rPr>
          <w:rFonts w:ascii="Verdana" w:hAnsi="Verdana" w:cs="Open Sans"/>
          <w:color w:val="000000" w:themeColor="text1"/>
          <w:sz w:val="16"/>
          <w:szCs w:val="16"/>
          <w:shd w:val="clear" w:color="auto" w:fill="FFFFFF"/>
        </w:rPr>
        <w:t>. Sentencia de 23 de noviembre de 2010. Serie C No. 218</w:t>
      </w:r>
      <w:r w:rsidR="00040925" w:rsidRPr="005B2507">
        <w:rPr>
          <w:rFonts w:ascii="Verdana" w:hAnsi="Verdana" w:cs="Open Sans"/>
          <w:color w:val="000000" w:themeColor="text1"/>
          <w:sz w:val="16"/>
          <w:szCs w:val="16"/>
          <w:shd w:val="clear" w:color="auto" w:fill="FFFFFF"/>
        </w:rPr>
        <w:t>, párr. 142,</w:t>
      </w:r>
      <w:r w:rsidR="00AA7278" w:rsidRPr="005B2507">
        <w:rPr>
          <w:rFonts w:ascii="Verdana" w:hAnsi="Verdana" w:cs="Open Sans"/>
          <w:color w:val="000000" w:themeColor="text1"/>
          <w:sz w:val="16"/>
          <w:szCs w:val="16"/>
          <w:shd w:val="clear" w:color="auto" w:fill="FFFFFF"/>
        </w:rPr>
        <w:t xml:space="preserve"> y </w:t>
      </w:r>
      <w:r w:rsidR="00675B4E" w:rsidRPr="005B2507">
        <w:rPr>
          <w:rFonts w:ascii="Verdana" w:hAnsi="Verdana" w:cs="Open Sans"/>
          <w:i/>
          <w:iCs/>
          <w:color w:val="000000" w:themeColor="text1"/>
          <w:sz w:val="16"/>
          <w:szCs w:val="16"/>
          <w:shd w:val="clear" w:color="auto" w:fill="FFFFFF"/>
        </w:rPr>
        <w:t>Caso Familia Pacheco Tineo Vs. Bolivia. Excepciones Preliminares, Fondo, Reparaciones y Costas.</w:t>
      </w:r>
      <w:r w:rsidR="00675B4E" w:rsidRPr="005B2507">
        <w:rPr>
          <w:rFonts w:ascii="Verdana" w:hAnsi="Verdana" w:cs="Open Sans"/>
          <w:color w:val="000000" w:themeColor="text1"/>
          <w:sz w:val="16"/>
          <w:szCs w:val="16"/>
          <w:shd w:val="clear" w:color="auto" w:fill="FFFFFF"/>
        </w:rPr>
        <w:t xml:space="preserve"> Sentencia de 25 de noviembre de 2013. Serie C No. 272, </w:t>
      </w:r>
      <w:r w:rsidRPr="005B2507">
        <w:rPr>
          <w:rFonts w:ascii="Verdana" w:hAnsi="Verdana" w:cs="Open Sans"/>
          <w:color w:val="000000" w:themeColor="text1"/>
          <w:sz w:val="16"/>
          <w:szCs w:val="16"/>
          <w:shd w:val="clear" w:color="auto" w:fill="FFFFFF"/>
        </w:rPr>
        <w:t>párr. 13</w:t>
      </w:r>
      <w:r w:rsidR="001B5869" w:rsidRPr="005B2507">
        <w:rPr>
          <w:rFonts w:ascii="Verdana" w:hAnsi="Verdana" w:cs="Open Sans"/>
          <w:color w:val="000000" w:themeColor="text1"/>
          <w:sz w:val="16"/>
          <w:szCs w:val="16"/>
          <w:shd w:val="clear" w:color="auto" w:fill="FFFFFF"/>
        </w:rPr>
        <w:t>2</w:t>
      </w:r>
      <w:r w:rsidRPr="005B2507">
        <w:rPr>
          <w:rFonts w:ascii="Verdana" w:hAnsi="Verdana" w:cs="Open Sans"/>
          <w:color w:val="000000" w:themeColor="text1"/>
          <w:sz w:val="16"/>
          <w:szCs w:val="16"/>
          <w:shd w:val="clear" w:color="auto" w:fill="FFFFFF"/>
        </w:rPr>
        <w:t>.</w:t>
      </w:r>
    </w:p>
  </w:footnote>
  <w:footnote w:id="79">
    <w:p w14:paraId="1EFCB983" w14:textId="26901BCD" w:rsidR="0013015E" w:rsidRPr="005B2507" w:rsidRDefault="0013015E" w:rsidP="005B2507">
      <w:pPr>
        <w:tabs>
          <w:tab w:val="left" w:pos="709"/>
        </w:tabs>
        <w:spacing w:before="120" w:after="120"/>
        <w:jc w:val="both"/>
        <w:rPr>
          <w:rFonts w:ascii="Verdana" w:hAnsi="Verdana"/>
          <w:color w:val="000000" w:themeColor="text1"/>
          <w:sz w:val="16"/>
          <w:szCs w:val="16"/>
        </w:rPr>
      </w:pPr>
      <w:r w:rsidRPr="005B2507">
        <w:rPr>
          <w:rStyle w:val="Refdenotaalpie"/>
          <w:rFonts w:ascii="Verdana" w:hAnsi="Verdana"/>
          <w:color w:val="000000" w:themeColor="text1"/>
          <w:sz w:val="16"/>
          <w:szCs w:val="16"/>
        </w:rPr>
        <w:footnoteRef/>
      </w:r>
      <w:r w:rsidRPr="005B2507">
        <w:rPr>
          <w:rFonts w:ascii="Verdana" w:hAnsi="Verdana"/>
          <w:color w:val="000000" w:themeColor="text1"/>
          <w:sz w:val="16"/>
          <w:szCs w:val="16"/>
        </w:rPr>
        <w:t xml:space="preserve"> </w:t>
      </w:r>
      <w:r w:rsidRPr="005B2507">
        <w:rPr>
          <w:rFonts w:ascii="Verdana" w:hAnsi="Verdana"/>
          <w:color w:val="000000" w:themeColor="text1"/>
          <w:sz w:val="16"/>
          <w:szCs w:val="16"/>
        </w:rPr>
        <w:tab/>
      </w:r>
      <w:r w:rsidR="00A8352B" w:rsidRPr="005B2507">
        <w:rPr>
          <w:rFonts w:ascii="Verdana" w:hAnsi="Verdana"/>
          <w:i/>
          <w:iCs/>
          <w:color w:val="000000" w:themeColor="text1"/>
          <w:sz w:val="16"/>
          <w:szCs w:val="16"/>
        </w:rPr>
        <w:t xml:space="preserve">Cfr. </w:t>
      </w:r>
      <w:r w:rsidR="00A8352B" w:rsidRPr="005B2507">
        <w:rPr>
          <w:rFonts w:ascii="Verdana" w:hAnsi="Verdana" w:cs="Open Sans"/>
          <w:i/>
          <w:iCs/>
          <w:color w:val="000000" w:themeColor="text1"/>
          <w:sz w:val="16"/>
          <w:szCs w:val="16"/>
          <w:shd w:val="clear" w:color="auto" w:fill="FFFFFF"/>
        </w:rPr>
        <w:t>Caso Nadege Dorzema y otros Vs. República Dominicana. Fondo, Reparaciones y Costas</w:t>
      </w:r>
      <w:r w:rsidR="00A8352B" w:rsidRPr="005B2507">
        <w:rPr>
          <w:rFonts w:ascii="Verdana" w:hAnsi="Verdana" w:cs="Open Sans"/>
          <w:color w:val="000000" w:themeColor="text1"/>
          <w:sz w:val="16"/>
          <w:szCs w:val="16"/>
          <w:shd w:val="clear" w:color="auto" w:fill="FFFFFF"/>
        </w:rPr>
        <w:t>. Sentencia de 24 de octubre de 2012. Serie C No. 251</w:t>
      </w:r>
      <w:r w:rsidRPr="005B2507">
        <w:rPr>
          <w:rFonts w:ascii="Verdana" w:hAnsi="Verdana"/>
          <w:color w:val="000000" w:themeColor="text1"/>
          <w:sz w:val="16"/>
          <w:szCs w:val="16"/>
        </w:rPr>
        <w:t xml:space="preserve">, párr. 175, </w:t>
      </w:r>
      <w:r w:rsidR="003F20C4" w:rsidRPr="005B2507">
        <w:rPr>
          <w:rFonts w:ascii="Verdana" w:hAnsi="Verdana"/>
          <w:color w:val="000000" w:themeColor="text1"/>
          <w:sz w:val="16"/>
          <w:szCs w:val="16"/>
        </w:rPr>
        <w:t>y</w:t>
      </w:r>
      <w:r w:rsidRPr="005B2507">
        <w:rPr>
          <w:rFonts w:ascii="Verdana" w:hAnsi="Verdana"/>
          <w:color w:val="000000" w:themeColor="text1"/>
          <w:sz w:val="16"/>
          <w:szCs w:val="16"/>
        </w:rPr>
        <w:t xml:space="preserve"> </w:t>
      </w:r>
      <w:r w:rsidR="00BC4F85" w:rsidRPr="0037717D">
        <w:rPr>
          <w:rFonts w:ascii="Verdana" w:hAnsi="Verdana"/>
          <w:i/>
          <w:iCs/>
          <w:color w:val="000000" w:themeColor="text1"/>
          <w:sz w:val="16"/>
          <w:szCs w:val="16"/>
        </w:rPr>
        <w:t>Caso de Personas dominicanas y haitianas expulsadas Vs. República Dominicana</w:t>
      </w:r>
      <w:r w:rsidR="002A3DE5">
        <w:rPr>
          <w:rFonts w:ascii="Verdana" w:hAnsi="Verdana"/>
          <w:i/>
          <w:iCs/>
          <w:color w:val="000000" w:themeColor="text1"/>
          <w:sz w:val="16"/>
          <w:szCs w:val="16"/>
        </w:rPr>
        <w:t>, supra</w:t>
      </w:r>
      <w:r w:rsidR="00BC4F85">
        <w:rPr>
          <w:rFonts w:ascii="Verdana" w:hAnsi="Verdana"/>
          <w:color w:val="000000" w:themeColor="text1"/>
          <w:sz w:val="16"/>
          <w:szCs w:val="16"/>
        </w:rPr>
        <w:t>,</w:t>
      </w:r>
      <w:r w:rsidR="00BC4F85" w:rsidRPr="00BC4F85" w:rsidDel="00BC4F85">
        <w:rPr>
          <w:rFonts w:ascii="Verdana" w:hAnsi="Verdana"/>
          <w:color w:val="000000" w:themeColor="text1"/>
          <w:sz w:val="16"/>
          <w:szCs w:val="16"/>
        </w:rPr>
        <w:t xml:space="preserve"> </w:t>
      </w:r>
      <w:r w:rsidR="0020649E" w:rsidRPr="005B2507">
        <w:rPr>
          <w:rFonts w:ascii="Verdana" w:hAnsi="Verdana" w:cs="Open Sans"/>
          <w:color w:val="000000" w:themeColor="text1"/>
          <w:sz w:val="16"/>
          <w:szCs w:val="16"/>
          <w:shd w:val="clear" w:color="auto" w:fill="FFFFFF"/>
        </w:rPr>
        <w:t xml:space="preserve">párr. </w:t>
      </w:r>
      <w:r w:rsidR="00BC4F85">
        <w:rPr>
          <w:rFonts w:ascii="Verdana" w:hAnsi="Verdana" w:cs="Open Sans"/>
          <w:color w:val="000000" w:themeColor="text1"/>
          <w:sz w:val="16"/>
          <w:szCs w:val="16"/>
          <w:shd w:val="clear" w:color="auto" w:fill="FFFFFF"/>
        </w:rPr>
        <w:t>356</w:t>
      </w:r>
      <w:r w:rsidR="0020649E" w:rsidRPr="005B2507">
        <w:rPr>
          <w:rFonts w:ascii="Verdana" w:hAnsi="Verdana" w:cs="Open Sans"/>
          <w:color w:val="000000" w:themeColor="text1"/>
          <w:sz w:val="16"/>
          <w:szCs w:val="16"/>
          <w:shd w:val="clear" w:color="auto" w:fill="FFFFFF"/>
        </w:rPr>
        <w:t>.</w:t>
      </w:r>
    </w:p>
  </w:footnote>
  <w:footnote w:id="80">
    <w:p w14:paraId="50FDA403" w14:textId="010B718F" w:rsidR="00A70FF5" w:rsidRPr="005B2507" w:rsidRDefault="00A70FF5" w:rsidP="005B2507">
      <w:pPr>
        <w:pStyle w:val="Textonotapie"/>
        <w:tabs>
          <w:tab w:val="left" w:pos="709"/>
        </w:tabs>
        <w:spacing w:before="120" w:after="120"/>
        <w:jc w:val="both"/>
        <w:rPr>
          <w:rFonts w:ascii="Verdana" w:hAnsi="Verdana"/>
          <w:sz w:val="16"/>
          <w:szCs w:val="16"/>
        </w:rPr>
      </w:pPr>
      <w:r w:rsidRPr="005B2507">
        <w:rPr>
          <w:rStyle w:val="Refdenotaalpie"/>
          <w:rFonts w:ascii="Verdana" w:hAnsi="Verdana"/>
          <w:sz w:val="16"/>
          <w:szCs w:val="16"/>
        </w:rPr>
        <w:footnoteRef/>
      </w:r>
      <w:r w:rsidRPr="005B2507">
        <w:rPr>
          <w:rFonts w:ascii="Verdana" w:hAnsi="Verdana"/>
          <w:sz w:val="16"/>
          <w:szCs w:val="16"/>
        </w:rPr>
        <w:t xml:space="preserve"> </w:t>
      </w:r>
      <w:r w:rsidRPr="005B2507">
        <w:rPr>
          <w:rFonts w:ascii="Verdana" w:hAnsi="Verdana"/>
          <w:sz w:val="16"/>
          <w:szCs w:val="16"/>
        </w:rPr>
        <w:tab/>
      </w:r>
      <w:r w:rsidRPr="005B2507">
        <w:rPr>
          <w:rFonts w:ascii="Verdana" w:hAnsi="Verdana"/>
          <w:i/>
          <w:sz w:val="16"/>
          <w:szCs w:val="16"/>
        </w:rPr>
        <w:t xml:space="preserve">Cfr. </w:t>
      </w:r>
      <w:r w:rsidRPr="005B2507">
        <w:rPr>
          <w:rFonts w:ascii="Verdana" w:hAnsi="Verdana"/>
          <w:i/>
          <w:sz w:val="16"/>
          <w:szCs w:val="16"/>
          <w:lang w:val="es-CO"/>
        </w:rPr>
        <w:t>Caso Vélez Loor Vs. Panamá,</w:t>
      </w:r>
      <w:r w:rsidR="00BC4F85">
        <w:rPr>
          <w:rFonts w:ascii="Verdana" w:hAnsi="Verdana"/>
          <w:i/>
          <w:sz w:val="16"/>
          <w:szCs w:val="16"/>
          <w:lang w:val="es-CO"/>
        </w:rPr>
        <w:t xml:space="preserve"> supra,</w:t>
      </w:r>
      <w:r w:rsidRPr="005B2507">
        <w:rPr>
          <w:rFonts w:ascii="Verdana" w:hAnsi="Verdana"/>
          <w:i/>
          <w:sz w:val="16"/>
          <w:szCs w:val="16"/>
          <w:lang w:val="es-CO"/>
        </w:rPr>
        <w:t xml:space="preserve"> </w:t>
      </w:r>
      <w:r w:rsidRPr="005B2507">
        <w:rPr>
          <w:rFonts w:ascii="Verdana" w:hAnsi="Verdana"/>
          <w:sz w:val="16"/>
          <w:szCs w:val="16"/>
          <w:lang w:val="es-CO"/>
        </w:rPr>
        <w:t>párrs.</w:t>
      </w:r>
      <w:r w:rsidRPr="005B2507">
        <w:rPr>
          <w:rFonts w:ascii="Verdana" w:hAnsi="Verdana"/>
          <w:sz w:val="16"/>
          <w:szCs w:val="16"/>
        </w:rPr>
        <w:t xml:space="preserve"> 163 a 172</w:t>
      </w:r>
      <w:r w:rsidR="00A2799E" w:rsidRPr="005B2507">
        <w:rPr>
          <w:rFonts w:ascii="Verdana" w:hAnsi="Verdana"/>
          <w:sz w:val="16"/>
          <w:szCs w:val="16"/>
        </w:rPr>
        <w:t>,</w:t>
      </w:r>
      <w:r w:rsidR="00A2799E" w:rsidRPr="005B2507">
        <w:rPr>
          <w:rFonts w:ascii="Verdana" w:hAnsi="Verdana"/>
          <w:color w:val="000000" w:themeColor="text1"/>
          <w:sz w:val="16"/>
          <w:szCs w:val="16"/>
        </w:rPr>
        <w:t xml:space="preserve"> y </w:t>
      </w:r>
      <w:r w:rsidR="00BC4F85" w:rsidRPr="0037717D">
        <w:rPr>
          <w:rFonts w:ascii="Verdana" w:hAnsi="Verdana"/>
          <w:i/>
          <w:iCs/>
          <w:color w:val="000000" w:themeColor="text1"/>
          <w:sz w:val="16"/>
          <w:szCs w:val="16"/>
        </w:rPr>
        <w:t>Caso de Personas dominicanas y haitianas expulsadas Vs. República Dominicana. Excepciones Preliminares</w:t>
      </w:r>
      <w:r w:rsidR="00BC4F85" w:rsidRPr="00BC4F85">
        <w:rPr>
          <w:rFonts w:ascii="Verdana" w:hAnsi="Verdana"/>
          <w:color w:val="000000" w:themeColor="text1"/>
          <w:sz w:val="16"/>
          <w:szCs w:val="16"/>
        </w:rPr>
        <w:t>,</w:t>
      </w:r>
      <w:r w:rsidR="00BC4F85">
        <w:rPr>
          <w:rFonts w:ascii="Verdana" w:hAnsi="Verdana"/>
          <w:color w:val="000000" w:themeColor="text1"/>
          <w:sz w:val="16"/>
          <w:szCs w:val="16"/>
        </w:rPr>
        <w:t xml:space="preserve"> </w:t>
      </w:r>
      <w:r w:rsidR="00BC4F85" w:rsidRPr="0037717D">
        <w:rPr>
          <w:rFonts w:ascii="Verdana" w:hAnsi="Verdana"/>
          <w:i/>
          <w:iCs/>
          <w:color w:val="000000" w:themeColor="text1"/>
          <w:sz w:val="16"/>
          <w:szCs w:val="16"/>
        </w:rPr>
        <w:t>supra</w:t>
      </w:r>
      <w:r w:rsidR="00BC4F85">
        <w:rPr>
          <w:rFonts w:ascii="Verdana" w:hAnsi="Verdana"/>
          <w:color w:val="000000" w:themeColor="text1"/>
          <w:sz w:val="16"/>
          <w:szCs w:val="16"/>
        </w:rPr>
        <w:t>,</w:t>
      </w:r>
      <w:r w:rsidR="00BC4F85" w:rsidRPr="00BC4F85">
        <w:rPr>
          <w:rFonts w:ascii="Verdana" w:hAnsi="Verdana"/>
          <w:color w:val="000000" w:themeColor="text1"/>
          <w:sz w:val="16"/>
          <w:szCs w:val="16"/>
        </w:rPr>
        <w:t xml:space="preserve"> </w:t>
      </w:r>
      <w:r w:rsidR="00BC4F85">
        <w:rPr>
          <w:rFonts w:ascii="Verdana" w:hAnsi="Verdana"/>
          <w:color w:val="000000" w:themeColor="text1"/>
          <w:sz w:val="16"/>
          <w:szCs w:val="16"/>
        </w:rPr>
        <w:t>párr. 359.</w:t>
      </w:r>
    </w:p>
  </w:footnote>
  <w:footnote w:id="81">
    <w:p w14:paraId="2D89E38E" w14:textId="08E7D7DF" w:rsidR="00A70FF5" w:rsidRPr="005B2507" w:rsidRDefault="00A70FF5" w:rsidP="005B2507">
      <w:pPr>
        <w:pStyle w:val="Textonotapie"/>
        <w:tabs>
          <w:tab w:val="left" w:pos="709"/>
        </w:tabs>
        <w:spacing w:before="120" w:after="120"/>
        <w:jc w:val="both"/>
        <w:rPr>
          <w:rFonts w:ascii="Verdana" w:hAnsi="Verdana"/>
          <w:sz w:val="16"/>
          <w:szCs w:val="16"/>
        </w:rPr>
      </w:pPr>
      <w:r w:rsidRPr="005B2507">
        <w:rPr>
          <w:rStyle w:val="Refdenotaalpie"/>
          <w:rFonts w:ascii="Verdana" w:hAnsi="Verdana"/>
          <w:sz w:val="16"/>
          <w:szCs w:val="16"/>
        </w:rPr>
        <w:footnoteRef/>
      </w:r>
      <w:r w:rsidRPr="005B2507">
        <w:rPr>
          <w:rFonts w:ascii="Verdana" w:hAnsi="Verdana"/>
          <w:sz w:val="16"/>
          <w:szCs w:val="16"/>
        </w:rPr>
        <w:t xml:space="preserve"> </w:t>
      </w:r>
      <w:r w:rsidRPr="005B2507">
        <w:rPr>
          <w:rFonts w:ascii="Verdana" w:hAnsi="Verdana"/>
          <w:sz w:val="16"/>
          <w:szCs w:val="16"/>
        </w:rPr>
        <w:tab/>
      </w:r>
      <w:r w:rsidRPr="005B2507">
        <w:rPr>
          <w:rFonts w:ascii="Verdana" w:hAnsi="Verdana"/>
          <w:i/>
          <w:sz w:val="16"/>
          <w:szCs w:val="16"/>
        </w:rPr>
        <w:t>Cfr.</w:t>
      </w:r>
      <w:r w:rsidRPr="005B2507">
        <w:rPr>
          <w:rFonts w:ascii="Verdana" w:hAnsi="Verdana"/>
          <w:b/>
          <w:sz w:val="16"/>
          <w:szCs w:val="16"/>
        </w:rPr>
        <w:t xml:space="preserve"> </w:t>
      </w:r>
      <w:r w:rsidRPr="005B2507">
        <w:rPr>
          <w:rFonts w:ascii="Verdana" w:hAnsi="Verdana"/>
          <w:i/>
          <w:sz w:val="16"/>
          <w:szCs w:val="16"/>
          <w:lang w:val="es-CO"/>
        </w:rPr>
        <w:t>Caso Vélez Loor Vs. Panamá,</w:t>
      </w:r>
      <w:r w:rsidR="00BC4F85">
        <w:rPr>
          <w:rFonts w:ascii="Verdana" w:hAnsi="Verdana"/>
          <w:i/>
          <w:sz w:val="16"/>
          <w:szCs w:val="16"/>
          <w:lang w:val="es-CO"/>
        </w:rPr>
        <w:t xml:space="preserve"> supra,</w:t>
      </w:r>
      <w:r w:rsidRPr="005B2507">
        <w:rPr>
          <w:rFonts w:ascii="Verdana" w:hAnsi="Verdana"/>
          <w:i/>
          <w:sz w:val="16"/>
          <w:szCs w:val="16"/>
          <w:lang w:val="es-CO"/>
        </w:rPr>
        <w:t xml:space="preserve"> </w:t>
      </w:r>
      <w:r w:rsidRPr="005B2507">
        <w:rPr>
          <w:rFonts w:ascii="Verdana" w:hAnsi="Verdana"/>
          <w:sz w:val="16"/>
          <w:szCs w:val="16"/>
          <w:lang w:val="es-CO"/>
        </w:rPr>
        <w:t>párr.</w:t>
      </w:r>
      <w:r w:rsidRPr="005B2507">
        <w:rPr>
          <w:rFonts w:ascii="Verdana" w:hAnsi="Verdana"/>
          <w:sz w:val="16"/>
          <w:szCs w:val="16"/>
        </w:rPr>
        <w:t xml:space="preserve"> 172, y</w:t>
      </w:r>
      <w:r w:rsidR="00A2799E" w:rsidRPr="005B2507">
        <w:rPr>
          <w:rFonts w:ascii="Verdana" w:hAnsi="Verdana"/>
          <w:color w:val="000000" w:themeColor="text1"/>
          <w:sz w:val="16"/>
          <w:szCs w:val="16"/>
        </w:rPr>
        <w:t xml:space="preserve"> </w:t>
      </w:r>
      <w:r w:rsidR="00A2799E" w:rsidRPr="005B2507">
        <w:rPr>
          <w:rFonts w:ascii="Verdana" w:hAnsi="Verdana" w:cs="Open Sans"/>
          <w:i/>
          <w:iCs/>
          <w:color w:val="000000" w:themeColor="text1"/>
          <w:sz w:val="16"/>
          <w:szCs w:val="16"/>
          <w:shd w:val="clear" w:color="auto" w:fill="FFFFFF"/>
        </w:rPr>
        <w:t>Caso Familia Pacheco Tineo Vs. Bolivia, supra</w:t>
      </w:r>
      <w:r w:rsidR="00A2799E" w:rsidRPr="005B2507">
        <w:rPr>
          <w:rFonts w:ascii="Verdana" w:hAnsi="Verdana" w:cs="Open Sans"/>
          <w:color w:val="000000" w:themeColor="text1"/>
          <w:sz w:val="16"/>
          <w:szCs w:val="16"/>
          <w:shd w:val="clear" w:color="auto" w:fill="FFFFFF"/>
        </w:rPr>
        <w:t>, párr. 131.</w:t>
      </w:r>
    </w:p>
  </w:footnote>
  <w:footnote w:id="82">
    <w:p w14:paraId="1DEB779C" w14:textId="6D680A6F" w:rsidR="00A70FF5" w:rsidRPr="005B2507" w:rsidRDefault="00A70FF5" w:rsidP="005B2507">
      <w:pPr>
        <w:tabs>
          <w:tab w:val="left" w:pos="709"/>
        </w:tabs>
        <w:spacing w:before="120" w:after="120"/>
        <w:jc w:val="both"/>
        <w:rPr>
          <w:rFonts w:ascii="Verdana" w:hAnsi="Verdana"/>
          <w:sz w:val="16"/>
          <w:szCs w:val="16"/>
        </w:rPr>
      </w:pPr>
      <w:r w:rsidRPr="005B2507">
        <w:rPr>
          <w:rStyle w:val="Refdenotaalpie"/>
          <w:rFonts w:ascii="Verdana" w:hAnsi="Verdana"/>
          <w:sz w:val="16"/>
          <w:szCs w:val="16"/>
        </w:rPr>
        <w:footnoteRef/>
      </w:r>
      <w:r w:rsidRPr="005B2507">
        <w:rPr>
          <w:rFonts w:ascii="Verdana" w:hAnsi="Verdana"/>
          <w:sz w:val="16"/>
          <w:szCs w:val="16"/>
        </w:rPr>
        <w:t xml:space="preserve"> </w:t>
      </w:r>
      <w:r w:rsidRPr="005B2507">
        <w:rPr>
          <w:rFonts w:ascii="Verdana" w:hAnsi="Verdana"/>
          <w:sz w:val="16"/>
          <w:szCs w:val="16"/>
        </w:rPr>
        <w:tab/>
      </w:r>
      <w:r w:rsidRPr="005B2507">
        <w:rPr>
          <w:rFonts w:ascii="Verdana" w:hAnsi="Verdana"/>
          <w:i/>
          <w:sz w:val="16"/>
          <w:szCs w:val="16"/>
        </w:rPr>
        <w:t>Cfr.</w:t>
      </w:r>
      <w:r w:rsidRPr="005B2507">
        <w:rPr>
          <w:rFonts w:ascii="Verdana" w:hAnsi="Verdana"/>
          <w:b/>
          <w:sz w:val="16"/>
          <w:szCs w:val="16"/>
        </w:rPr>
        <w:t xml:space="preserve"> </w:t>
      </w:r>
      <w:r w:rsidRPr="005B2507">
        <w:rPr>
          <w:rFonts w:ascii="Verdana" w:hAnsi="Verdana" w:cs="Arial"/>
          <w:i/>
          <w:iCs/>
          <w:sz w:val="16"/>
          <w:szCs w:val="16"/>
          <w:shd w:val="clear" w:color="auto" w:fill="FFFFFF"/>
        </w:rPr>
        <w:t>Caso Kimel Vs. Argentina. Fondo, Reparaciones y Costas</w:t>
      </w:r>
      <w:r w:rsidRPr="005B2507">
        <w:rPr>
          <w:rFonts w:ascii="Verdana" w:hAnsi="Verdana" w:cs="Arial"/>
          <w:sz w:val="16"/>
          <w:szCs w:val="16"/>
          <w:shd w:val="clear" w:color="auto" w:fill="FFFFFF"/>
        </w:rPr>
        <w:t>. Sentencia de 2 de mayo de 2008 Serie C No. 177</w:t>
      </w:r>
      <w:r w:rsidRPr="005B2507">
        <w:rPr>
          <w:rFonts w:ascii="Verdana" w:hAnsi="Verdana"/>
          <w:sz w:val="16"/>
          <w:szCs w:val="16"/>
        </w:rPr>
        <w:t>, párr. 76, y</w:t>
      </w:r>
      <w:r w:rsidR="00A2799E" w:rsidRPr="005B2507">
        <w:rPr>
          <w:rFonts w:ascii="Verdana" w:hAnsi="Verdana"/>
          <w:color w:val="000000" w:themeColor="text1"/>
          <w:sz w:val="16"/>
          <w:szCs w:val="16"/>
        </w:rPr>
        <w:t xml:space="preserve"> </w:t>
      </w:r>
      <w:r w:rsidR="00A2799E" w:rsidRPr="005B2507">
        <w:rPr>
          <w:rFonts w:ascii="Verdana" w:hAnsi="Verdana" w:cs="Open Sans"/>
          <w:i/>
          <w:iCs/>
          <w:color w:val="000000" w:themeColor="text1"/>
          <w:sz w:val="16"/>
          <w:szCs w:val="16"/>
          <w:shd w:val="clear" w:color="auto" w:fill="FFFFFF"/>
        </w:rPr>
        <w:t>Caso Familia Pacheco Tineo Vs. Bolivia, supra</w:t>
      </w:r>
      <w:r w:rsidR="00A2799E" w:rsidRPr="005B2507">
        <w:rPr>
          <w:rFonts w:ascii="Verdana" w:hAnsi="Verdana" w:cs="Open Sans"/>
          <w:color w:val="000000" w:themeColor="text1"/>
          <w:sz w:val="16"/>
          <w:szCs w:val="16"/>
          <w:shd w:val="clear" w:color="auto" w:fill="FFFFFF"/>
        </w:rPr>
        <w:t>, párr. 131.</w:t>
      </w:r>
    </w:p>
  </w:footnote>
  <w:footnote w:id="83">
    <w:p w14:paraId="6D5857E9" w14:textId="4BCE3231" w:rsidR="00A70FF5" w:rsidRPr="005B2507" w:rsidRDefault="00A70FF5" w:rsidP="005B2507">
      <w:pPr>
        <w:pStyle w:val="Textonotapie"/>
        <w:tabs>
          <w:tab w:val="left" w:pos="709"/>
        </w:tabs>
        <w:spacing w:before="120" w:after="120"/>
        <w:jc w:val="both"/>
        <w:rPr>
          <w:rFonts w:ascii="Verdana" w:hAnsi="Verdana"/>
          <w:sz w:val="16"/>
          <w:szCs w:val="16"/>
        </w:rPr>
      </w:pPr>
      <w:r w:rsidRPr="005B2507">
        <w:rPr>
          <w:rStyle w:val="Refdenotaalpie"/>
          <w:rFonts w:ascii="Verdana" w:hAnsi="Verdana"/>
          <w:sz w:val="16"/>
          <w:szCs w:val="16"/>
        </w:rPr>
        <w:footnoteRef/>
      </w:r>
      <w:r w:rsidRPr="005B2507">
        <w:rPr>
          <w:rFonts w:ascii="Verdana" w:hAnsi="Verdana"/>
          <w:sz w:val="16"/>
          <w:szCs w:val="16"/>
        </w:rPr>
        <w:t xml:space="preserve"> </w:t>
      </w:r>
      <w:r w:rsidRPr="005B2507">
        <w:rPr>
          <w:rFonts w:ascii="Verdana" w:hAnsi="Verdana"/>
          <w:sz w:val="16"/>
          <w:szCs w:val="16"/>
        </w:rPr>
        <w:tab/>
      </w:r>
      <w:r w:rsidRPr="005B2507">
        <w:rPr>
          <w:rFonts w:ascii="Verdana" w:hAnsi="Verdana"/>
          <w:i/>
          <w:sz w:val="16"/>
          <w:szCs w:val="16"/>
        </w:rPr>
        <w:t>Cfr. Caso Vélez Loor Vs. Panamá</w:t>
      </w:r>
      <w:r w:rsidRPr="005B2507">
        <w:rPr>
          <w:rFonts w:ascii="Verdana" w:hAnsi="Verdana"/>
          <w:sz w:val="16"/>
          <w:szCs w:val="16"/>
        </w:rPr>
        <w:t>,</w:t>
      </w:r>
      <w:r w:rsidR="00FE3319" w:rsidRPr="0037717D">
        <w:rPr>
          <w:rFonts w:ascii="Verdana" w:hAnsi="Verdana"/>
          <w:i/>
          <w:iCs/>
          <w:sz w:val="16"/>
          <w:szCs w:val="16"/>
        </w:rPr>
        <w:t xml:space="preserve"> supra</w:t>
      </w:r>
      <w:r w:rsidR="00FE3319">
        <w:rPr>
          <w:rFonts w:ascii="Verdana" w:hAnsi="Verdana"/>
          <w:sz w:val="16"/>
          <w:szCs w:val="16"/>
        </w:rPr>
        <w:t>,</w:t>
      </w:r>
      <w:r w:rsidRPr="005B2507">
        <w:rPr>
          <w:rFonts w:ascii="Verdana" w:hAnsi="Verdana"/>
          <w:sz w:val="16"/>
          <w:szCs w:val="16"/>
        </w:rPr>
        <w:t xml:space="preserve"> párr.</w:t>
      </w:r>
      <w:r w:rsidR="00BC4F85">
        <w:rPr>
          <w:rFonts w:ascii="Verdana" w:hAnsi="Verdana"/>
          <w:sz w:val="16"/>
          <w:szCs w:val="16"/>
        </w:rPr>
        <w:t xml:space="preserve"> </w:t>
      </w:r>
      <w:r w:rsidRPr="005B2507">
        <w:rPr>
          <w:rFonts w:ascii="Verdana" w:hAnsi="Verdana"/>
          <w:sz w:val="16"/>
          <w:szCs w:val="16"/>
        </w:rPr>
        <w:t>171</w:t>
      </w:r>
      <w:r w:rsidR="00A2799E" w:rsidRPr="005B2507">
        <w:rPr>
          <w:rFonts w:ascii="Verdana" w:hAnsi="Verdana"/>
          <w:sz w:val="16"/>
          <w:szCs w:val="16"/>
        </w:rPr>
        <w:t xml:space="preserve">, </w:t>
      </w:r>
      <w:r w:rsidR="00A2799E" w:rsidRPr="005B2507">
        <w:rPr>
          <w:rFonts w:ascii="Verdana" w:hAnsi="Verdana"/>
          <w:color w:val="000000" w:themeColor="text1"/>
          <w:sz w:val="16"/>
          <w:szCs w:val="16"/>
        </w:rPr>
        <w:t xml:space="preserve">y </w:t>
      </w:r>
      <w:r w:rsidR="00BC4F85" w:rsidRPr="00573429">
        <w:rPr>
          <w:rFonts w:ascii="Verdana" w:hAnsi="Verdana"/>
          <w:i/>
          <w:iCs/>
          <w:color w:val="000000" w:themeColor="text1"/>
          <w:sz w:val="16"/>
          <w:szCs w:val="16"/>
        </w:rPr>
        <w:t>Caso de Personas dominicanas y haitianas expulsadas Vs. República Dominicana. Excepciones Preliminares</w:t>
      </w:r>
      <w:r w:rsidR="00BC4F85" w:rsidRPr="00BC4F85">
        <w:rPr>
          <w:rFonts w:ascii="Verdana" w:hAnsi="Verdana"/>
          <w:color w:val="000000" w:themeColor="text1"/>
          <w:sz w:val="16"/>
          <w:szCs w:val="16"/>
        </w:rPr>
        <w:t>,</w:t>
      </w:r>
      <w:r w:rsidR="00BC4F85">
        <w:rPr>
          <w:rFonts w:ascii="Verdana" w:hAnsi="Verdana"/>
          <w:color w:val="000000" w:themeColor="text1"/>
          <w:sz w:val="16"/>
          <w:szCs w:val="16"/>
        </w:rPr>
        <w:t xml:space="preserve"> </w:t>
      </w:r>
      <w:r w:rsidR="00BC4F85" w:rsidRPr="00573429">
        <w:rPr>
          <w:rFonts w:ascii="Verdana" w:hAnsi="Verdana"/>
          <w:i/>
          <w:iCs/>
          <w:color w:val="000000" w:themeColor="text1"/>
          <w:sz w:val="16"/>
          <w:szCs w:val="16"/>
        </w:rPr>
        <w:t>supra</w:t>
      </w:r>
      <w:r w:rsidR="00BC4F85">
        <w:rPr>
          <w:rFonts w:ascii="Verdana" w:hAnsi="Verdana"/>
          <w:color w:val="000000" w:themeColor="text1"/>
          <w:sz w:val="16"/>
          <w:szCs w:val="16"/>
        </w:rPr>
        <w:t>,</w:t>
      </w:r>
      <w:r w:rsidR="00BC4F85" w:rsidRPr="00BC4F85">
        <w:rPr>
          <w:rFonts w:ascii="Verdana" w:hAnsi="Verdana"/>
          <w:color w:val="000000" w:themeColor="text1"/>
          <w:sz w:val="16"/>
          <w:szCs w:val="16"/>
        </w:rPr>
        <w:t xml:space="preserve"> </w:t>
      </w:r>
      <w:r w:rsidR="00A2799E" w:rsidRPr="005B2507">
        <w:rPr>
          <w:rFonts w:ascii="Verdana" w:hAnsi="Verdana" w:cs="Open Sans"/>
          <w:color w:val="000000" w:themeColor="text1"/>
          <w:sz w:val="16"/>
          <w:szCs w:val="16"/>
          <w:shd w:val="clear" w:color="auto" w:fill="FFFFFF"/>
        </w:rPr>
        <w:t xml:space="preserve">párr. </w:t>
      </w:r>
      <w:r w:rsidR="00BC4F85">
        <w:rPr>
          <w:rFonts w:ascii="Verdana" w:hAnsi="Verdana" w:cs="Open Sans"/>
          <w:color w:val="000000" w:themeColor="text1"/>
          <w:sz w:val="16"/>
          <w:szCs w:val="16"/>
          <w:shd w:val="clear" w:color="auto" w:fill="FFFFFF"/>
        </w:rPr>
        <w:t>359</w:t>
      </w:r>
      <w:r w:rsidR="00A2799E" w:rsidRPr="005B2507">
        <w:rPr>
          <w:rFonts w:ascii="Verdana" w:hAnsi="Verdana" w:cs="Open Sans"/>
          <w:color w:val="000000" w:themeColor="text1"/>
          <w:sz w:val="16"/>
          <w:szCs w:val="16"/>
          <w:shd w:val="clear" w:color="auto" w:fill="FFFFFF"/>
        </w:rPr>
        <w:t>.</w:t>
      </w:r>
    </w:p>
  </w:footnote>
  <w:footnote w:id="84">
    <w:p w14:paraId="71318758" w14:textId="2B00BC8B" w:rsidR="00A70FF5" w:rsidRPr="005B2507" w:rsidRDefault="00A70FF5" w:rsidP="005B2507">
      <w:pPr>
        <w:pStyle w:val="Textonotapie"/>
        <w:tabs>
          <w:tab w:val="left" w:pos="709"/>
        </w:tabs>
        <w:spacing w:before="120" w:after="120"/>
        <w:jc w:val="both"/>
        <w:rPr>
          <w:rFonts w:ascii="Verdana" w:hAnsi="Verdana"/>
          <w:sz w:val="16"/>
          <w:szCs w:val="16"/>
        </w:rPr>
      </w:pPr>
      <w:r w:rsidRPr="005B2507">
        <w:rPr>
          <w:rStyle w:val="Refdenotaalpie"/>
          <w:rFonts w:ascii="Verdana" w:hAnsi="Verdana"/>
          <w:sz w:val="16"/>
          <w:szCs w:val="16"/>
        </w:rPr>
        <w:footnoteRef/>
      </w:r>
      <w:r w:rsidRPr="005B2507">
        <w:rPr>
          <w:rFonts w:ascii="Verdana" w:hAnsi="Verdana"/>
          <w:sz w:val="16"/>
          <w:szCs w:val="16"/>
          <w:lang w:val="es-ES"/>
        </w:rPr>
        <w:t xml:space="preserve"> </w:t>
      </w:r>
      <w:r w:rsidRPr="005B2507">
        <w:rPr>
          <w:rFonts w:ascii="Verdana" w:hAnsi="Verdana"/>
          <w:sz w:val="16"/>
          <w:szCs w:val="16"/>
          <w:lang w:val="es-ES"/>
        </w:rPr>
        <w:tab/>
      </w:r>
      <w:r w:rsidRPr="005B2507">
        <w:rPr>
          <w:rFonts w:ascii="Verdana" w:hAnsi="Verdana"/>
          <w:i/>
          <w:sz w:val="16"/>
          <w:szCs w:val="16"/>
        </w:rPr>
        <w:t>Cfr. Caso Vélez Loor Vs. Panamá</w:t>
      </w:r>
      <w:r w:rsidR="00AD4A6D">
        <w:rPr>
          <w:rFonts w:ascii="Verdana" w:hAnsi="Verdana"/>
          <w:i/>
          <w:sz w:val="16"/>
          <w:szCs w:val="16"/>
        </w:rPr>
        <w:t>,</w:t>
      </w:r>
      <w:r w:rsidR="00FE3319">
        <w:rPr>
          <w:rFonts w:ascii="Verdana" w:hAnsi="Verdana"/>
          <w:i/>
          <w:sz w:val="16"/>
          <w:szCs w:val="16"/>
        </w:rPr>
        <w:t xml:space="preserve"> supra</w:t>
      </w:r>
      <w:r w:rsidRPr="005B2507">
        <w:rPr>
          <w:rFonts w:ascii="Verdana" w:hAnsi="Verdana"/>
          <w:sz w:val="16"/>
          <w:szCs w:val="16"/>
        </w:rPr>
        <w:t>, párr. 171</w:t>
      </w:r>
      <w:r w:rsidR="00A2799E" w:rsidRPr="005B2507">
        <w:rPr>
          <w:rFonts w:ascii="Verdana" w:hAnsi="Verdana"/>
          <w:sz w:val="16"/>
          <w:szCs w:val="16"/>
        </w:rPr>
        <w:t xml:space="preserve">, </w:t>
      </w:r>
      <w:r w:rsidR="00A2799E" w:rsidRPr="005B2507">
        <w:rPr>
          <w:rFonts w:ascii="Verdana" w:hAnsi="Verdana"/>
          <w:color w:val="000000" w:themeColor="text1"/>
          <w:sz w:val="16"/>
          <w:szCs w:val="16"/>
        </w:rPr>
        <w:t xml:space="preserve">y </w:t>
      </w:r>
      <w:r w:rsidR="00FE3319" w:rsidRPr="00573429">
        <w:rPr>
          <w:rFonts w:ascii="Verdana" w:hAnsi="Verdana"/>
          <w:i/>
          <w:iCs/>
          <w:color w:val="000000" w:themeColor="text1"/>
          <w:sz w:val="16"/>
          <w:szCs w:val="16"/>
        </w:rPr>
        <w:t>Caso de Personas dominicanas y haitianas expulsadas Vs. República Dominicana. Excepciones Preliminares</w:t>
      </w:r>
      <w:r w:rsidR="00FE3319" w:rsidRPr="00BC4F85">
        <w:rPr>
          <w:rFonts w:ascii="Verdana" w:hAnsi="Verdana"/>
          <w:color w:val="000000" w:themeColor="text1"/>
          <w:sz w:val="16"/>
          <w:szCs w:val="16"/>
        </w:rPr>
        <w:t>,</w:t>
      </w:r>
      <w:r w:rsidR="00FE3319">
        <w:rPr>
          <w:rFonts w:ascii="Verdana" w:hAnsi="Verdana"/>
          <w:color w:val="000000" w:themeColor="text1"/>
          <w:sz w:val="16"/>
          <w:szCs w:val="16"/>
        </w:rPr>
        <w:t xml:space="preserve"> </w:t>
      </w:r>
      <w:r w:rsidR="00FE3319" w:rsidRPr="00573429">
        <w:rPr>
          <w:rFonts w:ascii="Verdana" w:hAnsi="Verdana"/>
          <w:i/>
          <w:iCs/>
          <w:color w:val="000000" w:themeColor="text1"/>
          <w:sz w:val="16"/>
          <w:szCs w:val="16"/>
        </w:rPr>
        <w:t>supra</w:t>
      </w:r>
      <w:r w:rsidR="00FE3319">
        <w:rPr>
          <w:rFonts w:ascii="Verdana" w:hAnsi="Verdana"/>
          <w:color w:val="000000" w:themeColor="text1"/>
          <w:sz w:val="16"/>
          <w:szCs w:val="16"/>
        </w:rPr>
        <w:t>,</w:t>
      </w:r>
      <w:r w:rsidR="00FE3319" w:rsidRPr="00BC4F85">
        <w:rPr>
          <w:rFonts w:ascii="Verdana" w:hAnsi="Verdana"/>
          <w:color w:val="000000" w:themeColor="text1"/>
          <w:sz w:val="16"/>
          <w:szCs w:val="16"/>
        </w:rPr>
        <w:t xml:space="preserve"> </w:t>
      </w:r>
      <w:r w:rsidR="00FE3319" w:rsidRPr="005B2507">
        <w:rPr>
          <w:rFonts w:ascii="Verdana" w:hAnsi="Verdana" w:cs="Open Sans"/>
          <w:color w:val="000000" w:themeColor="text1"/>
          <w:sz w:val="16"/>
          <w:szCs w:val="16"/>
          <w:shd w:val="clear" w:color="auto" w:fill="FFFFFF"/>
        </w:rPr>
        <w:t xml:space="preserve">párr. </w:t>
      </w:r>
      <w:r w:rsidR="00FE3319">
        <w:rPr>
          <w:rFonts w:ascii="Verdana" w:hAnsi="Verdana" w:cs="Open Sans"/>
          <w:color w:val="000000" w:themeColor="text1"/>
          <w:sz w:val="16"/>
          <w:szCs w:val="16"/>
          <w:shd w:val="clear" w:color="auto" w:fill="FFFFFF"/>
        </w:rPr>
        <w:t>359</w:t>
      </w:r>
      <w:r w:rsidR="00FE3319" w:rsidRPr="005B2507">
        <w:rPr>
          <w:rFonts w:ascii="Verdana" w:hAnsi="Verdana" w:cs="Open Sans"/>
          <w:color w:val="000000" w:themeColor="text1"/>
          <w:sz w:val="16"/>
          <w:szCs w:val="16"/>
          <w:shd w:val="clear" w:color="auto" w:fill="FFFFFF"/>
        </w:rPr>
        <w:t>.</w:t>
      </w:r>
    </w:p>
  </w:footnote>
  <w:footnote w:id="85">
    <w:p w14:paraId="630FD9EF" w14:textId="14E8C9B6" w:rsidR="00640BC2" w:rsidRPr="005B2507" w:rsidRDefault="00640BC2" w:rsidP="005B2507">
      <w:pPr>
        <w:pStyle w:val="Textonotapie"/>
        <w:tabs>
          <w:tab w:val="left" w:pos="709"/>
        </w:tabs>
        <w:spacing w:before="120" w:after="120"/>
        <w:jc w:val="both"/>
        <w:rPr>
          <w:rFonts w:ascii="Verdana" w:hAnsi="Verdana"/>
          <w:sz w:val="16"/>
          <w:szCs w:val="16"/>
        </w:rPr>
      </w:pPr>
      <w:r w:rsidRPr="005B2507">
        <w:rPr>
          <w:rStyle w:val="Refdenotaalpie"/>
          <w:rFonts w:ascii="Verdana" w:hAnsi="Verdana"/>
          <w:sz w:val="16"/>
          <w:szCs w:val="16"/>
        </w:rPr>
        <w:footnoteRef/>
      </w:r>
      <w:r w:rsidRPr="005B2507">
        <w:rPr>
          <w:rFonts w:ascii="Verdana" w:hAnsi="Verdana"/>
          <w:sz w:val="16"/>
          <w:szCs w:val="16"/>
        </w:rPr>
        <w:t xml:space="preserve"> </w:t>
      </w:r>
      <w:r w:rsidRPr="005B2507">
        <w:rPr>
          <w:rFonts w:ascii="Verdana" w:hAnsi="Verdana"/>
          <w:sz w:val="16"/>
          <w:szCs w:val="16"/>
        </w:rPr>
        <w:tab/>
      </w:r>
      <w:r w:rsidRPr="005B2507">
        <w:rPr>
          <w:rFonts w:ascii="Verdana" w:hAnsi="Verdana"/>
          <w:i/>
          <w:sz w:val="16"/>
          <w:szCs w:val="16"/>
        </w:rPr>
        <w:t>Cfr. Caso "Instituto de Reeducación del Menor" Vs. Paraguay. Excepciones Preliminares, Fondo, Reparaciones y Costas</w:t>
      </w:r>
      <w:r w:rsidRPr="005B2507">
        <w:rPr>
          <w:rFonts w:ascii="Verdana" w:hAnsi="Verdana"/>
          <w:sz w:val="16"/>
          <w:szCs w:val="16"/>
        </w:rPr>
        <w:t xml:space="preserve">. Sentencia de 2 de septiembre de 2004. Serie C No. 112, párr. 223, y </w:t>
      </w:r>
      <w:r w:rsidR="00FE3319" w:rsidRPr="0037717D">
        <w:rPr>
          <w:rFonts w:ascii="Verdana" w:hAnsi="Verdana"/>
          <w:i/>
          <w:iCs/>
          <w:sz w:val="16"/>
          <w:szCs w:val="16"/>
        </w:rPr>
        <w:t>Caso Palacio Urrutia y otros Vs. Ecuador. Fondo, Reparaciones y Costas</w:t>
      </w:r>
      <w:r w:rsidR="00FE3319" w:rsidRPr="00FE3319">
        <w:rPr>
          <w:rFonts w:ascii="Verdana" w:hAnsi="Verdana"/>
          <w:sz w:val="16"/>
          <w:szCs w:val="16"/>
        </w:rPr>
        <w:t>. Sentencia de 24 de noviembre de 2021. Serie C No. 446</w:t>
      </w:r>
      <w:r w:rsidR="00FE3319">
        <w:rPr>
          <w:rStyle w:val="Textoennegrita"/>
          <w:rFonts w:ascii="Verdana" w:hAnsi="Verdana"/>
          <w:b w:val="0"/>
          <w:bCs w:val="0"/>
          <w:sz w:val="16"/>
          <w:szCs w:val="16"/>
        </w:rPr>
        <w:t>, párr. 130.</w:t>
      </w:r>
    </w:p>
  </w:footnote>
  <w:footnote w:id="86">
    <w:p w14:paraId="72289889" w14:textId="727A472F" w:rsidR="00640BC2" w:rsidRPr="005B2507" w:rsidRDefault="00640BC2" w:rsidP="005B2507">
      <w:pPr>
        <w:pStyle w:val="Textonotapie"/>
        <w:tabs>
          <w:tab w:val="left" w:pos="709"/>
        </w:tabs>
        <w:spacing w:before="120" w:after="120"/>
        <w:jc w:val="both"/>
        <w:rPr>
          <w:rFonts w:ascii="Verdana" w:hAnsi="Verdana"/>
          <w:sz w:val="16"/>
          <w:szCs w:val="16"/>
        </w:rPr>
      </w:pPr>
      <w:r w:rsidRPr="005B2507">
        <w:rPr>
          <w:rStyle w:val="Refdenotaalpie"/>
          <w:rFonts w:ascii="Verdana" w:hAnsi="Verdana"/>
          <w:sz w:val="16"/>
          <w:szCs w:val="16"/>
        </w:rPr>
        <w:footnoteRef/>
      </w:r>
      <w:r w:rsidRPr="005B2507">
        <w:rPr>
          <w:rFonts w:ascii="Verdana" w:hAnsi="Verdana"/>
          <w:sz w:val="16"/>
          <w:szCs w:val="16"/>
        </w:rPr>
        <w:t xml:space="preserve"> </w:t>
      </w:r>
      <w:r w:rsidRPr="005B2507">
        <w:rPr>
          <w:rFonts w:ascii="Verdana" w:hAnsi="Verdana"/>
          <w:sz w:val="16"/>
          <w:szCs w:val="16"/>
        </w:rPr>
        <w:tab/>
      </w:r>
      <w:r w:rsidRPr="005B2507">
        <w:rPr>
          <w:rFonts w:ascii="Verdana" w:hAnsi="Verdana"/>
          <w:i/>
          <w:sz w:val="16"/>
          <w:szCs w:val="16"/>
        </w:rPr>
        <w:t>Cfr. Caso Chaparro Álvarez y Lapo Íñiguez Vs. Ecuador. Excepciones Preliminares, Fondo, Reparaciones y Costas</w:t>
      </w:r>
      <w:r w:rsidRPr="005B2507">
        <w:rPr>
          <w:rFonts w:ascii="Verdana" w:hAnsi="Verdana"/>
          <w:sz w:val="16"/>
          <w:szCs w:val="16"/>
        </w:rPr>
        <w:t xml:space="preserve">. Sentencia de 21 de noviembre de 2007. Serie C No. 170, párr. 51, y </w:t>
      </w:r>
      <w:r w:rsidR="000F75B4" w:rsidRPr="00573429">
        <w:rPr>
          <w:rFonts w:ascii="Verdana" w:hAnsi="Verdana"/>
          <w:i/>
          <w:iCs/>
          <w:sz w:val="16"/>
          <w:szCs w:val="16"/>
        </w:rPr>
        <w:t>Caso Palacio Urrutia y otros Vs. Ecuador</w:t>
      </w:r>
      <w:r w:rsidR="000F75B4">
        <w:rPr>
          <w:rFonts w:ascii="Verdana" w:hAnsi="Verdana"/>
          <w:i/>
          <w:iCs/>
          <w:sz w:val="16"/>
          <w:szCs w:val="16"/>
        </w:rPr>
        <w:t>, supra</w:t>
      </w:r>
      <w:r w:rsidR="000F75B4">
        <w:rPr>
          <w:rStyle w:val="Textoennegrita"/>
          <w:rFonts w:ascii="Verdana" w:hAnsi="Verdana"/>
          <w:b w:val="0"/>
          <w:bCs w:val="0"/>
          <w:sz w:val="16"/>
          <w:szCs w:val="16"/>
        </w:rPr>
        <w:t>, párr. 130</w:t>
      </w:r>
    </w:p>
  </w:footnote>
  <w:footnote w:id="87">
    <w:p w14:paraId="52F4D318" w14:textId="1F720846" w:rsidR="002413D5" w:rsidRPr="005B2507" w:rsidRDefault="002413D5" w:rsidP="005B2507">
      <w:pPr>
        <w:pStyle w:val="Textonotapie"/>
        <w:tabs>
          <w:tab w:val="left" w:pos="709"/>
        </w:tabs>
        <w:spacing w:before="120" w:after="120"/>
        <w:jc w:val="both"/>
        <w:rPr>
          <w:rFonts w:ascii="Verdana" w:hAnsi="Verdana"/>
          <w:sz w:val="16"/>
          <w:szCs w:val="16"/>
        </w:rPr>
      </w:pPr>
      <w:r w:rsidRPr="005B2507">
        <w:rPr>
          <w:rStyle w:val="Refdenotaalpie"/>
          <w:rFonts w:ascii="Verdana" w:hAnsi="Verdana"/>
          <w:sz w:val="16"/>
          <w:szCs w:val="16"/>
        </w:rPr>
        <w:footnoteRef/>
      </w:r>
      <w:r w:rsidRPr="000823EE">
        <w:rPr>
          <w:rFonts w:ascii="Verdana" w:hAnsi="Verdana"/>
          <w:sz w:val="16"/>
          <w:szCs w:val="16"/>
        </w:rPr>
        <w:t xml:space="preserve"> </w:t>
      </w:r>
      <w:r w:rsidRPr="000823EE">
        <w:rPr>
          <w:rFonts w:ascii="Verdana" w:hAnsi="Verdana"/>
          <w:sz w:val="16"/>
          <w:szCs w:val="16"/>
        </w:rPr>
        <w:tab/>
      </w:r>
      <w:r w:rsidRPr="000823EE">
        <w:rPr>
          <w:rFonts w:ascii="Verdana" w:hAnsi="Verdana"/>
          <w:i/>
          <w:sz w:val="16"/>
          <w:szCs w:val="16"/>
        </w:rPr>
        <w:t xml:space="preserve">Cfr. Caso Gangaram Panday Vs. </w:t>
      </w:r>
      <w:r w:rsidRPr="005B2507">
        <w:rPr>
          <w:rFonts w:ascii="Verdana" w:hAnsi="Verdana"/>
          <w:i/>
          <w:sz w:val="16"/>
          <w:szCs w:val="16"/>
        </w:rPr>
        <w:t>Surinam. Fondo, Reparaciones y Costas.</w:t>
      </w:r>
      <w:r w:rsidRPr="005B2507">
        <w:rPr>
          <w:rFonts w:ascii="Verdana" w:hAnsi="Verdana"/>
          <w:sz w:val="16"/>
          <w:szCs w:val="16"/>
        </w:rPr>
        <w:t xml:space="preserve"> Sentencia de 21 de enero de 1994. Serie C No. 16, párr. 47, y </w:t>
      </w:r>
      <w:r w:rsidR="000F75B4" w:rsidRPr="0037717D">
        <w:rPr>
          <w:rFonts w:ascii="Verdana" w:hAnsi="Verdana"/>
          <w:i/>
          <w:iCs/>
          <w:sz w:val="16"/>
          <w:szCs w:val="16"/>
        </w:rPr>
        <w:t>Caso Villarroel Merino y otros Vs. Ecuador. Excepciones preliminares, Fondo, Reparaciones y Costas</w:t>
      </w:r>
      <w:r w:rsidR="000F75B4" w:rsidRPr="000F75B4">
        <w:rPr>
          <w:rFonts w:ascii="Verdana" w:hAnsi="Verdana"/>
          <w:sz w:val="16"/>
          <w:szCs w:val="16"/>
        </w:rPr>
        <w:t>. Sentencia de 24 de agosto de 2021. Serie C No. 430</w:t>
      </w:r>
      <w:r w:rsidR="00AD4A6D">
        <w:rPr>
          <w:rFonts w:ascii="Verdana" w:hAnsi="Verdana"/>
          <w:sz w:val="16"/>
          <w:szCs w:val="16"/>
        </w:rPr>
        <w:t>,</w:t>
      </w:r>
      <w:r w:rsidR="000F75B4" w:rsidRPr="000F75B4" w:rsidDel="000F75B4">
        <w:rPr>
          <w:rStyle w:val="Textoennegrita"/>
          <w:rFonts w:ascii="Verdana" w:hAnsi="Verdana"/>
          <w:b w:val="0"/>
          <w:bCs w:val="0"/>
          <w:sz w:val="16"/>
          <w:szCs w:val="16"/>
        </w:rPr>
        <w:t xml:space="preserve"> </w:t>
      </w:r>
      <w:r w:rsidRPr="005B2507">
        <w:rPr>
          <w:rStyle w:val="Textoennegrita"/>
          <w:rFonts w:ascii="Verdana" w:hAnsi="Verdana"/>
          <w:b w:val="0"/>
          <w:bCs w:val="0"/>
          <w:color w:val="000000"/>
          <w:sz w:val="16"/>
          <w:szCs w:val="16"/>
        </w:rPr>
        <w:t>párr. 91.</w:t>
      </w:r>
    </w:p>
  </w:footnote>
  <w:footnote w:id="88">
    <w:p w14:paraId="15532939" w14:textId="35FB8E9B" w:rsidR="002413D5" w:rsidRPr="005B2507" w:rsidRDefault="002413D5" w:rsidP="005B2507">
      <w:pPr>
        <w:pStyle w:val="Textonotapie"/>
        <w:tabs>
          <w:tab w:val="left" w:pos="709"/>
        </w:tabs>
        <w:spacing w:before="120" w:after="120"/>
        <w:jc w:val="both"/>
        <w:rPr>
          <w:rFonts w:ascii="Verdana" w:hAnsi="Verdana"/>
          <w:sz w:val="16"/>
          <w:szCs w:val="16"/>
        </w:rPr>
      </w:pPr>
      <w:r w:rsidRPr="005B2507">
        <w:rPr>
          <w:rStyle w:val="Refdenotaalpie"/>
          <w:rFonts w:ascii="Verdana" w:hAnsi="Verdana"/>
          <w:sz w:val="16"/>
          <w:szCs w:val="16"/>
        </w:rPr>
        <w:footnoteRef/>
      </w:r>
      <w:r w:rsidRPr="005B2507">
        <w:rPr>
          <w:rFonts w:ascii="Verdana" w:hAnsi="Verdana"/>
          <w:sz w:val="16"/>
          <w:szCs w:val="16"/>
        </w:rPr>
        <w:t xml:space="preserve"> </w:t>
      </w:r>
      <w:r w:rsidRPr="005B2507">
        <w:rPr>
          <w:rFonts w:ascii="Verdana" w:hAnsi="Verdana"/>
          <w:sz w:val="16"/>
          <w:szCs w:val="16"/>
        </w:rPr>
        <w:tab/>
      </w:r>
      <w:r w:rsidRPr="005B2507">
        <w:rPr>
          <w:rFonts w:ascii="Verdana" w:hAnsi="Verdana"/>
          <w:i/>
          <w:sz w:val="16"/>
          <w:szCs w:val="16"/>
        </w:rPr>
        <w:t>Cfr. Caso Chaparro Álvarez y Lapo Íñiguez Vs. Ecuador</w:t>
      </w:r>
      <w:r w:rsidR="00AD4A6D">
        <w:rPr>
          <w:rFonts w:ascii="Verdana" w:hAnsi="Verdana"/>
          <w:i/>
          <w:sz w:val="16"/>
          <w:szCs w:val="16"/>
        </w:rPr>
        <w:t>, supra</w:t>
      </w:r>
      <w:r w:rsidRPr="005B2507">
        <w:rPr>
          <w:rFonts w:ascii="Verdana" w:hAnsi="Verdana"/>
          <w:sz w:val="16"/>
          <w:szCs w:val="16"/>
        </w:rPr>
        <w:t xml:space="preserve">, párr. 92, y </w:t>
      </w:r>
      <w:r w:rsidR="00AD4A6D" w:rsidRPr="00573429">
        <w:rPr>
          <w:rFonts w:ascii="Verdana" w:hAnsi="Verdana"/>
          <w:i/>
          <w:iCs/>
          <w:sz w:val="16"/>
          <w:szCs w:val="16"/>
        </w:rPr>
        <w:t>Caso Villarroel Merino y otros Vs. Ecuador</w:t>
      </w:r>
      <w:r w:rsidR="00AD4A6D">
        <w:rPr>
          <w:rStyle w:val="Textoennegrita"/>
          <w:rFonts w:ascii="Verdana" w:hAnsi="Verdana"/>
          <w:b w:val="0"/>
          <w:bCs w:val="0"/>
          <w:i/>
          <w:color w:val="000000"/>
          <w:sz w:val="16"/>
          <w:szCs w:val="16"/>
        </w:rPr>
        <w:t>, supra</w:t>
      </w:r>
      <w:r w:rsidR="00AD4A6D" w:rsidRPr="0037717D">
        <w:rPr>
          <w:rStyle w:val="Textoennegrita"/>
          <w:rFonts w:ascii="Verdana" w:hAnsi="Verdana"/>
          <w:b w:val="0"/>
          <w:bCs w:val="0"/>
          <w:iCs/>
          <w:color w:val="000000"/>
          <w:sz w:val="16"/>
          <w:szCs w:val="16"/>
        </w:rPr>
        <w:t>, párr. 86.</w:t>
      </w:r>
    </w:p>
  </w:footnote>
  <w:footnote w:id="89">
    <w:p w14:paraId="32611998" w14:textId="34BB9EA8" w:rsidR="002413D5" w:rsidRPr="005B2507" w:rsidRDefault="002413D5" w:rsidP="005B2507">
      <w:pPr>
        <w:pStyle w:val="Textonotapie"/>
        <w:tabs>
          <w:tab w:val="left" w:pos="709"/>
        </w:tabs>
        <w:spacing w:before="120" w:after="120"/>
        <w:jc w:val="both"/>
        <w:rPr>
          <w:rFonts w:ascii="Verdana" w:hAnsi="Verdana"/>
          <w:sz w:val="16"/>
          <w:szCs w:val="16"/>
        </w:rPr>
      </w:pPr>
      <w:r w:rsidRPr="005B2507">
        <w:rPr>
          <w:rStyle w:val="Refdenotaalpie"/>
          <w:rFonts w:ascii="Verdana" w:hAnsi="Verdana"/>
          <w:sz w:val="16"/>
          <w:szCs w:val="16"/>
        </w:rPr>
        <w:footnoteRef/>
      </w:r>
      <w:r w:rsidRPr="005B2507">
        <w:rPr>
          <w:rFonts w:ascii="Verdana" w:hAnsi="Verdana"/>
          <w:sz w:val="16"/>
          <w:szCs w:val="16"/>
        </w:rPr>
        <w:t xml:space="preserve"> </w:t>
      </w:r>
      <w:r w:rsidRPr="005B2507">
        <w:rPr>
          <w:rFonts w:ascii="Verdana" w:hAnsi="Verdana"/>
          <w:sz w:val="16"/>
          <w:szCs w:val="16"/>
        </w:rPr>
        <w:tab/>
      </w:r>
      <w:r w:rsidRPr="005B2507">
        <w:rPr>
          <w:rFonts w:ascii="Verdana" w:hAnsi="Verdana"/>
          <w:i/>
          <w:sz w:val="16"/>
          <w:szCs w:val="16"/>
        </w:rPr>
        <w:t>Cfr. Caso Servellón García y otros Vs. Honduras. Excepción Preliminar, Fondo, Reparaciones y Costas.</w:t>
      </w:r>
      <w:r w:rsidRPr="005B2507">
        <w:rPr>
          <w:rFonts w:ascii="Verdana" w:hAnsi="Verdana"/>
          <w:sz w:val="16"/>
          <w:szCs w:val="16"/>
        </w:rPr>
        <w:t xml:space="preserve"> Sentencia de 21 de septiembre de 2006. Serie C No. 152, párr. 89, y </w:t>
      </w:r>
      <w:r w:rsidR="00DB1A66" w:rsidRPr="0037717D">
        <w:rPr>
          <w:rFonts w:ascii="Verdana" w:hAnsi="Verdana"/>
          <w:i/>
          <w:iCs/>
          <w:sz w:val="16"/>
          <w:szCs w:val="16"/>
        </w:rPr>
        <w:t>Caso Manuela y otros Vs. El Salvador. Excepciones preliminares, Fondo, Reparaciones y Costas</w:t>
      </w:r>
      <w:r w:rsidR="00DB1A66" w:rsidRPr="00DB1A66">
        <w:rPr>
          <w:rFonts w:ascii="Verdana" w:hAnsi="Verdana"/>
          <w:sz w:val="16"/>
          <w:szCs w:val="16"/>
        </w:rPr>
        <w:t>. Sentencia de 2 de noviembre de 2021. Serie C No. 441</w:t>
      </w:r>
      <w:r w:rsidR="00DB1A66">
        <w:rPr>
          <w:rFonts w:ascii="Verdana" w:hAnsi="Verdana"/>
          <w:sz w:val="16"/>
          <w:szCs w:val="16"/>
        </w:rPr>
        <w:t>, párr. 99.</w:t>
      </w:r>
      <w:r w:rsidR="00DB1A66" w:rsidRPr="00DB1A66" w:rsidDel="00DB1A66">
        <w:rPr>
          <w:rStyle w:val="Textoennegrita"/>
          <w:rFonts w:ascii="Verdana" w:hAnsi="Verdana"/>
          <w:b w:val="0"/>
          <w:bCs w:val="0"/>
          <w:sz w:val="16"/>
          <w:szCs w:val="16"/>
        </w:rPr>
        <w:t xml:space="preserve"> </w:t>
      </w:r>
    </w:p>
  </w:footnote>
  <w:footnote w:id="90">
    <w:p w14:paraId="521FA44D" w14:textId="4F36410D" w:rsidR="002413D5" w:rsidRPr="005B2507" w:rsidRDefault="002413D5" w:rsidP="005B2507">
      <w:pPr>
        <w:pStyle w:val="Textonotapie"/>
        <w:tabs>
          <w:tab w:val="left" w:pos="709"/>
        </w:tabs>
        <w:spacing w:before="120" w:after="120"/>
        <w:jc w:val="both"/>
        <w:rPr>
          <w:rFonts w:ascii="Verdana" w:hAnsi="Verdana"/>
          <w:sz w:val="16"/>
          <w:szCs w:val="16"/>
        </w:rPr>
      </w:pPr>
      <w:r w:rsidRPr="005B2507">
        <w:rPr>
          <w:rStyle w:val="Refdenotaalpie"/>
          <w:rFonts w:ascii="Verdana" w:hAnsi="Verdana"/>
          <w:sz w:val="16"/>
          <w:szCs w:val="16"/>
        </w:rPr>
        <w:footnoteRef/>
      </w:r>
      <w:r w:rsidRPr="000823EE">
        <w:rPr>
          <w:rFonts w:ascii="Verdana" w:hAnsi="Verdana"/>
          <w:sz w:val="16"/>
          <w:szCs w:val="16"/>
        </w:rPr>
        <w:t xml:space="preserve"> </w:t>
      </w:r>
      <w:r w:rsidRPr="000823EE">
        <w:rPr>
          <w:rFonts w:ascii="Verdana" w:hAnsi="Verdana"/>
          <w:sz w:val="16"/>
          <w:szCs w:val="16"/>
        </w:rPr>
        <w:tab/>
      </w:r>
      <w:r w:rsidRPr="000823EE">
        <w:rPr>
          <w:rFonts w:ascii="Verdana" w:hAnsi="Verdana"/>
          <w:i/>
          <w:sz w:val="16"/>
          <w:szCs w:val="16"/>
        </w:rPr>
        <w:t xml:space="preserve">Cfr. Caso Palamara Iribarne Vs. </w:t>
      </w:r>
      <w:r w:rsidRPr="005B2507">
        <w:rPr>
          <w:rFonts w:ascii="Verdana" w:hAnsi="Verdana"/>
          <w:i/>
          <w:sz w:val="16"/>
          <w:szCs w:val="16"/>
        </w:rPr>
        <w:t>Chile. Fondo, Reparaciones y Costas</w:t>
      </w:r>
      <w:r w:rsidRPr="005B2507">
        <w:rPr>
          <w:rFonts w:ascii="Verdana" w:hAnsi="Verdana"/>
          <w:sz w:val="16"/>
          <w:szCs w:val="16"/>
        </w:rPr>
        <w:t xml:space="preserve">. Sentencia de 22 de noviembre de 2005. Serie C No. 135, párr. 197, y </w:t>
      </w:r>
      <w:r w:rsidR="00DB1A66" w:rsidRPr="00573429">
        <w:rPr>
          <w:rFonts w:ascii="Verdana" w:hAnsi="Verdana"/>
          <w:i/>
          <w:iCs/>
          <w:sz w:val="16"/>
          <w:szCs w:val="16"/>
        </w:rPr>
        <w:t>Caso Manuela y otros Vs. El Salvador</w:t>
      </w:r>
      <w:r w:rsidR="00DB1A66">
        <w:rPr>
          <w:rFonts w:ascii="Verdana" w:hAnsi="Verdana"/>
          <w:i/>
          <w:iCs/>
          <w:sz w:val="16"/>
          <w:szCs w:val="16"/>
        </w:rPr>
        <w:t>, supra</w:t>
      </w:r>
      <w:r w:rsidR="00DB1A66">
        <w:rPr>
          <w:rFonts w:ascii="Verdana" w:hAnsi="Verdana"/>
          <w:sz w:val="16"/>
          <w:szCs w:val="16"/>
        </w:rPr>
        <w:t>, párr. 99.</w:t>
      </w:r>
      <w:r w:rsidR="00DB1A66" w:rsidRPr="00DB1A66" w:rsidDel="00DB1A66">
        <w:rPr>
          <w:rStyle w:val="Textoennegrita"/>
          <w:rFonts w:ascii="Verdana" w:hAnsi="Verdana"/>
          <w:b w:val="0"/>
          <w:bCs w:val="0"/>
          <w:sz w:val="16"/>
          <w:szCs w:val="16"/>
        </w:rPr>
        <w:t xml:space="preserve"> </w:t>
      </w:r>
    </w:p>
  </w:footnote>
  <w:footnote w:id="91">
    <w:p w14:paraId="22EEEDC6" w14:textId="04DEE143" w:rsidR="002413D5" w:rsidRPr="005B2507" w:rsidRDefault="002413D5" w:rsidP="005B2507">
      <w:pPr>
        <w:pStyle w:val="Textonotapie"/>
        <w:tabs>
          <w:tab w:val="left" w:pos="709"/>
        </w:tabs>
        <w:spacing w:before="120" w:after="120"/>
        <w:jc w:val="both"/>
        <w:rPr>
          <w:rFonts w:ascii="Verdana" w:hAnsi="Verdana"/>
          <w:sz w:val="16"/>
          <w:szCs w:val="16"/>
        </w:rPr>
      </w:pPr>
      <w:r w:rsidRPr="005B2507">
        <w:rPr>
          <w:rStyle w:val="Refdenotaalpie"/>
          <w:rFonts w:ascii="Verdana" w:hAnsi="Verdana"/>
          <w:sz w:val="16"/>
          <w:szCs w:val="16"/>
        </w:rPr>
        <w:footnoteRef/>
      </w:r>
      <w:r w:rsidRPr="005B2507">
        <w:rPr>
          <w:rFonts w:ascii="Verdana" w:hAnsi="Verdana"/>
          <w:sz w:val="16"/>
          <w:szCs w:val="16"/>
        </w:rPr>
        <w:t xml:space="preserve"> </w:t>
      </w:r>
      <w:r w:rsidRPr="005B2507">
        <w:rPr>
          <w:rFonts w:ascii="Verdana" w:hAnsi="Verdana"/>
          <w:sz w:val="16"/>
          <w:szCs w:val="16"/>
        </w:rPr>
        <w:tab/>
      </w:r>
      <w:r w:rsidRPr="005B2507">
        <w:rPr>
          <w:rFonts w:ascii="Verdana" w:hAnsi="Verdana"/>
          <w:i/>
          <w:sz w:val="16"/>
          <w:szCs w:val="16"/>
        </w:rPr>
        <w:t xml:space="preserve">Cfr. Caso García Asto y Ramírez Rojas Vs. Perú. Excepción Preliminar, Fondo, Reparaciones y Costas. </w:t>
      </w:r>
      <w:r w:rsidRPr="005B2507">
        <w:rPr>
          <w:rFonts w:ascii="Verdana" w:hAnsi="Verdana"/>
          <w:sz w:val="16"/>
          <w:szCs w:val="16"/>
        </w:rPr>
        <w:t xml:space="preserve">Sentencia de 25 de noviembre de 2005. Serie C No. 137, párr. 128, </w:t>
      </w:r>
      <w:r w:rsidR="00DB1A66" w:rsidRPr="005B2507">
        <w:rPr>
          <w:rFonts w:ascii="Verdana" w:hAnsi="Verdana"/>
          <w:sz w:val="16"/>
          <w:szCs w:val="16"/>
        </w:rPr>
        <w:t xml:space="preserve">y </w:t>
      </w:r>
      <w:r w:rsidR="00DB1A66" w:rsidRPr="00573429">
        <w:rPr>
          <w:rFonts w:ascii="Verdana" w:hAnsi="Verdana"/>
          <w:i/>
          <w:iCs/>
          <w:sz w:val="16"/>
          <w:szCs w:val="16"/>
        </w:rPr>
        <w:t>Caso Manuela y otros Vs. El Salvador</w:t>
      </w:r>
      <w:r w:rsidR="00DB1A66">
        <w:rPr>
          <w:rFonts w:ascii="Verdana" w:hAnsi="Verdana"/>
          <w:i/>
          <w:iCs/>
          <w:sz w:val="16"/>
          <w:szCs w:val="16"/>
        </w:rPr>
        <w:t>, supra</w:t>
      </w:r>
      <w:r w:rsidR="00DB1A66">
        <w:rPr>
          <w:rFonts w:ascii="Verdana" w:hAnsi="Verdana"/>
          <w:sz w:val="16"/>
          <w:szCs w:val="16"/>
        </w:rPr>
        <w:t>, párr. 99.</w:t>
      </w:r>
      <w:r w:rsidR="00DB1A66" w:rsidRPr="00DB1A66" w:rsidDel="00DB1A66">
        <w:rPr>
          <w:rStyle w:val="Textoennegrita"/>
          <w:rFonts w:ascii="Verdana" w:hAnsi="Verdana"/>
          <w:b w:val="0"/>
          <w:bCs w:val="0"/>
          <w:sz w:val="16"/>
          <w:szCs w:val="16"/>
        </w:rPr>
        <w:t xml:space="preserve"> </w:t>
      </w:r>
    </w:p>
  </w:footnote>
  <w:footnote w:id="92">
    <w:p w14:paraId="78927CBC" w14:textId="729BA508" w:rsidR="00E05F5A" w:rsidRPr="005B2507" w:rsidRDefault="00E05F5A" w:rsidP="005B2507">
      <w:pPr>
        <w:tabs>
          <w:tab w:val="left" w:pos="709"/>
        </w:tabs>
        <w:spacing w:before="120" w:after="120"/>
        <w:jc w:val="both"/>
        <w:rPr>
          <w:rFonts w:ascii="Verdana" w:hAnsi="Verdana"/>
          <w:color w:val="000000" w:themeColor="text1"/>
          <w:sz w:val="16"/>
          <w:szCs w:val="16"/>
        </w:rPr>
      </w:pPr>
      <w:r w:rsidRPr="005B2507">
        <w:rPr>
          <w:rStyle w:val="Refdenotaalpie"/>
          <w:rFonts w:ascii="Verdana" w:eastAsia="MS Gothic" w:hAnsi="Verdana"/>
          <w:color w:val="000000" w:themeColor="text1"/>
          <w:sz w:val="16"/>
          <w:szCs w:val="16"/>
        </w:rPr>
        <w:footnoteRef/>
      </w:r>
      <w:r w:rsidRPr="005B2507">
        <w:rPr>
          <w:rFonts w:ascii="Verdana" w:hAnsi="Verdana"/>
          <w:color w:val="000000" w:themeColor="text1"/>
          <w:sz w:val="16"/>
          <w:szCs w:val="16"/>
        </w:rPr>
        <w:t xml:space="preserve"> </w:t>
      </w:r>
      <w:r w:rsidRPr="005B2507">
        <w:rPr>
          <w:rFonts w:ascii="Verdana" w:hAnsi="Verdana"/>
          <w:color w:val="000000" w:themeColor="text1"/>
          <w:sz w:val="16"/>
          <w:szCs w:val="16"/>
        </w:rPr>
        <w:tab/>
      </w:r>
      <w:r w:rsidRPr="005B2507">
        <w:rPr>
          <w:rFonts w:ascii="Verdana" w:hAnsi="Verdana"/>
          <w:i/>
          <w:color w:val="000000" w:themeColor="text1"/>
          <w:sz w:val="16"/>
          <w:szCs w:val="16"/>
        </w:rPr>
        <w:t>Cfr.</w:t>
      </w:r>
      <w:r w:rsidRPr="005B2507">
        <w:rPr>
          <w:rFonts w:ascii="Verdana" w:hAnsi="Verdana"/>
          <w:b/>
          <w:color w:val="000000" w:themeColor="text1"/>
          <w:sz w:val="16"/>
          <w:szCs w:val="16"/>
        </w:rPr>
        <w:t xml:space="preserve"> </w:t>
      </w:r>
      <w:r w:rsidR="00656D6B" w:rsidRPr="0037717D">
        <w:rPr>
          <w:rFonts w:ascii="Verdana" w:hAnsi="Verdana"/>
          <w:bCs/>
          <w:i/>
          <w:iCs/>
          <w:color w:val="000000" w:themeColor="text1"/>
          <w:sz w:val="16"/>
          <w:szCs w:val="16"/>
        </w:rPr>
        <w:t>Caso Yatama Vs. Nicaragua</w:t>
      </w:r>
      <w:r w:rsidR="00656D6B" w:rsidRPr="0037717D">
        <w:rPr>
          <w:rFonts w:ascii="Verdana" w:hAnsi="Verdana"/>
          <w:bCs/>
          <w:color w:val="000000" w:themeColor="text1"/>
          <w:sz w:val="16"/>
          <w:szCs w:val="16"/>
        </w:rPr>
        <w:t xml:space="preserve">. </w:t>
      </w:r>
      <w:r w:rsidR="00656D6B" w:rsidRPr="0037717D">
        <w:rPr>
          <w:rFonts w:ascii="Verdana" w:hAnsi="Verdana"/>
          <w:bCs/>
          <w:i/>
          <w:iCs/>
          <w:color w:val="000000" w:themeColor="text1"/>
          <w:sz w:val="16"/>
          <w:szCs w:val="16"/>
        </w:rPr>
        <w:t>Excepciones Preliminares, Fondo, Reparaciones y Costas</w:t>
      </w:r>
      <w:r w:rsidR="00656D6B" w:rsidRPr="0037717D">
        <w:rPr>
          <w:rFonts w:ascii="Verdana" w:hAnsi="Verdana"/>
          <w:bCs/>
          <w:color w:val="000000" w:themeColor="text1"/>
          <w:sz w:val="16"/>
          <w:szCs w:val="16"/>
        </w:rPr>
        <w:t>. Sentencia de 23 de junio de 2005. Serie C No. 127</w:t>
      </w:r>
      <w:r w:rsidRPr="00656D6B">
        <w:rPr>
          <w:rFonts w:ascii="Verdana" w:hAnsi="Verdana"/>
          <w:bCs/>
          <w:color w:val="000000" w:themeColor="text1"/>
          <w:sz w:val="16"/>
          <w:szCs w:val="16"/>
        </w:rPr>
        <w:t>,</w:t>
      </w:r>
      <w:r w:rsidRPr="005B2507">
        <w:rPr>
          <w:rFonts w:ascii="Verdana" w:hAnsi="Verdana"/>
          <w:color w:val="000000" w:themeColor="text1"/>
          <w:sz w:val="16"/>
          <w:szCs w:val="16"/>
        </w:rPr>
        <w:t xml:space="preserve"> párr. 152, y </w:t>
      </w:r>
      <w:r w:rsidR="00101E4A" w:rsidRPr="005B2507">
        <w:rPr>
          <w:rFonts w:ascii="Verdana" w:hAnsi="Verdana" w:cs="Open Sans"/>
          <w:i/>
          <w:iCs/>
          <w:color w:val="000000" w:themeColor="text1"/>
          <w:sz w:val="16"/>
          <w:szCs w:val="16"/>
          <w:shd w:val="clear" w:color="auto" w:fill="FFFFFF"/>
        </w:rPr>
        <w:t>Caso Vélez Loor Vs. Panamá</w:t>
      </w:r>
      <w:r w:rsidR="00656D6B">
        <w:rPr>
          <w:rFonts w:ascii="Verdana" w:hAnsi="Verdana" w:cs="Open Sans"/>
          <w:i/>
          <w:iCs/>
          <w:color w:val="000000" w:themeColor="text1"/>
          <w:sz w:val="16"/>
          <w:szCs w:val="16"/>
          <w:shd w:val="clear" w:color="auto" w:fill="FFFFFF"/>
        </w:rPr>
        <w:t>, supra</w:t>
      </w:r>
      <w:r w:rsidR="00101E4A" w:rsidRPr="005B2507">
        <w:rPr>
          <w:rFonts w:ascii="Verdana" w:hAnsi="Verdana" w:cs="Open Sans"/>
          <w:color w:val="000000" w:themeColor="text1"/>
          <w:sz w:val="16"/>
          <w:szCs w:val="16"/>
          <w:shd w:val="clear" w:color="auto" w:fill="FFFFFF"/>
        </w:rPr>
        <w:t xml:space="preserve">, párr. 116. </w:t>
      </w:r>
    </w:p>
  </w:footnote>
  <w:footnote w:id="93">
    <w:p w14:paraId="3EC49F3B" w14:textId="481C0CE2" w:rsidR="00B342F1" w:rsidRPr="005B2507" w:rsidRDefault="00B342F1" w:rsidP="005B2507">
      <w:pPr>
        <w:pStyle w:val="Textonotapie"/>
        <w:tabs>
          <w:tab w:val="left" w:pos="709"/>
        </w:tabs>
        <w:spacing w:before="120" w:after="120"/>
        <w:jc w:val="both"/>
        <w:rPr>
          <w:rFonts w:ascii="Verdana" w:hAnsi="Verdana"/>
          <w:color w:val="000000" w:themeColor="text1"/>
          <w:sz w:val="16"/>
          <w:szCs w:val="16"/>
          <w:lang w:val="es-CL"/>
        </w:rPr>
      </w:pPr>
      <w:r w:rsidRPr="005B2507">
        <w:rPr>
          <w:rStyle w:val="Refdenotaalpie"/>
          <w:rFonts w:ascii="Verdana" w:eastAsiaTheme="majorEastAsia" w:hAnsi="Verdana"/>
          <w:color w:val="000000" w:themeColor="text1"/>
          <w:sz w:val="16"/>
          <w:szCs w:val="16"/>
        </w:rPr>
        <w:footnoteRef/>
      </w:r>
      <w:r w:rsidRPr="005B2507">
        <w:rPr>
          <w:rFonts w:ascii="Verdana" w:hAnsi="Verdana"/>
          <w:color w:val="000000" w:themeColor="text1"/>
          <w:sz w:val="16"/>
          <w:szCs w:val="16"/>
          <w:lang w:val="es-CL"/>
        </w:rPr>
        <w:t xml:space="preserve"> </w:t>
      </w:r>
      <w:r w:rsidRPr="005B2507">
        <w:rPr>
          <w:rFonts w:ascii="Verdana" w:hAnsi="Verdana"/>
          <w:color w:val="000000" w:themeColor="text1"/>
          <w:sz w:val="16"/>
          <w:szCs w:val="16"/>
          <w:lang w:val="es-CL"/>
        </w:rPr>
        <w:tab/>
      </w:r>
      <w:r w:rsidRPr="005B2507">
        <w:rPr>
          <w:rFonts w:ascii="Verdana" w:hAnsi="Verdana"/>
          <w:bCs/>
          <w:i/>
          <w:color w:val="000000" w:themeColor="text1"/>
          <w:sz w:val="16"/>
          <w:szCs w:val="16"/>
          <w:lang w:val="es-CL"/>
        </w:rPr>
        <w:t>Cfr</w:t>
      </w:r>
      <w:r w:rsidRPr="005B2507">
        <w:rPr>
          <w:rFonts w:ascii="Verdana" w:hAnsi="Verdana"/>
          <w:bCs/>
          <w:color w:val="000000" w:themeColor="text1"/>
          <w:sz w:val="16"/>
          <w:szCs w:val="16"/>
          <w:lang w:val="es-CL"/>
        </w:rPr>
        <w:t xml:space="preserve">. </w:t>
      </w:r>
      <w:r w:rsidR="00626539" w:rsidRPr="0037717D">
        <w:rPr>
          <w:rFonts w:ascii="Verdana" w:hAnsi="Verdana"/>
          <w:bCs/>
          <w:i/>
          <w:iCs/>
          <w:color w:val="000000" w:themeColor="text1"/>
          <w:sz w:val="16"/>
          <w:szCs w:val="16"/>
          <w:lang w:val="es-CL"/>
        </w:rPr>
        <w:t>Condición jurídica y derechos humanos del niño</w:t>
      </w:r>
      <w:r w:rsidR="00626539" w:rsidRPr="00626539">
        <w:rPr>
          <w:rFonts w:ascii="Verdana" w:hAnsi="Verdana"/>
          <w:bCs/>
          <w:color w:val="000000" w:themeColor="text1"/>
          <w:sz w:val="16"/>
          <w:szCs w:val="16"/>
          <w:lang w:val="es-CL"/>
        </w:rPr>
        <w:t>. Opinión Consultiva OC-17/02 de 28 de agosto de 2002. Serie A No. 17</w:t>
      </w:r>
      <w:r w:rsidRPr="005B2507">
        <w:rPr>
          <w:rFonts w:ascii="Verdana" w:hAnsi="Verdana"/>
          <w:bCs/>
          <w:i/>
          <w:color w:val="000000" w:themeColor="text1"/>
          <w:sz w:val="16"/>
          <w:szCs w:val="16"/>
          <w:lang w:val="es-CL"/>
        </w:rPr>
        <w:t>, supra</w:t>
      </w:r>
      <w:r w:rsidRPr="005B2507">
        <w:rPr>
          <w:rFonts w:ascii="Verdana" w:hAnsi="Verdana"/>
          <w:bCs/>
          <w:color w:val="000000" w:themeColor="text1"/>
          <w:sz w:val="16"/>
          <w:szCs w:val="16"/>
          <w:lang w:val="es-CL"/>
        </w:rPr>
        <w:t xml:space="preserve">, párrs. 96 a 98, y </w:t>
      </w:r>
      <w:r w:rsidR="009E74D5" w:rsidRPr="005B2507">
        <w:rPr>
          <w:rFonts w:ascii="Verdana" w:hAnsi="Verdana" w:cs="Open Sans"/>
          <w:color w:val="000000" w:themeColor="text1"/>
          <w:sz w:val="16"/>
          <w:szCs w:val="16"/>
          <w:shd w:val="clear" w:color="auto" w:fill="FFFFFF"/>
        </w:rPr>
        <w:t xml:space="preserve">Opinión Consultiva OC-21/14, </w:t>
      </w:r>
      <w:r w:rsidR="009E74D5" w:rsidRPr="005B2507">
        <w:rPr>
          <w:rFonts w:ascii="Verdana" w:hAnsi="Verdana" w:cs="Open Sans"/>
          <w:i/>
          <w:iCs/>
          <w:color w:val="000000" w:themeColor="text1"/>
          <w:sz w:val="16"/>
          <w:szCs w:val="16"/>
          <w:shd w:val="clear" w:color="auto" w:fill="FFFFFF"/>
        </w:rPr>
        <w:t>supra</w:t>
      </w:r>
      <w:r w:rsidR="009E74D5" w:rsidRPr="005B2507">
        <w:rPr>
          <w:rFonts w:ascii="Verdana" w:hAnsi="Verdana" w:cs="Open Sans"/>
          <w:color w:val="000000" w:themeColor="text1"/>
          <w:sz w:val="16"/>
          <w:szCs w:val="16"/>
          <w:shd w:val="clear" w:color="auto" w:fill="FFFFFF"/>
        </w:rPr>
        <w:t>, párr. 115.</w:t>
      </w:r>
    </w:p>
  </w:footnote>
  <w:footnote w:id="94">
    <w:p w14:paraId="6526BBFD" w14:textId="3262A8A5" w:rsidR="001D3056" w:rsidRPr="005B2507" w:rsidRDefault="001D3056" w:rsidP="005B2507">
      <w:pPr>
        <w:pStyle w:val="Textonotapie"/>
        <w:tabs>
          <w:tab w:val="left" w:pos="709"/>
        </w:tabs>
        <w:spacing w:before="120" w:after="120"/>
        <w:jc w:val="both"/>
        <w:rPr>
          <w:rFonts w:ascii="Verdana" w:hAnsi="Verdana"/>
          <w:color w:val="000000" w:themeColor="text1"/>
          <w:sz w:val="16"/>
          <w:szCs w:val="16"/>
        </w:rPr>
      </w:pPr>
      <w:r w:rsidRPr="005B2507">
        <w:rPr>
          <w:rStyle w:val="Refdenotaalpie"/>
          <w:rFonts w:ascii="Verdana" w:eastAsiaTheme="majorEastAsia" w:hAnsi="Verdana"/>
          <w:color w:val="000000" w:themeColor="text1"/>
          <w:sz w:val="16"/>
          <w:szCs w:val="16"/>
        </w:rPr>
        <w:footnoteRef/>
      </w:r>
      <w:r w:rsidRPr="005B2507">
        <w:rPr>
          <w:rFonts w:ascii="Verdana" w:hAnsi="Verdana"/>
          <w:color w:val="000000" w:themeColor="text1"/>
          <w:sz w:val="16"/>
          <w:szCs w:val="16"/>
        </w:rPr>
        <w:t xml:space="preserve"> </w:t>
      </w:r>
      <w:r w:rsidRPr="005B2507">
        <w:rPr>
          <w:rFonts w:ascii="Verdana" w:hAnsi="Verdana"/>
          <w:color w:val="000000" w:themeColor="text1"/>
          <w:sz w:val="16"/>
          <w:szCs w:val="16"/>
        </w:rPr>
        <w:tab/>
      </w:r>
      <w:r w:rsidRPr="005B2507">
        <w:rPr>
          <w:rFonts w:ascii="Verdana" w:hAnsi="Verdana"/>
          <w:i/>
          <w:color w:val="000000" w:themeColor="text1"/>
          <w:sz w:val="16"/>
          <w:szCs w:val="16"/>
        </w:rPr>
        <w:t xml:space="preserve">Cfr. </w:t>
      </w:r>
      <w:r w:rsidRPr="005B2507">
        <w:rPr>
          <w:rFonts w:ascii="Verdana" w:hAnsi="Verdana" w:cs="Open Sans"/>
          <w:color w:val="000000" w:themeColor="text1"/>
          <w:sz w:val="16"/>
          <w:szCs w:val="16"/>
          <w:shd w:val="clear" w:color="auto" w:fill="FFFFFF"/>
        </w:rPr>
        <w:t xml:space="preserve">Opinión Consultiva OC-21/14, </w:t>
      </w:r>
      <w:r w:rsidRPr="005B2507">
        <w:rPr>
          <w:rFonts w:ascii="Verdana" w:hAnsi="Verdana" w:cs="Open Sans"/>
          <w:i/>
          <w:iCs/>
          <w:color w:val="000000" w:themeColor="text1"/>
          <w:sz w:val="16"/>
          <w:szCs w:val="16"/>
          <w:shd w:val="clear" w:color="auto" w:fill="FFFFFF"/>
        </w:rPr>
        <w:t>supra</w:t>
      </w:r>
      <w:r w:rsidRPr="005B2507">
        <w:rPr>
          <w:rFonts w:ascii="Verdana" w:hAnsi="Verdana" w:cs="Open Sans"/>
          <w:color w:val="000000" w:themeColor="text1"/>
          <w:sz w:val="16"/>
          <w:szCs w:val="16"/>
          <w:shd w:val="clear" w:color="auto" w:fill="FFFFFF"/>
        </w:rPr>
        <w:t>, párr. 115</w:t>
      </w:r>
      <w:r w:rsidR="008178E8" w:rsidRPr="005B2507">
        <w:rPr>
          <w:rFonts w:ascii="Verdana" w:hAnsi="Verdana" w:cs="Open Sans"/>
          <w:color w:val="000000" w:themeColor="text1"/>
          <w:sz w:val="16"/>
          <w:szCs w:val="16"/>
          <w:shd w:val="clear" w:color="auto" w:fill="FFFFFF"/>
        </w:rPr>
        <w:t>, y Comité de los Derechos del Niño</w:t>
      </w:r>
      <w:r w:rsidR="00626539">
        <w:rPr>
          <w:rFonts w:ascii="Verdana" w:hAnsi="Verdana" w:cs="Open Sans"/>
          <w:color w:val="000000" w:themeColor="text1"/>
          <w:sz w:val="16"/>
          <w:szCs w:val="16"/>
          <w:shd w:val="clear" w:color="auto" w:fill="FFFFFF"/>
        </w:rPr>
        <w:t>,</w:t>
      </w:r>
      <w:r w:rsidR="00626539" w:rsidRPr="00626539">
        <w:t xml:space="preserve"> </w:t>
      </w:r>
      <w:r w:rsidR="00626539" w:rsidRPr="00626539">
        <w:rPr>
          <w:rFonts w:ascii="Verdana" w:hAnsi="Verdana" w:cs="Open Sans"/>
          <w:color w:val="000000" w:themeColor="text1"/>
          <w:sz w:val="16"/>
          <w:szCs w:val="16"/>
          <w:shd w:val="clear" w:color="auto" w:fill="FFFFFF"/>
        </w:rPr>
        <w:t xml:space="preserve">Observación general N° 14 sobre el derecho del niño a que su interés superior sea una consideración primordial (artículo 3, párrafo 1), </w:t>
      </w:r>
      <w:r w:rsidR="00830AA5" w:rsidRPr="005B2507">
        <w:rPr>
          <w:rFonts w:ascii="Verdana" w:hAnsi="Verdana" w:cs="Open Sans"/>
          <w:color w:val="000000" w:themeColor="text1"/>
          <w:sz w:val="16"/>
          <w:szCs w:val="16"/>
          <w:shd w:val="clear" w:color="auto" w:fill="FFFFFF"/>
        </w:rPr>
        <w:t>párr. 14.b)</w:t>
      </w:r>
      <w:r w:rsidRPr="005B2507">
        <w:rPr>
          <w:rFonts w:ascii="Verdana" w:hAnsi="Verdana" w:cs="Open Sans"/>
          <w:color w:val="000000" w:themeColor="text1"/>
          <w:sz w:val="16"/>
          <w:szCs w:val="16"/>
          <w:shd w:val="clear" w:color="auto" w:fill="FFFFFF"/>
        </w:rPr>
        <w:t>.</w:t>
      </w:r>
    </w:p>
  </w:footnote>
  <w:footnote w:id="95">
    <w:p w14:paraId="44493854" w14:textId="04D667F3" w:rsidR="00A12E1E" w:rsidRPr="005B2507" w:rsidRDefault="00A12E1E" w:rsidP="005B2507">
      <w:pPr>
        <w:pStyle w:val="Textonotapie"/>
        <w:tabs>
          <w:tab w:val="left" w:pos="709"/>
        </w:tabs>
        <w:spacing w:before="120" w:after="120"/>
        <w:jc w:val="both"/>
        <w:rPr>
          <w:rFonts w:ascii="Verdana" w:hAnsi="Verdana"/>
          <w:sz w:val="16"/>
          <w:szCs w:val="16"/>
          <w:lang w:val="es-ES"/>
        </w:rPr>
      </w:pPr>
      <w:r w:rsidRPr="005B2507">
        <w:rPr>
          <w:rStyle w:val="Refdenotaalpie"/>
          <w:rFonts w:ascii="Verdana" w:hAnsi="Verdana"/>
          <w:sz w:val="16"/>
          <w:szCs w:val="16"/>
        </w:rPr>
        <w:footnoteRef/>
      </w:r>
      <w:r w:rsidRPr="005B2507">
        <w:rPr>
          <w:rFonts w:ascii="Verdana" w:hAnsi="Verdana"/>
          <w:sz w:val="16"/>
          <w:szCs w:val="16"/>
        </w:rPr>
        <w:t xml:space="preserve"> </w:t>
      </w:r>
      <w:r w:rsidRPr="005B2507">
        <w:rPr>
          <w:rFonts w:ascii="Verdana" w:hAnsi="Verdana"/>
          <w:sz w:val="16"/>
          <w:szCs w:val="16"/>
          <w:lang w:val="es-ES"/>
        </w:rPr>
        <w:tab/>
      </w:r>
      <w:r w:rsidR="002D18FB" w:rsidRPr="005B2507">
        <w:rPr>
          <w:rFonts w:ascii="Verdana" w:hAnsi="Verdana"/>
          <w:i/>
          <w:color w:val="000000" w:themeColor="text1"/>
          <w:sz w:val="16"/>
          <w:szCs w:val="16"/>
        </w:rPr>
        <w:t xml:space="preserve">Cfr. </w:t>
      </w:r>
      <w:r w:rsidRPr="005B2507">
        <w:rPr>
          <w:rFonts w:ascii="Verdana" w:hAnsi="Verdana" w:cs="Open Sans"/>
          <w:color w:val="000000" w:themeColor="text1"/>
          <w:sz w:val="16"/>
          <w:szCs w:val="16"/>
          <w:shd w:val="clear" w:color="auto" w:fill="FFFFFF"/>
        </w:rPr>
        <w:t xml:space="preserve">Opinión Consultiva OC-21/14, </w:t>
      </w:r>
      <w:r w:rsidRPr="005B2507">
        <w:rPr>
          <w:rFonts w:ascii="Verdana" w:hAnsi="Verdana" w:cs="Open Sans"/>
          <w:i/>
          <w:iCs/>
          <w:color w:val="000000" w:themeColor="text1"/>
          <w:sz w:val="16"/>
          <w:szCs w:val="16"/>
          <w:shd w:val="clear" w:color="auto" w:fill="FFFFFF"/>
        </w:rPr>
        <w:t>supra</w:t>
      </w:r>
      <w:r w:rsidRPr="005B2507">
        <w:rPr>
          <w:rFonts w:ascii="Verdana" w:hAnsi="Verdana" w:cs="Open Sans"/>
          <w:color w:val="000000" w:themeColor="text1"/>
          <w:sz w:val="16"/>
          <w:szCs w:val="16"/>
          <w:shd w:val="clear" w:color="auto" w:fill="FFFFFF"/>
        </w:rPr>
        <w:t xml:space="preserve">, párr. </w:t>
      </w:r>
      <w:r w:rsidR="002D18FB">
        <w:rPr>
          <w:rFonts w:ascii="Verdana" w:hAnsi="Verdana" w:cs="Open Sans"/>
          <w:color w:val="000000" w:themeColor="text1"/>
          <w:sz w:val="16"/>
          <w:szCs w:val="16"/>
          <w:shd w:val="clear" w:color="auto" w:fill="FFFFFF"/>
        </w:rPr>
        <w:t>116</w:t>
      </w:r>
      <w:r w:rsidR="007F58CC" w:rsidRPr="005B2507">
        <w:rPr>
          <w:rFonts w:ascii="Verdana" w:hAnsi="Verdana" w:cs="Open Sans"/>
          <w:color w:val="000000" w:themeColor="text1"/>
          <w:sz w:val="16"/>
          <w:szCs w:val="16"/>
          <w:shd w:val="clear" w:color="auto" w:fill="FFFFFF"/>
          <w:lang w:val="es-ES"/>
        </w:rPr>
        <w:t>.</w:t>
      </w:r>
    </w:p>
  </w:footnote>
  <w:footnote w:id="96">
    <w:p w14:paraId="3B73306F" w14:textId="6C78B961" w:rsidR="00DE271C" w:rsidRPr="00E2062C" w:rsidRDefault="00DE271C" w:rsidP="005B2507">
      <w:pPr>
        <w:tabs>
          <w:tab w:val="left" w:pos="709"/>
        </w:tabs>
        <w:spacing w:before="120" w:after="120"/>
        <w:jc w:val="both"/>
        <w:rPr>
          <w:rFonts w:ascii="Verdana" w:hAnsi="Verdana"/>
          <w:sz w:val="16"/>
          <w:szCs w:val="16"/>
          <w:lang w:val="es-ES_tradnl"/>
        </w:rPr>
      </w:pPr>
      <w:r w:rsidRPr="00E2062C">
        <w:rPr>
          <w:rStyle w:val="Refdenotaalpie"/>
          <w:rFonts w:ascii="Verdana" w:eastAsiaTheme="majorEastAsia" w:hAnsi="Verdana"/>
          <w:sz w:val="16"/>
          <w:szCs w:val="16"/>
        </w:rPr>
        <w:footnoteRef/>
      </w:r>
      <w:r w:rsidRPr="00E2062C">
        <w:rPr>
          <w:rFonts w:ascii="Verdana" w:hAnsi="Verdana"/>
          <w:sz w:val="16"/>
          <w:szCs w:val="16"/>
          <w:lang w:val="es-ES_tradnl"/>
        </w:rPr>
        <w:t xml:space="preserve"> </w:t>
      </w:r>
      <w:r w:rsidRPr="00E2062C">
        <w:rPr>
          <w:rFonts w:ascii="Verdana" w:hAnsi="Verdana"/>
          <w:sz w:val="16"/>
          <w:szCs w:val="16"/>
          <w:lang w:val="es-ES_tradnl"/>
        </w:rPr>
        <w:tab/>
      </w:r>
      <w:r w:rsidRPr="00E2062C">
        <w:rPr>
          <w:rFonts w:ascii="Verdana" w:hAnsi="Verdana"/>
          <w:i/>
          <w:sz w:val="16"/>
          <w:szCs w:val="16"/>
          <w:shd w:val="clear" w:color="auto" w:fill="FFFFFF"/>
          <w:lang w:val="es-CO"/>
        </w:rPr>
        <w:t>Cfr</w:t>
      </w:r>
      <w:r w:rsidRPr="00E2062C">
        <w:rPr>
          <w:rFonts w:ascii="Verdana" w:hAnsi="Verdana"/>
          <w:sz w:val="16"/>
          <w:szCs w:val="16"/>
          <w:shd w:val="clear" w:color="auto" w:fill="FFFFFF"/>
          <w:lang w:val="es-CO"/>
        </w:rPr>
        <w:t xml:space="preserve">. </w:t>
      </w:r>
      <w:r w:rsidR="001B5982" w:rsidRPr="00E2062C">
        <w:rPr>
          <w:rFonts w:ascii="Verdana" w:hAnsi="Verdana" w:cs="Open Sans"/>
          <w:color w:val="000000" w:themeColor="text1"/>
          <w:sz w:val="16"/>
          <w:szCs w:val="16"/>
          <w:shd w:val="clear" w:color="auto" w:fill="FFFFFF"/>
        </w:rPr>
        <w:t xml:space="preserve">Opinión Consultiva OC-21/14, </w:t>
      </w:r>
      <w:r w:rsidR="001B5982" w:rsidRPr="00E2062C">
        <w:rPr>
          <w:rFonts w:ascii="Verdana" w:hAnsi="Verdana" w:cs="Open Sans"/>
          <w:i/>
          <w:iCs/>
          <w:color w:val="000000" w:themeColor="text1"/>
          <w:sz w:val="16"/>
          <w:szCs w:val="16"/>
          <w:shd w:val="clear" w:color="auto" w:fill="FFFFFF"/>
        </w:rPr>
        <w:t>supra</w:t>
      </w:r>
      <w:r w:rsidR="001B5982" w:rsidRPr="00E2062C">
        <w:rPr>
          <w:rFonts w:ascii="Verdana" w:hAnsi="Verdana" w:cs="Open Sans"/>
          <w:color w:val="000000" w:themeColor="text1"/>
          <w:sz w:val="16"/>
          <w:szCs w:val="16"/>
          <w:shd w:val="clear" w:color="auto" w:fill="FFFFFF"/>
        </w:rPr>
        <w:t>, párr. 117</w:t>
      </w:r>
      <w:r w:rsidR="003C4689" w:rsidRPr="00E2062C">
        <w:rPr>
          <w:rFonts w:ascii="Verdana" w:hAnsi="Verdana" w:cs="Open Sans"/>
          <w:color w:val="000000" w:themeColor="text1"/>
          <w:sz w:val="16"/>
          <w:szCs w:val="16"/>
          <w:shd w:val="clear" w:color="auto" w:fill="FFFFFF"/>
        </w:rPr>
        <w:t xml:space="preserve">, y Comité de los Derechos del Niño, </w:t>
      </w:r>
      <w:r w:rsidR="00E2062C" w:rsidRPr="0037717D">
        <w:rPr>
          <w:rFonts w:ascii="Verdana" w:hAnsi="Verdana"/>
          <w:iCs/>
          <w:sz w:val="16"/>
          <w:szCs w:val="16"/>
          <w:lang w:val="es-CO"/>
        </w:rPr>
        <w:t>Observación General Nº 6: Trato de los menores no acompañados y separados de su familia fuera de su país de origen</w:t>
      </w:r>
      <w:r w:rsidR="00E2062C" w:rsidRPr="0037717D">
        <w:rPr>
          <w:rFonts w:ascii="Verdana" w:eastAsia="Calibri" w:hAnsi="Verdana"/>
          <w:iCs/>
          <w:sz w:val="16"/>
          <w:szCs w:val="16"/>
        </w:rPr>
        <w:t xml:space="preserve">, </w:t>
      </w:r>
      <w:r w:rsidR="00E2062C" w:rsidRPr="0037717D">
        <w:rPr>
          <w:rFonts w:ascii="Verdana" w:eastAsia="Calibri" w:hAnsi="Verdana"/>
          <w:sz w:val="16"/>
          <w:szCs w:val="16"/>
        </w:rPr>
        <w:t>UN Doc. CRC/GC/2005/6, 1 de septiembre de 2005</w:t>
      </w:r>
      <w:r w:rsidR="003C4689" w:rsidRPr="00E2062C">
        <w:rPr>
          <w:rFonts w:ascii="Verdana" w:hAnsi="Verdana" w:cs="Open Sans"/>
          <w:color w:val="000000" w:themeColor="text1"/>
          <w:sz w:val="16"/>
          <w:szCs w:val="16"/>
          <w:shd w:val="clear" w:color="auto" w:fill="FFFFFF"/>
        </w:rPr>
        <w:t>, párrs. 40 a 47 y 82.</w:t>
      </w:r>
    </w:p>
  </w:footnote>
  <w:footnote w:id="97">
    <w:p w14:paraId="4D15F4EE" w14:textId="06A82E80" w:rsidR="00DE271C" w:rsidRPr="005B2507" w:rsidRDefault="00DE271C" w:rsidP="005B2507">
      <w:pPr>
        <w:tabs>
          <w:tab w:val="left" w:pos="709"/>
        </w:tabs>
        <w:spacing w:before="120" w:after="120"/>
        <w:ind w:right="-20"/>
        <w:jc w:val="both"/>
        <w:rPr>
          <w:rFonts w:ascii="Verdana" w:hAnsi="Verdana"/>
          <w:sz w:val="16"/>
          <w:szCs w:val="16"/>
          <w:lang w:val="es-CL"/>
        </w:rPr>
      </w:pPr>
      <w:r w:rsidRPr="005B2507">
        <w:rPr>
          <w:rStyle w:val="Refdenotaalpie"/>
          <w:rFonts w:ascii="Verdana" w:eastAsiaTheme="majorEastAsia" w:hAnsi="Verdana"/>
          <w:sz w:val="16"/>
          <w:szCs w:val="16"/>
        </w:rPr>
        <w:footnoteRef/>
      </w:r>
      <w:r w:rsidRPr="005B2507">
        <w:rPr>
          <w:rFonts w:ascii="Verdana" w:hAnsi="Verdana"/>
          <w:sz w:val="16"/>
          <w:szCs w:val="16"/>
          <w:lang w:val="es-CL"/>
        </w:rPr>
        <w:t xml:space="preserve"> </w:t>
      </w:r>
      <w:r w:rsidRPr="005B2507">
        <w:rPr>
          <w:rFonts w:ascii="Verdana" w:hAnsi="Verdana"/>
          <w:sz w:val="16"/>
          <w:szCs w:val="16"/>
          <w:lang w:val="es-CL"/>
        </w:rPr>
        <w:tab/>
      </w:r>
      <w:r w:rsidRPr="005B2507">
        <w:rPr>
          <w:rFonts w:ascii="Verdana" w:hAnsi="Verdana"/>
          <w:i/>
          <w:sz w:val="16"/>
          <w:szCs w:val="16"/>
          <w:lang w:val="es-CL"/>
        </w:rPr>
        <w:t xml:space="preserve">Cfr. </w:t>
      </w:r>
      <w:r w:rsidR="001B5982" w:rsidRPr="005B2507">
        <w:rPr>
          <w:rFonts w:ascii="Verdana" w:hAnsi="Verdana" w:cs="Open Sans"/>
          <w:color w:val="000000" w:themeColor="text1"/>
          <w:sz w:val="16"/>
          <w:szCs w:val="16"/>
          <w:shd w:val="clear" w:color="auto" w:fill="FFFFFF"/>
        </w:rPr>
        <w:t xml:space="preserve">Opinión Consultiva OC-21/14, </w:t>
      </w:r>
      <w:r w:rsidR="001B5982" w:rsidRPr="005B2507">
        <w:rPr>
          <w:rFonts w:ascii="Verdana" w:hAnsi="Verdana" w:cs="Open Sans"/>
          <w:i/>
          <w:iCs/>
          <w:color w:val="000000" w:themeColor="text1"/>
          <w:sz w:val="16"/>
          <w:szCs w:val="16"/>
          <w:shd w:val="clear" w:color="auto" w:fill="FFFFFF"/>
        </w:rPr>
        <w:t>supra</w:t>
      </w:r>
      <w:r w:rsidR="001B5982" w:rsidRPr="005B2507">
        <w:rPr>
          <w:rFonts w:ascii="Verdana" w:hAnsi="Verdana" w:cs="Open Sans"/>
          <w:color w:val="000000" w:themeColor="text1"/>
          <w:sz w:val="16"/>
          <w:szCs w:val="16"/>
          <w:shd w:val="clear" w:color="auto" w:fill="FFFFFF"/>
        </w:rPr>
        <w:t>, párr. 118</w:t>
      </w:r>
      <w:r w:rsidR="003C4689" w:rsidRPr="005B2507">
        <w:rPr>
          <w:rFonts w:ascii="Verdana" w:hAnsi="Verdana" w:cs="Open Sans"/>
          <w:color w:val="000000" w:themeColor="text1"/>
          <w:sz w:val="16"/>
          <w:szCs w:val="16"/>
          <w:shd w:val="clear" w:color="auto" w:fill="FFFFFF"/>
        </w:rPr>
        <w:t>.</w:t>
      </w:r>
    </w:p>
  </w:footnote>
  <w:footnote w:id="98">
    <w:p w14:paraId="5E6229CC" w14:textId="44CEB076" w:rsidR="00DE271C" w:rsidRPr="005B2507" w:rsidRDefault="00DE271C" w:rsidP="005B2507">
      <w:pPr>
        <w:pStyle w:val="Textonotapie"/>
        <w:tabs>
          <w:tab w:val="left" w:pos="709"/>
        </w:tabs>
        <w:spacing w:before="120" w:after="120"/>
        <w:jc w:val="both"/>
        <w:rPr>
          <w:rFonts w:ascii="Verdana" w:hAnsi="Verdana"/>
          <w:sz w:val="16"/>
          <w:szCs w:val="16"/>
          <w:lang w:val="es-CL"/>
        </w:rPr>
      </w:pPr>
      <w:r w:rsidRPr="005B2507">
        <w:rPr>
          <w:rStyle w:val="Refdenotaalpie"/>
          <w:rFonts w:ascii="Verdana" w:eastAsiaTheme="majorEastAsia" w:hAnsi="Verdana"/>
          <w:sz w:val="16"/>
          <w:szCs w:val="16"/>
        </w:rPr>
        <w:footnoteRef/>
      </w:r>
      <w:r w:rsidRPr="005B2507">
        <w:rPr>
          <w:rFonts w:ascii="Verdana" w:hAnsi="Verdana"/>
          <w:sz w:val="16"/>
          <w:szCs w:val="16"/>
          <w:lang w:val="es-CL"/>
        </w:rPr>
        <w:t xml:space="preserve"> </w:t>
      </w:r>
      <w:r w:rsidRPr="005B2507">
        <w:rPr>
          <w:rFonts w:ascii="Verdana" w:hAnsi="Verdana"/>
          <w:sz w:val="16"/>
          <w:szCs w:val="16"/>
          <w:lang w:val="es-CL"/>
        </w:rPr>
        <w:tab/>
      </w:r>
      <w:r w:rsidRPr="005B2507">
        <w:rPr>
          <w:rFonts w:ascii="Verdana" w:hAnsi="Verdana"/>
          <w:i/>
          <w:sz w:val="16"/>
          <w:szCs w:val="16"/>
          <w:lang w:val="es-CL"/>
        </w:rPr>
        <w:t>Cfr. Caso Nadege Dorzema y otros Vs. República Dominicana</w:t>
      </w:r>
      <w:r w:rsidR="002A3DE5">
        <w:rPr>
          <w:rFonts w:ascii="Verdana" w:hAnsi="Verdana"/>
          <w:i/>
          <w:sz w:val="16"/>
          <w:szCs w:val="16"/>
          <w:lang w:val="es-ES_tradnl"/>
        </w:rPr>
        <w:t>, supra</w:t>
      </w:r>
      <w:r w:rsidRPr="005B2507">
        <w:rPr>
          <w:rFonts w:ascii="Verdana" w:hAnsi="Verdana"/>
          <w:sz w:val="16"/>
          <w:szCs w:val="16"/>
          <w:lang w:val="es-CL"/>
        </w:rPr>
        <w:t>, párr. 175</w:t>
      </w:r>
      <w:r w:rsidR="001B5982" w:rsidRPr="005B2507">
        <w:rPr>
          <w:rFonts w:ascii="Verdana" w:hAnsi="Verdana"/>
          <w:sz w:val="16"/>
          <w:szCs w:val="16"/>
          <w:lang w:val="es-CL"/>
        </w:rPr>
        <w:t xml:space="preserve">, </w:t>
      </w:r>
      <w:r w:rsidR="001B5982" w:rsidRPr="005B2507">
        <w:rPr>
          <w:rFonts w:ascii="Verdana" w:hAnsi="Verdana" w:cs="Open Sans"/>
          <w:color w:val="000000" w:themeColor="text1"/>
          <w:sz w:val="16"/>
          <w:szCs w:val="16"/>
          <w:shd w:val="clear" w:color="auto" w:fill="FFFFFF"/>
        </w:rPr>
        <w:t xml:space="preserve">Opinión Consultiva OC-21/14, </w:t>
      </w:r>
      <w:r w:rsidR="001B5982" w:rsidRPr="005B2507">
        <w:rPr>
          <w:rFonts w:ascii="Verdana" w:hAnsi="Verdana" w:cs="Open Sans"/>
          <w:i/>
          <w:iCs/>
          <w:color w:val="000000" w:themeColor="text1"/>
          <w:sz w:val="16"/>
          <w:szCs w:val="16"/>
          <w:shd w:val="clear" w:color="auto" w:fill="FFFFFF"/>
        </w:rPr>
        <w:t>supra</w:t>
      </w:r>
      <w:r w:rsidR="001B5982" w:rsidRPr="005B2507">
        <w:rPr>
          <w:rFonts w:ascii="Verdana" w:hAnsi="Verdana" w:cs="Open Sans"/>
          <w:color w:val="000000" w:themeColor="text1"/>
          <w:sz w:val="16"/>
          <w:szCs w:val="16"/>
          <w:shd w:val="clear" w:color="auto" w:fill="FFFFFF"/>
        </w:rPr>
        <w:t>, párr. 118.</w:t>
      </w:r>
    </w:p>
  </w:footnote>
  <w:footnote w:id="99">
    <w:p w14:paraId="0BAF5F64" w14:textId="00F7C27B" w:rsidR="00CD17C7" w:rsidRPr="005B2507" w:rsidRDefault="00CD17C7" w:rsidP="005B2507">
      <w:pPr>
        <w:pStyle w:val="Textonotapie"/>
        <w:tabs>
          <w:tab w:val="left" w:pos="709"/>
        </w:tabs>
        <w:spacing w:before="120" w:after="120"/>
        <w:jc w:val="both"/>
        <w:rPr>
          <w:rFonts w:ascii="Verdana" w:hAnsi="Verdana"/>
          <w:sz w:val="16"/>
          <w:szCs w:val="16"/>
          <w:lang w:val="es-CL"/>
        </w:rPr>
      </w:pPr>
      <w:r w:rsidRPr="005B2507">
        <w:rPr>
          <w:rStyle w:val="Refdenotaalpie"/>
          <w:rFonts w:ascii="Verdana" w:eastAsiaTheme="majorEastAsia" w:hAnsi="Verdana"/>
          <w:sz w:val="16"/>
          <w:szCs w:val="16"/>
        </w:rPr>
        <w:footnoteRef/>
      </w:r>
      <w:r w:rsidRPr="005B2507">
        <w:rPr>
          <w:rFonts w:ascii="Verdana" w:hAnsi="Verdana"/>
          <w:sz w:val="16"/>
          <w:szCs w:val="16"/>
          <w:lang w:val="es-CL"/>
        </w:rPr>
        <w:t xml:space="preserve"> </w:t>
      </w:r>
      <w:r w:rsidRPr="005B2507">
        <w:rPr>
          <w:rFonts w:ascii="Verdana" w:hAnsi="Verdana"/>
          <w:sz w:val="16"/>
          <w:szCs w:val="16"/>
          <w:lang w:val="es-CL"/>
        </w:rPr>
        <w:tab/>
      </w:r>
      <w:r w:rsidRPr="005B2507">
        <w:rPr>
          <w:rFonts w:ascii="Verdana" w:hAnsi="Verdana"/>
          <w:i/>
          <w:sz w:val="16"/>
          <w:szCs w:val="16"/>
          <w:lang w:val="es-CL"/>
        </w:rPr>
        <w:t xml:space="preserve">Cfr. </w:t>
      </w:r>
      <w:r w:rsidRPr="005B2507">
        <w:rPr>
          <w:rFonts w:ascii="Verdana" w:hAnsi="Verdana"/>
          <w:i/>
          <w:sz w:val="16"/>
          <w:szCs w:val="16"/>
        </w:rPr>
        <w:t>Caso Chaparro Álvarez y Lapo Íñiguez. Vs. Ecuador</w:t>
      </w:r>
      <w:r w:rsidRPr="005B2507">
        <w:rPr>
          <w:rFonts w:ascii="Verdana" w:hAnsi="Verdana"/>
          <w:sz w:val="16"/>
          <w:szCs w:val="16"/>
          <w:lang w:val="es-ES"/>
        </w:rPr>
        <w:t xml:space="preserve">, </w:t>
      </w:r>
      <w:r w:rsidRPr="005B2507">
        <w:rPr>
          <w:rFonts w:ascii="Verdana" w:hAnsi="Verdana"/>
          <w:i/>
          <w:sz w:val="16"/>
          <w:szCs w:val="16"/>
          <w:lang w:val="es-ES"/>
        </w:rPr>
        <w:t>supra</w:t>
      </w:r>
      <w:r w:rsidRPr="005B2507">
        <w:rPr>
          <w:rFonts w:ascii="Verdana" w:hAnsi="Verdana"/>
          <w:sz w:val="16"/>
          <w:szCs w:val="16"/>
        </w:rPr>
        <w:t xml:space="preserve">, párr. 107, y </w:t>
      </w:r>
      <w:r w:rsidR="003F708A" w:rsidRPr="005B2507">
        <w:rPr>
          <w:rFonts w:ascii="Verdana" w:hAnsi="Verdana" w:cs="Open Sans"/>
          <w:color w:val="000000" w:themeColor="text1"/>
          <w:sz w:val="16"/>
          <w:szCs w:val="16"/>
          <w:shd w:val="clear" w:color="auto" w:fill="FFFFFF"/>
        </w:rPr>
        <w:t xml:space="preserve">Opinión Consultiva OC-21/14, </w:t>
      </w:r>
      <w:r w:rsidR="003F708A" w:rsidRPr="005B2507">
        <w:rPr>
          <w:rFonts w:ascii="Verdana" w:hAnsi="Verdana" w:cs="Open Sans"/>
          <w:i/>
          <w:iCs/>
          <w:color w:val="000000" w:themeColor="text1"/>
          <w:sz w:val="16"/>
          <w:szCs w:val="16"/>
          <w:shd w:val="clear" w:color="auto" w:fill="FFFFFF"/>
        </w:rPr>
        <w:t>supra</w:t>
      </w:r>
      <w:r w:rsidR="003F708A" w:rsidRPr="005B2507">
        <w:rPr>
          <w:rFonts w:ascii="Verdana" w:hAnsi="Verdana" w:cs="Open Sans"/>
          <w:color w:val="000000" w:themeColor="text1"/>
          <w:sz w:val="16"/>
          <w:szCs w:val="16"/>
          <w:shd w:val="clear" w:color="auto" w:fill="FFFFFF"/>
        </w:rPr>
        <w:t>, párr. 1</w:t>
      </w:r>
      <w:r w:rsidR="00897BFC" w:rsidRPr="005B2507">
        <w:rPr>
          <w:rFonts w:ascii="Verdana" w:hAnsi="Verdana" w:cs="Open Sans"/>
          <w:color w:val="000000" w:themeColor="text1"/>
          <w:sz w:val="16"/>
          <w:szCs w:val="16"/>
          <w:shd w:val="clear" w:color="auto" w:fill="FFFFFF"/>
        </w:rPr>
        <w:t>37</w:t>
      </w:r>
      <w:r w:rsidR="003F708A" w:rsidRPr="005B2507">
        <w:rPr>
          <w:rFonts w:ascii="Verdana" w:hAnsi="Verdana" w:cs="Open Sans"/>
          <w:color w:val="000000" w:themeColor="text1"/>
          <w:sz w:val="16"/>
          <w:szCs w:val="16"/>
          <w:shd w:val="clear" w:color="auto" w:fill="FFFFFF"/>
        </w:rPr>
        <w:t>.</w:t>
      </w:r>
    </w:p>
  </w:footnote>
  <w:footnote w:id="100">
    <w:p w14:paraId="61EB344D" w14:textId="07B38CEA" w:rsidR="00CD17C7" w:rsidRPr="005B2507" w:rsidRDefault="00CD17C7" w:rsidP="005B2507">
      <w:pPr>
        <w:tabs>
          <w:tab w:val="left" w:pos="709"/>
        </w:tabs>
        <w:spacing w:before="120" w:after="120"/>
        <w:ind w:right="204"/>
        <w:jc w:val="both"/>
        <w:rPr>
          <w:rFonts w:ascii="Verdana" w:eastAsia="Arial" w:hAnsi="Verdana" w:cs="Arial"/>
          <w:sz w:val="16"/>
          <w:szCs w:val="16"/>
          <w:lang w:val="es-CL"/>
        </w:rPr>
      </w:pPr>
      <w:r w:rsidRPr="005B2507">
        <w:rPr>
          <w:rStyle w:val="Refdenotaalpie"/>
          <w:rFonts w:ascii="Verdana" w:eastAsiaTheme="majorEastAsia" w:hAnsi="Verdana"/>
          <w:sz w:val="16"/>
          <w:szCs w:val="16"/>
        </w:rPr>
        <w:footnoteRef/>
      </w:r>
      <w:r w:rsidRPr="005B2507">
        <w:rPr>
          <w:rFonts w:ascii="Verdana" w:hAnsi="Verdana"/>
          <w:sz w:val="16"/>
          <w:szCs w:val="16"/>
          <w:lang w:val="es-CL"/>
        </w:rPr>
        <w:t xml:space="preserve"> </w:t>
      </w:r>
      <w:r w:rsidRPr="005B2507">
        <w:rPr>
          <w:rFonts w:ascii="Verdana" w:eastAsia="Arial" w:hAnsi="Verdana" w:cs="Arial"/>
          <w:sz w:val="16"/>
          <w:szCs w:val="16"/>
          <w:lang w:val="es-CL"/>
        </w:rPr>
        <w:tab/>
      </w:r>
      <w:r w:rsidRPr="005B2507">
        <w:rPr>
          <w:rFonts w:ascii="Verdana" w:eastAsia="Arial" w:hAnsi="Verdana" w:cs="Arial"/>
          <w:i/>
          <w:sz w:val="16"/>
          <w:szCs w:val="16"/>
          <w:lang w:val="es-CL"/>
        </w:rPr>
        <w:t>Cfr. Caso López Mendoza Vs. Venezuela</w:t>
      </w:r>
      <w:r w:rsidRPr="005B2507">
        <w:rPr>
          <w:rFonts w:ascii="Verdana" w:eastAsia="Arial" w:hAnsi="Verdana" w:cs="Arial"/>
          <w:sz w:val="16"/>
          <w:szCs w:val="16"/>
          <w:lang w:val="es-CL"/>
        </w:rPr>
        <w:t xml:space="preserve">. </w:t>
      </w:r>
      <w:r w:rsidRPr="005B2507">
        <w:rPr>
          <w:rFonts w:ascii="Verdana" w:eastAsia="Arial" w:hAnsi="Verdana" w:cs="Arial"/>
          <w:i/>
          <w:sz w:val="16"/>
          <w:szCs w:val="16"/>
          <w:lang w:val="es-CL"/>
        </w:rPr>
        <w:t>Fondo Reparaciones y Costas.</w:t>
      </w:r>
      <w:r w:rsidRPr="005B2507">
        <w:rPr>
          <w:rFonts w:ascii="Verdana" w:eastAsia="Arial" w:hAnsi="Verdana" w:cs="Arial"/>
          <w:sz w:val="16"/>
          <w:szCs w:val="16"/>
          <w:lang w:val="es-CL"/>
        </w:rPr>
        <w:t xml:space="preserve"> Sentencia de 1 de septiembre de 2011. Serie C No. 233, párr. 141</w:t>
      </w:r>
      <w:r w:rsidR="00897BFC" w:rsidRPr="005B2507">
        <w:rPr>
          <w:rFonts w:ascii="Verdana" w:eastAsia="Arial" w:hAnsi="Verdana" w:cs="Arial"/>
          <w:sz w:val="16"/>
          <w:szCs w:val="16"/>
          <w:lang w:val="es-CL"/>
        </w:rPr>
        <w:t xml:space="preserve">, y </w:t>
      </w:r>
      <w:r w:rsidR="00E2062C" w:rsidRPr="0037717D">
        <w:rPr>
          <w:rFonts w:ascii="Verdana" w:hAnsi="Verdana" w:cs="Open Sans"/>
          <w:i/>
          <w:iCs/>
          <w:color w:val="000000" w:themeColor="text1"/>
          <w:sz w:val="16"/>
          <w:szCs w:val="16"/>
          <w:shd w:val="clear" w:color="auto" w:fill="FFFFFF"/>
        </w:rPr>
        <w:t>Manuela y otros Vs. El Salvador</w:t>
      </w:r>
      <w:r w:rsidR="00897BFC" w:rsidRPr="005B2507">
        <w:rPr>
          <w:rFonts w:ascii="Verdana" w:hAnsi="Verdana" w:cs="Open Sans"/>
          <w:color w:val="000000" w:themeColor="text1"/>
          <w:sz w:val="16"/>
          <w:szCs w:val="16"/>
          <w:shd w:val="clear" w:color="auto" w:fill="FFFFFF"/>
        </w:rPr>
        <w:t xml:space="preserve">, </w:t>
      </w:r>
      <w:r w:rsidR="00897BFC" w:rsidRPr="005B2507">
        <w:rPr>
          <w:rFonts w:ascii="Verdana" w:hAnsi="Verdana" w:cs="Open Sans"/>
          <w:i/>
          <w:iCs/>
          <w:color w:val="000000" w:themeColor="text1"/>
          <w:sz w:val="16"/>
          <w:szCs w:val="16"/>
          <w:shd w:val="clear" w:color="auto" w:fill="FFFFFF"/>
        </w:rPr>
        <w:t>supra</w:t>
      </w:r>
      <w:r w:rsidR="00897BFC" w:rsidRPr="005B2507">
        <w:rPr>
          <w:rFonts w:ascii="Verdana" w:hAnsi="Verdana" w:cs="Open Sans"/>
          <w:color w:val="000000" w:themeColor="text1"/>
          <w:sz w:val="16"/>
          <w:szCs w:val="16"/>
          <w:shd w:val="clear" w:color="auto" w:fill="FFFFFF"/>
        </w:rPr>
        <w:t xml:space="preserve">, párr. </w:t>
      </w:r>
      <w:r w:rsidR="00E2062C" w:rsidRPr="005B2507">
        <w:rPr>
          <w:rFonts w:ascii="Verdana" w:hAnsi="Verdana" w:cs="Open Sans"/>
          <w:color w:val="000000" w:themeColor="text1"/>
          <w:sz w:val="16"/>
          <w:szCs w:val="16"/>
          <w:shd w:val="clear" w:color="auto" w:fill="FFFFFF"/>
        </w:rPr>
        <w:t>1</w:t>
      </w:r>
      <w:r w:rsidR="00E2062C">
        <w:rPr>
          <w:rFonts w:ascii="Verdana" w:hAnsi="Verdana" w:cs="Open Sans"/>
          <w:color w:val="000000" w:themeColor="text1"/>
          <w:sz w:val="16"/>
          <w:szCs w:val="16"/>
          <w:shd w:val="clear" w:color="auto" w:fill="FFFFFF"/>
        </w:rPr>
        <w:t>48</w:t>
      </w:r>
      <w:r w:rsidRPr="005B2507">
        <w:rPr>
          <w:rFonts w:ascii="Verdana" w:eastAsia="Arial" w:hAnsi="Verdana" w:cs="Arial"/>
          <w:sz w:val="16"/>
          <w:szCs w:val="16"/>
          <w:lang w:val="es-CL"/>
        </w:rPr>
        <w:t>.</w:t>
      </w:r>
    </w:p>
  </w:footnote>
  <w:footnote w:id="101">
    <w:p w14:paraId="174257ED" w14:textId="483F68C3" w:rsidR="00CD17C7" w:rsidRPr="005B2507" w:rsidRDefault="00CD17C7" w:rsidP="005B2507">
      <w:pPr>
        <w:tabs>
          <w:tab w:val="left" w:pos="709"/>
        </w:tabs>
        <w:spacing w:before="120" w:after="120"/>
        <w:ind w:right="204"/>
        <w:jc w:val="both"/>
        <w:rPr>
          <w:rFonts w:ascii="Verdana" w:hAnsi="Verdana"/>
          <w:sz w:val="16"/>
          <w:szCs w:val="16"/>
        </w:rPr>
      </w:pPr>
      <w:r w:rsidRPr="005B2507">
        <w:rPr>
          <w:rStyle w:val="Refdenotaalpie"/>
          <w:rFonts w:ascii="Verdana" w:eastAsiaTheme="majorEastAsia" w:hAnsi="Verdana"/>
          <w:sz w:val="16"/>
          <w:szCs w:val="16"/>
        </w:rPr>
        <w:footnoteRef/>
      </w:r>
      <w:r w:rsidRPr="005B2507">
        <w:rPr>
          <w:rFonts w:ascii="Verdana" w:hAnsi="Verdana"/>
          <w:sz w:val="16"/>
          <w:szCs w:val="16"/>
        </w:rPr>
        <w:t xml:space="preserve"> </w:t>
      </w:r>
      <w:r w:rsidRPr="005B2507">
        <w:rPr>
          <w:rFonts w:ascii="Verdana" w:hAnsi="Verdana"/>
          <w:sz w:val="16"/>
          <w:szCs w:val="16"/>
        </w:rPr>
        <w:tab/>
      </w:r>
      <w:r w:rsidRPr="005B2507">
        <w:rPr>
          <w:rFonts w:ascii="Verdana" w:hAnsi="Verdana"/>
          <w:i/>
          <w:sz w:val="16"/>
          <w:szCs w:val="16"/>
          <w:lang w:val="es-CL"/>
        </w:rPr>
        <w:t>Cfr</w:t>
      </w:r>
      <w:r w:rsidRPr="005B2507">
        <w:rPr>
          <w:rFonts w:ascii="Verdana" w:hAnsi="Verdana"/>
          <w:sz w:val="16"/>
          <w:szCs w:val="16"/>
          <w:lang w:val="es-CL"/>
        </w:rPr>
        <w:t xml:space="preserve">. </w:t>
      </w:r>
      <w:r w:rsidRPr="005B2507">
        <w:rPr>
          <w:rFonts w:ascii="Verdana" w:hAnsi="Verdana"/>
          <w:i/>
          <w:sz w:val="16"/>
          <w:szCs w:val="16"/>
          <w:lang w:val="es-CL"/>
        </w:rPr>
        <w:t>Caso Apitz Barbera y otros (“Corte Primera de lo Contencioso Administrativo”) Vs. Venezuela. Excepción Preliminar, Fondo, Reparaciones y Costas</w:t>
      </w:r>
      <w:r w:rsidRPr="005B2507">
        <w:rPr>
          <w:rFonts w:ascii="Verdana" w:hAnsi="Verdana"/>
          <w:sz w:val="16"/>
          <w:szCs w:val="16"/>
          <w:lang w:val="es-CL"/>
        </w:rPr>
        <w:t xml:space="preserve">. Sentencia de 5 de agosto de 2008. Serie C No. 182, párr. 77, y </w:t>
      </w:r>
      <w:r w:rsidR="002042CE" w:rsidRPr="005B2507">
        <w:rPr>
          <w:rFonts w:ascii="Verdana" w:hAnsi="Verdana" w:cs="Open Sans"/>
          <w:color w:val="000000" w:themeColor="text1"/>
          <w:sz w:val="16"/>
          <w:szCs w:val="16"/>
          <w:shd w:val="clear" w:color="auto" w:fill="FFFFFF"/>
        </w:rPr>
        <w:t xml:space="preserve">Opinión Consultiva OC-21/14, </w:t>
      </w:r>
      <w:r w:rsidR="002042CE" w:rsidRPr="005B2507">
        <w:rPr>
          <w:rFonts w:ascii="Verdana" w:hAnsi="Verdana" w:cs="Open Sans"/>
          <w:i/>
          <w:iCs/>
          <w:color w:val="000000" w:themeColor="text1"/>
          <w:sz w:val="16"/>
          <w:szCs w:val="16"/>
          <w:shd w:val="clear" w:color="auto" w:fill="FFFFFF"/>
        </w:rPr>
        <w:t>supra</w:t>
      </w:r>
      <w:r w:rsidR="002042CE" w:rsidRPr="005B2507">
        <w:rPr>
          <w:rFonts w:ascii="Verdana" w:hAnsi="Verdana" w:cs="Open Sans"/>
          <w:color w:val="000000" w:themeColor="text1"/>
          <w:sz w:val="16"/>
          <w:szCs w:val="16"/>
          <w:shd w:val="clear" w:color="auto" w:fill="FFFFFF"/>
        </w:rPr>
        <w:t>, párr. 137</w:t>
      </w:r>
      <w:r w:rsidR="002042CE" w:rsidRPr="005B2507">
        <w:rPr>
          <w:rFonts w:ascii="Verdana" w:eastAsia="Arial" w:hAnsi="Verdana" w:cs="Arial"/>
          <w:sz w:val="16"/>
          <w:szCs w:val="16"/>
          <w:lang w:val="es-CL"/>
        </w:rPr>
        <w:t>.</w:t>
      </w:r>
    </w:p>
  </w:footnote>
  <w:footnote w:id="102">
    <w:p w14:paraId="6733CC6D" w14:textId="589B2BA9" w:rsidR="00CD17C7" w:rsidRPr="005B2507" w:rsidRDefault="00CD17C7" w:rsidP="005B2507">
      <w:pPr>
        <w:pStyle w:val="Textonotapie"/>
        <w:tabs>
          <w:tab w:val="left" w:pos="709"/>
        </w:tabs>
        <w:spacing w:before="120" w:after="120"/>
        <w:jc w:val="both"/>
        <w:rPr>
          <w:rFonts w:ascii="Verdana" w:hAnsi="Verdana"/>
          <w:sz w:val="16"/>
          <w:szCs w:val="16"/>
          <w:lang w:val="es-CL"/>
        </w:rPr>
      </w:pPr>
      <w:r w:rsidRPr="005B2507">
        <w:rPr>
          <w:rStyle w:val="Refdenotaalpie"/>
          <w:rFonts w:ascii="Verdana" w:eastAsiaTheme="majorEastAsia" w:hAnsi="Verdana"/>
          <w:sz w:val="16"/>
          <w:szCs w:val="16"/>
        </w:rPr>
        <w:footnoteRef/>
      </w:r>
      <w:r w:rsidRPr="005B2507">
        <w:rPr>
          <w:rFonts w:ascii="Verdana" w:hAnsi="Verdana"/>
          <w:sz w:val="16"/>
          <w:szCs w:val="16"/>
        </w:rPr>
        <w:t xml:space="preserve"> </w:t>
      </w:r>
      <w:r w:rsidRPr="005B2507">
        <w:rPr>
          <w:rFonts w:ascii="Verdana" w:hAnsi="Verdana"/>
          <w:sz w:val="16"/>
          <w:szCs w:val="16"/>
        </w:rPr>
        <w:tab/>
      </w:r>
      <w:r w:rsidRPr="005B2507">
        <w:rPr>
          <w:rFonts w:ascii="Verdana" w:hAnsi="Verdana"/>
          <w:bCs/>
          <w:i/>
          <w:sz w:val="16"/>
          <w:szCs w:val="16"/>
        </w:rPr>
        <w:t>Cfr. Caso Yatama Vs. Nicaragua</w:t>
      </w:r>
      <w:r w:rsidR="006F31EC">
        <w:rPr>
          <w:rFonts w:ascii="Verdana" w:hAnsi="Verdana"/>
          <w:bCs/>
          <w:i/>
          <w:sz w:val="16"/>
          <w:szCs w:val="16"/>
        </w:rPr>
        <w:t>, supra</w:t>
      </w:r>
      <w:r w:rsidRPr="005B2507">
        <w:rPr>
          <w:rFonts w:ascii="Verdana" w:hAnsi="Verdana"/>
          <w:bCs/>
          <w:sz w:val="16"/>
          <w:szCs w:val="16"/>
          <w:lang w:val="es-CL"/>
        </w:rPr>
        <w:t xml:space="preserve">, párr. 152, y </w:t>
      </w:r>
      <w:r w:rsidR="002042CE" w:rsidRPr="005B2507">
        <w:rPr>
          <w:rFonts w:ascii="Verdana" w:hAnsi="Verdana" w:cs="Open Sans"/>
          <w:color w:val="000000" w:themeColor="text1"/>
          <w:sz w:val="16"/>
          <w:szCs w:val="16"/>
          <w:shd w:val="clear" w:color="auto" w:fill="FFFFFF"/>
        </w:rPr>
        <w:t xml:space="preserve">Opinión Consultiva OC-21/14, </w:t>
      </w:r>
      <w:r w:rsidR="002042CE" w:rsidRPr="005B2507">
        <w:rPr>
          <w:rFonts w:ascii="Verdana" w:hAnsi="Verdana" w:cs="Open Sans"/>
          <w:i/>
          <w:iCs/>
          <w:color w:val="000000" w:themeColor="text1"/>
          <w:sz w:val="16"/>
          <w:szCs w:val="16"/>
          <w:shd w:val="clear" w:color="auto" w:fill="FFFFFF"/>
        </w:rPr>
        <w:t>supra</w:t>
      </w:r>
      <w:r w:rsidR="002042CE" w:rsidRPr="005B2507">
        <w:rPr>
          <w:rFonts w:ascii="Verdana" w:hAnsi="Verdana" w:cs="Open Sans"/>
          <w:color w:val="000000" w:themeColor="text1"/>
          <w:sz w:val="16"/>
          <w:szCs w:val="16"/>
          <w:shd w:val="clear" w:color="auto" w:fill="FFFFFF"/>
        </w:rPr>
        <w:t>, párr. 137</w:t>
      </w:r>
      <w:r w:rsidR="002042CE" w:rsidRPr="005B2507">
        <w:rPr>
          <w:rFonts w:ascii="Verdana" w:eastAsia="Arial" w:hAnsi="Verdana" w:cs="Arial"/>
          <w:sz w:val="16"/>
          <w:szCs w:val="16"/>
          <w:lang w:val="es-CL"/>
        </w:rPr>
        <w:t>.</w:t>
      </w:r>
    </w:p>
  </w:footnote>
  <w:footnote w:id="103">
    <w:p w14:paraId="49366DAE" w14:textId="2F1D5250" w:rsidR="00CD17C7" w:rsidRPr="005B2507" w:rsidRDefault="00CD17C7" w:rsidP="005B2507">
      <w:pPr>
        <w:tabs>
          <w:tab w:val="left" w:pos="709"/>
        </w:tabs>
        <w:spacing w:before="120" w:after="120"/>
        <w:ind w:right="203"/>
        <w:jc w:val="both"/>
        <w:rPr>
          <w:rFonts w:ascii="Verdana" w:eastAsia="Arial" w:hAnsi="Verdana" w:cs="Arial"/>
          <w:sz w:val="16"/>
          <w:szCs w:val="16"/>
          <w:lang w:val="es-CL"/>
        </w:rPr>
      </w:pPr>
      <w:r w:rsidRPr="005B2507">
        <w:rPr>
          <w:rStyle w:val="Refdenotaalpie"/>
          <w:rFonts w:ascii="Verdana" w:eastAsiaTheme="majorEastAsia" w:hAnsi="Verdana"/>
          <w:sz w:val="16"/>
          <w:szCs w:val="16"/>
        </w:rPr>
        <w:footnoteRef/>
      </w:r>
      <w:r w:rsidRPr="005B2507">
        <w:rPr>
          <w:rFonts w:ascii="Verdana" w:hAnsi="Verdana"/>
          <w:sz w:val="16"/>
          <w:szCs w:val="16"/>
          <w:lang w:val="es-CL"/>
        </w:rPr>
        <w:t xml:space="preserve"> </w:t>
      </w:r>
      <w:r w:rsidRPr="005B2507">
        <w:rPr>
          <w:rFonts w:ascii="Verdana" w:eastAsia="Arial" w:hAnsi="Verdana" w:cs="Arial"/>
          <w:sz w:val="16"/>
          <w:szCs w:val="16"/>
          <w:lang w:val="es-CL"/>
        </w:rPr>
        <w:tab/>
      </w:r>
      <w:r w:rsidRPr="005B2507">
        <w:rPr>
          <w:rFonts w:ascii="Verdana" w:hAnsi="Verdana"/>
          <w:bCs/>
          <w:i/>
          <w:sz w:val="16"/>
          <w:szCs w:val="16"/>
          <w:lang w:val="es-ES_tradnl"/>
        </w:rPr>
        <w:t xml:space="preserve">Cfr. Caso </w:t>
      </w:r>
      <w:r w:rsidRPr="005B2507">
        <w:rPr>
          <w:rFonts w:ascii="Verdana" w:eastAsia="Times" w:hAnsi="Verdana" w:cs="Arial"/>
          <w:i/>
          <w:sz w:val="16"/>
          <w:szCs w:val="16"/>
          <w:shd w:val="clear" w:color="auto" w:fill="FFFFFF"/>
          <w:lang w:val="es-ES_tradnl"/>
        </w:rPr>
        <w:t>Claude Reyes y otros Vs. Chile. Fondo, Reparaciones y Costas</w:t>
      </w:r>
      <w:r w:rsidRPr="005B2507">
        <w:rPr>
          <w:rFonts w:ascii="Verdana" w:eastAsia="Times" w:hAnsi="Verdana" w:cs="Arial"/>
          <w:sz w:val="16"/>
          <w:szCs w:val="16"/>
          <w:shd w:val="clear" w:color="auto" w:fill="FFFFFF"/>
          <w:lang w:val="es-ES_tradnl"/>
        </w:rPr>
        <w:t>. Sentencia de 19 de septiembre de 2006. Serie C No. 151</w:t>
      </w:r>
      <w:r w:rsidRPr="005B2507">
        <w:rPr>
          <w:rFonts w:ascii="Verdana" w:hAnsi="Verdana"/>
          <w:bCs/>
          <w:i/>
          <w:sz w:val="16"/>
          <w:szCs w:val="16"/>
          <w:lang w:val="es-ES_tradnl"/>
        </w:rPr>
        <w:t>,</w:t>
      </w:r>
      <w:r w:rsidRPr="005B2507">
        <w:rPr>
          <w:rFonts w:ascii="Verdana" w:hAnsi="Verdana"/>
          <w:bCs/>
          <w:sz w:val="16"/>
          <w:szCs w:val="16"/>
          <w:lang w:val="es-CL"/>
        </w:rPr>
        <w:t xml:space="preserve"> párr. 122, y</w:t>
      </w:r>
      <w:r w:rsidR="002042CE" w:rsidRPr="005B2507">
        <w:rPr>
          <w:rFonts w:ascii="Verdana" w:eastAsia="Arial" w:hAnsi="Verdana" w:cs="Arial"/>
          <w:sz w:val="16"/>
          <w:szCs w:val="16"/>
          <w:lang w:val="es-CL"/>
        </w:rPr>
        <w:t xml:space="preserve"> </w:t>
      </w:r>
      <w:r w:rsidR="00BF40CC" w:rsidRPr="0037717D">
        <w:rPr>
          <w:rFonts w:ascii="Verdana" w:eastAsia="Arial" w:hAnsi="Verdana" w:cs="Arial"/>
          <w:i/>
          <w:iCs/>
          <w:sz w:val="16"/>
          <w:szCs w:val="16"/>
          <w:lang w:val="es-CL"/>
        </w:rPr>
        <w:t>Caso Pavez Pavez Vs. Chile. Fondo, Reparaciones y Costas</w:t>
      </w:r>
      <w:r w:rsidR="00BF40CC" w:rsidRPr="00BF40CC">
        <w:rPr>
          <w:rFonts w:ascii="Verdana" w:eastAsia="Arial" w:hAnsi="Verdana" w:cs="Arial"/>
          <w:sz w:val="16"/>
          <w:szCs w:val="16"/>
          <w:lang w:val="es-CL"/>
        </w:rPr>
        <w:t>. Sentencia de 4 de febrero de 2022. Serie C No. 449</w:t>
      </w:r>
      <w:r w:rsidR="00BF40CC">
        <w:rPr>
          <w:rFonts w:ascii="Verdana" w:eastAsia="Arial" w:hAnsi="Verdana" w:cs="Arial"/>
          <w:sz w:val="16"/>
          <w:szCs w:val="16"/>
          <w:lang w:val="es-CL"/>
        </w:rPr>
        <w:t>, párr. 159</w:t>
      </w:r>
      <w:r w:rsidR="00BF40CC" w:rsidRPr="00BF40CC">
        <w:rPr>
          <w:rFonts w:ascii="Verdana" w:eastAsia="Arial" w:hAnsi="Verdana" w:cs="Arial"/>
          <w:sz w:val="16"/>
          <w:szCs w:val="16"/>
          <w:lang w:val="es-CL"/>
        </w:rPr>
        <w:t>.</w:t>
      </w:r>
      <w:r w:rsidR="00BF40CC" w:rsidRPr="00BF40CC" w:rsidDel="00BF40CC">
        <w:rPr>
          <w:rFonts w:ascii="Verdana" w:eastAsia="Arial" w:hAnsi="Verdana" w:cs="Arial"/>
          <w:sz w:val="16"/>
          <w:szCs w:val="16"/>
          <w:lang w:val="es-CL"/>
        </w:rPr>
        <w:t xml:space="preserve"> </w:t>
      </w:r>
    </w:p>
  </w:footnote>
  <w:footnote w:id="104">
    <w:p w14:paraId="2E754BFE" w14:textId="6FD9E584" w:rsidR="006B5514" w:rsidRPr="005B2507" w:rsidRDefault="006B5514" w:rsidP="005B2507">
      <w:pPr>
        <w:pStyle w:val="Textonotapie"/>
        <w:tabs>
          <w:tab w:val="left" w:pos="709"/>
        </w:tabs>
        <w:spacing w:before="120" w:after="120"/>
        <w:jc w:val="both"/>
        <w:rPr>
          <w:rFonts w:ascii="Verdana" w:hAnsi="Verdana"/>
          <w:sz w:val="16"/>
          <w:szCs w:val="16"/>
        </w:rPr>
      </w:pPr>
      <w:r w:rsidRPr="005B2507">
        <w:rPr>
          <w:rStyle w:val="Refdenotaalpie"/>
          <w:rFonts w:ascii="Verdana" w:eastAsiaTheme="majorEastAsia" w:hAnsi="Verdana"/>
          <w:sz w:val="16"/>
          <w:szCs w:val="16"/>
        </w:rPr>
        <w:footnoteRef/>
      </w:r>
      <w:r w:rsidRPr="005B2507">
        <w:rPr>
          <w:rFonts w:ascii="Verdana" w:hAnsi="Verdana"/>
          <w:sz w:val="16"/>
          <w:szCs w:val="16"/>
        </w:rPr>
        <w:t xml:space="preserve"> </w:t>
      </w:r>
      <w:r w:rsidRPr="005B2507">
        <w:rPr>
          <w:rFonts w:ascii="Verdana" w:hAnsi="Verdana"/>
          <w:sz w:val="16"/>
          <w:szCs w:val="16"/>
        </w:rPr>
        <w:tab/>
      </w:r>
      <w:r w:rsidRPr="005B2507">
        <w:rPr>
          <w:rFonts w:ascii="Verdana" w:hAnsi="Verdana"/>
          <w:i/>
          <w:sz w:val="16"/>
          <w:szCs w:val="16"/>
        </w:rPr>
        <w:t>Cfr. Caso Vélez Loor Vs. Panamá, supra</w:t>
      </w:r>
      <w:r w:rsidRPr="005B2507">
        <w:rPr>
          <w:rFonts w:ascii="Verdana" w:hAnsi="Verdana"/>
          <w:sz w:val="16"/>
          <w:szCs w:val="16"/>
        </w:rPr>
        <w:t>, párr. 166</w:t>
      </w:r>
      <w:r w:rsidR="00BF40CC">
        <w:rPr>
          <w:rFonts w:ascii="Verdana" w:hAnsi="Verdana"/>
          <w:sz w:val="16"/>
          <w:szCs w:val="16"/>
        </w:rPr>
        <w:t xml:space="preserve"> y</w:t>
      </w:r>
      <w:r w:rsidR="00272030" w:rsidRPr="005B2507">
        <w:rPr>
          <w:rFonts w:ascii="Verdana" w:hAnsi="Verdana"/>
          <w:i/>
          <w:sz w:val="16"/>
          <w:szCs w:val="16"/>
          <w:lang w:val="es-CL"/>
        </w:rPr>
        <w:t xml:space="preserve"> </w:t>
      </w:r>
      <w:r w:rsidR="00272030" w:rsidRPr="005B2507">
        <w:rPr>
          <w:rFonts w:ascii="Verdana" w:hAnsi="Verdana" w:cs="Open Sans"/>
          <w:color w:val="000000" w:themeColor="text1"/>
          <w:sz w:val="16"/>
          <w:szCs w:val="16"/>
          <w:shd w:val="clear" w:color="auto" w:fill="FFFFFF"/>
        </w:rPr>
        <w:t xml:space="preserve">Opinión Consultiva OC-21/14, </w:t>
      </w:r>
      <w:r w:rsidR="00272030" w:rsidRPr="005B2507">
        <w:rPr>
          <w:rFonts w:ascii="Verdana" w:hAnsi="Verdana" w:cs="Open Sans"/>
          <w:i/>
          <w:iCs/>
          <w:color w:val="000000" w:themeColor="text1"/>
          <w:sz w:val="16"/>
          <w:szCs w:val="16"/>
          <w:shd w:val="clear" w:color="auto" w:fill="FFFFFF"/>
        </w:rPr>
        <w:t>supra</w:t>
      </w:r>
      <w:r w:rsidR="00272030" w:rsidRPr="005B2507">
        <w:rPr>
          <w:rFonts w:ascii="Verdana" w:hAnsi="Verdana" w:cs="Open Sans"/>
          <w:color w:val="000000" w:themeColor="text1"/>
          <w:sz w:val="16"/>
          <w:szCs w:val="16"/>
          <w:shd w:val="clear" w:color="auto" w:fill="FFFFFF"/>
        </w:rPr>
        <w:t>, párr. 154.</w:t>
      </w:r>
    </w:p>
  </w:footnote>
  <w:footnote w:id="105">
    <w:p w14:paraId="34E2ABBD" w14:textId="77777777" w:rsidR="000F5D43" w:rsidRPr="005B2507" w:rsidRDefault="000F5D43" w:rsidP="005B2507">
      <w:pPr>
        <w:pStyle w:val="Textonotapie"/>
        <w:tabs>
          <w:tab w:val="left" w:pos="709"/>
        </w:tabs>
        <w:spacing w:before="120" w:after="120"/>
        <w:jc w:val="both"/>
        <w:rPr>
          <w:rFonts w:ascii="Verdana" w:hAnsi="Verdana"/>
          <w:b/>
          <w:sz w:val="16"/>
          <w:szCs w:val="16"/>
        </w:rPr>
      </w:pPr>
      <w:r w:rsidRPr="005B2507">
        <w:rPr>
          <w:rStyle w:val="Refdenotaalpie"/>
          <w:rFonts w:ascii="Verdana" w:eastAsiaTheme="majorEastAsia" w:hAnsi="Verdana"/>
          <w:sz w:val="16"/>
          <w:szCs w:val="16"/>
        </w:rPr>
        <w:footnoteRef/>
      </w:r>
      <w:r w:rsidRPr="005B2507">
        <w:rPr>
          <w:rFonts w:ascii="Verdana" w:hAnsi="Verdana"/>
          <w:sz w:val="16"/>
          <w:szCs w:val="16"/>
        </w:rPr>
        <w:t xml:space="preserve"> </w:t>
      </w:r>
      <w:r w:rsidRPr="005B2507">
        <w:rPr>
          <w:rFonts w:ascii="Verdana" w:hAnsi="Verdana"/>
          <w:sz w:val="16"/>
          <w:szCs w:val="16"/>
        </w:rPr>
        <w:tab/>
      </w:r>
      <w:r w:rsidRPr="005B2507">
        <w:rPr>
          <w:rFonts w:ascii="Verdana" w:hAnsi="Verdana"/>
          <w:i/>
          <w:sz w:val="16"/>
          <w:szCs w:val="16"/>
          <w:lang w:val="es-CL"/>
        </w:rPr>
        <w:t xml:space="preserve">Cfr. </w:t>
      </w:r>
      <w:r w:rsidRPr="005B2507">
        <w:rPr>
          <w:rFonts w:ascii="Verdana" w:hAnsi="Verdana" w:cs="Open Sans"/>
          <w:color w:val="000000" w:themeColor="text1"/>
          <w:sz w:val="16"/>
          <w:szCs w:val="16"/>
          <w:shd w:val="clear" w:color="auto" w:fill="FFFFFF"/>
        </w:rPr>
        <w:t xml:space="preserve">Opinión Consultiva OC-21/14, </w:t>
      </w:r>
      <w:r w:rsidRPr="005B2507">
        <w:rPr>
          <w:rFonts w:ascii="Verdana" w:hAnsi="Verdana" w:cs="Open Sans"/>
          <w:i/>
          <w:iCs/>
          <w:color w:val="000000" w:themeColor="text1"/>
          <w:sz w:val="16"/>
          <w:szCs w:val="16"/>
          <w:shd w:val="clear" w:color="auto" w:fill="FFFFFF"/>
        </w:rPr>
        <w:t>supra</w:t>
      </w:r>
      <w:r w:rsidRPr="005B2507">
        <w:rPr>
          <w:rFonts w:ascii="Verdana" w:hAnsi="Verdana" w:cs="Open Sans"/>
          <w:color w:val="000000" w:themeColor="text1"/>
          <w:sz w:val="16"/>
          <w:szCs w:val="16"/>
          <w:shd w:val="clear" w:color="auto" w:fill="FFFFFF"/>
        </w:rPr>
        <w:t>, párr. 154.</w:t>
      </w:r>
    </w:p>
  </w:footnote>
  <w:footnote w:id="106">
    <w:p w14:paraId="3ED28EDB" w14:textId="2545C324" w:rsidR="00881375" w:rsidRPr="005B2507" w:rsidRDefault="00881375" w:rsidP="005B2507">
      <w:pPr>
        <w:pStyle w:val="Textonotapie"/>
        <w:tabs>
          <w:tab w:val="left" w:pos="709"/>
        </w:tabs>
        <w:spacing w:before="120" w:after="120"/>
        <w:rPr>
          <w:rFonts w:ascii="Verdana" w:hAnsi="Verdana"/>
          <w:sz w:val="16"/>
          <w:szCs w:val="16"/>
        </w:rPr>
      </w:pPr>
      <w:r w:rsidRPr="005B2507">
        <w:rPr>
          <w:rStyle w:val="Refdenotaalpie"/>
          <w:rFonts w:ascii="Verdana" w:hAnsi="Verdana"/>
          <w:sz w:val="16"/>
          <w:szCs w:val="16"/>
        </w:rPr>
        <w:footnoteRef/>
      </w:r>
      <w:r w:rsidRPr="005B2507">
        <w:rPr>
          <w:rFonts w:ascii="Verdana" w:hAnsi="Verdana"/>
          <w:sz w:val="16"/>
          <w:szCs w:val="16"/>
        </w:rPr>
        <w:t xml:space="preserve"> </w:t>
      </w:r>
      <w:r w:rsidRPr="005B2507">
        <w:rPr>
          <w:rFonts w:ascii="Verdana" w:hAnsi="Verdana"/>
          <w:sz w:val="16"/>
          <w:szCs w:val="16"/>
        </w:rPr>
        <w:tab/>
      </w:r>
      <w:r w:rsidRPr="005B2507">
        <w:rPr>
          <w:rFonts w:ascii="Verdana" w:hAnsi="Verdana"/>
          <w:i/>
          <w:sz w:val="16"/>
          <w:szCs w:val="16"/>
          <w:lang w:val="es-CL"/>
        </w:rPr>
        <w:t xml:space="preserve">Cfr. </w:t>
      </w:r>
      <w:r w:rsidRPr="005B2507">
        <w:rPr>
          <w:rFonts w:ascii="Verdana" w:hAnsi="Verdana" w:cs="Open Sans"/>
          <w:color w:val="000000" w:themeColor="text1"/>
          <w:sz w:val="16"/>
          <w:szCs w:val="16"/>
          <w:shd w:val="clear" w:color="auto" w:fill="FFFFFF"/>
        </w:rPr>
        <w:t xml:space="preserve">Opinión Consultiva OC-21/14, </w:t>
      </w:r>
      <w:r w:rsidRPr="005B2507">
        <w:rPr>
          <w:rFonts w:ascii="Verdana" w:hAnsi="Verdana" w:cs="Open Sans"/>
          <w:i/>
          <w:iCs/>
          <w:color w:val="000000" w:themeColor="text1"/>
          <w:sz w:val="16"/>
          <w:szCs w:val="16"/>
          <w:shd w:val="clear" w:color="auto" w:fill="FFFFFF"/>
        </w:rPr>
        <w:t>supra</w:t>
      </w:r>
      <w:r w:rsidRPr="005B2507">
        <w:rPr>
          <w:rFonts w:ascii="Verdana" w:hAnsi="Verdana" w:cs="Open Sans"/>
          <w:color w:val="000000" w:themeColor="text1"/>
          <w:sz w:val="16"/>
          <w:szCs w:val="16"/>
          <w:shd w:val="clear" w:color="auto" w:fill="FFFFFF"/>
        </w:rPr>
        <w:t>, párr. 274.</w:t>
      </w:r>
    </w:p>
  </w:footnote>
  <w:footnote w:id="107">
    <w:p w14:paraId="2CDB6D11" w14:textId="6BFEEC1B" w:rsidR="00E57D69" w:rsidRPr="005B2507" w:rsidRDefault="00E57D69" w:rsidP="005B2507">
      <w:pPr>
        <w:pStyle w:val="Textonotapie"/>
        <w:tabs>
          <w:tab w:val="left" w:pos="709"/>
        </w:tabs>
        <w:spacing w:before="120" w:after="120"/>
        <w:jc w:val="both"/>
        <w:rPr>
          <w:rFonts w:ascii="Verdana" w:hAnsi="Verdana"/>
          <w:sz w:val="16"/>
          <w:szCs w:val="16"/>
        </w:rPr>
      </w:pPr>
      <w:r w:rsidRPr="005B2507">
        <w:rPr>
          <w:rStyle w:val="Refdenotaalpie"/>
          <w:rFonts w:ascii="Verdana" w:eastAsiaTheme="majorEastAsia" w:hAnsi="Verdana"/>
          <w:sz w:val="16"/>
          <w:szCs w:val="16"/>
        </w:rPr>
        <w:footnoteRef/>
      </w:r>
      <w:r w:rsidRPr="005B2507">
        <w:rPr>
          <w:rFonts w:ascii="Verdana" w:hAnsi="Verdana"/>
          <w:sz w:val="16"/>
          <w:szCs w:val="16"/>
        </w:rPr>
        <w:t xml:space="preserve"> </w:t>
      </w:r>
      <w:r w:rsidRPr="005B2507">
        <w:rPr>
          <w:rFonts w:ascii="Verdana" w:hAnsi="Verdana"/>
          <w:sz w:val="16"/>
          <w:szCs w:val="16"/>
        </w:rPr>
        <w:tab/>
      </w:r>
      <w:r w:rsidR="00446D2B" w:rsidRPr="005B2507">
        <w:rPr>
          <w:rFonts w:ascii="Verdana" w:hAnsi="Verdana"/>
          <w:i/>
          <w:sz w:val="16"/>
          <w:szCs w:val="16"/>
          <w:lang w:val="es-CL"/>
        </w:rPr>
        <w:t xml:space="preserve">Cfr. </w:t>
      </w:r>
      <w:r w:rsidR="00446D2B" w:rsidRPr="005B2507">
        <w:rPr>
          <w:rFonts w:ascii="Verdana" w:hAnsi="Verdana" w:cs="Open Sans"/>
          <w:color w:val="000000" w:themeColor="text1"/>
          <w:sz w:val="16"/>
          <w:szCs w:val="16"/>
          <w:shd w:val="clear" w:color="auto" w:fill="FFFFFF"/>
        </w:rPr>
        <w:t xml:space="preserve">Opinión Consultiva OC-21/14, </w:t>
      </w:r>
      <w:r w:rsidR="00446D2B" w:rsidRPr="005B2507">
        <w:rPr>
          <w:rFonts w:ascii="Verdana" w:hAnsi="Verdana" w:cs="Open Sans"/>
          <w:i/>
          <w:iCs/>
          <w:color w:val="000000" w:themeColor="text1"/>
          <w:sz w:val="16"/>
          <w:szCs w:val="16"/>
          <w:shd w:val="clear" w:color="auto" w:fill="FFFFFF"/>
        </w:rPr>
        <w:t>supra</w:t>
      </w:r>
      <w:r w:rsidR="00446D2B" w:rsidRPr="005B2507">
        <w:rPr>
          <w:rFonts w:ascii="Verdana" w:hAnsi="Verdana" w:cs="Open Sans"/>
          <w:color w:val="000000" w:themeColor="text1"/>
          <w:sz w:val="16"/>
          <w:szCs w:val="16"/>
          <w:shd w:val="clear" w:color="auto" w:fill="FFFFFF"/>
        </w:rPr>
        <w:t>, párr. 275.</w:t>
      </w:r>
    </w:p>
  </w:footnote>
  <w:footnote w:id="108">
    <w:p w14:paraId="20D8447C" w14:textId="5D5960A4" w:rsidR="0097398C" w:rsidRPr="005B2507" w:rsidRDefault="0097398C" w:rsidP="005B2507">
      <w:pPr>
        <w:pStyle w:val="Textonotapie"/>
        <w:tabs>
          <w:tab w:val="left" w:pos="709"/>
        </w:tabs>
        <w:spacing w:before="120" w:after="120"/>
        <w:jc w:val="both"/>
        <w:rPr>
          <w:rFonts w:ascii="Verdana" w:hAnsi="Verdana"/>
          <w:sz w:val="16"/>
          <w:szCs w:val="16"/>
        </w:rPr>
      </w:pPr>
      <w:r w:rsidRPr="005B2507">
        <w:rPr>
          <w:rStyle w:val="Refdenotaalpie"/>
          <w:rFonts w:ascii="Verdana" w:eastAsiaTheme="majorEastAsia" w:hAnsi="Verdana"/>
          <w:sz w:val="16"/>
          <w:szCs w:val="16"/>
        </w:rPr>
        <w:footnoteRef/>
      </w:r>
      <w:r w:rsidRPr="005B2507">
        <w:rPr>
          <w:rFonts w:ascii="Verdana" w:hAnsi="Verdana"/>
          <w:sz w:val="16"/>
          <w:szCs w:val="16"/>
        </w:rPr>
        <w:t xml:space="preserve"> </w:t>
      </w:r>
      <w:r w:rsidRPr="005B2507">
        <w:rPr>
          <w:rFonts w:ascii="Verdana" w:hAnsi="Verdana"/>
          <w:sz w:val="16"/>
          <w:szCs w:val="16"/>
        </w:rPr>
        <w:tab/>
      </w:r>
      <w:r w:rsidRPr="005B2507">
        <w:rPr>
          <w:rFonts w:ascii="Verdana" w:hAnsi="Verdana"/>
          <w:i/>
          <w:sz w:val="16"/>
          <w:szCs w:val="16"/>
          <w:lang w:val="es-CL"/>
        </w:rPr>
        <w:t xml:space="preserve">Cfr. </w:t>
      </w:r>
      <w:r w:rsidRPr="005B2507">
        <w:rPr>
          <w:rFonts w:ascii="Verdana" w:hAnsi="Verdana" w:cs="Open Sans"/>
          <w:color w:val="000000" w:themeColor="text1"/>
          <w:sz w:val="16"/>
          <w:szCs w:val="16"/>
          <w:shd w:val="clear" w:color="auto" w:fill="FFFFFF"/>
        </w:rPr>
        <w:t xml:space="preserve">Opinión Consultiva OC-21/14, </w:t>
      </w:r>
      <w:r w:rsidRPr="005B2507">
        <w:rPr>
          <w:rFonts w:ascii="Verdana" w:hAnsi="Verdana" w:cs="Open Sans"/>
          <w:i/>
          <w:iCs/>
          <w:color w:val="000000" w:themeColor="text1"/>
          <w:sz w:val="16"/>
          <w:szCs w:val="16"/>
          <w:shd w:val="clear" w:color="auto" w:fill="FFFFFF"/>
        </w:rPr>
        <w:t>supra</w:t>
      </w:r>
      <w:r w:rsidRPr="005B2507">
        <w:rPr>
          <w:rFonts w:ascii="Verdana" w:hAnsi="Verdana" w:cs="Open Sans"/>
          <w:color w:val="000000" w:themeColor="text1"/>
          <w:sz w:val="16"/>
          <w:szCs w:val="16"/>
          <w:shd w:val="clear" w:color="auto" w:fill="FFFFFF"/>
        </w:rPr>
        <w:t>, párr. 2</w:t>
      </w:r>
      <w:r w:rsidR="00BF40CC">
        <w:rPr>
          <w:rFonts w:ascii="Verdana" w:hAnsi="Verdana" w:cs="Open Sans"/>
          <w:color w:val="000000" w:themeColor="text1"/>
          <w:sz w:val="16"/>
          <w:szCs w:val="16"/>
          <w:shd w:val="clear" w:color="auto" w:fill="FFFFFF"/>
        </w:rPr>
        <w:t>80</w:t>
      </w:r>
      <w:r w:rsidRPr="005B2507">
        <w:rPr>
          <w:rFonts w:ascii="Verdana" w:hAnsi="Verdana" w:cs="Open Sans"/>
          <w:color w:val="000000" w:themeColor="text1"/>
          <w:sz w:val="16"/>
          <w:szCs w:val="16"/>
          <w:shd w:val="clear" w:color="auto" w:fill="FFFFFF"/>
        </w:rPr>
        <w:t>.</w:t>
      </w:r>
    </w:p>
  </w:footnote>
  <w:footnote w:id="109">
    <w:p w14:paraId="7A732135" w14:textId="48DD635F" w:rsidR="00440D37" w:rsidRPr="005B2507" w:rsidRDefault="00440D37" w:rsidP="005B2507">
      <w:pPr>
        <w:pStyle w:val="Textonotapie"/>
        <w:tabs>
          <w:tab w:val="left" w:pos="709"/>
        </w:tabs>
        <w:spacing w:before="120" w:after="120"/>
        <w:jc w:val="both"/>
        <w:rPr>
          <w:rFonts w:ascii="Verdana" w:hAnsi="Verdana"/>
          <w:sz w:val="16"/>
          <w:szCs w:val="16"/>
        </w:rPr>
      </w:pPr>
      <w:r w:rsidRPr="005B2507">
        <w:rPr>
          <w:rStyle w:val="Refdenotaalpie"/>
          <w:rFonts w:ascii="Verdana" w:eastAsiaTheme="majorEastAsia" w:hAnsi="Verdana"/>
          <w:sz w:val="16"/>
          <w:szCs w:val="16"/>
        </w:rPr>
        <w:footnoteRef/>
      </w:r>
      <w:r w:rsidRPr="005B2507">
        <w:rPr>
          <w:rFonts w:ascii="Verdana" w:hAnsi="Verdana"/>
          <w:sz w:val="16"/>
          <w:szCs w:val="16"/>
        </w:rPr>
        <w:t xml:space="preserve"> </w:t>
      </w:r>
      <w:r w:rsidRPr="005B2507">
        <w:rPr>
          <w:rFonts w:ascii="Verdana" w:hAnsi="Verdana"/>
          <w:sz w:val="16"/>
          <w:szCs w:val="16"/>
        </w:rPr>
        <w:tab/>
      </w:r>
      <w:r w:rsidRPr="005B2507">
        <w:rPr>
          <w:rFonts w:ascii="Verdana" w:hAnsi="Verdana"/>
          <w:i/>
          <w:sz w:val="16"/>
          <w:szCs w:val="16"/>
          <w:lang w:val="es-CL"/>
        </w:rPr>
        <w:t xml:space="preserve">Cfr. </w:t>
      </w:r>
      <w:r w:rsidRPr="005B2507">
        <w:rPr>
          <w:rFonts w:ascii="Verdana" w:hAnsi="Verdana" w:cs="Open Sans"/>
          <w:color w:val="000000" w:themeColor="text1"/>
          <w:sz w:val="16"/>
          <w:szCs w:val="16"/>
          <w:shd w:val="clear" w:color="auto" w:fill="FFFFFF"/>
        </w:rPr>
        <w:t xml:space="preserve">Opinión Consultiva OC-21/14, </w:t>
      </w:r>
      <w:r w:rsidRPr="005B2507">
        <w:rPr>
          <w:rFonts w:ascii="Verdana" w:hAnsi="Verdana" w:cs="Open Sans"/>
          <w:i/>
          <w:iCs/>
          <w:color w:val="000000" w:themeColor="text1"/>
          <w:sz w:val="16"/>
          <w:szCs w:val="16"/>
          <w:shd w:val="clear" w:color="auto" w:fill="FFFFFF"/>
        </w:rPr>
        <w:t>supra</w:t>
      </w:r>
      <w:r w:rsidRPr="005B2507">
        <w:rPr>
          <w:rFonts w:ascii="Verdana" w:hAnsi="Verdana" w:cs="Open Sans"/>
          <w:color w:val="000000" w:themeColor="text1"/>
          <w:sz w:val="16"/>
          <w:szCs w:val="16"/>
          <w:shd w:val="clear" w:color="auto" w:fill="FFFFFF"/>
        </w:rPr>
        <w:t xml:space="preserve">, párr. </w:t>
      </w:r>
      <w:r w:rsidR="003F7E2A" w:rsidRPr="005B2507">
        <w:rPr>
          <w:rFonts w:ascii="Verdana" w:hAnsi="Verdana" w:cs="Open Sans"/>
          <w:color w:val="000000" w:themeColor="text1"/>
          <w:sz w:val="16"/>
          <w:szCs w:val="16"/>
          <w:shd w:val="clear" w:color="auto" w:fill="FFFFFF"/>
        </w:rPr>
        <w:t>2</w:t>
      </w:r>
      <w:r w:rsidR="003F7E2A">
        <w:rPr>
          <w:rFonts w:ascii="Verdana" w:hAnsi="Verdana" w:cs="Open Sans"/>
          <w:color w:val="000000" w:themeColor="text1"/>
          <w:sz w:val="16"/>
          <w:szCs w:val="16"/>
          <w:shd w:val="clear" w:color="auto" w:fill="FFFFFF"/>
        </w:rPr>
        <w:t>81</w:t>
      </w:r>
      <w:r w:rsidRPr="005B2507">
        <w:rPr>
          <w:rFonts w:ascii="Verdana" w:hAnsi="Verdana" w:cs="Open Sans"/>
          <w:color w:val="000000" w:themeColor="text1"/>
          <w:sz w:val="16"/>
          <w:szCs w:val="16"/>
          <w:shd w:val="clear" w:color="auto" w:fill="FFFFFF"/>
        </w:rPr>
        <w:t>.</w:t>
      </w:r>
    </w:p>
  </w:footnote>
  <w:footnote w:id="110">
    <w:p w14:paraId="6C23A726" w14:textId="17FFDD3A" w:rsidR="00FB6AB5" w:rsidRPr="005B2507" w:rsidRDefault="00FB6AB5" w:rsidP="005B2507">
      <w:pPr>
        <w:pStyle w:val="Textonotapie"/>
        <w:tabs>
          <w:tab w:val="left" w:pos="709"/>
        </w:tabs>
        <w:spacing w:before="120" w:after="120"/>
        <w:jc w:val="both"/>
        <w:rPr>
          <w:rFonts w:ascii="Verdana" w:hAnsi="Verdana"/>
          <w:sz w:val="16"/>
          <w:szCs w:val="16"/>
        </w:rPr>
      </w:pPr>
      <w:r w:rsidRPr="005B2507">
        <w:rPr>
          <w:rStyle w:val="Refdenotaalpie"/>
          <w:rFonts w:ascii="Verdana" w:eastAsiaTheme="majorEastAsia" w:hAnsi="Verdana"/>
          <w:sz w:val="16"/>
          <w:szCs w:val="16"/>
        </w:rPr>
        <w:footnoteRef/>
      </w:r>
      <w:r w:rsidRPr="005B2507">
        <w:rPr>
          <w:rFonts w:ascii="Verdana" w:hAnsi="Verdana"/>
          <w:sz w:val="16"/>
          <w:szCs w:val="16"/>
        </w:rPr>
        <w:t xml:space="preserve"> </w:t>
      </w:r>
      <w:r w:rsidRPr="005B2507">
        <w:rPr>
          <w:rFonts w:ascii="Verdana" w:hAnsi="Verdana"/>
          <w:sz w:val="16"/>
          <w:szCs w:val="16"/>
        </w:rPr>
        <w:tab/>
      </w:r>
      <w:r w:rsidRPr="005B2507">
        <w:rPr>
          <w:rFonts w:ascii="Verdana" w:hAnsi="Verdana"/>
          <w:i/>
          <w:sz w:val="16"/>
          <w:szCs w:val="16"/>
          <w:lang w:val="es-CL"/>
        </w:rPr>
        <w:t xml:space="preserve">Cfr. </w:t>
      </w:r>
      <w:r w:rsidRPr="005B2507">
        <w:rPr>
          <w:rFonts w:ascii="Verdana" w:hAnsi="Verdana" w:cs="Open Sans"/>
          <w:color w:val="000000" w:themeColor="text1"/>
          <w:sz w:val="16"/>
          <w:szCs w:val="16"/>
          <w:shd w:val="clear" w:color="auto" w:fill="FFFFFF"/>
        </w:rPr>
        <w:t xml:space="preserve">Opinión Consultiva OC-21/14, </w:t>
      </w:r>
      <w:r w:rsidRPr="005B2507">
        <w:rPr>
          <w:rFonts w:ascii="Verdana" w:hAnsi="Verdana" w:cs="Open Sans"/>
          <w:i/>
          <w:iCs/>
          <w:color w:val="000000" w:themeColor="text1"/>
          <w:sz w:val="16"/>
          <w:szCs w:val="16"/>
          <w:shd w:val="clear" w:color="auto" w:fill="FFFFFF"/>
        </w:rPr>
        <w:t>supra</w:t>
      </w:r>
      <w:r w:rsidRPr="005B2507">
        <w:rPr>
          <w:rFonts w:ascii="Verdana" w:hAnsi="Verdana" w:cs="Open Sans"/>
          <w:color w:val="000000" w:themeColor="text1"/>
          <w:sz w:val="16"/>
          <w:szCs w:val="16"/>
          <w:shd w:val="clear" w:color="auto" w:fill="FFFFFF"/>
        </w:rPr>
        <w:t>, párr. 282.</w:t>
      </w:r>
    </w:p>
  </w:footnote>
  <w:footnote w:id="111">
    <w:p w14:paraId="1CE49428" w14:textId="42E59C6E" w:rsidR="00A238BD" w:rsidRPr="005B2507" w:rsidRDefault="00A238BD" w:rsidP="005B2507">
      <w:pPr>
        <w:pStyle w:val="Textonotapie"/>
        <w:tabs>
          <w:tab w:val="left" w:pos="709"/>
        </w:tabs>
        <w:spacing w:before="120" w:after="120"/>
        <w:jc w:val="both"/>
        <w:rPr>
          <w:rFonts w:ascii="Verdana" w:hAnsi="Verdana"/>
          <w:sz w:val="16"/>
          <w:szCs w:val="16"/>
          <w:lang w:val="es-CL"/>
        </w:rPr>
      </w:pPr>
      <w:r w:rsidRPr="005B2507">
        <w:rPr>
          <w:rStyle w:val="Refdenotaalpie"/>
          <w:rFonts w:ascii="Verdana" w:eastAsiaTheme="majorEastAsia" w:hAnsi="Verdana"/>
          <w:sz w:val="16"/>
          <w:szCs w:val="16"/>
        </w:rPr>
        <w:footnoteRef/>
      </w:r>
      <w:r w:rsidRPr="005B2507">
        <w:rPr>
          <w:rFonts w:ascii="Verdana" w:hAnsi="Verdana"/>
          <w:sz w:val="16"/>
          <w:szCs w:val="16"/>
          <w:lang w:val="es-CL"/>
        </w:rPr>
        <w:t xml:space="preserve"> </w:t>
      </w:r>
      <w:r w:rsidRPr="005B2507">
        <w:rPr>
          <w:rFonts w:ascii="Verdana" w:hAnsi="Verdana"/>
          <w:sz w:val="16"/>
          <w:szCs w:val="16"/>
          <w:lang w:val="es-CL"/>
        </w:rPr>
        <w:tab/>
      </w:r>
      <w:r w:rsidR="00315D92" w:rsidRPr="0037717D">
        <w:rPr>
          <w:rFonts w:ascii="Verdana" w:hAnsi="Verdana"/>
          <w:i/>
          <w:iCs/>
          <w:sz w:val="16"/>
          <w:szCs w:val="16"/>
          <w:lang w:val="es-CL"/>
        </w:rPr>
        <w:t>Cfr</w:t>
      </w:r>
      <w:r w:rsidR="00315D92">
        <w:rPr>
          <w:rFonts w:ascii="Verdana" w:hAnsi="Verdana"/>
          <w:sz w:val="16"/>
          <w:szCs w:val="16"/>
          <w:lang w:val="es-CL"/>
        </w:rPr>
        <w:t xml:space="preserve">. </w:t>
      </w:r>
      <w:r w:rsidR="00315D92" w:rsidRPr="005B2507">
        <w:rPr>
          <w:rFonts w:ascii="Verdana" w:hAnsi="Verdana" w:cs="Open Sans"/>
          <w:color w:val="000000" w:themeColor="text1"/>
          <w:sz w:val="16"/>
          <w:szCs w:val="16"/>
          <w:shd w:val="clear" w:color="auto" w:fill="FFFFFF"/>
        </w:rPr>
        <w:t xml:space="preserve">Opinión Consultiva </w:t>
      </w:r>
      <w:r w:rsidRPr="005B2507">
        <w:rPr>
          <w:rFonts w:ascii="Verdana" w:hAnsi="Verdana"/>
          <w:sz w:val="16"/>
          <w:szCs w:val="16"/>
          <w:shd w:val="clear" w:color="auto" w:fill="FFFFFF"/>
          <w:lang w:val="es-CO"/>
        </w:rPr>
        <w:t>OC-21</w:t>
      </w:r>
      <w:r w:rsidR="0031396B">
        <w:rPr>
          <w:rFonts w:ascii="Verdana" w:hAnsi="Verdana"/>
          <w:sz w:val="16"/>
          <w:szCs w:val="16"/>
          <w:shd w:val="clear" w:color="auto" w:fill="FFFFFF"/>
          <w:lang w:val="es-CO"/>
        </w:rPr>
        <w:t>/14</w:t>
      </w:r>
      <w:r w:rsidRPr="005B2507">
        <w:rPr>
          <w:rFonts w:ascii="Verdana" w:hAnsi="Verdana"/>
          <w:sz w:val="16"/>
          <w:szCs w:val="16"/>
          <w:shd w:val="clear" w:color="auto" w:fill="FFFFFF"/>
          <w:lang w:val="es-CO"/>
        </w:rPr>
        <w:t>,</w:t>
      </w:r>
      <w:r w:rsidR="00315D92">
        <w:rPr>
          <w:rFonts w:ascii="Verdana" w:hAnsi="Verdana"/>
          <w:sz w:val="16"/>
          <w:szCs w:val="16"/>
          <w:shd w:val="clear" w:color="auto" w:fill="FFFFFF"/>
          <w:lang w:val="es-CO"/>
        </w:rPr>
        <w:t xml:space="preserve"> </w:t>
      </w:r>
      <w:r w:rsidR="00315D92" w:rsidRPr="0037717D">
        <w:rPr>
          <w:rFonts w:ascii="Verdana" w:hAnsi="Verdana"/>
          <w:i/>
          <w:iCs/>
          <w:sz w:val="16"/>
          <w:szCs w:val="16"/>
          <w:shd w:val="clear" w:color="auto" w:fill="FFFFFF"/>
          <w:lang w:val="es-CO"/>
        </w:rPr>
        <w:t>supra</w:t>
      </w:r>
      <w:r w:rsidR="00315D92">
        <w:rPr>
          <w:rFonts w:ascii="Verdana" w:hAnsi="Verdana"/>
          <w:sz w:val="16"/>
          <w:szCs w:val="16"/>
          <w:shd w:val="clear" w:color="auto" w:fill="FFFFFF"/>
          <w:lang w:val="es-CO"/>
        </w:rPr>
        <w:t>,</w:t>
      </w:r>
      <w:r w:rsidRPr="005B2507">
        <w:rPr>
          <w:rFonts w:ascii="Verdana" w:hAnsi="Verdana"/>
          <w:sz w:val="16"/>
          <w:szCs w:val="16"/>
          <w:shd w:val="clear" w:color="auto" w:fill="FFFFFF"/>
          <w:lang w:val="es-CO"/>
        </w:rPr>
        <w:t xml:space="preserve"> párr. 139.</w:t>
      </w:r>
    </w:p>
  </w:footnote>
  <w:footnote w:id="112">
    <w:p w14:paraId="0814843F" w14:textId="3E799261" w:rsidR="00A238BD" w:rsidRPr="0031396B" w:rsidRDefault="00A238BD" w:rsidP="005B2507">
      <w:pPr>
        <w:pStyle w:val="Textonotapie"/>
        <w:tabs>
          <w:tab w:val="left" w:pos="709"/>
        </w:tabs>
        <w:spacing w:before="120" w:after="120"/>
        <w:jc w:val="both"/>
        <w:rPr>
          <w:rFonts w:ascii="Verdana" w:hAnsi="Verdana"/>
          <w:sz w:val="16"/>
          <w:szCs w:val="16"/>
        </w:rPr>
      </w:pPr>
      <w:r w:rsidRPr="0031396B">
        <w:rPr>
          <w:rStyle w:val="Refdenotaalpie"/>
          <w:rFonts w:ascii="Verdana" w:eastAsiaTheme="majorEastAsia" w:hAnsi="Verdana"/>
          <w:sz w:val="16"/>
          <w:szCs w:val="16"/>
        </w:rPr>
        <w:footnoteRef/>
      </w:r>
      <w:r w:rsidRPr="0031396B">
        <w:rPr>
          <w:rFonts w:ascii="Verdana" w:hAnsi="Verdana"/>
          <w:sz w:val="16"/>
          <w:szCs w:val="16"/>
        </w:rPr>
        <w:t xml:space="preserve"> </w:t>
      </w:r>
      <w:r w:rsidRPr="0031396B">
        <w:rPr>
          <w:rFonts w:ascii="Verdana" w:hAnsi="Verdana"/>
          <w:sz w:val="16"/>
          <w:szCs w:val="16"/>
        </w:rPr>
        <w:tab/>
      </w:r>
      <w:r w:rsidRPr="0031396B">
        <w:rPr>
          <w:rFonts w:ascii="Verdana" w:hAnsi="Verdana"/>
          <w:sz w:val="16"/>
          <w:szCs w:val="16"/>
          <w:shd w:val="clear" w:color="auto" w:fill="FFFFFF"/>
          <w:lang w:val="es-CO"/>
        </w:rPr>
        <w:t>Comité de los Derechos del Niño</w:t>
      </w:r>
      <w:r w:rsidRPr="0031396B">
        <w:rPr>
          <w:rFonts w:ascii="Verdana" w:hAnsi="Verdana"/>
          <w:sz w:val="16"/>
          <w:szCs w:val="16"/>
          <w:lang w:val="es-CO"/>
        </w:rPr>
        <w:t xml:space="preserve">, </w:t>
      </w:r>
      <w:r w:rsidRPr="0031396B">
        <w:rPr>
          <w:rFonts w:ascii="Verdana" w:hAnsi="Verdana"/>
          <w:i/>
          <w:sz w:val="16"/>
          <w:szCs w:val="16"/>
          <w:lang w:val="es-CO"/>
        </w:rPr>
        <w:t>Observación General Nº 12: El derecho del niño a ser escuchado</w:t>
      </w:r>
      <w:r w:rsidRPr="0031396B">
        <w:rPr>
          <w:rFonts w:ascii="Verdana" w:hAnsi="Verdana"/>
          <w:sz w:val="16"/>
          <w:szCs w:val="16"/>
          <w:lang w:val="es-CO"/>
        </w:rPr>
        <w:t>,</w:t>
      </w:r>
      <w:r w:rsidR="0031396B" w:rsidRPr="0031396B">
        <w:rPr>
          <w:rFonts w:ascii="Verdana" w:hAnsi="Verdana"/>
          <w:sz w:val="16"/>
          <w:szCs w:val="16"/>
          <w:lang w:val="es-CO"/>
        </w:rPr>
        <w:t xml:space="preserve"> </w:t>
      </w:r>
      <w:r w:rsidR="0031396B" w:rsidRPr="0037717D">
        <w:rPr>
          <w:rFonts w:ascii="Verdana" w:hAnsi="Verdana"/>
          <w:sz w:val="16"/>
          <w:szCs w:val="16"/>
          <w:lang w:val="es-CO"/>
        </w:rPr>
        <w:t>UN Doc. CRC/C/GC/12, 20 de julio de 2009,</w:t>
      </w:r>
      <w:r w:rsidRPr="0031396B">
        <w:rPr>
          <w:rFonts w:ascii="Verdana" w:hAnsi="Verdana"/>
          <w:sz w:val="16"/>
          <w:szCs w:val="16"/>
          <w:lang w:val="es-ES_tradnl"/>
        </w:rPr>
        <w:t xml:space="preserve"> párr. 74.</w:t>
      </w:r>
    </w:p>
  </w:footnote>
  <w:footnote w:id="113">
    <w:p w14:paraId="162223D4" w14:textId="5B00AFB0" w:rsidR="00A238BD" w:rsidRPr="005B2507" w:rsidRDefault="00A238BD" w:rsidP="005B2507">
      <w:pPr>
        <w:pStyle w:val="Textonotapie"/>
        <w:tabs>
          <w:tab w:val="left" w:pos="709"/>
        </w:tabs>
        <w:spacing w:before="120" w:after="120"/>
        <w:jc w:val="both"/>
        <w:rPr>
          <w:rFonts w:ascii="Verdana" w:hAnsi="Verdana"/>
          <w:sz w:val="16"/>
          <w:szCs w:val="16"/>
        </w:rPr>
      </w:pPr>
      <w:r w:rsidRPr="005B2507">
        <w:rPr>
          <w:rStyle w:val="Refdenotaalpie"/>
          <w:rFonts w:ascii="Verdana" w:eastAsiaTheme="majorEastAsia" w:hAnsi="Verdana"/>
          <w:sz w:val="16"/>
          <w:szCs w:val="16"/>
        </w:rPr>
        <w:footnoteRef/>
      </w:r>
      <w:r w:rsidRPr="005B2507">
        <w:rPr>
          <w:rFonts w:ascii="Verdana" w:hAnsi="Verdana"/>
          <w:sz w:val="16"/>
          <w:szCs w:val="16"/>
        </w:rPr>
        <w:t xml:space="preserve"> </w:t>
      </w:r>
      <w:r w:rsidRPr="005B2507">
        <w:rPr>
          <w:rFonts w:ascii="Verdana" w:hAnsi="Verdana"/>
          <w:sz w:val="16"/>
          <w:szCs w:val="16"/>
        </w:rPr>
        <w:tab/>
      </w:r>
      <w:r w:rsidRPr="005B2507">
        <w:rPr>
          <w:rFonts w:ascii="Verdana" w:hAnsi="Verdana" w:cs="Open Sans"/>
          <w:color w:val="000000" w:themeColor="text1"/>
          <w:sz w:val="16"/>
          <w:szCs w:val="16"/>
          <w:shd w:val="clear" w:color="auto" w:fill="FFFFFF"/>
        </w:rPr>
        <w:t xml:space="preserve">Opinión Consultiva OC-21/14, </w:t>
      </w:r>
      <w:r w:rsidR="0031396B" w:rsidRPr="0037717D">
        <w:rPr>
          <w:rFonts w:ascii="Verdana" w:hAnsi="Verdana" w:cs="Open Sans"/>
          <w:i/>
          <w:iCs/>
          <w:color w:val="000000" w:themeColor="text1"/>
          <w:sz w:val="16"/>
          <w:szCs w:val="16"/>
          <w:shd w:val="clear" w:color="auto" w:fill="FFFFFF"/>
        </w:rPr>
        <w:t>supra</w:t>
      </w:r>
      <w:r w:rsidR="0031396B">
        <w:rPr>
          <w:rFonts w:ascii="Verdana" w:hAnsi="Verdana" w:cs="Open Sans"/>
          <w:color w:val="000000" w:themeColor="text1"/>
          <w:sz w:val="16"/>
          <w:szCs w:val="16"/>
          <w:shd w:val="clear" w:color="auto" w:fill="FFFFFF"/>
        </w:rPr>
        <w:t xml:space="preserve">, </w:t>
      </w:r>
      <w:r w:rsidRPr="005B2507">
        <w:rPr>
          <w:rFonts w:ascii="Verdana" w:hAnsi="Verdana" w:cs="Open Sans"/>
          <w:color w:val="000000" w:themeColor="text1"/>
          <w:sz w:val="16"/>
          <w:szCs w:val="16"/>
          <w:shd w:val="clear" w:color="auto" w:fill="FFFFFF"/>
        </w:rPr>
        <w:t xml:space="preserve">párr. 139, y </w:t>
      </w:r>
      <w:r w:rsidRPr="005B2507">
        <w:rPr>
          <w:rFonts w:ascii="Verdana" w:hAnsi="Verdana"/>
          <w:sz w:val="16"/>
          <w:szCs w:val="16"/>
          <w:shd w:val="clear" w:color="auto" w:fill="FFFFFF"/>
          <w:lang w:val="es-CO"/>
        </w:rPr>
        <w:t>Comité de los Derechos del Niño</w:t>
      </w:r>
      <w:r w:rsidRPr="005B2507">
        <w:rPr>
          <w:rFonts w:ascii="Verdana" w:hAnsi="Verdana"/>
          <w:sz w:val="16"/>
          <w:szCs w:val="16"/>
          <w:lang w:val="es-CO"/>
        </w:rPr>
        <w:t xml:space="preserve">, </w:t>
      </w:r>
      <w:r w:rsidRPr="0037717D">
        <w:rPr>
          <w:rFonts w:ascii="Verdana" w:hAnsi="Verdana"/>
          <w:iCs/>
          <w:sz w:val="16"/>
          <w:szCs w:val="16"/>
          <w:lang w:val="es-CO"/>
        </w:rPr>
        <w:t>Observación General Nº 12: El derecho del niño a ser escuchado,</w:t>
      </w:r>
      <w:r w:rsidRPr="005B2507">
        <w:rPr>
          <w:rFonts w:ascii="Verdana" w:hAnsi="Verdana"/>
          <w:i/>
          <w:sz w:val="16"/>
          <w:szCs w:val="16"/>
          <w:lang w:val="es-CO"/>
        </w:rPr>
        <w:t xml:space="preserve"> supra</w:t>
      </w:r>
      <w:r w:rsidRPr="005B2507">
        <w:rPr>
          <w:rFonts w:ascii="Verdana" w:hAnsi="Verdana"/>
          <w:sz w:val="16"/>
          <w:szCs w:val="16"/>
          <w:lang w:val="es-CO"/>
        </w:rPr>
        <w:t>,</w:t>
      </w:r>
      <w:r w:rsidRPr="005B2507">
        <w:rPr>
          <w:rFonts w:ascii="Verdana" w:hAnsi="Verdana"/>
          <w:sz w:val="16"/>
          <w:szCs w:val="16"/>
          <w:lang w:val="es-ES_tradnl"/>
        </w:rPr>
        <w:t xml:space="preserve"> párr. 74.</w:t>
      </w:r>
    </w:p>
  </w:footnote>
  <w:footnote w:id="114">
    <w:p w14:paraId="392CBCF4" w14:textId="6B88E029" w:rsidR="00653FD1" w:rsidRPr="005B2507" w:rsidRDefault="00653FD1" w:rsidP="005B2507">
      <w:pPr>
        <w:pStyle w:val="Textonotapie"/>
        <w:tabs>
          <w:tab w:val="left" w:pos="709"/>
        </w:tabs>
        <w:spacing w:before="120" w:after="120"/>
        <w:jc w:val="both"/>
        <w:rPr>
          <w:rFonts w:ascii="Verdana" w:hAnsi="Verdana"/>
          <w:sz w:val="16"/>
          <w:szCs w:val="16"/>
        </w:rPr>
      </w:pPr>
      <w:r w:rsidRPr="005B2507">
        <w:rPr>
          <w:rStyle w:val="Refdenotaalpie"/>
          <w:rFonts w:ascii="Verdana" w:hAnsi="Verdana"/>
          <w:sz w:val="16"/>
          <w:szCs w:val="16"/>
        </w:rPr>
        <w:footnoteRef/>
      </w:r>
      <w:r w:rsidRPr="000823EE">
        <w:rPr>
          <w:rFonts w:ascii="Verdana" w:hAnsi="Verdana"/>
          <w:sz w:val="16"/>
          <w:szCs w:val="16"/>
        </w:rPr>
        <w:t xml:space="preserve"> </w:t>
      </w:r>
      <w:r w:rsidRPr="000823EE">
        <w:rPr>
          <w:rFonts w:ascii="Verdana" w:hAnsi="Verdana"/>
          <w:sz w:val="16"/>
          <w:szCs w:val="16"/>
        </w:rPr>
        <w:tab/>
      </w:r>
      <w:r w:rsidRPr="000823EE">
        <w:rPr>
          <w:rFonts w:ascii="Verdana" w:hAnsi="Verdana"/>
          <w:i/>
          <w:sz w:val="16"/>
          <w:szCs w:val="16"/>
        </w:rPr>
        <w:t xml:space="preserve">Cfr. Caso Masacre de Santo Domingo Vs. </w:t>
      </w:r>
      <w:r w:rsidRPr="005B2507">
        <w:rPr>
          <w:rFonts w:ascii="Verdana" w:hAnsi="Verdana"/>
          <w:i/>
          <w:sz w:val="16"/>
          <w:szCs w:val="16"/>
        </w:rPr>
        <w:t>Colombia. Excepciones Preliminares, Fondo y Reparaciones</w:t>
      </w:r>
      <w:r w:rsidRPr="005B2507">
        <w:rPr>
          <w:rFonts w:ascii="Verdana" w:hAnsi="Verdana"/>
          <w:sz w:val="16"/>
          <w:szCs w:val="16"/>
        </w:rPr>
        <w:t xml:space="preserve">. Sentencia de 30 de noviembre de 2012. Serie C No. 259, párr. 143, y </w:t>
      </w:r>
      <w:r w:rsidR="000554E9" w:rsidRPr="0037717D">
        <w:rPr>
          <w:rFonts w:ascii="Verdana" w:hAnsi="Verdana"/>
          <w:i/>
          <w:iCs/>
          <w:sz w:val="16"/>
          <w:szCs w:val="16"/>
        </w:rPr>
        <w:t>Caso Martínez Esquivia Vs. Colombia. Excepciones preliminares, Fondo y Reparaciones</w:t>
      </w:r>
      <w:r w:rsidR="000554E9" w:rsidRPr="000554E9">
        <w:rPr>
          <w:rFonts w:ascii="Verdana" w:hAnsi="Verdana"/>
          <w:sz w:val="16"/>
          <w:szCs w:val="16"/>
        </w:rPr>
        <w:t>. Sentencia de 6 de octubre de 2020. Serie C No. 412</w:t>
      </w:r>
      <w:r w:rsidR="000554E9">
        <w:rPr>
          <w:rFonts w:ascii="Verdana" w:hAnsi="Verdana"/>
          <w:sz w:val="16"/>
          <w:szCs w:val="16"/>
        </w:rPr>
        <w:t>, párr. 167.</w:t>
      </w:r>
    </w:p>
  </w:footnote>
  <w:footnote w:id="115">
    <w:p w14:paraId="0459AF37" w14:textId="15299F37" w:rsidR="00653FD1" w:rsidRPr="005B2507" w:rsidRDefault="00653FD1" w:rsidP="005B2507">
      <w:pPr>
        <w:pStyle w:val="Textonotapie"/>
        <w:tabs>
          <w:tab w:val="left" w:pos="709"/>
        </w:tabs>
        <w:spacing w:before="120" w:after="120"/>
        <w:jc w:val="both"/>
        <w:rPr>
          <w:rFonts w:ascii="Verdana" w:hAnsi="Verdana"/>
          <w:sz w:val="16"/>
          <w:szCs w:val="16"/>
        </w:rPr>
      </w:pPr>
      <w:r w:rsidRPr="005B2507">
        <w:rPr>
          <w:rStyle w:val="Refdenotaalpie"/>
          <w:rFonts w:ascii="Verdana" w:eastAsia="MS Mincho" w:hAnsi="Verdana"/>
          <w:sz w:val="16"/>
          <w:szCs w:val="16"/>
        </w:rPr>
        <w:footnoteRef/>
      </w:r>
      <w:r w:rsidRPr="000823EE">
        <w:rPr>
          <w:rFonts w:ascii="Verdana" w:hAnsi="Verdana"/>
          <w:sz w:val="16"/>
          <w:szCs w:val="16"/>
        </w:rPr>
        <w:t xml:space="preserve"> </w:t>
      </w:r>
      <w:r w:rsidRPr="000823EE">
        <w:rPr>
          <w:rFonts w:ascii="Verdana" w:hAnsi="Verdana"/>
          <w:sz w:val="16"/>
          <w:szCs w:val="16"/>
        </w:rPr>
        <w:tab/>
      </w:r>
      <w:r w:rsidRPr="000823EE">
        <w:rPr>
          <w:rFonts w:ascii="Verdana" w:hAnsi="Verdana"/>
          <w:i/>
          <w:sz w:val="16"/>
          <w:szCs w:val="16"/>
        </w:rPr>
        <w:t xml:space="preserve">Cfr. </w:t>
      </w:r>
      <w:r w:rsidRPr="000823EE">
        <w:rPr>
          <w:rFonts w:ascii="Verdana" w:hAnsi="Verdana" w:cs="Arial"/>
          <w:i/>
          <w:sz w:val="16"/>
          <w:szCs w:val="16"/>
          <w:shd w:val="clear" w:color="auto" w:fill="FFFFFF"/>
        </w:rPr>
        <w:t xml:space="preserve">Caso Masacre de Santo Domingo Vs. </w:t>
      </w:r>
      <w:r w:rsidRPr="005B2507">
        <w:rPr>
          <w:rFonts w:ascii="Verdana" w:hAnsi="Verdana" w:cs="Arial"/>
          <w:i/>
          <w:sz w:val="16"/>
          <w:szCs w:val="16"/>
          <w:shd w:val="clear" w:color="auto" w:fill="FFFFFF"/>
        </w:rPr>
        <w:t>Colombia, supra</w:t>
      </w:r>
      <w:r w:rsidRPr="005B2507">
        <w:rPr>
          <w:rFonts w:ascii="Verdana" w:hAnsi="Verdana"/>
          <w:i/>
          <w:sz w:val="16"/>
          <w:szCs w:val="16"/>
        </w:rPr>
        <w:t xml:space="preserve">, </w:t>
      </w:r>
      <w:r w:rsidRPr="005B2507">
        <w:rPr>
          <w:rFonts w:ascii="Verdana" w:hAnsi="Verdana"/>
          <w:sz w:val="16"/>
          <w:szCs w:val="16"/>
        </w:rPr>
        <w:t xml:space="preserve">párr. 143, y </w:t>
      </w:r>
      <w:r w:rsidR="00A21652" w:rsidRPr="0037717D">
        <w:rPr>
          <w:rFonts w:ascii="Verdana" w:hAnsi="Verdana"/>
          <w:i/>
          <w:iCs/>
          <w:sz w:val="16"/>
          <w:szCs w:val="16"/>
        </w:rPr>
        <w:t>Caso Urrutia Laubreaux Vs. Chile. Excepciones Preliminares, Fondo, Reparaciones y Costas</w:t>
      </w:r>
      <w:r w:rsidR="00A21652" w:rsidRPr="00A21652">
        <w:rPr>
          <w:rFonts w:ascii="Verdana" w:hAnsi="Verdana"/>
          <w:sz w:val="16"/>
          <w:szCs w:val="16"/>
        </w:rPr>
        <w:t>. Sentencia de 27 de agosto de 2020. Serie C No. 409</w:t>
      </w:r>
      <w:r w:rsidR="00A21652">
        <w:rPr>
          <w:rFonts w:ascii="Verdana" w:hAnsi="Verdana"/>
          <w:sz w:val="16"/>
          <w:szCs w:val="16"/>
        </w:rPr>
        <w:t>, párr. 90.</w:t>
      </w:r>
    </w:p>
  </w:footnote>
  <w:footnote w:id="116">
    <w:p w14:paraId="70A58827" w14:textId="6786FA0E" w:rsidR="009739E4" w:rsidRPr="00A21652" w:rsidRDefault="009739E4" w:rsidP="005B2507">
      <w:pPr>
        <w:pStyle w:val="Textonotapie"/>
        <w:spacing w:before="120" w:after="120"/>
        <w:jc w:val="both"/>
        <w:rPr>
          <w:rFonts w:ascii="Verdana" w:hAnsi="Verdana"/>
          <w:sz w:val="16"/>
          <w:szCs w:val="16"/>
        </w:rPr>
      </w:pPr>
      <w:r w:rsidRPr="00A21652">
        <w:rPr>
          <w:rStyle w:val="Refdenotaalpie"/>
          <w:rFonts w:ascii="Verdana" w:hAnsi="Verdana"/>
          <w:sz w:val="16"/>
          <w:szCs w:val="16"/>
        </w:rPr>
        <w:footnoteRef/>
      </w:r>
      <w:r w:rsidRPr="00A21652">
        <w:rPr>
          <w:rFonts w:ascii="Verdana" w:hAnsi="Verdana"/>
          <w:sz w:val="16"/>
          <w:szCs w:val="16"/>
        </w:rPr>
        <w:t xml:space="preserve"> </w:t>
      </w:r>
      <w:r w:rsidRPr="00A21652">
        <w:rPr>
          <w:rFonts w:ascii="Verdana" w:hAnsi="Verdana"/>
          <w:sz w:val="16"/>
          <w:szCs w:val="16"/>
        </w:rPr>
        <w:tab/>
      </w:r>
      <w:r w:rsidRPr="00A21652">
        <w:rPr>
          <w:rFonts w:ascii="Verdana" w:hAnsi="Verdana"/>
          <w:i/>
          <w:iCs/>
          <w:sz w:val="16"/>
          <w:szCs w:val="16"/>
        </w:rPr>
        <w:t xml:space="preserve">Cfr. </w:t>
      </w:r>
      <w:r w:rsidR="00744170" w:rsidRPr="0037717D">
        <w:rPr>
          <w:rFonts w:ascii="Verdana" w:hAnsi="Verdana" w:cs="Open Sans"/>
          <w:i/>
          <w:iCs/>
          <w:sz w:val="16"/>
          <w:szCs w:val="16"/>
          <w:shd w:val="clear" w:color="auto" w:fill="FFFFFF"/>
        </w:rPr>
        <w:t>Caso Tarazona Arrieta y otros Vs. Perú. Excepción Preliminar, Fondo, Reparaciones y Costas</w:t>
      </w:r>
      <w:r w:rsidR="00744170" w:rsidRPr="0037717D">
        <w:rPr>
          <w:rFonts w:ascii="Verdana" w:hAnsi="Verdana" w:cs="Open Sans"/>
          <w:sz w:val="16"/>
          <w:szCs w:val="16"/>
          <w:shd w:val="clear" w:color="auto" w:fill="FFFFFF"/>
        </w:rPr>
        <w:t xml:space="preserve">. Sentencia de 15 de octubre de 2014. Serie C No. 286, párr. 140, y </w:t>
      </w:r>
      <w:r w:rsidR="00744170" w:rsidRPr="0037717D">
        <w:rPr>
          <w:rFonts w:ascii="Verdana" w:hAnsi="Verdana" w:cs="Open Sans"/>
          <w:i/>
          <w:iCs/>
          <w:sz w:val="16"/>
          <w:szCs w:val="16"/>
          <w:shd w:val="clear" w:color="auto" w:fill="FFFFFF"/>
        </w:rPr>
        <w:t>Caso Andrade Salmón Vs. Bolivia. Fondo, Reparaciones y Costas</w:t>
      </w:r>
      <w:r w:rsidR="00744170" w:rsidRPr="0037717D">
        <w:rPr>
          <w:rFonts w:ascii="Verdana" w:hAnsi="Verdana" w:cs="Open Sans"/>
          <w:sz w:val="16"/>
          <w:szCs w:val="16"/>
          <w:shd w:val="clear" w:color="auto" w:fill="FFFFFF"/>
        </w:rPr>
        <w:t>. Sentencia de 1 de diciembre de 2016. Serie C No. 330, párr. 102.</w:t>
      </w:r>
    </w:p>
  </w:footnote>
  <w:footnote w:id="117">
    <w:p w14:paraId="1AB7849D" w14:textId="149C19FD" w:rsidR="001412CF" w:rsidRPr="005B2507" w:rsidRDefault="001412CF" w:rsidP="005B2507">
      <w:pPr>
        <w:pStyle w:val="Textonotapie"/>
        <w:tabs>
          <w:tab w:val="left" w:pos="709"/>
        </w:tabs>
        <w:spacing w:before="120" w:after="120"/>
        <w:jc w:val="both"/>
        <w:rPr>
          <w:rFonts w:ascii="Verdana" w:hAnsi="Verdana" w:cs="Calibri"/>
          <w:sz w:val="16"/>
          <w:szCs w:val="16"/>
          <w:lang w:val="es-CO"/>
        </w:rPr>
      </w:pPr>
      <w:r w:rsidRPr="005B2507">
        <w:rPr>
          <w:rStyle w:val="Refdenotaalpie"/>
          <w:rFonts w:ascii="Verdana" w:hAnsi="Verdana"/>
          <w:sz w:val="16"/>
          <w:szCs w:val="16"/>
        </w:rPr>
        <w:footnoteRef/>
      </w:r>
      <w:r w:rsidRPr="005B2507">
        <w:rPr>
          <w:rFonts w:ascii="Verdana" w:hAnsi="Verdana"/>
          <w:sz w:val="16"/>
          <w:szCs w:val="16"/>
        </w:rPr>
        <w:t xml:space="preserve"> </w:t>
      </w:r>
      <w:r w:rsidR="00AF00FC" w:rsidRPr="005B2507">
        <w:rPr>
          <w:rFonts w:ascii="Verdana" w:hAnsi="Verdana"/>
          <w:sz w:val="16"/>
          <w:szCs w:val="16"/>
        </w:rPr>
        <w:tab/>
      </w:r>
      <w:r w:rsidRPr="005B2507">
        <w:rPr>
          <w:rFonts w:ascii="Verdana" w:hAnsi="Verdana" w:cs="Verdana"/>
          <w:bCs/>
          <w:i/>
          <w:sz w:val="16"/>
          <w:szCs w:val="16"/>
          <w:lang w:val="es-CO"/>
        </w:rPr>
        <w:t>Cfr</w:t>
      </w:r>
      <w:r w:rsidRPr="005B2507">
        <w:rPr>
          <w:rFonts w:ascii="Verdana" w:hAnsi="Verdana" w:cs="Verdana"/>
          <w:bCs/>
          <w:sz w:val="16"/>
          <w:szCs w:val="16"/>
          <w:lang w:val="es-CO"/>
        </w:rPr>
        <w:t>.</w:t>
      </w:r>
      <w:r w:rsidRPr="005B2507">
        <w:rPr>
          <w:rFonts w:ascii="Verdana" w:hAnsi="Verdana" w:cs="Verdana"/>
          <w:bCs/>
          <w:i/>
          <w:sz w:val="16"/>
          <w:szCs w:val="16"/>
          <w:lang w:val="es-CO"/>
        </w:rPr>
        <w:t xml:space="preserve"> </w:t>
      </w:r>
      <w:r w:rsidRPr="005B2507">
        <w:rPr>
          <w:rFonts w:ascii="Verdana" w:hAnsi="Verdana"/>
          <w:i/>
          <w:sz w:val="16"/>
          <w:szCs w:val="16"/>
        </w:rPr>
        <w:t>Caso de las Niñas Yean y Bosico Vs. República Dominicana</w:t>
      </w:r>
      <w:r w:rsidRPr="005B2507">
        <w:rPr>
          <w:rFonts w:ascii="Verdana" w:hAnsi="Verdana" w:cs="Calibri"/>
          <w:i/>
          <w:sz w:val="16"/>
          <w:szCs w:val="16"/>
          <w:lang w:val="es-CO"/>
        </w:rPr>
        <w:t>,</w:t>
      </w:r>
      <w:r w:rsidR="006F31EC">
        <w:rPr>
          <w:rFonts w:ascii="Verdana" w:hAnsi="Verdana" w:cs="Calibri"/>
          <w:i/>
          <w:sz w:val="16"/>
          <w:szCs w:val="16"/>
          <w:lang w:val="es-CO"/>
        </w:rPr>
        <w:t xml:space="preserve"> supra,</w:t>
      </w:r>
      <w:r w:rsidRPr="005B2507">
        <w:rPr>
          <w:rFonts w:ascii="Verdana" w:hAnsi="Verdana" w:cs="Calibri"/>
          <w:i/>
          <w:sz w:val="16"/>
          <w:szCs w:val="16"/>
          <w:lang w:val="es-CO"/>
        </w:rPr>
        <w:t xml:space="preserve"> </w:t>
      </w:r>
      <w:r w:rsidRPr="005B2507">
        <w:rPr>
          <w:rFonts w:ascii="Verdana" w:hAnsi="Verdana" w:cs="Calibri"/>
          <w:sz w:val="16"/>
          <w:szCs w:val="16"/>
          <w:lang w:val="es-CO"/>
        </w:rPr>
        <w:t>párr. 137</w:t>
      </w:r>
      <w:r w:rsidR="00D31A7B" w:rsidRPr="005B2507">
        <w:rPr>
          <w:rFonts w:ascii="Verdana" w:hAnsi="Verdana" w:cs="Calibri"/>
          <w:sz w:val="16"/>
          <w:szCs w:val="16"/>
          <w:lang w:val="es-CO"/>
        </w:rPr>
        <w:t xml:space="preserve">, y </w:t>
      </w:r>
      <w:r w:rsidR="00D31A7B" w:rsidRPr="005B2507">
        <w:rPr>
          <w:rFonts w:ascii="Verdana" w:hAnsi="Verdana" w:cs="Open Sans"/>
          <w:i/>
          <w:iCs/>
          <w:sz w:val="16"/>
          <w:szCs w:val="16"/>
          <w:shd w:val="clear" w:color="auto" w:fill="FFFFFF"/>
        </w:rPr>
        <w:t>Caso de Personas dominicanas y haitianas expulsadas Vs. República Dominicana</w:t>
      </w:r>
      <w:r w:rsidR="00732252">
        <w:rPr>
          <w:rFonts w:ascii="Verdana" w:hAnsi="Verdana" w:cs="Open Sans"/>
          <w:i/>
          <w:iCs/>
          <w:sz w:val="16"/>
          <w:szCs w:val="16"/>
          <w:shd w:val="clear" w:color="auto" w:fill="FFFFFF"/>
        </w:rPr>
        <w:t>, supra</w:t>
      </w:r>
      <w:r w:rsidR="00D31A7B" w:rsidRPr="005B2507">
        <w:rPr>
          <w:rFonts w:ascii="Verdana" w:hAnsi="Verdana" w:cs="Open Sans"/>
          <w:sz w:val="16"/>
          <w:szCs w:val="16"/>
          <w:shd w:val="clear" w:color="auto" w:fill="FFFFFF"/>
        </w:rPr>
        <w:t xml:space="preserve">, párr. </w:t>
      </w:r>
      <w:r w:rsidR="00AF00FC" w:rsidRPr="005B2507">
        <w:rPr>
          <w:rFonts w:ascii="Verdana" w:hAnsi="Verdana" w:cs="Open Sans"/>
          <w:sz w:val="16"/>
          <w:szCs w:val="16"/>
          <w:shd w:val="clear" w:color="auto" w:fill="FFFFFF"/>
        </w:rPr>
        <w:t>253.</w:t>
      </w:r>
    </w:p>
  </w:footnote>
  <w:footnote w:id="118">
    <w:p w14:paraId="145289F8" w14:textId="1094DAE5" w:rsidR="001412CF" w:rsidRPr="005B2507" w:rsidRDefault="001412CF" w:rsidP="005B2507">
      <w:pPr>
        <w:pStyle w:val="Textonotapie"/>
        <w:tabs>
          <w:tab w:val="left" w:pos="709"/>
        </w:tabs>
        <w:spacing w:before="120" w:after="120"/>
        <w:ind w:right="1"/>
        <w:jc w:val="both"/>
        <w:rPr>
          <w:rFonts w:ascii="Verdana" w:hAnsi="Verdana"/>
          <w:sz w:val="16"/>
          <w:szCs w:val="16"/>
        </w:rPr>
      </w:pPr>
      <w:r w:rsidRPr="005B2507">
        <w:rPr>
          <w:rStyle w:val="Refdenotaalpie"/>
          <w:rFonts w:ascii="Verdana" w:hAnsi="Verdana"/>
          <w:sz w:val="16"/>
          <w:szCs w:val="16"/>
        </w:rPr>
        <w:footnoteRef/>
      </w:r>
      <w:r w:rsidRPr="005B2507">
        <w:rPr>
          <w:rFonts w:ascii="Verdana" w:hAnsi="Verdana"/>
          <w:sz w:val="16"/>
          <w:szCs w:val="16"/>
        </w:rPr>
        <w:t xml:space="preserve"> </w:t>
      </w:r>
      <w:r w:rsidR="003723B5" w:rsidRPr="005B2507">
        <w:rPr>
          <w:rFonts w:ascii="Verdana" w:hAnsi="Verdana"/>
          <w:sz w:val="16"/>
          <w:szCs w:val="16"/>
        </w:rPr>
        <w:tab/>
      </w:r>
      <w:r w:rsidRPr="005B2507">
        <w:rPr>
          <w:rFonts w:ascii="Verdana" w:hAnsi="Verdana"/>
          <w:i/>
          <w:sz w:val="16"/>
          <w:szCs w:val="16"/>
        </w:rPr>
        <w:t xml:space="preserve">Cfr. </w:t>
      </w:r>
      <w:r w:rsidR="00732252" w:rsidRPr="005B2507">
        <w:rPr>
          <w:rFonts w:ascii="Verdana" w:hAnsi="Verdana" w:cs="Open Sans"/>
          <w:i/>
          <w:iCs/>
          <w:sz w:val="16"/>
          <w:szCs w:val="16"/>
          <w:shd w:val="clear" w:color="auto" w:fill="FFFFFF"/>
        </w:rPr>
        <w:t>Caso de Personas dominicanas y haitianas expulsadas Vs. República Dominicana</w:t>
      </w:r>
      <w:r w:rsidR="00732252">
        <w:rPr>
          <w:rFonts w:ascii="Verdana" w:hAnsi="Verdana" w:cs="Open Sans"/>
          <w:i/>
          <w:iCs/>
          <w:sz w:val="16"/>
          <w:szCs w:val="16"/>
          <w:shd w:val="clear" w:color="auto" w:fill="FFFFFF"/>
        </w:rPr>
        <w:t>, supra</w:t>
      </w:r>
      <w:r w:rsidR="00732252" w:rsidRPr="005B2507">
        <w:rPr>
          <w:rFonts w:ascii="Verdana" w:hAnsi="Verdana" w:cs="Open Sans"/>
          <w:sz w:val="16"/>
          <w:szCs w:val="16"/>
          <w:shd w:val="clear" w:color="auto" w:fill="FFFFFF"/>
        </w:rPr>
        <w:t>,</w:t>
      </w:r>
      <w:r w:rsidR="00732252">
        <w:rPr>
          <w:rFonts w:ascii="Verdana" w:hAnsi="Verdana" w:cs="Open Sans"/>
          <w:sz w:val="16"/>
          <w:szCs w:val="16"/>
          <w:shd w:val="clear" w:color="auto" w:fill="FFFFFF"/>
        </w:rPr>
        <w:t xml:space="preserve"> </w:t>
      </w:r>
      <w:r w:rsidR="003723B5" w:rsidRPr="005B2507">
        <w:rPr>
          <w:rFonts w:ascii="Verdana" w:hAnsi="Verdana" w:cs="Open Sans"/>
          <w:sz w:val="16"/>
          <w:szCs w:val="16"/>
          <w:shd w:val="clear" w:color="auto" w:fill="FFFFFF"/>
        </w:rPr>
        <w:t>párr. 25</w:t>
      </w:r>
      <w:r w:rsidR="00414823" w:rsidRPr="005B2507">
        <w:rPr>
          <w:rFonts w:ascii="Verdana" w:hAnsi="Verdana" w:cs="Open Sans"/>
          <w:sz w:val="16"/>
          <w:szCs w:val="16"/>
          <w:shd w:val="clear" w:color="auto" w:fill="FFFFFF"/>
        </w:rPr>
        <w:t>3</w:t>
      </w:r>
      <w:r w:rsidR="003723B5" w:rsidRPr="005B2507">
        <w:rPr>
          <w:rFonts w:ascii="Verdana" w:hAnsi="Verdana" w:cs="Open Sans"/>
          <w:sz w:val="16"/>
          <w:szCs w:val="16"/>
          <w:shd w:val="clear" w:color="auto" w:fill="FFFFFF"/>
        </w:rPr>
        <w:t>.</w:t>
      </w:r>
    </w:p>
  </w:footnote>
  <w:footnote w:id="119">
    <w:p w14:paraId="7ECCA386" w14:textId="4EB8D9DF" w:rsidR="001412CF" w:rsidRPr="005B2507" w:rsidRDefault="001412CF" w:rsidP="005B2507">
      <w:pPr>
        <w:tabs>
          <w:tab w:val="left" w:pos="709"/>
        </w:tabs>
        <w:autoSpaceDE w:val="0"/>
        <w:autoSpaceDN w:val="0"/>
        <w:adjustRightInd w:val="0"/>
        <w:spacing w:before="120" w:after="120"/>
        <w:ind w:right="1"/>
        <w:jc w:val="both"/>
        <w:rPr>
          <w:rFonts w:ascii="Verdana" w:hAnsi="Verdana" w:cs="Arial"/>
          <w:sz w:val="16"/>
          <w:szCs w:val="16"/>
        </w:rPr>
      </w:pPr>
      <w:r w:rsidRPr="005B2507">
        <w:rPr>
          <w:rStyle w:val="Refdenotaalpie"/>
          <w:rFonts w:ascii="Verdana" w:hAnsi="Verdana"/>
          <w:sz w:val="16"/>
          <w:szCs w:val="16"/>
        </w:rPr>
        <w:footnoteRef/>
      </w:r>
      <w:r w:rsidRPr="005B2507">
        <w:rPr>
          <w:rFonts w:ascii="Verdana" w:hAnsi="Verdana"/>
          <w:sz w:val="16"/>
          <w:szCs w:val="16"/>
        </w:rPr>
        <w:t xml:space="preserve"> </w:t>
      </w:r>
      <w:r w:rsidR="009618AD" w:rsidRPr="005B2507">
        <w:rPr>
          <w:rFonts w:ascii="Verdana" w:hAnsi="Verdana"/>
          <w:sz w:val="16"/>
          <w:szCs w:val="16"/>
        </w:rPr>
        <w:tab/>
      </w:r>
      <w:r w:rsidRPr="005B2507">
        <w:rPr>
          <w:rFonts w:ascii="Verdana" w:hAnsi="Verdana"/>
          <w:i/>
          <w:sz w:val="16"/>
          <w:szCs w:val="16"/>
        </w:rPr>
        <w:t>Cfr. Propuesta de Modificación a la Constitución Política de Costa Rica Relacionada con la Naturalización.</w:t>
      </w:r>
      <w:r w:rsidR="00D471F0" w:rsidRPr="005B2507">
        <w:rPr>
          <w:rStyle w:val="Ttulo4Car"/>
          <w:rFonts w:eastAsia="Calibri"/>
          <w:color w:val="000000"/>
          <w:sz w:val="16"/>
          <w:szCs w:val="16"/>
          <w:u w:val="none"/>
        </w:rPr>
        <w:t xml:space="preserve"> </w:t>
      </w:r>
      <w:r w:rsidRPr="005B2507">
        <w:rPr>
          <w:rStyle w:val="Textoennegrita"/>
          <w:rFonts w:ascii="Verdana" w:hAnsi="Verdana"/>
          <w:b w:val="0"/>
          <w:bCs w:val="0"/>
          <w:sz w:val="16"/>
          <w:szCs w:val="16"/>
        </w:rPr>
        <w:t>Opinión Consultiva OC-4/84 del 19 de enero de 1984. Serie A No. 4</w:t>
      </w:r>
      <w:r w:rsidRPr="005B2507">
        <w:rPr>
          <w:rFonts w:ascii="Verdana" w:hAnsi="Verdana"/>
          <w:sz w:val="16"/>
          <w:szCs w:val="16"/>
        </w:rPr>
        <w:t>,</w:t>
      </w:r>
      <w:r w:rsidRPr="005B2507">
        <w:rPr>
          <w:rFonts w:ascii="Verdana" w:hAnsi="Verdana"/>
          <w:b/>
          <w:sz w:val="16"/>
          <w:szCs w:val="16"/>
        </w:rPr>
        <w:t xml:space="preserve"> </w:t>
      </w:r>
      <w:r w:rsidRPr="005B2507">
        <w:rPr>
          <w:rFonts w:ascii="Verdana" w:hAnsi="Verdana"/>
          <w:sz w:val="16"/>
          <w:szCs w:val="16"/>
        </w:rPr>
        <w:t>párr. 34</w:t>
      </w:r>
      <w:r w:rsidRPr="005B2507">
        <w:rPr>
          <w:rFonts w:ascii="Verdana" w:hAnsi="Verdana"/>
          <w:color w:val="000000"/>
          <w:sz w:val="16"/>
          <w:szCs w:val="16"/>
          <w:lang w:val="es-MX"/>
        </w:rPr>
        <w:t>,</w:t>
      </w:r>
      <w:r w:rsidRPr="005B2507">
        <w:rPr>
          <w:rFonts w:ascii="Verdana" w:hAnsi="Verdana" w:cs="Arial"/>
          <w:i/>
          <w:sz w:val="16"/>
          <w:szCs w:val="16"/>
        </w:rPr>
        <w:t xml:space="preserve"> </w:t>
      </w:r>
      <w:r w:rsidRPr="005B2507">
        <w:rPr>
          <w:rFonts w:ascii="Verdana" w:hAnsi="Verdana" w:cs="Arial"/>
          <w:sz w:val="16"/>
          <w:szCs w:val="16"/>
        </w:rPr>
        <w:t>y</w:t>
      </w:r>
      <w:r w:rsidRPr="005B2507">
        <w:rPr>
          <w:rFonts w:ascii="Verdana" w:hAnsi="Verdana" w:cs="Arial"/>
          <w:i/>
          <w:sz w:val="16"/>
          <w:szCs w:val="16"/>
        </w:rPr>
        <w:t xml:space="preserve"> </w:t>
      </w:r>
      <w:r w:rsidR="00732252" w:rsidRPr="005B2507">
        <w:rPr>
          <w:rFonts w:ascii="Verdana" w:hAnsi="Verdana" w:cs="Open Sans"/>
          <w:i/>
          <w:iCs/>
          <w:sz w:val="16"/>
          <w:szCs w:val="16"/>
          <w:shd w:val="clear" w:color="auto" w:fill="FFFFFF"/>
        </w:rPr>
        <w:t>Caso de Personas dominicanas y haitianas expulsadas Vs. República Dominicana</w:t>
      </w:r>
      <w:r w:rsidR="00732252">
        <w:rPr>
          <w:rFonts w:ascii="Verdana" w:hAnsi="Verdana" w:cs="Open Sans"/>
          <w:i/>
          <w:iCs/>
          <w:sz w:val="16"/>
          <w:szCs w:val="16"/>
          <w:shd w:val="clear" w:color="auto" w:fill="FFFFFF"/>
        </w:rPr>
        <w:t>, supra</w:t>
      </w:r>
      <w:r w:rsidR="00D471F0" w:rsidRPr="005B2507">
        <w:rPr>
          <w:rFonts w:ascii="Verdana" w:hAnsi="Verdana"/>
          <w:bCs/>
          <w:color w:val="000000"/>
          <w:sz w:val="16"/>
          <w:szCs w:val="16"/>
          <w:lang w:val="es-MX"/>
        </w:rPr>
        <w:t>,</w:t>
      </w:r>
      <w:r w:rsidR="00D471F0" w:rsidRPr="005B2507">
        <w:rPr>
          <w:rFonts w:ascii="Verdana" w:hAnsi="Verdana" w:cs="Open Sans"/>
          <w:sz w:val="16"/>
          <w:szCs w:val="16"/>
          <w:shd w:val="clear" w:color="auto" w:fill="FFFFFF"/>
        </w:rPr>
        <w:t xml:space="preserve"> párr. 25</w:t>
      </w:r>
      <w:r w:rsidR="008D28F9" w:rsidRPr="005B2507">
        <w:rPr>
          <w:rFonts w:ascii="Verdana" w:hAnsi="Verdana" w:cs="Open Sans"/>
          <w:sz w:val="16"/>
          <w:szCs w:val="16"/>
          <w:shd w:val="clear" w:color="auto" w:fill="FFFFFF"/>
        </w:rPr>
        <w:t>4</w:t>
      </w:r>
      <w:r w:rsidR="00D471F0" w:rsidRPr="005B2507">
        <w:rPr>
          <w:rFonts w:ascii="Verdana" w:hAnsi="Verdana" w:cs="Open Sans"/>
          <w:sz w:val="16"/>
          <w:szCs w:val="16"/>
          <w:shd w:val="clear" w:color="auto" w:fill="FFFFFF"/>
        </w:rPr>
        <w:t>.</w:t>
      </w:r>
    </w:p>
  </w:footnote>
  <w:footnote w:id="120">
    <w:p w14:paraId="2141B6DA" w14:textId="15B68624" w:rsidR="001412CF" w:rsidRPr="005B2507" w:rsidRDefault="001412CF" w:rsidP="005B2507">
      <w:pPr>
        <w:pStyle w:val="Textonotapie"/>
        <w:tabs>
          <w:tab w:val="left" w:pos="709"/>
        </w:tabs>
        <w:spacing w:before="120" w:after="120"/>
        <w:ind w:right="1"/>
        <w:jc w:val="both"/>
        <w:rPr>
          <w:rFonts w:ascii="Verdana" w:hAnsi="Verdana"/>
          <w:sz w:val="16"/>
          <w:szCs w:val="16"/>
        </w:rPr>
      </w:pPr>
      <w:r w:rsidRPr="005B2507">
        <w:rPr>
          <w:rStyle w:val="Refdenotaalpie"/>
          <w:rFonts w:ascii="Verdana" w:hAnsi="Verdana"/>
          <w:sz w:val="16"/>
          <w:szCs w:val="16"/>
        </w:rPr>
        <w:footnoteRef/>
      </w:r>
      <w:r w:rsidRPr="005B2507">
        <w:rPr>
          <w:rFonts w:ascii="Verdana" w:hAnsi="Verdana"/>
          <w:i/>
          <w:sz w:val="16"/>
          <w:szCs w:val="16"/>
        </w:rPr>
        <w:t xml:space="preserve"> </w:t>
      </w:r>
      <w:r w:rsidR="00D471F0" w:rsidRPr="005B2507">
        <w:rPr>
          <w:rFonts w:ascii="Verdana" w:hAnsi="Verdana"/>
          <w:i/>
          <w:sz w:val="16"/>
          <w:szCs w:val="16"/>
        </w:rPr>
        <w:tab/>
      </w:r>
      <w:r w:rsidRPr="005B2507">
        <w:rPr>
          <w:rFonts w:ascii="Verdana" w:hAnsi="Verdana"/>
          <w:i/>
          <w:sz w:val="16"/>
          <w:szCs w:val="16"/>
        </w:rPr>
        <w:t>Cfr.</w:t>
      </w:r>
      <w:r w:rsidRPr="0037717D">
        <w:rPr>
          <w:rFonts w:ascii="Verdana" w:hAnsi="Verdana"/>
          <w:iCs/>
          <w:sz w:val="16"/>
          <w:szCs w:val="16"/>
        </w:rPr>
        <w:t xml:space="preserve"> </w:t>
      </w:r>
      <w:r w:rsidR="00DC3FF3" w:rsidRPr="0037717D">
        <w:rPr>
          <w:rFonts w:ascii="Verdana" w:hAnsi="Verdana"/>
          <w:iCs/>
          <w:sz w:val="16"/>
          <w:szCs w:val="16"/>
        </w:rPr>
        <w:t>Opinión Consultiva</w:t>
      </w:r>
      <w:r w:rsidRPr="005B2507">
        <w:rPr>
          <w:rStyle w:val="Textoennegrita"/>
          <w:rFonts w:ascii="Verdana" w:hAnsi="Verdana"/>
          <w:sz w:val="16"/>
          <w:szCs w:val="16"/>
        </w:rPr>
        <w:t xml:space="preserve"> </w:t>
      </w:r>
      <w:r w:rsidRPr="005B2507">
        <w:rPr>
          <w:rStyle w:val="Textoennegrita"/>
          <w:rFonts w:ascii="Verdana" w:hAnsi="Verdana"/>
          <w:b w:val="0"/>
          <w:bCs w:val="0"/>
          <w:sz w:val="16"/>
          <w:szCs w:val="16"/>
        </w:rPr>
        <w:t>OC-4/84</w:t>
      </w:r>
      <w:r w:rsidRPr="0037717D">
        <w:rPr>
          <w:rStyle w:val="Textoennegrita"/>
          <w:rFonts w:ascii="Verdana" w:hAnsi="Verdana"/>
          <w:b w:val="0"/>
          <w:bCs w:val="0"/>
          <w:sz w:val="16"/>
          <w:szCs w:val="16"/>
        </w:rPr>
        <w:t>,</w:t>
      </w:r>
      <w:r w:rsidRPr="0037717D">
        <w:rPr>
          <w:rFonts w:ascii="Verdana" w:hAnsi="Verdana"/>
          <w:b/>
          <w:sz w:val="16"/>
          <w:szCs w:val="16"/>
        </w:rPr>
        <w:t xml:space="preserve"> </w:t>
      </w:r>
      <w:r w:rsidR="00DC3FF3" w:rsidRPr="0037717D">
        <w:rPr>
          <w:rFonts w:ascii="Verdana" w:hAnsi="Verdana"/>
          <w:bCs/>
          <w:i/>
          <w:iCs/>
          <w:sz w:val="16"/>
          <w:szCs w:val="16"/>
        </w:rPr>
        <w:t>supra,</w:t>
      </w:r>
      <w:r w:rsidR="00DC3FF3">
        <w:rPr>
          <w:rFonts w:ascii="Verdana" w:hAnsi="Verdana"/>
          <w:b/>
          <w:sz w:val="16"/>
          <w:szCs w:val="16"/>
        </w:rPr>
        <w:t xml:space="preserve"> </w:t>
      </w:r>
      <w:r w:rsidRPr="005B2507">
        <w:rPr>
          <w:rFonts w:ascii="Verdana" w:hAnsi="Verdana"/>
          <w:sz w:val="16"/>
          <w:szCs w:val="16"/>
        </w:rPr>
        <w:t>párr. 32</w:t>
      </w:r>
      <w:r w:rsidR="00D471F0" w:rsidRPr="005B2507">
        <w:rPr>
          <w:rFonts w:ascii="Verdana" w:hAnsi="Verdana"/>
          <w:sz w:val="16"/>
          <w:szCs w:val="16"/>
        </w:rPr>
        <w:t xml:space="preserve">, y </w:t>
      </w:r>
      <w:r w:rsidR="00732252" w:rsidRPr="005B2507">
        <w:rPr>
          <w:rFonts w:ascii="Verdana" w:hAnsi="Verdana" w:cs="Open Sans"/>
          <w:i/>
          <w:iCs/>
          <w:sz w:val="16"/>
          <w:szCs w:val="16"/>
          <w:shd w:val="clear" w:color="auto" w:fill="FFFFFF"/>
        </w:rPr>
        <w:t>Caso de Personas dominicanas y haitianas expulsadas Vs. República Dominicana</w:t>
      </w:r>
      <w:r w:rsidR="00732252">
        <w:rPr>
          <w:rFonts w:ascii="Verdana" w:hAnsi="Verdana" w:cs="Open Sans"/>
          <w:i/>
          <w:iCs/>
          <w:sz w:val="16"/>
          <w:szCs w:val="16"/>
          <w:shd w:val="clear" w:color="auto" w:fill="FFFFFF"/>
        </w:rPr>
        <w:t>, supra</w:t>
      </w:r>
      <w:r w:rsidR="00732252" w:rsidRPr="005B2507">
        <w:rPr>
          <w:rFonts w:ascii="Verdana" w:hAnsi="Verdana" w:cs="Open Sans"/>
          <w:sz w:val="16"/>
          <w:szCs w:val="16"/>
          <w:shd w:val="clear" w:color="auto" w:fill="FFFFFF"/>
        </w:rPr>
        <w:t>,</w:t>
      </w:r>
      <w:r w:rsidR="008D28F9" w:rsidRPr="005B2507">
        <w:rPr>
          <w:rFonts w:ascii="Verdana" w:hAnsi="Verdana" w:cs="Open Sans"/>
          <w:sz w:val="16"/>
          <w:szCs w:val="16"/>
          <w:shd w:val="clear" w:color="auto" w:fill="FFFFFF"/>
        </w:rPr>
        <w:t xml:space="preserve"> párr. 255.</w:t>
      </w:r>
    </w:p>
  </w:footnote>
  <w:footnote w:id="121">
    <w:p w14:paraId="03C36E82" w14:textId="2DB62190" w:rsidR="00A10CCE" w:rsidRPr="005B2507" w:rsidRDefault="00A10CCE" w:rsidP="005B2507">
      <w:pPr>
        <w:widowControl w:val="0"/>
        <w:tabs>
          <w:tab w:val="left" w:pos="709"/>
        </w:tabs>
        <w:autoSpaceDE w:val="0"/>
        <w:autoSpaceDN w:val="0"/>
        <w:adjustRightInd w:val="0"/>
        <w:spacing w:before="120" w:after="120"/>
        <w:ind w:right="1"/>
        <w:jc w:val="both"/>
        <w:rPr>
          <w:rFonts w:ascii="Verdana" w:hAnsi="Verdana"/>
          <w:sz w:val="16"/>
          <w:szCs w:val="16"/>
          <w:lang w:val="es-MX"/>
        </w:rPr>
      </w:pPr>
      <w:r w:rsidRPr="005B2507">
        <w:rPr>
          <w:rStyle w:val="Refdenotaalpie"/>
          <w:rFonts w:ascii="Verdana" w:hAnsi="Verdana"/>
          <w:sz w:val="16"/>
          <w:szCs w:val="16"/>
        </w:rPr>
        <w:footnoteRef/>
      </w:r>
      <w:r w:rsidRPr="005B2507">
        <w:rPr>
          <w:rFonts w:ascii="Verdana" w:hAnsi="Verdana"/>
          <w:sz w:val="16"/>
          <w:szCs w:val="16"/>
        </w:rPr>
        <w:t xml:space="preserve"> </w:t>
      </w:r>
      <w:r w:rsidRPr="005B2507">
        <w:rPr>
          <w:rFonts w:ascii="Verdana" w:hAnsi="Verdana"/>
          <w:sz w:val="16"/>
          <w:szCs w:val="16"/>
        </w:rPr>
        <w:tab/>
      </w:r>
      <w:r w:rsidRPr="005B2507">
        <w:rPr>
          <w:rFonts w:ascii="Verdana" w:hAnsi="Verdana"/>
          <w:i/>
          <w:iCs/>
          <w:sz w:val="16"/>
          <w:szCs w:val="16"/>
        </w:rPr>
        <w:t xml:space="preserve">Cfr. </w:t>
      </w:r>
      <w:r w:rsidRPr="005B2507">
        <w:rPr>
          <w:rFonts w:ascii="Verdana" w:hAnsi="Verdana" w:cs="Calibri"/>
          <w:i/>
          <w:sz w:val="16"/>
          <w:szCs w:val="16"/>
          <w:lang w:val="es-CO"/>
        </w:rPr>
        <w:t xml:space="preserve">Caso de las Niñas Yean y Bosico </w:t>
      </w:r>
      <w:r w:rsidRPr="005B2507">
        <w:rPr>
          <w:rFonts w:ascii="Verdana" w:hAnsi="Verdana"/>
          <w:i/>
          <w:sz w:val="16"/>
          <w:szCs w:val="16"/>
        </w:rPr>
        <w:t>Vs. República Dominicana</w:t>
      </w:r>
      <w:r w:rsidR="00DC3FF3">
        <w:rPr>
          <w:rFonts w:ascii="Verdana" w:hAnsi="Verdana"/>
          <w:i/>
          <w:sz w:val="16"/>
          <w:szCs w:val="16"/>
        </w:rPr>
        <w:t>, supra</w:t>
      </w:r>
      <w:r w:rsidRPr="005B2507">
        <w:rPr>
          <w:rFonts w:ascii="Verdana" w:hAnsi="Verdana" w:cs="Calibri"/>
          <w:sz w:val="16"/>
          <w:szCs w:val="16"/>
          <w:lang w:val="es-CO"/>
        </w:rPr>
        <w:t>,</w:t>
      </w:r>
      <w:r w:rsidRPr="005B2507">
        <w:rPr>
          <w:rFonts w:ascii="Verdana" w:hAnsi="Verdana"/>
          <w:color w:val="000000"/>
          <w:sz w:val="16"/>
          <w:szCs w:val="16"/>
          <w:lang w:val="es-MX"/>
        </w:rPr>
        <w:t xml:space="preserve"> </w:t>
      </w:r>
      <w:r w:rsidRPr="005B2507">
        <w:rPr>
          <w:rFonts w:ascii="Verdana" w:hAnsi="Verdana"/>
          <w:sz w:val="16"/>
          <w:szCs w:val="16"/>
          <w:lang w:val="es-MX"/>
        </w:rPr>
        <w:t xml:space="preserve">párr. 140, y </w:t>
      </w:r>
      <w:r w:rsidR="00DC3FF3" w:rsidRPr="005B2507">
        <w:rPr>
          <w:rFonts w:ascii="Verdana" w:hAnsi="Verdana" w:cs="Open Sans"/>
          <w:i/>
          <w:iCs/>
          <w:sz w:val="16"/>
          <w:szCs w:val="16"/>
          <w:shd w:val="clear" w:color="auto" w:fill="FFFFFF"/>
        </w:rPr>
        <w:t>Caso de Personas dominicanas y haitianas expulsadas Vs. República Dominicana</w:t>
      </w:r>
      <w:r w:rsidR="00DC3FF3">
        <w:rPr>
          <w:rFonts w:ascii="Verdana" w:hAnsi="Verdana" w:cs="Open Sans"/>
          <w:i/>
          <w:iCs/>
          <w:sz w:val="16"/>
          <w:szCs w:val="16"/>
          <w:shd w:val="clear" w:color="auto" w:fill="FFFFFF"/>
        </w:rPr>
        <w:t>, supra</w:t>
      </w:r>
      <w:r w:rsidR="00DC3FF3" w:rsidRPr="005B2507">
        <w:rPr>
          <w:rFonts w:ascii="Verdana" w:hAnsi="Verdana" w:cs="Open Sans"/>
          <w:sz w:val="16"/>
          <w:szCs w:val="16"/>
          <w:shd w:val="clear" w:color="auto" w:fill="FFFFFF"/>
        </w:rPr>
        <w:t>,</w:t>
      </w:r>
      <w:r w:rsidRPr="005B2507">
        <w:rPr>
          <w:rFonts w:ascii="Verdana" w:hAnsi="Verdana" w:cs="Open Sans"/>
          <w:sz w:val="16"/>
          <w:szCs w:val="16"/>
          <w:shd w:val="clear" w:color="auto" w:fill="FFFFFF"/>
        </w:rPr>
        <w:t xml:space="preserve"> párr. 256.</w:t>
      </w:r>
    </w:p>
  </w:footnote>
  <w:footnote w:id="122">
    <w:p w14:paraId="21353C87" w14:textId="7A1FF157" w:rsidR="001412CF" w:rsidRPr="005B2507" w:rsidRDefault="001412CF" w:rsidP="005B2507">
      <w:pPr>
        <w:widowControl w:val="0"/>
        <w:tabs>
          <w:tab w:val="left" w:pos="709"/>
        </w:tabs>
        <w:autoSpaceDE w:val="0"/>
        <w:autoSpaceDN w:val="0"/>
        <w:adjustRightInd w:val="0"/>
        <w:spacing w:before="120" w:after="120"/>
        <w:ind w:right="1"/>
        <w:jc w:val="both"/>
        <w:rPr>
          <w:rFonts w:ascii="Verdana" w:hAnsi="Verdana"/>
          <w:sz w:val="16"/>
          <w:szCs w:val="16"/>
          <w:lang w:val="es-MX"/>
        </w:rPr>
      </w:pPr>
      <w:r w:rsidRPr="005B2507">
        <w:rPr>
          <w:rStyle w:val="Refdenotaalpie"/>
          <w:rFonts w:ascii="Verdana" w:hAnsi="Verdana"/>
          <w:sz w:val="16"/>
          <w:szCs w:val="16"/>
        </w:rPr>
        <w:footnoteRef/>
      </w:r>
      <w:r w:rsidRPr="005B2507">
        <w:rPr>
          <w:rFonts w:ascii="Verdana" w:hAnsi="Verdana"/>
          <w:sz w:val="16"/>
          <w:szCs w:val="16"/>
        </w:rPr>
        <w:t xml:space="preserve"> </w:t>
      </w:r>
      <w:r w:rsidR="003A51C5" w:rsidRPr="005B2507">
        <w:rPr>
          <w:rFonts w:ascii="Verdana" w:hAnsi="Verdana"/>
          <w:sz w:val="16"/>
          <w:szCs w:val="16"/>
        </w:rPr>
        <w:tab/>
      </w:r>
      <w:r w:rsidR="003A51C5" w:rsidRPr="005B2507">
        <w:rPr>
          <w:rFonts w:ascii="Verdana" w:hAnsi="Verdana"/>
          <w:i/>
          <w:iCs/>
          <w:sz w:val="16"/>
          <w:szCs w:val="16"/>
        </w:rPr>
        <w:t xml:space="preserve">Cfr. </w:t>
      </w:r>
      <w:r w:rsidRPr="005B2507">
        <w:rPr>
          <w:rFonts w:ascii="Verdana" w:hAnsi="Verdana" w:cs="Calibri"/>
          <w:i/>
          <w:sz w:val="16"/>
          <w:szCs w:val="16"/>
          <w:lang w:val="es-CO"/>
        </w:rPr>
        <w:t xml:space="preserve">Caso de las Niñas Yean y Bosico </w:t>
      </w:r>
      <w:r w:rsidRPr="005B2507">
        <w:rPr>
          <w:rFonts w:ascii="Verdana" w:hAnsi="Verdana"/>
          <w:i/>
          <w:sz w:val="16"/>
          <w:szCs w:val="16"/>
        </w:rPr>
        <w:t>Vs. República Dominicana</w:t>
      </w:r>
      <w:r w:rsidRPr="005B2507">
        <w:rPr>
          <w:rFonts w:ascii="Verdana" w:hAnsi="Verdana" w:cs="Calibri"/>
          <w:sz w:val="16"/>
          <w:szCs w:val="16"/>
          <w:lang w:val="es-CO"/>
        </w:rPr>
        <w:t>,</w:t>
      </w:r>
      <w:r w:rsidRPr="005B2507">
        <w:rPr>
          <w:rFonts w:ascii="Verdana" w:hAnsi="Verdana"/>
          <w:color w:val="000000"/>
          <w:sz w:val="16"/>
          <w:szCs w:val="16"/>
          <w:lang w:val="es-MX"/>
        </w:rPr>
        <w:t xml:space="preserve"> </w:t>
      </w:r>
      <w:r w:rsidR="00C12F32" w:rsidRPr="00573429">
        <w:rPr>
          <w:rFonts w:ascii="Verdana" w:hAnsi="Verdana"/>
          <w:i/>
          <w:iCs/>
          <w:color w:val="000000"/>
          <w:sz w:val="16"/>
          <w:szCs w:val="16"/>
          <w:lang w:val="es-MX"/>
        </w:rPr>
        <w:t>supra</w:t>
      </w:r>
      <w:r w:rsidR="00C12F32">
        <w:rPr>
          <w:rFonts w:ascii="Verdana" w:hAnsi="Verdana"/>
          <w:color w:val="000000"/>
          <w:sz w:val="16"/>
          <w:szCs w:val="16"/>
          <w:lang w:val="es-MX"/>
        </w:rPr>
        <w:t xml:space="preserve">, </w:t>
      </w:r>
      <w:r w:rsidRPr="005B2507">
        <w:rPr>
          <w:rFonts w:ascii="Verdana" w:hAnsi="Verdana"/>
          <w:sz w:val="16"/>
          <w:szCs w:val="16"/>
          <w:lang w:val="es-MX"/>
        </w:rPr>
        <w:t>párr. 140</w:t>
      </w:r>
      <w:r w:rsidR="003A51C5" w:rsidRPr="005B2507">
        <w:rPr>
          <w:rFonts w:ascii="Verdana" w:hAnsi="Verdana"/>
          <w:sz w:val="16"/>
          <w:szCs w:val="16"/>
          <w:lang w:val="es-MX"/>
        </w:rPr>
        <w:t xml:space="preserve">, y </w:t>
      </w:r>
      <w:r w:rsidR="003A51C5" w:rsidRPr="005B2507">
        <w:rPr>
          <w:rFonts w:ascii="Verdana" w:hAnsi="Verdana" w:cs="Open Sans"/>
          <w:i/>
          <w:iCs/>
          <w:sz w:val="16"/>
          <w:szCs w:val="16"/>
          <w:shd w:val="clear" w:color="auto" w:fill="FFFFFF"/>
        </w:rPr>
        <w:t>Caso de Personas dominicanas y haitianas expulsadas Vs. República Dominicana</w:t>
      </w:r>
      <w:r w:rsidR="003A51C5" w:rsidRPr="005B2507">
        <w:rPr>
          <w:rFonts w:ascii="Verdana" w:hAnsi="Verdana"/>
          <w:bCs/>
          <w:color w:val="000000"/>
          <w:sz w:val="16"/>
          <w:szCs w:val="16"/>
          <w:lang w:val="es-MX"/>
        </w:rPr>
        <w:t xml:space="preserve">, </w:t>
      </w:r>
      <w:r w:rsidR="003A51C5" w:rsidRPr="005B2507">
        <w:rPr>
          <w:rFonts w:ascii="Verdana" w:hAnsi="Verdana"/>
          <w:bCs/>
          <w:i/>
          <w:iCs/>
          <w:color w:val="000000"/>
          <w:sz w:val="16"/>
          <w:szCs w:val="16"/>
          <w:lang w:val="es-MX"/>
        </w:rPr>
        <w:t>supra</w:t>
      </w:r>
      <w:r w:rsidR="003A51C5" w:rsidRPr="005B2507">
        <w:rPr>
          <w:rFonts w:ascii="Verdana" w:hAnsi="Verdana"/>
          <w:bCs/>
          <w:color w:val="000000"/>
          <w:sz w:val="16"/>
          <w:szCs w:val="16"/>
          <w:lang w:val="es-MX"/>
        </w:rPr>
        <w:t>,</w:t>
      </w:r>
      <w:r w:rsidR="003A51C5" w:rsidRPr="005B2507">
        <w:rPr>
          <w:rFonts w:ascii="Verdana" w:hAnsi="Verdana" w:cs="Open Sans"/>
          <w:sz w:val="16"/>
          <w:szCs w:val="16"/>
          <w:shd w:val="clear" w:color="auto" w:fill="FFFFFF"/>
        </w:rPr>
        <w:t xml:space="preserve"> párr. 256.</w:t>
      </w:r>
    </w:p>
  </w:footnote>
  <w:footnote w:id="123">
    <w:p w14:paraId="17629871" w14:textId="212052A0" w:rsidR="00F66220" w:rsidRPr="005B2507" w:rsidRDefault="00F66220" w:rsidP="005B2507">
      <w:pPr>
        <w:pStyle w:val="Textonotapie"/>
        <w:tabs>
          <w:tab w:val="left" w:pos="709"/>
        </w:tabs>
        <w:spacing w:before="120" w:after="120"/>
        <w:ind w:right="1"/>
        <w:jc w:val="both"/>
        <w:rPr>
          <w:rFonts w:ascii="Verdana" w:hAnsi="Verdana"/>
          <w:color w:val="000000"/>
          <w:sz w:val="16"/>
          <w:szCs w:val="16"/>
          <w:lang w:val="es-MX"/>
        </w:rPr>
      </w:pPr>
      <w:r w:rsidRPr="005B2507">
        <w:rPr>
          <w:rStyle w:val="Refdenotaalpie"/>
          <w:rFonts w:ascii="Verdana" w:hAnsi="Verdana"/>
          <w:sz w:val="16"/>
          <w:szCs w:val="16"/>
        </w:rPr>
        <w:footnoteRef/>
      </w:r>
      <w:r w:rsidRPr="005B2507">
        <w:rPr>
          <w:rFonts w:ascii="Verdana" w:hAnsi="Verdana"/>
          <w:sz w:val="16"/>
          <w:szCs w:val="16"/>
        </w:rPr>
        <w:t xml:space="preserve"> </w:t>
      </w:r>
      <w:r w:rsidR="00BB18CF" w:rsidRPr="005B2507">
        <w:rPr>
          <w:rFonts w:ascii="Verdana" w:hAnsi="Verdana"/>
          <w:sz w:val="16"/>
          <w:szCs w:val="16"/>
        </w:rPr>
        <w:tab/>
      </w:r>
      <w:r w:rsidRPr="005B2507">
        <w:rPr>
          <w:rFonts w:ascii="Verdana" w:hAnsi="Verdana" w:cs="Calibri"/>
          <w:i/>
          <w:sz w:val="16"/>
          <w:szCs w:val="16"/>
          <w:lang w:val="es-CO"/>
        </w:rPr>
        <w:t>Caso de las Niñas Yean y Bosico</w:t>
      </w:r>
      <w:r w:rsidRPr="005B2507">
        <w:rPr>
          <w:rStyle w:val="Textoennegrita"/>
          <w:rFonts w:ascii="Verdana" w:hAnsi="Verdana"/>
          <w:i/>
          <w:sz w:val="16"/>
          <w:szCs w:val="16"/>
        </w:rPr>
        <w:t xml:space="preserve"> </w:t>
      </w:r>
      <w:r w:rsidRPr="005B2507">
        <w:rPr>
          <w:rFonts w:ascii="Verdana" w:hAnsi="Verdana" w:cs="Calibri"/>
          <w:sz w:val="16"/>
          <w:szCs w:val="16"/>
          <w:lang w:val="es-CO"/>
        </w:rPr>
        <w:t xml:space="preserve">Vs. </w:t>
      </w:r>
      <w:r w:rsidRPr="005B2507">
        <w:rPr>
          <w:rFonts w:ascii="Verdana" w:hAnsi="Verdana" w:cs="Calibri"/>
          <w:i/>
          <w:sz w:val="16"/>
          <w:szCs w:val="16"/>
          <w:lang w:val="es-CO"/>
        </w:rPr>
        <w:t>República Dominicana,</w:t>
      </w:r>
      <w:r w:rsidRPr="005B2507">
        <w:rPr>
          <w:rFonts w:ascii="Verdana" w:hAnsi="Verdana"/>
          <w:color w:val="000000"/>
          <w:sz w:val="16"/>
          <w:szCs w:val="16"/>
          <w:lang w:val="es-MX"/>
        </w:rPr>
        <w:t xml:space="preserve"> </w:t>
      </w:r>
      <w:r w:rsidR="00C12F32" w:rsidRPr="0037717D">
        <w:rPr>
          <w:rFonts w:ascii="Verdana" w:hAnsi="Verdana"/>
          <w:i/>
          <w:iCs/>
          <w:color w:val="000000"/>
          <w:sz w:val="16"/>
          <w:szCs w:val="16"/>
          <w:lang w:val="es-MX"/>
        </w:rPr>
        <w:t>supra</w:t>
      </w:r>
      <w:r w:rsidR="00C12F32">
        <w:rPr>
          <w:rFonts w:ascii="Verdana" w:hAnsi="Verdana"/>
          <w:color w:val="000000"/>
          <w:sz w:val="16"/>
          <w:szCs w:val="16"/>
          <w:lang w:val="es-MX"/>
        </w:rPr>
        <w:t xml:space="preserve">, </w:t>
      </w:r>
      <w:r w:rsidRPr="005B2507">
        <w:rPr>
          <w:rFonts w:ascii="Verdana" w:hAnsi="Verdana"/>
          <w:color w:val="000000"/>
          <w:sz w:val="16"/>
          <w:szCs w:val="16"/>
          <w:lang w:val="es-MX"/>
        </w:rPr>
        <w:t xml:space="preserve">párr. 142. </w:t>
      </w:r>
    </w:p>
  </w:footnote>
  <w:footnote w:id="124">
    <w:p w14:paraId="339247D3" w14:textId="5A7E5E3B" w:rsidR="004C2C56" w:rsidRPr="005B2507" w:rsidRDefault="004C2C56" w:rsidP="005B2507">
      <w:pPr>
        <w:pStyle w:val="Textonotapie"/>
        <w:tabs>
          <w:tab w:val="left" w:pos="709"/>
        </w:tabs>
        <w:spacing w:before="120" w:after="120"/>
        <w:jc w:val="both"/>
        <w:rPr>
          <w:rFonts w:ascii="Verdana" w:hAnsi="Verdana"/>
          <w:sz w:val="16"/>
          <w:szCs w:val="16"/>
          <w:lang w:val="es-ES"/>
        </w:rPr>
      </w:pPr>
      <w:r w:rsidRPr="005B2507">
        <w:rPr>
          <w:rStyle w:val="Refdenotaalpie"/>
          <w:rFonts w:ascii="Verdana" w:hAnsi="Verdana"/>
          <w:sz w:val="16"/>
          <w:szCs w:val="16"/>
        </w:rPr>
        <w:footnoteRef/>
      </w:r>
      <w:r w:rsidRPr="005B2507">
        <w:rPr>
          <w:rFonts w:ascii="Verdana" w:hAnsi="Verdana"/>
          <w:sz w:val="16"/>
          <w:szCs w:val="16"/>
        </w:rPr>
        <w:t xml:space="preserve"> </w:t>
      </w:r>
      <w:r w:rsidRPr="005B2507">
        <w:rPr>
          <w:rFonts w:ascii="Verdana" w:hAnsi="Verdana"/>
          <w:sz w:val="16"/>
          <w:szCs w:val="16"/>
          <w:lang w:val="es-ES"/>
        </w:rPr>
        <w:tab/>
      </w:r>
      <w:r w:rsidRPr="005B2507">
        <w:rPr>
          <w:rFonts w:ascii="Verdana" w:hAnsi="Verdana"/>
          <w:i/>
          <w:sz w:val="16"/>
          <w:szCs w:val="16"/>
        </w:rPr>
        <w:t xml:space="preserve">Cfr. </w:t>
      </w:r>
      <w:r w:rsidRPr="005B2507">
        <w:rPr>
          <w:rFonts w:ascii="Verdana" w:hAnsi="Verdana" w:cs="Open Sans"/>
          <w:i/>
          <w:iCs/>
          <w:sz w:val="16"/>
          <w:szCs w:val="16"/>
          <w:shd w:val="clear" w:color="auto" w:fill="FFFFFF"/>
        </w:rPr>
        <w:t>Caso de Personas dominicanas y haitianas expulsadas Vs. República Dominicana</w:t>
      </w:r>
      <w:r w:rsidRPr="005B2507">
        <w:rPr>
          <w:rFonts w:ascii="Verdana" w:hAnsi="Verdana"/>
          <w:bCs/>
          <w:color w:val="000000"/>
          <w:sz w:val="16"/>
          <w:szCs w:val="16"/>
          <w:lang w:val="es-MX"/>
        </w:rPr>
        <w:t xml:space="preserve">, </w:t>
      </w:r>
      <w:r w:rsidRPr="005B2507">
        <w:rPr>
          <w:rFonts w:ascii="Verdana" w:hAnsi="Verdana"/>
          <w:bCs/>
          <w:i/>
          <w:iCs/>
          <w:color w:val="000000"/>
          <w:sz w:val="16"/>
          <w:szCs w:val="16"/>
          <w:lang w:val="es-MX"/>
        </w:rPr>
        <w:t>supra</w:t>
      </w:r>
      <w:r w:rsidRPr="005B2507">
        <w:rPr>
          <w:rFonts w:ascii="Verdana" w:hAnsi="Verdana"/>
          <w:bCs/>
          <w:color w:val="000000"/>
          <w:sz w:val="16"/>
          <w:szCs w:val="16"/>
          <w:lang w:val="es-MX"/>
        </w:rPr>
        <w:t>,</w:t>
      </w:r>
      <w:r w:rsidRPr="005B2507">
        <w:rPr>
          <w:rFonts w:ascii="Verdana" w:hAnsi="Verdana" w:cs="Open Sans"/>
          <w:sz w:val="16"/>
          <w:szCs w:val="16"/>
          <w:shd w:val="clear" w:color="auto" w:fill="FFFFFF"/>
        </w:rPr>
        <w:t xml:space="preserve"> párr. 25</w:t>
      </w:r>
      <w:r w:rsidR="00BB18CF" w:rsidRPr="005B2507">
        <w:rPr>
          <w:rFonts w:ascii="Verdana" w:hAnsi="Verdana" w:cs="Open Sans"/>
          <w:sz w:val="16"/>
          <w:szCs w:val="16"/>
          <w:shd w:val="clear" w:color="auto" w:fill="FFFFFF"/>
        </w:rPr>
        <w:t>9</w:t>
      </w:r>
      <w:r w:rsidR="00BB18CF" w:rsidRPr="005B2507">
        <w:rPr>
          <w:rFonts w:ascii="Verdana" w:hAnsi="Verdana" w:cs="Open Sans"/>
          <w:sz w:val="16"/>
          <w:szCs w:val="16"/>
          <w:shd w:val="clear" w:color="auto" w:fill="FFFFFF"/>
        </w:rPr>
        <w:tab/>
      </w:r>
      <w:r w:rsidRPr="005B2507">
        <w:rPr>
          <w:rFonts w:ascii="Verdana" w:hAnsi="Verdana" w:cs="Open Sans"/>
          <w:sz w:val="16"/>
          <w:szCs w:val="16"/>
          <w:shd w:val="clear" w:color="auto" w:fill="FFFFFF"/>
        </w:rPr>
        <w:t>.</w:t>
      </w:r>
    </w:p>
  </w:footnote>
  <w:footnote w:id="125">
    <w:p w14:paraId="71484ECC" w14:textId="042527CE" w:rsidR="00F07BA9" w:rsidRPr="009849A1" w:rsidRDefault="00F07BA9" w:rsidP="005B2507">
      <w:pPr>
        <w:pStyle w:val="Textonotapie"/>
        <w:tabs>
          <w:tab w:val="left" w:pos="709"/>
        </w:tabs>
        <w:spacing w:before="120" w:after="120"/>
        <w:jc w:val="both"/>
        <w:rPr>
          <w:rFonts w:ascii="Verdana" w:hAnsi="Verdana"/>
          <w:iCs/>
          <w:spacing w:val="-4"/>
          <w:sz w:val="16"/>
          <w:szCs w:val="16"/>
          <w:lang w:val="es-ES"/>
        </w:rPr>
      </w:pPr>
      <w:r w:rsidRPr="005B2507">
        <w:rPr>
          <w:rStyle w:val="Refdenotaalpie"/>
          <w:rFonts w:ascii="Verdana" w:hAnsi="Verdana"/>
          <w:spacing w:val="-4"/>
          <w:sz w:val="16"/>
          <w:szCs w:val="16"/>
        </w:rPr>
        <w:footnoteRef/>
      </w:r>
      <w:r w:rsidRPr="005B2507">
        <w:rPr>
          <w:rFonts w:ascii="Verdana" w:hAnsi="Verdana"/>
          <w:spacing w:val="-4"/>
          <w:sz w:val="16"/>
          <w:szCs w:val="16"/>
          <w:lang w:val="es-ES"/>
        </w:rPr>
        <w:t xml:space="preserve"> </w:t>
      </w:r>
      <w:r w:rsidRPr="005B2507">
        <w:rPr>
          <w:rFonts w:ascii="Verdana" w:hAnsi="Verdana"/>
          <w:spacing w:val="-4"/>
          <w:sz w:val="16"/>
          <w:szCs w:val="16"/>
          <w:lang w:val="es-ES"/>
        </w:rPr>
        <w:tab/>
      </w:r>
      <w:r w:rsidRPr="005B2507">
        <w:rPr>
          <w:rFonts w:ascii="Verdana" w:hAnsi="Verdana"/>
          <w:i/>
          <w:spacing w:val="-4"/>
          <w:sz w:val="16"/>
          <w:szCs w:val="16"/>
          <w:lang w:val="es-ES"/>
        </w:rPr>
        <w:t>Cfr.</w:t>
      </w:r>
      <w:r w:rsidRPr="005B2507">
        <w:rPr>
          <w:rFonts w:ascii="Verdana" w:hAnsi="Verdana"/>
          <w:spacing w:val="-4"/>
          <w:sz w:val="16"/>
          <w:szCs w:val="16"/>
          <w:lang w:val="es-ES"/>
        </w:rPr>
        <w:t xml:space="preserve"> </w:t>
      </w:r>
      <w:r w:rsidRPr="005B2507">
        <w:rPr>
          <w:rFonts w:ascii="Verdana" w:hAnsi="Verdana" w:cs="Tahoma"/>
          <w:i/>
          <w:sz w:val="16"/>
          <w:szCs w:val="16"/>
          <w:shd w:val="clear" w:color="auto" w:fill="FFFFFF"/>
        </w:rPr>
        <w:t>Caso Apitz Barbera y otros (“Corte Primera de lo Contencioso Administrativo”) Vs. Venezuela</w:t>
      </w:r>
      <w:r w:rsidR="006F31EC">
        <w:rPr>
          <w:rFonts w:ascii="Verdana" w:hAnsi="Verdana" w:cs="Tahoma"/>
          <w:i/>
          <w:sz w:val="16"/>
          <w:szCs w:val="16"/>
          <w:shd w:val="clear" w:color="auto" w:fill="FFFFFF"/>
        </w:rPr>
        <w:t>, supra</w:t>
      </w:r>
      <w:r w:rsidRPr="005B2507">
        <w:rPr>
          <w:rFonts w:ascii="Verdana" w:hAnsi="Verdana"/>
          <w:i/>
          <w:spacing w:val="-4"/>
          <w:sz w:val="16"/>
          <w:szCs w:val="16"/>
          <w:lang w:val="es-ES"/>
        </w:rPr>
        <w:t xml:space="preserve">, </w:t>
      </w:r>
      <w:r w:rsidRPr="005B2507">
        <w:rPr>
          <w:rFonts w:ascii="Verdana" w:hAnsi="Verdana"/>
          <w:spacing w:val="-4"/>
          <w:sz w:val="16"/>
          <w:szCs w:val="16"/>
          <w:lang w:val="es-ES"/>
        </w:rPr>
        <w:t xml:space="preserve">párr. 77, y </w:t>
      </w:r>
      <w:r w:rsidR="009849A1">
        <w:rPr>
          <w:rFonts w:ascii="Verdana" w:eastAsia="Calibri" w:hAnsi="Verdana"/>
          <w:bCs/>
          <w:i/>
          <w:color w:val="000000"/>
          <w:sz w:val="16"/>
          <w:szCs w:val="16"/>
          <w:shd w:val="clear" w:color="auto" w:fill="FFFFFF"/>
          <w:lang w:eastAsia="es-CR"/>
        </w:rPr>
        <w:t xml:space="preserve">Caso Pávez Pávez Vs. Chile, supra, </w:t>
      </w:r>
      <w:r w:rsidR="009849A1" w:rsidRPr="0037717D">
        <w:rPr>
          <w:rFonts w:ascii="Verdana" w:eastAsia="Calibri" w:hAnsi="Verdana"/>
          <w:bCs/>
          <w:iCs/>
          <w:color w:val="000000"/>
          <w:sz w:val="16"/>
          <w:szCs w:val="16"/>
          <w:shd w:val="clear" w:color="auto" w:fill="FFFFFF"/>
          <w:lang w:eastAsia="es-CR"/>
        </w:rPr>
        <w:t>párr. 152.</w:t>
      </w:r>
    </w:p>
  </w:footnote>
  <w:footnote w:id="126">
    <w:p w14:paraId="7E03D593" w14:textId="1E678971" w:rsidR="00F07BA9" w:rsidRPr="005B2507" w:rsidRDefault="00F07BA9" w:rsidP="005B2507">
      <w:pPr>
        <w:tabs>
          <w:tab w:val="left" w:pos="709"/>
        </w:tabs>
        <w:autoSpaceDE w:val="0"/>
        <w:autoSpaceDN w:val="0"/>
        <w:spacing w:before="120" w:after="120"/>
        <w:jc w:val="both"/>
        <w:rPr>
          <w:rFonts w:ascii="Verdana" w:hAnsi="Verdana" w:cs="Verdana"/>
          <w:spacing w:val="-4"/>
          <w:sz w:val="16"/>
          <w:szCs w:val="16"/>
          <w:lang w:val="es-ES"/>
        </w:rPr>
      </w:pPr>
      <w:r w:rsidRPr="005B2507">
        <w:rPr>
          <w:rStyle w:val="Refdenotaalpie"/>
          <w:rFonts w:ascii="Verdana" w:hAnsi="Verdana"/>
          <w:spacing w:val="-4"/>
          <w:sz w:val="16"/>
          <w:szCs w:val="16"/>
        </w:rPr>
        <w:footnoteRef/>
      </w:r>
      <w:r w:rsidRPr="005B2507">
        <w:rPr>
          <w:rFonts w:ascii="Verdana" w:hAnsi="Verdana"/>
          <w:spacing w:val="-4"/>
          <w:sz w:val="16"/>
          <w:szCs w:val="16"/>
          <w:lang w:val="es-ES"/>
        </w:rPr>
        <w:t xml:space="preserve"> </w:t>
      </w:r>
      <w:r w:rsidRPr="005B2507">
        <w:rPr>
          <w:rFonts w:ascii="Verdana" w:hAnsi="Verdana"/>
          <w:spacing w:val="-4"/>
          <w:sz w:val="16"/>
          <w:szCs w:val="16"/>
          <w:lang w:val="es-ES"/>
        </w:rPr>
        <w:tab/>
      </w:r>
      <w:r w:rsidRPr="005B2507">
        <w:rPr>
          <w:rFonts w:ascii="Verdana" w:hAnsi="Verdana"/>
          <w:i/>
          <w:spacing w:val="-4"/>
          <w:sz w:val="16"/>
          <w:szCs w:val="16"/>
          <w:lang w:val="es-ES"/>
        </w:rPr>
        <w:t>Cfr.</w:t>
      </w:r>
      <w:r w:rsidRPr="005B2507">
        <w:rPr>
          <w:rFonts w:ascii="Verdana" w:hAnsi="Verdana" w:cs="Verdana"/>
          <w:i/>
          <w:iCs/>
          <w:spacing w:val="-4"/>
          <w:sz w:val="16"/>
          <w:szCs w:val="16"/>
          <w:lang w:val="es-ES"/>
        </w:rPr>
        <w:t xml:space="preserve"> </w:t>
      </w:r>
      <w:r w:rsidRPr="005B2507">
        <w:rPr>
          <w:rFonts w:ascii="Verdana" w:hAnsi="Verdana"/>
          <w:bCs/>
          <w:i/>
          <w:color w:val="000000"/>
          <w:sz w:val="16"/>
          <w:szCs w:val="16"/>
          <w:shd w:val="clear" w:color="auto" w:fill="FFFFFF"/>
        </w:rPr>
        <w:t>Caso Yatama Vs. Nicaragua</w:t>
      </w:r>
      <w:r w:rsidR="006F31EC">
        <w:rPr>
          <w:rFonts w:ascii="Verdana" w:hAnsi="Verdana"/>
          <w:bCs/>
          <w:i/>
          <w:color w:val="000000"/>
          <w:sz w:val="16"/>
          <w:szCs w:val="16"/>
          <w:shd w:val="clear" w:color="auto" w:fill="FFFFFF"/>
        </w:rPr>
        <w:t>, supra</w:t>
      </w:r>
      <w:r w:rsidRPr="005B2507">
        <w:rPr>
          <w:rFonts w:ascii="Verdana" w:hAnsi="Verdana" w:cs="Verdana"/>
          <w:i/>
          <w:iCs/>
          <w:spacing w:val="-4"/>
          <w:sz w:val="16"/>
          <w:szCs w:val="16"/>
          <w:lang w:val="es-ES"/>
        </w:rPr>
        <w:t xml:space="preserve">, </w:t>
      </w:r>
      <w:r w:rsidRPr="005B2507">
        <w:rPr>
          <w:rFonts w:ascii="Verdana" w:hAnsi="Verdana" w:cs="Verdana"/>
          <w:spacing w:val="-4"/>
          <w:sz w:val="16"/>
          <w:szCs w:val="16"/>
          <w:lang w:val="es-ES"/>
        </w:rPr>
        <w:t xml:space="preserve">párr. </w:t>
      </w:r>
      <w:r w:rsidRPr="005B2507">
        <w:rPr>
          <w:rFonts w:ascii="Verdana" w:hAnsi="Verdana" w:cs="Verdana"/>
          <w:spacing w:val="-4"/>
          <w:sz w:val="16"/>
          <w:szCs w:val="16"/>
        </w:rPr>
        <w:t>152</w:t>
      </w:r>
      <w:r w:rsidRPr="005B2507">
        <w:rPr>
          <w:rFonts w:ascii="Verdana" w:hAnsi="Verdana"/>
          <w:i/>
          <w:spacing w:val="-4"/>
          <w:sz w:val="16"/>
          <w:szCs w:val="16"/>
          <w:lang w:val="es-ES"/>
        </w:rPr>
        <w:t xml:space="preserve">, </w:t>
      </w:r>
      <w:r w:rsidRPr="005B2507">
        <w:rPr>
          <w:rFonts w:ascii="Verdana" w:hAnsi="Verdana"/>
          <w:spacing w:val="-4"/>
          <w:sz w:val="16"/>
          <w:szCs w:val="16"/>
          <w:lang w:val="es-ES"/>
        </w:rPr>
        <w:t>y</w:t>
      </w:r>
      <w:r w:rsidRPr="005B2507">
        <w:rPr>
          <w:rFonts w:ascii="Verdana" w:hAnsi="Verdana"/>
          <w:i/>
          <w:spacing w:val="-4"/>
          <w:sz w:val="16"/>
          <w:szCs w:val="16"/>
          <w:lang w:val="es-ES"/>
        </w:rPr>
        <w:t xml:space="preserve"> </w:t>
      </w:r>
      <w:r w:rsidR="009849A1">
        <w:rPr>
          <w:rFonts w:ascii="Verdana" w:eastAsia="Calibri" w:hAnsi="Verdana"/>
          <w:bCs/>
          <w:i/>
          <w:color w:val="000000"/>
          <w:sz w:val="16"/>
          <w:szCs w:val="16"/>
          <w:shd w:val="clear" w:color="auto" w:fill="FFFFFF"/>
          <w:lang w:eastAsia="es-CR"/>
        </w:rPr>
        <w:t>Caso P</w:t>
      </w:r>
      <w:r w:rsidR="006F31EC">
        <w:rPr>
          <w:rFonts w:ascii="Verdana" w:eastAsia="Calibri" w:hAnsi="Verdana"/>
          <w:bCs/>
          <w:i/>
          <w:color w:val="000000"/>
          <w:sz w:val="16"/>
          <w:szCs w:val="16"/>
          <w:shd w:val="clear" w:color="auto" w:fill="FFFFFF"/>
          <w:lang w:eastAsia="es-CR"/>
        </w:rPr>
        <w:t>a</w:t>
      </w:r>
      <w:r w:rsidR="009849A1">
        <w:rPr>
          <w:rFonts w:ascii="Verdana" w:eastAsia="Calibri" w:hAnsi="Verdana"/>
          <w:bCs/>
          <w:i/>
          <w:color w:val="000000"/>
          <w:sz w:val="16"/>
          <w:szCs w:val="16"/>
          <w:shd w:val="clear" w:color="auto" w:fill="FFFFFF"/>
          <w:lang w:eastAsia="es-CR"/>
        </w:rPr>
        <w:t>vez P</w:t>
      </w:r>
      <w:r w:rsidR="006F31EC">
        <w:rPr>
          <w:rFonts w:ascii="Verdana" w:eastAsia="Calibri" w:hAnsi="Verdana"/>
          <w:bCs/>
          <w:i/>
          <w:color w:val="000000"/>
          <w:sz w:val="16"/>
          <w:szCs w:val="16"/>
          <w:shd w:val="clear" w:color="auto" w:fill="FFFFFF"/>
          <w:lang w:eastAsia="es-CR"/>
        </w:rPr>
        <w:t>a</w:t>
      </w:r>
      <w:r w:rsidR="009849A1">
        <w:rPr>
          <w:rFonts w:ascii="Verdana" w:eastAsia="Calibri" w:hAnsi="Verdana"/>
          <w:bCs/>
          <w:i/>
          <w:color w:val="000000"/>
          <w:sz w:val="16"/>
          <w:szCs w:val="16"/>
          <w:shd w:val="clear" w:color="auto" w:fill="FFFFFF"/>
          <w:lang w:eastAsia="es-CR"/>
        </w:rPr>
        <w:t xml:space="preserve">vez Vs. Chile, supra, </w:t>
      </w:r>
      <w:r w:rsidR="009849A1" w:rsidRPr="00573429">
        <w:rPr>
          <w:rFonts w:ascii="Verdana" w:eastAsia="Calibri" w:hAnsi="Verdana"/>
          <w:bCs/>
          <w:iCs/>
          <w:color w:val="000000"/>
          <w:sz w:val="16"/>
          <w:szCs w:val="16"/>
          <w:shd w:val="clear" w:color="auto" w:fill="FFFFFF"/>
          <w:lang w:eastAsia="es-CR"/>
        </w:rPr>
        <w:t>párr. 152.</w:t>
      </w:r>
    </w:p>
  </w:footnote>
  <w:footnote w:id="127">
    <w:p w14:paraId="74257723" w14:textId="1236FD8D" w:rsidR="00F07BA9" w:rsidRPr="005B2507" w:rsidRDefault="00F07BA9" w:rsidP="005B2507">
      <w:pPr>
        <w:tabs>
          <w:tab w:val="left" w:pos="709"/>
        </w:tabs>
        <w:autoSpaceDE w:val="0"/>
        <w:autoSpaceDN w:val="0"/>
        <w:spacing w:before="120" w:after="120"/>
        <w:jc w:val="both"/>
        <w:rPr>
          <w:rFonts w:ascii="Verdana" w:hAnsi="Verdana" w:cs="Verdana"/>
          <w:spacing w:val="-4"/>
          <w:sz w:val="16"/>
          <w:szCs w:val="16"/>
          <w:lang w:val="es-ES"/>
        </w:rPr>
      </w:pPr>
      <w:r w:rsidRPr="005B2507">
        <w:rPr>
          <w:rStyle w:val="Refdenotaalpie"/>
          <w:rFonts w:ascii="Verdana" w:hAnsi="Verdana"/>
          <w:spacing w:val="-4"/>
          <w:sz w:val="16"/>
          <w:szCs w:val="16"/>
        </w:rPr>
        <w:footnoteRef/>
      </w:r>
      <w:r w:rsidRPr="005B2507">
        <w:rPr>
          <w:rFonts w:ascii="Verdana" w:hAnsi="Verdana"/>
          <w:spacing w:val="-4"/>
          <w:sz w:val="16"/>
          <w:szCs w:val="16"/>
          <w:lang w:val="es-ES"/>
        </w:rPr>
        <w:t xml:space="preserve"> </w:t>
      </w:r>
      <w:r w:rsidRPr="005B2507">
        <w:rPr>
          <w:rFonts w:ascii="Verdana" w:hAnsi="Verdana"/>
          <w:spacing w:val="-4"/>
          <w:sz w:val="16"/>
          <w:szCs w:val="16"/>
          <w:lang w:val="es-ES"/>
        </w:rPr>
        <w:tab/>
      </w:r>
      <w:r w:rsidRPr="005B2507">
        <w:rPr>
          <w:rFonts w:ascii="Verdana" w:hAnsi="Verdana"/>
          <w:i/>
          <w:iCs/>
          <w:spacing w:val="-4"/>
          <w:sz w:val="16"/>
          <w:szCs w:val="16"/>
          <w:lang w:val="es-ES"/>
        </w:rPr>
        <w:t xml:space="preserve">Cfr. </w:t>
      </w:r>
      <w:r w:rsidRPr="005B2507">
        <w:rPr>
          <w:rFonts w:ascii="Verdana" w:hAnsi="Verdana"/>
          <w:bCs/>
          <w:i/>
          <w:color w:val="000000"/>
          <w:sz w:val="16"/>
          <w:szCs w:val="16"/>
          <w:shd w:val="clear" w:color="auto" w:fill="FFFFFF"/>
        </w:rPr>
        <w:t>Caso Claude Reyes y otros Vs. Chile. Fondo, Reparaciones y Costas.</w:t>
      </w:r>
      <w:r w:rsidRPr="005B2507">
        <w:rPr>
          <w:rFonts w:ascii="Verdana" w:hAnsi="Verdana"/>
          <w:bCs/>
          <w:color w:val="000000"/>
          <w:sz w:val="16"/>
          <w:szCs w:val="16"/>
          <w:shd w:val="clear" w:color="auto" w:fill="FFFFFF"/>
        </w:rPr>
        <w:t xml:space="preserve"> Sentencia de 19 de septiembre de 2006. Serie C No. 151</w:t>
      </w:r>
      <w:r w:rsidRPr="005B2507">
        <w:rPr>
          <w:rFonts w:ascii="Verdana" w:hAnsi="Verdana" w:cs="Verdana"/>
          <w:spacing w:val="-4"/>
          <w:sz w:val="16"/>
          <w:szCs w:val="16"/>
          <w:lang w:val="es-ES"/>
        </w:rPr>
        <w:t xml:space="preserve">, párr. 122, </w:t>
      </w:r>
      <w:r w:rsidRPr="005B2507">
        <w:rPr>
          <w:rFonts w:ascii="Verdana" w:hAnsi="Verdana"/>
          <w:spacing w:val="-4"/>
          <w:sz w:val="16"/>
          <w:szCs w:val="16"/>
          <w:lang w:val="es-ES"/>
        </w:rPr>
        <w:t xml:space="preserve">y </w:t>
      </w:r>
      <w:r w:rsidR="00C23D3A" w:rsidRPr="0037717D">
        <w:rPr>
          <w:rFonts w:ascii="Verdana" w:hAnsi="Verdana"/>
          <w:i/>
          <w:iCs/>
          <w:spacing w:val="-4"/>
          <w:sz w:val="16"/>
          <w:szCs w:val="16"/>
          <w:lang w:val="es-ES"/>
        </w:rPr>
        <w:t>Caso López y otros Vs. Argentina. Excepciones Preliminares, Fondo, Reparaciones y Costas</w:t>
      </w:r>
      <w:r w:rsidR="00C23D3A" w:rsidRPr="00C23D3A">
        <w:rPr>
          <w:rFonts w:ascii="Verdana" w:hAnsi="Verdana"/>
          <w:spacing w:val="-4"/>
          <w:sz w:val="16"/>
          <w:szCs w:val="16"/>
          <w:lang w:val="es-ES"/>
        </w:rPr>
        <w:t>. Sentencia de 25 de noviembre de 2019. Serie C No. 396</w:t>
      </w:r>
      <w:r w:rsidR="00C23D3A">
        <w:rPr>
          <w:rFonts w:ascii="Verdana" w:hAnsi="Verdana"/>
          <w:spacing w:val="-4"/>
          <w:sz w:val="16"/>
          <w:szCs w:val="16"/>
          <w:lang w:val="es-ES"/>
        </w:rPr>
        <w:t>, párr. 214.</w:t>
      </w:r>
    </w:p>
  </w:footnote>
  <w:footnote w:id="128">
    <w:p w14:paraId="5C587AF7" w14:textId="5862AB60" w:rsidR="00F07BA9" w:rsidRPr="005B2507" w:rsidRDefault="00F07BA9" w:rsidP="005B2507">
      <w:pPr>
        <w:pStyle w:val="Textonotapie"/>
        <w:tabs>
          <w:tab w:val="left" w:pos="709"/>
          <w:tab w:val="left" w:pos="8085"/>
        </w:tabs>
        <w:spacing w:before="120" w:after="120"/>
        <w:jc w:val="both"/>
        <w:rPr>
          <w:rFonts w:ascii="Verdana" w:hAnsi="Verdana"/>
          <w:spacing w:val="-4"/>
          <w:sz w:val="16"/>
          <w:szCs w:val="16"/>
        </w:rPr>
      </w:pPr>
      <w:r w:rsidRPr="005B2507">
        <w:rPr>
          <w:rStyle w:val="Refdenotaalpie"/>
          <w:rFonts w:ascii="Verdana" w:hAnsi="Verdana"/>
          <w:spacing w:val="-4"/>
          <w:sz w:val="16"/>
          <w:szCs w:val="16"/>
        </w:rPr>
        <w:footnoteRef/>
      </w:r>
      <w:r w:rsidRPr="005B2507">
        <w:rPr>
          <w:rFonts w:ascii="Verdana" w:hAnsi="Verdana"/>
          <w:spacing w:val="-4"/>
          <w:sz w:val="16"/>
          <w:szCs w:val="16"/>
        </w:rPr>
        <w:t xml:space="preserve"> </w:t>
      </w:r>
      <w:r w:rsidRPr="005B2507">
        <w:rPr>
          <w:rFonts w:ascii="Verdana" w:hAnsi="Verdana"/>
          <w:spacing w:val="-4"/>
          <w:sz w:val="16"/>
          <w:szCs w:val="16"/>
        </w:rPr>
        <w:tab/>
      </w:r>
      <w:r w:rsidRPr="005B2507">
        <w:rPr>
          <w:rFonts w:ascii="Verdana" w:hAnsi="Verdana"/>
          <w:i/>
          <w:spacing w:val="-4"/>
          <w:sz w:val="16"/>
          <w:szCs w:val="16"/>
        </w:rPr>
        <w:t>Cfr</w:t>
      </w:r>
      <w:r w:rsidRPr="005B2507">
        <w:rPr>
          <w:rFonts w:ascii="Verdana" w:hAnsi="Verdana"/>
          <w:spacing w:val="-4"/>
          <w:sz w:val="16"/>
          <w:szCs w:val="16"/>
        </w:rPr>
        <w:t xml:space="preserve">. </w:t>
      </w:r>
      <w:r w:rsidRPr="005B2507">
        <w:rPr>
          <w:rFonts w:ascii="Verdana" w:hAnsi="Verdana" w:cs="Tahoma"/>
          <w:i/>
          <w:sz w:val="16"/>
          <w:szCs w:val="16"/>
          <w:shd w:val="clear" w:color="auto" w:fill="FFFFFF"/>
        </w:rPr>
        <w:t>Caso Apitz Barbera y otros (“Corte Primera de lo Contencioso Administrativo”) Vs. Venezuela</w:t>
      </w:r>
      <w:r w:rsidR="006F31EC">
        <w:rPr>
          <w:rFonts w:ascii="Verdana" w:hAnsi="Verdana" w:cs="Tahoma"/>
          <w:i/>
          <w:sz w:val="16"/>
          <w:szCs w:val="16"/>
          <w:shd w:val="clear" w:color="auto" w:fill="FFFFFF"/>
        </w:rPr>
        <w:t>, supra</w:t>
      </w:r>
      <w:r w:rsidRPr="005B2507">
        <w:rPr>
          <w:rFonts w:ascii="Verdana" w:hAnsi="Verdana"/>
          <w:spacing w:val="-4"/>
          <w:sz w:val="16"/>
          <w:szCs w:val="16"/>
        </w:rPr>
        <w:t xml:space="preserve">, párr. 78, y </w:t>
      </w:r>
      <w:r w:rsidR="00C23D3A" w:rsidRPr="00573429">
        <w:rPr>
          <w:rFonts w:ascii="Verdana" w:hAnsi="Verdana"/>
          <w:i/>
          <w:iCs/>
          <w:spacing w:val="-4"/>
          <w:sz w:val="16"/>
          <w:szCs w:val="16"/>
          <w:lang w:val="es-ES"/>
        </w:rPr>
        <w:t>Caso López y otros Vs. Argentina</w:t>
      </w:r>
      <w:r w:rsidR="00C23D3A">
        <w:rPr>
          <w:rFonts w:ascii="Verdana" w:hAnsi="Verdana"/>
          <w:i/>
          <w:iCs/>
          <w:spacing w:val="-4"/>
          <w:sz w:val="16"/>
          <w:szCs w:val="16"/>
          <w:lang w:val="es-ES"/>
        </w:rPr>
        <w:t>, supra</w:t>
      </w:r>
      <w:r w:rsidR="00C23D3A">
        <w:rPr>
          <w:rFonts w:ascii="Verdana" w:hAnsi="Verdana"/>
          <w:spacing w:val="-4"/>
          <w:sz w:val="16"/>
          <w:szCs w:val="16"/>
          <w:lang w:val="es-ES"/>
        </w:rPr>
        <w:t>, párr. 214.</w:t>
      </w:r>
    </w:p>
  </w:footnote>
  <w:footnote w:id="129">
    <w:p w14:paraId="49723C4F" w14:textId="2457778E" w:rsidR="00F07BA9" w:rsidRPr="005B2507" w:rsidRDefault="00F07BA9" w:rsidP="005B2507">
      <w:pPr>
        <w:tabs>
          <w:tab w:val="left" w:pos="709"/>
        </w:tabs>
        <w:spacing w:before="120" w:after="120"/>
        <w:jc w:val="both"/>
        <w:rPr>
          <w:rFonts w:ascii="Verdana" w:hAnsi="Verdana"/>
          <w:sz w:val="16"/>
          <w:szCs w:val="16"/>
        </w:rPr>
      </w:pPr>
      <w:r w:rsidRPr="005B2507">
        <w:rPr>
          <w:rStyle w:val="Refdenotaalpie"/>
          <w:rFonts w:ascii="Verdana" w:eastAsia="MS Gothic" w:hAnsi="Verdana"/>
          <w:sz w:val="16"/>
          <w:szCs w:val="16"/>
        </w:rPr>
        <w:footnoteRef/>
      </w:r>
      <w:r w:rsidRPr="005B2507">
        <w:rPr>
          <w:rFonts w:ascii="Verdana" w:hAnsi="Verdana"/>
          <w:sz w:val="16"/>
          <w:szCs w:val="16"/>
        </w:rPr>
        <w:t xml:space="preserve"> </w:t>
      </w:r>
      <w:r w:rsidRPr="005B2507">
        <w:rPr>
          <w:rFonts w:ascii="Verdana" w:hAnsi="Verdana"/>
          <w:sz w:val="16"/>
          <w:szCs w:val="16"/>
        </w:rPr>
        <w:tab/>
      </w:r>
      <w:r w:rsidRPr="005B2507">
        <w:rPr>
          <w:rFonts w:ascii="Verdana" w:hAnsi="Verdana"/>
          <w:i/>
          <w:sz w:val="16"/>
          <w:szCs w:val="16"/>
        </w:rPr>
        <w:t>Cfr. Caso Suárez Rosero Vs. Ecuador</w:t>
      </w:r>
      <w:r w:rsidRPr="005B2507">
        <w:rPr>
          <w:rFonts w:ascii="Verdana" w:hAnsi="Verdana"/>
          <w:sz w:val="16"/>
          <w:szCs w:val="16"/>
        </w:rPr>
        <w:t xml:space="preserve">. </w:t>
      </w:r>
      <w:r w:rsidRPr="005B2507">
        <w:rPr>
          <w:rFonts w:ascii="Verdana" w:hAnsi="Verdana"/>
          <w:i/>
          <w:sz w:val="16"/>
          <w:szCs w:val="16"/>
        </w:rPr>
        <w:t>Fondo</w:t>
      </w:r>
      <w:r w:rsidRPr="005B2507">
        <w:rPr>
          <w:rFonts w:ascii="Verdana" w:hAnsi="Verdana"/>
          <w:sz w:val="16"/>
          <w:szCs w:val="16"/>
        </w:rPr>
        <w:t xml:space="preserve">, </w:t>
      </w:r>
      <w:r w:rsidRPr="005B2507">
        <w:rPr>
          <w:rFonts w:ascii="Verdana" w:hAnsi="Verdana"/>
          <w:i/>
          <w:sz w:val="16"/>
          <w:szCs w:val="16"/>
        </w:rPr>
        <w:t>supra</w:t>
      </w:r>
      <w:r w:rsidRPr="005B2507">
        <w:rPr>
          <w:rFonts w:ascii="Verdana" w:hAnsi="Verdana"/>
          <w:sz w:val="16"/>
          <w:szCs w:val="16"/>
        </w:rPr>
        <w:t xml:space="preserve">, párr. 77, y </w:t>
      </w:r>
      <w:r w:rsidRPr="005B2507">
        <w:rPr>
          <w:rFonts w:ascii="Verdana" w:hAnsi="Verdana" w:cs="Open Sans"/>
          <w:i/>
          <w:iCs/>
          <w:sz w:val="16"/>
          <w:szCs w:val="16"/>
          <w:shd w:val="clear" w:color="auto" w:fill="FFFFFF"/>
        </w:rPr>
        <w:t xml:space="preserve">Caso </w:t>
      </w:r>
      <w:r w:rsidR="00C23D3A">
        <w:rPr>
          <w:rFonts w:ascii="Verdana" w:hAnsi="Verdana" w:cs="Open Sans"/>
          <w:i/>
          <w:iCs/>
          <w:sz w:val="16"/>
          <w:szCs w:val="16"/>
          <w:shd w:val="clear" w:color="auto" w:fill="FFFFFF"/>
        </w:rPr>
        <w:t xml:space="preserve">Manuela </w:t>
      </w:r>
      <w:r w:rsidRPr="005B2507">
        <w:rPr>
          <w:rFonts w:ascii="Verdana" w:hAnsi="Verdana" w:cs="Open Sans"/>
          <w:i/>
          <w:iCs/>
          <w:sz w:val="16"/>
          <w:szCs w:val="16"/>
          <w:shd w:val="clear" w:color="auto" w:fill="FFFFFF"/>
        </w:rPr>
        <w:t>y otros Vs. El Salvador</w:t>
      </w:r>
      <w:r w:rsidR="00C23D3A">
        <w:rPr>
          <w:rFonts w:ascii="Verdana" w:hAnsi="Verdana" w:cs="Open Sans"/>
          <w:i/>
          <w:iCs/>
          <w:sz w:val="16"/>
          <w:szCs w:val="16"/>
          <w:shd w:val="clear" w:color="auto" w:fill="FFFFFF"/>
        </w:rPr>
        <w:t>, supra</w:t>
      </w:r>
      <w:r w:rsidRPr="005B2507">
        <w:rPr>
          <w:rFonts w:ascii="Verdana" w:hAnsi="Verdana" w:cs="Open Sans"/>
          <w:sz w:val="16"/>
          <w:szCs w:val="16"/>
          <w:shd w:val="clear" w:color="auto" w:fill="FFFFFF"/>
        </w:rPr>
        <w:t xml:space="preserve">, párr. </w:t>
      </w:r>
      <w:r w:rsidR="00C23D3A">
        <w:rPr>
          <w:rFonts w:ascii="Verdana" w:hAnsi="Verdana" w:cs="Open Sans"/>
          <w:sz w:val="16"/>
          <w:szCs w:val="16"/>
          <w:shd w:val="clear" w:color="auto" w:fill="FFFFFF"/>
        </w:rPr>
        <w:t>132.</w:t>
      </w:r>
      <w:r w:rsidRPr="005B2507">
        <w:rPr>
          <w:rFonts w:ascii="Verdana" w:hAnsi="Verdana" w:cs="Open Sans"/>
          <w:sz w:val="16"/>
          <w:szCs w:val="16"/>
          <w:shd w:val="clear" w:color="auto" w:fill="FFFFFF"/>
        </w:rPr>
        <w:t xml:space="preserve"> </w:t>
      </w:r>
    </w:p>
  </w:footnote>
  <w:footnote w:id="130">
    <w:p w14:paraId="3E806FBA" w14:textId="2B07D337" w:rsidR="00F07BA9" w:rsidRPr="005B2507" w:rsidRDefault="00F07BA9" w:rsidP="005B2507">
      <w:pPr>
        <w:pStyle w:val="Textonotapie"/>
        <w:tabs>
          <w:tab w:val="left" w:pos="709"/>
        </w:tabs>
        <w:spacing w:before="120" w:after="120"/>
        <w:jc w:val="both"/>
        <w:rPr>
          <w:rFonts w:ascii="Verdana" w:hAnsi="Verdana"/>
          <w:sz w:val="16"/>
          <w:szCs w:val="16"/>
        </w:rPr>
      </w:pPr>
      <w:r w:rsidRPr="005B2507">
        <w:rPr>
          <w:rStyle w:val="Refdenotaalpie"/>
          <w:rFonts w:ascii="Verdana" w:eastAsia="MS Gothic" w:hAnsi="Verdana"/>
          <w:sz w:val="16"/>
          <w:szCs w:val="16"/>
        </w:rPr>
        <w:footnoteRef/>
      </w:r>
      <w:r w:rsidRPr="005B2507">
        <w:rPr>
          <w:rFonts w:ascii="Verdana" w:hAnsi="Verdana"/>
          <w:sz w:val="16"/>
          <w:szCs w:val="16"/>
        </w:rPr>
        <w:t xml:space="preserve"> </w:t>
      </w:r>
      <w:r w:rsidRPr="005B2507">
        <w:rPr>
          <w:rFonts w:ascii="Verdana" w:hAnsi="Verdana"/>
          <w:sz w:val="16"/>
          <w:szCs w:val="16"/>
        </w:rPr>
        <w:tab/>
      </w:r>
      <w:r w:rsidRPr="005B2507">
        <w:rPr>
          <w:rFonts w:ascii="Verdana" w:hAnsi="Verdana"/>
          <w:i/>
          <w:sz w:val="16"/>
          <w:szCs w:val="16"/>
        </w:rPr>
        <w:t>Cfr. Caso J Vs. Perú, supra</w:t>
      </w:r>
      <w:r w:rsidRPr="005B2507">
        <w:rPr>
          <w:rFonts w:ascii="Verdana" w:hAnsi="Verdana"/>
          <w:sz w:val="16"/>
          <w:szCs w:val="16"/>
        </w:rPr>
        <w:t xml:space="preserve">, párr. 157, y </w:t>
      </w:r>
      <w:r w:rsidR="00C23D3A" w:rsidRPr="0037717D">
        <w:rPr>
          <w:rFonts w:ascii="Verdana" w:hAnsi="Verdana"/>
          <w:i/>
          <w:iCs/>
          <w:sz w:val="16"/>
          <w:szCs w:val="16"/>
        </w:rPr>
        <w:t>Caso Petro Urrego Vs. Colombia</w:t>
      </w:r>
      <w:r w:rsidR="00C23D3A">
        <w:rPr>
          <w:rFonts w:ascii="Verdana" w:hAnsi="Verdana"/>
          <w:sz w:val="16"/>
          <w:szCs w:val="16"/>
        </w:rPr>
        <w:t xml:space="preserve">, </w:t>
      </w:r>
      <w:r w:rsidR="00C23D3A" w:rsidRPr="0037717D">
        <w:rPr>
          <w:rFonts w:ascii="Verdana" w:hAnsi="Verdana"/>
          <w:i/>
          <w:iCs/>
          <w:sz w:val="16"/>
          <w:szCs w:val="16"/>
        </w:rPr>
        <w:t>supra</w:t>
      </w:r>
      <w:r w:rsidR="00C23D3A">
        <w:rPr>
          <w:rFonts w:ascii="Verdana" w:hAnsi="Verdana"/>
          <w:sz w:val="16"/>
          <w:szCs w:val="16"/>
        </w:rPr>
        <w:t>, párr. 125.</w:t>
      </w:r>
    </w:p>
  </w:footnote>
  <w:footnote w:id="131">
    <w:p w14:paraId="604B01EB" w14:textId="267DDA31" w:rsidR="00F07BA9" w:rsidRPr="005B2507" w:rsidRDefault="00F07BA9" w:rsidP="005B2507">
      <w:pPr>
        <w:pStyle w:val="Textonotapie"/>
        <w:tabs>
          <w:tab w:val="left" w:pos="709"/>
        </w:tabs>
        <w:spacing w:before="120" w:after="120"/>
        <w:jc w:val="both"/>
        <w:rPr>
          <w:rFonts w:ascii="Verdana" w:hAnsi="Verdana"/>
          <w:sz w:val="16"/>
          <w:szCs w:val="16"/>
        </w:rPr>
      </w:pPr>
      <w:r w:rsidRPr="005B2507">
        <w:rPr>
          <w:rStyle w:val="Refdenotaalpie"/>
          <w:rFonts w:ascii="Verdana" w:eastAsia="MS Gothic" w:hAnsi="Verdana"/>
          <w:sz w:val="16"/>
          <w:szCs w:val="16"/>
        </w:rPr>
        <w:footnoteRef/>
      </w:r>
      <w:r w:rsidRPr="005B2507">
        <w:rPr>
          <w:rFonts w:ascii="Verdana" w:hAnsi="Verdana"/>
          <w:sz w:val="16"/>
          <w:szCs w:val="16"/>
        </w:rPr>
        <w:t xml:space="preserve"> </w:t>
      </w:r>
      <w:r w:rsidRPr="005B2507">
        <w:rPr>
          <w:rFonts w:ascii="Verdana" w:hAnsi="Verdana"/>
          <w:sz w:val="16"/>
          <w:szCs w:val="16"/>
        </w:rPr>
        <w:tab/>
      </w:r>
      <w:r w:rsidRPr="005B2507">
        <w:rPr>
          <w:rFonts w:ascii="Verdana" w:hAnsi="Verdana"/>
          <w:i/>
          <w:sz w:val="16"/>
          <w:szCs w:val="16"/>
        </w:rPr>
        <w:t>Cfr. Caso Cantoral Benavides Vs. Perú. Fondo, supra</w:t>
      </w:r>
      <w:r w:rsidRPr="005B2507">
        <w:rPr>
          <w:rFonts w:ascii="Verdana" w:hAnsi="Verdana"/>
          <w:sz w:val="16"/>
          <w:szCs w:val="16"/>
        </w:rPr>
        <w:t xml:space="preserve">, párr. 120, y </w:t>
      </w:r>
      <w:r w:rsidR="004A7063" w:rsidRPr="0037717D">
        <w:rPr>
          <w:rFonts w:ascii="Verdana" w:hAnsi="Verdana"/>
          <w:i/>
          <w:iCs/>
          <w:sz w:val="16"/>
          <w:szCs w:val="16"/>
        </w:rPr>
        <w:t>Caso Grijalva Bueno Vs. Ecuador. Excepción Preliminar, Fondo, Reparaciones y Costas</w:t>
      </w:r>
      <w:r w:rsidR="004A7063" w:rsidRPr="004A7063">
        <w:rPr>
          <w:rFonts w:ascii="Verdana" w:hAnsi="Verdana"/>
          <w:sz w:val="16"/>
          <w:szCs w:val="16"/>
        </w:rPr>
        <w:t>. Sentencia de 3 de junio de 2021. Serie C No. 426</w:t>
      </w:r>
      <w:r w:rsidR="004A7063">
        <w:rPr>
          <w:rFonts w:ascii="Verdana" w:hAnsi="Verdana"/>
          <w:sz w:val="16"/>
          <w:szCs w:val="16"/>
        </w:rPr>
        <w:t>, párr. 114.</w:t>
      </w:r>
    </w:p>
  </w:footnote>
  <w:footnote w:id="132">
    <w:p w14:paraId="38957BEC" w14:textId="6A250846" w:rsidR="00F07BA9" w:rsidRPr="005B2507" w:rsidRDefault="00F07BA9" w:rsidP="005B2507">
      <w:pPr>
        <w:pStyle w:val="Textonotapie"/>
        <w:tabs>
          <w:tab w:val="left" w:pos="709"/>
        </w:tabs>
        <w:spacing w:before="120" w:after="120"/>
        <w:jc w:val="both"/>
        <w:rPr>
          <w:rFonts w:ascii="Verdana" w:hAnsi="Verdana"/>
          <w:sz w:val="16"/>
          <w:szCs w:val="16"/>
          <w:lang w:val="es-VE"/>
        </w:rPr>
      </w:pPr>
      <w:r w:rsidRPr="005B2507">
        <w:rPr>
          <w:rStyle w:val="Refdenotaalpie"/>
          <w:rFonts w:ascii="Verdana" w:hAnsi="Verdana"/>
          <w:sz w:val="16"/>
          <w:szCs w:val="16"/>
        </w:rPr>
        <w:footnoteRef/>
      </w:r>
      <w:r w:rsidRPr="005B2507">
        <w:rPr>
          <w:rFonts w:ascii="Verdana" w:hAnsi="Verdana"/>
          <w:sz w:val="16"/>
          <w:szCs w:val="16"/>
          <w:lang w:val="es-PR"/>
        </w:rPr>
        <w:t xml:space="preserve"> </w:t>
      </w:r>
      <w:r w:rsidRPr="005B2507">
        <w:rPr>
          <w:rFonts w:ascii="Verdana" w:hAnsi="Verdana"/>
          <w:sz w:val="16"/>
          <w:szCs w:val="16"/>
          <w:lang w:val="es-PR"/>
        </w:rPr>
        <w:tab/>
      </w:r>
      <w:r w:rsidRPr="005B2507">
        <w:rPr>
          <w:rStyle w:val="Textoennegrita"/>
          <w:rFonts w:ascii="Verdana" w:hAnsi="Verdana"/>
          <w:b w:val="0"/>
          <w:i/>
          <w:sz w:val="16"/>
          <w:szCs w:val="16"/>
          <w:shd w:val="clear" w:color="auto" w:fill="FFFFFF"/>
          <w:lang w:val="es-PR"/>
        </w:rPr>
        <w:t>Cfr.</w:t>
      </w:r>
      <w:r w:rsidRPr="005B2507">
        <w:rPr>
          <w:rStyle w:val="Textoennegrita"/>
          <w:rFonts w:ascii="Verdana" w:hAnsi="Verdana"/>
          <w:sz w:val="16"/>
          <w:szCs w:val="16"/>
          <w:shd w:val="clear" w:color="auto" w:fill="FFFFFF"/>
          <w:lang w:val="es-PR"/>
        </w:rPr>
        <w:t xml:space="preserve"> </w:t>
      </w:r>
      <w:r w:rsidRPr="005B2507">
        <w:rPr>
          <w:rFonts w:ascii="Verdana" w:hAnsi="Verdana"/>
          <w:i/>
          <w:sz w:val="16"/>
          <w:szCs w:val="16"/>
          <w:lang w:val="es-PR"/>
        </w:rPr>
        <w:t xml:space="preserve">Caso Baena Ricardo </w:t>
      </w:r>
      <w:r w:rsidR="002A3DE5">
        <w:rPr>
          <w:rFonts w:ascii="Verdana" w:hAnsi="Verdana"/>
          <w:i/>
          <w:sz w:val="16"/>
          <w:szCs w:val="16"/>
          <w:lang w:val="es-PR"/>
        </w:rPr>
        <w:t xml:space="preserve">y otros </w:t>
      </w:r>
      <w:r w:rsidRPr="005B2507">
        <w:rPr>
          <w:rFonts w:ascii="Verdana" w:hAnsi="Verdana"/>
          <w:i/>
          <w:sz w:val="16"/>
          <w:szCs w:val="16"/>
          <w:lang w:val="es-PR"/>
        </w:rPr>
        <w:t xml:space="preserve">Vs. </w:t>
      </w:r>
      <w:r w:rsidRPr="005B2507">
        <w:rPr>
          <w:rFonts w:ascii="Verdana" w:hAnsi="Verdana"/>
          <w:i/>
          <w:sz w:val="16"/>
          <w:szCs w:val="16"/>
        </w:rPr>
        <w:t>Panamá</w:t>
      </w:r>
      <w:r w:rsidR="002A3DE5">
        <w:rPr>
          <w:rFonts w:ascii="Verdana" w:hAnsi="Verdana"/>
          <w:i/>
          <w:sz w:val="16"/>
          <w:szCs w:val="16"/>
        </w:rPr>
        <w:t>, supra</w:t>
      </w:r>
      <w:r w:rsidRPr="005B2507">
        <w:rPr>
          <w:rFonts w:ascii="Verdana" w:hAnsi="Verdana"/>
          <w:sz w:val="16"/>
          <w:szCs w:val="16"/>
        </w:rPr>
        <w:t xml:space="preserve">, párr. </w:t>
      </w:r>
      <w:r w:rsidRPr="005B2507">
        <w:rPr>
          <w:rFonts w:ascii="Verdana" w:hAnsi="Verdana"/>
          <w:sz w:val="16"/>
          <w:szCs w:val="16"/>
          <w:lang w:val="es-VE"/>
        </w:rPr>
        <w:t>106</w:t>
      </w:r>
      <w:r w:rsidR="004A7063">
        <w:rPr>
          <w:rFonts w:ascii="Verdana" w:hAnsi="Verdana"/>
          <w:sz w:val="16"/>
          <w:szCs w:val="16"/>
          <w:lang w:val="es-VE"/>
        </w:rPr>
        <w:t xml:space="preserve">, y </w:t>
      </w:r>
      <w:r w:rsidR="004A7063" w:rsidRPr="0037717D">
        <w:rPr>
          <w:rFonts w:ascii="Verdana" w:hAnsi="Verdana"/>
          <w:i/>
          <w:iCs/>
          <w:sz w:val="16"/>
          <w:szCs w:val="16"/>
          <w:lang w:val="es-VE"/>
        </w:rPr>
        <w:t>Caso Cuya Lavy y otros Vs. Perú</w:t>
      </w:r>
      <w:r w:rsidR="002A3DE5">
        <w:rPr>
          <w:rFonts w:ascii="Verdana" w:hAnsi="Verdana"/>
          <w:i/>
          <w:iCs/>
          <w:sz w:val="16"/>
          <w:szCs w:val="16"/>
          <w:lang w:val="es-VE"/>
        </w:rPr>
        <w:t>, supra</w:t>
      </w:r>
      <w:r w:rsidR="002A3DE5">
        <w:rPr>
          <w:rFonts w:ascii="Verdana" w:hAnsi="Verdana"/>
          <w:sz w:val="16"/>
          <w:szCs w:val="16"/>
          <w:lang w:val="es-VE"/>
        </w:rPr>
        <w:t>,</w:t>
      </w:r>
      <w:r w:rsidR="004A7063" w:rsidRPr="004A7063">
        <w:rPr>
          <w:rFonts w:ascii="Verdana" w:hAnsi="Verdana"/>
          <w:sz w:val="16"/>
          <w:szCs w:val="16"/>
          <w:lang w:val="es-VE"/>
        </w:rPr>
        <w:t xml:space="preserve"> </w:t>
      </w:r>
      <w:r w:rsidR="004A7063">
        <w:rPr>
          <w:rFonts w:ascii="Verdana" w:hAnsi="Verdana"/>
          <w:sz w:val="16"/>
          <w:szCs w:val="16"/>
          <w:lang w:val="es-VE"/>
        </w:rPr>
        <w:t>párr. 141.</w:t>
      </w:r>
    </w:p>
  </w:footnote>
  <w:footnote w:id="133">
    <w:p w14:paraId="59BFE79F" w14:textId="7552410B" w:rsidR="00F07BA9" w:rsidRPr="005B2507" w:rsidRDefault="00F07BA9" w:rsidP="005B2507">
      <w:pPr>
        <w:pStyle w:val="Textonotapie"/>
        <w:tabs>
          <w:tab w:val="left" w:pos="709"/>
        </w:tabs>
        <w:spacing w:before="120" w:after="120"/>
        <w:jc w:val="both"/>
        <w:rPr>
          <w:rFonts w:ascii="Verdana" w:hAnsi="Verdana"/>
          <w:sz w:val="16"/>
          <w:szCs w:val="16"/>
          <w:lang w:val="es-ES"/>
        </w:rPr>
      </w:pPr>
      <w:r w:rsidRPr="005B2507">
        <w:rPr>
          <w:rStyle w:val="Refdenotaalpie"/>
          <w:rFonts w:ascii="Verdana" w:hAnsi="Verdana"/>
          <w:sz w:val="16"/>
          <w:szCs w:val="16"/>
        </w:rPr>
        <w:footnoteRef/>
      </w:r>
      <w:r w:rsidRPr="005B2507">
        <w:rPr>
          <w:rFonts w:ascii="Verdana" w:hAnsi="Verdana"/>
          <w:sz w:val="16"/>
          <w:szCs w:val="16"/>
        </w:rPr>
        <w:t xml:space="preserve"> </w:t>
      </w:r>
      <w:r w:rsidRPr="005B2507">
        <w:rPr>
          <w:rFonts w:ascii="Verdana" w:hAnsi="Verdana"/>
          <w:sz w:val="16"/>
          <w:szCs w:val="16"/>
          <w:lang w:val="es-ES"/>
        </w:rPr>
        <w:tab/>
      </w:r>
      <w:r w:rsidRPr="005B2507">
        <w:rPr>
          <w:rFonts w:ascii="Verdana" w:hAnsi="Verdana"/>
          <w:i/>
          <w:sz w:val="16"/>
          <w:szCs w:val="16"/>
          <w:lang w:val="es-ES"/>
        </w:rPr>
        <w:t>Cfr.</w:t>
      </w:r>
      <w:r w:rsidRPr="005B2507">
        <w:rPr>
          <w:rFonts w:ascii="Verdana" w:hAnsi="Verdana"/>
          <w:sz w:val="16"/>
          <w:szCs w:val="16"/>
          <w:lang w:val="es-ES"/>
        </w:rPr>
        <w:t xml:space="preserve"> </w:t>
      </w:r>
      <w:r w:rsidRPr="005B2507">
        <w:rPr>
          <w:rFonts w:ascii="Verdana" w:hAnsi="Verdana" w:cs="Arial"/>
          <w:i/>
          <w:sz w:val="16"/>
          <w:szCs w:val="16"/>
        </w:rPr>
        <w:t>Caso Baena Ricardo y otros Vs. Panamá</w:t>
      </w:r>
      <w:r w:rsidR="002A3DE5">
        <w:rPr>
          <w:rFonts w:ascii="Verdana" w:hAnsi="Verdana" w:cs="Arial"/>
          <w:i/>
          <w:sz w:val="16"/>
          <w:szCs w:val="16"/>
        </w:rPr>
        <w:t>, supra</w:t>
      </w:r>
      <w:r w:rsidRPr="005B2507">
        <w:rPr>
          <w:rFonts w:ascii="Verdana" w:hAnsi="Verdana" w:cs="Arial"/>
          <w:sz w:val="16"/>
          <w:szCs w:val="16"/>
        </w:rPr>
        <w:t xml:space="preserve">, párr. 106, y </w:t>
      </w:r>
      <w:r w:rsidR="004A7063" w:rsidRPr="0037717D">
        <w:rPr>
          <w:rFonts w:ascii="Verdana" w:hAnsi="Verdana" w:cs="Arial"/>
          <w:i/>
          <w:iCs/>
          <w:sz w:val="16"/>
          <w:szCs w:val="16"/>
        </w:rPr>
        <w:t>Caso Maldonado Ordóñez Vs. Guatemala. Excepción Preliminar, Fondo, Reparaciones y Costas</w:t>
      </w:r>
      <w:r w:rsidR="004A7063" w:rsidRPr="004A7063">
        <w:rPr>
          <w:rFonts w:ascii="Verdana" w:hAnsi="Verdana" w:cs="Arial"/>
          <w:sz w:val="16"/>
          <w:szCs w:val="16"/>
        </w:rPr>
        <w:t>. Sentencia de 3 de mayo de 2016. Serie C No. 311</w:t>
      </w:r>
      <w:r w:rsidR="004A7063">
        <w:rPr>
          <w:rFonts w:ascii="Verdana" w:hAnsi="Verdana" w:cs="Arial"/>
          <w:sz w:val="16"/>
          <w:szCs w:val="16"/>
        </w:rPr>
        <w:t>, párr. 89.</w:t>
      </w:r>
      <w:r w:rsidR="004A7063" w:rsidRPr="004A7063" w:rsidDel="004A7063">
        <w:rPr>
          <w:rFonts w:ascii="Verdana" w:hAnsi="Verdana" w:cs="Arial"/>
          <w:sz w:val="16"/>
          <w:szCs w:val="16"/>
        </w:rPr>
        <w:t xml:space="preserve"> </w:t>
      </w:r>
    </w:p>
  </w:footnote>
  <w:footnote w:id="134">
    <w:p w14:paraId="175C4ACD" w14:textId="4DEC29FC" w:rsidR="00407E67" w:rsidRPr="005B2507" w:rsidRDefault="00407E67" w:rsidP="005B2507">
      <w:pPr>
        <w:pStyle w:val="Textonotapie"/>
        <w:tabs>
          <w:tab w:val="left" w:pos="709"/>
        </w:tabs>
        <w:spacing w:before="120" w:after="120"/>
        <w:jc w:val="both"/>
        <w:rPr>
          <w:rFonts w:ascii="Verdana" w:hAnsi="Verdana"/>
          <w:sz w:val="16"/>
          <w:szCs w:val="16"/>
          <w:lang w:val="es-ES"/>
        </w:rPr>
      </w:pPr>
      <w:r w:rsidRPr="005B2507">
        <w:rPr>
          <w:rStyle w:val="Refdenotaalpie"/>
          <w:rFonts w:ascii="Verdana" w:hAnsi="Verdana"/>
          <w:sz w:val="16"/>
          <w:szCs w:val="16"/>
        </w:rPr>
        <w:footnoteRef/>
      </w:r>
      <w:r w:rsidRPr="005B2507">
        <w:rPr>
          <w:rFonts w:ascii="Verdana" w:hAnsi="Verdana"/>
          <w:sz w:val="16"/>
          <w:szCs w:val="16"/>
        </w:rPr>
        <w:t xml:space="preserve"> </w:t>
      </w:r>
      <w:r w:rsidRPr="005B2507">
        <w:rPr>
          <w:rFonts w:ascii="Verdana" w:hAnsi="Verdana"/>
          <w:sz w:val="16"/>
          <w:szCs w:val="16"/>
          <w:lang w:val="es-ES"/>
        </w:rPr>
        <w:tab/>
      </w:r>
      <w:r w:rsidR="00D753D0" w:rsidRPr="0037717D">
        <w:rPr>
          <w:rFonts w:ascii="Verdana" w:hAnsi="Verdana"/>
          <w:i/>
          <w:iCs/>
          <w:sz w:val="16"/>
          <w:szCs w:val="16"/>
          <w:lang w:val="es-ES"/>
        </w:rPr>
        <w:t>Cfr</w:t>
      </w:r>
      <w:r w:rsidR="00D753D0">
        <w:rPr>
          <w:rFonts w:ascii="Verdana" w:hAnsi="Verdana"/>
          <w:sz w:val="16"/>
          <w:szCs w:val="16"/>
          <w:lang w:val="es-ES"/>
        </w:rPr>
        <w:t>. Versión escrita del p</w:t>
      </w:r>
      <w:r w:rsidRPr="005B2507">
        <w:rPr>
          <w:rFonts w:ascii="Verdana" w:hAnsi="Verdana"/>
          <w:sz w:val="16"/>
          <w:szCs w:val="16"/>
          <w:lang w:val="es-ES"/>
        </w:rPr>
        <w:t xml:space="preserve">eritaje de </w:t>
      </w:r>
      <w:r w:rsidR="00F67432" w:rsidRPr="005B2507">
        <w:rPr>
          <w:rFonts w:ascii="Verdana" w:hAnsi="Verdana"/>
          <w:sz w:val="16"/>
          <w:szCs w:val="16"/>
          <w:lang w:val="es-ES"/>
        </w:rPr>
        <w:t xml:space="preserve">Juan Ignacio Mondelli </w:t>
      </w:r>
      <w:r w:rsidR="00D753D0">
        <w:rPr>
          <w:rFonts w:ascii="Verdana" w:hAnsi="Verdana"/>
          <w:sz w:val="16"/>
          <w:szCs w:val="16"/>
          <w:lang w:val="es-ES"/>
        </w:rPr>
        <w:t xml:space="preserve">(expediente de prueba, folios 2451 a 2617). </w:t>
      </w:r>
    </w:p>
  </w:footnote>
  <w:footnote w:id="135">
    <w:p w14:paraId="5F3FA9A9" w14:textId="313A2457" w:rsidR="005B2507" w:rsidRPr="005B2507" w:rsidRDefault="005B2507" w:rsidP="005B2507">
      <w:pPr>
        <w:pStyle w:val="Textonotapie"/>
        <w:spacing w:before="120" w:after="120"/>
        <w:jc w:val="both"/>
        <w:rPr>
          <w:rFonts w:ascii="Verdana" w:hAnsi="Verdana"/>
          <w:sz w:val="16"/>
          <w:szCs w:val="16"/>
        </w:rPr>
      </w:pPr>
      <w:r w:rsidRPr="005B2507">
        <w:rPr>
          <w:rStyle w:val="Refdenotaalpie"/>
          <w:rFonts w:ascii="Verdana" w:hAnsi="Verdana"/>
          <w:sz w:val="16"/>
          <w:szCs w:val="16"/>
        </w:rPr>
        <w:footnoteRef/>
      </w:r>
      <w:r w:rsidRPr="005B2507">
        <w:rPr>
          <w:rFonts w:ascii="Verdana" w:hAnsi="Verdana"/>
          <w:sz w:val="16"/>
          <w:szCs w:val="16"/>
        </w:rPr>
        <w:t xml:space="preserve">  </w:t>
      </w:r>
      <w:r w:rsidRPr="005B2507">
        <w:rPr>
          <w:rFonts w:ascii="Verdana" w:hAnsi="Verdana"/>
          <w:sz w:val="16"/>
          <w:szCs w:val="16"/>
        </w:rPr>
        <w:tab/>
      </w:r>
      <w:r w:rsidRPr="005B2507">
        <w:rPr>
          <w:rFonts w:ascii="Verdana" w:hAnsi="Verdana"/>
          <w:i/>
          <w:iCs/>
          <w:sz w:val="16"/>
          <w:szCs w:val="16"/>
        </w:rPr>
        <w:t>Cfr</w:t>
      </w:r>
      <w:r w:rsidRPr="005B2507">
        <w:rPr>
          <w:rFonts w:ascii="Verdana" w:hAnsi="Verdana"/>
          <w:sz w:val="16"/>
          <w:szCs w:val="16"/>
        </w:rPr>
        <w:t>. Reporte del registro de movimientos migratorios de Raghda Habbal la Direción de Información Migratoria, del 20 de agosto de 1994 al 17 de marzo de 1996 (expediente de prueba, folio 1047)</w:t>
      </w:r>
      <w:r w:rsidR="00BF3947">
        <w:rPr>
          <w:rFonts w:ascii="Verdana" w:hAnsi="Verdana"/>
          <w:sz w:val="16"/>
          <w:szCs w:val="16"/>
        </w:rPr>
        <w:t>;</w:t>
      </w:r>
      <w:r w:rsidRPr="005B2507">
        <w:rPr>
          <w:rFonts w:ascii="Verdana" w:hAnsi="Verdana"/>
          <w:sz w:val="16"/>
          <w:szCs w:val="16"/>
        </w:rPr>
        <w:t xml:space="preserve"> Ministerio del Interior, Obras Públicas y Vivienda, Antedecentes EN.SA, de 7 de octubre de 2016 (expediente de prueba, folio 1059)</w:t>
      </w:r>
      <w:r w:rsidR="00BF3947">
        <w:rPr>
          <w:rFonts w:ascii="Verdana" w:hAnsi="Verdana"/>
          <w:sz w:val="16"/>
          <w:szCs w:val="16"/>
        </w:rPr>
        <w:t>, y</w:t>
      </w:r>
      <w:r w:rsidRPr="005B2507">
        <w:rPr>
          <w:rFonts w:ascii="Verdana" w:hAnsi="Verdana"/>
          <w:sz w:val="16"/>
          <w:szCs w:val="16"/>
        </w:rPr>
        <w:t xml:space="preserve"> </w:t>
      </w:r>
      <w:r w:rsidR="00BF3947">
        <w:rPr>
          <w:rFonts w:ascii="Verdana" w:hAnsi="Verdana"/>
          <w:sz w:val="16"/>
          <w:szCs w:val="16"/>
        </w:rPr>
        <w:t>p</w:t>
      </w:r>
      <w:r w:rsidR="00BF3947" w:rsidRPr="00B35F78">
        <w:rPr>
          <w:rFonts w:ascii="Verdana" w:hAnsi="Verdana"/>
          <w:sz w:val="16"/>
          <w:szCs w:val="16"/>
        </w:rPr>
        <w:t xml:space="preserve">asaporte de la señora </w:t>
      </w:r>
      <w:r w:rsidR="005178F1">
        <w:rPr>
          <w:rFonts w:ascii="Verdana" w:hAnsi="Verdana"/>
          <w:sz w:val="16"/>
          <w:szCs w:val="16"/>
        </w:rPr>
        <w:t>Raghda</w:t>
      </w:r>
      <w:r w:rsidR="00BF3947" w:rsidRPr="00B35F78">
        <w:rPr>
          <w:rFonts w:ascii="Verdana" w:hAnsi="Verdana"/>
          <w:sz w:val="16"/>
          <w:szCs w:val="16"/>
        </w:rPr>
        <w:t xml:space="preserve"> Habbal expedido 23 de junio de 1994 (expediente de prueba, folios 201</w:t>
      </w:r>
      <w:r w:rsidR="0039424C">
        <w:rPr>
          <w:rFonts w:ascii="Verdana" w:hAnsi="Verdana"/>
          <w:sz w:val="16"/>
          <w:szCs w:val="16"/>
        </w:rPr>
        <w:t xml:space="preserve"> a </w:t>
      </w:r>
      <w:r w:rsidR="00BF3947" w:rsidRPr="00B35F78">
        <w:rPr>
          <w:rFonts w:ascii="Verdana" w:hAnsi="Verdana"/>
          <w:sz w:val="16"/>
          <w:szCs w:val="16"/>
        </w:rPr>
        <w:t>211).</w:t>
      </w:r>
    </w:p>
  </w:footnote>
  <w:footnote w:id="136">
    <w:p w14:paraId="030F51B7" w14:textId="3862AF1A" w:rsidR="005B2507" w:rsidRPr="005B2507" w:rsidRDefault="005B2507" w:rsidP="0037717D">
      <w:pPr>
        <w:pStyle w:val="Textonotapie"/>
        <w:spacing w:before="120"/>
        <w:jc w:val="both"/>
        <w:rPr>
          <w:rFonts w:ascii="Verdana" w:hAnsi="Verdana"/>
          <w:sz w:val="16"/>
          <w:szCs w:val="16"/>
        </w:rPr>
      </w:pPr>
      <w:r w:rsidRPr="005B2507">
        <w:rPr>
          <w:rStyle w:val="Refdenotaalpie"/>
          <w:rFonts w:ascii="Verdana" w:hAnsi="Verdana"/>
          <w:sz w:val="16"/>
          <w:szCs w:val="16"/>
        </w:rPr>
        <w:footnoteRef/>
      </w:r>
      <w:r w:rsidRPr="005B2507">
        <w:rPr>
          <w:rFonts w:ascii="Verdana" w:hAnsi="Verdana"/>
          <w:sz w:val="16"/>
          <w:szCs w:val="16"/>
        </w:rPr>
        <w:t xml:space="preserve">  </w:t>
      </w:r>
      <w:r w:rsidRPr="005B2507">
        <w:rPr>
          <w:rFonts w:ascii="Verdana" w:hAnsi="Verdana"/>
          <w:sz w:val="16"/>
          <w:szCs w:val="16"/>
        </w:rPr>
        <w:tab/>
        <w:t xml:space="preserve">Al respecto, véase, Decreto </w:t>
      </w:r>
      <w:r w:rsidR="00CB6B78">
        <w:rPr>
          <w:rFonts w:ascii="Verdana" w:hAnsi="Verdana"/>
          <w:sz w:val="16"/>
          <w:szCs w:val="16"/>
        </w:rPr>
        <w:t>L</w:t>
      </w:r>
      <w:r w:rsidRPr="005B2507">
        <w:rPr>
          <w:rFonts w:ascii="Verdana" w:hAnsi="Verdana"/>
          <w:sz w:val="16"/>
          <w:szCs w:val="16"/>
        </w:rPr>
        <w:t>egislativo 276 sobre nacionalidad</w:t>
      </w:r>
      <w:r w:rsidR="00094EDF">
        <w:rPr>
          <w:rFonts w:ascii="Verdana" w:hAnsi="Verdana"/>
          <w:sz w:val="16"/>
          <w:szCs w:val="16"/>
        </w:rPr>
        <w:t xml:space="preserve"> de la República</w:t>
      </w:r>
      <w:r w:rsidR="0037242C">
        <w:rPr>
          <w:rFonts w:ascii="Verdana" w:hAnsi="Verdana"/>
          <w:sz w:val="16"/>
          <w:szCs w:val="16"/>
        </w:rPr>
        <w:t xml:space="preserve"> Árabe de Siria de</w:t>
      </w:r>
      <w:r w:rsidRPr="005B2507">
        <w:rPr>
          <w:rFonts w:ascii="Verdana" w:hAnsi="Verdana"/>
          <w:sz w:val="16"/>
          <w:szCs w:val="16"/>
        </w:rPr>
        <w:t xml:space="preserve"> 24 de noviembre de 1969</w:t>
      </w:r>
      <w:r w:rsidR="0037242C">
        <w:rPr>
          <w:rFonts w:ascii="Verdana" w:hAnsi="Verdana"/>
          <w:sz w:val="16"/>
          <w:szCs w:val="16"/>
        </w:rPr>
        <w:t>. Dicho decreto señala,</w:t>
      </w:r>
      <w:r w:rsidRPr="005B2507">
        <w:rPr>
          <w:rFonts w:ascii="Verdana" w:hAnsi="Verdana"/>
          <w:sz w:val="16"/>
          <w:szCs w:val="16"/>
        </w:rPr>
        <w:t xml:space="preserve"> en su artículo 10</w:t>
      </w:r>
      <w:r w:rsidR="0037242C">
        <w:rPr>
          <w:rFonts w:ascii="Verdana" w:hAnsi="Verdana"/>
          <w:sz w:val="16"/>
          <w:szCs w:val="16"/>
        </w:rPr>
        <w:t>,</w:t>
      </w:r>
      <w:r w:rsidRPr="005B2507">
        <w:rPr>
          <w:rFonts w:ascii="Verdana" w:hAnsi="Verdana"/>
          <w:sz w:val="16"/>
          <w:szCs w:val="16"/>
        </w:rPr>
        <w:t xml:space="preserve"> lo siguiente: </w:t>
      </w:r>
      <w:r w:rsidR="0037242C">
        <w:rPr>
          <w:rFonts w:ascii="Verdana" w:hAnsi="Verdana"/>
          <w:sz w:val="16"/>
          <w:szCs w:val="16"/>
        </w:rPr>
        <w:t xml:space="preserve">“A Syrian Arab forfeits nationality if he acquiered a foreign nationality, provided that a decree has been issued, base on his request and upon recommendation by the Minister, allowing him to abandon his nationality after having fulfilled all his obligations and duties towards the State” </w:t>
      </w:r>
      <w:r w:rsidR="00951636">
        <w:rPr>
          <w:rFonts w:ascii="Verdana" w:hAnsi="Verdana"/>
          <w:sz w:val="16"/>
          <w:szCs w:val="16"/>
        </w:rPr>
        <w:t>(</w:t>
      </w:r>
      <w:r w:rsidRPr="005B2507">
        <w:rPr>
          <w:rFonts w:ascii="Verdana" w:hAnsi="Verdana"/>
          <w:sz w:val="16"/>
          <w:szCs w:val="16"/>
        </w:rPr>
        <w:t>“Un árabe sirio pierde la nacionalidad si adquiere una nacionalidad extranjera, siempre que se haya emitido un decreto, basado en su solicitud y por recomendación del Ministro, que le permita abandonar su nacionalidad tras haber cumplido con todas sus obligaciones y deberes”</w:t>
      </w:r>
      <w:r w:rsidR="00951636">
        <w:rPr>
          <w:rFonts w:ascii="Verdana" w:hAnsi="Verdana"/>
          <w:sz w:val="16"/>
          <w:szCs w:val="16"/>
        </w:rPr>
        <w:t>)</w:t>
      </w:r>
      <w:r w:rsidR="009A28A4">
        <w:rPr>
          <w:rFonts w:ascii="Verdana" w:hAnsi="Verdana"/>
          <w:sz w:val="16"/>
          <w:szCs w:val="16"/>
        </w:rPr>
        <w:t>.</w:t>
      </w:r>
    </w:p>
  </w:footnote>
  <w:footnote w:id="137">
    <w:p w14:paraId="3A795E87" w14:textId="2ED3D69A" w:rsidR="00166B08" w:rsidRPr="005B2507" w:rsidRDefault="00166B08" w:rsidP="005B2507">
      <w:pPr>
        <w:pStyle w:val="Sinespaciado"/>
        <w:widowControl w:val="0"/>
        <w:tabs>
          <w:tab w:val="left" w:pos="709"/>
        </w:tabs>
        <w:spacing w:before="120" w:after="120"/>
        <w:jc w:val="both"/>
        <w:rPr>
          <w:rFonts w:ascii="Verdana" w:hAnsi="Verdana" w:cstheme="minorHAnsi"/>
          <w:iCs/>
          <w:sz w:val="16"/>
          <w:szCs w:val="16"/>
          <w:lang w:val="es-ES"/>
        </w:rPr>
      </w:pPr>
      <w:r w:rsidRPr="005B2507">
        <w:rPr>
          <w:rStyle w:val="Refdenotaalpie"/>
          <w:rFonts w:ascii="Verdana" w:hAnsi="Verdana"/>
          <w:sz w:val="16"/>
          <w:szCs w:val="16"/>
        </w:rPr>
        <w:footnoteRef/>
      </w:r>
      <w:r w:rsidRPr="005B2507">
        <w:rPr>
          <w:rFonts w:ascii="Verdana" w:hAnsi="Verdana"/>
          <w:bCs/>
          <w:i/>
          <w:sz w:val="16"/>
          <w:szCs w:val="16"/>
          <w:lang w:val="es-ES"/>
        </w:rPr>
        <w:tab/>
        <w:t xml:space="preserve">Cfr. Caso Velásquez Rodríguez Vs. Honduras. Excepciones Preliminares. </w:t>
      </w:r>
      <w:r w:rsidRPr="005B2507">
        <w:rPr>
          <w:rFonts w:ascii="Verdana" w:hAnsi="Verdana"/>
          <w:bCs/>
          <w:sz w:val="16"/>
          <w:szCs w:val="16"/>
          <w:lang w:val="es-ES"/>
        </w:rPr>
        <w:t>Sentencia de 26 de junio de 1987. Serie C No. 1, párr. 91, y</w:t>
      </w:r>
      <w:r w:rsidRPr="005B2507">
        <w:rPr>
          <w:rFonts w:ascii="Verdana" w:hAnsi="Verdana"/>
          <w:bCs/>
          <w:i/>
          <w:sz w:val="16"/>
          <w:szCs w:val="16"/>
          <w:lang w:val="es-ES"/>
        </w:rPr>
        <w:t xml:space="preserve"> </w:t>
      </w:r>
      <w:r w:rsidR="006F1ABF" w:rsidRPr="006F1ABF">
        <w:rPr>
          <w:rFonts w:ascii="Verdana" w:hAnsi="Verdana"/>
          <w:bCs/>
          <w:i/>
          <w:sz w:val="16"/>
          <w:szCs w:val="16"/>
          <w:lang w:val="es-ES"/>
        </w:rPr>
        <w:t>Caso Pavez Pavez Vs. Chile</w:t>
      </w:r>
      <w:r w:rsidR="006F1ABF">
        <w:rPr>
          <w:rFonts w:ascii="Verdana" w:hAnsi="Verdana"/>
          <w:bCs/>
          <w:i/>
          <w:sz w:val="16"/>
          <w:szCs w:val="16"/>
          <w:lang w:val="es-ES"/>
        </w:rPr>
        <w:t>, supra</w:t>
      </w:r>
      <w:r w:rsidR="006F1ABF" w:rsidRPr="0037717D">
        <w:rPr>
          <w:rFonts w:ascii="Verdana" w:hAnsi="Verdana"/>
          <w:bCs/>
          <w:iCs/>
          <w:sz w:val="16"/>
          <w:szCs w:val="16"/>
          <w:lang w:val="es-ES"/>
        </w:rPr>
        <w:t>, párr. 155.</w:t>
      </w:r>
      <w:r w:rsidR="006F1ABF" w:rsidRPr="0037717D" w:rsidDel="006F1ABF">
        <w:rPr>
          <w:rStyle w:val="Textoennegrita"/>
          <w:rFonts w:ascii="Verdana" w:hAnsi="Verdana"/>
          <w:b w:val="0"/>
          <w:bCs w:val="0"/>
          <w:i/>
          <w:color w:val="000000"/>
          <w:sz w:val="16"/>
          <w:szCs w:val="16"/>
          <w:lang w:val="es-ES"/>
        </w:rPr>
        <w:t xml:space="preserve"> </w:t>
      </w:r>
    </w:p>
  </w:footnote>
  <w:footnote w:id="138">
    <w:p w14:paraId="5D2C39E8" w14:textId="74C57486" w:rsidR="00166B08" w:rsidRPr="005B2507" w:rsidRDefault="00166B08" w:rsidP="005B2507">
      <w:pPr>
        <w:pStyle w:val="Textonotapie"/>
        <w:widowControl w:val="0"/>
        <w:tabs>
          <w:tab w:val="left" w:pos="709"/>
        </w:tabs>
        <w:spacing w:before="120" w:after="120"/>
        <w:jc w:val="both"/>
        <w:rPr>
          <w:rFonts w:ascii="Verdana" w:hAnsi="Verdana" w:cstheme="minorHAnsi"/>
          <w:sz w:val="16"/>
          <w:szCs w:val="16"/>
        </w:rPr>
      </w:pPr>
      <w:r w:rsidRPr="005B2507">
        <w:rPr>
          <w:rStyle w:val="Refdenotaalpie"/>
          <w:rFonts w:ascii="Verdana" w:eastAsiaTheme="majorEastAsia" w:hAnsi="Verdana" w:cstheme="minorHAnsi"/>
          <w:sz w:val="16"/>
          <w:szCs w:val="16"/>
        </w:rPr>
        <w:footnoteRef/>
      </w:r>
      <w:r w:rsidRPr="005B2507">
        <w:rPr>
          <w:rFonts w:ascii="Verdana" w:hAnsi="Verdana" w:cstheme="minorHAnsi"/>
          <w:i/>
          <w:sz w:val="16"/>
          <w:szCs w:val="16"/>
        </w:rPr>
        <w:tab/>
      </w:r>
      <w:r w:rsidRPr="005B2507">
        <w:rPr>
          <w:rFonts w:ascii="Verdana" w:hAnsi="Verdana"/>
          <w:bCs/>
          <w:i/>
          <w:sz w:val="16"/>
          <w:szCs w:val="16"/>
        </w:rPr>
        <w:t xml:space="preserve">Cfr. </w:t>
      </w:r>
      <w:r w:rsidRPr="005B2507">
        <w:rPr>
          <w:rStyle w:val="Textoennegrita"/>
          <w:rFonts w:ascii="Verdana" w:hAnsi="Verdana"/>
          <w:b w:val="0"/>
          <w:bCs w:val="0"/>
          <w:i/>
          <w:color w:val="000000"/>
          <w:sz w:val="16"/>
          <w:szCs w:val="16"/>
        </w:rPr>
        <w:t>Garantías judiciales en estados de emergencia (Arts. 27.2, 25 y 8 Convención Americana sobre Derechos Humanos)</w:t>
      </w:r>
      <w:r w:rsidRPr="005B2507">
        <w:rPr>
          <w:rStyle w:val="Textoennegrita"/>
          <w:rFonts w:ascii="Verdana" w:hAnsi="Verdana"/>
          <w:b w:val="0"/>
          <w:bCs w:val="0"/>
          <w:color w:val="000000"/>
          <w:sz w:val="16"/>
          <w:szCs w:val="16"/>
        </w:rPr>
        <w:t>. Opinión Consultiva OC-9/87 de 6 de octubre de 1987. Serie A No. 9, párr. 24</w:t>
      </w:r>
      <w:r w:rsidRPr="005B2507">
        <w:rPr>
          <w:rFonts w:ascii="Verdana" w:hAnsi="Verdana"/>
          <w:sz w:val="16"/>
          <w:szCs w:val="16"/>
        </w:rPr>
        <w:t xml:space="preserve">, </w:t>
      </w:r>
      <w:r w:rsidRPr="005B2507">
        <w:rPr>
          <w:rFonts w:ascii="Verdana" w:hAnsi="Verdana" w:cstheme="minorHAnsi"/>
          <w:spacing w:val="-12"/>
          <w:sz w:val="16"/>
          <w:szCs w:val="16"/>
        </w:rPr>
        <w:t>y</w:t>
      </w:r>
      <w:r w:rsidRPr="005B2507">
        <w:rPr>
          <w:rFonts w:ascii="Verdana" w:hAnsi="Verdana" w:cstheme="minorHAnsi"/>
          <w:b/>
          <w:bCs/>
          <w:spacing w:val="-12"/>
          <w:sz w:val="16"/>
          <w:szCs w:val="16"/>
        </w:rPr>
        <w:t xml:space="preserve"> </w:t>
      </w:r>
      <w:r w:rsidR="00820DFA" w:rsidRPr="006F1ABF">
        <w:rPr>
          <w:rFonts w:ascii="Verdana" w:hAnsi="Verdana"/>
          <w:bCs/>
          <w:i/>
          <w:sz w:val="16"/>
          <w:szCs w:val="16"/>
          <w:lang w:val="es-ES"/>
        </w:rPr>
        <w:t>Caso Pavez Pavez Vs. Chile</w:t>
      </w:r>
      <w:r w:rsidR="00820DFA">
        <w:rPr>
          <w:rFonts w:ascii="Verdana" w:hAnsi="Verdana"/>
          <w:bCs/>
          <w:i/>
          <w:sz w:val="16"/>
          <w:szCs w:val="16"/>
          <w:lang w:val="es-ES"/>
        </w:rPr>
        <w:t>, supra</w:t>
      </w:r>
      <w:r w:rsidR="00820DFA" w:rsidRPr="00573429">
        <w:rPr>
          <w:rFonts w:ascii="Verdana" w:hAnsi="Verdana"/>
          <w:bCs/>
          <w:iCs/>
          <w:sz w:val="16"/>
          <w:szCs w:val="16"/>
          <w:lang w:val="es-ES"/>
        </w:rPr>
        <w:t>, párr. 155.</w:t>
      </w:r>
      <w:r w:rsidR="00820DFA" w:rsidRPr="00573429" w:rsidDel="006F1ABF">
        <w:rPr>
          <w:rStyle w:val="Textoennegrita"/>
          <w:rFonts w:ascii="Verdana" w:hAnsi="Verdana"/>
          <w:b w:val="0"/>
          <w:bCs w:val="0"/>
          <w:i/>
          <w:color w:val="000000"/>
          <w:sz w:val="16"/>
          <w:szCs w:val="16"/>
          <w:lang w:val="es-ES"/>
        </w:rPr>
        <w:t xml:space="preserve"> </w:t>
      </w:r>
    </w:p>
  </w:footnote>
  <w:footnote w:id="139">
    <w:p w14:paraId="04B66375" w14:textId="6CC07C13" w:rsidR="00166B08" w:rsidRPr="005B2507" w:rsidRDefault="00166B08" w:rsidP="005B2507">
      <w:pPr>
        <w:pStyle w:val="Textonotapie"/>
        <w:widowControl w:val="0"/>
        <w:tabs>
          <w:tab w:val="left" w:pos="709"/>
        </w:tabs>
        <w:spacing w:before="120" w:after="120"/>
        <w:jc w:val="both"/>
        <w:rPr>
          <w:rFonts w:ascii="Verdana" w:hAnsi="Verdana"/>
          <w:sz w:val="16"/>
          <w:szCs w:val="16"/>
        </w:rPr>
      </w:pPr>
      <w:r w:rsidRPr="005B2507">
        <w:rPr>
          <w:rStyle w:val="Refdenotaalpie"/>
          <w:rFonts w:ascii="Verdana" w:eastAsiaTheme="majorEastAsia" w:hAnsi="Verdana"/>
          <w:sz w:val="16"/>
          <w:szCs w:val="16"/>
        </w:rPr>
        <w:footnoteRef/>
      </w:r>
      <w:r w:rsidRPr="005B2507">
        <w:rPr>
          <w:rFonts w:ascii="Verdana" w:hAnsi="Verdana"/>
          <w:sz w:val="16"/>
          <w:szCs w:val="16"/>
        </w:rPr>
        <w:tab/>
      </w:r>
      <w:r w:rsidRPr="005B2507">
        <w:rPr>
          <w:rFonts w:ascii="Verdana" w:hAnsi="Verdana"/>
          <w:i/>
          <w:sz w:val="16"/>
          <w:szCs w:val="16"/>
        </w:rPr>
        <w:t xml:space="preserve">Cfr. </w:t>
      </w:r>
      <w:r w:rsidRPr="005B2507">
        <w:rPr>
          <w:rStyle w:val="Textoennegrita"/>
          <w:rFonts w:ascii="Verdana" w:hAnsi="Verdana"/>
          <w:b w:val="0"/>
          <w:bCs w:val="0"/>
          <w:color w:val="000000"/>
          <w:sz w:val="16"/>
          <w:szCs w:val="16"/>
        </w:rPr>
        <w:t>Opinión Consultiva OC-9/87</w:t>
      </w:r>
      <w:r w:rsidR="006F1ABF">
        <w:rPr>
          <w:rStyle w:val="Textoennegrita"/>
          <w:rFonts w:ascii="Verdana" w:hAnsi="Verdana"/>
          <w:b w:val="0"/>
          <w:bCs w:val="0"/>
          <w:color w:val="000000"/>
          <w:sz w:val="16"/>
          <w:szCs w:val="16"/>
        </w:rPr>
        <w:t xml:space="preserve">, </w:t>
      </w:r>
      <w:r w:rsidR="006F1ABF" w:rsidRPr="0037717D">
        <w:rPr>
          <w:rStyle w:val="Textoennegrita"/>
          <w:rFonts w:ascii="Verdana" w:hAnsi="Verdana"/>
          <w:b w:val="0"/>
          <w:bCs w:val="0"/>
          <w:i/>
          <w:iCs/>
          <w:color w:val="000000"/>
          <w:sz w:val="16"/>
          <w:szCs w:val="16"/>
        </w:rPr>
        <w:t>supra</w:t>
      </w:r>
      <w:r w:rsidRPr="005B2507">
        <w:rPr>
          <w:rStyle w:val="Textoennegrita"/>
          <w:rFonts w:ascii="Verdana" w:hAnsi="Verdana"/>
          <w:b w:val="0"/>
          <w:bCs w:val="0"/>
          <w:color w:val="000000"/>
          <w:sz w:val="16"/>
          <w:szCs w:val="16"/>
        </w:rPr>
        <w:t>, párr. 24</w:t>
      </w:r>
      <w:r w:rsidRPr="005B2507">
        <w:rPr>
          <w:rFonts w:ascii="Verdana" w:hAnsi="Verdana"/>
          <w:sz w:val="16"/>
          <w:szCs w:val="16"/>
        </w:rPr>
        <w:t>, y</w:t>
      </w:r>
      <w:r w:rsidRPr="005B2507">
        <w:rPr>
          <w:rFonts w:ascii="Verdana" w:hAnsi="Verdana"/>
          <w:b/>
          <w:bCs/>
          <w:sz w:val="16"/>
          <w:szCs w:val="16"/>
        </w:rPr>
        <w:t xml:space="preserve"> </w:t>
      </w:r>
      <w:r w:rsidR="00820DFA" w:rsidRPr="005B2507">
        <w:rPr>
          <w:rFonts w:ascii="Verdana" w:hAnsi="Verdana"/>
          <w:bCs/>
          <w:sz w:val="16"/>
          <w:szCs w:val="16"/>
          <w:lang w:val="es-ES"/>
        </w:rPr>
        <w:t>y</w:t>
      </w:r>
      <w:r w:rsidR="00820DFA" w:rsidRPr="005B2507">
        <w:rPr>
          <w:rFonts w:ascii="Verdana" w:hAnsi="Verdana"/>
          <w:bCs/>
          <w:i/>
          <w:sz w:val="16"/>
          <w:szCs w:val="16"/>
          <w:lang w:val="es-ES"/>
        </w:rPr>
        <w:t xml:space="preserve"> </w:t>
      </w:r>
      <w:r w:rsidR="00820DFA" w:rsidRPr="006F1ABF">
        <w:rPr>
          <w:rFonts w:ascii="Verdana" w:hAnsi="Verdana"/>
          <w:bCs/>
          <w:i/>
          <w:sz w:val="16"/>
          <w:szCs w:val="16"/>
          <w:lang w:val="es-ES"/>
        </w:rPr>
        <w:t>Caso Pavez Pavez Vs. Chile</w:t>
      </w:r>
      <w:r w:rsidR="00820DFA">
        <w:rPr>
          <w:rFonts w:ascii="Verdana" w:hAnsi="Verdana"/>
          <w:bCs/>
          <w:i/>
          <w:sz w:val="16"/>
          <w:szCs w:val="16"/>
          <w:lang w:val="es-ES"/>
        </w:rPr>
        <w:t>, supra</w:t>
      </w:r>
      <w:r w:rsidR="00820DFA" w:rsidRPr="00573429">
        <w:rPr>
          <w:rFonts w:ascii="Verdana" w:hAnsi="Verdana"/>
          <w:bCs/>
          <w:iCs/>
          <w:sz w:val="16"/>
          <w:szCs w:val="16"/>
          <w:lang w:val="es-ES"/>
        </w:rPr>
        <w:t>, párr. 155.</w:t>
      </w:r>
      <w:r w:rsidR="00820DFA" w:rsidRPr="00573429" w:rsidDel="006F1ABF">
        <w:rPr>
          <w:rStyle w:val="Textoennegrita"/>
          <w:rFonts w:ascii="Verdana" w:hAnsi="Verdana"/>
          <w:b w:val="0"/>
          <w:bCs w:val="0"/>
          <w:i/>
          <w:color w:val="000000"/>
          <w:sz w:val="16"/>
          <w:szCs w:val="16"/>
          <w:lang w:val="es-ES"/>
        </w:rPr>
        <w:t xml:space="preserve"> </w:t>
      </w:r>
    </w:p>
  </w:footnote>
  <w:footnote w:id="140">
    <w:p w14:paraId="641241BD" w14:textId="21E8C5BD" w:rsidR="00166B08" w:rsidRPr="005B2507" w:rsidRDefault="00166B08" w:rsidP="005B2507">
      <w:pPr>
        <w:pStyle w:val="Textonotapie"/>
        <w:widowControl w:val="0"/>
        <w:tabs>
          <w:tab w:val="left" w:pos="709"/>
        </w:tabs>
        <w:spacing w:before="120" w:after="120"/>
        <w:jc w:val="both"/>
        <w:rPr>
          <w:rFonts w:ascii="Verdana" w:hAnsi="Verdana"/>
          <w:sz w:val="16"/>
          <w:szCs w:val="16"/>
        </w:rPr>
      </w:pPr>
      <w:r w:rsidRPr="005B2507">
        <w:rPr>
          <w:rStyle w:val="Refdenotaalpie"/>
          <w:rFonts w:ascii="Verdana" w:eastAsiaTheme="majorEastAsia" w:hAnsi="Verdana"/>
          <w:sz w:val="16"/>
          <w:szCs w:val="16"/>
        </w:rPr>
        <w:footnoteRef/>
      </w:r>
      <w:r w:rsidRPr="005B2507">
        <w:rPr>
          <w:rFonts w:ascii="Verdana" w:hAnsi="Verdana"/>
          <w:sz w:val="16"/>
          <w:szCs w:val="16"/>
        </w:rPr>
        <w:tab/>
      </w:r>
      <w:r w:rsidRPr="005B2507">
        <w:rPr>
          <w:rFonts w:ascii="Verdana" w:hAnsi="Verdana"/>
          <w:i/>
          <w:sz w:val="16"/>
          <w:szCs w:val="16"/>
        </w:rPr>
        <w:t xml:space="preserve">Cfr. </w:t>
      </w:r>
      <w:r w:rsidRPr="005B2507">
        <w:rPr>
          <w:rStyle w:val="Textoennegrita"/>
          <w:rFonts w:ascii="Verdana" w:hAnsi="Verdana"/>
          <w:b w:val="0"/>
          <w:bCs w:val="0"/>
          <w:i/>
          <w:sz w:val="16"/>
          <w:szCs w:val="16"/>
        </w:rPr>
        <w:t xml:space="preserve">Caso López Álvarez Vs. Honduras. Fondo, Reparaciones y Costas. </w:t>
      </w:r>
      <w:r w:rsidRPr="005B2507">
        <w:rPr>
          <w:rStyle w:val="Textoennegrita"/>
          <w:rFonts w:ascii="Verdana" w:hAnsi="Verdana"/>
          <w:b w:val="0"/>
          <w:bCs w:val="0"/>
          <w:sz w:val="16"/>
          <w:szCs w:val="16"/>
        </w:rPr>
        <w:t>Sentencia de 1 de febrero de 2006. Serie C No. 141, párr. 96, y</w:t>
      </w:r>
      <w:r w:rsidRPr="005B2507">
        <w:rPr>
          <w:rStyle w:val="Textoennegrita"/>
          <w:rFonts w:ascii="Verdana" w:hAnsi="Verdana"/>
          <w:sz w:val="16"/>
          <w:szCs w:val="16"/>
        </w:rPr>
        <w:t xml:space="preserve"> </w:t>
      </w:r>
      <w:r w:rsidR="00820DFA" w:rsidRPr="006F1ABF">
        <w:rPr>
          <w:rFonts w:ascii="Verdana" w:hAnsi="Verdana"/>
          <w:bCs/>
          <w:i/>
          <w:sz w:val="16"/>
          <w:szCs w:val="16"/>
          <w:lang w:val="es-ES"/>
        </w:rPr>
        <w:t>Caso Pavez Pavez Vs. Chile</w:t>
      </w:r>
      <w:r w:rsidR="00820DFA">
        <w:rPr>
          <w:rFonts w:ascii="Verdana" w:hAnsi="Verdana"/>
          <w:bCs/>
          <w:i/>
          <w:sz w:val="16"/>
          <w:szCs w:val="16"/>
          <w:lang w:val="es-ES"/>
        </w:rPr>
        <w:t>, supra</w:t>
      </w:r>
      <w:r w:rsidR="00820DFA" w:rsidRPr="00573429">
        <w:rPr>
          <w:rFonts w:ascii="Verdana" w:hAnsi="Verdana"/>
          <w:bCs/>
          <w:iCs/>
          <w:sz w:val="16"/>
          <w:szCs w:val="16"/>
          <w:lang w:val="es-ES"/>
        </w:rPr>
        <w:t>, párr. 155.</w:t>
      </w:r>
      <w:r w:rsidR="00820DFA" w:rsidRPr="00573429" w:rsidDel="006F1ABF">
        <w:rPr>
          <w:rStyle w:val="Textoennegrita"/>
          <w:rFonts w:ascii="Verdana" w:hAnsi="Verdana"/>
          <w:b w:val="0"/>
          <w:bCs w:val="0"/>
          <w:i/>
          <w:color w:val="000000"/>
          <w:sz w:val="16"/>
          <w:szCs w:val="16"/>
          <w:lang w:val="es-ES"/>
        </w:rPr>
        <w:t xml:space="preserve"> </w:t>
      </w:r>
    </w:p>
  </w:footnote>
  <w:footnote w:id="141">
    <w:p w14:paraId="2B70DF61" w14:textId="3BDA45D3" w:rsidR="00166B08" w:rsidRPr="005B2507" w:rsidRDefault="00166B08" w:rsidP="005B2507">
      <w:pPr>
        <w:pStyle w:val="Textonotapie"/>
        <w:widowControl w:val="0"/>
        <w:tabs>
          <w:tab w:val="left" w:pos="709"/>
        </w:tabs>
        <w:spacing w:before="120" w:after="120"/>
        <w:jc w:val="both"/>
        <w:rPr>
          <w:rFonts w:ascii="Verdana" w:hAnsi="Verdana"/>
          <w:sz w:val="16"/>
          <w:szCs w:val="16"/>
        </w:rPr>
      </w:pPr>
      <w:r w:rsidRPr="005B2507">
        <w:rPr>
          <w:rStyle w:val="Refdenotaalpie"/>
          <w:rFonts w:ascii="Verdana" w:eastAsiaTheme="majorEastAsia" w:hAnsi="Verdana"/>
          <w:sz w:val="16"/>
          <w:szCs w:val="16"/>
        </w:rPr>
        <w:footnoteRef/>
      </w:r>
      <w:r w:rsidRPr="005B2507">
        <w:rPr>
          <w:rFonts w:ascii="Verdana" w:hAnsi="Verdana"/>
          <w:i/>
          <w:sz w:val="16"/>
          <w:szCs w:val="16"/>
        </w:rPr>
        <w:tab/>
        <w:t xml:space="preserve">Cfr. </w:t>
      </w:r>
      <w:r w:rsidRPr="005B2507">
        <w:rPr>
          <w:rFonts w:ascii="Verdana" w:hAnsi="Verdana"/>
          <w:bCs/>
          <w:i/>
          <w:sz w:val="16"/>
          <w:szCs w:val="16"/>
        </w:rPr>
        <w:t>Caso Velásquez Rodríguez Vs. Honduras. Fondo</w:t>
      </w:r>
      <w:r w:rsidR="002A3DE5">
        <w:rPr>
          <w:rFonts w:ascii="Verdana" w:hAnsi="Verdana"/>
          <w:bCs/>
          <w:i/>
          <w:sz w:val="16"/>
          <w:szCs w:val="16"/>
        </w:rPr>
        <w:t>, supra,</w:t>
      </w:r>
      <w:r w:rsidRPr="005B2507">
        <w:rPr>
          <w:rFonts w:ascii="Verdana" w:hAnsi="Verdana"/>
          <w:bCs/>
          <w:sz w:val="16"/>
          <w:szCs w:val="16"/>
        </w:rPr>
        <w:t xml:space="preserve"> párr. 67, y </w:t>
      </w:r>
      <w:r w:rsidRPr="005B2507">
        <w:rPr>
          <w:rStyle w:val="Textoennegrita"/>
          <w:rFonts w:ascii="Verdana" w:hAnsi="Verdana"/>
          <w:b w:val="0"/>
          <w:bCs w:val="0"/>
          <w:i/>
          <w:color w:val="000000"/>
          <w:sz w:val="16"/>
          <w:szCs w:val="16"/>
        </w:rPr>
        <w:t>Caso Romero Feris Vs. Argentina. Fondo, Reparaciones y Costas.</w:t>
      </w:r>
      <w:r w:rsidRPr="005B2507">
        <w:rPr>
          <w:rStyle w:val="Textoennegrita"/>
          <w:rFonts w:ascii="Verdana" w:hAnsi="Verdana"/>
          <w:b w:val="0"/>
          <w:bCs w:val="0"/>
          <w:color w:val="000000"/>
          <w:sz w:val="16"/>
          <w:szCs w:val="16"/>
        </w:rPr>
        <w:t xml:space="preserve"> Sentencia de 15 de octubre de 2019. Serie C No. 391, párr. 135</w:t>
      </w:r>
      <w:r w:rsidRPr="005B2507">
        <w:rPr>
          <w:rFonts w:ascii="Verdana" w:hAnsi="Verdana"/>
          <w:b/>
          <w:bCs/>
          <w:sz w:val="16"/>
          <w:szCs w:val="16"/>
        </w:rPr>
        <w:t>.</w:t>
      </w:r>
    </w:p>
  </w:footnote>
  <w:footnote w:id="142">
    <w:p w14:paraId="4AA55F1F" w14:textId="3F7CCD47" w:rsidR="0083374E" w:rsidRPr="005B2507" w:rsidRDefault="0083374E" w:rsidP="005B2507">
      <w:pPr>
        <w:pStyle w:val="Textonotapie"/>
        <w:tabs>
          <w:tab w:val="left" w:pos="709"/>
        </w:tabs>
        <w:spacing w:before="120" w:after="120"/>
        <w:jc w:val="both"/>
        <w:rPr>
          <w:rFonts w:ascii="Verdana" w:hAnsi="Verdana"/>
          <w:sz w:val="16"/>
          <w:szCs w:val="16"/>
        </w:rPr>
      </w:pPr>
      <w:r w:rsidRPr="005B2507">
        <w:rPr>
          <w:rStyle w:val="Refdenotaalpie"/>
          <w:rFonts w:ascii="Verdana" w:hAnsi="Verdana"/>
          <w:sz w:val="16"/>
          <w:szCs w:val="16"/>
        </w:rPr>
        <w:footnoteRef/>
      </w:r>
      <w:r w:rsidRPr="005B2507">
        <w:rPr>
          <w:rFonts w:ascii="Verdana" w:hAnsi="Verdana"/>
          <w:sz w:val="16"/>
          <w:szCs w:val="16"/>
        </w:rPr>
        <w:t xml:space="preserve"> </w:t>
      </w:r>
      <w:r w:rsidR="00B956B0" w:rsidRPr="005B2507">
        <w:rPr>
          <w:rFonts w:ascii="Verdana" w:hAnsi="Verdana"/>
          <w:sz w:val="16"/>
          <w:szCs w:val="16"/>
        </w:rPr>
        <w:tab/>
      </w:r>
      <w:r w:rsidR="00B956B0" w:rsidRPr="005B2507">
        <w:rPr>
          <w:rFonts w:ascii="Verdana" w:hAnsi="Verdana"/>
          <w:i/>
          <w:iCs/>
          <w:sz w:val="16"/>
          <w:szCs w:val="16"/>
        </w:rPr>
        <w:t xml:space="preserve">Cfr. </w:t>
      </w:r>
      <w:r w:rsidR="00B956B0" w:rsidRPr="005B2507">
        <w:rPr>
          <w:rFonts w:ascii="Verdana" w:hAnsi="Verdana"/>
          <w:sz w:val="16"/>
          <w:szCs w:val="16"/>
          <w:lang w:val="es-ES"/>
        </w:rPr>
        <w:t xml:space="preserve">Oficio presentado por el Dr. Carlos Varela Álvarez, el 2 de noviembre de 1994 (expediente de prueba, folio 82), y Sustentación de los recursos de apelación y nulidad por parte de los abogados Carlos Varela </w:t>
      </w:r>
      <w:r w:rsidR="006F31EC" w:rsidRPr="005B2507">
        <w:rPr>
          <w:rFonts w:ascii="Verdana" w:hAnsi="Verdana"/>
          <w:sz w:val="16"/>
          <w:szCs w:val="16"/>
          <w:lang w:val="es-ES"/>
        </w:rPr>
        <w:t>Álvarez</w:t>
      </w:r>
      <w:r w:rsidR="00B956B0" w:rsidRPr="005B2507">
        <w:rPr>
          <w:rFonts w:ascii="Verdana" w:hAnsi="Verdana"/>
          <w:sz w:val="16"/>
          <w:szCs w:val="16"/>
          <w:lang w:val="es-ES"/>
        </w:rPr>
        <w:t xml:space="preserve"> </w:t>
      </w:r>
      <w:r w:rsidR="00B956B0" w:rsidRPr="005B2507">
        <w:rPr>
          <w:rFonts w:ascii="Verdana" w:hAnsi="Verdana" w:cs="Arial"/>
          <w:sz w:val="16"/>
          <w:szCs w:val="16"/>
          <w:lang w:val="es-ES"/>
        </w:rPr>
        <w:t xml:space="preserve">y </w:t>
      </w:r>
      <w:r w:rsidR="00B956B0" w:rsidRPr="005B2507">
        <w:rPr>
          <w:rFonts w:ascii="Verdana" w:hAnsi="Verdana"/>
          <w:sz w:val="16"/>
          <w:szCs w:val="16"/>
          <w:lang w:val="es-ES"/>
        </w:rPr>
        <w:t>Diego Lavado, presentada en febrero de 1995 (expediente de prueba, folio 87).</w:t>
      </w:r>
    </w:p>
  </w:footnote>
  <w:footnote w:id="143">
    <w:p w14:paraId="1809F184" w14:textId="31DBE76C" w:rsidR="008E1DF3" w:rsidRPr="005B2507" w:rsidRDefault="008E1DF3" w:rsidP="005B2507">
      <w:pPr>
        <w:pStyle w:val="Textonotapie"/>
        <w:tabs>
          <w:tab w:val="left" w:pos="709"/>
        </w:tabs>
        <w:spacing w:before="120" w:after="120"/>
        <w:jc w:val="both"/>
        <w:rPr>
          <w:rFonts w:ascii="Verdana" w:hAnsi="Verdana"/>
          <w:sz w:val="16"/>
          <w:szCs w:val="16"/>
        </w:rPr>
      </w:pPr>
      <w:r w:rsidRPr="005B2507">
        <w:rPr>
          <w:rStyle w:val="Refdenotaalpie"/>
          <w:rFonts w:ascii="Verdana" w:hAnsi="Verdana"/>
          <w:sz w:val="16"/>
          <w:szCs w:val="16"/>
        </w:rPr>
        <w:footnoteRef/>
      </w:r>
      <w:r w:rsidRPr="005B2507">
        <w:rPr>
          <w:rFonts w:ascii="Verdana" w:hAnsi="Verdana"/>
          <w:sz w:val="16"/>
          <w:szCs w:val="16"/>
        </w:rPr>
        <w:t xml:space="preserve"> </w:t>
      </w:r>
      <w:r w:rsidRPr="005B2507">
        <w:rPr>
          <w:rFonts w:ascii="Verdana" w:hAnsi="Verdana"/>
          <w:sz w:val="16"/>
          <w:szCs w:val="16"/>
        </w:rPr>
        <w:tab/>
      </w:r>
      <w:r w:rsidRPr="005B2507">
        <w:rPr>
          <w:rFonts w:ascii="Verdana" w:hAnsi="Verdana"/>
          <w:i/>
          <w:iCs/>
          <w:sz w:val="16"/>
          <w:szCs w:val="16"/>
        </w:rPr>
        <w:t xml:space="preserve">Cfr. </w:t>
      </w:r>
      <w:r w:rsidRPr="005B2507">
        <w:rPr>
          <w:rFonts w:ascii="Verdana" w:hAnsi="Verdana"/>
          <w:sz w:val="16"/>
          <w:szCs w:val="16"/>
          <w:lang w:val="es-ES"/>
        </w:rPr>
        <w:t xml:space="preserve">Sustentación de los recursos de apelación y nulidad por parte de los abogados Carlos Varela </w:t>
      </w:r>
      <w:r w:rsidR="006F31EC" w:rsidRPr="005B2507">
        <w:rPr>
          <w:rFonts w:ascii="Verdana" w:hAnsi="Verdana"/>
          <w:sz w:val="16"/>
          <w:szCs w:val="16"/>
          <w:lang w:val="es-ES"/>
        </w:rPr>
        <w:t>Álvarez</w:t>
      </w:r>
      <w:r w:rsidRPr="005B2507">
        <w:rPr>
          <w:rFonts w:ascii="Verdana" w:hAnsi="Verdana"/>
          <w:sz w:val="16"/>
          <w:szCs w:val="16"/>
          <w:lang w:val="es-ES"/>
        </w:rPr>
        <w:t xml:space="preserve"> </w:t>
      </w:r>
      <w:r w:rsidRPr="005B2507">
        <w:rPr>
          <w:rFonts w:ascii="Verdana" w:hAnsi="Verdana" w:cs="Arial"/>
          <w:sz w:val="16"/>
          <w:szCs w:val="16"/>
          <w:lang w:val="es-ES"/>
        </w:rPr>
        <w:t xml:space="preserve">y </w:t>
      </w:r>
      <w:r w:rsidRPr="005B2507">
        <w:rPr>
          <w:rFonts w:ascii="Verdana" w:hAnsi="Verdana"/>
          <w:sz w:val="16"/>
          <w:szCs w:val="16"/>
          <w:lang w:val="es-ES"/>
        </w:rPr>
        <w:t>Diego Lavado, presentada en febrero de 1995 (expediente de prueba, folio 96).</w:t>
      </w:r>
    </w:p>
  </w:footnote>
  <w:footnote w:id="144">
    <w:p w14:paraId="217DD88B" w14:textId="736EC306" w:rsidR="00153004" w:rsidRPr="005B2507" w:rsidRDefault="00153004" w:rsidP="005B2507">
      <w:pPr>
        <w:pStyle w:val="Textonotapie"/>
        <w:tabs>
          <w:tab w:val="left" w:pos="709"/>
        </w:tabs>
        <w:spacing w:before="120" w:after="120"/>
        <w:jc w:val="both"/>
        <w:rPr>
          <w:rFonts w:ascii="Verdana" w:hAnsi="Verdana"/>
          <w:sz w:val="16"/>
          <w:szCs w:val="16"/>
        </w:rPr>
      </w:pPr>
      <w:r w:rsidRPr="005B2507">
        <w:rPr>
          <w:rStyle w:val="Refdenotaalpie"/>
          <w:rFonts w:ascii="Verdana" w:hAnsi="Verdana"/>
          <w:sz w:val="16"/>
          <w:szCs w:val="16"/>
        </w:rPr>
        <w:footnoteRef/>
      </w:r>
      <w:r w:rsidRPr="005B2507">
        <w:rPr>
          <w:rFonts w:ascii="Verdana" w:hAnsi="Verdana"/>
          <w:sz w:val="16"/>
          <w:szCs w:val="16"/>
        </w:rPr>
        <w:t xml:space="preserve"> </w:t>
      </w:r>
      <w:r w:rsidRPr="005B2507">
        <w:rPr>
          <w:rFonts w:ascii="Verdana" w:hAnsi="Verdana"/>
          <w:sz w:val="16"/>
          <w:szCs w:val="16"/>
        </w:rPr>
        <w:tab/>
      </w:r>
      <w:r w:rsidRPr="005B2507">
        <w:rPr>
          <w:rFonts w:ascii="Verdana" w:hAnsi="Verdana"/>
          <w:sz w:val="16"/>
          <w:szCs w:val="16"/>
          <w:lang w:val="es-ES"/>
        </w:rPr>
        <w:t>Sentencia de la Sala 8 de la Excma. Cámara Federal de Apelaciones de Mendoza</w:t>
      </w:r>
      <w:r w:rsidR="00777DAC">
        <w:rPr>
          <w:rFonts w:ascii="Verdana" w:hAnsi="Verdana"/>
          <w:sz w:val="16"/>
          <w:szCs w:val="16"/>
          <w:lang w:val="es-ES"/>
        </w:rPr>
        <w:t xml:space="preserve"> de</w:t>
      </w:r>
      <w:r w:rsidRPr="005B2507">
        <w:rPr>
          <w:rFonts w:ascii="Verdana" w:hAnsi="Verdana"/>
          <w:sz w:val="16"/>
          <w:szCs w:val="16"/>
          <w:lang w:val="es-ES"/>
        </w:rPr>
        <w:t xml:space="preserve"> 30 de junio de 1995</w:t>
      </w:r>
      <w:r w:rsidRPr="005B2507">
        <w:rPr>
          <w:rFonts w:ascii="Verdana" w:hAnsi="Verdana"/>
          <w:b/>
          <w:bCs/>
          <w:sz w:val="16"/>
          <w:szCs w:val="16"/>
          <w:lang w:val="es-ES"/>
        </w:rPr>
        <w:t xml:space="preserve"> </w:t>
      </w:r>
      <w:r w:rsidRPr="005B2507">
        <w:rPr>
          <w:rFonts w:ascii="Verdana" w:hAnsi="Verdana"/>
          <w:sz w:val="16"/>
          <w:szCs w:val="16"/>
          <w:lang w:val="es-ES"/>
        </w:rPr>
        <w:t>(expediente de prueba, folio 107).</w:t>
      </w:r>
    </w:p>
  </w:footnote>
  <w:footnote w:id="145">
    <w:p w14:paraId="1D895849" w14:textId="5349C10E" w:rsidR="00943D94" w:rsidRPr="005B2507" w:rsidRDefault="00943D94" w:rsidP="005B2507">
      <w:pPr>
        <w:pStyle w:val="Textonotapie"/>
        <w:tabs>
          <w:tab w:val="left" w:pos="709"/>
        </w:tabs>
        <w:spacing w:before="120" w:after="120"/>
        <w:jc w:val="both"/>
        <w:rPr>
          <w:rFonts w:ascii="Verdana" w:hAnsi="Verdana"/>
          <w:sz w:val="16"/>
          <w:szCs w:val="16"/>
        </w:rPr>
      </w:pPr>
      <w:r w:rsidRPr="005B2507">
        <w:rPr>
          <w:rStyle w:val="Refdenotaalpie"/>
          <w:rFonts w:ascii="Verdana" w:hAnsi="Verdana"/>
          <w:sz w:val="16"/>
          <w:szCs w:val="16"/>
        </w:rPr>
        <w:footnoteRef/>
      </w:r>
      <w:r w:rsidRPr="005B2507">
        <w:rPr>
          <w:rFonts w:ascii="Verdana" w:hAnsi="Verdana"/>
          <w:sz w:val="16"/>
          <w:szCs w:val="16"/>
        </w:rPr>
        <w:t xml:space="preserve"> </w:t>
      </w:r>
      <w:r w:rsidRPr="005B2507">
        <w:rPr>
          <w:rFonts w:ascii="Verdana" w:hAnsi="Verdana"/>
          <w:sz w:val="16"/>
          <w:szCs w:val="16"/>
        </w:rPr>
        <w:tab/>
      </w:r>
      <w:r w:rsidR="00063319" w:rsidRPr="005B2507">
        <w:rPr>
          <w:rFonts w:ascii="Verdana" w:hAnsi="Verdana"/>
          <w:i/>
          <w:iCs/>
          <w:sz w:val="16"/>
          <w:szCs w:val="16"/>
          <w:lang w:val="es-ES"/>
        </w:rPr>
        <w:t xml:space="preserve">Cfr. </w:t>
      </w:r>
      <w:r w:rsidR="00063319" w:rsidRPr="005B2507">
        <w:rPr>
          <w:rFonts w:ascii="Verdana" w:hAnsi="Verdana"/>
          <w:sz w:val="16"/>
          <w:szCs w:val="16"/>
          <w:lang w:val="es-ES"/>
        </w:rPr>
        <w:t>Sentencia de la Sala 8 de la Excma. Cámara Federal de Apelaciones de Mendoza</w:t>
      </w:r>
      <w:r w:rsidR="00777DAC">
        <w:rPr>
          <w:rFonts w:ascii="Verdana" w:hAnsi="Verdana"/>
          <w:sz w:val="16"/>
          <w:szCs w:val="16"/>
          <w:lang w:val="es-ES"/>
        </w:rPr>
        <w:t xml:space="preserve"> de</w:t>
      </w:r>
      <w:r w:rsidR="00063319" w:rsidRPr="005B2507">
        <w:rPr>
          <w:rFonts w:ascii="Verdana" w:hAnsi="Verdana"/>
          <w:sz w:val="16"/>
          <w:szCs w:val="16"/>
          <w:lang w:val="es-ES"/>
        </w:rPr>
        <w:t xml:space="preserve"> 30 de junio de 1995</w:t>
      </w:r>
      <w:r w:rsidR="00063319" w:rsidRPr="005B2507">
        <w:rPr>
          <w:rFonts w:ascii="Verdana" w:hAnsi="Verdana"/>
          <w:b/>
          <w:bCs/>
          <w:sz w:val="16"/>
          <w:szCs w:val="16"/>
          <w:lang w:val="es-ES"/>
        </w:rPr>
        <w:t xml:space="preserve"> </w:t>
      </w:r>
      <w:r w:rsidR="00063319" w:rsidRPr="005B2507">
        <w:rPr>
          <w:rFonts w:ascii="Verdana" w:hAnsi="Verdana"/>
          <w:sz w:val="16"/>
          <w:szCs w:val="16"/>
          <w:lang w:val="es-ES"/>
        </w:rPr>
        <w:t>(expediente de prueba, folio 109).</w:t>
      </w:r>
    </w:p>
  </w:footnote>
  <w:footnote w:id="146">
    <w:p w14:paraId="3C8D1DB9" w14:textId="77777777" w:rsidR="00685A5E" w:rsidRPr="005B2507" w:rsidRDefault="00685A5E" w:rsidP="005B2507">
      <w:pPr>
        <w:pStyle w:val="Textonotapie"/>
        <w:tabs>
          <w:tab w:val="left" w:pos="709"/>
        </w:tabs>
        <w:spacing w:before="120" w:after="120"/>
        <w:jc w:val="both"/>
        <w:rPr>
          <w:rFonts w:ascii="Verdana" w:hAnsi="Verdana"/>
          <w:sz w:val="16"/>
          <w:szCs w:val="16"/>
        </w:rPr>
      </w:pPr>
      <w:r w:rsidRPr="005B2507">
        <w:rPr>
          <w:rStyle w:val="Refdenotaalpie"/>
          <w:rFonts w:ascii="Verdana" w:hAnsi="Verdana"/>
          <w:sz w:val="16"/>
          <w:szCs w:val="16"/>
        </w:rPr>
        <w:footnoteRef/>
      </w:r>
      <w:r w:rsidRPr="005B2507">
        <w:rPr>
          <w:rFonts w:ascii="Verdana" w:hAnsi="Verdana"/>
          <w:sz w:val="16"/>
          <w:szCs w:val="16"/>
        </w:rPr>
        <w:t xml:space="preserve"> </w:t>
      </w:r>
      <w:r w:rsidRPr="005B2507">
        <w:rPr>
          <w:rFonts w:ascii="Verdana" w:hAnsi="Verdana"/>
          <w:sz w:val="16"/>
          <w:szCs w:val="16"/>
        </w:rPr>
        <w:tab/>
      </w:r>
      <w:r w:rsidRPr="005B2507">
        <w:rPr>
          <w:rFonts w:ascii="Verdana" w:hAnsi="Verdana"/>
          <w:i/>
          <w:iCs/>
          <w:sz w:val="16"/>
          <w:szCs w:val="16"/>
          <w:lang w:val="es-ES"/>
        </w:rPr>
        <w:t xml:space="preserve">Cfr. </w:t>
      </w:r>
      <w:r w:rsidRPr="005B2507">
        <w:rPr>
          <w:rFonts w:ascii="Verdana" w:hAnsi="Verdana"/>
          <w:sz w:val="16"/>
          <w:szCs w:val="16"/>
          <w:lang w:val="es-ES"/>
        </w:rPr>
        <w:t>Sentencia de la Sala 8 de la Excma. Cámara Federal de Apelaciones de Mendoza, con fecha del 30 de junio de 1995</w:t>
      </w:r>
      <w:r w:rsidRPr="005B2507">
        <w:rPr>
          <w:rFonts w:ascii="Verdana" w:hAnsi="Verdana"/>
          <w:b/>
          <w:bCs/>
          <w:sz w:val="16"/>
          <w:szCs w:val="16"/>
          <w:lang w:val="es-ES"/>
        </w:rPr>
        <w:t xml:space="preserve"> </w:t>
      </w:r>
      <w:r w:rsidRPr="005B2507">
        <w:rPr>
          <w:rFonts w:ascii="Verdana" w:hAnsi="Verdana"/>
          <w:sz w:val="16"/>
          <w:szCs w:val="16"/>
          <w:lang w:val="es-ES"/>
        </w:rPr>
        <w:t>(expediente de prueba, folio 109 a 111).</w:t>
      </w:r>
    </w:p>
  </w:footnote>
  <w:footnote w:id="147">
    <w:p w14:paraId="57E48BC9" w14:textId="04DA45F8" w:rsidR="00685A5E" w:rsidRPr="005B2507" w:rsidRDefault="00685A5E" w:rsidP="005B2507">
      <w:pPr>
        <w:pStyle w:val="Textonotapie"/>
        <w:tabs>
          <w:tab w:val="left" w:pos="709"/>
        </w:tabs>
        <w:spacing w:before="120" w:after="120"/>
        <w:rPr>
          <w:rFonts w:ascii="Verdana" w:hAnsi="Verdana"/>
          <w:sz w:val="16"/>
          <w:szCs w:val="16"/>
        </w:rPr>
      </w:pPr>
      <w:r w:rsidRPr="005B2507">
        <w:rPr>
          <w:rStyle w:val="Refdenotaalpie"/>
          <w:rFonts w:ascii="Verdana" w:hAnsi="Verdana"/>
          <w:sz w:val="16"/>
          <w:szCs w:val="16"/>
        </w:rPr>
        <w:footnoteRef/>
      </w:r>
      <w:r w:rsidRPr="005B2507">
        <w:rPr>
          <w:rFonts w:ascii="Verdana" w:hAnsi="Verdana"/>
          <w:sz w:val="16"/>
          <w:szCs w:val="16"/>
        </w:rPr>
        <w:t xml:space="preserve">  </w:t>
      </w:r>
      <w:r w:rsidRPr="005B2507">
        <w:rPr>
          <w:rFonts w:ascii="Verdana" w:hAnsi="Verdana"/>
          <w:sz w:val="16"/>
          <w:szCs w:val="16"/>
        </w:rPr>
        <w:tab/>
      </w:r>
      <w:r w:rsidRPr="005B2507">
        <w:rPr>
          <w:rFonts w:ascii="Verdana" w:hAnsi="Verdana"/>
          <w:i/>
          <w:iCs/>
          <w:sz w:val="16"/>
          <w:szCs w:val="16"/>
        </w:rPr>
        <w:t>Cfr. inter alia</w:t>
      </w:r>
      <w:r w:rsidRPr="005B2507">
        <w:rPr>
          <w:rFonts w:ascii="Verdana" w:hAnsi="Verdana"/>
          <w:sz w:val="16"/>
          <w:szCs w:val="16"/>
        </w:rPr>
        <w:t xml:space="preserve">, TEDH [Gran Sala], </w:t>
      </w:r>
      <w:r w:rsidR="004367CD" w:rsidRPr="0037717D">
        <w:rPr>
          <w:rFonts w:ascii="Verdana" w:hAnsi="Verdana"/>
          <w:i/>
          <w:iCs/>
          <w:sz w:val="16"/>
          <w:szCs w:val="16"/>
        </w:rPr>
        <w:t>S., V. y A. Vs. Dinamarca</w:t>
      </w:r>
      <w:r w:rsidR="00A4736B">
        <w:rPr>
          <w:rFonts w:ascii="Verdana" w:hAnsi="Verdana"/>
          <w:sz w:val="16"/>
          <w:szCs w:val="16"/>
        </w:rPr>
        <w:t xml:space="preserve">, Nos. </w:t>
      </w:r>
      <w:r w:rsidR="00A4736B" w:rsidRPr="00A4736B">
        <w:rPr>
          <w:rFonts w:ascii="Verdana" w:hAnsi="Verdana"/>
          <w:sz w:val="16"/>
          <w:szCs w:val="16"/>
        </w:rPr>
        <w:t xml:space="preserve"> </w:t>
      </w:r>
      <w:r w:rsidR="004367CD" w:rsidRPr="004367CD">
        <w:rPr>
          <w:rFonts w:ascii="Verdana" w:hAnsi="Verdana"/>
          <w:sz w:val="16"/>
          <w:szCs w:val="16"/>
        </w:rPr>
        <w:t xml:space="preserve">35553/12, 36678/12 </w:t>
      </w:r>
      <w:r w:rsidR="004367CD">
        <w:rPr>
          <w:rFonts w:ascii="Verdana" w:hAnsi="Verdana"/>
          <w:sz w:val="16"/>
          <w:szCs w:val="16"/>
        </w:rPr>
        <w:t xml:space="preserve">y </w:t>
      </w:r>
      <w:r w:rsidR="004367CD" w:rsidRPr="004367CD">
        <w:rPr>
          <w:rFonts w:ascii="Verdana" w:hAnsi="Verdana"/>
          <w:sz w:val="16"/>
          <w:szCs w:val="16"/>
        </w:rPr>
        <w:t>36711/12</w:t>
      </w:r>
      <w:r w:rsidR="004367CD">
        <w:rPr>
          <w:rFonts w:ascii="Verdana" w:hAnsi="Verdana"/>
          <w:sz w:val="16"/>
          <w:szCs w:val="16"/>
        </w:rPr>
        <w:t xml:space="preserve">, </w:t>
      </w:r>
      <w:r w:rsidR="00A4736B">
        <w:rPr>
          <w:rFonts w:ascii="Verdana" w:hAnsi="Verdana"/>
          <w:sz w:val="16"/>
          <w:szCs w:val="16"/>
        </w:rPr>
        <w:t xml:space="preserve">sentencia </w:t>
      </w:r>
      <w:r w:rsidRPr="005B2507">
        <w:rPr>
          <w:rFonts w:ascii="Verdana" w:hAnsi="Verdana"/>
          <w:sz w:val="16"/>
          <w:szCs w:val="16"/>
        </w:rPr>
        <w:t xml:space="preserve">de </w:t>
      </w:r>
      <w:r w:rsidR="004367CD">
        <w:rPr>
          <w:rFonts w:ascii="Verdana" w:hAnsi="Verdana"/>
          <w:sz w:val="16"/>
          <w:szCs w:val="16"/>
        </w:rPr>
        <w:t>22 de octubre</w:t>
      </w:r>
      <w:r w:rsidR="00A4736B">
        <w:rPr>
          <w:rFonts w:ascii="Verdana" w:hAnsi="Verdana"/>
          <w:sz w:val="16"/>
          <w:szCs w:val="16"/>
        </w:rPr>
        <w:t xml:space="preserve"> de 2018</w:t>
      </w:r>
      <w:r w:rsidRPr="005B2507">
        <w:rPr>
          <w:rFonts w:ascii="Verdana" w:hAnsi="Verdana"/>
          <w:sz w:val="16"/>
          <w:szCs w:val="16"/>
        </w:rPr>
        <w:t xml:space="preserve">, párr. </w:t>
      </w:r>
      <w:r w:rsidR="004367CD" w:rsidRPr="005B2507">
        <w:rPr>
          <w:rFonts w:ascii="Verdana" w:hAnsi="Verdana"/>
          <w:sz w:val="16"/>
          <w:szCs w:val="16"/>
        </w:rPr>
        <w:t>1</w:t>
      </w:r>
      <w:r w:rsidR="004367CD">
        <w:rPr>
          <w:rFonts w:ascii="Verdana" w:hAnsi="Verdana"/>
          <w:sz w:val="16"/>
          <w:szCs w:val="16"/>
        </w:rPr>
        <w:t>48</w:t>
      </w:r>
      <w:r w:rsidRPr="005B2507">
        <w:rPr>
          <w:rFonts w:ascii="Verdana" w:hAnsi="Verdana"/>
          <w:sz w:val="16"/>
          <w:szCs w:val="16"/>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E2FC04" w14:textId="77777777" w:rsidR="007427B6" w:rsidRDefault="007427B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53AB40" w14:textId="0C1CCDF7" w:rsidR="004059FD" w:rsidRDefault="004059FD" w:rsidP="002B6A9A">
    <w:pPr>
      <w:pStyle w:val="Encabezado"/>
      <w:ind w:left="720"/>
      <w:jc w:val="right"/>
      <w:rPr>
        <w:sz w:val="20"/>
        <w:szCs w:val="20"/>
      </w:rPr>
    </w:pPr>
    <w:r>
      <w:rPr>
        <w:noProof/>
        <w:lang w:eastAsia="es-ES_tradnl"/>
      </w:rPr>
      <mc:AlternateContent>
        <mc:Choice Requires="wps">
          <w:drawing>
            <wp:anchor distT="0" distB="0" distL="114300" distR="114300" simplePos="0" relativeHeight="251657216" behindDoc="1" locked="0" layoutInCell="1" allowOverlap="1" wp14:anchorId="511BA2F5" wp14:editId="2C47708A">
              <wp:simplePos x="0" y="0"/>
              <wp:positionH relativeFrom="page">
                <wp:posOffset>3799205</wp:posOffset>
              </wp:positionH>
              <wp:positionV relativeFrom="page">
                <wp:posOffset>467995</wp:posOffset>
              </wp:positionV>
              <wp:extent cx="212090" cy="151765"/>
              <wp:effectExtent l="0" t="1270" r="0" b="0"/>
              <wp:wrapNone/>
              <wp:docPr id="1"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 cy="151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7A070E" w14:textId="77777777" w:rsidR="004059FD" w:rsidRDefault="004059FD">
                          <w:pPr>
                            <w:spacing w:line="227" w:lineRule="exact"/>
                            <w:ind w:left="40" w:right="-20"/>
                            <w:rPr>
                              <w:rFonts w:ascii="Verdana" w:eastAsia="Verdana" w:hAnsi="Verdana" w:cs="Verdana"/>
                              <w:sz w:val="20"/>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1BA2F5" id="_x0000_t202" coordsize="21600,21600" o:spt="202" path="m,l,21600r21600,l21600,xe">
              <v:stroke joinstyle="miter"/>
              <v:path gradientshapeok="t" o:connecttype="rect"/>
            </v:shapetype>
            <v:shape id="Text Box 47" o:spid="_x0000_s1026" type="#_x0000_t202" style="position:absolute;left:0;text-align:left;margin-left:299.15pt;margin-top:36.85pt;width:16.7pt;height:11.9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" filled="f" stroked="f">
              <v:textbox inset="0,0,0,0">
                <w:txbxContent>
                  <w:p w14:paraId="2E7A070E" w14:textId="77777777" w:rsidR="004059FD" w:rsidRDefault="004059FD">
                    <w:pPr>
                      <w:spacing w:line="227" w:lineRule="exact"/>
                      <w:ind w:left="40" w:right="-20"/>
                      <w:rPr>
                        <w:rFonts w:ascii="Verdana" w:eastAsia="Verdana" w:hAnsi="Verdana" w:cs="Verdana"/>
                        <w:sz w:val="20"/>
                        <w:szCs w:val="20"/>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A84AB" w14:textId="324881A8" w:rsidR="004059FD" w:rsidRPr="00964292" w:rsidRDefault="004059FD" w:rsidP="00964292">
    <w:pPr>
      <w:pStyle w:val="Encabezado"/>
      <w:ind w:left="720"/>
      <w:jc w:val="right"/>
      <w:rPr>
        <w:lang w:val="es-GT"/>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5A42DE" w14:textId="77777777" w:rsidR="0036285C" w:rsidRDefault="0036285C">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88343394"/>
      <w:docPartObj>
        <w:docPartGallery w:val="Page Numbers (Top of Page)"/>
        <w:docPartUnique/>
      </w:docPartObj>
    </w:sdtPr>
    <w:sdtEndPr>
      <w:rPr>
        <w:noProof/>
      </w:rPr>
    </w:sdtEndPr>
    <w:sdtContent>
      <w:p w14:paraId="72218581" w14:textId="77777777" w:rsidR="004059FD" w:rsidRDefault="004059FD" w:rsidP="00155756">
        <w:pPr>
          <w:pStyle w:val="Encabezado"/>
          <w:spacing w:before="120" w:after="120"/>
        </w:pPr>
      </w:p>
      <w:p w14:paraId="0B0B9164" w14:textId="546BB382" w:rsidR="004059FD" w:rsidRPr="004A6B80" w:rsidRDefault="00645337" w:rsidP="00155756">
        <w:pPr>
          <w:pStyle w:val="Encabezado"/>
          <w:tabs>
            <w:tab w:val="clear" w:pos="4419"/>
            <w:tab w:val="clear" w:pos="8838"/>
            <w:tab w:val="left" w:pos="703"/>
          </w:tabs>
          <w:spacing w:before="120" w:after="120"/>
          <w:rPr>
            <w:i/>
            <w:sz w:val="18"/>
            <w:szCs w:val="18"/>
            <w:lang w:val="es-CR"/>
          </w:rPr>
        </w:pPr>
      </w:p>
    </w:sdtContent>
  </w:sdt>
  <w:p w14:paraId="55D54F9E" w14:textId="77777777" w:rsidR="004059FD" w:rsidRPr="005E697D" w:rsidRDefault="004059FD">
    <w:pPr>
      <w:pStyle w:val="Encabezado"/>
      <w:rPr>
        <w:lang w:val="es-CR"/>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622876" w14:textId="77777777" w:rsidR="0036285C" w:rsidRDefault="0036285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F6B66"/>
    <w:multiLevelType w:val="hybridMultilevel"/>
    <w:tmpl w:val="3830D59E"/>
    <w:lvl w:ilvl="0" w:tplc="4E2A0C4C">
      <w:start w:val="1"/>
      <w:numFmt w:val="decimal"/>
      <w:lvlText w:val="%1."/>
      <w:lvlJc w:val="left"/>
      <w:pPr>
        <w:ind w:left="5130" w:hanging="360"/>
      </w:pPr>
      <w:rPr>
        <w:rFonts w:ascii="Verdana" w:hAnsi="Verdana" w:hint="default"/>
        <w:b w:val="0"/>
        <w:i w:val="0"/>
        <w:strike w:val="0"/>
        <w:dstrike w:val="0"/>
        <w:color w:val="auto"/>
        <w:sz w:val="20"/>
        <w:szCs w:val="20"/>
        <w:u w:val="none"/>
        <w:effect w:val="none"/>
        <w:vertAlign w:val="baseline"/>
        <w:lang w:val="es-CR"/>
      </w:rPr>
    </w:lvl>
    <w:lvl w:ilvl="1" w:tplc="CEA4ED48">
      <w:start w:val="1"/>
      <w:numFmt w:val="upp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1" w15:restartNumberingAfterBreak="0">
    <w:nsid w:val="04F138BD"/>
    <w:multiLevelType w:val="hybridMultilevel"/>
    <w:tmpl w:val="E4788452"/>
    <w:lvl w:ilvl="0" w:tplc="DD0803C6">
      <w:start w:val="1"/>
      <w:numFmt w:val="decimal"/>
      <w:lvlText w:val="%1."/>
      <w:lvlJc w:val="left"/>
      <w:pPr>
        <w:ind w:left="720" w:hanging="360"/>
      </w:pPr>
      <w:rPr>
        <w:rFonts w:ascii="Verdana" w:hAnsi="Verdana" w:hint="default"/>
        <w:b w:val="0"/>
        <w:i w:val="0"/>
        <w:strike w:val="0"/>
        <w:color w:val="000000" w:themeColor="text1"/>
        <w:sz w:val="20"/>
        <w:szCs w:val="20"/>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 w15:restartNumberingAfterBreak="0">
    <w:nsid w:val="0E7B438C"/>
    <w:multiLevelType w:val="hybridMultilevel"/>
    <w:tmpl w:val="6A721F9A"/>
    <w:lvl w:ilvl="0" w:tplc="9816F04E">
      <w:start w:val="1"/>
      <w:numFmt w:val="decimal"/>
      <w:lvlText w:val="%1."/>
      <w:lvlJc w:val="left"/>
      <w:pPr>
        <w:ind w:left="720" w:hanging="360"/>
      </w:pPr>
      <w:rPr>
        <w:b w:val="0"/>
        <w:strike w:val="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 w15:restartNumberingAfterBreak="0">
    <w:nsid w:val="121032EF"/>
    <w:multiLevelType w:val="hybridMultilevel"/>
    <w:tmpl w:val="CB5ABCCA"/>
    <w:lvl w:ilvl="0" w:tplc="91B2E608">
      <w:start w:val="1"/>
      <w:numFmt w:val="upperLetter"/>
      <w:lvlText w:val="%1."/>
      <w:lvlJc w:val="left"/>
      <w:pPr>
        <w:ind w:left="1069" w:hanging="36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4" w15:restartNumberingAfterBreak="0">
    <w:nsid w:val="1FA81EF2"/>
    <w:multiLevelType w:val="hybridMultilevel"/>
    <w:tmpl w:val="F28699F6"/>
    <w:lvl w:ilvl="0" w:tplc="1D1E8F80">
      <w:start w:val="1"/>
      <w:numFmt w:val="upperLetter"/>
      <w:lvlText w:val="%1."/>
      <w:lvlJc w:val="left"/>
      <w:pPr>
        <w:ind w:left="1068" w:hanging="360"/>
      </w:pPr>
      <w:rPr>
        <w:rFonts w:hint="default"/>
        <w:i/>
      </w:rPr>
    </w:lvl>
    <w:lvl w:ilvl="1" w:tplc="140A0019" w:tentative="1">
      <w:start w:val="1"/>
      <w:numFmt w:val="lowerLetter"/>
      <w:lvlText w:val="%2."/>
      <w:lvlJc w:val="left"/>
      <w:pPr>
        <w:ind w:left="1788" w:hanging="360"/>
      </w:pPr>
    </w:lvl>
    <w:lvl w:ilvl="2" w:tplc="140A001B" w:tentative="1">
      <w:start w:val="1"/>
      <w:numFmt w:val="lowerRoman"/>
      <w:lvlText w:val="%3."/>
      <w:lvlJc w:val="right"/>
      <w:pPr>
        <w:ind w:left="2508" w:hanging="180"/>
      </w:pPr>
    </w:lvl>
    <w:lvl w:ilvl="3" w:tplc="140A000F" w:tentative="1">
      <w:start w:val="1"/>
      <w:numFmt w:val="decimal"/>
      <w:lvlText w:val="%4."/>
      <w:lvlJc w:val="left"/>
      <w:pPr>
        <w:ind w:left="3228" w:hanging="360"/>
      </w:pPr>
    </w:lvl>
    <w:lvl w:ilvl="4" w:tplc="140A0019" w:tentative="1">
      <w:start w:val="1"/>
      <w:numFmt w:val="lowerLetter"/>
      <w:lvlText w:val="%5."/>
      <w:lvlJc w:val="left"/>
      <w:pPr>
        <w:ind w:left="3948" w:hanging="360"/>
      </w:pPr>
    </w:lvl>
    <w:lvl w:ilvl="5" w:tplc="140A001B" w:tentative="1">
      <w:start w:val="1"/>
      <w:numFmt w:val="lowerRoman"/>
      <w:lvlText w:val="%6."/>
      <w:lvlJc w:val="right"/>
      <w:pPr>
        <w:ind w:left="4668" w:hanging="180"/>
      </w:pPr>
    </w:lvl>
    <w:lvl w:ilvl="6" w:tplc="140A000F" w:tentative="1">
      <w:start w:val="1"/>
      <w:numFmt w:val="decimal"/>
      <w:lvlText w:val="%7."/>
      <w:lvlJc w:val="left"/>
      <w:pPr>
        <w:ind w:left="5388" w:hanging="360"/>
      </w:pPr>
    </w:lvl>
    <w:lvl w:ilvl="7" w:tplc="140A0019" w:tentative="1">
      <w:start w:val="1"/>
      <w:numFmt w:val="lowerLetter"/>
      <w:lvlText w:val="%8."/>
      <w:lvlJc w:val="left"/>
      <w:pPr>
        <w:ind w:left="6108" w:hanging="360"/>
      </w:pPr>
    </w:lvl>
    <w:lvl w:ilvl="8" w:tplc="140A001B" w:tentative="1">
      <w:start w:val="1"/>
      <w:numFmt w:val="lowerRoman"/>
      <w:lvlText w:val="%9."/>
      <w:lvlJc w:val="right"/>
      <w:pPr>
        <w:ind w:left="6828" w:hanging="180"/>
      </w:pPr>
    </w:lvl>
  </w:abstractNum>
  <w:abstractNum w:abstractNumId="5" w15:restartNumberingAfterBreak="0">
    <w:nsid w:val="2095376A"/>
    <w:multiLevelType w:val="hybridMultilevel"/>
    <w:tmpl w:val="39CCA284"/>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3F776E3"/>
    <w:multiLevelType w:val="hybridMultilevel"/>
    <w:tmpl w:val="42669C96"/>
    <w:lvl w:ilvl="0" w:tplc="32BA8CC8">
      <w:start w:val="1"/>
      <w:numFmt w:val="decimal"/>
      <w:lvlText w:val="%1."/>
      <w:lvlJc w:val="left"/>
      <w:pPr>
        <w:ind w:left="720" w:hanging="360"/>
      </w:pPr>
      <w:rPr>
        <w:rFonts w:ascii="Verdana" w:hAnsi="Verdana" w:hint="default"/>
        <w:sz w:val="20"/>
        <w:szCs w:val="2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6B23CE6"/>
    <w:multiLevelType w:val="hybridMultilevel"/>
    <w:tmpl w:val="F45ACAD0"/>
    <w:lvl w:ilvl="0" w:tplc="140A0017">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8" w15:restartNumberingAfterBreak="0">
    <w:nsid w:val="28935416"/>
    <w:multiLevelType w:val="hybridMultilevel"/>
    <w:tmpl w:val="7FD2021A"/>
    <w:lvl w:ilvl="0" w:tplc="D1147204">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C6144C9"/>
    <w:multiLevelType w:val="hybridMultilevel"/>
    <w:tmpl w:val="CFF0C922"/>
    <w:lvl w:ilvl="0" w:tplc="AAD2F022">
      <w:start w:val="1"/>
      <w:numFmt w:val="decimal"/>
      <w:lvlText w:val="%1."/>
      <w:lvlJc w:val="left"/>
      <w:pPr>
        <w:tabs>
          <w:tab w:val="num" w:pos="12305"/>
        </w:tabs>
      </w:pPr>
      <w:rPr>
        <w:rFonts w:ascii="Verdana" w:eastAsia="Times New Roman" w:hAnsi="Verdana"/>
        <w:b w:val="0"/>
        <w:bCs w:val="0"/>
        <w:i w:val="0"/>
        <w:iCs w:val="0"/>
        <w:strike w:val="0"/>
        <w:color w:val="auto"/>
        <w:sz w:val="20"/>
        <w:szCs w:val="20"/>
        <w:lang w:val="es-CO"/>
      </w:rPr>
    </w:lvl>
    <w:lvl w:ilvl="1" w:tplc="D8688752">
      <w:start w:val="1"/>
      <w:numFmt w:val="decimal"/>
      <w:lvlText w:val="%2."/>
      <w:lvlJc w:val="left"/>
      <w:pPr>
        <w:tabs>
          <w:tab w:val="num" w:pos="1080"/>
        </w:tabs>
        <w:ind w:left="1080" w:hanging="360"/>
      </w:pPr>
      <w:rPr>
        <w:rFonts w:hint="default"/>
        <w:b/>
        <w:bCs w:val="0"/>
        <w:i w:val="0"/>
        <w:iCs w:val="0"/>
        <w:color w:val="FF0000"/>
        <w:sz w:val="20"/>
        <w:szCs w:val="20"/>
      </w:rPr>
    </w:lvl>
    <w:lvl w:ilvl="2" w:tplc="0409001B">
      <w:start w:val="1"/>
      <w:numFmt w:val="lowerRoman"/>
      <w:lvlText w:val="%3."/>
      <w:lvlJc w:val="right"/>
      <w:pPr>
        <w:tabs>
          <w:tab w:val="num" w:pos="1530"/>
        </w:tabs>
        <w:ind w:left="1530" w:hanging="180"/>
      </w:pPr>
      <w:rPr>
        <w:b w:val="0"/>
        <w:strike w:val="0"/>
      </w:rPr>
    </w:lvl>
    <w:lvl w:ilvl="3" w:tplc="140A001B">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34A26BAD"/>
    <w:multiLevelType w:val="multilevel"/>
    <w:tmpl w:val="506822D8"/>
    <w:lvl w:ilvl="0">
      <w:start w:val="1"/>
      <w:numFmt w:val="decimal"/>
      <w:lvlText w:val="%1."/>
      <w:lvlJc w:val="left"/>
      <w:pPr>
        <w:tabs>
          <w:tab w:val="num" w:pos="720"/>
        </w:tabs>
        <w:ind w:left="720" w:hanging="360"/>
      </w:pPr>
    </w:lvl>
    <w:lvl w:ilvl="1">
      <w:numFmt w:val="lowerLetter"/>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1" w15:restartNumberingAfterBreak="0">
    <w:nsid w:val="376428F3"/>
    <w:multiLevelType w:val="hybridMultilevel"/>
    <w:tmpl w:val="39CCA284"/>
    <w:lvl w:ilvl="0" w:tplc="080A0015">
      <w:start w:val="1"/>
      <w:numFmt w:val="upp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388215D9"/>
    <w:multiLevelType w:val="hybridMultilevel"/>
    <w:tmpl w:val="A3581640"/>
    <w:lvl w:ilvl="0" w:tplc="1676F6E6">
      <w:start w:val="1"/>
      <w:numFmt w:val="upperLetter"/>
      <w:lvlText w:val="%1."/>
      <w:lvlJc w:val="left"/>
      <w:pPr>
        <w:ind w:left="720" w:hanging="360"/>
      </w:pPr>
      <w:rPr>
        <w:rFonts w:hint="default"/>
        <w:b/>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3" w15:restartNumberingAfterBreak="0">
    <w:nsid w:val="389029F7"/>
    <w:multiLevelType w:val="hybridMultilevel"/>
    <w:tmpl w:val="51163360"/>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4" w15:restartNumberingAfterBreak="0">
    <w:nsid w:val="3F2C435B"/>
    <w:multiLevelType w:val="hybridMultilevel"/>
    <w:tmpl w:val="ADD6786C"/>
    <w:lvl w:ilvl="0" w:tplc="140A0015">
      <w:start w:val="1"/>
      <w:numFmt w:val="lowerLetter"/>
      <w:lvlText w:val="%1)"/>
      <w:lvlJc w:val="left"/>
      <w:pPr>
        <w:ind w:left="1080" w:hanging="360"/>
      </w:pPr>
      <w:rPr>
        <w:rFonts w:cs="Times New Roman" w:hint="default"/>
        <w:b w:val="0"/>
        <w:i/>
        <w:sz w:val="20"/>
      </w:r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15" w15:restartNumberingAfterBreak="0">
    <w:nsid w:val="3F9B713D"/>
    <w:multiLevelType w:val="hybridMultilevel"/>
    <w:tmpl w:val="9704209E"/>
    <w:lvl w:ilvl="0" w:tplc="7E8E8A74">
      <w:start w:val="1"/>
      <w:numFmt w:val="decimal"/>
      <w:pStyle w:val="NormalNumbered"/>
      <w:lvlText w:val="%1."/>
      <w:lvlJc w:val="left"/>
      <w:pPr>
        <w:ind w:left="720" w:hanging="720"/>
      </w:pPr>
      <w:rPr>
        <w:rFonts w:ascii="Verdana" w:hAnsi="Verdana" w:hint="default"/>
        <w:b w:val="0"/>
        <w:i w:val="0"/>
        <w:strike w:val="0"/>
        <w:color w:val="auto"/>
        <w:sz w:val="20"/>
        <w:szCs w:val="20"/>
      </w:rPr>
    </w:lvl>
    <w:lvl w:ilvl="1" w:tplc="0C0A0019">
      <w:start w:val="1"/>
      <w:numFmt w:val="lowerLetter"/>
      <w:lvlText w:val="%2."/>
      <w:lvlJc w:val="left"/>
      <w:pPr>
        <w:ind w:left="1080" w:hanging="360"/>
      </w:pPr>
    </w:lvl>
    <w:lvl w:ilvl="2" w:tplc="0C0A001B">
      <w:start w:val="1"/>
      <w:numFmt w:val="lowerRoman"/>
      <w:lvlText w:val="%3."/>
      <w:lvlJc w:val="right"/>
      <w:pPr>
        <w:ind w:left="1800" w:hanging="180"/>
      </w:pPr>
    </w:lvl>
    <w:lvl w:ilvl="3" w:tplc="CFAC7540">
      <w:start w:val="1"/>
      <w:numFmt w:val="decimal"/>
      <w:lvlText w:val="%4."/>
      <w:lvlJc w:val="left"/>
      <w:pPr>
        <w:ind w:left="2520" w:hanging="360"/>
      </w:pPr>
      <w:rPr>
        <w:b/>
        <w:i/>
      </w:rPr>
    </w:lvl>
    <w:lvl w:ilvl="4" w:tplc="0C0A0019">
      <w:start w:val="1"/>
      <w:numFmt w:val="lowerLetter"/>
      <w:lvlText w:val="%5."/>
      <w:lvlJc w:val="left"/>
      <w:pPr>
        <w:ind w:left="3240" w:hanging="360"/>
      </w:pPr>
    </w:lvl>
    <w:lvl w:ilvl="5" w:tplc="0C0A001B">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6" w15:restartNumberingAfterBreak="0">
    <w:nsid w:val="442A3FBF"/>
    <w:multiLevelType w:val="hybridMultilevel"/>
    <w:tmpl w:val="706E860A"/>
    <w:lvl w:ilvl="0" w:tplc="9BC8C24E">
      <w:start w:val="1"/>
      <w:numFmt w:val="decimal"/>
      <w:lvlText w:val="%1."/>
      <w:lvlJc w:val="left"/>
      <w:pPr>
        <w:ind w:left="118" w:hanging="567"/>
      </w:pPr>
      <w:rPr>
        <w:rFonts w:ascii="Verdana" w:eastAsia="Verdana" w:hAnsi="Verdana" w:cs="Verdana" w:hint="default"/>
        <w:w w:val="99"/>
        <w:sz w:val="20"/>
        <w:szCs w:val="20"/>
      </w:rPr>
    </w:lvl>
    <w:lvl w:ilvl="1" w:tplc="B9127C76">
      <w:start w:val="1"/>
      <w:numFmt w:val="lowerLetter"/>
      <w:lvlText w:val="%2)"/>
      <w:lvlJc w:val="left"/>
      <w:pPr>
        <w:ind w:left="1250" w:hanging="567"/>
      </w:pPr>
      <w:rPr>
        <w:rFonts w:ascii="Verdana" w:eastAsia="Verdana" w:hAnsi="Verdana" w:cs="Verdana" w:hint="default"/>
        <w:i/>
        <w:w w:val="99"/>
        <w:sz w:val="20"/>
        <w:szCs w:val="20"/>
      </w:rPr>
    </w:lvl>
    <w:lvl w:ilvl="2" w:tplc="4C1AD6D0">
      <w:numFmt w:val="bullet"/>
      <w:lvlText w:val="•"/>
      <w:lvlJc w:val="left"/>
      <w:pPr>
        <w:ind w:left="2191" w:hanging="567"/>
      </w:pPr>
      <w:rPr>
        <w:rFonts w:hint="default"/>
      </w:rPr>
    </w:lvl>
    <w:lvl w:ilvl="3" w:tplc="7024B436">
      <w:numFmt w:val="bullet"/>
      <w:lvlText w:val="•"/>
      <w:lvlJc w:val="left"/>
      <w:pPr>
        <w:ind w:left="3122" w:hanging="567"/>
      </w:pPr>
      <w:rPr>
        <w:rFonts w:hint="default"/>
      </w:rPr>
    </w:lvl>
    <w:lvl w:ilvl="4" w:tplc="1CF65FA2">
      <w:numFmt w:val="bullet"/>
      <w:lvlText w:val="•"/>
      <w:lvlJc w:val="left"/>
      <w:pPr>
        <w:ind w:left="4053" w:hanging="567"/>
      </w:pPr>
      <w:rPr>
        <w:rFonts w:hint="default"/>
      </w:rPr>
    </w:lvl>
    <w:lvl w:ilvl="5" w:tplc="61E289C0">
      <w:numFmt w:val="bullet"/>
      <w:lvlText w:val="•"/>
      <w:lvlJc w:val="left"/>
      <w:pPr>
        <w:ind w:left="4984" w:hanging="567"/>
      </w:pPr>
      <w:rPr>
        <w:rFonts w:hint="default"/>
      </w:rPr>
    </w:lvl>
    <w:lvl w:ilvl="6" w:tplc="032C013A">
      <w:numFmt w:val="bullet"/>
      <w:lvlText w:val="•"/>
      <w:lvlJc w:val="left"/>
      <w:pPr>
        <w:ind w:left="5915" w:hanging="567"/>
      </w:pPr>
      <w:rPr>
        <w:rFonts w:hint="default"/>
      </w:rPr>
    </w:lvl>
    <w:lvl w:ilvl="7" w:tplc="748A6754">
      <w:numFmt w:val="bullet"/>
      <w:lvlText w:val="•"/>
      <w:lvlJc w:val="left"/>
      <w:pPr>
        <w:ind w:left="6846" w:hanging="567"/>
      </w:pPr>
      <w:rPr>
        <w:rFonts w:hint="default"/>
      </w:rPr>
    </w:lvl>
    <w:lvl w:ilvl="8" w:tplc="98022290">
      <w:numFmt w:val="bullet"/>
      <w:lvlText w:val="•"/>
      <w:lvlJc w:val="left"/>
      <w:pPr>
        <w:ind w:left="7777" w:hanging="567"/>
      </w:pPr>
      <w:rPr>
        <w:rFonts w:hint="default"/>
      </w:rPr>
    </w:lvl>
  </w:abstractNum>
  <w:abstractNum w:abstractNumId="17" w15:restartNumberingAfterBreak="0">
    <w:nsid w:val="47154491"/>
    <w:multiLevelType w:val="hybridMultilevel"/>
    <w:tmpl w:val="F28699F6"/>
    <w:lvl w:ilvl="0" w:tplc="1D1E8F80">
      <w:start w:val="1"/>
      <w:numFmt w:val="upperLetter"/>
      <w:lvlText w:val="%1."/>
      <w:lvlJc w:val="left"/>
      <w:pPr>
        <w:ind w:left="1068" w:hanging="360"/>
      </w:pPr>
      <w:rPr>
        <w:rFonts w:hint="default"/>
        <w:i/>
      </w:rPr>
    </w:lvl>
    <w:lvl w:ilvl="1" w:tplc="140A0019" w:tentative="1">
      <w:start w:val="1"/>
      <w:numFmt w:val="lowerLetter"/>
      <w:lvlText w:val="%2."/>
      <w:lvlJc w:val="left"/>
      <w:pPr>
        <w:ind w:left="1788" w:hanging="360"/>
      </w:pPr>
    </w:lvl>
    <w:lvl w:ilvl="2" w:tplc="140A001B" w:tentative="1">
      <w:start w:val="1"/>
      <w:numFmt w:val="lowerRoman"/>
      <w:lvlText w:val="%3."/>
      <w:lvlJc w:val="right"/>
      <w:pPr>
        <w:ind w:left="2508" w:hanging="180"/>
      </w:pPr>
    </w:lvl>
    <w:lvl w:ilvl="3" w:tplc="140A000F" w:tentative="1">
      <w:start w:val="1"/>
      <w:numFmt w:val="decimal"/>
      <w:lvlText w:val="%4."/>
      <w:lvlJc w:val="left"/>
      <w:pPr>
        <w:ind w:left="3228" w:hanging="360"/>
      </w:pPr>
    </w:lvl>
    <w:lvl w:ilvl="4" w:tplc="140A0019" w:tentative="1">
      <w:start w:val="1"/>
      <w:numFmt w:val="lowerLetter"/>
      <w:lvlText w:val="%5."/>
      <w:lvlJc w:val="left"/>
      <w:pPr>
        <w:ind w:left="3948" w:hanging="360"/>
      </w:pPr>
    </w:lvl>
    <w:lvl w:ilvl="5" w:tplc="140A001B" w:tentative="1">
      <w:start w:val="1"/>
      <w:numFmt w:val="lowerRoman"/>
      <w:lvlText w:val="%6."/>
      <w:lvlJc w:val="right"/>
      <w:pPr>
        <w:ind w:left="4668" w:hanging="180"/>
      </w:pPr>
    </w:lvl>
    <w:lvl w:ilvl="6" w:tplc="140A000F" w:tentative="1">
      <w:start w:val="1"/>
      <w:numFmt w:val="decimal"/>
      <w:lvlText w:val="%7."/>
      <w:lvlJc w:val="left"/>
      <w:pPr>
        <w:ind w:left="5388" w:hanging="360"/>
      </w:pPr>
    </w:lvl>
    <w:lvl w:ilvl="7" w:tplc="140A0019" w:tentative="1">
      <w:start w:val="1"/>
      <w:numFmt w:val="lowerLetter"/>
      <w:lvlText w:val="%8."/>
      <w:lvlJc w:val="left"/>
      <w:pPr>
        <w:ind w:left="6108" w:hanging="360"/>
      </w:pPr>
    </w:lvl>
    <w:lvl w:ilvl="8" w:tplc="140A001B" w:tentative="1">
      <w:start w:val="1"/>
      <w:numFmt w:val="lowerRoman"/>
      <w:lvlText w:val="%9."/>
      <w:lvlJc w:val="right"/>
      <w:pPr>
        <w:ind w:left="6828" w:hanging="180"/>
      </w:pPr>
    </w:lvl>
  </w:abstractNum>
  <w:abstractNum w:abstractNumId="18" w15:restartNumberingAfterBreak="0">
    <w:nsid w:val="4C366D43"/>
    <w:multiLevelType w:val="hybridMultilevel"/>
    <w:tmpl w:val="D1BE0240"/>
    <w:lvl w:ilvl="0" w:tplc="E84A0D6E">
      <w:start w:val="1"/>
      <w:numFmt w:val="upperRoman"/>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4CCD1B5F"/>
    <w:multiLevelType w:val="hybridMultilevel"/>
    <w:tmpl w:val="A5206072"/>
    <w:lvl w:ilvl="0" w:tplc="8DFEBA64">
      <w:start w:val="1"/>
      <w:numFmt w:val="decimal"/>
      <w:lvlText w:val="%1."/>
      <w:lvlJc w:val="left"/>
      <w:pPr>
        <w:ind w:left="360" w:hanging="360"/>
      </w:pPr>
      <w:rPr>
        <w:rFonts w:ascii="Verdana" w:eastAsia="Batang" w:hAnsi="Verdana" w:cs="Times"/>
        <w:b w:val="0"/>
        <w:i w:val="0"/>
        <w:strike w:val="0"/>
        <w:color w:val="auto"/>
        <w:sz w:val="20"/>
        <w:szCs w:val="20"/>
        <w:lang w:val="es-ES"/>
      </w:rPr>
    </w:lvl>
    <w:lvl w:ilvl="1" w:tplc="0C0A0019">
      <w:start w:val="1"/>
      <w:numFmt w:val="lowerLetter"/>
      <w:lvlText w:val="%2."/>
      <w:lvlJc w:val="left"/>
      <w:pPr>
        <w:ind w:left="1080" w:hanging="360"/>
      </w:pPr>
    </w:lvl>
    <w:lvl w:ilvl="2" w:tplc="324A8FB8">
      <w:start w:val="1"/>
      <w:numFmt w:val="upperLetter"/>
      <w:lvlText w:val="%3."/>
      <w:lvlJc w:val="left"/>
      <w:pPr>
        <w:ind w:left="1980" w:hanging="360"/>
      </w:pPr>
      <w:rPr>
        <w:rFonts w:cs="Tahoma" w:hint="default"/>
      </w:r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0" w15:restartNumberingAfterBreak="0">
    <w:nsid w:val="4D54629F"/>
    <w:multiLevelType w:val="hybridMultilevel"/>
    <w:tmpl w:val="296EBA3E"/>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4EBD5D3D"/>
    <w:multiLevelType w:val="hybridMultilevel"/>
    <w:tmpl w:val="40A2F880"/>
    <w:lvl w:ilvl="0" w:tplc="D898D5C0">
      <w:start w:val="1"/>
      <w:numFmt w:val="decimal"/>
      <w:pStyle w:val="PrrafodeSentencia"/>
      <w:lvlText w:val="%1."/>
      <w:lvlJc w:val="left"/>
      <w:pPr>
        <w:ind w:left="720" w:hanging="360"/>
      </w:pPr>
      <w:rPr>
        <w:rFonts w:ascii="Verdana" w:hAnsi="Verdana" w:hint="default"/>
        <w:b w:val="0"/>
        <w:i w:val="0"/>
        <w:iCs w:val="0"/>
        <w:strike w:val="0"/>
        <w:sz w:val="20"/>
        <w:szCs w:val="20"/>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2" w15:restartNumberingAfterBreak="0">
    <w:nsid w:val="508B1853"/>
    <w:multiLevelType w:val="hybridMultilevel"/>
    <w:tmpl w:val="DFB85174"/>
    <w:lvl w:ilvl="0" w:tplc="040A0005">
      <w:start w:val="1"/>
      <w:numFmt w:val="bullet"/>
      <w:lvlText w:val=""/>
      <w:lvlJc w:val="left"/>
      <w:pPr>
        <w:ind w:left="1428" w:hanging="360"/>
      </w:pPr>
      <w:rPr>
        <w:rFonts w:ascii="Wingdings" w:hAnsi="Wingdings" w:hint="default"/>
      </w:rPr>
    </w:lvl>
    <w:lvl w:ilvl="1" w:tplc="040A0003" w:tentative="1">
      <w:start w:val="1"/>
      <w:numFmt w:val="bullet"/>
      <w:lvlText w:val="o"/>
      <w:lvlJc w:val="left"/>
      <w:pPr>
        <w:ind w:left="2148" w:hanging="360"/>
      </w:pPr>
      <w:rPr>
        <w:rFonts w:ascii="Courier New" w:hAnsi="Courier New" w:cs="Courier New" w:hint="default"/>
      </w:rPr>
    </w:lvl>
    <w:lvl w:ilvl="2" w:tplc="040A0005" w:tentative="1">
      <w:start w:val="1"/>
      <w:numFmt w:val="bullet"/>
      <w:lvlText w:val=""/>
      <w:lvlJc w:val="left"/>
      <w:pPr>
        <w:ind w:left="2868" w:hanging="360"/>
      </w:pPr>
      <w:rPr>
        <w:rFonts w:ascii="Wingdings" w:hAnsi="Wingdings" w:hint="default"/>
      </w:rPr>
    </w:lvl>
    <w:lvl w:ilvl="3" w:tplc="040A0001" w:tentative="1">
      <w:start w:val="1"/>
      <w:numFmt w:val="bullet"/>
      <w:lvlText w:val=""/>
      <w:lvlJc w:val="left"/>
      <w:pPr>
        <w:ind w:left="3588" w:hanging="360"/>
      </w:pPr>
      <w:rPr>
        <w:rFonts w:ascii="Symbol" w:hAnsi="Symbol" w:hint="default"/>
      </w:rPr>
    </w:lvl>
    <w:lvl w:ilvl="4" w:tplc="040A0003" w:tentative="1">
      <w:start w:val="1"/>
      <w:numFmt w:val="bullet"/>
      <w:lvlText w:val="o"/>
      <w:lvlJc w:val="left"/>
      <w:pPr>
        <w:ind w:left="4308" w:hanging="360"/>
      </w:pPr>
      <w:rPr>
        <w:rFonts w:ascii="Courier New" w:hAnsi="Courier New" w:cs="Courier New" w:hint="default"/>
      </w:rPr>
    </w:lvl>
    <w:lvl w:ilvl="5" w:tplc="040A0005" w:tentative="1">
      <w:start w:val="1"/>
      <w:numFmt w:val="bullet"/>
      <w:lvlText w:val=""/>
      <w:lvlJc w:val="left"/>
      <w:pPr>
        <w:ind w:left="5028" w:hanging="360"/>
      </w:pPr>
      <w:rPr>
        <w:rFonts w:ascii="Wingdings" w:hAnsi="Wingdings" w:hint="default"/>
      </w:rPr>
    </w:lvl>
    <w:lvl w:ilvl="6" w:tplc="040A0001" w:tentative="1">
      <w:start w:val="1"/>
      <w:numFmt w:val="bullet"/>
      <w:lvlText w:val=""/>
      <w:lvlJc w:val="left"/>
      <w:pPr>
        <w:ind w:left="5748" w:hanging="360"/>
      </w:pPr>
      <w:rPr>
        <w:rFonts w:ascii="Symbol" w:hAnsi="Symbol" w:hint="default"/>
      </w:rPr>
    </w:lvl>
    <w:lvl w:ilvl="7" w:tplc="040A0003" w:tentative="1">
      <w:start w:val="1"/>
      <w:numFmt w:val="bullet"/>
      <w:lvlText w:val="o"/>
      <w:lvlJc w:val="left"/>
      <w:pPr>
        <w:ind w:left="6468" w:hanging="360"/>
      </w:pPr>
      <w:rPr>
        <w:rFonts w:ascii="Courier New" w:hAnsi="Courier New" w:cs="Courier New" w:hint="default"/>
      </w:rPr>
    </w:lvl>
    <w:lvl w:ilvl="8" w:tplc="040A0005" w:tentative="1">
      <w:start w:val="1"/>
      <w:numFmt w:val="bullet"/>
      <w:lvlText w:val=""/>
      <w:lvlJc w:val="left"/>
      <w:pPr>
        <w:ind w:left="7188" w:hanging="360"/>
      </w:pPr>
      <w:rPr>
        <w:rFonts w:ascii="Wingdings" w:hAnsi="Wingdings" w:hint="default"/>
      </w:rPr>
    </w:lvl>
  </w:abstractNum>
  <w:abstractNum w:abstractNumId="23" w15:restartNumberingAfterBreak="0">
    <w:nsid w:val="52067169"/>
    <w:multiLevelType w:val="hybridMultilevel"/>
    <w:tmpl w:val="3F8AFB58"/>
    <w:lvl w:ilvl="0" w:tplc="E4901FBE">
      <w:start w:val="1"/>
      <w:numFmt w:val="decimal"/>
      <w:lvlText w:val="%1."/>
      <w:lvlJc w:val="left"/>
      <w:pPr>
        <w:ind w:left="117" w:hanging="567"/>
      </w:pPr>
      <w:rPr>
        <w:rFonts w:ascii="Verdana" w:eastAsia="Verdana" w:hAnsi="Verdana" w:cs="Verdana" w:hint="default"/>
        <w:w w:val="99"/>
        <w:sz w:val="20"/>
        <w:szCs w:val="20"/>
      </w:rPr>
    </w:lvl>
    <w:lvl w:ilvl="1" w:tplc="1E54D860">
      <w:numFmt w:val="bullet"/>
      <w:lvlText w:val="•"/>
      <w:lvlJc w:val="left"/>
      <w:pPr>
        <w:ind w:left="1072" w:hanging="567"/>
      </w:pPr>
      <w:rPr>
        <w:rFonts w:hint="default"/>
      </w:rPr>
    </w:lvl>
    <w:lvl w:ilvl="2" w:tplc="8A54503E">
      <w:numFmt w:val="bullet"/>
      <w:lvlText w:val="•"/>
      <w:lvlJc w:val="left"/>
      <w:pPr>
        <w:ind w:left="2024" w:hanging="567"/>
      </w:pPr>
      <w:rPr>
        <w:rFonts w:hint="default"/>
      </w:rPr>
    </w:lvl>
    <w:lvl w:ilvl="3" w:tplc="CC986438">
      <w:numFmt w:val="bullet"/>
      <w:lvlText w:val="•"/>
      <w:lvlJc w:val="left"/>
      <w:pPr>
        <w:ind w:left="2976" w:hanging="567"/>
      </w:pPr>
      <w:rPr>
        <w:rFonts w:hint="default"/>
      </w:rPr>
    </w:lvl>
    <w:lvl w:ilvl="4" w:tplc="19A093CE">
      <w:numFmt w:val="bullet"/>
      <w:lvlText w:val="•"/>
      <w:lvlJc w:val="left"/>
      <w:pPr>
        <w:ind w:left="3928" w:hanging="567"/>
      </w:pPr>
      <w:rPr>
        <w:rFonts w:hint="default"/>
      </w:rPr>
    </w:lvl>
    <w:lvl w:ilvl="5" w:tplc="E6E0C096">
      <w:numFmt w:val="bullet"/>
      <w:lvlText w:val="•"/>
      <w:lvlJc w:val="left"/>
      <w:pPr>
        <w:ind w:left="4880" w:hanging="567"/>
      </w:pPr>
      <w:rPr>
        <w:rFonts w:hint="default"/>
      </w:rPr>
    </w:lvl>
    <w:lvl w:ilvl="6" w:tplc="EF82ECD6">
      <w:numFmt w:val="bullet"/>
      <w:lvlText w:val="•"/>
      <w:lvlJc w:val="left"/>
      <w:pPr>
        <w:ind w:left="5832" w:hanging="567"/>
      </w:pPr>
      <w:rPr>
        <w:rFonts w:hint="default"/>
      </w:rPr>
    </w:lvl>
    <w:lvl w:ilvl="7" w:tplc="4E1A926C">
      <w:numFmt w:val="bullet"/>
      <w:lvlText w:val="•"/>
      <w:lvlJc w:val="left"/>
      <w:pPr>
        <w:ind w:left="6784" w:hanging="567"/>
      </w:pPr>
      <w:rPr>
        <w:rFonts w:hint="default"/>
      </w:rPr>
    </w:lvl>
    <w:lvl w:ilvl="8" w:tplc="D2267714">
      <w:numFmt w:val="bullet"/>
      <w:lvlText w:val="•"/>
      <w:lvlJc w:val="left"/>
      <w:pPr>
        <w:ind w:left="7736" w:hanging="567"/>
      </w:pPr>
      <w:rPr>
        <w:rFonts w:hint="default"/>
      </w:rPr>
    </w:lvl>
  </w:abstractNum>
  <w:abstractNum w:abstractNumId="24" w15:restartNumberingAfterBreak="0">
    <w:nsid w:val="529850D6"/>
    <w:multiLevelType w:val="hybridMultilevel"/>
    <w:tmpl w:val="DA405746"/>
    <w:lvl w:ilvl="0" w:tplc="040A0005">
      <w:start w:val="1"/>
      <w:numFmt w:val="bullet"/>
      <w:lvlText w:val=""/>
      <w:lvlJc w:val="left"/>
      <w:pPr>
        <w:ind w:left="1428" w:hanging="360"/>
      </w:pPr>
      <w:rPr>
        <w:rFonts w:ascii="Wingdings" w:hAnsi="Wingdings" w:hint="default"/>
      </w:rPr>
    </w:lvl>
    <w:lvl w:ilvl="1" w:tplc="040A0003" w:tentative="1">
      <w:start w:val="1"/>
      <w:numFmt w:val="bullet"/>
      <w:lvlText w:val="o"/>
      <w:lvlJc w:val="left"/>
      <w:pPr>
        <w:ind w:left="2148" w:hanging="360"/>
      </w:pPr>
      <w:rPr>
        <w:rFonts w:ascii="Courier New" w:hAnsi="Courier New" w:cs="Courier New" w:hint="default"/>
      </w:rPr>
    </w:lvl>
    <w:lvl w:ilvl="2" w:tplc="040A0005" w:tentative="1">
      <w:start w:val="1"/>
      <w:numFmt w:val="bullet"/>
      <w:lvlText w:val=""/>
      <w:lvlJc w:val="left"/>
      <w:pPr>
        <w:ind w:left="2868" w:hanging="360"/>
      </w:pPr>
      <w:rPr>
        <w:rFonts w:ascii="Wingdings" w:hAnsi="Wingdings" w:hint="default"/>
      </w:rPr>
    </w:lvl>
    <w:lvl w:ilvl="3" w:tplc="040A0001" w:tentative="1">
      <w:start w:val="1"/>
      <w:numFmt w:val="bullet"/>
      <w:lvlText w:val=""/>
      <w:lvlJc w:val="left"/>
      <w:pPr>
        <w:ind w:left="3588" w:hanging="360"/>
      </w:pPr>
      <w:rPr>
        <w:rFonts w:ascii="Symbol" w:hAnsi="Symbol" w:hint="default"/>
      </w:rPr>
    </w:lvl>
    <w:lvl w:ilvl="4" w:tplc="040A0003" w:tentative="1">
      <w:start w:val="1"/>
      <w:numFmt w:val="bullet"/>
      <w:lvlText w:val="o"/>
      <w:lvlJc w:val="left"/>
      <w:pPr>
        <w:ind w:left="4308" w:hanging="360"/>
      </w:pPr>
      <w:rPr>
        <w:rFonts w:ascii="Courier New" w:hAnsi="Courier New" w:cs="Courier New" w:hint="default"/>
      </w:rPr>
    </w:lvl>
    <w:lvl w:ilvl="5" w:tplc="040A0005" w:tentative="1">
      <w:start w:val="1"/>
      <w:numFmt w:val="bullet"/>
      <w:lvlText w:val=""/>
      <w:lvlJc w:val="left"/>
      <w:pPr>
        <w:ind w:left="5028" w:hanging="360"/>
      </w:pPr>
      <w:rPr>
        <w:rFonts w:ascii="Wingdings" w:hAnsi="Wingdings" w:hint="default"/>
      </w:rPr>
    </w:lvl>
    <w:lvl w:ilvl="6" w:tplc="040A0001" w:tentative="1">
      <w:start w:val="1"/>
      <w:numFmt w:val="bullet"/>
      <w:lvlText w:val=""/>
      <w:lvlJc w:val="left"/>
      <w:pPr>
        <w:ind w:left="5748" w:hanging="360"/>
      </w:pPr>
      <w:rPr>
        <w:rFonts w:ascii="Symbol" w:hAnsi="Symbol" w:hint="default"/>
      </w:rPr>
    </w:lvl>
    <w:lvl w:ilvl="7" w:tplc="040A0003" w:tentative="1">
      <w:start w:val="1"/>
      <w:numFmt w:val="bullet"/>
      <w:lvlText w:val="o"/>
      <w:lvlJc w:val="left"/>
      <w:pPr>
        <w:ind w:left="6468" w:hanging="360"/>
      </w:pPr>
      <w:rPr>
        <w:rFonts w:ascii="Courier New" w:hAnsi="Courier New" w:cs="Courier New" w:hint="default"/>
      </w:rPr>
    </w:lvl>
    <w:lvl w:ilvl="8" w:tplc="040A0005" w:tentative="1">
      <w:start w:val="1"/>
      <w:numFmt w:val="bullet"/>
      <w:lvlText w:val=""/>
      <w:lvlJc w:val="left"/>
      <w:pPr>
        <w:ind w:left="7188" w:hanging="360"/>
      </w:pPr>
      <w:rPr>
        <w:rFonts w:ascii="Wingdings" w:hAnsi="Wingdings" w:hint="default"/>
      </w:rPr>
    </w:lvl>
  </w:abstractNum>
  <w:abstractNum w:abstractNumId="25" w15:restartNumberingAfterBreak="0">
    <w:nsid w:val="54E64D23"/>
    <w:multiLevelType w:val="hybridMultilevel"/>
    <w:tmpl w:val="FDAEB76E"/>
    <w:lvl w:ilvl="0" w:tplc="040A0005">
      <w:start w:val="1"/>
      <w:numFmt w:val="bullet"/>
      <w:lvlText w:val=""/>
      <w:lvlJc w:val="left"/>
      <w:pPr>
        <w:ind w:left="1428" w:hanging="360"/>
      </w:pPr>
      <w:rPr>
        <w:rFonts w:ascii="Wingdings" w:hAnsi="Wingdings" w:hint="default"/>
      </w:rPr>
    </w:lvl>
    <w:lvl w:ilvl="1" w:tplc="040A0003" w:tentative="1">
      <w:start w:val="1"/>
      <w:numFmt w:val="bullet"/>
      <w:lvlText w:val="o"/>
      <w:lvlJc w:val="left"/>
      <w:pPr>
        <w:ind w:left="2148" w:hanging="360"/>
      </w:pPr>
      <w:rPr>
        <w:rFonts w:ascii="Courier New" w:hAnsi="Courier New" w:cs="Courier New" w:hint="default"/>
      </w:rPr>
    </w:lvl>
    <w:lvl w:ilvl="2" w:tplc="040A0005" w:tentative="1">
      <w:start w:val="1"/>
      <w:numFmt w:val="bullet"/>
      <w:lvlText w:val=""/>
      <w:lvlJc w:val="left"/>
      <w:pPr>
        <w:ind w:left="2868" w:hanging="360"/>
      </w:pPr>
      <w:rPr>
        <w:rFonts w:ascii="Wingdings" w:hAnsi="Wingdings" w:hint="default"/>
      </w:rPr>
    </w:lvl>
    <w:lvl w:ilvl="3" w:tplc="040A0001" w:tentative="1">
      <w:start w:val="1"/>
      <w:numFmt w:val="bullet"/>
      <w:lvlText w:val=""/>
      <w:lvlJc w:val="left"/>
      <w:pPr>
        <w:ind w:left="3588" w:hanging="360"/>
      </w:pPr>
      <w:rPr>
        <w:rFonts w:ascii="Symbol" w:hAnsi="Symbol" w:hint="default"/>
      </w:rPr>
    </w:lvl>
    <w:lvl w:ilvl="4" w:tplc="040A0003" w:tentative="1">
      <w:start w:val="1"/>
      <w:numFmt w:val="bullet"/>
      <w:lvlText w:val="o"/>
      <w:lvlJc w:val="left"/>
      <w:pPr>
        <w:ind w:left="4308" w:hanging="360"/>
      </w:pPr>
      <w:rPr>
        <w:rFonts w:ascii="Courier New" w:hAnsi="Courier New" w:cs="Courier New" w:hint="default"/>
      </w:rPr>
    </w:lvl>
    <w:lvl w:ilvl="5" w:tplc="040A0005" w:tentative="1">
      <w:start w:val="1"/>
      <w:numFmt w:val="bullet"/>
      <w:lvlText w:val=""/>
      <w:lvlJc w:val="left"/>
      <w:pPr>
        <w:ind w:left="5028" w:hanging="360"/>
      </w:pPr>
      <w:rPr>
        <w:rFonts w:ascii="Wingdings" w:hAnsi="Wingdings" w:hint="default"/>
      </w:rPr>
    </w:lvl>
    <w:lvl w:ilvl="6" w:tplc="040A0001" w:tentative="1">
      <w:start w:val="1"/>
      <w:numFmt w:val="bullet"/>
      <w:lvlText w:val=""/>
      <w:lvlJc w:val="left"/>
      <w:pPr>
        <w:ind w:left="5748" w:hanging="360"/>
      </w:pPr>
      <w:rPr>
        <w:rFonts w:ascii="Symbol" w:hAnsi="Symbol" w:hint="default"/>
      </w:rPr>
    </w:lvl>
    <w:lvl w:ilvl="7" w:tplc="040A0003" w:tentative="1">
      <w:start w:val="1"/>
      <w:numFmt w:val="bullet"/>
      <w:lvlText w:val="o"/>
      <w:lvlJc w:val="left"/>
      <w:pPr>
        <w:ind w:left="6468" w:hanging="360"/>
      </w:pPr>
      <w:rPr>
        <w:rFonts w:ascii="Courier New" w:hAnsi="Courier New" w:cs="Courier New" w:hint="default"/>
      </w:rPr>
    </w:lvl>
    <w:lvl w:ilvl="8" w:tplc="040A0005" w:tentative="1">
      <w:start w:val="1"/>
      <w:numFmt w:val="bullet"/>
      <w:lvlText w:val=""/>
      <w:lvlJc w:val="left"/>
      <w:pPr>
        <w:ind w:left="7188" w:hanging="360"/>
      </w:pPr>
      <w:rPr>
        <w:rFonts w:ascii="Wingdings" w:hAnsi="Wingdings" w:hint="default"/>
      </w:rPr>
    </w:lvl>
  </w:abstractNum>
  <w:abstractNum w:abstractNumId="26" w15:restartNumberingAfterBreak="0">
    <w:nsid w:val="55C93AC8"/>
    <w:multiLevelType w:val="hybridMultilevel"/>
    <w:tmpl w:val="FEA81B8A"/>
    <w:lvl w:ilvl="0" w:tplc="BD726086">
      <w:start w:val="1"/>
      <w:numFmt w:val="decimal"/>
      <w:lvlText w:val="%1."/>
      <w:lvlJc w:val="left"/>
      <w:pPr>
        <w:ind w:left="5811" w:hanging="708"/>
      </w:pPr>
      <w:rPr>
        <w:rFonts w:ascii="Verdana" w:hAnsi="Verdana" w:hint="default"/>
        <w:b w:val="0"/>
        <w:i w:val="0"/>
        <w:strike w:val="0"/>
        <w:color w:val="auto"/>
        <w:sz w:val="20"/>
        <w:szCs w:val="20"/>
        <w:vertAlign w:val="baseline"/>
        <w:lang w:val="es-ES"/>
      </w:rPr>
    </w:lvl>
    <w:lvl w:ilvl="1" w:tplc="140A0019">
      <w:start w:val="1"/>
      <w:numFmt w:val="lowerLetter"/>
      <w:lvlText w:val="%2."/>
      <w:lvlJc w:val="left"/>
      <w:pPr>
        <w:ind w:left="371" w:hanging="360"/>
      </w:pPr>
    </w:lvl>
    <w:lvl w:ilvl="2" w:tplc="140A001B" w:tentative="1">
      <w:start w:val="1"/>
      <w:numFmt w:val="lowerRoman"/>
      <w:lvlText w:val="%3."/>
      <w:lvlJc w:val="right"/>
      <w:pPr>
        <w:ind w:left="1091" w:hanging="180"/>
      </w:pPr>
    </w:lvl>
    <w:lvl w:ilvl="3" w:tplc="140A000F" w:tentative="1">
      <w:start w:val="1"/>
      <w:numFmt w:val="decimal"/>
      <w:lvlText w:val="%4."/>
      <w:lvlJc w:val="left"/>
      <w:pPr>
        <w:ind w:left="1811" w:hanging="360"/>
      </w:pPr>
    </w:lvl>
    <w:lvl w:ilvl="4" w:tplc="140A0019" w:tentative="1">
      <w:start w:val="1"/>
      <w:numFmt w:val="lowerLetter"/>
      <w:lvlText w:val="%5."/>
      <w:lvlJc w:val="left"/>
      <w:pPr>
        <w:ind w:left="2531" w:hanging="360"/>
      </w:pPr>
    </w:lvl>
    <w:lvl w:ilvl="5" w:tplc="140A001B" w:tentative="1">
      <w:start w:val="1"/>
      <w:numFmt w:val="lowerRoman"/>
      <w:lvlText w:val="%6."/>
      <w:lvlJc w:val="right"/>
      <w:pPr>
        <w:ind w:left="3251" w:hanging="180"/>
      </w:pPr>
    </w:lvl>
    <w:lvl w:ilvl="6" w:tplc="140A000F" w:tentative="1">
      <w:start w:val="1"/>
      <w:numFmt w:val="decimal"/>
      <w:lvlText w:val="%7."/>
      <w:lvlJc w:val="left"/>
      <w:pPr>
        <w:ind w:left="3971" w:hanging="360"/>
      </w:pPr>
    </w:lvl>
    <w:lvl w:ilvl="7" w:tplc="140A0019" w:tentative="1">
      <w:start w:val="1"/>
      <w:numFmt w:val="lowerLetter"/>
      <w:lvlText w:val="%8."/>
      <w:lvlJc w:val="left"/>
      <w:pPr>
        <w:ind w:left="4691" w:hanging="360"/>
      </w:pPr>
    </w:lvl>
    <w:lvl w:ilvl="8" w:tplc="140A001B" w:tentative="1">
      <w:start w:val="1"/>
      <w:numFmt w:val="lowerRoman"/>
      <w:lvlText w:val="%9."/>
      <w:lvlJc w:val="right"/>
      <w:pPr>
        <w:ind w:left="5411" w:hanging="180"/>
      </w:pPr>
    </w:lvl>
  </w:abstractNum>
  <w:abstractNum w:abstractNumId="27" w15:restartNumberingAfterBreak="0">
    <w:nsid w:val="562A4B8D"/>
    <w:multiLevelType w:val="hybridMultilevel"/>
    <w:tmpl w:val="CC743B3C"/>
    <w:lvl w:ilvl="0" w:tplc="C58AE2D0">
      <w:start w:val="1"/>
      <w:numFmt w:val="decimal"/>
      <w:lvlText w:val="%1."/>
      <w:lvlJc w:val="left"/>
      <w:pPr>
        <w:ind w:left="360" w:hanging="360"/>
      </w:pPr>
      <w:rPr>
        <w:b w:val="0"/>
        <w:i w:val="0"/>
        <w:color w:val="auto"/>
        <w:sz w:val="20"/>
        <w:szCs w:val="20"/>
        <w:vertAlign w:val="baseline"/>
        <w:lang w:val="es-ES_tradnl"/>
      </w:rPr>
    </w:lvl>
    <w:lvl w:ilvl="1" w:tplc="CA7A39D2">
      <w:start w:val="1"/>
      <w:numFmt w:val="lowerLetter"/>
      <w:lvlText w:val="%2."/>
      <w:lvlJc w:val="left"/>
      <w:pPr>
        <w:ind w:left="1440" w:hanging="360"/>
      </w:pPr>
      <w:rPr>
        <w:color w:val="auto"/>
      </w:rPr>
    </w:lvl>
    <w:lvl w:ilvl="2" w:tplc="18A029C2">
      <w:start w:val="1"/>
      <w:numFmt w:val="decimal"/>
      <w:lvlText w:val="%3."/>
      <w:lvlJc w:val="right"/>
      <w:pPr>
        <w:ind w:left="2160" w:hanging="180"/>
      </w:pPr>
      <w:rPr>
        <w:rFonts w:ascii="Verdana" w:eastAsia="Times New Roman" w:hAnsi="Verdana" w:cs="Times New Roman"/>
      </w:rPr>
    </w:lvl>
    <w:lvl w:ilvl="3" w:tplc="D9B6BD20">
      <w:start w:val="2"/>
      <w:numFmt w:val="lowerRoman"/>
      <w:lvlText w:val="%4."/>
      <w:lvlJc w:val="left"/>
      <w:pPr>
        <w:ind w:left="3240" w:hanging="720"/>
      </w:pPr>
      <w:rPr>
        <w:rFonts w:hint="default"/>
        <w:i/>
      </w:r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8" w15:restartNumberingAfterBreak="0">
    <w:nsid w:val="579A7772"/>
    <w:multiLevelType w:val="hybridMultilevel"/>
    <w:tmpl w:val="58CC236A"/>
    <w:lvl w:ilvl="0" w:tplc="F13AE0F4">
      <w:start w:val="1"/>
      <w:numFmt w:val="upperLetter"/>
      <w:lvlText w:val="%1."/>
      <w:lvlJc w:val="left"/>
      <w:pPr>
        <w:ind w:left="720" w:hanging="360"/>
      </w:pPr>
      <w:rPr>
        <w:rFonts w:hint="default"/>
        <w:b/>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9" w15:restartNumberingAfterBreak="0">
    <w:nsid w:val="58452252"/>
    <w:multiLevelType w:val="hybridMultilevel"/>
    <w:tmpl w:val="C82841A6"/>
    <w:lvl w:ilvl="0" w:tplc="040A0005">
      <w:start w:val="1"/>
      <w:numFmt w:val="bullet"/>
      <w:lvlText w:val=""/>
      <w:lvlJc w:val="left"/>
      <w:pPr>
        <w:ind w:left="1428" w:hanging="360"/>
      </w:pPr>
      <w:rPr>
        <w:rFonts w:ascii="Wingdings" w:hAnsi="Wingdings" w:hint="default"/>
      </w:rPr>
    </w:lvl>
    <w:lvl w:ilvl="1" w:tplc="040A0003" w:tentative="1">
      <w:start w:val="1"/>
      <w:numFmt w:val="bullet"/>
      <w:lvlText w:val="o"/>
      <w:lvlJc w:val="left"/>
      <w:pPr>
        <w:ind w:left="2148" w:hanging="360"/>
      </w:pPr>
      <w:rPr>
        <w:rFonts w:ascii="Courier New" w:hAnsi="Courier New" w:cs="Courier New" w:hint="default"/>
      </w:rPr>
    </w:lvl>
    <w:lvl w:ilvl="2" w:tplc="040A0005" w:tentative="1">
      <w:start w:val="1"/>
      <w:numFmt w:val="bullet"/>
      <w:lvlText w:val=""/>
      <w:lvlJc w:val="left"/>
      <w:pPr>
        <w:ind w:left="2868" w:hanging="360"/>
      </w:pPr>
      <w:rPr>
        <w:rFonts w:ascii="Wingdings" w:hAnsi="Wingdings" w:hint="default"/>
      </w:rPr>
    </w:lvl>
    <w:lvl w:ilvl="3" w:tplc="040A0001" w:tentative="1">
      <w:start w:val="1"/>
      <w:numFmt w:val="bullet"/>
      <w:lvlText w:val=""/>
      <w:lvlJc w:val="left"/>
      <w:pPr>
        <w:ind w:left="3588" w:hanging="360"/>
      </w:pPr>
      <w:rPr>
        <w:rFonts w:ascii="Symbol" w:hAnsi="Symbol" w:hint="default"/>
      </w:rPr>
    </w:lvl>
    <w:lvl w:ilvl="4" w:tplc="040A0003" w:tentative="1">
      <w:start w:val="1"/>
      <w:numFmt w:val="bullet"/>
      <w:lvlText w:val="o"/>
      <w:lvlJc w:val="left"/>
      <w:pPr>
        <w:ind w:left="4308" w:hanging="360"/>
      </w:pPr>
      <w:rPr>
        <w:rFonts w:ascii="Courier New" w:hAnsi="Courier New" w:cs="Courier New" w:hint="default"/>
      </w:rPr>
    </w:lvl>
    <w:lvl w:ilvl="5" w:tplc="040A0005" w:tentative="1">
      <w:start w:val="1"/>
      <w:numFmt w:val="bullet"/>
      <w:lvlText w:val=""/>
      <w:lvlJc w:val="left"/>
      <w:pPr>
        <w:ind w:left="5028" w:hanging="360"/>
      </w:pPr>
      <w:rPr>
        <w:rFonts w:ascii="Wingdings" w:hAnsi="Wingdings" w:hint="default"/>
      </w:rPr>
    </w:lvl>
    <w:lvl w:ilvl="6" w:tplc="040A0001" w:tentative="1">
      <w:start w:val="1"/>
      <w:numFmt w:val="bullet"/>
      <w:lvlText w:val=""/>
      <w:lvlJc w:val="left"/>
      <w:pPr>
        <w:ind w:left="5748" w:hanging="360"/>
      </w:pPr>
      <w:rPr>
        <w:rFonts w:ascii="Symbol" w:hAnsi="Symbol" w:hint="default"/>
      </w:rPr>
    </w:lvl>
    <w:lvl w:ilvl="7" w:tplc="040A0003" w:tentative="1">
      <w:start w:val="1"/>
      <w:numFmt w:val="bullet"/>
      <w:lvlText w:val="o"/>
      <w:lvlJc w:val="left"/>
      <w:pPr>
        <w:ind w:left="6468" w:hanging="360"/>
      </w:pPr>
      <w:rPr>
        <w:rFonts w:ascii="Courier New" w:hAnsi="Courier New" w:cs="Courier New" w:hint="default"/>
      </w:rPr>
    </w:lvl>
    <w:lvl w:ilvl="8" w:tplc="040A0005" w:tentative="1">
      <w:start w:val="1"/>
      <w:numFmt w:val="bullet"/>
      <w:lvlText w:val=""/>
      <w:lvlJc w:val="left"/>
      <w:pPr>
        <w:ind w:left="7188" w:hanging="360"/>
      </w:pPr>
      <w:rPr>
        <w:rFonts w:ascii="Wingdings" w:hAnsi="Wingdings" w:hint="default"/>
      </w:rPr>
    </w:lvl>
  </w:abstractNum>
  <w:abstractNum w:abstractNumId="30" w15:restartNumberingAfterBreak="0">
    <w:nsid w:val="64402BA7"/>
    <w:multiLevelType w:val="hybridMultilevel"/>
    <w:tmpl w:val="E36C2BDA"/>
    <w:lvl w:ilvl="0" w:tplc="AE102A62">
      <w:start w:val="1"/>
      <w:numFmt w:val="upperLetter"/>
      <w:lvlText w:val="%1."/>
      <w:lvlJc w:val="left"/>
      <w:pPr>
        <w:ind w:left="928" w:hanging="360"/>
      </w:pPr>
      <w:rPr>
        <w:b/>
        <w:i w:val="0"/>
      </w:rPr>
    </w:lvl>
    <w:lvl w:ilvl="1" w:tplc="04090019">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0409000F" w:tentative="1">
      <w:start w:val="1"/>
      <w:numFmt w:val="decimal"/>
      <w:lvlText w:val="%7."/>
      <w:lvlJc w:val="left"/>
      <w:pPr>
        <w:ind w:left="7740" w:hanging="360"/>
      </w:p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31" w15:restartNumberingAfterBreak="0">
    <w:nsid w:val="693B420D"/>
    <w:multiLevelType w:val="hybridMultilevel"/>
    <w:tmpl w:val="9BA47382"/>
    <w:lvl w:ilvl="0" w:tplc="C0507558">
      <w:start w:val="1"/>
      <w:numFmt w:val="lowerLetter"/>
      <w:lvlText w:val="%1)"/>
      <w:lvlJc w:val="left"/>
      <w:pPr>
        <w:ind w:left="720" w:hanging="360"/>
      </w:pPr>
      <w:rPr>
        <w:rFonts w:hint="default"/>
        <w:b w:val="0"/>
        <w:sz w:val="20"/>
        <w:szCs w:val="20"/>
        <w:vertAlign w:val="baseline"/>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2" w15:restartNumberingAfterBreak="0">
    <w:nsid w:val="6BE62F91"/>
    <w:multiLevelType w:val="hybridMultilevel"/>
    <w:tmpl w:val="DC4606A2"/>
    <w:lvl w:ilvl="0" w:tplc="90EAD8C8">
      <w:start w:val="1"/>
      <w:numFmt w:val="upperLetter"/>
      <w:lvlText w:val="%1."/>
      <w:lvlJc w:val="left"/>
      <w:pPr>
        <w:ind w:left="1068" w:hanging="360"/>
      </w:pPr>
      <w:rPr>
        <w:rFonts w:hint="default"/>
      </w:rPr>
    </w:lvl>
    <w:lvl w:ilvl="1" w:tplc="040A0019" w:tentative="1">
      <w:start w:val="1"/>
      <w:numFmt w:val="lowerLetter"/>
      <w:lvlText w:val="%2."/>
      <w:lvlJc w:val="left"/>
      <w:pPr>
        <w:ind w:left="1788" w:hanging="360"/>
      </w:pPr>
    </w:lvl>
    <w:lvl w:ilvl="2" w:tplc="040A001B" w:tentative="1">
      <w:start w:val="1"/>
      <w:numFmt w:val="lowerRoman"/>
      <w:lvlText w:val="%3."/>
      <w:lvlJc w:val="right"/>
      <w:pPr>
        <w:ind w:left="2508" w:hanging="180"/>
      </w:pPr>
    </w:lvl>
    <w:lvl w:ilvl="3" w:tplc="040A000F" w:tentative="1">
      <w:start w:val="1"/>
      <w:numFmt w:val="decimal"/>
      <w:lvlText w:val="%4."/>
      <w:lvlJc w:val="left"/>
      <w:pPr>
        <w:ind w:left="3228" w:hanging="360"/>
      </w:pPr>
    </w:lvl>
    <w:lvl w:ilvl="4" w:tplc="040A0019" w:tentative="1">
      <w:start w:val="1"/>
      <w:numFmt w:val="lowerLetter"/>
      <w:lvlText w:val="%5."/>
      <w:lvlJc w:val="left"/>
      <w:pPr>
        <w:ind w:left="3948" w:hanging="360"/>
      </w:pPr>
    </w:lvl>
    <w:lvl w:ilvl="5" w:tplc="040A001B" w:tentative="1">
      <w:start w:val="1"/>
      <w:numFmt w:val="lowerRoman"/>
      <w:lvlText w:val="%6."/>
      <w:lvlJc w:val="right"/>
      <w:pPr>
        <w:ind w:left="4668" w:hanging="180"/>
      </w:pPr>
    </w:lvl>
    <w:lvl w:ilvl="6" w:tplc="040A000F" w:tentative="1">
      <w:start w:val="1"/>
      <w:numFmt w:val="decimal"/>
      <w:lvlText w:val="%7."/>
      <w:lvlJc w:val="left"/>
      <w:pPr>
        <w:ind w:left="5388" w:hanging="360"/>
      </w:pPr>
    </w:lvl>
    <w:lvl w:ilvl="7" w:tplc="040A0019" w:tentative="1">
      <w:start w:val="1"/>
      <w:numFmt w:val="lowerLetter"/>
      <w:lvlText w:val="%8."/>
      <w:lvlJc w:val="left"/>
      <w:pPr>
        <w:ind w:left="6108" w:hanging="360"/>
      </w:pPr>
    </w:lvl>
    <w:lvl w:ilvl="8" w:tplc="040A001B" w:tentative="1">
      <w:start w:val="1"/>
      <w:numFmt w:val="lowerRoman"/>
      <w:lvlText w:val="%9."/>
      <w:lvlJc w:val="right"/>
      <w:pPr>
        <w:ind w:left="6828" w:hanging="180"/>
      </w:pPr>
    </w:lvl>
  </w:abstractNum>
  <w:abstractNum w:abstractNumId="33" w15:restartNumberingAfterBreak="0">
    <w:nsid w:val="705A6F5C"/>
    <w:multiLevelType w:val="hybridMultilevel"/>
    <w:tmpl w:val="4F3038A2"/>
    <w:lvl w:ilvl="0" w:tplc="0B9EED4E">
      <w:start w:val="1"/>
      <w:numFmt w:val="decimal"/>
      <w:pStyle w:val="Numberedparagraphs"/>
      <w:lvlText w:val="%1."/>
      <w:lvlJc w:val="left"/>
      <w:pPr>
        <w:tabs>
          <w:tab w:val="num" w:pos="720"/>
        </w:tabs>
        <w:ind w:left="0" w:firstLine="0"/>
      </w:pPr>
      <w:rPr>
        <w:rFonts w:ascii="Verdana" w:hAnsi="Verdana" w:hint="default"/>
        <w:b w:val="0"/>
        <w:i w:val="0"/>
        <w:strike w:val="0"/>
        <w:color w:val="auto"/>
        <w:sz w:val="20"/>
        <w:szCs w:val="20"/>
        <w:lang w:val="es-CR"/>
      </w:rPr>
    </w:lvl>
    <w:lvl w:ilvl="1" w:tplc="5C6C0158">
      <w:start w:val="7"/>
      <w:numFmt w:val="decimal"/>
      <w:lvlText w:val="%2."/>
      <w:lvlJc w:val="left"/>
      <w:pPr>
        <w:ind w:left="2160" w:hanging="360"/>
      </w:pPr>
      <w:rPr>
        <w:rFonts w:hint="default"/>
      </w:rPr>
    </w:lvl>
    <w:lvl w:ilvl="2" w:tplc="0409001B">
      <w:start w:val="1"/>
      <w:numFmt w:val="lowerRoman"/>
      <w:lvlText w:val="%3."/>
      <w:lvlJc w:val="right"/>
      <w:pPr>
        <w:ind w:left="2880" w:hanging="180"/>
      </w:pPr>
    </w:lvl>
    <w:lvl w:ilvl="3" w:tplc="B7608196">
      <w:start w:val="1"/>
      <w:numFmt w:val="lowerLetter"/>
      <w:lvlText w:val="%4."/>
      <w:lvlJc w:val="left"/>
      <w:pPr>
        <w:ind w:left="1125" w:hanging="405"/>
      </w:pPr>
      <w:rPr>
        <w:rFonts w:hint="default"/>
      </w:rPr>
    </w:lvl>
    <w:lvl w:ilvl="4" w:tplc="4FCCDE7A">
      <w:start w:val="1"/>
      <w:numFmt w:val="lowerLetter"/>
      <w:lvlText w:val="%5)"/>
      <w:lvlJc w:val="left"/>
      <w:pPr>
        <w:ind w:left="1110" w:hanging="390"/>
      </w:pPr>
      <w:rPr>
        <w:rFonts w:hint="default"/>
      </w:r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707B7D6F"/>
    <w:multiLevelType w:val="hybridMultilevel"/>
    <w:tmpl w:val="51163360"/>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5" w15:restartNumberingAfterBreak="0">
    <w:nsid w:val="79354707"/>
    <w:multiLevelType w:val="hybridMultilevel"/>
    <w:tmpl w:val="BC12B108"/>
    <w:lvl w:ilvl="0" w:tplc="3526855E">
      <w:start w:val="1"/>
      <w:numFmt w:val="decimal"/>
      <w:lvlText w:val="%1."/>
      <w:lvlJc w:val="left"/>
      <w:pPr>
        <w:ind w:left="825" w:hanging="825"/>
      </w:pPr>
      <w:rPr>
        <w:rFonts w:ascii="Verdana" w:eastAsia="Verdana" w:hAnsi="Verdana" w:cs="Verdana" w:hint="default"/>
        <w:b w:val="0"/>
        <w:bCs/>
        <w:i w:val="0"/>
        <w:strike w:val="0"/>
        <w:color w:val="auto"/>
        <w:sz w:val="20"/>
        <w:szCs w:val="20"/>
        <w:vertAlign w:val="baseline"/>
        <w:lang w:val="es-ES"/>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36" w15:restartNumberingAfterBreak="0">
    <w:nsid w:val="7C5B029B"/>
    <w:multiLevelType w:val="hybridMultilevel"/>
    <w:tmpl w:val="E36C2BDA"/>
    <w:lvl w:ilvl="0" w:tplc="FFFFFFFF">
      <w:start w:val="1"/>
      <w:numFmt w:val="upperLetter"/>
      <w:lvlText w:val="%1."/>
      <w:lvlJc w:val="left"/>
      <w:pPr>
        <w:ind w:left="928" w:hanging="360"/>
      </w:pPr>
      <w:rPr>
        <w:b/>
        <w:i w:val="0"/>
      </w:rPr>
    </w:lvl>
    <w:lvl w:ilvl="1" w:tplc="FFFFFFFF">
      <w:start w:val="1"/>
      <w:numFmt w:val="lowerLetter"/>
      <w:lvlText w:val="%2."/>
      <w:lvlJc w:val="left"/>
      <w:pPr>
        <w:ind w:left="4140" w:hanging="360"/>
      </w:pPr>
    </w:lvl>
    <w:lvl w:ilvl="2" w:tplc="FFFFFFFF" w:tentative="1">
      <w:start w:val="1"/>
      <w:numFmt w:val="lowerRoman"/>
      <w:lvlText w:val="%3."/>
      <w:lvlJc w:val="right"/>
      <w:pPr>
        <w:ind w:left="4860" w:hanging="180"/>
      </w:pPr>
    </w:lvl>
    <w:lvl w:ilvl="3" w:tplc="FFFFFFFF" w:tentative="1">
      <w:start w:val="1"/>
      <w:numFmt w:val="decimal"/>
      <w:lvlText w:val="%4."/>
      <w:lvlJc w:val="left"/>
      <w:pPr>
        <w:ind w:left="5580" w:hanging="360"/>
      </w:pPr>
    </w:lvl>
    <w:lvl w:ilvl="4" w:tplc="FFFFFFFF" w:tentative="1">
      <w:start w:val="1"/>
      <w:numFmt w:val="lowerLetter"/>
      <w:lvlText w:val="%5."/>
      <w:lvlJc w:val="left"/>
      <w:pPr>
        <w:ind w:left="6300" w:hanging="360"/>
      </w:pPr>
    </w:lvl>
    <w:lvl w:ilvl="5" w:tplc="FFFFFFFF" w:tentative="1">
      <w:start w:val="1"/>
      <w:numFmt w:val="lowerRoman"/>
      <w:lvlText w:val="%6."/>
      <w:lvlJc w:val="right"/>
      <w:pPr>
        <w:ind w:left="7020" w:hanging="180"/>
      </w:pPr>
    </w:lvl>
    <w:lvl w:ilvl="6" w:tplc="FFFFFFFF" w:tentative="1">
      <w:start w:val="1"/>
      <w:numFmt w:val="decimal"/>
      <w:lvlText w:val="%7."/>
      <w:lvlJc w:val="left"/>
      <w:pPr>
        <w:ind w:left="7740" w:hanging="360"/>
      </w:pPr>
    </w:lvl>
    <w:lvl w:ilvl="7" w:tplc="FFFFFFFF" w:tentative="1">
      <w:start w:val="1"/>
      <w:numFmt w:val="lowerLetter"/>
      <w:lvlText w:val="%8."/>
      <w:lvlJc w:val="left"/>
      <w:pPr>
        <w:ind w:left="8460" w:hanging="360"/>
      </w:pPr>
    </w:lvl>
    <w:lvl w:ilvl="8" w:tplc="FFFFFFFF" w:tentative="1">
      <w:start w:val="1"/>
      <w:numFmt w:val="lowerRoman"/>
      <w:lvlText w:val="%9."/>
      <w:lvlJc w:val="right"/>
      <w:pPr>
        <w:ind w:left="9180" w:hanging="180"/>
      </w:pPr>
    </w:lvl>
  </w:abstractNum>
  <w:abstractNum w:abstractNumId="37" w15:restartNumberingAfterBreak="0">
    <w:nsid w:val="7CE64D32"/>
    <w:multiLevelType w:val="hybridMultilevel"/>
    <w:tmpl w:val="E0AE220A"/>
    <w:lvl w:ilvl="0" w:tplc="F0DE35F8">
      <w:start w:val="1"/>
      <w:numFmt w:val="decimal"/>
      <w:lvlText w:val="%1."/>
      <w:lvlJc w:val="left"/>
      <w:pPr>
        <w:tabs>
          <w:tab w:val="num" w:pos="16392"/>
        </w:tabs>
      </w:pPr>
      <w:rPr>
        <w:rFonts w:ascii="Verdana" w:eastAsia="Times New Roman" w:hAnsi="Verdana" w:cs="Times New Roman" w:hint="default"/>
        <w:b w:val="0"/>
        <w:i w:val="0"/>
        <w:strike w:val="0"/>
        <w:color w:val="auto"/>
        <w:sz w:val="20"/>
        <w:lang w:val="es-CR"/>
      </w:rPr>
    </w:lvl>
    <w:lvl w:ilvl="1" w:tplc="8D765A30">
      <w:start w:val="1"/>
      <w:numFmt w:val="lowerLetter"/>
      <w:lvlText w:val="%2)"/>
      <w:lvlJc w:val="left"/>
      <w:pPr>
        <w:tabs>
          <w:tab w:val="num" w:pos="4767"/>
        </w:tabs>
        <w:ind w:left="4767" w:hanging="360"/>
      </w:pPr>
      <w:rPr>
        <w:rFonts w:cs="Times New Roman" w:hint="default"/>
        <w:b w:val="0"/>
        <w:i w:val="0"/>
        <w:sz w:val="20"/>
      </w:rPr>
    </w:lvl>
    <w:lvl w:ilvl="2" w:tplc="FED61C0C">
      <w:start w:val="1"/>
      <w:numFmt w:val="lowerRoman"/>
      <w:lvlText w:val="%3."/>
      <w:lvlJc w:val="right"/>
      <w:pPr>
        <w:tabs>
          <w:tab w:val="num" w:pos="890"/>
        </w:tabs>
        <w:ind w:left="890" w:hanging="180"/>
      </w:pPr>
      <w:rPr>
        <w:rFonts w:cs="Times New Roman"/>
        <w:i/>
      </w:rPr>
    </w:lvl>
    <w:lvl w:ilvl="3" w:tplc="0C0A000F">
      <w:start w:val="1"/>
      <w:numFmt w:val="decimal"/>
      <w:lvlText w:val="%4."/>
      <w:lvlJc w:val="left"/>
      <w:pPr>
        <w:tabs>
          <w:tab w:val="num" w:pos="6567"/>
        </w:tabs>
        <w:ind w:left="6567" w:hanging="360"/>
      </w:pPr>
      <w:rPr>
        <w:rFonts w:cs="Times New Roman"/>
      </w:rPr>
    </w:lvl>
    <w:lvl w:ilvl="4" w:tplc="0C0A0019">
      <w:start w:val="1"/>
      <w:numFmt w:val="lowerLetter"/>
      <w:lvlText w:val="%5."/>
      <w:lvlJc w:val="left"/>
      <w:pPr>
        <w:tabs>
          <w:tab w:val="num" w:pos="7287"/>
        </w:tabs>
        <w:ind w:left="7287" w:hanging="360"/>
      </w:pPr>
      <w:rPr>
        <w:rFonts w:cs="Times New Roman"/>
      </w:rPr>
    </w:lvl>
    <w:lvl w:ilvl="5" w:tplc="0C0A001B">
      <w:start w:val="1"/>
      <w:numFmt w:val="lowerRoman"/>
      <w:lvlText w:val="%6."/>
      <w:lvlJc w:val="right"/>
      <w:pPr>
        <w:tabs>
          <w:tab w:val="num" w:pos="8007"/>
        </w:tabs>
        <w:ind w:left="8007" w:hanging="180"/>
      </w:pPr>
      <w:rPr>
        <w:rFonts w:cs="Times New Roman"/>
      </w:rPr>
    </w:lvl>
    <w:lvl w:ilvl="6" w:tplc="0C0A000F">
      <w:start w:val="1"/>
      <w:numFmt w:val="decimal"/>
      <w:lvlText w:val="%7."/>
      <w:lvlJc w:val="left"/>
      <w:pPr>
        <w:tabs>
          <w:tab w:val="num" w:pos="8727"/>
        </w:tabs>
        <w:ind w:left="8727" w:hanging="360"/>
      </w:pPr>
      <w:rPr>
        <w:rFonts w:cs="Times New Roman"/>
      </w:rPr>
    </w:lvl>
    <w:lvl w:ilvl="7" w:tplc="0C0A0019">
      <w:start w:val="1"/>
      <w:numFmt w:val="lowerLetter"/>
      <w:lvlText w:val="%8."/>
      <w:lvlJc w:val="left"/>
      <w:pPr>
        <w:tabs>
          <w:tab w:val="num" w:pos="9447"/>
        </w:tabs>
        <w:ind w:left="9447" w:hanging="360"/>
      </w:pPr>
      <w:rPr>
        <w:rFonts w:cs="Times New Roman"/>
      </w:rPr>
    </w:lvl>
    <w:lvl w:ilvl="8" w:tplc="0C0A001B">
      <w:start w:val="1"/>
      <w:numFmt w:val="lowerRoman"/>
      <w:lvlText w:val="%9."/>
      <w:lvlJc w:val="right"/>
      <w:pPr>
        <w:tabs>
          <w:tab w:val="num" w:pos="10167"/>
        </w:tabs>
        <w:ind w:left="10167" w:hanging="180"/>
      </w:pPr>
      <w:rPr>
        <w:rFonts w:cs="Times New Roman"/>
      </w:rPr>
    </w:lvl>
  </w:abstractNum>
  <w:abstractNum w:abstractNumId="38" w15:restartNumberingAfterBreak="0">
    <w:nsid w:val="7D4A63EE"/>
    <w:multiLevelType w:val="hybridMultilevel"/>
    <w:tmpl w:val="3FBED308"/>
    <w:lvl w:ilvl="0" w:tplc="040A0017">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9" w15:restartNumberingAfterBreak="0">
    <w:nsid w:val="7E210069"/>
    <w:multiLevelType w:val="hybridMultilevel"/>
    <w:tmpl w:val="18C8F9AC"/>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num w:numId="1" w16cid:durableId="1502156969">
    <w:abstractNumId w:val="31"/>
  </w:num>
  <w:num w:numId="2" w16cid:durableId="1124008751">
    <w:abstractNumId w:val="26"/>
  </w:num>
  <w:num w:numId="3" w16cid:durableId="1879320067">
    <w:abstractNumId w:val="15"/>
  </w:num>
  <w:num w:numId="4" w16cid:durableId="561255655">
    <w:abstractNumId w:val="30"/>
  </w:num>
  <w:num w:numId="5" w16cid:durableId="546835805">
    <w:abstractNumId w:val="39"/>
  </w:num>
  <w:num w:numId="6" w16cid:durableId="1139344544">
    <w:abstractNumId w:val="12"/>
  </w:num>
  <w:num w:numId="7" w16cid:durableId="732386011">
    <w:abstractNumId w:val="17"/>
  </w:num>
  <w:num w:numId="8" w16cid:durableId="1483156495">
    <w:abstractNumId w:val="33"/>
  </w:num>
  <w:num w:numId="9" w16cid:durableId="964385600">
    <w:abstractNumId w:val="4"/>
  </w:num>
  <w:num w:numId="10" w16cid:durableId="2070497989">
    <w:abstractNumId w:val="32"/>
  </w:num>
  <w:num w:numId="11" w16cid:durableId="701444008">
    <w:abstractNumId w:val="19"/>
  </w:num>
  <w:num w:numId="12" w16cid:durableId="852693121">
    <w:abstractNumId w:val="23"/>
  </w:num>
  <w:num w:numId="13" w16cid:durableId="1490176777">
    <w:abstractNumId w:val="16"/>
  </w:num>
  <w:num w:numId="14" w16cid:durableId="1428424373">
    <w:abstractNumId w:val="35"/>
  </w:num>
  <w:num w:numId="15" w16cid:durableId="1078751926">
    <w:abstractNumId w:val="38"/>
  </w:num>
  <w:num w:numId="16" w16cid:durableId="444623034">
    <w:abstractNumId w:val="34"/>
  </w:num>
  <w:num w:numId="17" w16cid:durableId="845435821">
    <w:abstractNumId w:val="13"/>
  </w:num>
  <w:num w:numId="18" w16cid:durableId="504169287">
    <w:abstractNumId w:val="22"/>
  </w:num>
  <w:num w:numId="19" w16cid:durableId="1377698774">
    <w:abstractNumId w:val="25"/>
  </w:num>
  <w:num w:numId="20" w16cid:durableId="539361865">
    <w:abstractNumId w:val="29"/>
  </w:num>
  <w:num w:numId="21" w16cid:durableId="1849443828">
    <w:abstractNumId w:val="24"/>
  </w:num>
  <w:num w:numId="22" w16cid:durableId="431781464">
    <w:abstractNumId w:val="1"/>
  </w:num>
  <w:num w:numId="23" w16cid:durableId="1568611603">
    <w:abstractNumId w:val="6"/>
  </w:num>
  <w:num w:numId="24" w16cid:durableId="1372073334">
    <w:abstractNumId w:val="11"/>
  </w:num>
  <w:num w:numId="25" w16cid:durableId="1520852883">
    <w:abstractNumId w:val="3"/>
  </w:num>
  <w:num w:numId="26" w16cid:durableId="1857114830">
    <w:abstractNumId w:val="28"/>
  </w:num>
  <w:num w:numId="27" w16cid:durableId="392775158">
    <w:abstractNumId w:val="18"/>
  </w:num>
  <w:num w:numId="28" w16cid:durableId="1135098412">
    <w:abstractNumId w:val="21"/>
  </w:num>
  <w:num w:numId="29" w16cid:durableId="2062244491">
    <w:abstractNumId w:val="7"/>
  </w:num>
  <w:num w:numId="30" w16cid:durableId="1478839837">
    <w:abstractNumId w:val="0"/>
  </w:num>
  <w:num w:numId="31" w16cid:durableId="583145828">
    <w:abstractNumId w:val="10"/>
  </w:num>
  <w:num w:numId="32" w16cid:durableId="111562248">
    <w:abstractNumId w:val="27"/>
  </w:num>
  <w:num w:numId="33" w16cid:durableId="1565801037">
    <w:abstractNumId w:val="14"/>
  </w:num>
  <w:num w:numId="34" w16cid:durableId="2050450470">
    <w:abstractNumId w:val="33"/>
    <w:lvlOverride w:ilvl="0">
      <w:startOverride w:val="1"/>
    </w:lvlOverride>
    <w:lvlOverride w:ilvl="1">
      <w:startOverride w:val="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183058327">
    <w:abstractNumId w:val="37"/>
  </w:num>
  <w:num w:numId="36" w16cid:durableId="495340124">
    <w:abstractNumId w:val="8"/>
  </w:num>
  <w:num w:numId="37" w16cid:durableId="342754795">
    <w:abstractNumId w:val="2"/>
  </w:num>
  <w:num w:numId="38" w16cid:durableId="1849784841">
    <w:abstractNumId w:val="20"/>
  </w:num>
  <w:num w:numId="39" w16cid:durableId="1274745218">
    <w:abstractNumId w:val="21"/>
    <w:lvlOverride w:ilvl="0">
      <w:startOverride w:val="1"/>
    </w:lvlOverride>
  </w:num>
  <w:num w:numId="40" w16cid:durableId="294021379">
    <w:abstractNumId w:val="36"/>
  </w:num>
  <w:num w:numId="41" w16cid:durableId="172034954">
    <w:abstractNumId w:val="5"/>
  </w:num>
  <w:num w:numId="42" w16cid:durableId="1303924575">
    <w:abstractNumId w:val="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pt-BR" w:vendorID="64" w:dllVersion="6" w:nlCheck="1" w:checkStyle="0"/>
  <w:activeWritingStyle w:appName="MSWord" w:lang="es-CR" w:vendorID="64" w:dllVersion="6" w:nlCheck="1" w:checkStyle="0"/>
  <w:activeWritingStyle w:appName="MSWord" w:lang="es-ES" w:vendorID="64" w:dllVersion="6" w:nlCheck="1" w:checkStyle="0"/>
  <w:activeWritingStyle w:appName="MSWord" w:lang="es-MX" w:vendorID="64" w:dllVersion="6" w:nlCheck="1" w:checkStyle="0"/>
  <w:activeWritingStyle w:appName="MSWord" w:lang="es-ES_tradnl" w:vendorID="64" w:dllVersion="6" w:nlCheck="1" w:checkStyle="0"/>
  <w:activeWritingStyle w:appName="MSWord" w:lang="es-DO" w:vendorID="64" w:dllVersion="6" w:nlCheck="1" w:checkStyle="0"/>
  <w:activeWritingStyle w:appName="MSWord" w:lang="en-US" w:vendorID="64" w:dllVersion="6" w:nlCheck="1" w:checkStyle="1"/>
  <w:activeWritingStyle w:appName="MSWord" w:lang="es-EC" w:vendorID="64" w:dllVersion="6" w:nlCheck="1" w:checkStyle="0"/>
  <w:activeWritingStyle w:appName="MSWord" w:lang="es-CO" w:vendorID="64" w:dllVersion="6" w:nlCheck="1" w:checkStyle="0"/>
  <w:activeWritingStyle w:appName="MSWord" w:lang="es-AR" w:vendorID="64" w:dllVersion="6" w:nlCheck="1" w:checkStyle="0"/>
  <w:activeWritingStyle w:appName="MSWord" w:lang="es-GT" w:vendorID="64" w:dllVersion="6" w:nlCheck="1" w:checkStyle="0"/>
  <w:activeWritingStyle w:appName="MSWord" w:lang="es-VE" w:vendorID="64" w:dllVersion="6" w:nlCheck="1" w:checkStyle="1"/>
  <w:activeWritingStyle w:appName="MSWord" w:lang="es-ES" w:vendorID="64" w:dllVersion="4096" w:nlCheck="1" w:checkStyle="0"/>
  <w:activeWritingStyle w:appName="MSWord" w:lang="en-US" w:vendorID="64" w:dllVersion="4096" w:nlCheck="1" w:checkStyle="0"/>
  <w:activeWritingStyle w:appName="MSWord" w:lang="pt-BR" w:vendorID="64" w:dllVersion="4096" w:nlCheck="1" w:checkStyle="0"/>
  <w:activeWritingStyle w:appName="MSWord" w:lang="es-ES_tradnl" w:vendorID="64" w:dllVersion="4096" w:nlCheck="1" w:checkStyle="0"/>
  <w:activeWritingStyle w:appName="MSWord" w:lang="es-CO" w:vendorID="64" w:dllVersion="4096" w:nlCheck="1" w:checkStyle="0"/>
  <w:activeWritingStyle w:appName="MSWord" w:lang="es-PE" w:vendorID="64" w:dllVersion="6" w:nlCheck="1" w:checkStyle="0"/>
  <w:activeWritingStyle w:appName="MSWord" w:lang="es-CL" w:vendorID="64" w:dllVersion="6" w:nlCheck="1" w:checkStyle="0"/>
  <w:activeWritingStyle w:appName="MSWord" w:lang="es-ES" w:vendorID="64" w:dllVersion="0" w:nlCheck="1" w:checkStyle="0"/>
  <w:activeWritingStyle w:appName="MSWord" w:lang="es-ES_tradnl" w:vendorID="64" w:dllVersion="0" w:nlCheck="1" w:checkStyle="0"/>
  <w:activeWritingStyle w:appName="MSWord" w:lang="en-US" w:vendorID="64" w:dllVersion="0" w:nlCheck="1" w:checkStyle="0"/>
  <w:activeWritingStyle w:appName="MSWord" w:lang="pt-BR" w:vendorID="64" w:dllVersion="0" w:nlCheck="1" w:checkStyle="0"/>
  <w:activeWritingStyle w:appName="MSWord" w:lang="es-CR" w:vendorID="64" w:dllVersion="0" w:nlCheck="1" w:checkStyle="0"/>
  <w:activeWritingStyle w:appName="MSWord" w:lang="es-MX" w:vendorID="64" w:dllVersion="0" w:nlCheck="1" w:checkStyle="0"/>
  <w:activeWritingStyle w:appName="MSWord" w:lang="es-DO" w:vendorID="64" w:dllVersion="0" w:nlCheck="1" w:checkStyle="0"/>
  <w:activeWritingStyle w:appName="MSWord" w:lang="es-GT" w:vendorID="64" w:dllVersion="0" w:nlCheck="1" w:checkStyle="0"/>
  <w:activeWritingStyle w:appName="MSWord" w:lang="es-CO" w:vendorID="64" w:dllVersion="0" w:nlCheck="1" w:checkStyle="0"/>
  <w:activeWritingStyle w:appName="MSWord" w:lang="es-VE" w:vendorID="64" w:dllVersion="0" w:nlCheck="1" w:checkStyle="0"/>
  <w:activeWritingStyle w:appName="MSWord" w:lang="es-CL" w:vendorID="64" w:dllVersion="0" w:nlCheck="1" w:checkStyle="0"/>
  <w:activeWritingStyle w:appName="MSWord" w:lang="es-PR" w:vendorID="64" w:dllVersion="0" w:nlCheck="1" w:checkStyle="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6E22"/>
    <w:rsid w:val="00000E01"/>
    <w:rsid w:val="00000E59"/>
    <w:rsid w:val="00002BC1"/>
    <w:rsid w:val="00002C6E"/>
    <w:rsid w:val="0000336C"/>
    <w:rsid w:val="00003851"/>
    <w:rsid w:val="000038D6"/>
    <w:rsid w:val="00004105"/>
    <w:rsid w:val="0000426C"/>
    <w:rsid w:val="000044A2"/>
    <w:rsid w:val="000048AC"/>
    <w:rsid w:val="00004BBE"/>
    <w:rsid w:val="00004EE8"/>
    <w:rsid w:val="00005386"/>
    <w:rsid w:val="0000666B"/>
    <w:rsid w:val="00006FA0"/>
    <w:rsid w:val="00006FDD"/>
    <w:rsid w:val="00007BEE"/>
    <w:rsid w:val="00007C32"/>
    <w:rsid w:val="000113B5"/>
    <w:rsid w:val="0001156D"/>
    <w:rsid w:val="000116FE"/>
    <w:rsid w:val="0001378C"/>
    <w:rsid w:val="00013DB8"/>
    <w:rsid w:val="00013DDB"/>
    <w:rsid w:val="000140E4"/>
    <w:rsid w:val="00014C4A"/>
    <w:rsid w:val="00015327"/>
    <w:rsid w:val="00015BD8"/>
    <w:rsid w:val="0001621B"/>
    <w:rsid w:val="000164A3"/>
    <w:rsid w:val="00020711"/>
    <w:rsid w:val="00020A27"/>
    <w:rsid w:val="00020A5B"/>
    <w:rsid w:val="00020DF1"/>
    <w:rsid w:val="0002146C"/>
    <w:rsid w:val="000217DC"/>
    <w:rsid w:val="00021CCE"/>
    <w:rsid w:val="00022CF2"/>
    <w:rsid w:val="00022E47"/>
    <w:rsid w:val="00022FC7"/>
    <w:rsid w:val="0002340A"/>
    <w:rsid w:val="00023B68"/>
    <w:rsid w:val="00024F52"/>
    <w:rsid w:val="00025ADF"/>
    <w:rsid w:val="000263EB"/>
    <w:rsid w:val="00027061"/>
    <w:rsid w:val="000304C8"/>
    <w:rsid w:val="0003067C"/>
    <w:rsid w:val="00030C07"/>
    <w:rsid w:val="00030F68"/>
    <w:rsid w:val="000318A3"/>
    <w:rsid w:val="00031C35"/>
    <w:rsid w:val="00032C64"/>
    <w:rsid w:val="00032D4C"/>
    <w:rsid w:val="00032E25"/>
    <w:rsid w:val="00032F50"/>
    <w:rsid w:val="000330D7"/>
    <w:rsid w:val="00033415"/>
    <w:rsid w:val="000334AF"/>
    <w:rsid w:val="00034532"/>
    <w:rsid w:val="000345E4"/>
    <w:rsid w:val="00035AE8"/>
    <w:rsid w:val="000360FC"/>
    <w:rsid w:val="00036356"/>
    <w:rsid w:val="0003641C"/>
    <w:rsid w:val="00036655"/>
    <w:rsid w:val="00036971"/>
    <w:rsid w:val="00037164"/>
    <w:rsid w:val="000371C4"/>
    <w:rsid w:val="00037F81"/>
    <w:rsid w:val="00040255"/>
    <w:rsid w:val="00040925"/>
    <w:rsid w:val="00041377"/>
    <w:rsid w:val="0004163E"/>
    <w:rsid w:val="00041848"/>
    <w:rsid w:val="00041E2A"/>
    <w:rsid w:val="00046024"/>
    <w:rsid w:val="00047028"/>
    <w:rsid w:val="00050083"/>
    <w:rsid w:val="000504E4"/>
    <w:rsid w:val="00050B95"/>
    <w:rsid w:val="00050D5D"/>
    <w:rsid w:val="00051EEA"/>
    <w:rsid w:val="0005292D"/>
    <w:rsid w:val="00053684"/>
    <w:rsid w:val="00053B2B"/>
    <w:rsid w:val="00053D9C"/>
    <w:rsid w:val="000541C4"/>
    <w:rsid w:val="0005436E"/>
    <w:rsid w:val="00055274"/>
    <w:rsid w:val="000554E9"/>
    <w:rsid w:val="00055533"/>
    <w:rsid w:val="00055927"/>
    <w:rsid w:val="0005672E"/>
    <w:rsid w:val="00057025"/>
    <w:rsid w:val="000578AC"/>
    <w:rsid w:val="000609C0"/>
    <w:rsid w:val="000611AB"/>
    <w:rsid w:val="000611D0"/>
    <w:rsid w:val="00061BC6"/>
    <w:rsid w:val="0006329A"/>
    <w:rsid w:val="000632F9"/>
    <w:rsid w:val="00063319"/>
    <w:rsid w:val="00063421"/>
    <w:rsid w:val="0006367C"/>
    <w:rsid w:val="00063C68"/>
    <w:rsid w:val="0006409B"/>
    <w:rsid w:val="0006437A"/>
    <w:rsid w:val="00064520"/>
    <w:rsid w:val="00064A4D"/>
    <w:rsid w:val="00064E80"/>
    <w:rsid w:val="00065431"/>
    <w:rsid w:val="0006629D"/>
    <w:rsid w:val="00066670"/>
    <w:rsid w:val="00066B41"/>
    <w:rsid w:val="00067B05"/>
    <w:rsid w:val="00070335"/>
    <w:rsid w:val="00070BA1"/>
    <w:rsid w:val="00070F96"/>
    <w:rsid w:val="00071606"/>
    <w:rsid w:val="0007203B"/>
    <w:rsid w:val="0007210F"/>
    <w:rsid w:val="00072E27"/>
    <w:rsid w:val="00073A6D"/>
    <w:rsid w:val="00073D03"/>
    <w:rsid w:val="00073F68"/>
    <w:rsid w:val="000743C5"/>
    <w:rsid w:val="00074416"/>
    <w:rsid w:val="00074C46"/>
    <w:rsid w:val="00076416"/>
    <w:rsid w:val="00076F3E"/>
    <w:rsid w:val="00077748"/>
    <w:rsid w:val="00077CB6"/>
    <w:rsid w:val="00077DED"/>
    <w:rsid w:val="00080FB4"/>
    <w:rsid w:val="000823C1"/>
    <w:rsid w:val="000823EE"/>
    <w:rsid w:val="00082CFF"/>
    <w:rsid w:val="00082ED1"/>
    <w:rsid w:val="0008393C"/>
    <w:rsid w:val="00084909"/>
    <w:rsid w:val="00084D36"/>
    <w:rsid w:val="00085CF3"/>
    <w:rsid w:val="00085E6F"/>
    <w:rsid w:val="00090534"/>
    <w:rsid w:val="00090614"/>
    <w:rsid w:val="00091555"/>
    <w:rsid w:val="00091929"/>
    <w:rsid w:val="00092480"/>
    <w:rsid w:val="00092975"/>
    <w:rsid w:val="000929B4"/>
    <w:rsid w:val="00092E91"/>
    <w:rsid w:val="00094195"/>
    <w:rsid w:val="000949CF"/>
    <w:rsid w:val="00094EDF"/>
    <w:rsid w:val="00095114"/>
    <w:rsid w:val="00095125"/>
    <w:rsid w:val="00095227"/>
    <w:rsid w:val="00095481"/>
    <w:rsid w:val="00095987"/>
    <w:rsid w:val="00095C99"/>
    <w:rsid w:val="00095D23"/>
    <w:rsid w:val="000961D4"/>
    <w:rsid w:val="0009634C"/>
    <w:rsid w:val="00096912"/>
    <w:rsid w:val="00096B64"/>
    <w:rsid w:val="00096EF2"/>
    <w:rsid w:val="00097287"/>
    <w:rsid w:val="0009751E"/>
    <w:rsid w:val="00097A3D"/>
    <w:rsid w:val="000A03B7"/>
    <w:rsid w:val="000A03E5"/>
    <w:rsid w:val="000A0B45"/>
    <w:rsid w:val="000A0ECE"/>
    <w:rsid w:val="000A13F2"/>
    <w:rsid w:val="000A1400"/>
    <w:rsid w:val="000A192A"/>
    <w:rsid w:val="000A1BDE"/>
    <w:rsid w:val="000A1DA1"/>
    <w:rsid w:val="000A1F81"/>
    <w:rsid w:val="000A210E"/>
    <w:rsid w:val="000A2134"/>
    <w:rsid w:val="000A2430"/>
    <w:rsid w:val="000A281D"/>
    <w:rsid w:val="000A33C9"/>
    <w:rsid w:val="000A37F1"/>
    <w:rsid w:val="000A3D50"/>
    <w:rsid w:val="000A3FA5"/>
    <w:rsid w:val="000A4225"/>
    <w:rsid w:val="000A4DB2"/>
    <w:rsid w:val="000A4E10"/>
    <w:rsid w:val="000A5FCC"/>
    <w:rsid w:val="000A5FEC"/>
    <w:rsid w:val="000A6535"/>
    <w:rsid w:val="000A6A9A"/>
    <w:rsid w:val="000A6E72"/>
    <w:rsid w:val="000A726B"/>
    <w:rsid w:val="000A7E97"/>
    <w:rsid w:val="000B0365"/>
    <w:rsid w:val="000B0B33"/>
    <w:rsid w:val="000B159E"/>
    <w:rsid w:val="000B20C7"/>
    <w:rsid w:val="000B2872"/>
    <w:rsid w:val="000B306B"/>
    <w:rsid w:val="000B3CA7"/>
    <w:rsid w:val="000B3EC9"/>
    <w:rsid w:val="000B4034"/>
    <w:rsid w:val="000B4DC8"/>
    <w:rsid w:val="000B4E0E"/>
    <w:rsid w:val="000B55FF"/>
    <w:rsid w:val="000B5B30"/>
    <w:rsid w:val="000B69C8"/>
    <w:rsid w:val="000B7864"/>
    <w:rsid w:val="000C02B8"/>
    <w:rsid w:val="000C08E4"/>
    <w:rsid w:val="000C0AA7"/>
    <w:rsid w:val="000C0C64"/>
    <w:rsid w:val="000C10C1"/>
    <w:rsid w:val="000C1558"/>
    <w:rsid w:val="000C1593"/>
    <w:rsid w:val="000C15AA"/>
    <w:rsid w:val="000C1A71"/>
    <w:rsid w:val="000C245F"/>
    <w:rsid w:val="000C2480"/>
    <w:rsid w:val="000C2F6A"/>
    <w:rsid w:val="000C336E"/>
    <w:rsid w:val="000C44FF"/>
    <w:rsid w:val="000C4745"/>
    <w:rsid w:val="000C4B5F"/>
    <w:rsid w:val="000C55CE"/>
    <w:rsid w:val="000C5941"/>
    <w:rsid w:val="000C5C37"/>
    <w:rsid w:val="000C61B3"/>
    <w:rsid w:val="000C6B8C"/>
    <w:rsid w:val="000C7102"/>
    <w:rsid w:val="000C7276"/>
    <w:rsid w:val="000C727B"/>
    <w:rsid w:val="000C7A5E"/>
    <w:rsid w:val="000D0054"/>
    <w:rsid w:val="000D0456"/>
    <w:rsid w:val="000D0F01"/>
    <w:rsid w:val="000D12A6"/>
    <w:rsid w:val="000D161D"/>
    <w:rsid w:val="000D175E"/>
    <w:rsid w:val="000D1D29"/>
    <w:rsid w:val="000D2EFF"/>
    <w:rsid w:val="000D365B"/>
    <w:rsid w:val="000D369E"/>
    <w:rsid w:val="000D3795"/>
    <w:rsid w:val="000D3B2F"/>
    <w:rsid w:val="000D3E94"/>
    <w:rsid w:val="000D3F68"/>
    <w:rsid w:val="000D4B3D"/>
    <w:rsid w:val="000D51C1"/>
    <w:rsid w:val="000D523C"/>
    <w:rsid w:val="000D5B88"/>
    <w:rsid w:val="000D5DA1"/>
    <w:rsid w:val="000D7F28"/>
    <w:rsid w:val="000E0A23"/>
    <w:rsid w:val="000E2D5B"/>
    <w:rsid w:val="000E31EA"/>
    <w:rsid w:val="000E447A"/>
    <w:rsid w:val="000E4748"/>
    <w:rsid w:val="000E4BB2"/>
    <w:rsid w:val="000E51D6"/>
    <w:rsid w:val="000E5A51"/>
    <w:rsid w:val="000E5E36"/>
    <w:rsid w:val="000E6D8B"/>
    <w:rsid w:val="000E6DF1"/>
    <w:rsid w:val="000E7322"/>
    <w:rsid w:val="000F01CF"/>
    <w:rsid w:val="000F0328"/>
    <w:rsid w:val="000F0628"/>
    <w:rsid w:val="000F0A64"/>
    <w:rsid w:val="000F0CC4"/>
    <w:rsid w:val="000F1085"/>
    <w:rsid w:val="000F1630"/>
    <w:rsid w:val="000F1E38"/>
    <w:rsid w:val="000F2923"/>
    <w:rsid w:val="000F3A04"/>
    <w:rsid w:val="000F3C1F"/>
    <w:rsid w:val="000F4774"/>
    <w:rsid w:val="000F5D43"/>
    <w:rsid w:val="000F6426"/>
    <w:rsid w:val="000F6A11"/>
    <w:rsid w:val="000F6FAA"/>
    <w:rsid w:val="000F75B4"/>
    <w:rsid w:val="000F7910"/>
    <w:rsid w:val="000F7CCC"/>
    <w:rsid w:val="0010192D"/>
    <w:rsid w:val="00101E4A"/>
    <w:rsid w:val="00102540"/>
    <w:rsid w:val="00102987"/>
    <w:rsid w:val="00102C9C"/>
    <w:rsid w:val="00103BFF"/>
    <w:rsid w:val="00103F12"/>
    <w:rsid w:val="0010431E"/>
    <w:rsid w:val="00104C1F"/>
    <w:rsid w:val="001052F6"/>
    <w:rsid w:val="00105410"/>
    <w:rsid w:val="001058EA"/>
    <w:rsid w:val="0010660B"/>
    <w:rsid w:val="0010688B"/>
    <w:rsid w:val="00106A27"/>
    <w:rsid w:val="00107B6A"/>
    <w:rsid w:val="00110CDA"/>
    <w:rsid w:val="00110EB9"/>
    <w:rsid w:val="00111377"/>
    <w:rsid w:val="001119B4"/>
    <w:rsid w:val="00112137"/>
    <w:rsid w:val="001121CE"/>
    <w:rsid w:val="0011240E"/>
    <w:rsid w:val="00112AF0"/>
    <w:rsid w:val="00112D0D"/>
    <w:rsid w:val="00113274"/>
    <w:rsid w:val="0011344B"/>
    <w:rsid w:val="001137EB"/>
    <w:rsid w:val="00113EA3"/>
    <w:rsid w:val="001142E8"/>
    <w:rsid w:val="00114AB8"/>
    <w:rsid w:val="00115302"/>
    <w:rsid w:val="001158E2"/>
    <w:rsid w:val="00115A1C"/>
    <w:rsid w:val="001169EC"/>
    <w:rsid w:val="00117118"/>
    <w:rsid w:val="0011767F"/>
    <w:rsid w:val="00117C02"/>
    <w:rsid w:val="00117D32"/>
    <w:rsid w:val="00117DAA"/>
    <w:rsid w:val="001217D6"/>
    <w:rsid w:val="00121D79"/>
    <w:rsid w:val="00121DE4"/>
    <w:rsid w:val="0012216D"/>
    <w:rsid w:val="00122402"/>
    <w:rsid w:val="001226A3"/>
    <w:rsid w:val="00122745"/>
    <w:rsid w:val="00122E16"/>
    <w:rsid w:val="0012300D"/>
    <w:rsid w:val="00123799"/>
    <w:rsid w:val="00123A20"/>
    <w:rsid w:val="0012446A"/>
    <w:rsid w:val="00124802"/>
    <w:rsid w:val="00124CFE"/>
    <w:rsid w:val="00124F04"/>
    <w:rsid w:val="0012527C"/>
    <w:rsid w:val="0012554F"/>
    <w:rsid w:val="00125E89"/>
    <w:rsid w:val="00126CDC"/>
    <w:rsid w:val="0013015E"/>
    <w:rsid w:val="00130261"/>
    <w:rsid w:val="0013050E"/>
    <w:rsid w:val="00130917"/>
    <w:rsid w:val="00130E2D"/>
    <w:rsid w:val="00130F91"/>
    <w:rsid w:val="00131668"/>
    <w:rsid w:val="00132628"/>
    <w:rsid w:val="0013305F"/>
    <w:rsid w:val="00133AB0"/>
    <w:rsid w:val="00133CEA"/>
    <w:rsid w:val="001344E2"/>
    <w:rsid w:val="00134983"/>
    <w:rsid w:val="00134CFA"/>
    <w:rsid w:val="00136260"/>
    <w:rsid w:val="0013684C"/>
    <w:rsid w:val="00136CAF"/>
    <w:rsid w:val="00137631"/>
    <w:rsid w:val="00140441"/>
    <w:rsid w:val="001412CF"/>
    <w:rsid w:val="00142328"/>
    <w:rsid w:val="001424E4"/>
    <w:rsid w:val="00142C73"/>
    <w:rsid w:val="00143038"/>
    <w:rsid w:val="001430EF"/>
    <w:rsid w:val="00144B2F"/>
    <w:rsid w:val="00145178"/>
    <w:rsid w:val="001453C2"/>
    <w:rsid w:val="00145D8E"/>
    <w:rsid w:val="00146081"/>
    <w:rsid w:val="00147998"/>
    <w:rsid w:val="00147A05"/>
    <w:rsid w:val="00147D78"/>
    <w:rsid w:val="00147EAD"/>
    <w:rsid w:val="001512C1"/>
    <w:rsid w:val="00151777"/>
    <w:rsid w:val="00152E0A"/>
    <w:rsid w:val="00153004"/>
    <w:rsid w:val="0015320A"/>
    <w:rsid w:val="0015380B"/>
    <w:rsid w:val="001549DB"/>
    <w:rsid w:val="00154CE3"/>
    <w:rsid w:val="00154E1A"/>
    <w:rsid w:val="00154EEB"/>
    <w:rsid w:val="00155756"/>
    <w:rsid w:val="001557D8"/>
    <w:rsid w:val="001558CA"/>
    <w:rsid w:val="00157489"/>
    <w:rsid w:val="00157A51"/>
    <w:rsid w:val="001600C4"/>
    <w:rsid w:val="0016190E"/>
    <w:rsid w:val="00161C33"/>
    <w:rsid w:val="0016267A"/>
    <w:rsid w:val="00163481"/>
    <w:rsid w:val="00164054"/>
    <w:rsid w:val="00164A94"/>
    <w:rsid w:val="00164BEC"/>
    <w:rsid w:val="00164D5B"/>
    <w:rsid w:val="00165154"/>
    <w:rsid w:val="001651B6"/>
    <w:rsid w:val="00165791"/>
    <w:rsid w:val="001657C2"/>
    <w:rsid w:val="0016661F"/>
    <w:rsid w:val="00166B08"/>
    <w:rsid w:val="00166F2B"/>
    <w:rsid w:val="0016708F"/>
    <w:rsid w:val="001677B8"/>
    <w:rsid w:val="00167B7C"/>
    <w:rsid w:val="00167C5F"/>
    <w:rsid w:val="00167E9D"/>
    <w:rsid w:val="001707E7"/>
    <w:rsid w:val="00170941"/>
    <w:rsid w:val="0017113B"/>
    <w:rsid w:val="00171788"/>
    <w:rsid w:val="00171B88"/>
    <w:rsid w:val="0017236C"/>
    <w:rsid w:val="001723DD"/>
    <w:rsid w:val="001723E7"/>
    <w:rsid w:val="0017433D"/>
    <w:rsid w:val="00175242"/>
    <w:rsid w:val="001758A4"/>
    <w:rsid w:val="001763ED"/>
    <w:rsid w:val="00177485"/>
    <w:rsid w:val="00177C8B"/>
    <w:rsid w:val="00177EDA"/>
    <w:rsid w:val="0018020F"/>
    <w:rsid w:val="0018029D"/>
    <w:rsid w:val="001805E8"/>
    <w:rsid w:val="001808FF"/>
    <w:rsid w:val="00180CEC"/>
    <w:rsid w:val="00180FD5"/>
    <w:rsid w:val="00181099"/>
    <w:rsid w:val="00181220"/>
    <w:rsid w:val="00181AB8"/>
    <w:rsid w:val="00183577"/>
    <w:rsid w:val="00183AB3"/>
    <w:rsid w:val="00183BF2"/>
    <w:rsid w:val="00183F8C"/>
    <w:rsid w:val="0018420E"/>
    <w:rsid w:val="00184CF9"/>
    <w:rsid w:val="001850D6"/>
    <w:rsid w:val="00185713"/>
    <w:rsid w:val="00185EF5"/>
    <w:rsid w:val="00186030"/>
    <w:rsid w:val="00186976"/>
    <w:rsid w:val="001869A6"/>
    <w:rsid w:val="00187D9F"/>
    <w:rsid w:val="0019058F"/>
    <w:rsid w:val="001919B1"/>
    <w:rsid w:val="001925D2"/>
    <w:rsid w:val="00192DCF"/>
    <w:rsid w:val="00193100"/>
    <w:rsid w:val="001933F9"/>
    <w:rsid w:val="00194661"/>
    <w:rsid w:val="00196CBB"/>
    <w:rsid w:val="0019724F"/>
    <w:rsid w:val="001974CB"/>
    <w:rsid w:val="00197C65"/>
    <w:rsid w:val="001A1512"/>
    <w:rsid w:val="001A1652"/>
    <w:rsid w:val="001A1796"/>
    <w:rsid w:val="001A2AA8"/>
    <w:rsid w:val="001A330C"/>
    <w:rsid w:val="001A3466"/>
    <w:rsid w:val="001A3565"/>
    <w:rsid w:val="001A38F1"/>
    <w:rsid w:val="001A39CA"/>
    <w:rsid w:val="001A3D2F"/>
    <w:rsid w:val="001A3F2B"/>
    <w:rsid w:val="001A4109"/>
    <w:rsid w:val="001A4D4F"/>
    <w:rsid w:val="001A4F60"/>
    <w:rsid w:val="001A57B4"/>
    <w:rsid w:val="001A588D"/>
    <w:rsid w:val="001A6372"/>
    <w:rsid w:val="001A68D7"/>
    <w:rsid w:val="001A6E15"/>
    <w:rsid w:val="001A6FF0"/>
    <w:rsid w:val="001A7435"/>
    <w:rsid w:val="001A7473"/>
    <w:rsid w:val="001A7500"/>
    <w:rsid w:val="001A7B8C"/>
    <w:rsid w:val="001B1371"/>
    <w:rsid w:val="001B1DE9"/>
    <w:rsid w:val="001B20E4"/>
    <w:rsid w:val="001B2203"/>
    <w:rsid w:val="001B277F"/>
    <w:rsid w:val="001B31CE"/>
    <w:rsid w:val="001B4133"/>
    <w:rsid w:val="001B4329"/>
    <w:rsid w:val="001B44E0"/>
    <w:rsid w:val="001B4E7A"/>
    <w:rsid w:val="001B5869"/>
    <w:rsid w:val="001B5982"/>
    <w:rsid w:val="001B5EA2"/>
    <w:rsid w:val="001B70BC"/>
    <w:rsid w:val="001B7760"/>
    <w:rsid w:val="001B7FBF"/>
    <w:rsid w:val="001C1180"/>
    <w:rsid w:val="001C16A1"/>
    <w:rsid w:val="001C20F7"/>
    <w:rsid w:val="001C220B"/>
    <w:rsid w:val="001C2415"/>
    <w:rsid w:val="001C346B"/>
    <w:rsid w:val="001C3FEE"/>
    <w:rsid w:val="001C4092"/>
    <w:rsid w:val="001C425E"/>
    <w:rsid w:val="001C4A61"/>
    <w:rsid w:val="001C4C8B"/>
    <w:rsid w:val="001C6BBD"/>
    <w:rsid w:val="001C7E0E"/>
    <w:rsid w:val="001D0441"/>
    <w:rsid w:val="001D089E"/>
    <w:rsid w:val="001D0FAF"/>
    <w:rsid w:val="001D145E"/>
    <w:rsid w:val="001D188C"/>
    <w:rsid w:val="001D2964"/>
    <w:rsid w:val="001D3056"/>
    <w:rsid w:val="001D30B8"/>
    <w:rsid w:val="001D3800"/>
    <w:rsid w:val="001D3A1A"/>
    <w:rsid w:val="001D3CA9"/>
    <w:rsid w:val="001D3EAA"/>
    <w:rsid w:val="001D5014"/>
    <w:rsid w:val="001D51C6"/>
    <w:rsid w:val="001D528F"/>
    <w:rsid w:val="001D5982"/>
    <w:rsid w:val="001D5EE7"/>
    <w:rsid w:val="001D63E4"/>
    <w:rsid w:val="001D65DD"/>
    <w:rsid w:val="001D6760"/>
    <w:rsid w:val="001D6F02"/>
    <w:rsid w:val="001D70FD"/>
    <w:rsid w:val="001D734C"/>
    <w:rsid w:val="001D760F"/>
    <w:rsid w:val="001D7D2A"/>
    <w:rsid w:val="001E06EA"/>
    <w:rsid w:val="001E0D6F"/>
    <w:rsid w:val="001E1409"/>
    <w:rsid w:val="001E16C5"/>
    <w:rsid w:val="001E16D8"/>
    <w:rsid w:val="001E1FA7"/>
    <w:rsid w:val="001E25DB"/>
    <w:rsid w:val="001E295C"/>
    <w:rsid w:val="001E318A"/>
    <w:rsid w:val="001E4038"/>
    <w:rsid w:val="001E45CB"/>
    <w:rsid w:val="001E52B9"/>
    <w:rsid w:val="001E65A6"/>
    <w:rsid w:val="001E65E0"/>
    <w:rsid w:val="001E6FB6"/>
    <w:rsid w:val="001E7394"/>
    <w:rsid w:val="001E7AFD"/>
    <w:rsid w:val="001F01B4"/>
    <w:rsid w:val="001F1A26"/>
    <w:rsid w:val="001F1EB3"/>
    <w:rsid w:val="001F28DF"/>
    <w:rsid w:val="001F3113"/>
    <w:rsid w:val="001F34A1"/>
    <w:rsid w:val="001F3515"/>
    <w:rsid w:val="001F38A5"/>
    <w:rsid w:val="001F3A6B"/>
    <w:rsid w:val="001F40AF"/>
    <w:rsid w:val="001F4823"/>
    <w:rsid w:val="001F4A19"/>
    <w:rsid w:val="001F4BE1"/>
    <w:rsid w:val="001F4ED0"/>
    <w:rsid w:val="001F4ED5"/>
    <w:rsid w:val="001F5DB8"/>
    <w:rsid w:val="001F635F"/>
    <w:rsid w:val="001F6AD6"/>
    <w:rsid w:val="001F6DCC"/>
    <w:rsid w:val="001F743C"/>
    <w:rsid w:val="001F772B"/>
    <w:rsid w:val="001F7C58"/>
    <w:rsid w:val="002007C7"/>
    <w:rsid w:val="0020085B"/>
    <w:rsid w:val="00200ED1"/>
    <w:rsid w:val="00201273"/>
    <w:rsid w:val="00201796"/>
    <w:rsid w:val="00201E93"/>
    <w:rsid w:val="00202468"/>
    <w:rsid w:val="0020252F"/>
    <w:rsid w:val="00202917"/>
    <w:rsid w:val="00202AC6"/>
    <w:rsid w:val="00202B0C"/>
    <w:rsid w:val="00202DA7"/>
    <w:rsid w:val="00203500"/>
    <w:rsid w:val="0020351A"/>
    <w:rsid w:val="00203B58"/>
    <w:rsid w:val="002042CE"/>
    <w:rsid w:val="00204418"/>
    <w:rsid w:val="00204482"/>
    <w:rsid w:val="002044F2"/>
    <w:rsid w:val="002045A5"/>
    <w:rsid w:val="00204DB3"/>
    <w:rsid w:val="002057F7"/>
    <w:rsid w:val="00205B06"/>
    <w:rsid w:val="00205F73"/>
    <w:rsid w:val="00206173"/>
    <w:rsid w:val="002063B8"/>
    <w:rsid w:val="002063FF"/>
    <w:rsid w:val="0020649E"/>
    <w:rsid w:val="00206A83"/>
    <w:rsid w:val="00206EAE"/>
    <w:rsid w:val="002073BF"/>
    <w:rsid w:val="00210681"/>
    <w:rsid w:val="0021075C"/>
    <w:rsid w:val="0021116A"/>
    <w:rsid w:val="002118D1"/>
    <w:rsid w:val="00211BE6"/>
    <w:rsid w:val="002122F3"/>
    <w:rsid w:val="00212FFC"/>
    <w:rsid w:val="00213751"/>
    <w:rsid w:val="00214A5B"/>
    <w:rsid w:val="00215668"/>
    <w:rsid w:val="00215D73"/>
    <w:rsid w:val="00215ECE"/>
    <w:rsid w:val="002162AB"/>
    <w:rsid w:val="00217A69"/>
    <w:rsid w:val="002206A0"/>
    <w:rsid w:val="0022086E"/>
    <w:rsid w:val="00223894"/>
    <w:rsid w:val="0022392A"/>
    <w:rsid w:val="002239BF"/>
    <w:rsid w:val="00223E81"/>
    <w:rsid w:val="00223FBA"/>
    <w:rsid w:val="00224C92"/>
    <w:rsid w:val="00224EFA"/>
    <w:rsid w:val="00226412"/>
    <w:rsid w:val="0022685F"/>
    <w:rsid w:val="002269B8"/>
    <w:rsid w:val="00226F3E"/>
    <w:rsid w:val="00227028"/>
    <w:rsid w:val="00227CAB"/>
    <w:rsid w:val="00227E77"/>
    <w:rsid w:val="0023089F"/>
    <w:rsid w:val="00230B7C"/>
    <w:rsid w:val="00231F26"/>
    <w:rsid w:val="00233810"/>
    <w:rsid w:val="00233E8C"/>
    <w:rsid w:val="0023413A"/>
    <w:rsid w:val="00234613"/>
    <w:rsid w:val="002362B8"/>
    <w:rsid w:val="00236505"/>
    <w:rsid w:val="00237827"/>
    <w:rsid w:val="00237F56"/>
    <w:rsid w:val="00240085"/>
    <w:rsid w:val="002413D5"/>
    <w:rsid w:val="00241A1C"/>
    <w:rsid w:val="00241E80"/>
    <w:rsid w:val="0024227D"/>
    <w:rsid w:val="002423B0"/>
    <w:rsid w:val="00242B6F"/>
    <w:rsid w:val="002444B6"/>
    <w:rsid w:val="00244992"/>
    <w:rsid w:val="00244AC1"/>
    <w:rsid w:val="0024572A"/>
    <w:rsid w:val="002457A9"/>
    <w:rsid w:val="00246376"/>
    <w:rsid w:val="0024644F"/>
    <w:rsid w:val="00246997"/>
    <w:rsid w:val="00247513"/>
    <w:rsid w:val="00247B81"/>
    <w:rsid w:val="00247E55"/>
    <w:rsid w:val="0025010B"/>
    <w:rsid w:val="002502B4"/>
    <w:rsid w:val="00250ED5"/>
    <w:rsid w:val="002511FC"/>
    <w:rsid w:val="002518C0"/>
    <w:rsid w:val="00252272"/>
    <w:rsid w:val="0025235E"/>
    <w:rsid w:val="00253E80"/>
    <w:rsid w:val="00254109"/>
    <w:rsid w:val="0025429C"/>
    <w:rsid w:val="002545DF"/>
    <w:rsid w:val="00255E44"/>
    <w:rsid w:val="00256914"/>
    <w:rsid w:val="00256A1C"/>
    <w:rsid w:val="00257AA6"/>
    <w:rsid w:val="0026079D"/>
    <w:rsid w:val="0026085A"/>
    <w:rsid w:val="00261D60"/>
    <w:rsid w:val="00262540"/>
    <w:rsid w:val="00262919"/>
    <w:rsid w:val="00262A91"/>
    <w:rsid w:val="00262DCD"/>
    <w:rsid w:val="00263026"/>
    <w:rsid w:val="00263349"/>
    <w:rsid w:val="00263646"/>
    <w:rsid w:val="002668B7"/>
    <w:rsid w:val="00266DEF"/>
    <w:rsid w:val="00267B4B"/>
    <w:rsid w:val="002707DE"/>
    <w:rsid w:val="002710F2"/>
    <w:rsid w:val="00271A1C"/>
    <w:rsid w:val="00271A8D"/>
    <w:rsid w:val="00272030"/>
    <w:rsid w:val="0027213E"/>
    <w:rsid w:val="0027308C"/>
    <w:rsid w:val="00273230"/>
    <w:rsid w:val="0027378B"/>
    <w:rsid w:val="0027464C"/>
    <w:rsid w:val="00274863"/>
    <w:rsid w:val="002753D3"/>
    <w:rsid w:val="002758D0"/>
    <w:rsid w:val="00275AB8"/>
    <w:rsid w:val="002765F6"/>
    <w:rsid w:val="00276FC9"/>
    <w:rsid w:val="002777E7"/>
    <w:rsid w:val="00277C0F"/>
    <w:rsid w:val="00280158"/>
    <w:rsid w:val="00280621"/>
    <w:rsid w:val="002807EF"/>
    <w:rsid w:val="00280914"/>
    <w:rsid w:val="00280B38"/>
    <w:rsid w:val="00281129"/>
    <w:rsid w:val="00281927"/>
    <w:rsid w:val="00281EA5"/>
    <w:rsid w:val="00282725"/>
    <w:rsid w:val="00282C83"/>
    <w:rsid w:val="00282FC5"/>
    <w:rsid w:val="002830AC"/>
    <w:rsid w:val="00283673"/>
    <w:rsid w:val="0028382B"/>
    <w:rsid w:val="00283EEC"/>
    <w:rsid w:val="002845D8"/>
    <w:rsid w:val="00284636"/>
    <w:rsid w:val="00284A4D"/>
    <w:rsid w:val="0028505D"/>
    <w:rsid w:val="002858D8"/>
    <w:rsid w:val="002878E7"/>
    <w:rsid w:val="00287B97"/>
    <w:rsid w:val="002901DD"/>
    <w:rsid w:val="00290408"/>
    <w:rsid w:val="00290540"/>
    <w:rsid w:val="002909C8"/>
    <w:rsid w:val="00291137"/>
    <w:rsid w:val="00291388"/>
    <w:rsid w:val="0029199D"/>
    <w:rsid w:val="00291A15"/>
    <w:rsid w:val="00291A8C"/>
    <w:rsid w:val="0029234A"/>
    <w:rsid w:val="00292357"/>
    <w:rsid w:val="002928F4"/>
    <w:rsid w:val="00292E95"/>
    <w:rsid w:val="0029336E"/>
    <w:rsid w:val="00293460"/>
    <w:rsid w:val="00293CD2"/>
    <w:rsid w:val="002944B9"/>
    <w:rsid w:val="00294764"/>
    <w:rsid w:val="00294D60"/>
    <w:rsid w:val="0029565A"/>
    <w:rsid w:val="00295C20"/>
    <w:rsid w:val="00295DC8"/>
    <w:rsid w:val="0029681F"/>
    <w:rsid w:val="00296F03"/>
    <w:rsid w:val="00297582"/>
    <w:rsid w:val="00297B1E"/>
    <w:rsid w:val="002A0A67"/>
    <w:rsid w:val="002A192C"/>
    <w:rsid w:val="002A1E7F"/>
    <w:rsid w:val="002A1F1D"/>
    <w:rsid w:val="002A26E2"/>
    <w:rsid w:val="002A344A"/>
    <w:rsid w:val="002A3DE5"/>
    <w:rsid w:val="002A40BC"/>
    <w:rsid w:val="002A4273"/>
    <w:rsid w:val="002A496C"/>
    <w:rsid w:val="002A569E"/>
    <w:rsid w:val="002A5D70"/>
    <w:rsid w:val="002A60A2"/>
    <w:rsid w:val="002A650A"/>
    <w:rsid w:val="002A67FC"/>
    <w:rsid w:val="002A68C7"/>
    <w:rsid w:val="002A69E7"/>
    <w:rsid w:val="002A6B1C"/>
    <w:rsid w:val="002A6F0F"/>
    <w:rsid w:val="002A7965"/>
    <w:rsid w:val="002A7C9A"/>
    <w:rsid w:val="002A7E0C"/>
    <w:rsid w:val="002A7F4B"/>
    <w:rsid w:val="002B0D67"/>
    <w:rsid w:val="002B1347"/>
    <w:rsid w:val="002B157B"/>
    <w:rsid w:val="002B1D0F"/>
    <w:rsid w:val="002B22D8"/>
    <w:rsid w:val="002B3A21"/>
    <w:rsid w:val="002B418E"/>
    <w:rsid w:val="002B4209"/>
    <w:rsid w:val="002B450D"/>
    <w:rsid w:val="002B4543"/>
    <w:rsid w:val="002B48A1"/>
    <w:rsid w:val="002B509A"/>
    <w:rsid w:val="002B5665"/>
    <w:rsid w:val="002B6A9A"/>
    <w:rsid w:val="002B6B13"/>
    <w:rsid w:val="002B6B21"/>
    <w:rsid w:val="002B76FF"/>
    <w:rsid w:val="002B7DA1"/>
    <w:rsid w:val="002B7F5E"/>
    <w:rsid w:val="002B7F87"/>
    <w:rsid w:val="002C009E"/>
    <w:rsid w:val="002C054F"/>
    <w:rsid w:val="002C07C1"/>
    <w:rsid w:val="002C089F"/>
    <w:rsid w:val="002C0F9F"/>
    <w:rsid w:val="002C134B"/>
    <w:rsid w:val="002C22A9"/>
    <w:rsid w:val="002C274F"/>
    <w:rsid w:val="002C2779"/>
    <w:rsid w:val="002C287B"/>
    <w:rsid w:val="002C34F8"/>
    <w:rsid w:val="002C40C2"/>
    <w:rsid w:val="002C4542"/>
    <w:rsid w:val="002C48CA"/>
    <w:rsid w:val="002C4C3C"/>
    <w:rsid w:val="002C58CE"/>
    <w:rsid w:val="002C5AAD"/>
    <w:rsid w:val="002C5C43"/>
    <w:rsid w:val="002C750A"/>
    <w:rsid w:val="002C7A2F"/>
    <w:rsid w:val="002C7ED8"/>
    <w:rsid w:val="002C7F9D"/>
    <w:rsid w:val="002D01BA"/>
    <w:rsid w:val="002D0DC8"/>
    <w:rsid w:val="002D18FB"/>
    <w:rsid w:val="002D1B12"/>
    <w:rsid w:val="002D1BDA"/>
    <w:rsid w:val="002D2081"/>
    <w:rsid w:val="002D2459"/>
    <w:rsid w:val="002D393D"/>
    <w:rsid w:val="002D3C7F"/>
    <w:rsid w:val="002D3E84"/>
    <w:rsid w:val="002D4DD6"/>
    <w:rsid w:val="002D5467"/>
    <w:rsid w:val="002D548D"/>
    <w:rsid w:val="002D5C6E"/>
    <w:rsid w:val="002D6077"/>
    <w:rsid w:val="002D6BB3"/>
    <w:rsid w:val="002D7F2A"/>
    <w:rsid w:val="002E0134"/>
    <w:rsid w:val="002E08A9"/>
    <w:rsid w:val="002E102A"/>
    <w:rsid w:val="002E1873"/>
    <w:rsid w:val="002E26F3"/>
    <w:rsid w:val="002E28B7"/>
    <w:rsid w:val="002E2D0A"/>
    <w:rsid w:val="002E4394"/>
    <w:rsid w:val="002E5D3C"/>
    <w:rsid w:val="002E678E"/>
    <w:rsid w:val="002E6A03"/>
    <w:rsid w:val="002E710D"/>
    <w:rsid w:val="002F0239"/>
    <w:rsid w:val="002F1119"/>
    <w:rsid w:val="002F19A0"/>
    <w:rsid w:val="002F1BAF"/>
    <w:rsid w:val="002F313B"/>
    <w:rsid w:val="002F3418"/>
    <w:rsid w:val="002F3693"/>
    <w:rsid w:val="002F3750"/>
    <w:rsid w:val="002F380B"/>
    <w:rsid w:val="002F3E29"/>
    <w:rsid w:val="002F3E5C"/>
    <w:rsid w:val="002F43A7"/>
    <w:rsid w:val="002F45A9"/>
    <w:rsid w:val="002F46CF"/>
    <w:rsid w:val="002F4AC3"/>
    <w:rsid w:val="002F4CFD"/>
    <w:rsid w:val="002F4D9E"/>
    <w:rsid w:val="002F4F70"/>
    <w:rsid w:val="002F6FBE"/>
    <w:rsid w:val="002F778A"/>
    <w:rsid w:val="002F78EF"/>
    <w:rsid w:val="002F7A05"/>
    <w:rsid w:val="002F7DE2"/>
    <w:rsid w:val="0030062D"/>
    <w:rsid w:val="0030071E"/>
    <w:rsid w:val="003007E7"/>
    <w:rsid w:val="00300C56"/>
    <w:rsid w:val="003023C4"/>
    <w:rsid w:val="00302B46"/>
    <w:rsid w:val="00302E64"/>
    <w:rsid w:val="00302EE0"/>
    <w:rsid w:val="00303075"/>
    <w:rsid w:val="00304128"/>
    <w:rsid w:val="00304194"/>
    <w:rsid w:val="0030443A"/>
    <w:rsid w:val="0030462F"/>
    <w:rsid w:val="003053C9"/>
    <w:rsid w:val="00305CAD"/>
    <w:rsid w:val="00306761"/>
    <w:rsid w:val="00306A88"/>
    <w:rsid w:val="00306B38"/>
    <w:rsid w:val="00306F41"/>
    <w:rsid w:val="00307D12"/>
    <w:rsid w:val="00307E1C"/>
    <w:rsid w:val="003103CD"/>
    <w:rsid w:val="0031052C"/>
    <w:rsid w:val="00310BE2"/>
    <w:rsid w:val="00310C5F"/>
    <w:rsid w:val="0031193C"/>
    <w:rsid w:val="00311E13"/>
    <w:rsid w:val="003124ED"/>
    <w:rsid w:val="0031285C"/>
    <w:rsid w:val="003128F6"/>
    <w:rsid w:val="00312906"/>
    <w:rsid w:val="00313225"/>
    <w:rsid w:val="0031367A"/>
    <w:rsid w:val="003136D7"/>
    <w:rsid w:val="00313711"/>
    <w:rsid w:val="003138AE"/>
    <w:rsid w:val="0031396B"/>
    <w:rsid w:val="00313CB1"/>
    <w:rsid w:val="00313ECD"/>
    <w:rsid w:val="00314667"/>
    <w:rsid w:val="00314EFB"/>
    <w:rsid w:val="0031554D"/>
    <w:rsid w:val="00315571"/>
    <w:rsid w:val="003156B5"/>
    <w:rsid w:val="00315D92"/>
    <w:rsid w:val="00315EE1"/>
    <w:rsid w:val="00317558"/>
    <w:rsid w:val="00317864"/>
    <w:rsid w:val="00317932"/>
    <w:rsid w:val="00320D5D"/>
    <w:rsid w:val="0032101C"/>
    <w:rsid w:val="00322352"/>
    <w:rsid w:val="0032238D"/>
    <w:rsid w:val="00322C52"/>
    <w:rsid w:val="00322E27"/>
    <w:rsid w:val="00322E36"/>
    <w:rsid w:val="0032451D"/>
    <w:rsid w:val="0032482A"/>
    <w:rsid w:val="00324B9A"/>
    <w:rsid w:val="00324BD2"/>
    <w:rsid w:val="003250B1"/>
    <w:rsid w:val="003259DC"/>
    <w:rsid w:val="0032601E"/>
    <w:rsid w:val="003263B4"/>
    <w:rsid w:val="003271AF"/>
    <w:rsid w:val="00327587"/>
    <w:rsid w:val="00327C36"/>
    <w:rsid w:val="00327D06"/>
    <w:rsid w:val="00330090"/>
    <w:rsid w:val="00330409"/>
    <w:rsid w:val="003304DC"/>
    <w:rsid w:val="00330AD9"/>
    <w:rsid w:val="00330CD3"/>
    <w:rsid w:val="0033104C"/>
    <w:rsid w:val="00331734"/>
    <w:rsid w:val="00331EAD"/>
    <w:rsid w:val="0033464B"/>
    <w:rsid w:val="003356D7"/>
    <w:rsid w:val="003358FC"/>
    <w:rsid w:val="003368C5"/>
    <w:rsid w:val="00336DAE"/>
    <w:rsid w:val="0033735E"/>
    <w:rsid w:val="003377AB"/>
    <w:rsid w:val="00337CC1"/>
    <w:rsid w:val="0034014A"/>
    <w:rsid w:val="00340DC7"/>
    <w:rsid w:val="00341200"/>
    <w:rsid w:val="00341459"/>
    <w:rsid w:val="0034258E"/>
    <w:rsid w:val="00342930"/>
    <w:rsid w:val="00342A29"/>
    <w:rsid w:val="00342DA3"/>
    <w:rsid w:val="003430A4"/>
    <w:rsid w:val="00343DFA"/>
    <w:rsid w:val="003440B1"/>
    <w:rsid w:val="003444B4"/>
    <w:rsid w:val="003450FD"/>
    <w:rsid w:val="0034680D"/>
    <w:rsid w:val="00346BF9"/>
    <w:rsid w:val="00346E76"/>
    <w:rsid w:val="00350278"/>
    <w:rsid w:val="00350692"/>
    <w:rsid w:val="003508EE"/>
    <w:rsid w:val="003511D0"/>
    <w:rsid w:val="0035209E"/>
    <w:rsid w:val="00352121"/>
    <w:rsid w:val="00352E8F"/>
    <w:rsid w:val="00353077"/>
    <w:rsid w:val="0035314A"/>
    <w:rsid w:val="00353614"/>
    <w:rsid w:val="00353929"/>
    <w:rsid w:val="00354199"/>
    <w:rsid w:val="00354ED6"/>
    <w:rsid w:val="0035538B"/>
    <w:rsid w:val="00355491"/>
    <w:rsid w:val="0035571C"/>
    <w:rsid w:val="00355F4F"/>
    <w:rsid w:val="0035633A"/>
    <w:rsid w:val="00356A29"/>
    <w:rsid w:val="003579EB"/>
    <w:rsid w:val="00357C3B"/>
    <w:rsid w:val="0036047C"/>
    <w:rsid w:val="003606AF"/>
    <w:rsid w:val="00361640"/>
    <w:rsid w:val="00361678"/>
    <w:rsid w:val="00362591"/>
    <w:rsid w:val="0036285C"/>
    <w:rsid w:val="00362B07"/>
    <w:rsid w:val="00362B19"/>
    <w:rsid w:val="003632E9"/>
    <w:rsid w:val="003634BB"/>
    <w:rsid w:val="0036363D"/>
    <w:rsid w:val="00363A0C"/>
    <w:rsid w:val="00363B5B"/>
    <w:rsid w:val="003652D4"/>
    <w:rsid w:val="00365CE8"/>
    <w:rsid w:val="00365CEA"/>
    <w:rsid w:val="0036673D"/>
    <w:rsid w:val="00366A41"/>
    <w:rsid w:val="003675FC"/>
    <w:rsid w:val="00367C2F"/>
    <w:rsid w:val="00367E5E"/>
    <w:rsid w:val="00370758"/>
    <w:rsid w:val="00370F7C"/>
    <w:rsid w:val="00371E1B"/>
    <w:rsid w:val="00371F36"/>
    <w:rsid w:val="003720A1"/>
    <w:rsid w:val="003723B5"/>
    <w:rsid w:val="0037242C"/>
    <w:rsid w:val="00372436"/>
    <w:rsid w:val="0037314F"/>
    <w:rsid w:val="00373285"/>
    <w:rsid w:val="003735B1"/>
    <w:rsid w:val="00374078"/>
    <w:rsid w:val="00374808"/>
    <w:rsid w:val="00374A42"/>
    <w:rsid w:val="00374ABD"/>
    <w:rsid w:val="003760F4"/>
    <w:rsid w:val="00376677"/>
    <w:rsid w:val="00376AFF"/>
    <w:rsid w:val="00376E40"/>
    <w:rsid w:val="0037717D"/>
    <w:rsid w:val="00377EF3"/>
    <w:rsid w:val="0038015D"/>
    <w:rsid w:val="003818B1"/>
    <w:rsid w:val="0038221C"/>
    <w:rsid w:val="003831CF"/>
    <w:rsid w:val="003832DA"/>
    <w:rsid w:val="00383385"/>
    <w:rsid w:val="0038396C"/>
    <w:rsid w:val="00383C5D"/>
    <w:rsid w:val="00383CE1"/>
    <w:rsid w:val="00384F11"/>
    <w:rsid w:val="0038520C"/>
    <w:rsid w:val="00385505"/>
    <w:rsid w:val="0038655B"/>
    <w:rsid w:val="0038676F"/>
    <w:rsid w:val="0038705D"/>
    <w:rsid w:val="003870F7"/>
    <w:rsid w:val="00387475"/>
    <w:rsid w:val="0038798B"/>
    <w:rsid w:val="00387B86"/>
    <w:rsid w:val="00387E33"/>
    <w:rsid w:val="003911EB"/>
    <w:rsid w:val="0039134B"/>
    <w:rsid w:val="003913ED"/>
    <w:rsid w:val="00391A41"/>
    <w:rsid w:val="00391D64"/>
    <w:rsid w:val="00392125"/>
    <w:rsid w:val="00392DB2"/>
    <w:rsid w:val="00393346"/>
    <w:rsid w:val="003933DB"/>
    <w:rsid w:val="003934CF"/>
    <w:rsid w:val="003935D9"/>
    <w:rsid w:val="00393BAA"/>
    <w:rsid w:val="00393C2F"/>
    <w:rsid w:val="0039424C"/>
    <w:rsid w:val="00394D70"/>
    <w:rsid w:val="00395E4E"/>
    <w:rsid w:val="00396B82"/>
    <w:rsid w:val="00397407"/>
    <w:rsid w:val="00397D36"/>
    <w:rsid w:val="00397D39"/>
    <w:rsid w:val="003A1160"/>
    <w:rsid w:val="003A1341"/>
    <w:rsid w:val="003A1875"/>
    <w:rsid w:val="003A18C3"/>
    <w:rsid w:val="003A1E2B"/>
    <w:rsid w:val="003A1FA9"/>
    <w:rsid w:val="003A2412"/>
    <w:rsid w:val="003A299F"/>
    <w:rsid w:val="003A2B28"/>
    <w:rsid w:val="003A311D"/>
    <w:rsid w:val="003A39ED"/>
    <w:rsid w:val="003A3EF0"/>
    <w:rsid w:val="003A4AD8"/>
    <w:rsid w:val="003A4BDA"/>
    <w:rsid w:val="003A4E42"/>
    <w:rsid w:val="003A51C5"/>
    <w:rsid w:val="003A533E"/>
    <w:rsid w:val="003A542D"/>
    <w:rsid w:val="003A55CE"/>
    <w:rsid w:val="003A6DD8"/>
    <w:rsid w:val="003A6FC2"/>
    <w:rsid w:val="003A720B"/>
    <w:rsid w:val="003A7A71"/>
    <w:rsid w:val="003A7DCF"/>
    <w:rsid w:val="003B009E"/>
    <w:rsid w:val="003B0207"/>
    <w:rsid w:val="003B0BCD"/>
    <w:rsid w:val="003B1D3E"/>
    <w:rsid w:val="003B2480"/>
    <w:rsid w:val="003B25A9"/>
    <w:rsid w:val="003B2822"/>
    <w:rsid w:val="003B294E"/>
    <w:rsid w:val="003B41ED"/>
    <w:rsid w:val="003B4651"/>
    <w:rsid w:val="003B5732"/>
    <w:rsid w:val="003B5998"/>
    <w:rsid w:val="003B7773"/>
    <w:rsid w:val="003B77C5"/>
    <w:rsid w:val="003B7C8B"/>
    <w:rsid w:val="003B7F3D"/>
    <w:rsid w:val="003C01BF"/>
    <w:rsid w:val="003C01E7"/>
    <w:rsid w:val="003C0502"/>
    <w:rsid w:val="003C101E"/>
    <w:rsid w:val="003C1238"/>
    <w:rsid w:val="003C1C56"/>
    <w:rsid w:val="003C2818"/>
    <w:rsid w:val="003C28E2"/>
    <w:rsid w:val="003C2B8F"/>
    <w:rsid w:val="003C301D"/>
    <w:rsid w:val="003C31EE"/>
    <w:rsid w:val="003C370D"/>
    <w:rsid w:val="003C3C8D"/>
    <w:rsid w:val="003C44D0"/>
    <w:rsid w:val="003C4689"/>
    <w:rsid w:val="003C4E2E"/>
    <w:rsid w:val="003C4F9C"/>
    <w:rsid w:val="003C5235"/>
    <w:rsid w:val="003C5CB5"/>
    <w:rsid w:val="003C693F"/>
    <w:rsid w:val="003D01E7"/>
    <w:rsid w:val="003D087F"/>
    <w:rsid w:val="003D0BD8"/>
    <w:rsid w:val="003D0E8F"/>
    <w:rsid w:val="003D1810"/>
    <w:rsid w:val="003D2429"/>
    <w:rsid w:val="003D2869"/>
    <w:rsid w:val="003D28F0"/>
    <w:rsid w:val="003D2AB1"/>
    <w:rsid w:val="003D2FFE"/>
    <w:rsid w:val="003D559A"/>
    <w:rsid w:val="003D5B4F"/>
    <w:rsid w:val="003D6331"/>
    <w:rsid w:val="003D649B"/>
    <w:rsid w:val="003D664E"/>
    <w:rsid w:val="003D6A26"/>
    <w:rsid w:val="003D6C7A"/>
    <w:rsid w:val="003D6CF6"/>
    <w:rsid w:val="003E07A1"/>
    <w:rsid w:val="003E1629"/>
    <w:rsid w:val="003E1AA7"/>
    <w:rsid w:val="003E1DEF"/>
    <w:rsid w:val="003E3497"/>
    <w:rsid w:val="003E3E3B"/>
    <w:rsid w:val="003E4B6F"/>
    <w:rsid w:val="003E5D75"/>
    <w:rsid w:val="003E6273"/>
    <w:rsid w:val="003E6660"/>
    <w:rsid w:val="003E770E"/>
    <w:rsid w:val="003E7B5B"/>
    <w:rsid w:val="003E7DEF"/>
    <w:rsid w:val="003E7FA2"/>
    <w:rsid w:val="003F0AD1"/>
    <w:rsid w:val="003F0B1B"/>
    <w:rsid w:val="003F11B4"/>
    <w:rsid w:val="003F11C3"/>
    <w:rsid w:val="003F14B5"/>
    <w:rsid w:val="003F14B9"/>
    <w:rsid w:val="003F20C4"/>
    <w:rsid w:val="003F24E0"/>
    <w:rsid w:val="003F48A7"/>
    <w:rsid w:val="003F4972"/>
    <w:rsid w:val="003F51D9"/>
    <w:rsid w:val="003F572B"/>
    <w:rsid w:val="003F57DC"/>
    <w:rsid w:val="003F5AC2"/>
    <w:rsid w:val="003F68E5"/>
    <w:rsid w:val="003F6BFF"/>
    <w:rsid w:val="003F708A"/>
    <w:rsid w:val="003F7369"/>
    <w:rsid w:val="003F7573"/>
    <w:rsid w:val="003F76AB"/>
    <w:rsid w:val="003F7E2A"/>
    <w:rsid w:val="003F7EEB"/>
    <w:rsid w:val="00400390"/>
    <w:rsid w:val="0040055A"/>
    <w:rsid w:val="00400B38"/>
    <w:rsid w:val="0040305E"/>
    <w:rsid w:val="00403B14"/>
    <w:rsid w:val="00403FB5"/>
    <w:rsid w:val="00404071"/>
    <w:rsid w:val="00404483"/>
    <w:rsid w:val="00404A11"/>
    <w:rsid w:val="00404A99"/>
    <w:rsid w:val="00405016"/>
    <w:rsid w:val="004059FD"/>
    <w:rsid w:val="00405C38"/>
    <w:rsid w:val="00406261"/>
    <w:rsid w:val="004068D6"/>
    <w:rsid w:val="00407B30"/>
    <w:rsid w:val="00407E53"/>
    <w:rsid w:val="00407E67"/>
    <w:rsid w:val="00410DF2"/>
    <w:rsid w:val="00411D70"/>
    <w:rsid w:val="00411E21"/>
    <w:rsid w:val="00412C8D"/>
    <w:rsid w:val="004134F3"/>
    <w:rsid w:val="00414061"/>
    <w:rsid w:val="004143C2"/>
    <w:rsid w:val="00414823"/>
    <w:rsid w:val="00414934"/>
    <w:rsid w:val="00414F91"/>
    <w:rsid w:val="00415A38"/>
    <w:rsid w:val="004165F6"/>
    <w:rsid w:val="0041737F"/>
    <w:rsid w:val="00417A43"/>
    <w:rsid w:val="00417CC6"/>
    <w:rsid w:val="00420D4E"/>
    <w:rsid w:val="004212CC"/>
    <w:rsid w:val="00421B77"/>
    <w:rsid w:val="00421F16"/>
    <w:rsid w:val="00421FB9"/>
    <w:rsid w:val="0042249D"/>
    <w:rsid w:val="00424A6E"/>
    <w:rsid w:val="00424EAC"/>
    <w:rsid w:val="0042569D"/>
    <w:rsid w:val="00425CCC"/>
    <w:rsid w:val="00425F31"/>
    <w:rsid w:val="00426B32"/>
    <w:rsid w:val="00426F30"/>
    <w:rsid w:val="0042709B"/>
    <w:rsid w:val="0042712B"/>
    <w:rsid w:val="004271AB"/>
    <w:rsid w:val="004307EF"/>
    <w:rsid w:val="00430850"/>
    <w:rsid w:val="0043089C"/>
    <w:rsid w:val="00430D38"/>
    <w:rsid w:val="00430E14"/>
    <w:rsid w:val="0043140E"/>
    <w:rsid w:val="0043178A"/>
    <w:rsid w:val="004318CA"/>
    <w:rsid w:val="004330E3"/>
    <w:rsid w:val="00433126"/>
    <w:rsid w:val="004339A0"/>
    <w:rsid w:val="00433C6F"/>
    <w:rsid w:val="004346B1"/>
    <w:rsid w:val="004350B7"/>
    <w:rsid w:val="00435971"/>
    <w:rsid w:val="00435BCE"/>
    <w:rsid w:val="00435C9A"/>
    <w:rsid w:val="00435CE6"/>
    <w:rsid w:val="00435F2F"/>
    <w:rsid w:val="0043676F"/>
    <w:rsid w:val="004367CD"/>
    <w:rsid w:val="00436D94"/>
    <w:rsid w:val="0044079B"/>
    <w:rsid w:val="00440D37"/>
    <w:rsid w:val="00441E4F"/>
    <w:rsid w:val="0044262E"/>
    <w:rsid w:val="004429C9"/>
    <w:rsid w:val="004434F3"/>
    <w:rsid w:val="00443668"/>
    <w:rsid w:val="00443B98"/>
    <w:rsid w:val="00443CB0"/>
    <w:rsid w:val="00444FCC"/>
    <w:rsid w:val="00445D10"/>
    <w:rsid w:val="00446389"/>
    <w:rsid w:val="004465DF"/>
    <w:rsid w:val="00446867"/>
    <w:rsid w:val="004469B3"/>
    <w:rsid w:val="00446D17"/>
    <w:rsid w:val="00446D2B"/>
    <w:rsid w:val="0044762C"/>
    <w:rsid w:val="00447A10"/>
    <w:rsid w:val="00447A5E"/>
    <w:rsid w:val="004504F0"/>
    <w:rsid w:val="0045125B"/>
    <w:rsid w:val="00451308"/>
    <w:rsid w:val="004514D7"/>
    <w:rsid w:val="0045182E"/>
    <w:rsid w:val="00451E91"/>
    <w:rsid w:val="004527E5"/>
    <w:rsid w:val="004531A2"/>
    <w:rsid w:val="004535D3"/>
    <w:rsid w:val="004540F3"/>
    <w:rsid w:val="004548B4"/>
    <w:rsid w:val="0045492D"/>
    <w:rsid w:val="00455213"/>
    <w:rsid w:val="004562DC"/>
    <w:rsid w:val="0045630F"/>
    <w:rsid w:val="00456A39"/>
    <w:rsid w:val="00456DF5"/>
    <w:rsid w:val="004574F4"/>
    <w:rsid w:val="0046075F"/>
    <w:rsid w:val="004618CA"/>
    <w:rsid w:val="00461AB1"/>
    <w:rsid w:val="004625F7"/>
    <w:rsid w:val="0046273A"/>
    <w:rsid w:val="004627AE"/>
    <w:rsid w:val="0046356B"/>
    <w:rsid w:val="00463EBC"/>
    <w:rsid w:val="004641F9"/>
    <w:rsid w:val="00464AD3"/>
    <w:rsid w:val="0046508F"/>
    <w:rsid w:val="00465A4A"/>
    <w:rsid w:val="00465EAB"/>
    <w:rsid w:val="00465F9F"/>
    <w:rsid w:val="00466026"/>
    <w:rsid w:val="004668CC"/>
    <w:rsid w:val="00466A6B"/>
    <w:rsid w:val="00466FA9"/>
    <w:rsid w:val="00467F82"/>
    <w:rsid w:val="00470170"/>
    <w:rsid w:val="00470475"/>
    <w:rsid w:val="004714EF"/>
    <w:rsid w:val="00471A2F"/>
    <w:rsid w:val="00472582"/>
    <w:rsid w:val="00472CDD"/>
    <w:rsid w:val="004731EA"/>
    <w:rsid w:val="004736CC"/>
    <w:rsid w:val="00473D09"/>
    <w:rsid w:val="00473E9D"/>
    <w:rsid w:val="0047503A"/>
    <w:rsid w:val="0047519E"/>
    <w:rsid w:val="00475786"/>
    <w:rsid w:val="004757FE"/>
    <w:rsid w:val="00475A6F"/>
    <w:rsid w:val="0047637A"/>
    <w:rsid w:val="00476389"/>
    <w:rsid w:val="00476465"/>
    <w:rsid w:val="00476A0B"/>
    <w:rsid w:val="00476F5B"/>
    <w:rsid w:val="00477192"/>
    <w:rsid w:val="004772A9"/>
    <w:rsid w:val="004772C1"/>
    <w:rsid w:val="004774A2"/>
    <w:rsid w:val="00477F85"/>
    <w:rsid w:val="00477F8A"/>
    <w:rsid w:val="004810C7"/>
    <w:rsid w:val="00481B25"/>
    <w:rsid w:val="00481DBC"/>
    <w:rsid w:val="00482CBE"/>
    <w:rsid w:val="0048380A"/>
    <w:rsid w:val="00483BB7"/>
    <w:rsid w:val="0048425B"/>
    <w:rsid w:val="0048440A"/>
    <w:rsid w:val="004844A3"/>
    <w:rsid w:val="004846C6"/>
    <w:rsid w:val="00484C38"/>
    <w:rsid w:val="00484E87"/>
    <w:rsid w:val="00486493"/>
    <w:rsid w:val="00486BE0"/>
    <w:rsid w:val="00486CD3"/>
    <w:rsid w:val="00486D36"/>
    <w:rsid w:val="00487746"/>
    <w:rsid w:val="004900D8"/>
    <w:rsid w:val="004923D8"/>
    <w:rsid w:val="00492D3E"/>
    <w:rsid w:val="004938BD"/>
    <w:rsid w:val="0049398D"/>
    <w:rsid w:val="00493A89"/>
    <w:rsid w:val="00494E22"/>
    <w:rsid w:val="004950BC"/>
    <w:rsid w:val="00495A7B"/>
    <w:rsid w:val="00495B7A"/>
    <w:rsid w:val="004960B1"/>
    <w:rsid w:val="00496A7C"/>
    <w:rsid w:val="00496C3F"/>
    <w:rsid w:val="00496DB4"/>
    <w:rsid w:val="00496F0D"/>
    <w:rsid w:val="004A061B"/>
    <w:rsid w:val="004A12C9"/>
    <w:rsid w:val="004A14D6"/>
    <w:rsid w:val="004A1A55"/>
    <w:rsid w:val="004A1E23"/>
    <w:rsid w:val="004A2110"/>
    <w:rsid w:val="004A284A"/>
    <w:rsid w:val="004A43A9"/>
    <w:rsid w:val="004A68F3"/>
    <w:rsid w:val="004A6FFA"/>
    <w:rsid w:val="004A7063"/>
    <w:rsid w:val="004A730A"/>
    <w:rsid w:val="004B00BA"/>
    <w:rsid w:val="004B0976"/>
    <w:rsid w:val="004B0CE8"/>
    <w:rsid w:val="004B1522"/>
    <w:rsid w:val="004B1932"/>
    <w:rsid w:val="004B1EF0"/>
    <w:rsid w:val="004B2CE6"/>
    <w:rsid w:val="004B5481"/>
    <w:rsid w:val="004B550B"/>
    <w:rsid w:val="004B5851"/>
    <w:rsid w:val="004B5BCF"/>
    <w:rsid w:val="004B5E7A"/>
    <w:rsid w:val="004B69AE"/>
    <w:rsid w:val="004B6C95"/>
    <w:rsid w:val="004B6FD6"/>
    <w:rsid w:val="004B7090"/>
    <w:rsid w:val="004B77EA"/>
    <w:rsid w:val="004C0E48"/>
    <w:rsid w:val="004C110D"/>
    <w:rsid w:val="004C121D"/>
    <w:rsid w:val="004C17B5"/>
    <w:rsid w:val="004C1DCB"/>
    <w:rsid w:val="004C21C7"/>
    <w:rsid w:val="004C2486"/>
    <w:rsid w:val="004C25F1"/>
    <w:rsid w:val="004C2C56"/>
    <w:rsid w:val="004C313D"/>
    <w:rsid w:val="004C372D"/>
    <w:rsid w:val="004C3C57"/>
    <w:rsid w:val="004C3FF4"/>
    <w:rsid w:val="004C44BC"/>
    <w:rsid w:val="004C477C"/>
    <w:rsid w:val="004C4C8E"/>
    <w:rsid w:val="004C5537"/>
    <w:rsid w:val="004C5868"/>
    <w:rsid w:val="004C59A1"/>
    <w:rsid w:val="004C5B13"/>
    <w:rsid w:val="004C5CDA"/>
    <w:rsid w:val="004C6B6E"/>
    <w:rsid w:val="004C6F9D"/>
    <w:rsid w:val="004C78C0"/>
    <w:rsid w:val="004C7CFB"/>
    <w:rsid w:val="004C7F89"/>
    <w:rsid w:val="004D0465"/>
    <w:rsid w:val="004D0CDA"/>
    <w:rsid w:val="004D2743"/>
    <w:rsid w:val="004D3D56"/>
    <w:rsid w:val="004D4783"/>
    <w:rsid w:val="004D637E"/>
    <w:rsid w:val="004D679E"/>
    <w:rsid w:val="004D69CD"/>
    <w:rsid w:val="004D6B6F"/>
    <w:rsid w:val="004D6C9D"/>
    <w:rsid w:val="004D6DE6"/>
    <w:rsid w:val="004D6F85"/>
    <w:rsid w:val="004D70A1"/>
    <w:rsid w:val="004D733E"/>
    <w:rsid w:val="004D796D"/>
    <w:rsid w:val="004E02C3"/>
    <w:rsid w:val="004E0A73"/>
    <w:rsid w:val="004E1403"/>
    <w:rsid w:val="004E1904"/>
    <w:rsid w:val="004E1933"/>
    <w:rsid w:val="004E1AE3"/>
    <w:rsid w:val="004E1E9E"/>
    <w:rsid w:val="004E275D"/>
    <w:rsid w:val="004E2A21"/>
    <w:rsid w:val="004E386E"/>
    <w:rsid w:val="004E3EF2"/>
    <w:rsid w:val="004E4171"/>
    <w:rsid w:val="004E417F"/>
    <w:rsid w:val="004E5D8E"/>
    <w:rsid w:val="004E6C3D"/>
    <w:rsid w:val="004E6F0C"/>
    <w:rsid w:val="004E7313"/>
    <w:rsid w:val="004E75FE"/>
    <w:rsid w:val="004E7FC1"/>
    <w:rsid w:val="004F0094"/>
    <w:rsid w:val="004F01F0"/>
    <w:rsid w:val="004F0780"/>
    <w:rsid w:val="004F0F66"/>
    <w:rsid w:val="004F10BD"/>
    <w:rsid w:val="004F1344"/>
    <w:rsid w:val="004F1C99"/>
    <w:rsid w:val="004F22DD"/>
    <w:rsid w:val="004F3D2F"/>
    <w:rsid w:val="004F40F4"/>
    <w:rsid w:val="004F40FC"/>
    <w:rsid w:val="004F4493"/>
    <w:rsid w:val="004F4526"/>
    <w:rsid w:val="004F4B46"/>
    <w:rsid w:val="004F5DF6"/>
    <w:rsid w:val="004F6244"/>
    <w:rsid w:val="004F6879"/>
    <w:rsid w:val="00500C81"/>
    <w:rsid w:val="00500C9B"/>
    <w:rsid w:val="00500CBD"/>
    <w:rsid w:val="00501679"/>
    <w:rsid w:val="005017C0"/>
    <w:rsid w:val="0050180F"/>
    <w:rsid w:val="00502F6B"/>
    <w:rsid w:val="00503DD0"/>
    <w:rsid w:val="00503E5F"/>
    <w:rsid w:val="005047F6"/>
    <w:rsid w:val="00504829"/>
    <w:rsid w:val="00504CDD"/>
    <w:rsid w:val="00506091"/>
    <w:rsid w:val="0050647E"/>
    <w:rsid w:val="00506652"/>
    <w:rsid w:val="00506CD8"/>
    <w:rsid w:val="00506F10"/>
    <w:rsid w:val="00507560"/>
    <w:rsid w:val="00510356"/>
    <w:rsid w:val="00511509"/>
    <w:rsid w:val="005116AF"/>
    <w:rsid w:val="00512A98"/>
    <w:rsid w:val="00513D74"/>
    <w:rsid w:val="0051438D"/>
    <w:rsid w:val="005148EA"/>
    <w:rsid w:val="00514B0A"/>
    <w:rsid w:val="00514F48"/>
    <w:rsid w:val="00515170"/>
    <w:rsid w:val="00515B22"/>
    <w:rsid w:val="005160A7"/>
    <w:rsid w:val="00516EFA"/>
    <w:rsid w:val="005178E4"/>
    <w:rsid w:val="005178F1"/>
    <w:rsid w:val="0051794D"/>
    <w:rsid w:val="00517AC5"/>
    <w:rsid w:val="00517F68"/>
    <w:rsid w:val="00521305"/>
    <w:rsid w:val="005215FA"/>
    <w:rsid w:val="00521C16"/>
    <w:rsid w:val="00521E3C"/>
    <w:rsid w:val="00522950"/>
    <w:rsid w:val="005229D5"/>
    <w:rsid w:val="005232E3"/>
    <w:rsid w:val="00523C2A"/>
    <w:rsid w:val="005244A9"/>
    <w:rsid w:val="00524672"/>
    <w:rsid w:val="00524674"/>
    <w:rsid w:val="00524A4B"/>
    <w:rsid w:val="00524E45"/>
    <w:rsid w:val="00524F83"/>
    <w:rsid w:val="00525529"/>
    <w:rsid w:val="00526633"/>
    <w:rsid w:val="005266EC"/>
    <w:rsid w:val="00526A37"/>
    <w:rsid w:val="00526D7D"/>
    <w:rsid w:val="0052721F"/>
    <w:rsid w:val="005278E3"/>
    <w:rsid w:val="00527C43"/>
    <w:rsid w:val="00527D6D"/>
    <w:rsid w:val="0053010B"/>
    <w:rsid w:val="005302FF"/>
    <w:rsid w:val="0053067A"/>
    <w:rsid w:val="00530D22"/>
    <w:rsid w:val="005312DE"/>
    <w:rsid w:val="00531EAF"/>
    <w:rsid w:val="00531F98"/>
    <w:rsid w:val="00532668"/>
    <w:rsid w:val="005326A9"/>
    <w:rsid w:val="00532B31"/>
    <w:rsid w:val="00532DFA"/>
    <w:rsid w:val="00532ECD"/>
    <w:rsid w:val="00533822"/>
    <w:rsid w:val="0053404A"/>
    <w:rsid w:val="00534F1A"/>
    <w:rsid w:val="005353E2"/>
    <w:rsid w:val="005378B1"/>
    <w:rsid w:val="00537FB0"/>
    <w:rsid w:val="00540D29"/>
    <w:rsid w:val="0054176B"/>
    <w:rsid w:val="00541B30"/>
    <w:rsid w:val="00541DDB"/>
    <w:rsid w:val="00542023"/>
    <w:rsid w:val="005424E2"/>
    <w:rsid w:val="00542D5A"/>
    <w:rsid w:val="00543BFC"/>
    <w:rsid w:val="00544082"/>
    <w:rsid w:val="00544CFC"/>
    <w:rsid w:val="00544E75"/>
    <w:rsid w:val="005454E3"/>
    <w:rsid w:val="00545719"/>
    <w:rsid w:val="00546233"/>
    <w:rsid w:val="005462EF"/>
    <w:rsid w:val="0054696C"/>
    <w:rsid w:val="00546B34"/>
    <w:rsid w:val="00547DD9"/>
    <w:rsid w:val="0055009F"/>
    <w:rsid w:val="005502DD"/>
    <w:rsid w:val="005505F5"/>
    <w:rsid w:val="00550982"/>
    <w:rsid w:val="00550D37"/>
    <w:rsid w:val="00551454"/>
    <w:rsid w:val="00551988"/>
    <w:rsid w:val="00551B54"/>
    <w:rsid w:val="00553656"/>
    <w:rsid w:val="00553C82"/>
    <w:rsid w:val="00553DCC"/>
    <w:rsid w:val="00553FCF"/>
    <w:rsid w:val="005548B3"/>
    <w:rsid w:val="005558CC"/>
    <w:rsid w:val="00555AC3"/>
    <w:rsid w:val="00555B00"/>
    <w:rsid w:val="00555BA5"/>
    <w:rsid w:val="00556F27"/>
    <w:rsid w:val="005614B9"/>
    <w:rsid w:val="00561535"/>
    <w:rsid w:val="00561AD5"/>
    <w:rsid w:val="005620E3"/>
    <w:rsid w:val="005625ED"/>
    <w:rsid w:val="005627FA"/>
    <w:rsid w:val="00562AB0"/>
    <w:rsid w:val="00563179"/>
    <w:rsid w:val="00563440"/>
    <w:rsid w:val="0056465E"/>
    <w:rsid w:val="005652E9"/>
    <w:rsid w:val="005660F5"/>
    <w:rsid w:val="00566501"/>
    <w:rsid w:val="00566E48"/>
    <w:rsid w:val="00566F45"/>
    <w:rsid w:val="00566FAF"/>
    <w:rsid w:val="005675F6"/>
    <w:rsid w:val="0056773F"/>
    <w:rsid w:val="0057025B"/>
    <w:rsid w:val="00570362"/>
    <w:rsid w:val="00570538"/>
    <w:rsid w:val="00571BBD"/>
    <w:rsid w:val="005721A5"/>
    <w:rsid w:val="00572D14"/>
    <w:rsid w:val="005736ED"/>
    <w:rsid w:val="00573732"/>
    <w:rsid w:val="00574B36"/>
    <w:rsid w:val="00575DDB"/>
    <w:rsid w:val="005760DB"/>
    <w:rsid w:val="00576B6F"/>
    <w:rsid w:val="005775F8"/>
    <w:rsid w:val="00580037"/>
    <w:rsid w:val="00580814"/>
    <w:rsid w:val="00580B16"/>
    <w:rsid w:val="00580FC0"/>
    <w:rsid w:val="0058233B"/>
    <w:rsid w:val="005826C0"/>
    <w:rsid w:val="00583226"/>
    <w:rsid w:val="0058365C"/>
    <w:rsid w:val="005839AD"/>
    <w:rsid w:val="005842F9"/>
    <w:rsid w:val="0058459A"/>
    <w:rsid w:val="00584EC5"/>
    <w:rsid w:val="005866F6"/>
    <w:rsid w:val="00586F27"/>
    <w:rsid w:val="00587496"/>
    <w:rsid w:val="0058781F"/>
    <w:rsid w:val="00587B79"/>
    <w:rsid w:val="005901EA"/>
    <w:rsid w:val="00591287"/>
    <w:rsid w:val="005914B3"/>
    <w:rsid w:val="0059150B"/>
    <w:rsid w:val="005932D2"/>
    <w:rsid w:val="0059377A"/>
    <w:rsid w:val="00593E73"/>
    <w:rsid w:val="0059485D"/>
    <w:rsid w:val="00594CFB"/>
    <w:rsid w:val="00594FE8"/>
    <w:rsid w:val="005953E3"/>
    <w:rsid w:val="00595E55"/>
    <w:rsid w:val="00595E63"/>
    <w:rsid w:val="005971BE"/>
    <w:rsid w:val="00597268"/>
    <w:rsid w:val="0059734A"/>
    <w:rsid w:val="005978A6"/>
    <w:rsid w:val="00597CC0"/>
    <w:rsid w:val="00597FAB"/>
    <w:rsid w:val="005A03AE"/>
    <w:rsid w:val="005A0D90"/>
    <w:rsid w:val="005A225F"/>
    <w:rsid w:val="005A31F4"/>
    <w:rsid w:val="005A3383"/>
    <w:rsid w:val="005A53D7"/>
    <w:rsid w:val="005A553D"/>
    <w:rsid w:val="005A5CFA"/>
    <w:rsid w:val="005A62F5"/>
    <w:rsid w:val="005A6581"/>
    <w:rsid w:val="005B0277"/>
    <w:rsid w:val="005B0AB0"/>
    <w:rsid w:val="005B2385"/>
    <w:rsid w:val="005B2507"/>
    <w:rsid w:val="005B28DA"/>
    <w:rsid w:val="005B318F"/>
    <w:rsid w:val="005B350B"/>
    <w:rsid w:val="005B359F"/>
    <w:rsid w:val="005B3C3D"/>
    <w:rsid w:val="005B44D6"/>
    <w:rsid w:val="005B511C"/>
    <w:rsid w:val="005B5921"/>
    <w:rsid w:val="005B6533"/>
    <w:rsid w:val="005B684E"/>
    <w:rsid w:val="005B6A4C"/>
    <w:rsid w:val="005B6D73"/>
    <w:rsid w:val="005B7A37"/>
    <w:rsid w:val="005B7E9B"/>
    <w:rsid w:val="005B7FB4"/>
    <w:rsid w:val="005C0322"/>
    <w:rsid w:val="005C0347"/>
    <w:rsid w:val="005C0BE4"/>
    <w:rsid w:val="005C0CF7"/>
    <w:rsid w:val="005C17FD"/>
    <w:rsid w:val="005C397C"/>
    <w:rsid w:val="005C4584"/>
    <w:rsid w:val="005C4EB9"/>
    <w:rsid w:val="005C4FE3"/>
    <w:rsid w:val="005C5619"/>
    <w:rsid w:val="005C5AA6"/>
    <w:rsid w:val="005C5E70"/>
    <w:rsid w:val="005C6CA7"/>
    <w:rsid w:val="005C745B"/>
    <w:rsid w:val="005C7DFD"/>
    <w:rsid w:val="005C7F54"/>
    <w:rsid w:val="005D14A8"/>
    <w:rsid w:val="005D18EE"/>
    <w:rsid w:val="005D1DC2"/>
    <w:rsid w:val="005D2021"/>
    <w:rsid w:val="005D2233"/>
    <w:rsid w:val="005D2413"/>
    <w:rsid w:val="005D32A9"/>
    <w:rsid w:val="005D3E50"/>
    <w:rsid w:val="005D4B61"/>
    <w:rsid w:val="005D4E2D"/>
    <w:rsid w:val="005D4FD8"/>
    <w:rsid w:val="005D50D1"/>
    <w:rsid w:val="005D50DE"/>
    <w:rsid w:val="005D516B"/>
    <w:rsid w:val="005D5359"/>
    <w:rsid w:val="005D5363"/>
    <w:rsid w:val="005D54F2"/>
    <w:rsid w:val="005D5872"/>
    <w:rsid w:val="005D6902"/>
    <w:rsid w:val="005D72AA"/>
    <w:rsid w:val="005D7AE3"/>
    <w:rsid w:val="005E1F37"/>
    <w:rsid w:val="005E1F6E"/>
    <w:rsid w:val="005E20CD"/>
    <w:rsid w:val="005E23BE"/>
    <w:rsid w:val="005E27D3"/>
    <w:rsid w:val="005E2812"/>
    <w:rsid w:val="005E2A05"/>
    <w:rsid w:val="005E2BEA"/>
    <w:rsid w:val="005E2E45"/>
    <w:rsid w:val="005E3057"/>
    <w:rsid w:val="005E32E1"/>
    <w:rsid w:val="005E385D"/>
    <w:rsid w:val="005E3E76"/>
    <w:rsid w:val="005E4021"/>
    <w:rsid w:val="005E44F4"/>
    <w:rsid w:val="005E510C"/>
    <w:rsid w:val="005E5BD5"/>
    <w:rsid w:val="005E605C"/>
    <w:rsid w:val="005E617A"/>
    <w:rsid w:val="005E6247"/>
    <w:rsid w:val="005E64D1"/>
    <w:rsid w:val="005E6748"/>
    <w:rsid w:val="005E6E49"/>
    <w:rsid w:val="005E73F2"/>
    <w:rsid w:val="005E7678"/>
    <w:rsid w:val="005E79C4"/>
    <w:rsid w:val="005E7E0B"/>
    <w:rsid w:val="005E7F34"/>
    <w:rsid w:val="005F049C"/>
    <w:rsid w:val="005F0949"/>
    <w:rsid w:val="005F16DB"/>
    <w:rsid w:val="005F1F25"/>
    <w:rsid w:val="005F2976"/>
    <w:rsid w:val="005F363B"/>
    <w:rsid w:val="005F366D"/>
    <w:rsid w:val="005F3F6D"/>
    <w:rsid w:val="005F43A8"/>
    <w:rsid w:val="005F4D43"/>
    <w:rsid w:val="005F57DC"/>
    <w:rsid w:val="005F5BAD"/>
    <w:rsid w:val="005F5C46"/>
    <w:rsid w:val="005F5EA0"/>
    <w:rsid w:val="005F612B"/>
    <w:rsid w:val="005F66A4"/>
    <w:rsid w:val="005F6FC4"/>
    <w:rsid w:val="00600F3A"/>
    <w:rsid w:val="0060112C"/>
    <w:rsid w:val="00601912"/>
    <w:rsid w:val="00601D21"/>
    <w:rsid w:val="00602E3A"/>
    <w:rsid w:val="006031F7"/>
    <w:rsid w:val="006038C3"/>
    <w:rsid w:val="006049D4"/>
    <w:rsid w:val="00605254"/>
    <w:rsid w:val="00605571"/>
    <w:rsid w:val="0060627A"/>
    <w:rsid w:val="00606434"/>
    <w:rsid w:val="00606587"/>
    <w:rsid w:val="00606B0A"/>
    <w:rsid w:val="006075D5"/>
    <w:rsid w:val="00610A75"/>
    <w:rsid w:val="00611226"/>
    <w:rsid w:val="006117DE"/>
    <w:rsid w:val="00611993"/>
    <w:rsid w:val="00612F9D"/>
    <w:rsid w:val="00613456"/>
    <w:rsid w:val="00613913"/>
    <w:rsid w:val="00613D30"/>
    <w:rsid w:val="00613D43"/>
    <w:rsid w:val="00613FEA"/>
    <w:rsid w:val="0061416D"/>
    <w:rsid w:val="00614354"/>
    <w:rsid w:val="0061468D"/>
    <w:rsid w:val="006146BF"/>
    <w:rsid w:val="00615205"/>
    <w:rsid w:val="00615590"/>
    <w:rsid w:val="00615719"/>
    <w:rsid w:val="00615DA9"/>
    <w:rsid w:val="00616A6D"/>
    <w:rsid w:val="00616BB0"/>
    <w:rsid w:val="00616D62"/>
    <w:rsid w:val="00616DE2"/>
    <w:rsid w:val="006172A0"/>
    <w:rsid w:val="00617C74"/>
    <w:rsid w:val="006219C1"/>
    <w:rsid w:val="0062269C"/>
    <w:rsid w:val="00622783"/>
    <w:rsid w:val="00622CE4"/>
    <w:rsid w:val="00622D20"/>
    <w:rsid w:val="00622F7A"/>
    <w:rsid w:val="00622F7D"/>
    <w:rsid w:val="0062505B"/>
    <w:rsid w:val="006260D3"/>
    <w:rsid w:val="0062617D"/>
    <w:rsid w:val="00626539"/>
    <w:rsid w:val="006266B2"/>
    <w:rsid w:val="00626B9A"/>
    <w:rsid w:val="00626DC3"/>
    <w:rsid w:val="0062709B"/>
    <w:rsid w:val="00627286"/>
    <w:rsid w:val="00631551"/>
    <w:rsid w:val="00631E1B"/>
    <w:rsid w:val="00631F2C"/>
    <w:rsid w:val="006331AE"/>
    <w:rsid w:val="00633500"/>
    <w:rsid w:val="00633ACF"/>
    <w:rsid w:val="00633B8A"/>
    <w:rsid w:val="006344FE"/>
    <w:rsid w:val="006351A5"/>
    <w:rsid w:val="00635B8D"/>
    <w:rsid w:val="00635D4C"/>
    <w:rsid w:val="006377DA"/>
    <w:rsid w:val="00637F4D"/>
    <w:rsid w:val="00640BC2"/>
    <w:rsid w:val="006410E6"/>
    <w:rsid w:val="006416F7"/>
    <w:rsid w:val="0064252F"/>
    <w:rsid w:val="006426E6"/>
    <w:rsid w:val="00643193"/>
    <w:rsid w:val="00643A1F"/>
    <w:rsid w:val="006440C1"/>
    <w:rsid w:val="006440C7"/>
    <w:rsid w:val="0064441D"/>
    <w:rsid w:val="006447A6"/>
    <w:rsid w:val="00645337"/>
    <w:rsid w:val="0064598E"/>
    <w:rsid w:val="00645CD5"/>
    <w:rsid w:val="00645D60"/>
    <w:rsid w:val="00646223"/>
    <w:rsid w:val="006463A5"/>
    <w:rsid w:val="00646840"/>
    <w:rsid w:val="006468F2"/>
    <w:rsid w:val="00646E91"/>
    <w:rsid w:val="00646F39"/>
    <w:rsid w:val="006472CB"/>
    <w:rsid w:val="00647F5F"/>
    <w:rsid w:val="00650731"/>
    <w:rsid w:val="00651DD3"/>
    <w:rsid w:val="006523F0"/>
    <w:rsid w:val="00652758"/>
    <w:rsid w:val="006527F3"/>
    <w:rsid w:val="0065337D"/>
    <w:rsid w:val="006534B4"/>
    <w:rsid w:val="006538C8"/>
    <w:rsid w:val="00653F33"/>
    <w:rsid w:val="00653FD1"/>
    <w:rsid w:val="00654863"/>
    <w:rsid w:val="00654A2F"/>
    <w:rsid w:val="00655ABD"/>
    <w:rsid w:val="00655E3B"/>
    <w:rsid w:val="00656D6B"/>
    <w:rsid w:val="00657A10"/>
    <w:rsid w:val="00657C93"/>
    <w:rsid w:val="00660392"/>
    <w:rsid w:val="00661389"/>
    <w:rsid w:val="0066165A"/>
    <w:rsid w:val="00661EC5"/>
    <w:rsid w:val="00662091"/>
    <w:rsid w:val="00662682"/>
    <w:rsid w:val="006626B9"/>
    <w:rsid w:val="00662AB9"/>
    <w:rsid w:val="00663669"/>
    <w:rsid w:val="00663B1C"/>
    <w:rsid w:val="00663FEC"/>
    <w:rsid w:val="006641E0"/>
    <w:rsid w:val="006643F6"/>
    <w:rsid w:val="0066472E"/>
    <w:rsid w:val="00664FE4"/>
    <w:rsid w:val="00665033"/>
    <w:rsid w:val="00665818"/>
    <w:rsid w:val="00666A64"/>
    <w:rsid w:val="0066767E"/>
    <w:rsid w:val="0067169D"/>
    <w:rsid w:val="00671A96"/>
    <w:rsid w:val="0067218D"/>
    <w:rsid w:val="006722B8"/>
    <w:rsid w:val="0067245B"/>
    <w:rsid w:val="00672815"/>
    <w:rsid w:val="00673339"/>
    <w:rsid w:val="00673426"/>
    <w:rsid w:val="0067370A"/>
    <w:rsid w:val="00673F86"/>
    <w:rsid w:val="00674275"/>
    <w:rsid w:val="0067465D"/>
    <w:rsid w:val="00674ACF"/>
    <w:rsid w:val="00675601"/>
    <w:rsid w:val="00675B4E"/>
    <w:rsid w:val="006768EC"/>
    <w:rsid w:val="006770BB"/>
    <w:rsid w:val="00677653"/>
    <w:rsid w:val="006778C2"/>
    <w:rsid w:val="006778EC"/>
    <w:rsid w:val="00680ABF"/>
    <w:rsid w:val="00680B02"/>
    <w:rsid w:val="00681547"/>
    <w:rsid w:val="00681E2A"/>
    <w:rsid w:val="00681F13"/>
    <w:rsid w:val="006835A0"/>
    <w:rsid w:val="00683AE2"/>
    <w:rsid w:val="00683FAC"/>
    <w:rsid w:val="00684CFF"/>
    <w:rsid w:val="00684FFA"/>
    <w:rsid w:val="0068558D"/>
    <w:rsid w:val="00685A5E"/>
    <w:rsid w:val="00687A27"/>
    <w:rsid w:val="00687BA7"/>
    <w:rsid w:val="006900F9"/>
    <w:rsid w:val="006906DC"/>
    <w:rsid w:val="0069197D"/>
    <w:rsid w:val="00691F03"/>
    <w:rsid w:val="00692965"/>
    <w:rsid w:val="00692D32"/>
    <w:rsid w:val="0069373F"/>
    <w:rsid w:val="00694715"/>
    <w:rsid w:val="00694CA3"/>
    <w:rsid w:val="006960DD"/>
    <w:rsid w:val="0069696E"/>
    <w:rsid w:val="00696BE3"/>
    <w:rsid w:val="00696C5E"/>
    <w:rsid w:val="006971A9"/>
    <w:rsid w:val="00697D21"/>
    <w:rsid w:val="006A02E6"/>
    <w:rsid w:val="006A0FBD"/>
    <w:rsid w:val="006A26B5"/>
    <w:rsid w:val="006A27B4"/>
    <w:rsid w:val="006A2952"/>
    <w:rsid w:val="006A3A9F"/>
    <w:rsid w:val="006A3BF2"/>
    <w:rsid w:val="006A3F20"/>
    <w:rsid w:val="006A4C80"/>
    <w:rsid w:val="006A4FA6"/>
    <w:rsid w:val="006A561D"/>
    <w:rsid w:val="006A59A1"/>
    <w:rsid w:val="006A7AEE"/>
    <w:rsid w:val="006A7B39"/>
    <w:rsid w:val="006A7DC2"/>
    <w:rsid w:val="006B00E0"/>
    <w:rsid w:val="006B0581"/>
    <w:rsid w:val="006B1176"/>
    <w:rsid w:val="006B2791"/>
    <w:rsid w:val="006B4A2C"/>
    <w:rsid w:val="006B4EAA"/>
    <w:rsid w:val="006B5514"/>
    <w:rsid w:val="006B5FA7"/>
    <w:rsid w:val="006B6B5A"/>
    <w:rsid w:val="006B6D7E"/>
    <w:rsid w:val="006C0603"/>
    <w:rsid w:val="006C06BC"/>
    <w:rsid w:val="006C073A"/>
    <w:rsid w:val="006C0757"/>
    <w:rsid w:val="006C122F"/>
    <w:rsid w:val="006C17F7"/>
    <w:rsid w:val="006C1B6E"/>
    <w:rsid w:val="006C1C5F"/>
    <w:rsid w:val="006C2052"/>
    <w:rsid w:val="006C22C4"/>
    <w:rsid w:val="006C26D4"/>
    <w:rsid w:val="006C27A7"/>
    <w:rsid w:val="006C2BDF"/>
    <w:rsid w:val="006C302B"/>
    <w:rsid w:val="006C3367"/>
    <w:rsid w:val="006C3473"/>
    <w:rsid w:val="006C505A"/>
    <w:rsid w:val="006C5067"/>
    <w:rsid w:val="006C5A88"/>
    <w:rsid w:val="006C5F54"/>
    <w:rsid w:val="006C683A"/>
    <w:rsid w:val="006C699D"/>
    <w:rsid w:val="006C6C6E"/>
    <w:rsid w:val="006C7656"/>
    <w:rsid w:val="006C786A"/>
    <w:rsid w:val="006C7B6F"/>
    <w:rsid w:val="006C7F0A"/>
    <w:rsid w:val="006C7F65"/>
    <w:rsid w:val="006D1B9D"/>
    <w:rsid w:val="006D1FEB"/>
    <w:rsid w:val="006D2263"/>
    <w:rsid w:val="006D23AE"/>
    <w:rsid w:val="006D23CA"/>
    <w:rsid w:val="006D2629"/>
    <w:rsid w:val="006D288A"/>
    <w:rsid w:val="006D315A"/>
    <w:rsid w:val="006D39FB"/>
    <w:rsid w:val="006D4BEC"/>
    <w:rsid w:val="006D4F01"/>
    <w:rsid w:val="006D5338"/>
    <w:rsid w:val="006D54FA"/>
    <w:rsid w:val="006D6712"/>
    <w:rsid w:val="006D6878"/>
    <w:rsid w:val="006D6E66"/>
    <w:rsid w:val="006D7C4E"/>
    <w:rsid w:val="006E05F4"/>
    <w:rsid w:val="006E08D7"/>
    <w:rsid w:val="006E1097"/>
    <w:rsid w:val="006E1888"/>
    <w:rsid w:val="006E19AE"/>
    <w:rsid w:val="006E1D4B"/>
    <w:rsid w:val="006E215A"/>
    <w:rsid w:val="006E2379"/>
    <w:rsid w:val="006E2427"/>
    <w:rsid w:val="006E2888"/>
    <w:rsid w:val="006E2ACD"/>
    <w:rsid w:val="006E4654"/>
    <w:rsid w:val="006E4BD5"/>
    <w:rsid w:val="006E5458"/>
    <w:rsid w:val="006E6D86"/>
    <w:rsid w:val="006E79C7"/>
    <w:rsid w:val="006E7CE5"/>
    <w:rsid w:val="006F000C"/>
    <w:rsid w:val="006F1ABF"/>
    <w:rsid w:val="006F217F"/>
    <w:rsid w:val="006F2207"/>
    <w:rsid w:val="006F245D"/>
    <w:rsid w:val="006F2580"/>
    <w:rsid w:val="006F2A0E"/>
    <w:rsid w:val="006F2F34"/>
    <w:rsid w:val="006F3161"/>
    <w:rsid w:val="006F31EC"/>
    <w:rsid w:val="006F371C"/>
    <w:rsid w:val="006F3AF6"/>
    <w:rsid w:val="006F43D1"/>
    <w:rsid w:val="006F45BC"/>
    <w:rsid w:val="006F471A"/>
    <w:rsid w:val="006F49C0"/>
    <w:rsid w:val="006F4F27"/>
    <w:rsid w:val="006F52A2"/>
    <w:rsid w:val="006F536D"/>
    <w:rsid w:val="006F59AE"/>
    <w:rsid w:val="006F5CA7"/>
    <w:rsid w:val="006F6995"/>
    <w:rsid w:val="006F6BC5"/>
    <w:rsid w:val="006F7ACE"/>
    <w:rsid w:val="006F7D61"/>
    <w:rsid w:val="007000A2"/>
    <w:rsid w:val="00700E5E"/>
    <w:rsid w:val="007010DF"/>
    <w:rsid w:val="00701306"/>
    <w:rsid w:val="00701624"/>
    <w:rsid w:val="0070182F"/>
    <w:rsid w:val="00702010"/>
    <w:rsid w:val="007025B7"/>
    <w:rsid w:val="0070292D"/>
    <w:rsid w:val="007034DA"/>
    <w:rsid w:val="00703663"/>
    <w:rsid w:val="00703721"/>
    <w:rsid w:val="0070486B"/>
    <w:rsid w:val="00704B5B"/>
    <w:rsid w:val="00704C11"/>
    <w:rsid w:val="00705817"/>
    <w:rsid w:val="00705ED1"/>
    <w:rsid w:val="0070619B"/>
    <w:rsid w:val="0070655B"/>
    <w:rsid w:val="00706C89"/>
    <w:rsid w:val="00706D08"/>
    <w:rsid w:val="00707338"/>
    <w:rsid w:val="0070754B"/>
    <w:rsid w:val="00710181"/>
    <w:rsid w:val="0071197A"/>
    <w:rsid w:val="00711CF5"/>
    <w:rsid w:val="00712417"/>
    <w:rsid w:val="00712485"/>
    <w:rsid w:val="00712948"/>
    <w:rsid w:val="007129AA"/>
    <w:rsid w:val="0071350A"/>
    <w:rsid w:val="00713833"/>
    <w:rsid w:val="00713B9A"/>
    <w:rsid w:val="007141D2"/>
    <w:rsid w:val="007146F6"/>
    <w:rsid w:val="00714D96"/>
    <w:rsid w:val="00714DC9"/>
    <w:rsid w:val="00714DE0"/>
    <w:rsid w:val="007156BD"/>
    <w:rsid w:val="007158F6"/>
    <w:rsid w:val="0071697D"/>
    <w:rsid w:val="00716D54"/>
    <w:rsid w:val="007177BC"/>
    <w:rsid w:val="00720005"/>
    <w:rsid w:val="007200D7"/>
    <w:rsid w:val="00720FE6"/>
    <w:rsid w:val="00721895"/>
    <w:rsid w:val="00722221"/>
    <w:rsid w:val="00722F34"/>
    <w:rsid w:val="0072339D"/>
    <w:rsid w:val="0072401E"/>
    <w:rsid w:val="00724354"/>
    <w:rsid w:val="00724600"/>
    <w:rsid w:val="00725648"/>
    <w:rsid w:val="00725DF8"/>
    <w:rsid w:val="00725ECD"/>
    <w:rsid w:val="00726082"/>
    <w:rsid w:val="00726B94"/>
    <w:rsid w:val="00730E0C"/>
    <w:rsid w:val="00730EAA"/>
    <w:rsid w:val="0073107D"/>
    <w:rsid w:val="007313F3"/>
    <w:rsid w:val="00731CB1"/>
    <w:rsid w:val="00731EA1"/>
    <w:rsid w:val="00732252"/>
    <w:rsid w:val="00733256"/>
    <w:rsid w:val="00733352"/>
    <w:rsid w:val="00733A2C"/>
    <w:rsid w:val="00734109"/>
    <w:rsid w:val="00734E71"/>
    <w:rsid w:val="007362D7"/>
    <w:rsid w:val="00736386"/>
    <w:rsid w:val="00736425"/>
    <w:rsid w:val="00736E31"/>
    <w:rsid w:val="00737034"/>
    <w:rsid w:val="0073734E"/>
    <w:rsid w:val="00737485"/>
    <w:rsid w:val="00737524"/>
    <w:rsid w:val="007403D2"/>
    <w:rsid w:val="0074055F"/>
    <w:rsid w:val="007418A6"/>
    <w:rsid w:val="007419DD"/>
    <w:rsid w:val="00741B26"/>
    <w:rsid w:val="007427B6"/>
    <w:rsid w:val="00742D29"/>
    <w:rsid w:val="0074356F"/>
    <w:rsid w:val="007437B0"/>
    <w:rsid w:val="00743FF6"/>
    <w:rsid w:val="00744105"/>
    <w:rsid w:val="00744170"/>
    <w:rsid w:val="00744C28"/>
    <w:rsid w:val="00744FAB"/>
    <w:rsid w:val="00745214"/>
    <w:rsid w:val="00745A5E"/>
    <w:rsid w:val="00745B09"/>
    <w:rsid w:val="00745C6A"/>
    <w:rsid w:val="00746000"/>
    <w:rsid w:val="007462D0"/>
    <w:rsid w:val="0074699A"/>
    <w:rsid w:val="00746A21"/>
    <w:rsid w:val="0074729C"/>
    <w:rsid w:val="00747421"/>
    <w:rsid w:val="00747449"/>
    <w:rsid w:val="00747463"/>
    <w:rsid w:val="007474F6"/>
    <w:rsid w:val="007476A3"/>
    <w:rsid w:val="00747B2F"/>
    <w:rsid w:val="00750B26"/>
    <w:rsid w:val="00750B6B"/>
    <w:rsid w:val="00750E5D"/>
    <w:rsid w:val="007516EA"/>
    <w:rsid w:val="00752854"/>
    <w:rsid w:val="0075289B"/>
    <w:rsid w:val="00752B53"/>
    <w:rsid w:val="00752E1C"/>
    <w:rsid w:val="00753E97"/>
    <w:rsid w:val="0075410B"/>
    <w:rsid w:val="0075488F"/>
    <w:rsid w:val="00754BA5"/>
    <w:rsid w:val="00755288"/>
    <w:rsid w:val="007553FD"/>
    <w:rsid w:val="007559AB"/>
    <w:rsid w:val="00755A7D"/>
    <w:rsid w:val="00755DA6"/>
    <w:rsid w:val="007567E7"/>
    <w:rsid w:val="007567FF"/>
    <w:rsid w:val="00756842"/>
    <w:rsid w:val="00756D77"/>
    <w:rsid w:val="00756DF7"/>
    <w:rsid w:val="00756F71"/>
    <w:rsid w:val="007573E3"/>
    <w:rsid w:val="00757400"/>
    <w:rsid w:val="0075784B"/>
    <w:rsid w:val="00757F79"/>
    <w:rsid w:val="007602D8"/>
    <w:rsid w:val="00760579"/>
    <w:rsid w:val="00760609"/>
    <w:rsid w:val="007607BE"/>
    <w:rsid w:val="0076134E"/>
    <w:rsid w:val="00762C6D"/>
    <w:rsid w:val="00763153"/>
    <w:rsid w:val="007631F8"/>
    <w:rsid w:val="0076365B"/>
    <w:rsid w:val="00763B1C"/>
    <w:rsid w:val="00763F10"/>
    <w:rsid w:val="0076470D"/>
    <w:rsid w:val="00764731"/>
    <w:rsid w:val="007648D6"/>
    <w:rsid w:val="00764B65"/>
    <w:rsid w:val="00764D6E"/>
    <w:rsid w:val="00765663"/>
    <w:rsid w:val="007667EC"/>
    <w:rsid w:val="00766A32"/>
    <w:rsid w:val="00766D96"/>
    <w:rsid w:val="00767220"/>
    <w:rsid w:val="007673B6"/>
    <w:rsid w:val="0076740B"/>
    <w:rsid w:val="007675CC"/>
    <w:rsid w:val="00767938"/>
    <w:rsid w:val="007703E2"/>
    <w:rsid w:val="007706E8"/>
    <w:rsid w:val="00770868"/>
    <w:rsid w:val="007715B7"/>
    <w:rsid w:val="00771ED9"/>
    <w:rsid w:val="00772A25"/>
    <w:rsid w:val="00772B5E"/>
    <w:rsid w:val="0077388F"/>
    <w:rsid w:val="0077420D"/>
    <w:rsid w:val="00774A76"/>
    <w:rsid w:val="00776600"/>
    <w:rsid w:val="00777C15"/>
    <w:rsid w:val="00777DAC"/>
    <w:rsid w:val="00780FBF"/>
    <w:rsid w:val="007813AA"/>
    <w:rsid w:val="00781479"/>
    <w:rsid w:val="0078188F"/>
    <w:rsid w:val="007822B8"/>
    <w:rsid w:val="00783307"/>
    <w:rsid w:val="007846A6"/>
    <w:rsid w:val="00784C70"/>
    <w:rsid w:val="00785BE0"/>
    <w:rsid w:val="00785E0E"/>
    <w:rsid w:val="00785FC2"/>
    <w:rsid w:val="007862BE"/>
    <w:rsid w:val="00786723"/>
    <w:rsid w:val="00786B87"/>
    <w:rsid w:val="00787DDB"/>
    <w:rsid w:val="007900CF"/>
    <w:rsid w:val="00790830"/>
    <w:rsid w:val="0079196C"/>
    <w:rsid w:val="00791AFB"/>
    <w:rsid w:val="00791B5C"/>
    <w:rsid w:val="00791D7B"/>
    <w:rsid w:val="007924FA"/>
    <w:rsid w:val="00792A85"/>
    <w:rsid w:val="00792F0B"/>
    <w:rsid w:val="00792FF2"/>
    <w:rsid w:val="00793215"/>
    <w:rsid w:val="00794BF8"/>
    <w:rsid w:val="007959F5"/>
    <w:rsid w:val="00795C1F"/>
    <w:rsid w:val="00795C95"/>
    <w:rsid w:val="00795EC8"/>
    <w:rsid w:val="007A0A23"/>
    <w:rsid w:val="007A110A"/>
    <w:rsid w:val="007A1868"/>
    <w:rsid w:val="007A2C80"/>
    <w:rsid w:val="007A2DDA"/>
    <w:rsid w:val="007A2F7E"/>
    <w:rsid w:val="007A324E"/>
    <w:rsid w:val="007A382A"/>
    <w:rsid w:val="007A3E28"/>
    <w:rsid w:val="007A40C8"/>
    <w:rsid w:val="007A4131"/>
    <w:rsid w:val="007A4196"/>
    <w:rsid w:val="007A441C"/>
    <w:rsid w:val="007A4F58"/>
    <w:rsid w:val="007A6BE0"/>
    <w:rsid w:val="007A71DD"/>
    <w:rsid w:val="007A7BA6"/>
    <w:rsid w:val="007A7DEA"/>
    <w:rsid w:val="007A7E58"/>
    <w:rsid w:val="007B0C89"/>
    <w:rsid w:val="007B18FD"/>
    <w:rsid w:val="007B1BEC"/>
    <w:rsid w:val="007B1E91"/>
    <w:rsid w:val="007B21EE"/>
    <w:rsid w:val="007B2815"/>
    <w:rsid w:val="007B3BCD"/>
    <w:rsid w:val="007B4054"/>
    <w:rsid w:val="007B4175"/>
    <w:rsid w:val="007B55F8"/>
    <w:rsid w:val="007B6502"/>
    <w:rsid w:val="007B666E"/>
    <w:rsid w:val="007B67D5"/>
    <w:rsid w:val="007B773F"/>
    <w:rsid w:val="007B7BDF"/>
    <w:rsid w:val="007C0273"/>
    <w:rsid w:val="007C06A1"/>
    <w:rsid w:val="007C0710"/>
    <w:rsid w:val="007C099E"/>
    <w:rsid w:val="007C158C"/>
    <w:rsid w:val="007C2266"/>
    <w:rsid w:val="007C247C"/>
    <w:rsid w:val="007C287B"/>
    <w:rsid w:val="007C295C"/>
    <w:rsid w:val="007C2CC3"/>
    <w:rsid w:val="007C2DFD"/>
    <w:rsid w:val="007C323B"/>
    <w:rsid w:val="007C376C"/>
    <w:rsid w:val="007C3B1B"/>
    <w:rsid w:val="007C4076"/>
    <w:rsid w:val="007C4136"/>
    <w:rsid w:val="007C4808"/>
    <w:rsid w:val="007C5F99"/>
    <w:rsid w:val="007C617F"/>
    <w:rsid w:val="007C64CF"/>
    <w:rsid w:val="007C7DBC"/>
    <w:rsid w:val="007C7DF4"/>
    <w:rsid w:val="007D0814"/>
    <w:rsid w:val="007D0F84"/>
    <w:rsid w:val="007D16C1"/>
    <w:rsid w:val="007D30A7"/>
    <w:rsid w:val="007D30DE"/>
    <w:rsid w:val="007D3750"/>
    <w:rsid w:val="007D40F2"/>
    <w:rsid w:val="007D489F"/>
    <w:rsid w:val="007D4B62"/>
    <w:rsid w:val="007D4E53"/>
    <w:rsid w:val="007D5236"/>
    <w:rsid w:val="007D5538"/>
    <w:rsid w:val="007D62AD"/>
    <w:rsid w:val="007D63D7"/>
    <w:rsid w:val="007D6759"/>
    <w:rsid w:val="007D73C4"/>
    <w:rsid w:val="007D795E"/>
    <w:rsid w:val="007D7F95"/>
    <w:rsid w:val="007E06C8"/>
    <w:rsid w:val="007E0755"/>
    <w:rsid w:val="007E1210"/>
    <w:rsid w:val="007E142E"/>
    <w:rsid w:val="007E1523"/>
    <w:rsid w:val="007E1DE7"/>
    <w:rsid w:val="007E244A"/>
    <w:rsid w:val="007E3DC6"/>
    <w:rsid w:val="007E4150"/>
    <w:rsid w:val="007E5FC7"/>
    <w:rsid w:val="007E6705"/>
    <w:rsid w:val="007E67FD"/>
    <w:rsid w:val="007E695C"/>
    <w:rsid w:val="007E72B2"/>
    <w:rsid w:val="007E763E"/>
    <w:rsid w:val="007F0F86"/>
    <w:rsid w:val="007F1A6B"/>
    <w:rsid w:val="007F1FCB"/>
    <w:rsid w:val="007F27B6"/>
    <w:rsid w:val="007F29E6"/>
    <w:rsid w:val="007F314D"/>
    <w:rsid w:val="007F31A7"/>
    <w:rsid w:val="007F348E"/>
    <w:rsid w:val="007F389C"/>
    <w:rsid w:val="007F3CF8"/>
    <w:rsid w:val="007F41A8"/>
    <w:rsid w:val="007F4BD6"/>
    <w:rsid w:val="007F4ED2"/>
    <w:rsid w:val="007F5169"/>
    <w:rsid w:val="007F55FE"/>
    <w:rsid w:val="007F58CC"/>
    <w:rsid w:val="007F59D3"/>
    <w:rsid w:val="007F5A8B"/>
    <w:rsid w:val="007F5A94"/>
    <w:rsid w:val="007F613F"/>
    <w:rsid w:val="007F6B10"/>
    <w:rsid w:val="007F7A44"/>
    <w:rsid w:val="008006AC"/>
    <w:rsid w:val="00800D74"/>
    <w:rsid w:val="00801698"/>
    <w:rsid w:val="00803E9C"/>
    <w:rsid w:val="0080451D"/>
    <w:rsid w:val="00804D84"/>
    <w:rsid w:val="00804F25"/>
    <w:rsid w:val="00805212"/>
    <w:rsid w:val="0080533E"/>
    <w:rsid w:val="0080543E"/>
    <w:rsid w:val="0080558A"/>
    <w:rsid w:val="00806102"/>
    <w:rsid w:val="00806BAE"/>
    <w:rsid w:val="008103CD"/>
    <w:rsid w:val="00810F99"/>
    <w:rsid w:val="00811518"/>
    <w:rsid w:val="008136B4"/>
    <w:rsid w:val="00813B2C"/>
    <w:rsid w:val="00813DAE"/>
    <w:rsid w:val="008144E0"/>
    <w:rsid w:val="00814507"/>
    <w:rsid w:val="008154C8"/>
    <w:rsid w:val="00815E2E"/>
    <w:rsid w:val="00816527"/>
    <w:rsid w:val="00816816"/>
    <w:rsid w:val="00816983"/>
    <w:rsid w:val="00816E5D"/>
    <w:rsid w:val="008178E8"/>
    <w:rsid w:val="00820A89"/>
    <w:rsid w:val="00820DFA"/>
    <w:rsid w:val="008211A9"/>
    <w:rsid w:val="008214EF"/>
    <w:rsid w:val="00821C65"/>
    <w:rsid w:val="008223EA"/>
    <w:rsid w:val="00822A2A"/>
    <w:rsid w:val="00823A40"/>
    <w:rsid w:val="00823CA1"/>
    <w:rsid w:val="008249FB"/>
    <w:rsid w:val="0082696D"/>
    <w:rsid w:val="00826C12"/>
    <w:rsid w:val="00826C9B"/>
    <w:rsid w:val="008277E9"/>
    <w:rsid w:val="008279C2"/>
    <w:rsid w:val="00827AFF"/>
    <w:rsid w:val="0083003E"/>
    <w:rsid w:val="00830753"/>
    <w:rsid w:val="00830AA5"/>
    <w:rsid w:val="00830EDF"/>
    <w:rsid w:val="00831FD2"/>
    <w:rsid w:val="00832821"/>
    <w:rsid w:val="00833021"/>
    <w:rsid w:val="0083374E"/>
    <w:rsid w:val="0083455B"/>
    <w:rsid w:val="00834EAB"/>
    <w:rsid w:val="008356E8"/>
    <w:rsid w:val="008358E3"/>
    <w:rsid w:val="00836AE1"/>
    <w:rsid w:val="008372A5"/>
    <w:rsid w:val="00837303"/>
    <w:rsid w:val="00837612"/>
    <w:rsid w:val="0083776B"/>
    <w:rsid w:val="00837DFF"/>
    <w:rsid w:val="00837E4B"/>
    <w:rsid w:val="008402DE"/>
    <w:rsid w:val="008404F8"/>
    <w:rsid w:val="008405C5"/>
    <w:rsid w:val="008410C4"/>
    <w:rsid w:val="00841111"/>
    <w:rsid w:val="00841133"/>
    <w:rsid w:val="00841166"/>
    <w:rsid w:val="00842066"/>
    <w:rsid w:val="008425EA"/>
    <w:rsid w:val="0084307E"/>
    <w:rsid w:val="00843643"/>
    <w:rsid w:val="008440BF"/>
    <w:rsid w:val="00845934"/>
    <w:rsid w:val="008461ED"/>
    <w:rsid w:val="00846697"/>
    <w:rsid w:val="00847562"/>
    <w:rsid w:val="00847772"/>
    <w:rsid w:val="00847F94"/>
    <w:rsid w:val="008508B1"/>
    <w:rsid w:val="00851676"/>
    <w:rsid w:val="00851D07"/>
    <w:rsid w:val="00851D8F"/>
    <w:rsid w:val="00852199"/>
    <w:rsid w:val="00852227"/>
    <w:rsid w:val="00852608"/>
    <w:rsid w:val="00852ADB"/>
    <w:rsid w:val="00853697"/>
    <w:rsid w:val="0085388E"/>
    <w:rsid w:val="00853BBD"/>
    <w:rsid w:val="00853CE8"/>
    <w:rsid w:val="00853FDF"/>
    <w:rsid w:val="00855879"/>
    <w:rsid w:val="00855D1F"/>
    <w:rsid w:val="00856085"/>
    <w:rsid w:val="00856B14"/>
    <w:rsid w:val="00856BC5"/>
    <w:rsid w:val="0085793E"/>
    <w:rsid w:val="008603B2"/>
    <w:rsid w:val="00860807"/>
    <w:rsid w:val="00860B42"/>
    <w:rsid w:val="00860DE7"/>
    <w:rsid w:val="008615E1"/>
    <w:rsid w:val="00861D81"/>
    <w:rsid w:val="00862376"/>
    <w:rsid w:val="00863547"/>
    <w:rsid w:val="00863ED4"/>
    <w:rsid w:val="00863F76"/>
    <w:rsid w:val="00863FFF"/>
    <w:rsid w:val="00864996"/>
    <w:rsid w:val="00864D2D"/>
    <w:rsid w:val="00865A2F"/>
    <w:rsid w:val="00865AE5"/>
    <w:rsid w:val="0086677E"/>
    <w:rsid w:val="00866D79"/>
    <w:rsid w:val="0086708C"/>
    <w:rsid w:val="00870138"/>
    <w:rsid w:val="008704DE"/>
    <w:rsid w:val="00870545"/>
    <w:rsid w:val="00870F6B"/>
    <w:rsid w:val="00872A4A"/>
    <w:rsid w:val="00872A7A"/>
    <w:rsid w:val="00872F01"/>
    <w:rsid w:val="008747B1"/>
    <w:rsid w:val="008756CA"/>
    <w:rsid w:val="00875F6F"/>
    <w:rsid w:val="008762EB"/>
    <w:rsid w:val="0087666F"/>
    <w:rsid w:val="008767F6"/>
    <w:rsid w:val="008771A6"/>
    <w:rsid w:val="008772FD"/>
    <w:rsid w:val="00877827"/>
    <w:rsid w:val="00880D25"/>
    <w:rsid w:val="00881375"/>
    <w:rsid w:val="008815FC"/>
    <w:rsid w:val="008818B6"/>
    <w:rsid w:val="008824A5"/>
    <w:rsid w:val="00883C82"/>
    <w:rsid w:val="00883EBE"/>
    <w:rsid w:val="008842E1"/>
    <w:rsid w:val="00884577"/>
    <w:rsid w:val="00884A73"/>
    <w:rsid w:val="00884BC8"/>
    <w:rsid w:val="00885106"/>
    <w:rsid w:val="00885377"/>
    <w:rsid w:val="0088609E"/>
    <w:rsid w:val="0088614B"/>
    <w:rsid w:val="00887284"/>
    <w:rsid w:val="0088765B"/>
    <w:rsid w:val="0088767A"/>
    <w:rsid w:val="00887A7C"/>
    <w:rsid w:val="008906BB"/>
    <w:rsid w:val="008907BA"/>
    <w:rsid w:val="0089087D"/>
    <w:rsid w:val="00890BA1"/>
    <w:rsid w:val="00891005"/>
    <w:rsid w:val="00891760"/>
    <w:rsid w:val="008919A1"/>
    <w:rsid w:val="00892FB9"/>
    <w:rsid w:val="008933B1"/>
    <w:rsid w:val="00893605"/>
    <w:rsid w:val="0089380F"/>
    <w:rsid w:val="00894D80"/>
    <w:rsid w:val="00895C45"/>
    <w:rsid w:val="00895DD2"/>
    <w:rsid w:val="00896189"/>
    <w:rsid w:val="008962EB"/>
    <w:rsid w:val="0089716B"/>
    <w:rsid w:val="008974AD"/>
    <w:rsid w:val="00897A18"/>
    <w:rsid w:val="00897BFC"/>
    <w:rsid w:val="00897C74"/>
    <w:rsid w:val="00897F75"/>
    <w:rsid w:val="008A012D"/>
    <w:rsid w:val="008A0FBD"/>
    <w:rsid w:val="008A12F5"/>
    <w:rsid w:val="008A15BC"/>
    <w:rsid w:val="008A173C"/>
    <w:rsid w:val="008A256A"/>
    <w:rsid w:val="008A3281"/>
    <w:rsid w:val="008A39AB"/>
    <w:rsid w:val="008A3D14"/>
    <w:rsid w:val="008A41B0"/>
    <w:rsid w:val="008A46E2"/>
    <w:rsid w:val="008A4C9A"/>
    <w:rsid w:val="008A4D4D"/>
    <w:rsid w:val="008A50E6"/>
    <w:rsid w:val="008A5AFD"/>
    <w:rsid w:val="008A6456"/>
    <w:rsid w:val="008A70F7"/>
    <w:rsid w:val="008A7589"/>
    <w:rsid w:val="008A7E8E"/>
    <w:rsid w:val="008B085E"/>
    <w:rsid w:val="008B10BB"/>
    <w:rsid w:val="008B131A"/>
    <w:rsid w:val="008B167E"/>
    <w:rsid w:val="008B1D9E"/>
    <w:rsid w:val="008B2365"/>
    <w:rsid w:val="008B262A"/>
    <w:rsid w:val="008B268F"/>
    <w:rsid w:val="008B2EF9"/>
    <w:rsid w:val="008B3801"/>
    <w:rsid w:val="008B45FB"/>
    <w:rsid w:val="008B53D8"/>
    <w:rsid w:val="008B5617"/>
    <w:rsid w:val="008B5CF8"/>
    <w:rsid w:val="008B6078"/>
    <w:rsid w:val="008B76A3"/>
    <w:rsid w:val="008B7D39"/>
    <w:rsid w:val="008C03E6"/>
    <w:rsid w:val="008C189B"/>
    <w:rsid w:val="008C2889"/>
    <w:rsid w:val="008C2B8E"/>
    <w:rsid w:val="008C3ACC"/>
    <w:rsid w:val="008C4616"/>
    <w:rsid w:val="008C4772"/>
    <w:rsid w:val="008C5E9C"/>
    <w:rsid w:val="008C618E"/>
    <w:rsid w:val="008C64B9"/>
    <w:rsid w:val="008C6961"/>
    <w:rsid w:val="008C7001"/>
    <w:rsid w:val="008C731D"/>
    <w:rsid w:val="008D01A3"/>
    <w:rsid w:val="008D0EF6"/>
    <w:rsid w:val="008D14F0"/>
    <w:rsid w:val="008D1B19"/>
    <w:rsid w:val="008D28F9"/>
    <w:rsid w:val="008D32DF"/>
    <w:rsid w:val="008D32F5"/>
    <w:rsid w:val="008D4C6F"/>
    <w:rsid w:val="008D569A"/>
    <w:rsid w:val="008D5E64"/>
    <w:rsid w:val="008D6286"/>
    <w:rsid w:val="008D71F7"/>
    <w:rsid w:val="008D71FA"/>
    <w:rsid w:val="008D774D"/>
    <w:rsid w:val="008E0407"/>
    <w:rsid w:val="008E075A"/>
    <w:rsid w:val="008E0FDA"/>
    <w:rsid w:val="008E18C9"/>
    <w:rsid w:val="008E1B9F"/>
    <w:rsid w:val="008E1DF3"/>
    <w:rsid w:val="008E21FF"/>
    <w:rsid w:val="008E2695"/>
    <w:rsid w:val="008E2BAA"/>
    <w:rsid w:val="008E2C21"/>
    <w:rsid w:val="008E3C5A"/>
    <w:rsid w:val="008E3D25"/>
    <w:rsid w:val="008E3D7B"/>
    <w:rsid w:val="008E42B1"/>
    <w:rsid w:val="008E5773"/>
    <w:rsid w:val="008E5A42"/>
    <w:rsid w:val="008E5A5E"/>
    <w:rsid w:val="008E5AB6"/>
    <w:rsid w:val="008E661D"/>
    <w:rsid w:val="008E6A81"/>
    <w:rsid w:val="008E6DCA"/>
    <w:rsid w:val="008E6FAD"/>
    <w:rsid w:val="008F01F9"/>
    <w:rsid w:val="008F1144"/>
    <w:rsid w:val="008F1618"/>
    <w:rsid w:val="008F2437"/>
    <w:rsid w:val="008F3ABD"/>
    <w:rsid w:val="008F3DEB"/>
    <w:rsid w:val="008F4227"/>
    <w:rsid w:val="008F5178"/>
    <w:rsid w:val="008F5C7B"/>
    <w:rsid w:val="008F5E6F"/>
    <w:rsid w:val="008F6227"/>
    <w:rsid w:val="008F6D24"/>
    <w:rsid w:val="008F770E"/>
    <w:rsid w:val="00900175"/>
    <w:rsid w:val="009005A2"/>
    <w:rsid w:val="00900DF7"/>
    <w:rsid w:val="00900F7E"/>
    <w:rsid w:val="009016DC"/>
    <w:rsid w:val="00901990"/>
    <w:rsid w:val="009022B5"/>
    <w:rsid w:val="00902AE5"/>
    <w:rsid w:val="00902CB7"/>
    <w:rsid w:val="0090320D"/>
    <w:rsid w:val="009034A8"/>
    <w:rsid w:val="0090399A"/>
    <w:rsid w:val="00903A31"/>
    <w:rsid w:val="00903BD2"/>
    <w:rsid w:val="00903E0B"/>
    <w:rsid w:val="00904272"/>
    <w:rsid w:val="0090499C"/>
    <w:rsid w:val="00904A44"/>
    <w:rsid w:val="00905056"/>
    <w:rsid w:val="00905CD5"/>
    <w:rsid w:val="00905D50"/>
    <w:rsid w:val="00905FEB"/>
    <w:rsid w:val="009068C1"/>
    <w:rsid w:val="00907100"/>
    <w:rsid w:val="009072E6"/>
    <w:rsid w:val="00907B51"/>
    <w:rsid w:val="00907BF6"/>
    <w:rsid w:val="0091143F"/>
    <w:rsid w:val="00911F70"/>
    <w:rsid w:val="0091264D"/>
    <w:rsid w:val="0091287A"/>
    <w:rsid w:val="00913A1C"/>
    <w:rsid w:val="00913F9C"/>
    <w:rsid w:val="009155C8"/>
    <w:rsid w:val="00916A14"/>
    <w:rsid w:val="00916AA3"/>
    <w:rsid w:val="00916ADA"/>
    <w:rsid w:val="009205AA"/>
    <w:rsid w:val="00921177"/>
    <w:rsid w:val="009211CC"/>
    <w:rsid w:val="0092136D"/>
    <w:rsid w:val="00921431"/>
    <w:rsid w:val="00921579"/>
    <w:rsid w:val="009220C6"/>
    <w:rsid w:val="009223D2"/>
    <w:rsid w:val="00922684"/>
    <w:rsid w:val="00922E4F"/>
    <w:rsid w:val="00923F06"/>
    <w:rsid w:val="00924216"/>
    <w:rsid w:val="00924219"/>
    <w:rsid w:val="00924659"/>
    <w:rsid w:val="00924CDC"/>
    <w:rsid w:val="00925DB7"/>
    <w:rsid w:val="00926222"/>
    <w:rsid w:val="00926690"/>
    <w:rsid w:val="00926A69"/>
    <w:rsid w:val="00926AE5"/>
    <w:rsid w:val="00926FCF"/>
    <w:rsid w:val="009277E3"/>
    <w:rsid w:val="00927D90"/>
    <w:rsid w:val="00927F2F"/>
    <w:rsid w:val="00930A0D"/>
    <w:rsid w:val="009311A6"/>
    <w:rsid w:val="00931DDD"/>
    <w:rsid w:val="00932469"/>
    <w:rsid w:val="00933391"/>
    <w:rsid w:val="00934F63"/>
    <w:rsid w:val="009355E4"/>
    <w:rsid w:val="00935F48"/>
    <w:rsid w:val="00936399"/>
    <w:rsid w:val="00936BB0"/>
    <w:rsid w:val="00936F49"/>
    <w:rsid w:val="00937062"/>
    <w:rsid w:val="0093745D"/>
    <w:rsid w:val="009376B9"/>
    <w:rsid w:val="00940E69"/>
    <w:rsid w:val="00940EFC"/>
    <w:rsid w:val="009411EF"/>
    <w:rsid w:val="009419B7"/>
    <w:rsid w:val="00941B0F"/>
    <w:rsid w:val="00942078"/>
    <w:rsid w:val="0094280B"/>
    <w:rsid w:val="0094294D"/>
    <w:rsid w:val="00942986"/>
    <w:rsid w:val="00943D94"/>
    <w:rsid w:val="00943F64"/>
    <w:rsid w:val="00944099"/>
    <w:rsid w:val="0094448B"/>
    <w:rsid w:val="009448FB"/>
    <w:rsid w:val="00944AC6"/>
    <w:rsid w:val="009450E9"/>
    <w:rsid w:val="009451CF"/>
    <w:rsid w:val="00945337"/>
    <w:rsid w:val="00945CBB"/>
    <w:rsid w:val="00945DD8"/>
    <w:rsid w:val="00946317"/>
    <w:rsid w:val="009463D2"/>
    <w:rsid w:val="009463E6"/>
    <w:rsid w:val="0094643D"/>
    <w:rsid w:val="009468E3"/>
    <w:rsid w:val="009478F3"/>
    <w:rsid w:val="00947BEB"/>
    <w:rsid w:val="00950E2A"/>
    <w:rsid w:val="009511A0"/>
    <w:rsid w:val="009515A8"/>
    <w:rsid w:val="00951636"/>
    <w:rsid w:val="0095227A"/>
    <w:rsid w:val="00952D23"/>
    <w:rsid w:val="00953058"/>
    <w:rsid w:val="00953313"/>
    <w:rsid w:val="009533A0"/>
    <w:rsid w:val="009537CE"/>
    <w:rsid w:val="0095386F"/>
    <w:rsid w:val="00953F8D"/>
    <w:rsid w:val="00953FA4"/>
    <w:rsid w:val="009549BE"/>
    <w:rsid w:val="0095522B"/>
    <w:rsid w:val="00955E05"/>
    <w:rsid w:val="00956678"/>
    <w:rsid w:val="009566EE"/>
    <w:rsid w:val="00956C38"/>
    <w:rsid w:val="00956F06"/>
    <w:rsid w:val="00957A1C"/>
    <w:rsid w:val="00957D1A"/>
    <w:rsid w:val="00957EF4"/>
    <w:rsid w:val="009605AC"/>
    <w:rsid w:val="00960940"/>
    <w:rsid w:val="00960CBE"/>
    <w:rsid w:val="009618AD"/>
    <w:rsid w:val="00962AFD"/>
    <w:rsid w:val="009641E3"/>
    <w:rsid w:val="00964292"/>
    <w:rsid w:val="009646E1"/>
    <w:rsid w:val="00964ECE"/>
    <w:rsid w:val="009662D6"/>
    <w:rsid w:val="0096671E"/>
    <w:rsid w:val="00966791"/>
    <w:rsid w:val="00966E5C"/>
    <w:rsid w:val="0096710F"/>
    <w:rsid w:val="009672EA"/>
    <w:rsid w:val="009707DF"/>
    <w:rsid w:val="009724ED"/>
    <w:rsid w:val="009725DF"/>
    <w:rsid w:val="00972934"/>
    <w:rsid w:val="00972F60"/>
    <w:rsid w:val="0097398C"/>
    <w:rsid w:val="009739E4"/>
    <w:rsid w:val="009743E3"/>
    <w:rsid w:val="00974435"/>
    <w:rsid w:val="00975128"/>
    <w:rsid w:val="0097559D"/>
    <w:rsid w:val="00975B23"/>
    <w:rsid w:val="009765F7"/>
    <w:rsid w:val="009801C3"/>
    <w:rsid w:val="0098071F"/>
    <w:rsid w:val="0098076A"/>
    <w:rsid w:val="00980894"/>
    <w:rsid w:val="00980AE7"/>
    <w:rsid w:val="00980BA0"/>
    <w:rsid w:val="00981055"/>
    <w:rsid w:val="009820AC"/>
    <w:rsid w:val="009825FE"/>
    <w:rsid w:val="00982C47"/>
    <w:rsid w:val="009833C5"/>
    <w:rsid w:val="00983629"/>
    <w:rsid w:val="009837B4"/>
    <w:rsid w:val="00983A2A"/>
    <w:rsid w:val="009849A1"/>
    <w:rsid w:val="00984D63"/>
    <w:rsid w:val="00985B12"/>
    <w:rsid w:val="00986A65"/>
    <w:rsid w:val="009879F2"/>
    <w:rsid w:val="00990035"/>
    <w:rsid w:val="0099028F"/>
    <w:rsid w:val="00990676"/>
    <w:rsid w:val="0099093E"/>
    <w:rsid w:val="00991512"/>
    <w:rsid w:val="009917F8"/>
    <w:rsid w:val="009928DE"/>
    <w:rsid w:val="00992A6F"/>
    <w:rsid w:val="00992D2E"/>
    <w:rsid w:val="00993DBE"/>
    <w:rsid w:val="00995066"/>
    <w:rsid w:val="00996413"/>
    <w:rsid w:val="0099655A"/>
    <w:rsid w:val="00996746"/>
    <w:rsid w:val="00997612"/>
    <w:rsid w:val="00997736"/>
    <w:rsid w:val="009A05DD"/>
    <w:rsid w:val="009A08D8"/>
    <w:rsid w:val="009A190C"/>
    <w:rsid w:val="009A1D39"/>
    <w:rsid w:val="009A1FDD"/>
    <w:rsid w:val="009A2811"/>
    <w:rsid w:val="009A28A4"/>
    <w:rsid w:val="009A2E3F"/>
    <w:rsid w:val="009A3CE5"/>
    <w:rsid w:val="009A401A"/>
    <w:rsid w:val="009A59A0"/>
    <w:rsid w:val="009A71C9"/>
    <w:rsid w:val="009A724F"/>
    <w:rsid w:val="009A735C"/>
    <w:rsid w:val="009A7F0D"/>
    <w:rsid w:val="009B008D"/>
    <w:rsid w:val="009B04AC"/>
    <w:rsid w:val="009B1AEA"/>
    <w:rsid w:val="009B24BD"/>
    <w:rsid w:val="009B37EE"/>
    <w:rsid w:val="009B3A91"/>
    <w:rsid w:val="009B435F"/>
    <w:rsid w:val="009B4C44"/>
    <w:rsid w:val="009B514A"/>
    <w:rsid w:val="009B5819"/>
    <w:rsid w:val="009B5E61"/>
    <w:rsid w:val="009B662E"/>
    <w:rsid w:val="009B6DEC"/>
    <w:rsid w:val="009B6FDF"/>
    <w:rsid w:val="009B7444"/>
    <w:rsid w:val="009B7966"/>
    <w:rsid w:val="009B7C18"/>
    <w:rsid w:val="009C06ED"/>
    <w:rsid w:val="009C0876"/>
    <w:rsid w:val="009C1BB6"/>
    <w:rsid w:val="009C1F5F"/>
    <w:rsid w:val="009C200E"/>
    <w:rsid w:val="009C2CC4"/>
    <w:rsid w:val="009C3300"/>
    <w:rsid w:val="009C3E86"/>
    <w:rsid w:val="009C496F"/>
    <w:rsid w:val="009C5973"/>
    <w:rsid w:val="009C6226"/>
    <w:rsid w:val="009C66AF"/>
    <w:rsid w:val="009C6DB2"/>
    <w:rsid w:val="009C6E56"/>
    <w:rsid w:val="009C7C22"/>
    <w:rsid w:val="009D20A9"/>
    <w:rsid w:val="009D331C"/>
    <w:rsid w:val="009D36AB"/>
    <w:rsid w:val="009D45BD"/>
    <w:rsid w:val="009D4DB4"/>
    <w:rsid w:val="009D4EAB"/>
    <w:rsid w:val="009D5A8A"/>
    <w:rsid w:val="009D5EB4"/>
    <w:rsid w:val="009D61F2"/>
    <w:rsid w:val="009D7E6C"/>
    <w:rsid w:val="009E046B"/>
    <w:rsid w:val="009E0BEF"/>
    <w:rsid w:val="009E0D2F"/>
    <w:rsid w:val="009E19B5"/>
    <w:rsid w:val="009E1A45"/>
    <w:rsid w:val="009E244B"/>
    <w:rsid w:val="009E276A"/>
    <w:rsid w:val="009E288F"/>
    <w:rsid w:val="009E2E61"/>
    <w:rsid w:val="009E33BC"/>
    <w:rsid w:val="009E3424"/>
    <w:rsid w:val="009E387D"/>
    <w:rsid w:val="009E4071"/>
    <w:rsid w:val="009E44BA"/>
    <w:rsid w:val="009E4B77"/>
    <w:rsid w:val="009E52A4"/>
    <w:rsid w:val="009E562F"/>
    <w:rsid w:val="009E5AB9"/>
    <w:rsid w:val="009E6842"/>
    <w:rsid w:val="009E6C0B"/>
    <w:rsid w:val="009E74D5"/>
    <w:rsid w:val="009E7F6B"/>
    <w:rsid w:val="009F089B"/>
    <w:rsid w:val="009F2D53"/>
    <w:rsid w:val="009F31BC"/>
    <w:rsid w:val="009F3266"/>
    <w:rsid w:val="009F38E7"/>
    <w:rsid w:val="009F3D97"/>
    <w:rsid w:val="009F3FDE"/>
    <w:rsid w:val="009F470B"/>
    <w:rsid w:val="009F4AAA"/>
    <w:rsid w:val="009F4EA4"/>
    <w:rsid w:val="009F4FDA"/>
    <w:rsid w:val="009F5592"/>
    <w:rsid w:val="009F60F0"/>
    <w:rsid w:val="009F6D27"/>
    <w:rsid w:val="009F7CD5"/>
    <w:rsid w:val="00A02377"/>
    <w:rsid w:val="00A031DA"/>
    <w:rsid w:val="00A039C2"/>
    <w:rsid w:val="00A040E8"/>
    <w:rsid w:val="00A04215"/>
    <w:rsid w:val="00A048AD"/>
    <w:rsid w:val="00A051DE"/>
    <w:rsid w:val="00A10926"/>
    <w:rsid w:val="00A10A98"/>
    <w:rsid w:val="00A10CCE"/>
    <w:rsid w:val="00A11150"/>
    <w:rsid w:val="00A115FC"/>
    <w:rsid w:val="00A11DD7"/>
    <w:rsid w:val="00A1200F"/>
    <w:rsid w:val="00A12214"/>
    <w:rsid w:val="00A126E9"/>
    <w:rsid w:val="00A1296D"/>
    <w:rsid w:val="00A12D38"/>
    <w:rsid w:val="00A12E1E"/>
    <w:rsid w:val="00A12F50"/>
    <w:rsid w:val="00A13F1A"/>
    <w:rsid w:val="00A15238"/>
    <w:rsid w:val="00A1524B"/>
    <w:rsid w:val="00A1568B"/>
    <w:rsid w:val="00A15719"/>
    <w:rsid w:val="00A1575E"/>
    <w:rsid w:val="00A15796"/>
    <w:rsid w:val="00A15AD6"/>
    <w:rsid w:val="00A1691C"/>
    <w:rsid w:val="00A16A04"/>
    <w:rsid w:val="00A16B9D"/>
    <w:rsid w:val="00A17AD9"/>
    <w:rsid w:val="00A17E39"/>
    <w:rsid w:val="00A20238"/>
    <w:rsid w:val="00A203FD"/>
    <w:rsid w:val="00A209CD"/>
    <w:rsid w:val="00A21544"/>
    <w:rsid w:val="00A21652"/>
    <w:rsid w:val="00A2210B"/>
    <w:rsid w:val="00A22735"/>
    <w:rsid w:val="00A238BD"/>
    <w:rsid w:val="00A2453E"/>
    <w:rsid w:val="00A24666"/>
    <w:rsid w:val="00A246BD"/>
    <w:rsid w:val="00A248D7"/>
    <w:rsid w:val="00A24BCB"/>
    <w:rsid w:val="00A24DD9"/>
    <w:rsid w:val="00A24F26"/>
    <w:rsid w:val="00A251BD"/>
    <w:rsid w:val="00A25414"/>
    <w:rsid w:val="00A262F3"/>
    <w:rsid w:val="00A26487"/>
    <w:rsid w:val="00A26C5F"/>
    <w:rsid w:val="00A2779F"/>
    <w:rsid w:val="00A2799E"/>
    <w:rsid w:val="00A27F61"/>
    <w:rsid w:val="00A3013E"/>
    <w:rsid w:val="00A30F3D"/>
    <w:rsid w:val="00A31735"/>
    <w:rsid w:val="00A31B44"/>
    <w:rsid w:val="00A32451"/>
    <w:rsid w:val="00A334C5"/>
    <w:rsid w:val="00A343C6"/>
    <w:rsid w:val="00A345AF"/>
    <w:rsid w:val="00A34AB2"/>
    <w:rsid w:val="00A34C48"/>
    <w:rsid w:val="00A34E95"/>
    <w:rsid w:val="00A35075"/>
    <w:rsid w:val="00A3530C"/>
    <w:rsid w:val="00A36965"/>
    <w:rsid w:val="00A4087E"/>
    <w:rsid w:val="00A40F65"/>
    <w:rsid w:val="00A414B0"/>
    <w:rsid w:val="00A416E9"/>
    <w:rsid w:val="00A4198B"/>
    <w:rsid w:val="00A41AF5"/>
    <w:rsid w:val="00A41DDD"/>
    <w:rsid w:val="00A4221A"/>
    <w:rsid w:val="00A42D2D"/>
    <w:rsid w:val="00A43102"/>
    <w:rsid w:val="00A447D2"/>
    <w:rsid w:val="00A44875"/>
    <w:rsid w:val="00A45A05"/>
    <w:rsid w:val="00A45AB0"/>
    <w:rsid w:val="00A46500"/>
    <w:rsid w:val="00A47045"/>
    <w:rsid w:val="00A4736B"/>
    <w:rsid w:val="00A475E5"/>
    <w:rsid w:val="00A505BA"/>
    <w:rsid w:val="00A513A5"/>
    <w:rsid w:val="00A517CE"/>
    <w:rsid w:val="00A51A2C"/>
    <w:rsid w:val="00A52096"/>
    <w:rsid w:val="00A5378F"/>
    <w:rsid w:val="00A53A9F"/>
    <w:rsid w:val="00A54375"/>
    <w:rsid w:val="00A55D01"/>
    <w:rsid w:val="00A56684"/>
    <w:rsid w:val="00A56D33"/>
    <w:rsid w:val="00A56E05"/>
    <w:rsid w:val="00A57EA5"/>
    <w:rsid w:val="00A6045F"/>
    <w:rsid w:val="00A605B4"/>
    <w:rsid w:val="00A606F8"/>
    <w:rsid w:val="00A60889"/>
    <w:rsid w:val="00A610B6"/>
    <w:rsid w:val="00A61AB6"/>
    <w:rsid w:val="00A62B57"/>
    <w:rsid w:val="00A634BE"/>
    <w:rsid w:val="00A634D8"/>
    <w:rsid w:val="00A637F2"/>
    <w:rsid w:val="00A640A5"/>
    <w:rsid w:val="00A647B0"/>
    <w:rsid w:val="00A649DA"/>
    <w:rsid w:val="00A65CCD"/>
    <w:rsid w:val="00A663BB"/>
    <w:rsid w:val="00A66975"/>
    <w:rsid w:val="00A66FC0"/>
    <w:rsid w:val="00A67225"/>
    <w:rsid w:val="00A700A1"/>
    <w:rsid w:val="00A7018F"/>
    <w:rsid w:val="00A7030A"/>
    <w:rsid w:val="00A70F57"/>
    <w:rsid w:val="00A70F8E"/>
    <w:rsid w:val="00A70FF5"/>
    <w:rsid w:val="00A70FFE"/>
    <w:rsid w:val="00A71F8E"/>
    <w:rsid w:val="00A7264F"/>
    <w:rsid w:val="00A72A82"/>
    <w:rsid w:val="00A72D14"/>
    <w:rsid w:val="00A731C1"/>
    <w:rsid w:val="00A734D5"/>
    <w:rsid w:val="00A735DB"/>
    <w:rsid w:val="00A743C7"/>
    <w:rsid w:val="00A753E3"/>
    <w:rsid w:val="00A755C6"/>
    <w:rsid w:val="00A75B61"/>
    <w:rsid w:val="00A76BE1"/>
    <w:rsid w:val="00A77104"/>
    <w:rsid w:val="00A7770D"/>
    <w:rsid w:val="00A80186"/>
    <w:rsid w:val="00A80AD8"/>
    <w:rsid w:val="00A8173C"/>
    <w:rsid w:val="00A81B64"/>
    <w:rsid w:val="00A82755"/>
    <w:rsid w:val="00A8352B"/>
    <w:rsid w:val="00A8374D"/>
    <w:rsid w:val="00A83EB6"/>
    <w:rsid w:val="00A8497C"/>
    <w:rsid w:val="00A851A4"/>
    <w:rsid w:val="00A85DE0"/>
    <w:rsid w:val="00A86B55"/>
    <w:rsid w:val="00A86D82"/>
    <w:rsid w:val="00A87079"/>
    <w:rsid w:val="00A90E15"/>
    <w:rsid w:val="00A91CFF"/>
    <w:rsid w:val="00A92F42"/>
    <w:rsid w:val="00A93037"/>
    <w:rsid w:val="00A93451"/>
    <w:rsid w:val="00A94464"/>
    <w:rsid w:val="00A94845"/>
    <w:rsid w:val="00A95473"/>
    <w:rsid w:val="00A955E2"/>
    <w:rsid w:val="00A958CA"/>
    <w:rsid w:val="00A95C4E"/>
    <w:rsid w:val="00A96295"/>
    <w:rsid w:val="00A96AE4"/>
    <w:rsid w:val="00A96D47"/>
    <w:rsid w:val="00A973B0"/>
    <w:rsid w:val="00A9791F"/>
    <w:rsid w:val="00A97970"/>
    <w:rsid w:val="00A979A5"/>
    <w:rsid w:val="00A97D23"/>
    <w:rsid w:val="00AA00BB"/>
    <w:rsid w:val="00AA0374"/>
    <w:rsid w:val="00AA0C98"/>
    <w:rsid w:val="00AA1E7E"/>
    <w:rsid w:val="00AA1FF1"/>
    <w:rsid w:val="00AA20D0"/>
    <w:rsid w:val="00AA234F"/>
    <w:rsid w:val="00AA26F9"/>
    <w:rsid w:val="00AA3625"/>
    <w:rsid w:val="00AA3991"/>
    <w:rsid w:val="00AA4913"/>
    <w:rsid w:val="00AA55A5"/>
    <w:rsid w:val="00AA661A"/>
    <w:rsid w:val="00AA6E8D"/>
    <w:rsid w:val="00AA725E"/>
    <w:rsid w:val="00AA7278"/>
    <w:rsid w:val="00AA727C"/>
    <w:rsid w:val="00AA7A13"/>
    <w:rsid w:val="00AB02B2"/>
    <w:rsid w:val="00AB02D2"/>
    <w:rsid w:val="00AB1855"/>
    <w:rsid w:val="00AB18B3"/>
    <w:rsid w:val="00AB1985"/>
    <w:rsid w:val="00AB19C1"/>
    <w:rsid w:val="00AB1F41"/>
    <w:rsid w:val="00AB2768"/>
    <w:rsid w:val="00AB327F"/>
    <w:rsid w:val="00AB3342"/>
    <w:rsid w:val="00AB348E"/>
    <w:rsid w:val="00AB35DA"/>
    <w:rsid w:val="00AB4345"/>
    <w:rsid w:val="00AB4B70"/>
    <w:rsid w:val="00AB5673"/>
    <w:rsid w:val="00AB56FD"/>
    <w:rsid w:val="00AB57F5"/>
    <w:rsid w:val="00AB5B7A"/>
    <w:rsid w:val="00AB6AD6"/>
    <w:rsid w:val="00AB6B7B"/>
    <w:rsid w:val="00AB7D98"/>
    <w:rsid w:val="00AB7EEA"/>
    <w:rsid w:val="00AC0181"/>
    <w:rsid w:val="00AC01D0"/>
    <w:rsid w:val="00AC1051"/>
    <w:rsid w:val="00AC2536"/>
    <w:rsid w:val="00AC2617"/>
    <w:rsid w:val="00AC2695"/>
    <w:rsid w:val="00AC26B1"/>
    <w:rsid w:val="00AC37FE"/>
    <w:rsid w:val="00AC5614"/>
    <w:rsid w:val="00AC71C3"/>
    <w:rsid w:val="00AC75A6"/>
    <w:rsid w:val="00AC75C8"/>
    <w:rsid w:val="00AC7819"/>
    <w:rsid w:val="00AC7B48"/>
    <w:rsid w:val="00AC7CF9"/>
    <w:rsid w:val="00AD071E"/>
    <w:rsid w:val="00AD1035"/>
    <w:rsid w:val="00AD1261"/>
    <w:rsid w:val="00AD13BC"/>
    <w:rsid w:val="00AD2C65"/>
    <w:rsid w:val="00AD3E64"/>
    <w:rsid w:val="00AD48E0"/>
    <w:rsid w:val="00AD4A6D"/>
    <w:rsid w:val="00AD5A2E"/>
    <w:rsid w:val="00AD5C5C"/>
    <w:rsid w:val="00AD66BE"/>
    <w:rsid w:val="00AD6B6B"/>
    <w:rsid w:val="00AD6D23"/>
    <w:rsid w:val="00AD758D"/>
    <w:rsid w:val="00AE08F1"/>
    <w:rsid w:val="00AE0BC2"/>
    <w:rsid w:val="00AE0D0B"/>
    <w:rsid w:val="00AE13EE"/>
    <w:rsid w:val="00AE1A95"/>
    <w:rsid w:val="00AE222E"/>
    <w:rsid w:val="00AE25EB"/>
    <w:rsid w:val="00AE28CC"/>
    <w:rsid w:val="00AE296C"/>
    <w:rsid w:val="00AE2B54"/>
    <w:rsid w:val="00AE2EEE"/>
    <w:rsid w:val="00AE32A0"/>
    <w:rsid w:val="00AE374D"/>
    <w:rsid w:val="00AE45AE"/>
    <w:rsid w:val="00AE4F55"/>
    <w:rsid w:val="00AE58DF"/>
    <w:rsid w:val="00AE5AAA"/>
    <w:rsid w:val="00AE6415"/>
    <w:rsid w:val="00AE6889"/>
    <w:rsid w:val="00AE6A67"/>
    <w:rsid w:val="00AE6F9E"/>
    <w:rsid w:val="00AE74B3"/>
    <w:rsid w:val="00AF00FC"/>
    <w:rsid w:val="00AF19C4"/>
    <w:rsid w:val="00AF1AED"/>
    <w:rsid w:val="00AF2940"/>
    <w:rsid w:val="00AF2F22"/>
    <w:rsid w:val="00AF43E4"/>
    <w:rsid w:val="00AF558D"/>
    <w:rsid w:val="00AF603C"/>
    <w:rsid w:val="00AF613C"/>
    <w:rsid w:val="00AF662C"/>
    <w:rsid w:val="00AF702E"/>
    <w:rsid w:val="00AF73DD"/>
    <w:rsid w:val="00AF76CC"/>
    <w:rsid w:val="00B003B7"/>
    <w:rsid w:val="00B004BC"/>
    <w:rsid w:val="00B00B0F"/>
    <w:rsid w:val="00B00FB8"/>
    <w:rsid w:val="00B012AA"/>
    <w:rsid w:val="00B01D07"/>
    <w:rsid w:val="00B01D68"/>
    <w:rsid w:val="00B02217"/>
    <w:rsid w:val="00B02C67"/>
    <w:rsid w:val="00B037E7"/>
    <w:rsid w:val="00B03E1E"/>
    <w:rsid w:val="00B06277"/>
    <w:rsid w:val="00B064AD"/>
    <w:rsid w:val="00B0657A"/>
    <w:rsid w:val="00B06CFC"/>
    <w:rsid w:val="00B06E29"/>
    <w:rsid w:val="00B078AA"/>
    <w:rsid w:val="00B1021D"/>
    <w:rsid w:val="00B10D48"/>
    <w:rsid w:val="00B10E61"/>
    <w:rsid w:val="00B11D5A"/>
    <w:rsid w:val="00B120F1"/>
    <w:rsid w:val="00B14D9D"/>
    <w:rsid w:val="00B1516C"/>
    <w:rsid w:val="00B15B38"/>
    <w:rsid w:val="00B15BCD"/>
    <w:rsid w:val="00B15CD6"/>
    <w:rsid w:val="00B1710B"/>
    <w:rsid w:val="00B177FE"/>
    <w:rsid w:val="00B17953"/>
    <w:rsid w:val="00B17BC6"/>
    <w:rsid w:val="00B20110"/>
    <w:rsid w:val="00B20113"/>
    <w:rsid w:val="00B203E4"/>
    <w:rsid w:val="00B2075F"/>
    <w:rsid w:val="00B2127C"/>
    <w:rsid w:val="00B21C41"/>
    <w:rsid w:val="00B21C9B"/>
    <w:rsid w:val="00B21DCD"/>
    <w:rsid w:val="00B22044"/>
    <w:rsid w:val="00B22AD7"/>
    <w:rsid w:val="00B23182"/>
    <w:rsid w:val="00B23772"/>
    <w:rsid w:val="00B23C63"/>
    <w:rsid w:val="00B24016"/>
    <w:rsid w:val="00B24587"/>
    <w:rsid w:val="00B24EB6"/>
    <w:rsid w:val="00B25F3C"/>
    <w:rsid w:val="00B266DE"/>
    <w:rsid w:val="00B26790"/>
    <w:rsid w:val="00B274D5"/>
    <w:rsid w:val="00B27A64"/>
    <w:rsid w:val="00B27F2E"/>
    <w:rsid w:val="00B304AD"/>
    <w:rsid w:val="00B30777"/>
    <w:rsid w:val="00B30927"/>
    <w:rsid w:val="00B30ABB"/>
    <w:rsid w:val="00B31054"/>
    <w:rsid w:val="00B311C8"/>
    <w:rsid w:val="00B3157E"/>
    <w:rsid w:val="00B31675"/>
    <w:rsid w:val="00B321B6"/>
    <w:rsid w:val="00B32CE7"/>
    <w:rsid w:val="00B32D4D"/>
    <w:rsid w:val="00B33953"/>
    <w:rsid w:val="00B33B19"/>
    <w:rsid w:val="00B33FEC"/>
    <w:rsid w:val="00B341A5"/>
    <w:rsid w:val="00B342F1"/>
    <w:rsid w:val="00B344C6"/>
    <w:rsid w:val="00B3465D"/>
    <w:rsid w:val="00B346CF"/>
    <w:rsid w:val="00B34B16"/>
    <w:rsid w:val="00B35403"/>
    <w:rsid w:val="00B356FB"/>
    <w:rsid w:val="00B3588D"/>
    <w:rsid w:val="00B35F78"/>
    <w:rsid w:val="00B36331"/>
    <w:rsid w:val="00B3688A"/>
    <w:rsid w:val="00B37F12"/>
    <w:rsid w:val="00B4020A"/>
    <w:rsid w:val="00B40AD1"/>
    <w:rsid w:val="00B40BC4"/>
    <w:rsid w:val="00B40F4D"/>
    <w:rsid w:val="00B4107C"/>
    <w:rsid w:val="00B41453"/>
    <w:rsid w:val="00B42944"/>
    <w:rsid w:val="00B429EF"/>
    <w:rsid w:val="00B43E67"/>
    <w:rsid w:val="00B44483"/>
    <w:rsid w:val="00B4459B"/>
    <w:rsid w:val="00B450CD"/>
    <w:rsid w:val="00B456C4"/>
    <w:rsid w:val="00B45EC0"/>
    <w:rsid w:val="00B45F91"/>
    <w:rsid w:val="00B46196"/>
    <w:rsid w:val="00B47B53"/>
    <w:rsid w:val="00B47D7F"/>
    <w:rsid w:val="00B47E46"/>
    <w:rsid w:val="00B50205"/>
    <w:rsid w:val="00B51048"/>
    <w:rsid w:val="00B51169"/>
    <w:rsid w:val="00B511AC"/>
    <w:rsid w:val="00B515B8"/>
    <w:rsid w:val="00B51DBD"/>
    <w:rsid w:val="00B52521"/>
    <w:rsid w:val="00B52A03"/>
    <w:rsid w:val="00B5375C"/>
    <w:rsid w:val="00B53760"/>
    <w:rsid w:val="00B53FD7"/>
    <w:rsid w:val="00B542AD"/>
    <w:rsid w:val="00B5432B"/>
    <w:rsid w:val="00B54EBB"/>
    <w:rsid w:val="00B55210"/>
    <w:rsid w:val="00B559CE"/>
    <w:rsid w:val="00B55DC7"/>
    <w:rsid w:val="00B55E49"/>
    <w:rsid w:val="00B569C5"/>
    <w:rsid w:val="00B56FD6"/>
    <w:rsid w:val="00B57B70"/>
    <w:rsid w:val="00B57D8A"/>
    <w:rsid w:val="00B60F86"/>
    <w:rsid w:val="00B610E0"/>
    <w:rsid w:val="00B619E3"/>
    <w:rsid w:val="00B62B32"/>
    <w:rsid w:val="00B63D77"/>
    <w:rsid w:val="00B63FDF"/>
    <w:rsid w:val="00B642A8"/>
    <w:rsid w:val="00B647F2"/>
    <w:rsid w:val="00B6494F"/>
    <w:rsid w:val="00B651F9"/>
    <w:rsid w:val="00B65C52"/>
    <w:rsid w:val="00B65DE0"/>
    <w:rsid w:val="00B65ECC"/>
    <w:rsid w:val="00B66559"/>
    <w:rsid w:val="00B66916"/>
    <w:rsid w:val="00B70226"/>
    <w:rsid w:val="00B70D3B"/>
    <w:rsid w:val="00B70DFF"/>
    <w:rsid w:val="00B7135A"/>
    <w:rsid w:val="00B71D4E"/>
    <w:rsid w:val="00B71FEA"/>
    <w:rsid w:val="00B72636"/>
    <w:rsid w:val="00B728F3"/>
    <w:rsid w:val="00B729D7"/>
    <w:rsid w:val="00B7318A"/>
    <w:rsid w:val="00B731F9"/>
    <w:rsid w:val="00B74333"/>
    <w:rsid w:val="00B74440"/>
    <w:rsid w:val="00B7481D"/>
    <w:rsid w:val="00B74A92"/>
    <w:rsid w:val="00B74B4D"/>
    <w:rsid w:val="00B74DDA"/>
    <w:rsid w:val="00B75297"/>
    <w:rsid w:val="00B75486"/>
    <w:rsid w:val="00B75C86"/>
    <w:rsid w:val="00B75CCE"/>
    <w:rsid w:val="00B75E2B"/>
    <w:rsid w:val="00B75E47"/>
    <w:rsid w:val="00B76147"/>
    <w:rsid w:val="00B76756"/>
    <w:rsid w:val="00B80391"/>
    <w:rsid w:val="00B80653"/>
    <w:rsid w:val="00B81203"/>
    <w:rsid w:val="00B81ED6"/>
    <w:rsid w:val="00B826AA"/>
    <w:rsid w:val="00B82D40"/>
    <w:rsid w:val="00B83318"/>
    <w:rsid w:val="00B835B1"/>
    <w:rsid w:val="00B83647"/>
    <w:rsid w:val="00B83B46"/>
    <w:rsid w:val="00B86EF3"/>
    <w:rsid w:val="00B8794F"/>
    <w:rsid w:val="00B87A67"/>
    <w:rsid w:val="00B87E6F"/>
    <w:rsid w:val="00B938C1"/>
    <w:rsid w:val="00B93C59"/>
    <w:rsid w:val="00B94486"/>
    <w:rsid w:val="00B94ECF"/>
    <w:rsid w:val="00B95465"/>
    <w:rsid w:val="00B956B0"/>
    <w:rsid w:val="00B958DC"/>
    <w:rsid w:val="00B95A77"/>
    <w:rsid w:val="00B95D5B"/>
    <w:rsid w:val="00B960BD"/>
    <w:rsid w:val="00B9639F"/>
    <w:rsid w:val="00B96D1C"/>
    <w:rsid w:val="00B97173"/>
    <w:rsid w:val="00B97A07"/>
    <w:rsid w:val="00B97EB4"/>
    <w:rsid w:val="00BA0975"/>
    <w:rsid w:val="00BA1C4F"/>
    <w:rsid w:val="00BA2CA2"/>
    <w:rsid w:val="00BA2CCC"/>
    <w:rsid w:val="00BA2F1D"/>
    <w:rsid w:val="00BA3057"/>
    <w:rsid w:val="00BA3553"/>
    <w:rsid w:val="00BA3777"/>
    <w:rsid w:val="00BA39F0"/>
    <w:rsid w:val="00BA3D8F"/>
    <w:rsid w:val="00BA42F8"/>
    <w:rsid w:val="00BA4D54"/>
    <w:rsid w:val="00BA54D5"/>
    <w:rsid w:val="00BA626B"/>
    <w:rsid w:val="00BA6312"/>
    <w:rsid w:val="00BA674E"/>
    <w:rsid w:val="00BA7A00"/>
    <w:rsid w:val="00BB090F"/>
    <w:rsid w:val="00BB09F0"/>
    <w:rsid w:val="00BB162F"/>
    <w:rsid w:val="00BB18CF"/>
    <w:rsid w:val="00BB1FBE"/>
    <w:rsid w:val="00BB23E9"/>
    <w:rsid w:val="00BB285C"/>
    <w:rsid w:val="00BB32FA"/>
    <w:rsid w:val="00BB3C05"/>
    <w:rsid w:val="00BB50BE"/>
    <w:rsid w:val="00BB52BD"/>
    <w:rsid w:val="00BB57E1"/>
    <w:rsid w:val="00BB5A37"/>
    <w:rsid w:val="00BB5B10"/>
    <w:rsid w:val="00BB681A"/>
    <w:rsid w:val="00BB7724"/>
    <w:rsid w:val="00BB7867"/>
    <w:rsid w:val="00BB7B97"/>
    <w:rsid w:val="00BC0176"/>
    <w:rsid w:val="00BC048B"/>
    <w:rsid w:val="00BC0B59"/>
    <w:rsid w:val="00BC0CD7"/>
    <w:rsid w:val="00BC100E"/>
    <w:rsid w:val="00BC108E"/>
    <w:rsid w:val="00BC1886"/>
    <w:rsid w:val="00BC1F51"/>
    <w:rsid w:val="00BC2A76"/>
    <w:rsid w:val="00BC32B5"/>
    <w:rsid w:val="00BC4F85"/>
    <w:rsid w:val="00BC6046"/>
    <w:rsid w:val="00BC6576"/>
    <w:rsid w:val="00BC66BF"/>
    <w:rsid w:val="00BC74AE"/>
    <w:rsid w:val="00BD0267"/>
    <w:rsid w:val="00BD02DD"/>
    <w:rsid w:val="00BD057A"/>
    <w:rsid w:val="00BD0DC1"/>
    <w:rsid w:val="00BD1E80"/>
    <w:rsid w:val="00BD22F4"/>
    <w:rsid w:val="00BD289C"/>
    <w:rsid w:val="00BD2B4B"/>
    <w:rsid w:val="00BD3E85"/>
    <w:rsid w:val="00BD3EC7"/>
    <w:rsid w:val="00BD4139"/>
    <w:rsid w:val="00BD45C6"/>
    <w:rsid w:val="00BD4600"/>
    <w:rsid w:val="00BD51A9"/>
    <w:rsid w:val="00BD5657"/>
    <w:rsid w:val="00BD5663"/>
    <w:rsid w:val="00BD62BD"/>
    <w:rsid w:val="00BD6370"/>
    <w:rsid w:val="00BD6748"/>
    <w:rsid w:val="00BD6873"/>
    <w:rsid w:val="00BD6D09"/>
    <w:rsid w:val="00BD7E7E"/>
    <w:rsid w:val="00BE1CDD"/>
    <w:rsid w:val="00BE1D26"/>
    <w:rsid w:val="00BE1F5A"/>
    <w:rsid w:val="00BE35EF"/>
    <w:rsid w:val="00BE40CB"/>
    <w:rsid w:val="00BE519A"/>
    <w:rsid w:val="00BE5D6C"/>
    <w:rsid w:val="00BE6D71"/>
    <w:rsid w:val="00BE6DD9"/>
    <w:rsid w:val="00BE7CDD"/>
    <w:rsid w:val="00BF010A"/>
    <w:rsid w:val="00BF03C5"/>
    <w:rsid w:val="00BF124D"/>
    <w:rsid w:val="00BF1383"/>
    <w:rsid w:val="00BF22F7"/>
    <w:rsid w:val="00BF2617"/>
    <w:rsid w:val="00BF27C6"/>
    <w:rsid w:val="00BF3947"/>
    <w:rsid w:val="00BF3C63"/>
    <w:rsid w:val="00BF40CC"/>
    <w:rsid w:val="00BF46D5"/>
    <w:rsid w:val="00BF4F2B"/>
    <w:rsid w:val="00BF525A"/>
    <w:rsid w:val="00BF53D0"/>
    <w:rsid w:val="00BF5600"/>
    <w:rsid w:val="00BF5B56"/>
    <w:rsid w:val="00BF61D8"/>
    <w:rsid w:val="00BF6268"/>
    <w:rsid w:val="00BF6689"/>
    <w:rsid w:val="00BF692E"/>
    <w:rsid w:val="00BF6F92"/>
    <w:rsid w:val="00BF72D3"/>
    <w:rsid w:val="00BF738B"/>
    <w:rsid w:val="00BF7574"/>
    <w:rsid w:val="00C0099A"/>
    <w:rsid w:val="00C01B92"/>
    <w:rsid w:val="00C02749"/>
    <w:rsid w:val="00C027C2"/>
    <w:rsid w:val="00C02B72"/>
    <w:rsid w:val="00C041F3"/>
    <w:rsid w:val="00C04AFB"/>
    <w:rsid w:val="00C054B7"/>
    <w:rsid w:val="00C05C46"/>
    <w:rsid w:val="00C062DF"/>
    <w:rsid w:val="00C066AD"/>
    <w:rsid w:val="00C07217"/>
    <w:rsid w:val="00C073A5"/>
    <w:rsid w:val="00C07D5A"/>
    <w:rsid w:val="00C103D2"/>
    <w:rsid w:val="00C10C15"/>
    <w:rsid w:val="00C10E81"/>
    <w:rsid w:val="00C11411"/>
    <w:rsid w:val="00C11C85"/>
    <w:rsid w:val="00C11DF4"/>
    <w:rsid w:val="00C12AD2"/>
    <w:rsid w:val="00C12AD6"/>
    <w:rsid w:val="00C12B3E"/>
    <w:rsid w:val="00C12F32"/>
    <w:rsid w:val="00C14505"/>
    <w:rsid w:val="00C14929"/>
    <w:rsid w:val="00C14B8B"/>
    <w:rsid w:val="00C15489"/>
    <w:rsid w:val="00C15A20"/>
    <w:rsid w:val="00C171A9"/>
    <w:rsid w:val="00C20C8C"/>
    <w:rsid w:val="00C21941"/>
    <w:rsid w:val="00C21A4F"/>
    <w:rsid w:val="00C23234"/>
    <w:rsid w:val="00C23D3A"/>
    <w:rsid w:val="00C24860"/>
    <w:rsid w:val="00C25127"/>
    <w:rsid w:val="00C261B2"/>
    <w:rsid w:val="00C266B1"/>
    <w:rsid w:val="00C269E2"/>
    <w:rsid w:val="00C2750C"/>
    <w:rsid w:val="00C276C5"/>
    <w:rsid w:val="00C27D26"/>
    <w:rsid w:val="00C3014A"/>
    <w:rsid w:val="00C308D6"/>
    <w:rsid w:val="00C31408"/>
    <w:rsid w:val="00C31603"/>
    <w:rsid w:val="00C32532"/>
    <w:rsid w:val="00C331E9"/>
    <w:rsid w:val="00C334A4"/>
    <w:rsid w:val="00C352CC"/>
    <w:rsid w:val="00C355E1"/>
    <w:rsid w:val="00C359EF"/>
    <w:rsid w:val="00C35A4C"/>
    <w:rsid w:val="00C35DB5"/>
    <w:rsid w:val="00C36813"/>
    <w:rsid w:val="00C36999"/>
    <w:rsid w:val="00C36E71"/>
    <w:rsid w:val="00C3744D"/>
    <w:rsid w:val="00C41108"/>
    <w:rsid w:val="00C41EBA"/>
    <w:rsid w:val="00C42883"/>
    <w:rsid w:val="00C42FBC"/>
    <w:rsid w:val="00C43D6C"/>
    <w:rsid w:val="00C440A5"/>
    <w:rsid w:val="00C44122"/>
    <w:rsid w:val="00C445AE"/>
    <w:rsid w:val="00C44B03"/>
    <w:rsid w:val="00C46CCD"/>
    <w:rsid w:val="00C4740A"/>
    <w:rsid w:val="00C474E6"/>
    <w:rsid w:val="00C476EB"/>
    <w:rsid w:val="00C47ABE"/>
    <w:rsid w:val="00C50B1F"/>
    <w:rsid w:val="00C5146D"/>
    <w:rsid w:val="00C517DC"/>
    <w:rsid w:val="00C51CD5"/>
    <w:rsid w:val="00C5223C"/>
    <w:rsid w:val="00C536B0"/>
    <w:rsid w:val="00C53BE7"/>
    <w:rsid w:val="00C55648"/>
    <w:rsid w:val="00C5572A"/>
    <w:rsid w:val="00C55FB6"/>
    <w:rsid w:val="00C567F0"/>
    <w:rsid w:val="00C569BB"/>
    <w:rsid w:val="00C56BE1"/>
    <w:rsid w:val="00C56C95"/>
    <w:rsid w:val="00C56DC9"/>
    <w:rsid w:val="00C572CD"/>
    <w:rsid w:val="00C60BF0"/>
    <w:rsid w:val="00C60E73"/>
    <w:rsid w:val="00C613DC"/>
    <w:rsid w:val="00C61805"/>
    <w:rsid w:val="00C62355"/>
    <w:rsid w:val="00C6273A"/>
    <w:rsid w:val="00C6322F"/>
    <w:rsid w:val="00C6349B"/>
    <w:rsid w:val="00C63897"/>
    <w:rsid w:val="00C65013"/>
    <w:rsid w:val="00C65682"/>
    <w:rsid w:val="00C65D63"/>
    <w:rsid w:val="00C65DD3"/>
    <w:rsid w:val="00C6627C"/>
    <w:rsid w:val="00C6661F"/>
    <w:rsid w:val="00C66711"/>
    <w:rsid w:val="00C66E22"/>
    <w:rsid w:val="00C67430"/>
    <w:rsid w:val="00C67E4A"/>
    <w:rsid w:val="00C67ECD"/>
    <w:rsid w:val="00C71AA9"/>
    <w:rsid w:val="00C72B93"/>
    <w:rsid w:val="00C73761"/>
    <w:rsid w:val="00C73EEF"/>
    <w:rsid w:val="00C74775"/>
    <w:rsid w:val="00C7499D"/>
    <w:rsid w:val="00C74DFC"/>
    <w:rsid w:val="00C765E0"/>
    <w:rsid w:val="00C7690D"/>
    <w:rsid w:val="00C76BDC"/>
    <w:rsid w:val="00C76C23"/>
    <w:rsid w:val="00C76F7E"/>
    <w:rsid w:val="00C77617"/>
    <w:rsid w:val="00C8084D"/>
    <w:rsid w:val="00C80A35"/>
    <w:rsid w:val="00C80D04"/>
    <w:rsid w:val="00C81736"/>
    <w:rsid w:val="00C81824"/>
    <w:rsid w:val="00C81FCA"/>
    <w:rsid w:val="00C8255B"/>
    <w:rsid w:val="00C82F30"/>
    <w:rsid w:val="00C82F94"/>
    <w:rsid w:val="00C83098"/>
    <w:rsid w:val="00C83764"/>
    <w:rsid w:val="00C83B4C"/>
    <w:rsid w:val="00C83D04"/>
    <w:rsid w:val="00C848CC"/>
    <w:rsid w:val="00C84C3C"/>
    <w:rsid w:val="00C85790"/>
    <w:rsid w:val="00C85C08"/>
    <w:rsid w:val="00C862D8"/>
    <w:rsid w:val="00C8631A"/>
    <w:rsid w:val="00C86E07"/>
    <w:rsid w:val="00C87BC0"/>
    <w:rsid w:val="00C87D22"/>
    <w:rsid w:val="00C90B7F"/>
    <w:rsid w:val="00C9113F"/>
    <w:rsid w:val="00C92FEB"/>
    <w:rsid w:val="00C93068"/>
    <w:rsid w:val="00C935D0"/>
    <w:rsid w:val="00C9374B"/>
    <w:rsid w:val="00C93B36"/>
    <w:rsid w:val="00C947C7"/>
    <w:rsid w:val="00C94A77"/>
    <w:rsid w:val="00C95C1B"/>
    <w:rsid w:val="00C95EDE"/>
    <w:rsid w:val="00C962EF"/>
    <w:rsid w:val="00C9636A"/>
    <w:rsid w:val="00C967C5"/>
    <w:rsid w:val="00C975C5"/>
    <w:rsid w:val="00C97789"/>
    <w:rsid w:val="00C97AE3"/>
    <w:rsid w:val="00C97BA2"/>
    <w:rsid w:val="00CA00A4"/>
    <w:rsid w:val="00CA038B"/>
    <w:rsid w:val="00CA094D"/>
    <w:rsid w:val="00CA0EAD"/>
    <w:rsid w:val="00CA1301"/>
    <w:rsid w:val="00CA19B5"/>
    <w:rsid w:val="00CA22BE"/>
    <w:rsid w:val="00CA25C5"/>
    <w:rsid w:val="00CA299D"/>
    <w:rsid w:val="00CA3324"/>
    <w:rsid w:val="00CA3980"/>
    <w:rsid w:val="00CA3BC2"/>
    <w:rsid w:val="00CA4432"/>
    <w:rsid w:val="00CA4A7E"/>
    <w:rsid w:val="00CA5E69"/>
    <w:rsid w:val="00CA5FB2"/>
    <w:rsid w:val="00CA6FA9"/>
    <w:rsid w:val="00CA79F9"/>
    <w:rsid w:val="00CB0523"/>
    <w:rsid w:val="00CB0D15"/>
    <w:rsid w:val="00CB0F78"/>
    <w:rsid w:val="00CB130C"/>
    <w:rsid w:val="00CB16D5"/>
    <w:rsid w:val="00CB173F"/>
    <w:rsid w:val="00CB1811"/>
    <w:rsid w:val="00CB1D6C"/>
    <w:rsid w:val="00CB25ED"/>
    <w:rsid w:val="00CB27BE"/>
    <w:rsid w:val="00CB30C6"/>
    <w:rsid w:val="00CB425A"/>
    <w:rsid w:val="00CB5CC9"/>
    <w:rsid w:val="00CB66E1"/>
    <w:rsid w:val="00CB6B78"/>
    <w:rsid w:val="00CB6D60"/>
    <w:rsid w:val="00CB77D9"/>
    <w:rsid w:val="00CB7AAD"/>
    <w:rsid w:val="00CB7CE2"/>
    <w:rsid w:val="00CC0228"/>
    <w:rsid w:val="00CC0328"/>
    <w:rsid w:val="00CC232A"/>
    <w:rsid w:val="00CC2585"/>
    <w:rsid w:val="00CC2729"/>
    <w:rsid w:val="00CC2E6D"/>
    <w:rsid w:val="00CC2FBC"/>
    <w:rsid w:val="00CC3192"/>
    <w:rsid w:val="00CC35FB"/>
    <w:rsid w:val="00CC36A1"/>
    <w:rsid w:val="00CC36F8"/>
    <w:rsid w:val="00CC390A"/>
    <w:rsid w:val="00CC39AF"/>
    <w:rsid w:val="00CC4D23"/>
    <w:rsid w:val="00CC526C"/>
    <w:rsid w:val="00CC5EC9"/>
    <w:rsid w:val="00CC6051"/>
    <w:rsid w:val="00CC6470"/>
    <w:rsid w:val="00CC6CE5"/>
    <w:rsid w:val="00CC6ED0"/>
    <w:rsid w:val="00CC6FE2"/>
    <w:rsid w:val="00CC729B"/>
    <w:rsid w:val="00CC72EF"/>
    <w:rsid w:val="00CC77CA"/>
    <w:rsid w:val="00CC7C6C"/>
    <w:rsid w:val="00CC7CB1"/>
    <w:rsid w:val="00CD0F1E"/>
    <w:rsid w:val="00CD135D"/>
    <w:rsid w:val="00CD149A"/>
    <w:rsid w:val="00CD1626"/>
    <w:rsid w:val="00CD177E"/>
    <w:rsid w:val="00CD17C7"/>
    <w:rsid w:val="00CD317B"/>
    <w:rsid w:val="00CD3552"/>
    <w:rsid w:val="00CD35E4"/>
    <w:rsid w:val="00CD35E5"/>
    <w:rsid w:val="00CD3999"/>
    <w:rsid w:val="00CD448E"/>
    <w:rsid w:val="00CD4FD7"/>
    <w:rsid w:val="00CD5A2B"/>
    <w:rsid w:val="00CD5EBB"/>
    <w:rsid w:val="00CD6201"/>
    <w:rsid w:val="00CD668A"/>
    <w:rsid w:val="00CD7025"/>
    <w:rsid w:val="00CD71A6"/>
    <w:rsid w:val="00CD738E"/>
    <w:rsid w:val="00CD7578"/>
    <w:rsid w:val="00CD7857"/>
    <w:rsid w:val="00CE0A5F"/>
    <w:rsid w:val="00CE0F65"/>
    <w:rsid w:val="00CE0F9A"/>
    <w:rsid w:val="00CE0FFF"/>
    <w:rsid w:val="00CE1B22"/>
    <w:rsid w:val="00CE272E"/>
    <w:rsid w:val="00CE32FD"/>
    <w:rsid w:val="00CE3A94"/>
    <w:rsid w:val="00CE3B8F"/>
    <w:rsid w:val="00CE46F7"/>
    <w:rsid w:val="00CE47AC"/>
    <w:rsid w:val="00CE5179"/>
    <w:rsid w:val="00CE5A23"/>
    <w:rsid w:val="00CE5B35"/>
    <w:rsid w:val="00CE690B"/>
    <w:rsid w:val="00CE7BDA"/>
    <w:rsid w:val="00CF1422"/>
    <w:rsid w:val="00CF15D6"/>
    <w:rsid w:val="00CF293F"/>
    <w:rsid w:val="00CF2949"/>
    <w:rsid w:val="00CF2C71"/>
    <w:rsid w:val="00CF2DE2"/>
    <w:rsid w:val="00CF3AB4"/>
    <w:rsid w:val="00CF4026"/>
    <w:rsid w:val="00CF43EF"/>
    <w:rsid w:val="00CF44CD"/>
    <w:rsid w:val="00CF48EE"/>
    <w:rsid w:val="00CF4BE5"/>
    <w:rsid w:val="00CF5641"/>
    <w:rsid w:val="00CF646C"/>
    <w:rsid w:val="00CF6AB4"/>
    <w:rsid w:val="00CF7122"/>
    <w:rsid w:val="00CF728D"/>
    <w:rsid w:val="00D004EA"/>
    <w:rsid w:val="00D008A4"/>
    <w:rsid w:val="00D00BA7"/>
    <w:rsid w:val="00D011EF"/>
    <w:rsid w:val="00D02833"/>
    <w:rsid w:val="00D02C47"/>
    <w:rsid w:val="00D02CFD"/>
    <w:rsid w:val="00D02DFF"/>
    <w:rsid w:val="00D03BE1"/>
    <w:rsid w:val="00D03C65"/>
    <w:rsid w:val="00D03CFE"/>
    <w:rsid w:val="00D04A96"/>
    <w:rsid w:val="00D04A98"/>
    <w:rsid w:val="00D05224"/>
    <w:rsid w:val="00D054D0"/>
    <w:rsid w:val="00D05670"/>
    <w:rsid w:val="00D05789"/>
    <w:rsid w:val="00D05A04"/>
    <w:rsid w:val="00D0620D"/>
    <w:rsid w:val="00D0648F"/>
    <w:rsid w:val="00D070A0"/>
    <w:rsid w:val="00D075F6"/>
    <w:rsid w:val="00D07691"/>
    <w:rsid w:val="00D1187E"/>
    <w:rsid w:val="00D121EB"/>
    <w:rsid w:val="00D12DB7"/>
    <w:rsid w:val="00D13B26"/>
    <w:rsid w:val="00D13DDF"/>
    <w:rsid w:val="00D146E0"/>
    <w:rsid w:val="00D14B21"/>
    <w:rsid w:val="00D14F03"/>
    <w:rsid w:val="00D1563B"/>
    <w:rsid w:val="00D15678"/>
    <w:rsid w:val="00D16119"/>
    <w:rsid w:val="00D161A3"/>
    <w:rsid w:val="00D161B7"/>
    <w:rsid w:val="00D16721"/>
    <w:rsid w:val="00D167BB"/>
    <w:rsid w:val="00D16B4E"/>
    <w:rsid w:val="00D16D2A"/>
    <w:rsid w:val="00D17055"/>
    <w:rsid w:val="00D176F5"/>
    <w:rsid w:val="00D20384"/>
    <w:rsid w:val="00D21FB7"/>
    <w:rsid w:val="00D22148"/>
    <w:rsid w:val="00D22A01"/>
    <w:rsid w:val="00D22FE6"/>
    <w:rsid w:val="00D23C73"/>
    <w:rsid w:val="00D243D7"/>
    <w:rsid w:val="00D2506C"/>
    <w:rsid w:val="00D25A5F"/>
    <w:rsid w:val="00D26678"/>
    <w:rsid w:val="00D269C1"/>
    <w:rsid w:val="00D26AE8"/>
    <w:rsid w:val="00D26B5B"/>
    <w:rsid w:val="00D270D9"/>
    <w:rsid w:val="00D27950"/>
    <w:rsid w:val="00D27D1D"/>
    <w:rsid w:val="00D3028A"/>
    <w:rsid w:val="00D30AED"/>
    <w:rsid w:val="00D31A7B"/>
    <w:rsid w:val="00D31BC8"/>
    <w:rsid w:val="00D32263"/>
    <w:rsid w:val="00D32538"/>
    <w:rsid w:val="00D329D6"/>
    <w:rsid w:val="00D3322E"/>
    <w:rsid w:val="00D333B8"/>
    <w:rsid w:val="00D33D3E"/>
    <w:rsid w:val="00D34F76"/>
    <w:rsid w:val="00D35F5C"/>
    <w:rsid w:val="00D36188"/>
    <w:rsid w:val="00D3618A"/>
    <w:rsid w:val="00D36585"/>
    <w:rsid w:val="00D37808"/>
    <w:rsid w:val="00D37A13"/>
    <w:rsid w:val="00D37D3B"/>
    <w:rsid w:val="00D40407"/>
    <w:rsid w:val="00D40891"/>
    <w:rsid w:val="00D41418"/>
    <w:rsid w:val="00D41569"/>
    <w:rsid w:val="00D41D6D"/>
    <w:rsid w:val="00D42309"/>
    <w:rsid w:val="00D42438"/>
    <w:rsid w:val="00D427C2"/>
    <w:rsid w:val="00D42D2E"/>
    <w:rsid w:val="00D43104"/>
    <w:rsid w:val="00D433D0"/>
    <w:rsid w:val="00D4394C"/>
    <w:rsid w:val="00D43E94"/>
    <w:rsid w:val="00D4473B"/>
    <w:rsid w:val="00D455AD"/>
    <w:rsid w:val="00D463A5"/>
    <w:rsid w:val="00D4670B"/>
    <w:rsid w:val="00D46F9A"/>
    <w:rsid w:val="00D46FAD"/>
    <w:rsid w:val="00D471F0"/>
    <w:rsid w:val="00D47481"/>
    <w:rsid w:val="00D4780F"/>
    <w:rsid w:val="00D47818"/>
    <w:rsid w:val="00D50175"/>
    <w:rsid w:val="00D501F8"/>
    <w:rsid w:val="00D50406"/>
    <w:rsid w:val="00D50AF3"/>
    <w:rsid w:val="00D50EF9"/>
    <w:rsid w:val="00D51B99"/>
    <w:rsid w:val="00D51C7F"/>
    <w:rsid w:val="00D51F5D"/>
    <w:rsid w:val="00D537A0"/>
    <w:rsid w:val="00D53B53"/>
    <w:rsid w:val="00D54739"/>
    <w:rsid w:val="00D54DB1"/>
    <w:rsid w:val="00D55030"/>
    <w:rsid w:val="00D5589E"/>
    <w:rsid w:val="00D56EB8"/>
    <w:rsid w:val="00D576E5"/>
    <w:rsid w:val="00D60267"/>
    <w:rsid w:val="00D60DD1"/>
    <w:rsid w:val="00D60DFE"/>
    <w:rsid w:val="00D61554"/>
    <w:rsid w:val="00D61BA7"/>
    <w:rsid w:val="00D61CCA"/>
    <w:rsid w:val="00D62254"/>
    <w:rsid w:val="00D6297C"/>
    <w:rsid w:val="00D6387F"/>
    <w:rsid w:val="00D63990"/>
    <w:rsid w:val="00D639FF"/>
    <w:rsid w:val="00D63A18"/>
    <w:rsid w:val="00D63A96"/>
    <w:rsid w:val="00D644BA"/>
    <w:rsid w:val="00D64F1F"/>
    <w:rsid w:val="00D661E4"/>
    <w:rsid w:val="00D66817"/>
    <w:rsid w:val="00D6684E"/>
    <w:rsid w:val="00D66ABE"/>
    <w:rsid w:val="00D66C69"/>
    <w:rsid w:val="00D67F7D"/>
    <w:rsid w:val="00D70186"/>
    <w:rsid w:val="00D71B40"/>
    <w:rsid w:val="00D71CDF"/>
    <w:rsid w:val="00D72419"/>
    <w:rsid w:val="00D7316B"/>
    <w:rsid w:val="00D73332"/>
    <w:rsid w:val="00D73CEA"/>
    <w:rsid w:val="00D73EE9"/>
    <w:rsid w:val="00D74DE5"/>
    <w:rsid w:val="00D74E18"/>
    <w:rsid w:val="00D75109"/>
    <w:rsid w:val="00D753D0"/>
    <w:rsid w:val="00D75645"/>
    <w:rsid w:val="00D75D13"/>
    <w:rsid w:val="00D767EC"/>
    <w:rsid w:val="00D777D2"/>
    <w:rsid w:val="00D77E0C"/>
    <w:rsid w:val="00D77FA9"/>
    <w:rsid w:val="00D800D4"/>
    <w:rsid w:val="00D8175E"/>
    <w:rsid w:val="00D81C9F"/>
    <w:rsid w:val="00D81FA6"/>
    <w:rsid w:val="00D822A8"/>
    <w:rsid w:val="00D82A64"/>
    <w:rsid w:val="00D82C51"/>
    <w:rsid w:val="00D82DB2"/>
    <w:rsid w:val="00D8319F"/>
    <w:rsid w:val="00D838C7"/>
    <w:rsid w:val="00D83B5A"/>
    <w:rsid w:val="00D83E9A"/>
    <w:rsid w:val="00D83F52"/>
    <w:rsid w:val="00D84752"/>
    <w:rsid w:val="00D84980"/>
    <w:rsid w:val="00D84B3D"/>
    <w:rsid w:val="00D8508C"/>
    <w:rsid w:val="00D850D2"/>
    <w:rsid w:val="00D851E1"/>
    <w:rsid w:val="00D861B2"/>
    <w:rsid w:val="00D863C2"/>
    <w:rsid w:val="00D863DC"/>
    <w:rsid w:val="00D86688"/>
    <w:rsid w:val="00D86AF1"/>
    <w:rsid w:val="00D87267"/>
    <w:rsid w:val="00D873F4"/>
    <w:rsid w:val="00D8754A"/>
    <w:rsid w:val="00D90117"/>
    <w:rsid w:val="00D91A35"/>
    <w:rsid w:val="00D920F5"/>
    <w:rsid w:val="00D922D0"/>
    <w:rsid w:val="00D92978"/>
    <w:rsid w:val="00D92AC1"/>
    <w:rsid w:val="00D92EFA"/>
    <w:rsid w:val="00D932CB"/>
    <w:rsid w:val="00D93775"/>
    <w:rsid w:val="00D93BCE"/>
    <w:rsid w:val="00D943BE"/>
    <w:rsid w:val="00D943F9"/>
    <w:rsid w:val="00D94B3B"/>
    <w:rsid w:val="00D9541A"/>
    <w:rsid w:val="00D95A38"/>
    <w:rsid w:val="00D962FF"/>
    <w:rsid w:val="00D965A3"/>
    <w:rsid w:val="00D96B11"/>
    <w:rsid w:val="00D97116"/>
    <w:rsid w:val="00D97582"/>
    <w:rsid w:val="00DA0628"/>
    <w:rsid w:val="00DA0802"/>
    <w:rsid w:val="00DA12A8"/>
    <w:rsid w:val="00DA1869"/>
    <w:rsid w:val="00DA2467"/>
    <w:rsid w:val="00DA3BC8"/>
    <w:rsid w:val="00DA3C79"/>
    <w:rsid w:val="00DA3D72"/>
    <w:rsid w:val="00DA42F6"/>
    <w:rsid w:val="00DA535A"/>
    <w:rsid w:val="00DA54DC"/>
    <w:rsid w:val="00DA54F4"/>
    <w:rsid w:val="00DA5A30"/>
    <w:rsid w:val="00DA5AD2"/>
    <w:rsid w:val="00DA60A8"/>
    <w:rsid w:val="00DA6494"/>
    <w:rsid w:val="00DA69C7"/>
    <w:rsid w:val="00DA6C8A"/>
    <w:rsid w:val="00DB051F"/>
    <w:rsid w:val="00DB081B"/>
    <w:rsid w:val="00DB0EA4"/>
    <w:rsid w:val="00DB158D"/>
    <w:rsid w:val="00DB16FF"/>
    <w:rsid w:val="00DB1A66"/>
    <w:rsid w:val="00DB2222"/>
    <w:rsid w:val="00DB244A"/>
    <w:rsid w:val="00DB2469"/>
    <w:rsid w:val="00DB264B"/>
    <w:rsid w:val="00DB29CB"/>
    <w:rsid w:val="00DB3CE1"/>
    <w:rsid w:val="00DB3DEE"/>
    <w:rsid w:val="00DB4966"/>
    <w:rsid w:val="00DB5091"/>
    <w:rsid w:val="00DB5702"/>
    <w:rsid w:val="00DB5E19"/>
    <w:rsid w:val="00DB71C9"/>
    <w:rsid w:val="00DC01DB"/>
    <w:rsid w:val="00DC08F3"/>
    <w:rsid w:val="00DC0B5E"/>
    <w:rsid w:val="00DC1203"/>
    <w:rsid w:val="00DC1209"/>
    <w:rsid w:val="00DC178E"/>
    <w:rsid w:val="00DC2708"/>
    <w:rsid w:val="00DC3430"/>
    <w:rsid w:val="00DC343B"/>
    <w:rsid w:val="00DC3563"/>
    <w:rsid w:val="00DC393F"/>
    <w:rsid w:val="00DC3C4E"/>
    <w:rsid w:val="00DC3E16"/>
    <w:rsid w:val="00DC3FF3"/>
    <w:rsid w:val="00DC41E2"/>
    <w:rsid w:val="00DC4718"/>
    <w:rsid w:val="00DC4883"/>
    <w:rsid w:val="00DC4D48"/>
    <w:rsid w:val="00DC5267"/>
    <w:rsid w:val="00DC581E"/>
    <w:rsid w:val="00DC588D"/>
    <w:rsid w:val="00DC5ACF"/>
    <w:rsid w:val="00DC5FCE"/>
    <w:rsid w:val="00DC6BEC"/>
    <w:rsid w:val="00DC7C34"/>
    <w:rsid w:val="00DD0314"/>
    <w:rsid w:val="00DD0CB0"/>
    <w:rsid w:val="00DD0E6D"/>
    <w:rsid w:val="00DD14D8"/>
    <w:rsid w:val="00DD174D"/>
    <w:rsid w:val="00DD2998"/>
    <w:rsid w:val="00DD2A4F"/>
    <w:rsid w:val="00DD2EDB"/>
    <w:rsid w:val="00DD3122"/>
    <w:rsid w:val="00DD35B4"/>
    <w:rsid w:val="00DD3AC3"/>
    <w:rsid w:val="00DD3B0D"/>
    <w:rsid w:val="00DD4572"/>
    <w:rsid w:val="00DD4FF6"/>
    <w:rsid w:val="00DD6DAD"/>
    <w:rsid w:val="00DE14B2"/>
    <w:rsid w:val="00DE17B4"/>
    <w:rsid w:val="00DE266C"/>
    <w:rsid w:val="00DE2687"/>
    <w:rsid w:val="00DE271C"/>
    <w:rsid w:val="00DE2975"/>
    <w:rsid w:val="00DE2989"/>
    <w:rsid w:val="00DE2B97"/>
    <w:rsid w:val="00DE2E0F"/>
    <w:rsid w:val="00DE3905"/>
    <w:rsid w:val="00DE39E4"/>
    <w:rsid w:val="00DE49AE"/>
    <w:rsid w:val="00DE4A00"/>
    <w:rsid w:val="00DE4BC7"/>
    <w:rsid w:val="00DE7B84"/>
    <w:rsid w:val="00DF01C9"/>
    <w:rsid w:val="00DF03C1"/>
    <w:rsid w:val="00DF07E6"/>
    <w:rsid w:val="00DF1416"/>
    <w:rsid w:val="00DF15E4"/>
    <w:rsid w:val="00DF1944"/>
    <w:rsid w:val="00DF1ADC"/>
    <w:rsid w:val="00DF1E76"/>
    <w:rsid w:val="00DF23A0"/>
    <w:rsid w:val="00DF2672"/>
    <w:rsid w:val="00DF27C8"/>
    <w:rsid w:val="00DF2AA7"/>
    <w:rsid w:val="00DF2B74"/>
    <w:rsid w:val="00DF2C5D"/>
    <w:rsid w:val="00DF32A0"/>
    <w:rsid w:val="00DF33FB"/>
    <w:rsid w:val="00DF3E4F"/>
    <w:rsid w:val="00DF3FD8"/>
    <w:rsid w:val="00DF44B4"/>
    <w:rsid w:val="00DF480D"/>
    <w:rsid w:val="00DF4827"/>
    <w:rsid w:val="00DF4E84"/>
    <w:rsid w:val="00DF5228"/>
    <w:rsid w:val="00DF58D4"/>
    <w:rsid w:val="00DF6225"/>
    <w:rsid w:val="00DF719B"/>
    <w:rsid w:val="00DF7245"/>
    <w:rsid w:val="00DF72D3"/>
    <w:rsid w:val="00DF742A"/>
    <w:rsid w:val="00E0066D"/>
    <w:rsid w:val="00E01420"/>
    <w:rsid w:val="00E015EA"/>
    <w:rsid w:val="00E01EAA"/>
    <w:rsid w:val="00E02897"/>
    <w:rsid w:val="00E03054"/>
    <w:rsid w:val="00E033C9"/>
    <w:rsid w:val="00E03738"/>
    <w:rsid w:val="00E03EDF"/>
    <w:rsid w:val="00E04E98"/>
    <w:rsid w:val="00E05151"/>
    <w:rsid w:val="00E059DA"/>
    <w:rsid w:val="00E05EF9"/>
    <w:rsid w:val="00E05F5A"/>
    <w:rsid w:val="00E062DE"/>
    <w:rsid w:val="00E06861"/>
    <w:rsid w:val="00E06DB1"/>
    <w:rsid w:val="00E07338"/>
    <w:rsid w:val="00E07AAE"/>
    <w:rsid w:val="00E07AFB"/>
    <w:rsid w:val="00E10364"/>
    <w:rsid w:val="00E11232"/>
    <w:rsid w:val="00E11D6A"/>
    <w:rsid w:val="00E11E78"/>
    <w:rsid w:val="00E12CD1"/>
    <w:rsid w:val="00E138D2"/>
    <w:rsid w:val="00E13C68"/>
    <w:rsid w:val="00E14501"/>
    <w:rsid w:val="00E147B3"/>
    <w:rsid w:val="00E154F8"/>
    <w:rsid w:val="00E155BB"/>
    <w:rsid w:val="00E15F98"/>
    <w:rsid w:val="00E17982"/>
    <w:rsid w:val="00E17F8E"/>
    <w:rsid w:val="00E202C2"/>
    <w:rsid w:val="00E2062C"/>
    <w:rsid w:val="00E20A6C"/>
    <w:rsid w:val="00E20C75"/>
    <w:rsid w:val="00E21049"/>
    <w:rsid w:val="00E2105E"/>
    <w:rsid w:val="00E2113E"/>
    <w:rsid w:val="00E2180F"/>
    <w:rsid w:val="00E22B6E"/>
    <w:rsid w:val="00E22E8C"/>
    <w:rsid w:val="00E232DB"/>
    <w:rsid w:val="00E24425"/>
    <w:rsid w:val="00E24AC8"/>
    <w:rsid w:val="00E25A1F"/>
    <w:rsid w:val="00E26349"/>
    <w:rsid w:val="00E267C1"/>
    <w:rsid w:val="00E26906"/>
    <w:rsid w:val="00E26C1E"/>
    <w:rsid w:val="00E270DF"/>
    <w:rsid w:val="00E27AB4"/>
    <w:rsid w:val="00E30957"/>
    <w:rsid w:val="00E31189"/>
    <w:rsid w:val="00E313FC"/>
    <w:rsid w:val="00E31D02"/>
    <w:rsid w:val="00E31D78"/>
    <w:rsid w:val="00E32E7F"/>
    <w:rsid w:val="00E3362C"/>
    <w:rsid w:val="00E338B4"/>
    <w:rsid w:val="00E33E85"/>
    <w:rsid w:val="00E343A0"/>
    <w:rsid w:val="00E34FE9"/>
    <w:rsid w:val="00E3578A"/>
    <w:rsid w:val="00E361B6"/>
    <w:rsid w:val="00E36A55"/>
    <w:rsid w:val="00E40BCC"/>
    <w:rsid w:val="00E4140E"/>
    <w:rsid w:val="00E41D86"/>
    <w:rsid w:val="00E41DD0"/>
    <w:rsid w:val="00E425FC"/>
    <w:rsid w:val="00E42AA4"/>
    <w:rsid w:val="00E42DB0"/>
    <w:rsid w:val="00E436C4"/>
    <w:rsid w:val="00E438F2"/>
    <w:rsid w:val="00E448A4"/>
    <w:rsid w:val="00E44956"/>
    <w:rsid w:val="00E44E0A"/>
    <w:rsid w:val="00E45084"/>
    <w:rsid w:val="00E45243"/>
    <w:rsid w:val="00E4587B"/>
    <w:rsid w:val="00E45AA0"/>
    <w:rsid w:val="00E45E74"/>
    <w:rsid w:val="00E45E8E"/>
    <w:rsid w:val="00E46700"/>
    <w:rsid w:val="00E46D44"/>
    <w:rsid w:val="00E479C2"/>
    <w:rsid w:val="00E47EC1"/>
    <w:rsid w:val="00E47EF3"/>
    <w:rsid w:val="00E47F58"/>
    <w:rsid w:val="00E5029C"/>
    <w:rsid w:val="00E5095B"/>
    <w:rsid w:val="00E50CF5"/>
    <w:rsid w:val="00E51228"/>
    <w:rsid w:val="00E51289"/>
    <w:rsid w:val="00E51811"/>
    <w:rsid w:val="00E51815"/>
    <w:rsid w:val="00E52738"/>
    <w:rsid w:val="00E52FD9"/>
    <w:rsid w:val="00E54220"/>
    <w:rsid w:val="00E555D2"/>
    <w:rsid w:val="00E558AC"/>
    <w:rsid w:val="00E55945"/>
    <w:rsid w:val="00E5770B"/>
    <w:rsid w:val="00E57CD1"/>
    <w:rsid w:val="00E57D69"/>
    <w:rsid w:val="00E57E9A"/>
    <w:rsid w:val="00E604F2"/>
    <w:rsid w:val="00E60532"/>
    <w:rsid w:val="00E60FF0"/>
    <w:rsid w:val="00E61D06"/>
    <w:rsid w:val="00E61DDE"/>
    <w:rsid w:val="00E628B6"/>
    <w:rsid w:val="00E62A3E"/>
    <w:rsid w:val="00E62EDF"/>
    <w:rsid w:val="00E63684"/>
    <w:rsid w:val="00E637B7"/>
    <w:rsid w:val="00E63C28"/>
    <w:rsid w:val="00E64069"/>
    <w:rsid w:val="00E641DC"/>
    <w:rsid w:val="00E64C4B"/>
    <w:rsid w:val="00E64C97"/>
    <w:rsid w:val="00E651D0"/>
    <w:rsid w:val="00E6523E"/>
    <w:rsid w:val="00E659A3"/>
    <w:rsid w:val="00E65C4D"/>
    <w:rsid w:val="00E65DAD"/>
    <w:rsid w:val="00E65E8B"/>
    <w:rsid w:val="00E66A7C"/>
    <w:rsid w:val="00E66ED8"/>
    <w:rsid w:val="00E673AC"/>
    <w:rsid w:val="00E702E6"/>
    <w:rsid w:val="00E704B6"/>
    <w:rsid w:val="00E709E9"/>
    <w:rsid w:val="00E71305"/>
    <w:rsid w:val="00E714AC"/>
    <w:rsid w:val="00E71681"/>
    <w:rsid w:val="00E719BA"/>
    <w:rsid w:val="00E7251A"/>
    <w:rsid w:val="00E72532"/>
    <w:rsid w:val="00E725DD"/>
    <w:rsid w:val="00E730E1"/>
    <w:rsid w:val="00E7326E"/>
    <w:rsid w:val="00E73B22"/>
    <w:rsid w:val="00E74BE4"/>
    <w:rsid w:val="00E75B16"/>
    <w:rsid w:val="00E77590"/>
    <w:rsid w:val="00E800B2"/>
    <w:rsid w:val="00E80B62"/>
    <w:rsid w:val="00E80CE2"/>
    <w:rsid w:val="00E81516"/>
    <w:rsid w:val="00E819D8"/>
    <w:rsid w:val="00E81ABB"/>
    <w:rsid w:val="00E82E21"/>
    <w:rsid w:val="00E840DE"/>
    <w:rsid w:val="00E8437E"/>
    <w:rsid w:val="00E847AC"/>
    <w:rsid w:val="00E847F2"/>
    <w:rsid w:val="00E8486C"/>
    <w:rsid w:val="00E84928"/>
    <w:rsid w:val="00E84B95"/>
    <w:rsid w:val="00E84DAF"/>
    <w:rsid w:val="00E85465"/>
    <w:rsid w:val="00E85516"/>
    <w:rsid w:val="00E8567B"/>
    <w:rsid w:val="00E856C3"/>
    <w:rsid w:val="00E857DD"/>
    <w:rsid w:val="00E85BC5"/>
    <w:rsid w:val="00E85F5A"/>
    <w:rsid w:val="00E86211"/>
    <w:rsid w:val="00E86264"/>
    <w:rsid w:val="00E866B2"/>
    <w:rsid w:val="00E86A2B"/>
    <w:rsid w:val="00E87A80"/>
    <w:rsid w:val="00E87AD4"/>
    <w:rsid w:val="00E87C47"/>
    <w:rsid w:val="00E903DA"/>
    <w:rsid w:val="00E90C20"/>
    <w:rsid w:val="00E9108F"/>
    <w:rsid w:val="00E9131A"/>
    <w:rsid w:val="00E91561"/>
    <w:rsid w:val="00E9190E"/>
    <w:rsid w:val="00E9212B"/>
    <w:rsid w:val="00E922AB"/>
    <w:rsid w:val="00E92972"/>
    <w:rsid w:val="00E929FF"/>
    <w:rsid w:val="00E943AC"/>
    <w:rsid w:val="00E94FBF"/>
    <w:rsid w:val="00E9547E"/>
    <w:rsid w:val="00E96276"/>
    <w:rsid w:val="00E962DA"/>
    <w:rsid w:val="00E96943"/>
    <w:rsid w:val="00E96A11"/>
    <w:rsid w:val="00E97CCF"/>
    <w:rsid w:val="00EA0726"/>
    <w:rsid w:val="00EA1880"/>
    <w:rsid w:val="00EA25CE"/>
    <w:rsid w:val="00EA303D"/>
    <w:rsid w:val="00EA3249"/>
    <w:rsid w:val="00EA3F36"/>
    <w:rsid w:val="00EA4546"/>
    <w:rsid w:val="00EA4F59"/>
    <w:rsid w:val="00EA5862"/>
    <w:rsid w:val="00EA60DE"/>
    <w:rsid w:val="00EA7024"/>
    <w:rsid w:val="00EA7099"/>
    <w:rsid w:val="00EA70A8"/>
    <w:rsid w:val="00EB1A83"/>
    <w:rsid w:val="00EB2871"/>
    <w:rsid w:val="00EB352D"/>
    <w:rsid w:val="00EB3779"/>
    <w:rsid w:val="00EB54EA"/>
    <w:rsid w:val="00EB5868"/>
    <w:rsid w:val="00EB5869"/>
    <w:rsid w:val="00EB5EF5"/>
    <w:rsid w:val="00EB6033"/>
    <w:rsid w:val="00EB71ED"/>
    <w:rsid w:val="00EB7281"/>
    <w:rsid w:val="00EB7CDC"/>
    <w:rsid w:val="00EB7D3A"/>
    <w:rsid w:val="00EB7E0C"/>
    <w:rsid w:val="00EC04D6"/>
    <w:rsid w:val="00EC0DA7"/>
    <w:rsid w:val="00EC1AB1"/>
    <w:rsid w:val="00EC23C9"/>
    <w:rsid w:val="00EC327E"/>
    <w:rsid w:val="00EC3D8B"/>
    <w:rsid w:val="00EC5732"/>
    <w:rsid w:val="00EC6847"/>
    <w:rsid w:val="00EC6CEE"/>
    <w:rsid w:val="00EC7C9C"/>
    <w:rsid w:val="00ED02AE"/>
    <w:rsid w:val="00ED0BD7"/>
    <w:rsid w:val="00ED1BFD"/>
    <w:rsid w:val="00ED24B0"/>
    <w:rsid w:val="00ED29A3"/>
    <w:rsid w:val="00ED2CCB"/>
    <w:rsid w:val="00ED2ED2"/>
    <w:rsid w:val="00ED3075"/>
    <w:rsid w:val="00ED388A"/>
    <w:rsid w:val="00ED4A5E"/>
    <w:rsid w:val="00ED66E6"/>
    <w:rsid w:val="00ED6CB9"/>
    <w:rsid w:val="00ED78A2"/>
    <w:rsid w:val="00ED78FA"/>
    <w:rsid w:val="00ED7DD3"/>
    <w:rsid w:val="00EE060E"/>
    <w:rsid w:val="00EE0E1E"/>
    <w:rsid w:val="00EE1190"/>
    <w:rsid w:val="00EE1357"/>
    <w:rsid w:val="00EE153C"/>
    <w:rsid w:val="00EE19DD"/>
    <w:rsid w:val="00EE1DA5"/>
    <w:rsid w:val="00EE240B"/>
    <w:rsid w:val="00EE2DEE"/>
    <w:rsid w:val="00EE36AF"/>
    <w:rsid w:val="00EE3A77"/>
    <w:rsid w:val="00EE4FD6"/>
    <w:rsid w:val="00EE51A6"/>
    <w:rsid w:val="00EE548B"/>
    <w:rsid w:val="00EE5DF7"/>
    <w:rsid w:val="00EE5E67"/>
    <w:rsid w:val="00EE714B"/>
    <w:rsid w:val="00EE7A9E"/>
    <w:rsid w:val="00EE7B01"/>
    <w:rsid w:val="00EF0A5B"/>
    <w:rsid w:val="00EF0A60"/>
    <w:rsid w:val="00EF11A5"/>
    <w:rsid w:val="00EF1278"/>
    <w:rsid w:val="00EF35F5"/>
    <w:rsid w:val="00EF405D"/>
    <w:rsid w:val="00EF40D5"/>
    <w:rsid w:val="00EF411E"/>
    <w:rsid w:val="00EF4529"/>
    <w:rsid w:val="00EF52C5"/>
    <w:rsid w:val="00EF5528"/>
    <w:rsid w:val="00EF5E13"/>
    <w:rsid w:val="00EF6EA1"/>
    <w:rsid w:val="00EF70FB"/>
    <w:rsid w:val="00EF7826"/>
    <w:rsid w:val="00EF7E76"/>
    <w:rsid w:val="00EF7FDB"/>
    <w:rsid w:val="00F01A9E"/>
    <w:rsid w:val="00F02917"/>
    <w:rsid w:val="00F02B70"/>
    <w:rsid w:val="00F03B97"/>
    <w:rsid w:val="00F03C5A"/>
    <w:rsid w:val="00F04B94"/>
    <w:rsid w:val="00F05183"/>
    <w:rsid w:val="00F054E4"/>
    <w:rsid w:val="00F059A0"/>
    <w:rsid w:val="00F05B0D"/>
    <w:rsid w:val="00F05E9C"/>
    <w:rsid w:val="00F06311"/>
    <w:rsid w:val="00F06BDD"/>
    <w:rsid w:val="00F070C3"/>
    <w:rsid w:val="00F07478"/>
    <w:rsid w:val="00F07BA9"/>
    <w:rsid w:val="00F07D1D"/>
    <w:rsid w:val="00F102F7"/>
    <w:rsid w:val="00F10FF8"/>
    <w:rsid w:val="00F111D1"/>
    <w:rsid w:val="00F11256"/>
    <w:rsid w:val="00F11A52"/>
    <w:rsid w:val="00F11D2F"/>
    <w:rsid w:val="00F11E7D"/>
    <w:rsid w:val="00F11F9E"/>
    <w:rsid w:val="00F12BEF"/>
    <w:rsid w:val="00F13193"/>
    <w:rsid w:val="00F131BD"/>
    <w:rsid w:val="00F13593"/>
    <w:rsid w:val="00F13E39"/>
    <w:rsid w:val="00F14814"/>
    <w:rsid w:val="00F153F7"/>
    <w:rsid w:val="00F15451"/>
    <w:rsid w:val="00F1599D"/>
    <w:rsid w:val="00F16BB6"/>
    <w:rsid w:val="00F16C09"/>
    <w:rsid w:val="00F17371"/>
    <w:rsid w:val="00F17C61"/>
    <w:rsid w:val="00F20757"/>
    <w:rsid w:val="00F20EF4"/>
    <w:rsid w:val="00F21066"/>
    <w:rsid w:val="00F21E7C"/>
    <w:rsid w:val="00F22066"/>
    <w:rsid w:val="00F22ECB"/>
    <w:rsid w:val="00F234FA"/>
    <w:rsid w:val="00F23C66"/>
    <w:rsid w:val="00F248CD"/>
    <w:rsid w:val="00F257B5"/>
    <w:rsid w:val="00F2599B"/>
    <w:rsid w:val="00F25CAA"/>
    <w:rsid w:val="00F262B6"/>
    <w:rsid w:val="00F26556"/>
    <w:rsid w:val="00F2660F"/>
    <w:rsid w:val="00F27A20"/>
    <w:rsid w:val="00F30281"/>
    <w:rsid w:val="00F30D85"/>
    <w:rsid w:val="00F310FF"/>
    <w:rsid w:val="00F3111E"/>
    <w:rsid w:val="00F323E7"/>
    <w:rsid w:val="00F3246D"/>
    <w:rsid w:val="00F32B1E"/>
    <w:rsid w:val="00F33010"/>
    <w:rsid w:val="00F33705"/>
    <w:rsid w:val="00F33F67"/>
    <w:rsid w:val="00F35A3B"/>
    <w:rsid w:val="00F35A71"/>
    <w:rsid w:val="00F3691D"/>
    <w:rsid w:val="00F37104"/>
    <w:rsid w:val="00F40682"/>
    <w:rsid w:val="00F40EB4"/>
    <w:rsid w:val="00F40FB4"/>
    <w:rsid w:val="00F41D0C"/>
    <w:rsid w:val="00F41DD4"/>
    <w:rsid w:val="00F4272B"/>
    <w:rsid w:val="00F42746"/>
    <w:rsid w:val="00F429C0"/>
    <w:rsid w:val="00F42DF0"/>
    <w:rsid w:val="00F42F4C"/>
    <w:rsid w:val="00F43630"/>
    <w:rsid w:val="00F43ED8"/>
    <w:rsid w:val="00F445AC"/>
    <w:rsid w:val="00F44620"/>
    <w:rsid w:val="00F44997"/>
    <w:rsid w:val="00F454F2"/>
    <w:rsid w:val="00F45DBB"/>
    <w:rsid w:val="00F4635B"/>
    <w:rsid w:val="00F46ADE"/>
    <w:rsid w:val="00F46EA1"/>
    <w:rsid w:val="00F47942"/>
    <w:rsid w:val="00F47E2A"/>
    <w:rsid w:val="00F5010B"/>
    <w:rsid w:val="00F522AA"/>
    <w:rsid w:val="00F52381"/>
    <w:rsid w:val="00F52631"/>
    <w:rsid w:val="00F52DD6"/>
    <w:rsid w:val="00F536C1"/>
    <w:rsid w:val="00F54888"/>
    <w:rsid w:val="00F54C56"/>
    <w:rsid w:val="00F54F1A"/>
    <w:rsid w:val="00F56001"/>
    <w:rsid w:val="00F56143"/>
    <w:rsid w:val="00F566E4"/>
    <w:rsid w:val="00F567ED"/>
    <w:rsid w:val="00F57029"/>
    <w:rsid w:val="00F5716C"/>
    <w:rsid w:val="00F57CB0"/>
    <w:rsid w:val="00F600E5"/>
    <w:rsid w:val="00F607C7"/>
    <w:rsid w:val="00F60949"/>
    <w:rsid w:val="00F611DA"/>
    <w:rsid w:val="00F6152B"/>
    <w:rsid w:val="00F61AF2"/>
    <w:rsid w:val="00F621C4"/>
    <w:rsid w:val="00F62DBA"/>
    <w:rsid w:val="00F633D0"/>
    <w:rsid w:val="00F63D93"/>
    <w:rsid w:val="00F64299"/>
    <w:rsid w:val="00F6484B"/>
    <w:rsid w:val="00F650EF"/>
    <w:rsid w:val="00F6537D"/>
    <w:rsid w:val="00F6552B"/>
    <w:rsid w:val="00F65828"/>
    <w:rsid w:val="00F659FE"/>
    <w:rsid w:val="00F65ADE"/>
    <w:rsid w:val="00F65F25"/>
    <w:rsid w:val="00F65FCC"/>
    <w:rsid w:val="00F66220"/>
    <w:rsid w:val="00F66233"/>
    <w:rsid w:val="00F66660"/>
    <w:rsid w:val="00F66945"/>
    <w:rsid w:val="00F66FA6"/>
    <w:rsid w:val="00F67432"/>
    <w:rsid w:val="00F703D3"/>
    <w:rsid w:val="00F710D9"/>
    <w:rsid w:val="00F7134F"/>
    <w:rsid w:val="00F71513"/>
    <w:rsid w:val="00F723B0"/>
    <w:rsid w:val="00F731D8"/>
    <w:rsid w:val="00F74BAB"/>
    <w:rsid w:val="00F75392"/>
    <w:rsid w:val="00F7578C"/>
    <w:rsid w:val="00F75811"/>
    <w:rsid w:val="00F7582D"/>
    <w:rsid w:val="00F760DF"/>
    <w:rsid w:val="00F7637B"/>
    <w:rsid w:val="00F76B64"/>
    <w:rsid w:val="00F770C7"/>
    <w:rsid w:val="00F77466"/>
    <w:rsid w:val="00F77916"/>
    <w:rsid w:val="00F80C3C"/>
    <w:rsid w:val="00F819A1"/>
    <w:rsid w:val="00F81F60"/>
    <w:rsid w:val="00F82A37"/>
    <w:rsid w:val="00F82D10"/>
    <w:rsid w:val="00F847F7"/>
    <w:rsid w:val="00F84ABE"/>
    <w:rsid w:val="00F84CCF"/>
    <w:rsid w:val="00F850E2"/>
    <w:rsid w:val="00F85154"/>
    <w:rsid w:val="00F85325"/>
    <w:rsid w:val="00F86855"/>
    <w:rsid w:val="00F87F9C"/>
    <w:rsid w:val="00F90039"/>
    <w:rsid w:val="00F902AF"/>
    <w:rsid w:val="00F91A68"/>
    <w:rsid w:val="00F91B0B"/>
    <w:rsid w:val="00F9258B"/>
    <w:rsid w:val="00F929F4"/>
    <w:rsid w:val="00F92CEF"/>
    <w:rsid w:val="00F92EF0"/>
    <w:rsid w:val="00F93193"/>
    <w:rsid w:val="00F93198"/>
    <w:rsid w:val="00F93915"/>
    <w:rsid w:val="00F94AE6"/>
    <w:rsid w:val="00F95C74"/>
    <w:rsid w:val="00F969C1"/>
    <w:rsid w:val="00FA0285"/>
    <w:rsid w:val="00FA03FF"/>
    <w:rsid w:val="00FA04BA"/>
    <w:rsid w:val="00FA114C"/>
    <w:rsid w:val="00FA14E4"/>
    <w:rsid w:val="00FA2AE6"/>
    <w:rsid w:val="00FA38EB"/>
    <w:rsid w:val="00FA4527"/>
    <w:rsid w:val="00FA4CFA"/>
    <w:rsid w:val="00FA5695"/>
    <w:rsid w:val="00FA58C3"/>
    <w:rsid w:val="00FA5B4F"/>
    <w:rsid w:val="00FA5CFC"/>
    <w:rsid w:val="00FA6DAC"/>
    <w:rsid w:val="00FA7814"/>
    <w:rsid w:val="00FA7BAD"/>
    <w:rsid w:val="00FA7CE8"/>
    <w:rsid w:val="00FA7F49"/>
    <w:rsid w:val="00FB045E"/>
    <w:rsid w:val="00FB0823"/>
    <w:rsid w:val="00FB10ED"/>
    <w:rsid w:val="00FB1D48"/>
    <w:rsid w:val="00FB25CB"/>
    <w:rsid w:val="00FB2631"/>
    <w:rsid w:val="00FB3F78"/>
    <w:rsid w:val="00FB5229"/>
    <w:rsid w:val="00FB6AB5"/>
    <w:rsid w:val="00FB6C76"/>
    <w:rsid w:val="00FC0047"/>
    <w:rsid w:val="00FC196F"/>
    <w:rsid w:val="00FC1C01"/>
    <w:rsid w:val="00FC2B12"/>
    <w:rsid w:val="00FC2CAC"/>
    <w:rsid w:val="00FC3B4D"/>
    <w:rsid w:val="00FC3B5A"/>
    <w:rsid w:val="00FC488F"/>
    <w:rsid w:val="00FC50E9"/>
    <w:rsid w:val="00FC5AEF"/>
    <w:rsid w:val="00FC5BED"/>
    <w:rsid w:val="00FC5D7D"/>
    <w:rsid w:val="00FC5EAB"/>
    <w:rsid w:val="00FC66C5"/>
    <w:rsid w:val="00FC6E88"/>
    <w:rsid w:val="00FC72B6"/>
    <w:rsid w:val="00FC7A2A"/>
    <w:rsid w:val="00FC7F06"/>
    <w:rsid w:val="00FD08A5"/>
    <w:rsid w:val="00FD2F50"/>
    <w:rsid w:val="00FD3C01"/>
    <w:rsid w:val="00FD3D39"/>
    <w:rsid w:val="00FD3DCE"/>
    <w:rsid w:val="00FD44DB"/>
    <w:rsid w:val="00FD4A14"/>
    <w:rsid w:val="00FD5BDC"/>
    <w:rsid w:val="00FD6F5E"/>
    <w:rsid w:val="00FD7171"/>
    <w:rsid w:val="00FD78FB"/>
    <w:rsid w:val="00FD7B2D"/>
    <w:rsid w:val="00FD7EAD"/>
    <w:rsid w:val="00FE00BC"/>
    <w:rsid w:val="00FE0301"/>
    <w:rsid w:val="00FE04DA"/>
    <w:rsid w:val="00FE0AE3"/>
    <w:rsid w:val="00FE0B3A"/>
    <w:rsid w:val="00FE0DE2"/>
    <w:rsid w:val="00FE25F8"/>
    <w:rsid w:val="00FE278C"/>
    <w:rsid w:val="00FE2CE5"/>
    <w:rsid w:val="00FE2CF9"/>
    <w:rsid w:val="00FE3319"/>
    <w:rsid w:val="00FE418F"/>
    <w:rsid w:val="00FE5C00"/>
    <w:rsid w:val="00FE63DB"/>
    <w:rsid w:val="00FE66E6"/>
    <w:rsid w:val="00FE701E"/>
    <w:rsid w:val="00FE71B9"/>
    <w:rsid w:val="00FE7560"/>
    <w:rsid w:val="00FF01C0"/>
    <w:rsid w:val="00FF0FB0"/>
    <w:rsid w:val="00FF1236"/>
    <w:rsid w:val="00FF136B"/>
    <w:rsid w:val="00FF21C1"/>
    <w:rsid w:val="00FF2841"/>
    <w:rsid w:val="00FF4106"/>
    <w:rsid w:val="00FF4741"/>
    <w:rsid w:val="00FF6709"/>
    <w:rsid w:val="00FF6762"/>
    <w:rsid w:val="00FF7787"/>
    <w:rsid w:val="00FF781A"/>
    <w:rsid w:val="00FF7A78"/>
    <w:rsid w:val="00FF7FD8"/>
  </w:rsids>
  <m:mathPr>
    <m:mathFont m:val="Cambria Math"/>
    <m:brkBin m:val="before"/>
    <m:brkBinSub m:val="--"/>
    <m:smallFrac m:val="0"/>
    <m:dispDef/>
    <m:lMargin m:val="0"/>
    <m:rMargin m:val="0"/>
    <m:defJc m:val="centerGroup"/>
    <m:wrapIndent m:val="1440"/>
    <m:intLim m:val="subSup"/>
    <m:naryLim m:val="undOvr"/>
  </m:mathPr>
  <w:themeFontLang w:val="es-C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B2DF69"/>
  <w15:docId w15:val="{8B73F450-00B5-47BB-8BED-0818DD391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352B"/>
    <w:pPr>
      <w:spacing w:after="0" w:line="240" w:lineRule="auto"/>
    </w:pPr>
    <w:rPr>
      <w:rFonts w:ascii="Times New Roman" w:eastAsia="Times New Roman" w:hAnsi="Times New Roman" w:cs="Times New Roman"/>
      <w:sz w:val="24"/>
      <w:szCs w:val="24"/>
      <w:lang w:eastAsia="es-MX"/>
    </w:rPr>
  </w:style>
  <w:style w:type="paragraph" w:styleId="Ttulo1">
    <w:name w:val="heading 1"/>
    <w:aliases w:val="Título Verdana"/>
    <w:basedOn w:val="Normal"/>
    <w:next w:val="Normal"/>
    <w:link w:val="Ttulo1Car"/>
    <w:uiPriority w:val="9"/>
    <w:qFormat/>
    <w:rsid w:val="00C66E22"/>
    <w:pPr>
      <w:keepNext/>
      <w:keepLines/>
      <w:jc w:val="center"/>
      <w:outlineLvl w:val="0"/>
    </w:pPr>
    <w:rPr>
      <w:rFonts w:ascii="Verdana" w:eastAsia="Verdana" w:hAnsi="Verdana" w:cs="Verdana"/>
      <w:b/>
      <w:sz w:val="20"/>
      <w:szCs w:val="20"/>
      <w:lang w:val="es-ES"/>
    </w:rPr>
  </w:style>
  <w:style w:type="paragraph" w:styleId="Ttulo2">
    <w:name w:val="heading 2"/>
    <w:basedOn w:val="Normal"/>
    <w:next w:val="Normal"/>
    <w:link w:val="Ttulo2Car"/>
    <w:uiPriority w:val="9"/>
    <w:unhideWhenUsed/>
    <w:qFormat/>
    <w:rsid w:val="00DF44B4"/>
    <w:pPr>
      <w:keepNext/>
      <w:keepLines/>
      <w:widowControl w:val="0"/>
      <w:adjustRightInd w:val="0"/>
      <w:ind w:left="709"/>
      <w:jc w:val="both"/>
      <w:textAlignment w:val="baseline"/>
      <w:outlineLvl w:val="1"/>
    </w:pPr>
    <w:rPr>
      <w:rFonts w:ascii="Verdana" w:eastAsiaTheme="majorEastAsia" w:hAnsi="Verdana" w:cstheme="majorBidi"/>
      <w:b/>
      <w:color w:val="000000" w:themeColor="text1"/>
      <w:sz w:val="20"/>
      <w:szCs w:val="20"/>
      <w:lang w:val="es-DO"/>
    </w:rPr>
  </w:style>
  <w:style w:type="paragraph" w:styleId="Ttulo3">
    <w:name w:val="heading 3"/>
    <w:basedOn w:val="Ttulo2"/>
    <w:next w:val="Normal"/>
    <w:link w:val="Ttulo3Car"/>
    <w:uiPriority w:val="9"/>
    <w:unhideWhenUsed/>
    <w:qFormat/>
    <w:rsid w:val="00C66E22"/>
    <w:pPr>
      <w:ind w:left="993"/>
      <w:outlineLvl w:val="2"/>
    </w:pPr>
    <w:rPr>
      <w:i/>
      <w:lang w:val="es-ES"/>
    </w:rPr>
  </w:style>
  <w:style w:type="paragraph" w:styleId="Ttulo4">
    <w:name w:val="heading 4"/>
    <w:basedOn w:val="Normal"/>
    <w:next w:val="Normal"/>
    <w:link w:val="Ttulo4Car"/>
    <w:uiPriority w:val="9"/>
    <w:unhideWhenUsed/>
    <w:qFormat/>
    <w:rsid w:val="00F44620"/>
    <w:pPr>
      <w:ind w:left="1418"/>
      <w:jc w:val="both"/>
      <w:outlineLvl w:val="3"/>
    </w:pPr>
    <w:rPr>
      <w:rFonts w:ascii="Verdana" w:eastAsia="MS Gothic" w:hAnsi="Verdana"/>
      <w:bCs/>
      <w:i/>
      <w:iCs/>
      <w:sz w:val="20"/>
      <w:szCs w:val="20"/>
      <w:u w:val="single"/>
      <w:lang w:val="es-ES" w:eastAsia="x-none"/>
    </w:rPr>
  </w:style>
  <w:style w:type="paragraph" w:styleId="Ttulo5">
    <w:name w:val="heading 5"/>
    <w:basedOn w:val="Normal"/>
    <w:next w:val="Normal"/>
    <w:link w:val="Ttulo5Car"/>
    <w:uiPriority w:val="9"/>
    <w:unhideWhenUsed/>
    <w:qFormat/>
    <w:rsid w:val="00C66E22"/>
    <w:pPr>
      <w:keepNext/>
      <w:keepLines/>
      <w:ind w:left="709"/>
      <w:outlineLvl w:val="4"/>
    </w:pPr>
    <w:rPr>
      <w:rFonts w:ascii="Verdana" w:eastAsiaTheme="majorEastAsia" w:hAnsi="Verdana" w:cstheme="majorBidi"/>
      <w:i/>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ítulo Verdana Car"/>
    <w:basedOn w:val="Fuentedeprrafopredeter"/>
    <w:link w:val="Ttulo1"/>
    <w:uiPriority w:val="9"/>
    <w:rsid w:val="00C66E22"/>
    <w:rPr>
      <w:rFonts w:ascii="Verdana" w:eastAsia="Verdana" w:hAnsi="Verdana" w:cs="Verdana"/>
      <w:b/>
      <w:sz w:val="20"/>
      <w:szCs w:val="20"/>
      <w:lang w:val="es-ES"/>
    </w:rPr>
  </w:style>
  <w:style w:type="character" w:customStyle="1" w:styleId="Ttulo2Car">
    <w:name w:val="Título 2 Car"/>
    <w:basedOn w:val="Fuentedeprrafopredeter"/>
    <w:link w:val="Ttulo2"/>
    <w:uiPriority w:val="9"/>
    <w:rsid w:val="00DF44B4"/>
    <w:rPr>
      <w:rFonts w:ascii="Verdana" w:eastAsiaTheme="majorEastAsia" w:hAnsi="Verdana" w:cstheme="majorBidi"/>
      <w:b/>
      <w:color w:val="000000" w:themeColor="text1"/>
      <w:sz w:val="20"/>
      <w:szCs w:val="20"/>
      <w:lang w:val="es-DO"/>
    </w:rPr>
  </w:style>
  <w:style w:type="character" w:customStyle="1" w:styleId="Ttulo3Car">
    <w:name w:val="Título 3 Car"/>
    <w:basedOn w:val="Fuentedeprrafopredeter"/>
    <w:link w:val="Ttulo3"/>
    <w:uiPriority w:val="9"/>
    <w:rsid w:val="00C66E22"/>
    <w:rPr>
      <w:rFonts w:ascii="Verdana" w:eastAsiaTheme="majorEastAsia" w:hAnsi="Verdana" w:cstheme="majorBidi"/>
      <w:b/>
      <w:i/>
      <w:color w:val="000000" w:themeColor="text1"/>
      <w:sz w:val="20"/>
      <w:szCs w:val="26"/>
      <w:lang w:val="es-ES"/>
    </w:rPr>
  </w:style>
  <w:style w:type="character" w:customStyle="1" w:styleId="Ttulo4Car">
    <w:name w:val="Título 4 Car"/>
    <w:basedOn w:val="Fuentedeprrafopredeter"/>
    <w:link w:val="Ttulo4"/>
    <w:uiPriority w:val="9"/>
    <w:rsid w:val="00F44620"/>
    <w:rPr>
      <w:rFonts w:ascii="Verdana" w:eastAsia="MS Gothic" w:hAnsi="Verdana"/>
      <w:bCs/>
      <w:i/>
      <w:iCs/>
      <w:sz w:val="20"/>
      <w:szCs w:val="20"/>
      <w:u w:val="single"/>
      <w:lang w:val="es-ES" w:eastAsia="x-none"/>
    </w:rPr>
  </w:style>
  <w:style w:type="character" w:customStyle="1" w:styleId="Ttulo5Car">
    <w:name w:val="Título 5 Car"/>
    <w:basedOn w:val="Fuentedeprrafopredeter"/>
    <w:link w:val="Ttulo5"/>
    <w:uiPriority w:val="9"/>
    <w:rsid w:val="00C66E22"/>
    <w:rPr>
      <w:rFonts w:ascii="Verdana" w:eastAsiaTheme="majorEastAsia" w:hAnsi="Verdana" w:cstheme="majorBidi"/>
      <w:i/>
      <w:sz w:val="20"/>
      <w:szCs w:val="20"/>
    </w:rPr>
  </w:style>
  <w:style w:type="paragraph" w:styleId="Encabezado">
    <w:name w:val="header"/>
    <w:aliases w:val="encabezado"/>
    <w:basedOn w:val="Normal"/>
    <w:link w:val="EncabezadoCar"/>
    <w:uiPriority w:val="99"/>
    <w:unhideWhenUsed/>
    <w:rsid w:val="00C66E22"/>
    <w:pPr>
      <w:tabs>
        <w:tab w:val="center" w:pos="4419"/>
        <w:tab w:val="right" w:pos="8838"/>
      </w:tabs>
    </w:pPr>
    <w:rPr>
      <w:lang w:val="es-ES_tradnl"/>
    </w:rPr>
  </w:style>
  <w:style w:type="character" w:customStyle="1" w:styleId="EncabezadoCar">
    <w:name w:val="Encabezado Car"/>
    <w:aliases w:val="encabezado Car"/>
    <w:basedOn w:val="Fuentedeprrafopredeter"/>
    <w:link w:val="Encabezado"/>
    <w:uiPriority w:val="99"/>
    <w:rsid w:val="00C66E22"/>
    <w:rPr>
      <w:lang w:val="es-ES_tradnl"/>
    </w:rPr>
  </w:style>
  <w:style w:type="paragraph" w:styleId="Textonotapie">
    <w:name w:val="footnote text"/>
    <w:aliases w:val="Footnote Text Char Char Char Char Char,Footnote Text Char Char Char Char,Footnote reference,FA Fu,Footnote Text Char Char Char,Footnote Text Cha,FA Fußnotentext,FA Fuﬂnotentext,Footnote Text Char Char,FA Fu?notente,Ca,FA Fu?notentext,C,ft"/>
    <w:basedOn w:val="Normal"/>
    <w:link w:val="TextonotapieCar"/>
    <w:uiPriority w:val="99"/>
    <w:unhideWhenUsed/>
    <w:qFormat/>
    <w:rsid w:val="00C66E22"/>
    <w:rPr>
      <w:sz w:val="20"/>
      <w:szCs w:val="20"/>
    </w:rPr>
  </w:style>
  <w:style w:type="character" w:customStyle="1" w:styleId="TextonotapieCar">
    <w:name w:val="Texto nota pie Car"/>
    <w:aliases w:val="Footnote Text Char Char Char Char Char Car,Footnote Text Char Char Char Char Car,Footnote reference Car,FA Fu Car,Footnote Text Char Char Char Car,Footnote Text Cha Car,FA Fußnotentext Car,FA Fuﬂnotentext Car,FA Fu?notente Car,Ca Car"/>
    <w:basedOn w:val="Fuentedeprrafopredeter"/>
    <w:link w:val="Textonotapie"/>
    <w:uiPriority w:val="99"/>
    <w:qFormat/>
    <w:rsid w:val="00C66E22"/>
    <w:rPr>
      <w:sz w:val="20"/>
      <w:szCs w:val="20"/>
    </w:rPr>
  </w:style>
  <w:style w:type="character" w:styleId="Refdenotaalpie">
    <w:name w:val="footnote reference"/>
    <w:aliases w:val="Texto de nota al pie,Appel note de bas de page,Footnotes refss,Footnote number,referencia nota al pie,BVI fnr,f,4_G,16 Point,Superscript 6 Point,Texto nota al pie,Footnote Reference Char3,Footnote Reference Char1 Char,Ref. de nota al"/>
    <w:basedOn w:val="Fuentedeprrafopredeter"/>
    <w:link w:val="4GChar"/>
    <w:uiPriority w:val="99"/>
    <w:unhideWhenUsed/>
    <w:qFormat/>
    <w:rsid w:val="00C66E22"/>
    <w:rPr>
      <w:vertAlign w:val="superscript"/>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uiPriority w:val="99"/>
    <w:qFormat/>
    <w:rsid w:val="00C66E22"/>
    <w:pPr>
      <w:jc w:val="both"/>
    </w:pPr>
    <w:rPr>
      <w:vertAlign w:val="superscript"/>
    </w:rPr>
  </w:style>
  <w:style w:type="paragraph" w:styleId="Prrafodelista">
    <w:name w:val="List Paragraph"/>
    <w:aliases w:val="Footnote,List Paragraph1,Colorful List - Accent 11,Párrafo de lista1,List Paragraph2,Lista vistosa - Énfasis 11,Subtle Emphasis1,Footnote1,Parrafos,List Paragraph11"/>
    <w:basedOn w:val="Normal"/>
    <w:link w:val="PrrafodelistaCar"/>
    <w:uiPriority w:val="99"/>
    <w:qFormat/>
    <w:rsid w:val="00C66E22"/>
    <w:pPr>
      <w:widowControl w:val="0"/>
      <w:spacing w:after="200" w:line="276" w:lineRule="auto"/>
      <w:ind w:left="720"/>
      <w:contextualSpacing/>
    </w:pPr>
    <w:rPr>
      <w:lang w:val="en-US"/>
    </w:rPr>
  </w:style>
  <w:style w:type="character" w:styleId="Hipervnculo">
    <w:name w:val="Hyperlink"/>
    <w:basedOn w:val="Fuentedeprrafopredeter"/>
    <w:uiPriority w:val="99"/>
    <w:unhideWhenUsed/>
    <w:rsid w:val="00C66E22"/>
    <w:rPr>
      <w:color w:val="0000FF"/>
      <w:u w:val="single"/>
    </w:rPr>
  </w:style>
  <w:style w:type="paragraph" w:styleId="TDC1">
    <w:name w:val="toc 1"/>
    <w:basedOn w:val="Normal"/>
    <w:next w:val="Normal"/>
    <w:autoRedefine/>
    <w:uiPriority w:val="39"/>
    <w:unhideWhenUsed/>
    <w:rsid w:val="00C66E22"/>
    <w:pPr>
      <w:tabs>
        <w:tab w:val="right" w:leader="dot" w:pos="10010"/>
      </w:tabs>
    </w:pPr>
    <w:rPr>
      <w:b/>
      <w:noProof/>
      <w:lang w:eastAsia="es-CR"/>
    </w:rPr>
  </w:style>
  <w:style w:type="character" w:customStyle="1" w:styleId="PrrafodelistaCar">
    <w:name w:val="Párrafo de lista Car"/>
    <w:aliases w:val="Footnote Car,List Paragraph1 Car,Colorful List - Accent 11 Car,Párrafo de lista1 Car,List Paragraph2 Car,Lista vistosa - Énfasis 11 Car,Subtle Emphasis1 Car,Footnote1 Car,Parrafos Car,List Paragraph11 Car"/>
    <w:basedOn w:val="Fuentedeprrafopredeter"/>
    <w:link w:val="Prrafodelista"/>
    <w:uiPriority w:val="99"/>
    <w:locked/>
    <w:rsid w:val="00C66E22"/>
    <w:rPr>
      <w:lang w:val="en-US"/>
    </w:rPr>
  </w:style>
  <w:style w:type="paragraph" w:styleId="Piedepgina">
    <w:name w:val="footer"/>
    <w:basedOn w:val="Normal"/>
    <w:link w:val="PiedepginaCar"/>
    <w:uiPriority w:val="99"/>
    <w:unhideWhenUsed/>
    <w:rsid w:val="00C66E22"/>
    <w:pPr>
      <w:tabs>
        <w:tab w:val="center" w:pos="4419"/>
        <w:tab w:val="right" w:pos="8838"/>
      </w:tabs>
    </w:pPr>
  </w:style>
  <w:style w:type="character" w:customStyle="1" w:styleId="PiedepginaCar">
    <w:name w:val="Pie de página Car"/>
    <w:basedOn w:val="Fuentedeprrafopredeter"/>
    <w:link w:val="Piedepgina"/>
    <w:uiPriority w:val="99"/>
    <w:rsid w:val="00C66E22"/>
  </w:style>
  <w:style w:type="paragraph" w:customStyle="1" w:styleId="NormalNumbered">
    <w:name w:val="Normal Numbered"/>
    <w:basedOn w:val="Normal"/>
    <w:qFormat/>
    <w:rsid w:val="00C66E22"/>
    <w:pPr>
      <w:numPr>
        <w:numId w:val="3"/>
      </w:numPr>
      <w:jc w:val="both"/>
    </w:pPr>
    <w:rPr>
      <w:rFonts w:ascii="Verdana" w:hAnsi="Verdana"/>
      <w:sz w:val="20"/>
      <w:szCs w:val="20"/>
      <w:lang w:val="es-MX"/>
    </w:rPr>
  </w:style>
  <w:style w:type="character" w:styleId="Textoennegrita">
    <w:name w:val="Strong"/>
    <w:aliases w:val="Heading 2.1"/>
    <w:basedOn w:val="Fuentedeprrafopredeter"/>
    <w:uiPriority w:val="22"/>
    <w:qFormat/>
    <w:rsid w:val="00C66E22"/>
    <w:rPr>
      <w:b/>
      <w:bCs/>
    </w:rPr>
  </w:style>
  <w:style w:type="character" w:customStyle="1" w:styleId="xcolumn01">
    <w:name w:val="x_column01"/>
    <w:basedOn w:val="Fuentedeprrafopredeter"/>
    <w:rsid w:val="00C66E22"/>
  </w:style>
  <w:style w:type="character" w:customStyle="1" w:styleId="xs6b621b36">
    <w:name w:val="x_s6b621b36"/>
    <w:basedOn w:val="Fuentedeprrafopredeter"/>
    <w:rsid w:val="00C66E22"/>
  </w:style>
  <w:style w:type="paragraph" w:styleId="Ttulo">
    <w:name w:val="Title"/>
    <w:basedOn w:val="Normal"/>
    <w:next w:val="Normal"/>
    <w:link w:val="TtuloCar"/>
    <w:qFormat/>
    <w:rsid w:val="00C66E22"/>
    <w:pPr>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rsid w:val="00C66E22"/>
    <w:rPr>
      <w:rFonts w:asciiTheme="majorHAnsi" w:eastAsiaTheme="majorEastAsia" w:hAnsiTheme="majorHAnsi" w:cstheme="majorBidi"/>
      <w:spacing w:val="-10"/>
      <w:kern w:val="28"/>
      <w:sz w:val="56"/>
      <w:szCs w:val="56"/>
    </w:rPr>
  </w:style>
  <w:style w:type="paragraph" w:customStyle="1" w:styleId="Default">
    <w:name w:val="Default"/>
    <w:rsid w:val="00C66E22"/>
    <w:pPr>
      <w:autoSpaceDE w:val="0"/>
      <w:autoSpaceDN w:val="0"/>
      <w:adjustRightInd w:val="0"/>
      <w:spacing w:after="0" w:line="240" w:lineRule="auto"/>
    </w:pPr>
    <w:rPr>
      <w:rFonts w:ascii="Verdana" w:hAnsi="Verdana" w:cs="Verdana"/>
      <w:color w:val="000000"/>
      <w:sz w:val="24"/>
      <w:szCs w:val="24"/>
    </w:rPr>
  </w:style>
  <w:style w:type="character" w:styleId="nfasis">
    <w:name w:val="Emphasis"/>
    <w:basedOn w:val="Fuentedeprrafopredeter"/>
    <w:uiPriority w:val="20"/>
    <w:qFormat/>
    <w:rsid w:val="00C66E22"/>
    <w:rPr>
      <w:i/>
      <w:iCs/>
    </w:rPr>
  </w:style>
  <w:style w:type="paragraph" w:styleId="NormalWeb">
    <w:name w:val="Normal (Web)"/>
    <w:aliases w:val="Normal (Web) Char1,Normal (Web) Char Char,Normal (Web) Char1 Char,Normal (Web) Char Char Char,webb"/>
    <w:basedOn w:val="Normal"/>
    <w:uiPriority w:val="99"/>
    <w:unhideWhenUsed/>
    <w:qFormat/>
    <w:rsid w:val="00C66E22"/>
    <w:pPr>
      <w:spacing w:before="100" w:beforeAutospacing="1" w:after="100" w:afterAutospacing="1"/>
    </w:pPr>
    <w:rPr>
      <w:lang w:val="es-MX" w:eastAsia="es-ES_tradnl"/>
    </w:rPr>
  </w:style>
  <w:style w:type="paragraph" w:styleId="TDC2">
    <w:name w:val="toc 2"/>
    <w:basedOn w:val="Normal"/>
    <w:next w:val="Normal"/>
    <w:autoRedefine/>
    <w:uiPriority w:val="39"/>
    <w:unhideWhenUsed/>
    <w:rsid w:val="00935F48"/>
    <w:pPr>
      <w:tabs>
        <w:tab w:val="left" w:pos="660"/>
        <w:tab w:val="right" w:leader="dot" w:pos="10010"/>
      </w:tabs>
      <w:ind w:left="221"/>
      <w:jc w:val="both"/>
    </w:pPr>
    <w:rPr>
      <w:rFonts w:ascii="Verdana" w:hAnsi="Verdana"/>
      <w:i/>
      <w:noProof/>
      <w:snapToGrid w:val="0"/>
      <w:sz w:val="20"/>
      <w:szCs w:val="20"/>
    </w:rPr>
  </w:style>
  <w:style w:type="paragraph" w:styleId="TDC3">
    <w:name w:val="toc 3"/>
    <w:basedOn w:val="Normal"/>
    <w:next w:val="Normal"/>
    <w:autoRedefine/>
    <w:uiPriority w:val="39"/>
    <w:unhideWhenUsed/>
    <w:rsid w:val="00935F48"/>
    <w:pPr>
      <w:tabs>
        <w:tab w:val="right" w:leader="dot" w:pos="9630"/>
      </w:tabs>
      <w:ind w:left="442"/>
    </w:pPr>
  </w:style>
  <w:style w:type="paragraph" w:styleId="TDC4">
    <w:name w:val="toc 4"/>
    <w:basedOn w:val="Normal"/>
    <w:next w:val="Normal"/>
    <w:autoRedefine/>
    <w:uiPriority w:val="39"/>
    <w:unhideWhenUsed/>
    <w:rsid w:val="00C66E22"/>
    <w:pPr>
      <w:spacing w:after="100"/>
      <w:ind w:left="660"/>
    </w:pPr>
  </w:style>
  <w:style w:type="character" w:customStyle="1" w:styleId="apple-converted-space">
    <w:name w:val="apple-converted-space"/>
    <w:basedOn w:val="Fuentedeprrafopredeter"/>
    <w:rsid w:val="00C66E22"/>
  </w:style>
  <w:style w:type="paragraph" w:customStyle="1" w:styleId="PrrafodeSentencia">
    <w:name w:val="*. Párrafo de Sentencia"/>
    <w:basedOn w:val="Textonotapie"/>
    <w:link w:val="PrrafodeSentenciaChar"/>
    <w:autoRedefine/>
    <w:qFormat/>
    <w:rsid w:val="00D753D0"/>
    <w:pPr>
      <w:numPr>
        <w:numId w:val="28"/>
      </w:numPr>
      <w:tabs>
        <w:tab w:val="left" w:pos="0"/>
      </w:tabs>
      <w:autoSpaceDE w:val="0"/>
      <w:autoSpaceDN w:val="0"/>
      <w:adjustRightInd w:val="0"/>
      <w:ind w:left="0" w:right="45" w:firstLine="0"/>
      <w:jc w:val="both"/>
    </w:pPr>
    <w:rPr>
      <w:rFonts w:ascii="Verdana" w:eastAsia="Times" w:hAnsi="Verdana" w:cs="Calibri"/>
      <w:bCs/>
      <w:iCs/>
      <w:noProof/>
      <w:kern w:val="2"/>
      <w:shd w:val="clear" w:color="auto" w:fill="FFFFFF"/>
      <w:lang w:val="es-CL"/>
    </w:rPr>
  </w:style>
  <w:style w:type="paragraph" w:customStyle="1" w:styleId="Estilo1">
    <w:name w:val="Estilo1"/>
    <w:basedOn w:val="Normal"/>
    <w:link w:val="Estilo1Car"/>
    <w:qFormat/>
    <w:rsid w:val="00C66E22"/>
    <w:pPr>
      <w:spacing w:before="60" w:after="120"/>
      <w:ind w:left="2018" w:right="6" w:hanging="180"/>
      <w:jc w:val="both"/>
    </w:pPr>
    <w:rPr>
      <w:rFonts w:ascii="Verdana" w:eastAsia="Batang" w:hAnsi="Verdana" w:cs="Times"/>
      <w:i/>
      <w:sz w:val="20"/>
      <w:lang w:val="es-ES_tradnl"/>
    </w:rPr>
  </w:style>
  <w:style w:type="character" w:customStyle="1" w:styleId="Estilo1Car">
    <w:name w:val="Estilo1 Car"/>
    <w:basedOn w:val="Fuentedeprrafopredeter"/>
    <w:link w:val="Estilo1"/>
    <w:rsid w:val="00C66E22"/>
    <w:rPr>
      <w:rFonts w:ascii="Verdana" w:eastAsia="Batang" w:hAnsi="Verdana" w:cs="Times"/>
      <w:i/>
      <w:sz w:val="20"/>
      <w:szCs w:val="24"/>
      <w:lang w:val="es-ES_tradnl"/>
    </w:rPr>
  </w:style>
  <w:style w:type="character" w:customStyle="1" w:styleId="PrrafodeSentenciaChar">
    <w:name w:val="*. Párrafo de Sentencia Char"/>
    <w:link w:val="PrrafodeSentencia"/>
    <w:locked/>
    <w:rsid w:val="00D753D0"/>
    <w:rPr>
      <w:rFonts w:ascii="Verdana" w:eastAsia="Times" w:hAnsi="Verdana" w:cs="Calibri"/>
      <w:bCs/>
      <w:iCs/>
      <w:noProof/>
      <w:kern w:val="2"/>
      <w:sz w:val="20"/>
      <w:szCs w:val="20"/>
      <w:lang w:val="es-CL" w:eastAsia="es-MX"/>
    </w:rPr>
  </w:style>
  <w:style w:type="paragraph" w:customStyle="1" w:styleId="Prrafodelista4">
    <w:name w:val="Párrafo de lista4"/>
    <w:basedOn w:val="Normal"/>
    <w:uiPriority w:val="34"/>
    <w:qFormat/>
    <w:rsid w:val="00C66E22"/>
    <w:pPr>
      <w:ind w:left="720"/>
      <w:jc w:val="both"/>
    </w:pPr>
    <w:rPr>
      <w:rFonts w:ascii="Verdana" w:hAnsi="Verdana"/>
      <w:sz w:val="20"/>
      <w:lang w:val="es-ES" w:eastAsia="es-ES"/>
    </w:rPr>
  </w:style>
  <w:style w:type="paragraph" w:styleId="Textoindependiente">
    <w:name w:val="Body Text"/>
    <w:aliases w:val="Body Text Char Car Car Car Car Car Car Car Car Car Car Car Car Car,Body Text Char Car Car Car Car Car Car Car Car Car Car Car Car"/>
    <w:basedOn w:val="Normal"/>
    <w:link w:val="TextoindependienteCar"/>
    <w:rsid w:val="00C66E22"/>
    <w:pPr>
      <w:widowControl w:val="0"/>
      <w:spacing w:line="360" w:lineRule="atLeast"/>
      <w:jc w:val="both"/>
    </w:pPr>
    <w:rPr>
      <w:rFonts w:ascii="Verdana" w:hAnsi="Verdana"/>
      <w:sz w:val="20"/>
      <w:szCs w:val="20"/>
      <w:lang w:val="es-ES_tradnl" w:eastAsia="es-ES"/>
    </w:rPr>
  </w:style>
  <w:style w:type="character" w:customStyle="1" w:styleId="TextoindependienteCar">
    <w:name w:val="Texto independiente Car"/>
    <w:aliases w:val="Body Text Char Car Car Car Car Car Car Car Car Car Car Car Car Car Car,Body Text Char Car Car Car Car Car Car Car Car Car Car Car Car Car1"/>
    <w:basedOn w:val="Fuentedeprrafopredeter"/>
    <w:link w:val="Textoindependiente"/>
    <w:rsid w:val="00C66E22"/>
    <w:rPr>
      <w:rFonts w:ascii="Verdana" w:eastAsia="Times New Roman" w:hAnsi="Verdana" w:cs="Times New Roman"/>
      <w:sz w:val="20"/>
      <w:szCs w:val="20"/>
      <w:lang w:val="es-ES_tradnl" w:eastAsia="es-ES"/>
    </w:rPr>
  </w:style>
  <w:style w:type="character" w:customStyle="1" w:styleId="st">
    <w:name w:val="st"/>
    <w:basedOn w:val="Fuentedeprrafopredeter"/>
    <w:rsid w:val="00C66E22"/>
  </w:style>
  <w:style w:type="character" w:customStyle="1" w:styleId="longtext">
    <w:name w:val="long_text"/>
    <w:basedOn w:val="Fuentedeprrafopredeter"/>
    <w:rsid w:val="00C66E22"/>
  </w:style>
  <w:style w:type="paragraph" w:styleId="Textodeglobo">
    <w:name w:val="Balloon Text"/>
    <w:basedOn w:val="Normal"/>
    <w:link w:val="TextodegloboCar"/>
    <w:uiPriority w:val="99"/>
    <w:semiHidden/>
    <w:unhideWhenUsed/>
    <w:rsid w:val="00C66E22"/>
    <w:pPr>
      <w:jc w:val="both"/>
    </w:pPr>
    <w:rPr>
      <w:rFonts w:ascii="Tahoma" w:eastAsia="Batang" w:hAnsi="Tahoma" w:cs="Tahoma"/>
      <w:noProof/>
      <w:sz w:val="16"/>
      <w:szCs w:val="16"/>
      <w:lang w:val="es-ES_tradnl"/>
    </w:rPr>
  </w:style>
  <w:style w:type="character" w:customStyle="1" w:styleId="TextodegloboCar">
    <w:name w:val="Texto de globo Car"/>
    <w:basedOn w:val="Fuentedeprrafopredeter"/>
    <w:link w:val="Textodeglobo"/>
    <w:uiPriority w:val="99"/>
    <w:semiHidden/>
    <w:rsid w:val="00C66E22"/>
    <w:rPr>
      <w:rFonts w:ascii="Tahoma" w:eastAsia="Batang" w:hAnsi="Tahoma" w:cs="Tahoma"/>
      <w:noProof/>
      <w:sz w:val="16"/>
      <w:szCs w:val="16"/>
      <w:lang w:val="es-ES_tradnl"/>
    </w:rPr>
  </w:style>
  <w:style w:type="paragraph" w:customStyle="1" w:styleId="JuPara">
    <w:name w:val="Ju_Para"/>
    <w:basedOn w:val="Normal"/>
    <w:rsid w:val="00C66E22"/>
    <w:pPr>
      <w:suppressAutoHyphens/>
      <w:ind w:firstLine="284"/>
      <w:jc w:val="both"/>
    </w:pPr>
    <w:rPr>
      <w:lang w:val="fr-FR" w:eastAsia="fr-FR"/>
    </w:rPr>
  </w:style>
  <w:style w:type="character" w:customStyle="1" w:styleId="Mencinsinresolver1">
    <w:name w:val="Mención sin resolver1"/>
    <w:basedOn w:val="Fuentedeprrafopredeter"/>
    <w:uiPriority w:val="99"/>
    <w:semiHidden/>
    <w:unhideWhenUsed/>
    <w:rsid w:val="00C66E22"/>
    <w:rPr>
      <w:color w:val="605E5C"/>
      <w:shd w:val="clear" w:color="auto" w:fill="E1DFDD"/>
    </w:rPr>
  </w:style>
  <w:style w:type="character" w:styleId="Refdecomentario">
    <w:name w:val="annotation reference"/>
    <w:basedOn w:val="Fuentedeprrafopredeter"/>
    <w:uiPriority w:val="99"/>
    <w:semiHidden/>
    <w:unhideWhenUsed/>
    <w:rsid w:val="00C66E22"/>
    <w:rPr>
      <w:sz w:val="16"/>
      <w:szCs w:val="16"/>
    </w:rPr>
  </w:style>
  <w:style w:type="paragraph" w:styleId="Textocomentario">
    <w:name w:val="annotation text"/>
    <w:basedOn w:val="Normal"/>
    <w:link w:val="TextocomentarioCar"/>
    <w:uiPriority w:val="99"/>
    <w:unhideWhenUsed/>
    <w:rsid w:val="00C66E22"/>
    <w:pPr>
      <w:spacing w:after="200"/>
    </w:pPr>
    <w:rPr>
      <w:rFonts w:eastAsia="Batang"/>
      <w:sz w:val="20"/>
      <w:szCs w:val="20"/>
      <w:lang w:val="es-MX"/>
    </w:rPr>
  </w:style>
  <w:style w:type="character" w:customStyle="1" w:styleId="TextocomentarioCar">
    <w:name w:val="Texto comentario Car"/>
    <w:basedOn w:val="Fuentedeprrafopredeter"/>
    <w:link w:val="Textocomentario"/>
    <w:uiPriority w:val="99"/>
    <w:rsid w:val="00C66E22"/>
    <w:rPr>
      <w:rFonts w:eastAsia="Batang"/>
      <w:sz w:val="20"/>
      <w:szCs w:val="20"/>
      <w:lang w:val="es-MX"/>
    </w:rPr>
  </w:style>
  <w:style w:type="paragraph" w:styleId="Asuntodelcomentario">
    <w:name w:val="annotation subject"/>
    <w:basedOn w:val="Textocomentario"/>
    <w:next w:val="Textocomentario"/>
    <w:link w:val="AsuntodelcomentarioCar"/>
    <w:uiPriority w:val="99"/>
    <w:semiHidden/>
    <w:unhideWhenUsed/>
    <w:rsid w:val="00C66E22"/>
    <w:rPr>
      <w:b/>
      <w:bCs/>
    </w:rPr>
  </w:style>
  <w:style w:type="character" w:customStyle="1" w:styleId="AsuntodelcomentarioCar">
    <w:name w:val="Asunto del comentario Car"/>
    <w:basedOn w:val="TextocomentarioCar"/>
    <w:link w:val="Asuntodelcomentario"/>
    <w:uiPriority w:val="99"/>
    <w:semiHidden/>
    <w:rsid w:val="00C66E22"/>
    <w:rPr>
      <w:rFonts w:eastAsia="Batang"/>
      <w:b/>
      <w:bCs/>
      <w:sz w:val="20"/>
      <w:szCs w:val="20"/>
      <w:lang w:val="es-MX"/>
    </w:rPr>
  </w:style>
  <w:style w:type="paragraph" w:customStyle="1" w:styleId="Heading23">
    <w:name w:val="Heading 2.3"/>
    <w:basedOn w:val="Normal"/>
    <w:uiPriority w:val="99"/>
    <w:qFormat/>
    <w:rsid w:val="00C66E22"/>
    <w:pPr>
      <w:jc w:val="both"/>
    </w:pPr>
    <w:rPr>
      <w:rFonts w:ascii="Verdana" w:eastAsia="Calibri" w:hAnsi="Verdana"/>
      <w:sz w:val="16"/>
      <w:szCs w:val="16"/>
      <w:vertAlign w:val="superscript"/>
      <w:lang w:val="x-none" w:eastAsia="x-none"/>
    </w:rPr>
  </w:style>
  <w:style w:type="paragraph" w:styleId="TtuloTDC">
    <w:name w:val="TOC Heading"/>
    <w:basedOn w:val="Ttulo1"/>
    <w:next w:val="Normal"/>
    <w:uiPriority w:val="39"/>
    <w:unhideWhenUsed/>
    <w:qFormat/>
    <w:rsid w:val="00C66E22"/>
    <w:pPr>
      <w:spacing w:before="240" w:line="259" w:lineRule="auto"/>
      <w:jc w:val="left"/>
      <w:outlineLvl w:val="9"/>
    </w:pPr>
    <w:rPr>
      <w:rFonts w:asciiTheme="majorHAnsi" w:eastAsiaTheme="majorEastAsia" w:hAnsiTheme="majorHAnsi" w:cstheme="majorBidi"/>
      <w:b w:val="0"/>
      <w:color w:val="2E74B5" w:themeColor="accent1" w:themeShade="BF"/>
      <w:sz w:val="32"/>
      <w:szCs w:val="32"/>
      <w:lang w:val="en-US"/>
    </w:rPr>
  </w:style>
  <w:style w:type="paragraph" w:styleId="TDC5">
    <w:name w:val="toc 5"/>
    <w:basedOn w:val="Normal"/>
    <w:next w:val="Normal"/>
    <w:autoRedefine/>
    <w:uiPriority w:val="39"/>
    <w:unhideWhenUsed/>
    <w:rsid w:val="00BB681A"/>
    <w:pPr>
      <w:tabs>
        <w:tab w:val="left" w:pos="1276"/>
        <w:tab w:val="right" w:leader="dot" w:pos="10010"/>
      </w:tabs>
      <w:ind w:left="880"/>
    </w:pPr>
  </w:style>
  <w:style w:type="character" w:customStyle="1" w:styleId="FootnoteAnchor">
    <w:name w:val="Footnote Anchor"/>
    <w:rsid w:val="00C66E22"/>
    <w:rPr>
      <w:vertAlign w:val="superscript"/>
    </w:rPr>
  </w:style>
  <w:style w:type="paragraph" w:customStyle="1" w:styleId="Textonotapie1">
    <w:name w:val="Texto nota pie1"/>
    <w:basedOn w:val="Normal"/>
    <w:qFormat/>
    <w:rsid w:val="00C66E22"/>
    <w:rPr>
      <w:sz w:val="20"/>
      <w:szCs w:val="20"/>
      <w:lang w:val="en-US" w:eastAsia="es-ES"/>
    </w:rPr>
  </w:style>
  <w:style w:type="character" w:styleId="Nmerodepgina">
    <w:name w:val="page number"/>
    <w:basedOn w:val="Fuentedeprrafopredeter"/>
    <w:uiPriority w:val="99"/>
    <w:semiHidden/>
    <w:unhideWhenUsed/>
    <w:rsid w:val="00C66E22"/>
  </w:style>
  <w:style w:type="character" w:styleId="Nmerodelnea">
    <w:name w:val="line number"/>
    <w:basedOn w:val="Fuentedeprrafopredeter"/>
    <w:uiPriority w:val="99"/>
    <w:semiHidden/>
    <w:unhideWhenUsed/>
    <w:rsid w:val="00C66E22"/>
  </w:style>
  <w:style w:type="paragraph" w:customStyle="1" w:styleId="FootnotesrefssChar1Char">
    <w:name w:val="Footnotes refss Char1 Char"/>
    <w:aliases w:val="Texto de nota al pie Char1 Char,Appel note de bas de page Char1 Char,Footnote number Char1 Char,referencia nota al pie Char1 Char,BVI fnr Char1 Char,f Char1 Char,4_G Char1 Char,16 Point Char1 Char"/>
    <w:basedOn w:val="Normal"/>
    <w:qFormat/>
    <w:rsid w:val="00C66E22"/>
    <w:pPr>
      <w:spacing w:line="240" w:lineRule="exact"/>
    </w:pPr>
    <w:rPr>
      <w:vertAlign w:val="superscript"/>
      <w:lang w:val="en-US"/>
    </w:rPr>
  </w:style>
  <w:style w:type="character" w:customStyle="1" w:styleId="red">
    <w:name w:val="red"/>
    <w:basedOn w:val="Fuentedeprrafopredeter"/>
    <w:rsid w:val="00C66E22"/>
  </w:style>
  <w:style w:type="paragraph" w:customStyle="1" w:styleId="1">
    <w:name w:val="1"/>
    <w:basedOn w:val="Normal"/>
    <w:rsid w:val="00AE13EE"/>
    <w:pPr>
      <w:spacing w:line="240" w:lineRule="exact"/>
    </w:pPr>
    <w:rPr>
      <w:rFonts w:ascii="Verdana" w:hAnsi="Verdana"/>
      <w:sz w:val="16"/>
      <w:vertAlign w:val="superscript"/>
    </w:rPr>
  </w:style>
  <w:style w:type="paragraph" w:customStyle="1" w:styleId="Normal1">
    <w:name w:val="Normal1"/>
    <w:rsid w:val="00132628"/>
    <w:pPr>
      <w:widowControl w:val="0"/>
      <w:spacing w:after="0" w:line="240" w:lineRule="auto"/>
    </w:pPr>
    <w:rPr>
      <w:rFonts w:ascii="Times New Roman" w:eastAsia="Times New Roman" w:hAnsi="Times New Roman" w:cs="Times New Roman"/>
      <w:sz w:val="24"/>
      <w:szCs w:val="24"/>
    </w:rPr>
  </w:style>
  <w:style w:type="character" w:styleId="Textodelmarcadordeposicin">
    <w:name w:val="Placeholder Text"/>
    <w:basedOn w:val="Fuentedeprrafopredeter"/>
    <w:uiPriority w:val="99"/>
    <w:semiHidden/>
    <w:rsid w:val="00307E1C"/>
    <w:rPr>
      <w:color w:val="808080"/>
    </w:rPr>
  </w:style>
  <w:style w:type="paragraph" w:customStyle="1" w:styleId="Footnotes">
    <w:name w:val="**. Footnotes"/>
    <w:basedOn w:val="Textonotapie"/>
    <w:link w:val="FootnotesChar"/>
    <w:qFormat/>
    <w:rsid w:val="002D6BB3"/>
    <w:pPr>
      <w:tabs>
        <w:tab w:val="left" w:pos="567"/>
      </w:tabs>
      <w:jc w:val="both"/>
    </w:pPr>
    <w:rPr>
      <w:rFonts w:ascii="Verdana" w:hAnsi="Verdana" w:cs="Palatino-Italic"/>
      <w:iCs/>
      <w:spacing w:val="-4"/>
      <w:sz w:val="16"/>
      <w:szCs w:val="16"/>
      <w:lang w:val="es-ES" w:bidi="en-US"/>
    </w:rPr>
  </w:style>
  <w:style w:type="character" w:customStyle="1" w:styleId="FootnotesChar">
    <w:name w:val="**. Footnotes Char"/>
    <w:basedOn w:val="Fuentedeprrafopredeter"/>
    <w:link w:val="Footnotes"/>
    <w:rsid w:val="002D6BB3"/>
    <w:rPr>
      <w:rFonts w:ascii="Verdana" w:eastAsia="Times New Roman" w:hAnsi="Verdana" w:cs="Palatino-Italic"/>
      <w:iCs/>
      <w:spacing w:val="-4"/>
      <w:sz w:val="16"/>
      <w:szCs w:val="16"/>
      <w:lang w:val="es-ES" w:bidi="en-US"/>
    </w:rPr>
  </w:style>
  <w:style w:type="character" w:styleId="Hipervnculovisitado">
    <w:name w:val="FollowedHyperlink"/>
    <w:basedOn w:val="Fuentedeprrafopredeter"/>
    <w:uiPriority w:val="99"/>
    <w:semiHidden/>
    <w:unhideWhenUsed/>
    <w:rsid w:val="008B262A"/>
    <w:rPr>
      <w:color w:val="954F72" w:themeColor="followedHyperlink"/>
      <w:u w:val="single"/>
    </w:rPr>
  </w:style>
  <w:style w:type="paragraph" w:customStyle="1" w:styleId="Numberedparagraphs">
    <w:name w:val="Numbered paragraphs"/>
    <w:basedOn w:val="Normal"/>
    <w:link w:val="NumberedparagraphsCar"/>
    <w:qFormat/>
    <w:rsid w:val="005D72AA"/>
    <w:pPr>
      <w:numPr>
        <w:numId w:val="34"/>
      </w:numPr>
      <w:spacing w:after="200"/>
      <w:jc w:val="both"/>
    </w:pPr>
    <w:rPr>
      <w:rFonts w:ascii="Verdana" w:eastAsia="MS Mincho" w:hAnsi="Verdana"/>
      <w:color w:val="000000"/>
      <w:sz w:val="20"/>
      <w:szCs w:val="20"/>
      <w:lang w:val="es-ES_tradnl"/>
    </w:rPr>
  </w:style>
  <w:style w:type="character" w:customStyle="1" w:styleId="NumberedparagraphsCar">
    <w:name w:val="Numbered paragraphs Car"/>
    <w:basedOn w:val="Fuentedeprrafopredeter"/>
    <w:link w:val="Numberedparagraphs"/>
    <w:rsid w:val="005D72AA"/>
    <w:rPr>
      <w:rFonts w:ascii="Verdana" w:eastAsia="MS Mincho" w:hAnsi="Verdana" w:cs="Times New Roman"/>
      <w:color w:val="000000"/>
      <w:sz w:val="20"/>
      <w:szCs w:val="20"/>
      <w:lang w:val="es-ES_tradnl" w:eastAsia="es-MX"/>
    </w:rPr>
  </w:style>
  <w:style w:type="character" w:customStyle="1" w:styleId="TextonotapieCar1">
    <w:name w:val="Texto nota pie Car1"/>
    <w:aliases w:val="2. Footnote Text Car,Footnote Tesina Car,FA Fu Car1,Footnote Text Char Char Char Char Char Car1,Footnote Text Char Char Char Char Car1,Footnote reference Car1,Footnote Text Char Char Char Car1,Footnote Text Cha Car1,Ca Car1,C Car"/>
    <w:basedOn w:val="Fuentedeprrafopredeter"/>
    <w:uiPriority w:val="99"/>
    <w:qFormat/>
    <w:rsid w:val="00393C2F"/>
    <w:rPr>
      <w:rFonts w:ascii="Verdana" w:eastAsia="Batang" w:hAnsi="Verdana" w:cs="Times"/>
      <w:noProof/>
      <w:sz w:val="16"/>
      <w:szCs w:val="20"/>
      <w:lang w:val="es-ES_tradnl"/>
    </w:rPr>
  </w:style>
  <w:style w:type="paragraph" w:customStyle="1" w:styleId="StyleHeading2LatinTimesNewRomanAsianBatang12ptN">
    <w:name w:val="Style Heading 2 + (Latin) Times New Roman (Asian) Batang 12 pt N..."/>
    <w:basedOn w:val="Ttulo2"/>
    <w:next w:val="Normal"/>
    <w:uiPriority w:val="99"/>
    <w:rsid w:val="00E062DE"/>
    <w:pPr>
      <w:keepLines w:val="0"/>
      <w:widowControl/>
      <w:tabs>
        <w:tab w:val="left" w:pos="426"/>
        <w:tab w:val="num" w:pos="576"/>
      </w:tabs>
      <w:adjustRightInd/>
      <w:spacing w:line="276" w:lineRule="auto"/>
      <w:ind w:left="576" w:hanging="576"/>
      <w:textAlignment w:val="auto"/>
    </w:pPr>
    <w:rPr>
      <w:rFonts w:ascii="Times New Roman" w:eastAsia="Batang" w:hAnsi="Times New Roman" w:cs="Times New Roman"/>
      <w:bCs/>
      <w:color w:val="365F91"/>
      <w:sz w:val="24"/>
      <w:lang w:val="es-CR" w:eastAsia="es-ES"/>
    </w:rPr>
  </w:style>
  <w:style w:type="paragraph" w:customStyle="1" w:styleId="style1">
    <w:name w:val="style1"/>
    <w:basedOn w:val="Normal"/>
    <w:uiPriority w:val="99"/>
    <w:rsid w:val="00DF1416"/>
    <w:pPr>
      <w:spacing w:before="100" w:beforeAutospacing="1" w:after="100" w:afterAutospacing="1"/>
    </w:pPr>
    <w:rPr>
      <w:lang w:val="en-US"/>
    </w:rPr>
  </w:style>
  <w:style w:type="paragraph" w:customStyle="1" w:styleId="align-justify">
    <w:name w:val="align-justify"/>
    <w:basedOn w:val="Normal"/>
    <w:rsid w:val="00A475E5"/>
    <w:pPr>
      <w:spacing w:before="100" w:beforeAutospacing="1" w:after="100" w:afterAutospacing="1"/>
    </w:pPr>
    <w:rPr>
      <w:lang w:val="es-ES_tradnl" w:eastAsia="es-ES_tradnl"/>
    </w:rPr>
  </w:style>
  <w:style w:type="character" w:customStyle="1" w:styleId="apple-style-span">
    <w:name w:val="apple-style-span"/>
    <w:basedOn w:val="Fuentedeprrafopredeter"/>
    <w:rsid w:val="00AB6B7B"/>
    <w:rPr>
      <w:rFonts w:cs="Times New Roman"/>
    </w:rPr>
  </w:style>
  <w:style w:type="character" w:customStyle="1" w:styleId="sb8d990e2">
    <w:name w:val="sb8d990e2"/>
    <w:basedOn w:val="Fuentedeprrafopredeter"/>
    <w:rsid w:val="00AB6B7B"/>
  </w:style>
  <w:style w:type="paragraph" w:styleId="Sinespaciado">
    <w:name w:val="No Spacing"/>
    <w:link w:val="SinespaciadoCar"/>
    <w:uiPriority w:val="1"/>
    <w:qFormat/>
    <w:rsid w:val="007F4ED2"/>
    <w:pPr>
      <w:spacing w:after="0" w:line="240" w:lineRule="auto"/>
    </w:pPr>
    <w:rPr>
      <w:rFonts w:eastAsia="MS Mincho"/>
      <w:lang w:val="en-US"/>
    </w:rPr>
  </w:style>
  <w:style w:type="paragraph" w:styleId="Revisin">
    <w:name w:val="Revision"/>
    <w:hidden/>
    <w:uiPriority w:val="99"/>
    <w:semiHidden/>
    <w:rsid w:val="00AA00BB"/>
    <w:pPr>
      <w:spacing w:after="0" w:line="240" w:lineRule="auto"/>
    </w:pPr>
    <w:rPr>
      <w:rFonts w:eastAsia="MS Mincho"/>
      <w:lang w:val="es-EC"/>
    </w:rPr>
  </w:style>
  <w:style w:type="paragraph" w:customStyle="1" w:styleId="citaindirecta">
    <w:name w:val="cita indirecta"/>
    <w:basedOn w:val="Normal"/>
    <w:uiPriority w:val="99"/>
    <w:rsid w:val="00684CFF"/>
    <w:pPr>
      <w:ind w:left="708"/>
      <w:jc w:val="both"/>
    </w:pPr>
    <w:rPr>
      <w:rFonts w:ascii="Verdana" w:hAnsi="Verdana"/>
      <w:sz w:val="20"/>
      <w:szCs w:val="20"/>
      <w:lang w:val="es-ES_tradnl"/>
    </w:rPr>
  </w:style>
  <w:style w:type="paragraph" w:customStyle="1" w:styleId="Estilo2">
    <w:name w:val="Estilo2"/>
    <w:basedOn w:val="Normal"/>
    <w:qFormat/>
    <w:rsid w:val="00A76BE1"/>
    <w:pPr>
      <w:tabs>
        <w:tab w:val="left" w:pos="567"/>
        <w:tab w:val="left" w:pos="1134"/>
      </w:tabs>
      <w:spacing w:after="120"/>
      <w:ind w:firstLine="357"/>
      <w:jc w:val="both"/>
    </w:pPr>
    <w:rPr>
      <w:rFonts w:ascii="Verdana" w:eastAsia="Calibri" w:hAnsi="Verdana"/>
      <w:sz w:val="20"/>
      <w:szCs w:val="20"/>
      <w:lang w:val="es-ES_tradnl" w:eastAsia="x-none"/>
    </w:rPr>
  </w:style>
  <w:style w:type="character" w:customStyle="1" w:styleId="SinespaciadoCar">
    <w:name w:val="Sin espaciado Car"/>
    <w:basedOn w:val="Fuentedeprrafopredeter"/>
    <w:link w:val="Sinespaciado"/>
    <w:uiPriority w:val="1"/>
    <w:rsid w:val="00166B08"/>
    <w:rPr>
      <w:rFonts w:eastAsia="MS Mincho"/>
      <w:lang w:val="en-US"/>
    </w:rPr>
  </w:style>
  <w:style w:type="character" w:styleId="Mencinsinresolver">
    <w:name w:val="Unresolved Mention"/>
    <w:basedOn w:val="Fuentedeprrafopredeter"/>
    <w:uiPriority w:val="99"/>
    <w:semiHidden/>
    <w:unhideWhenUsed/>
    <w:rsid w:val="005C39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993384">
      <w:bodyDiv w:val="1"/>
      <w:marLeft w:val="0"/>
      <w:marRight w:val="0"/>
      <w:marTop w:val="0"/>
      <w:marBottom w:val="0"/>
      <w:divBdr>
        <w:top w:val="none" w:sz="0" w:space="0" w:color="auto"/>
        <w:left w:val="none" w:sz="0" w:space="0" w:color="auto"/>
        <w:bottom w:val="none" w:sz="0" w:space="0" w:color="auto"/>
        <w:right w:val="none" w:sz="0" w:space="0" w:color="auto"/>
      </w:divBdr>
      <w:divsChild>
        <w:div w:id="1164934693">
          <w:marLeft w:val="0"/>
          <w:marRight w:val="0"/>
          <w:marTop w:val="0"/>
          <w:marBottom w:val="0"/>
          <w:divBdr>
            <w:top w:val="none" w:sz="0" w:space="0" w:color="auto"/>
            <w:left w:val="none" w:sz="0" w:space="0" w:color="auto"/>
            <w:bottom w:val="none" w:sz="0" w:space="0" w:color="auto"/>
            <w:right w:val="none" w:sz="0" w:space="0" w:color="auto"/>
          </w:divBdr>
          <w:divsChild>
            <w:div w:id="546769265">
              <w:marLeft w:val="0"/>
              <w:marRight w:val="0"/>
              <w:marTop w:val="0"/>
              <w:marBottom w:val="0"/>
              <w:divBdr>
                <w:top w:val="none" w:sz="0" w:space="0" w:color="auto"/>
                <w:left w:val="none" w:sz="0" w:space="0" w:color="auto"/>
                <w:bottom w:val="none" w:sz="0" w:space="0" w:color="auto"/>
                <w:right w:val="none" w:sz="0" w:space="0" w:color="auto"/>
              </w:divBdr>
              <w:divsChild>
                <w:div w:id="22341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62144">
      <w:bodyDiv w:val="1"/>
      <w:marLeft w:val="0"/>
      <w:marRight w:val="0"/>
      <w:marTop w:val="0"/>
      <w:marBottom w:val="0"/>
      <w:divBdr>
        <w:top w:val="none" w:sz="0" w:space="0" w:color="auto"/>
        <w:left w:val="none" w:sz="0" w:space="0" w:color="auto"/>
        <w:bottom w:val="none" w:sz="0" w:space="0" w:color="auto"/>
        <w:right w:val="none" w:sz="0" w:space="0" w:color="auto"/>
      </w:divBdr>
      <w:divsChild>
        <w:div w:id="261382741">
          <w:marLeft w:val="0"/>
          <w:marRight w:val="0"/>
          <w:marTop w:val="0"/>
          <w:marBottom w:val="0"/>
          <w:divBdr>
            <w:top w:val="none" w:sz="0" w:space="0" w:color="auto"/>
            <w:left w:val="none" w:sz="0" w:space="0" w:color="auto"/>
            <w:bottom w:val="none" w:sz="0" w:space="0" w:color="auto"/>
            <w:right w:val="none" w:sz="0" w:space="0" w:color="auto"/>
          </w:divBdr>
          <w:divsChild>
            <w:div w:id="1921719615">
              <w:marLeft w:val="0"/>
              <w:marRight w:val="0"/>
              <w:marTop w:val="0"/>
              <w:marBottom w:val="0"/>
              <w:divBdr>
                <w:top w:val="none" w:sz="0" w:space="0" w:color="auto"/>
                <w:left w:val="none" w:sz="0" w:space="0" w:color="auto"/>
                <w:bottom w:val="none" w:sz="0" w:space="0" w:color="auto"/>
                <w:right w:val="none" w:sz="0" w:space="0" w:color="auto"/>
              </w:divBdr>
              <w:divsChild>
                <w:div w:id="61047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70152">
      <w:bodyDiv w:val="1"/>
      <w:marLeft w:val="0"/>
      <w:marRight w:val="0"/>
      <w:marTop w:val="0"/>
      <w:marBottom w:val="0"/>
      <w:divBdr>
        <w:top w:val="none" w:sz="0" w:space="0" w:color="auto"/>
        <w:left w:val="none" w:sz="0" w:space="0" w:color="auto"/>
        <w:bottom w:val="none" w:sz="0" w:space="0" w:color="auto"/>
        <w:right w:val="none" w:sz="0" w:space="0" w:color="auto"/>
      </w:divBdr>
    </w:div>
    <w:div w:id="119492574">
      <w:bodyDiv w:val="1"/>
      <w:marLeft w:val="0"/>
      <w:marRight w:val="0"/>
      <w:marTop w:val="0"/>
      <w:marBottom w:val="0"/>
      <w:divBdr>
        <w:top w:val="none" w:sz="0" w:space="0" w:color="auto"/>
        <w:left w:val="none" w:sz="0" w:space="0" w:color="auto"/>
        <w:bottom w:val="none" w:sz="0" w:space="0" w:color="auto"/>
        <w:right w:val="none" w:sz="0" w:space="0" w:color="auto"/>
      </w:divBdr>
      <w:divsChild>
        <w:div w:id="1886410898">
          <w:marLeft w:val="0"/>
          <w:marRight w:val="0"/>
          <w:marTop w:val="0"/>
          <w:marBottom w:val="0"/>
          <w:divBdr>
            <w:top w:val="none" w:sz="0" w:space="0" w:color="auto"/>
            <w:left w:val="none" w:sz="0" w:space="0" w:color="auto"/>
            <w:bottom w:val="none" w:sz="0" w:space="0" w:color="auto"/>
            <w:right w:val="none" w:sz="0" w:space="0" w:color="auto"/>
          </w:divBdr>
          <w:divsChild>
            <w:div w:id="1948852212">
              <w:marLeft w:val="0"/>
              <w:marRight w:val="0"/>
              <w:marTop w:val="0"/>
              <w:marBottom w:val="0"/>
              <w:divBdr>
                <w:top w:val="none" w:sz="0" w:space="0" w:color="auto"/>
                <w:left w:val="none" w:sz="0" w:space="0" w:color="auto"/>
                <w:bottom w:val="none" w:sz="0" w:space="0" w:color="auto"/>
                <w:right w:val="none" w:sz="0" w:space="0" w:color="auto"/>
              </w:divBdr>
              <w:divsChild>
                <w:div w:id="89759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10714">
      <w:bodyDiv w:val="1"/>
      <w:marLeft w:val="0"/>
      <w:marRight w:val="0"/>
      <w:marTop w:val="0"/>
      <w:marBottom w:val="0"/>
      <w:divBdr>
        <w:top w:val="none" w:sz="0" w:space="0" w:color="auto"/>
        <w:left w:val="none" w:sz="0" w:space="0" w:color="auto"/>
        <w:bottom w:val="none" w:sz="0" w:space="0" w:color="auto"/>
        <w:right w:val="none" w:sz="0" w:space="0" w:color="auto"/>
      </w:divBdr>
      <w:divsChild>
        <w:div w:id="1198472416">
          <w:marLeft w:val="0"/>
          <w:marRight w:val="0"/>
          <w:marTop w:val="0"/>
          <w:marBottom w:val="0"/>
          <w:divBdr>
            <w:top w:val="none" w:sz="0" w:space="0" w:color="auto"/>
            <w:left w:val="none" w:sz="0" w:space="0" w:color="auto"/>
            <w:bottom w:val="none" w:sz="0" w:space="0" w:color="auto"/>
            <w:right w:val="none" w:sz="0" w:space="0" w:color="auto"/>
          </w:divBdr>
          <w:divsChild>
            <w:div w:id="2075470179">
              <w:marLeft w:val="0"/>
              <w:marRight w:val="0"/>
              <w:marTop w:val="0"/>
              <w:marBottom w:val="0"/>
              <w:divBdr>
                <w:top w:val="none" w:sz="0" w:space="0" w:color="auto"/>
                <w:left w:val="none" w:sz="0" w:space="0" w:color="auto"/>
                <w:bottom w:val="none" w:sz="0" w:space="0" w:color="auto"/>
                <w:right w:val="none" w:sz="0" w:space="0" w:color="auto"/>
              </w:divBdr>
              <w:divsChild>
                <w:div w:id="162970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5802551">
      <w:bodyDiv w:val="1"/>
      <w:marLeft w:val="0"/>
      <w:marRight w:val="0"/>
      <w:marTop w:val="0"/>
      <w:marBottom w:val="0"/>
      <w:divBdr>
        <w:top w:val="none" w:sz="0" w:space="0" w:color="auto"/>
        <w:left w:val="none" w:sz="0" w:space="0" w:color="auto"/>
        <w:bottom w:val="none" w:sz="0" w:space="0" w:color="auto"/>
        <w:right w:val="none" w:sz="0" w:space="0" w:color="auto"/>
      </w:divBdr>
    </w:div>
    <w:div w:id="293220058">
      <w:bodyDiv w:val="1"/>
      <w:marLeft w:val="0"/>
      <w:marRight w:val="0"/>
      <w:marTop w:val="0"/>
      <w:marBottom w:val="0"/>
      <w:divBdr>
        <w:top w:val="none" w:sz="0" w:space="0" w:color="auto"/>
        <w:left w:val="none" w:sz="0" w:space="0" w:color="auto"/>
        <w:bottom w:val="none" w:sz="0" w:space="0" w:color="auto"/>
        <w:right w:val="none" w:sz="0" w:space="0" w:color="auto"/>
      </w:divBdr>
      <w:divsChild>
        <w:div w:id="1468742490">
          <w:marLeft w:val="0"/>
          <w:marRight w:val="0"/>
          <w:marTop w:val="0"/>
          <w:marBottom w:val="0"/>
          <w:divBdr>
            <w:top w:val="none" w:sz="0" w:space="0" w:color="auto"/>
            <w:left w:val="none" w:sz="0" w:space="0" w:color="auto"/>
            <w:bottom w:val="none" w:sz="0" w:space="0" w:color="auto"/>
            <w:right w:val="none" w:sz="0" w:space="0" w:color="auto"/>
          </w:divBdr>
          <w:divsChild>
            <w:div w:id="1732656832">
              <w:marLeft w:val="0"/>
              <w:marRight w:val="0"/>
              <w:marTop w:val="0"/>
              <w:marBottom w:val="0"/>
              <w:divBdr>
                <w:top w:val="none" w:sz="0" w:space="0" w:color="auto"/>
                <w:left w:val="none" w:sz="0" w:space="0" w:color="auto"/>
                <w:bottom w:val="none" w:sz="0" w:space="0" w:color="auto"/>
                <w:right w:val="none" w:sz="0" w:space="0" w:color="auto"/>
              </w:divBdr>
              <w:divsChild>
                <w:div w:id="115101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7808450">
      <w:bodyDiv w:val="1"/>
      <w:marLeft w:val="0"/>
      <w:marRight w:val="0"/>
      <w:marTop w:val="0"/>
      <w:marBottom w:val="0"/>
      <w:divBdr>
        <w:top w:val="none" w:sz="0" w:space="0" w:color="auto"/>
        <w:left w:val="none" w:sz="0" w:space="0" w:color="auto"/>
        <w:bottom w:val="none" w:sz="0" w:space="0" w:color="auto"/>
        <w:right w:val="none" w:sz="0" w:space="0" w:color="auto"/>
      </w:divBdr>
      <w:divsChild>
        <w:div w:id="1173957065">
          <w:marLeft w:val="0"/>
          <w:marRight w:val="0"/>
          <w:marTop w:val="0"/>
          <w:marBottom w:val="0"/>
          <w:divBdr>
            <w:top w:val="none" w:sz="0" w:space="0" w:color="auto"/>
            <w:left w:val="none" w:sz="0" w:space="0" w:color="auto"/>
            <w:bottom w:val="none" w:sz="0" w:space="0" w:color="auto"/>
            <w:right w:val="none" w:sz="0" w:space="0" w:color="auto"/>
          </w:divBdr>
          <w:divsChild>
            <w:div w:id="1341811297">
              <w:marLeft w:val="0"/>
              <w:marRight w:val="0"/>
              <w:marTop w:val="0"/>
              <w:marBottom w:val="0"/>
              <w:divBdr>
                <w:top w:val="none" w:sz="0" w:space="0" w:color="auto"/>
                <w:left w:val="none" w:sz="0" w:space="0" w:color="auto"/>
                <w:bottom w:val="none" w:sz="0" w:space="0" w:color="auto"/>
                <w:right w:val="none" w:sz="0" w:space="0" w:color="auto"/>
              </w:divBdr>
              <w:divsChild>
                <w:div w:id="93254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180399">
      <w:bodyDiv w:val="1"/>
      <w:marLeft w:val="0"/>
      <w:marRight w:val="0"/>
      <w:marTop w:val="0"/>
      <w:marBottom w:val="0"/>
      <w:divBdr>
        <w:top w:val="none" w:sz="0" w:space="0" w:color="auto"/>
        <w:left w:val="none" w:sz="0" w:space="0" w:color="auto"/>
        <w:bottom w:val="none" w:sz="0" w:space="0" w:color="auto"/>
        <w:right w:val="none" w:sz="0" w:space="0" w:color="auto"/>
      </w:divBdr>
      <w:divsChild>
        <w:div w:id="1518881397">
          <w:marLeft w:val="0"/>
          <w:marRight w:val="0"/>
          <w:marTop w:val="0"/>
          <w:marBottom w:val="0"/>
          <w:divBdr>
            <w:top w:val="none" w:sz="0" w:space="0" w:color="auto"/>
            <w:left w:val="none" w:sz="0" w:space="0" w:color="auto"/>
            <w:bottom w:val="none" w:sz="0" w:space="0" w:color="auto"/>
            <w:right w:val="none" w:sz="0" w:space="0" w:color="auto"/>
          </w:divBdr>
          <w:divsChild>
            <w:div w:id="754596076">
              <w:marLeft w:val="0"/>
              <w:marRight w:val="0"/>
              <w:marTop w:val="0"/>
              <w:marBottom w:val="0"/>
              <w:divBdr>
                <w:top w:val="none" w:sz="0" w:space="0" w:color="auto"/>
                <w:left w:val="none" w:sz="0" w:space="0" w:color="auto"/>
                <w:bottom w:val="none" w:sz="0" w:space="0" w:color="auto"/>
                <w:right w:val="none" w:sz="0" w:space="0" w:color="auto"/>
              </w:divBdr>
              <w:divsChild>
                <w:div w:id="2059892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473036">
      <w:bodyDiv w:val="1"/>
      <w:marLeft w:val="0"/>
      <w:marRight w:val="0"/>
      <w:marTop w:val="0"/>
      <w:marBottom w:val="0"/>
      <w:divBdr>
        <w:top w:val="none" w:sz="0" w:space="0" w:color="auto"/>
        <w:left w:val="none" w:sz="0" w:space="0" w:color="auto"/>
        <w:bottom w:val="none" w:sz="0" w:space="0" w:color="auto"/>
        <w:right w:val="none" w:sz="0" w:space="0" w:color="auto"/>
      </w:divBdr>
    </w:div>
    <w:div w:id="387608256">
      <w:bodyDiv w:val="1"/>
      <w:marLeft w:val="0"/>
      <w:marRight w:val="0"/>
      <w:marTop w:val="0"/>
      <w:marBottom w:val="0"/>
      <w:divBdr>
        <w:top w:val="none" w:sz="0" w:space="0" w:color="auto"/>
        <w:left w:val="none" w:sz="0" w:space="0" w:color="auto"/>
        <w:bottom w:val="none" w:sz="0" w:space="0" w:color="auto"/>
        <w:right w:val="none" w:sz="0" w:space="0" w:color="auto"/>
      </w:divBdr>
      <w:divsChild>
        <w:div w:id="1900552715">
          <w:marLeft w:val="0"/>
          <w:marRight w:val="0"/>
          <w:marTop w:val="0"/>
          <w:marBottom w:val="0"/>
          <w:divBdr>
            <w:top w:val="none" w:sz="0" w:space="0" w:color="auto"/>
            <w:left w:val="none" w:sz="0" w:space="0" w:color="auto"/>
            <w:bottom w:val="none" w:sz="0" w:space="0" w:color="auto"/>
            <w:right w:val="none" w:sz="0" w:space="0" w:color="auto"/>
          </w:divBdr>
          <w:divsChild>
            <w:div w:id="2004123183">
              <w:marLeft w:val="0"/>
              <w:marRight w:val="0"/>
              <w:marTop w:val="0"/>
              <w:marBottom w:val="0"/>
              <w:divBdr>
                <w:top w:val="none" w:sz="0" w:space="0" w:color="auto"/>
                <w:left w:val="none" w:sz="0" w:space="0" w:color="auto"/>
                <w:bottom w:val="none" w:sz="0" w:space="0" w:color="auto"/>
                <w:right w:val="none" w:sz="0" w:space="0" w:color="auto"/>
              </w:divBdr>
              <w:divsChild>
                <w:div w:id="129860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955182">
      <w:bodyDiv w:val="1"/>
      <w:marLeft w:val="0"/>
      <w:marRight w:val="0"/>
      <w:marTop w:val="0"/>
      <w:marBottom w:val="0"/>
      <w:divBdr>
        <w:top w:val="none" w:sz="0" w:space="0" w:color="auto"/>
        <w:left w:val="none" w:sz="0" w:space="0" w:color="auto"/>
        <w:bottom w:val="none" w:sz="0" w:space="0" w:color="auto"/>
        <w:right w:val="none" w:sz="0" w:space="0" w:color="auto"/>
      </w:divBdr>
    </w:div>
    <w:div w:id="403727269">
      <w:bodyDiv w:val="1"/>
      <w:marLeft w:val="0"/>
      <w:marRight w:val="0"/>
      <w:marTop w:val="0"/>
      <w:marBottom w:val="0"/>
      <w:divBdr>
        <w:top w:val="none" w:sz="0" w:space="0" w:color="auto"/>
        <w:left w:val="none" w:sz="0" w:space="0" w:color="auto"/>
        <w:bottom w:val="none" w:sz="0" w:space="0" w:color="auto"/>
        <w:right w:val="none" w:sz="0" w:space="0" w:color="auto"/>
      </w:divBdr>
    </w:div>
    <w:div w:id="430779653">
      <w:bodyDiv w:val="1"/>
      <w:marLeft w:val="0"/>
      <w:marRight w:val="0"/>
      <w:marTop w:val="0"/>
      <w:marBottom w:val="0"/>
      <w:divBdr>
        <w:top w:val="none" w:sz="0" w:space="0" w:color="auto"/>
        <w:left w:val="none" w:sz="0" w:space="0" w:color="auto"/>
        <w:bottom w:val="none" w:sz="0" w:space="0" w:color="auto"/>
        <w:right w:val="none" w:sz="0" w:space="0" w:color="auto"/>
      </w:divBdr>
    </w:div>
    <w:div w:id="434596409">
      <w:bodyDiv w:val="1"/>
      <w:marLeft w:val="0"/>
      <w:marRight w:val="0"/>
      <w:marTop w:val="0"/>
      <w:marBottom w:val="0"/>
      <w:divBdr>
        <w:top w:val="none" w:sz="0" w:space="0" w:color="auto"/>
        <w:left w:val="none" w:sz="0" w:space="0" w:color="auto"/>
        <w:bottom w:val="none" w:sz="0" w:space="0" w:color="auto"/>
        <w:right w:val="none" w:sz="0" w:space="0" w:color="auto"/>
      </w:divBdr>
    </w:div>
    <w:div w:id="468674809">
      <w:bodyDiv w:val="1"/>
      <w:marLeft w:val="0"/>
      <w:marRight w:val="0"/>
      <w:marTop w:val="0"/>
      <w:marBottom w:val="0"/>
      <w:divBdr>
        <w:top w:val="none" w:sz="0" w:space="0" w:color="auto"/>
        <w:left w:val="none" w:sz="0" w:space="0" w:color="auto"/>
        <w:bottom w:val="none" w:sz="0" w:space="0" w:color="auto"/>
        <w:right w:val="none" w:sz="0" w:space="0" w:color="auto"/>
      </w:divBdr>
    </w:div>
    <w:div w:id="479423345">
      <w:bodyDiv w:val="1"/>
      <w:marLeft w:val="0"/>
      <w:marRight w:val="0"/>
      <w:marTop w:val="0"/>
      <w:marBottom w:val="0"/>
      <w:divBdr>
        <w:top w:val="none" w:sz="0" w:space="0" w:color="auto"/>
        <w:left w:val="none" w:sz="0" w:space="0" w:color="auto"/>
        <w:bottom w:val="none" w:sz="0" w:space="0" w:color="auto"/>
        <w:right w:val="none" w:sz="0" w:space="0" w:color="auto"/>
      </w:divBdr>
    </w:div>
    <w:div w:id="561257742">
      <w:bodyDiv w:val="1"/>
      <w:marLeft w:val="0"/>
      <w:marRight w:val="0"/>
      <w:marTop w:val="0"/>
      <w:marBottom w:val="0"/>
      <w:divBdr>
        <w:top w:val="none" w:sz="0" w:space="0" w:color="auto"/>
        <w:left w:val="none" w:sz="0" w:space="0" w:color="auto"/>
        <w:bottom w:val="none" w:sz="0" w:space="0" w:color="auto"/>
        <w:right w:val="none" w:sz="0" w:space="0" w:color="auto"/>
      </w:divBdr>
      <w:divsChild>
        <w:div w:id="662273330">
          <w:marLeft w:val="0"/>
          <w:marRight w:val="0"/>
          <w:marTop w:val="0"/>
          <w:marBottom w:val="0"/>
          <w:divBdr>
            <w:top w:val="none" w:sz="0" w:space="0" w:color="auto"/>
            <w:left w:val="none" w:sz="0" w:space="0" w:color="auto"/>
            <w:bottom w:val="none" w:sz="0" w:space="0" w:color="auto"/>
            <w:right w:val="none" w:sz="0" w:space="0" w:color="auto"/>
          </w:divBdr>
          <w:divsChild>
            <w:div w:id="1410300247">
              <w:marLeft w:val="0"/>
              <w:marRight w:val="0"/>
              <w:marTop w:val="0"/>
              <w:marBottom w:val="0"/>
              <w:divBdr>
                <w:top w:val="none" w:sz="0" w:space="0" w:color="auto"/>
                <w:left w:val="none" w:sz="0" w:space="0" w:color="auto"/>
                <w:bottom w:val="none" w:sz="0" w:space="0" w:color="auto"/>
                <w:right w:val="none" w:sz="0" w:space="0" w:color="auto"/>
              </w:divBdr>
              <w:divsChild>
                <w:div w:id="181764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517367">
      <w:bodyDiv w:val="1"/>
      <w:marLeft w:val="0"/>
      <w:marRight w:val="0"/>
      <w:marTop w:val="0"/>
      <w:marBottom w:val="0"/>
      <w:divBdr>
        <w:top w:val="none" w:sz="0" w:space="0" w:color="auto"/>
        <w:left w:val="none" w:sz="0" w:space="0" w:color="auto"/>
        <w:bottom w:val="none" w:sz="0" w:space="0" w:color="auto"/>
        <w:right w:val="none" w:sz="0" w:space="0" w:color="auto"/>
      </w:divBdr>
      <w:divsChild>
        <w:div w:id="452406159">
          <w:marLeft w:val="0"/>
          <w:marRight w:val="0"/>
          <w:marTop w:val="0"/>
          <w:marBottom w:val="0"/>
          <w:divBdr>
            <w:top w:val="none" w:sz="0" w:space="0" w:color="auto"/>
            <w:left w:val="none" w:sz="0" w:space="0" w:color="auto"/>
            <w:bottom w:val="none" w:sz="0" w:space="0" w:color="auto"/>
            <w:right w:val="none" w:sz="0" w:space="0" w:color="auto"/>
          </w:divBdr>
          <w:divsChild>
            <w:div w:id="1119957943">
              <w:marLeft w:val="0"/>
              <w:marRight w:val="0"/>
              <w:marTop w:val="0"/>
              <w:marBottom w:val="0"/>
              <w:divBdr>
                <w:top w:val="none" w:sz="0" w:space="0" w:color="auto"/>
                <w:left w:val="none" w:sz="0" w:space="0" w:color="auto"/>
                <w:bottom w:val="none" w:sz="0" w:space="0" w:color="auto"/>
                <w:right w:val="none" w:sz="0" w:space="0" w:color="auto"/>
              </w:divBdr>
              <w:divsChild>
                <w:div w:id="60531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885794">
      <w:bodyDiv w:val="1"/>
      <w:marLeft w:val="0"/>
      <w:marRight w:val="0"/>
      <w:marTop w:val="0"/>
      <w:marBottom w:val="0"/>
      <w:divBdr>
        <w:top w:val="none" w:sz="0" w:space="0" w:color="auto"/>
        <w:left w:val="none" w:sz="0" w:space="0" w:color="auto"/>
        <w:bottom w:val="none" w:sz="0" w:space="0" w:color="auto"/>
        <w:right w:val="none" w:sz="0" w:space="0" w:color="auto"/>
      </w:divBdr>
    </w:div>
    <w:div w:id="694572599">
      <w:bodyDiv w:val="1"/>
      <w:marLeft w:val="0"/>
      <w:marRight w:val="0"/>
      <w:marTop w:val="0"/>
      <w:marBottom w:val="0"/>
      <w:divBdr>
        <w:top w:val="none" w:sz="0" w:space="0" w:color="auto"/>
        <w:left w:val="none" w:sz="0" w:space="0" w:color="auto"/>
        <w:bottom w:val="none" w:sz="0" w:space="0" w:color="auto"/>
        <w:right w:val="none" w:sz="0" w:space="0" w:color="auto"/>
      </w:divBdr>
    </w:div>
    <w:div w:id="725223193">
      <w:bodyDiv w:val="1"/>
      <w:marLeft w:val="0"/>
      <w:marRight w:val="0"/>
      <w:marTop w:val="0"/>
      <w:marBottom w:val="0"/>
      <w:divBdr>
        <w:top w:val="none" w:sz="0" w:space="0" w:color="auto"/>
        <w:left w:val="none" w:sz="0" w:space="0" w:color="auto"/>
        <w:bottom w:val="none" w:sz="0" w:space="0" w:color="auto"/>
        <w:right w:val="none" w:sz="0" w:space="0" w:color="auto"/>
      </w:divBdr>
    </w:div>
    <w:div w:id="749233494">
      <w:bodyDiv w:val="1"/>
      <w:marLeft w:val="0"/>
      <w:marRight w:val="0"/>
      <w:marTop w:val="0"/>
      <w:marBottom w:val="0"/>
      <w:divBdr>
        <w:top w:val="none" w:sz="0" w:space="0" w:color="auto"/>
        <w:left w:val="none" w:sz="0" w:space="0" w:color="auto"/>
        <w:bottom w:val="none" w:sz="0" w:space="0" w:color="auto"/>
        <w:right w:val="none" w:sz="0" w:space="0" w:color="auto"/>
      </w:divBdr>
    </w:div>
    <w:div w:id="836116916">
      <w:bodyDiv w:val="1"/>
      <w:marLeft w:val="0"/>
      <w:marRight w:val="0"/>
      <w:marTop w:val="0"/>
      <w:marBottom w:val="0"/>
      <w:divBdr>
        <w:top w:val="none" w:sz="0" w:space="0" w:color="auto"/>
        <w:left w:val="none" w:sz="0" w:space="0" w:color="auto"/>
        <w:bottom w:val="none" w:sz="0" w:space="0" w:color="auto"/>
        <w:right w:val="none" w:sz="0" w:space="0" w:color="auto"/>
      </w:divBdr>
    </w:div>
    <w:div w:id="879433878">
      <w:bodyDiv w:val="1"/>
      <w:marLeft w:val="0"/>
      <w:marRight w:val="0"/>
      <w:marTop w:val="0"/>
      <w:marBottom w:val="0"/>
      <w:divBdr>
        <w:top w:val="none" w:sz="0" w:space="0" w:color="auto"/>
        <w:left w:val="none" w:sz="0" w:space="0" w:color="auto"/>
        <w:bottom w:val="none" w:sz="0" w:space="0" w:color="auto"/>
        <w:right w:val="none" w:sz="0" w:space="0" w:color="auto"/>
      </w:divBdr>
    </w:div>
    <w:div w:id="946739992">
      <w:bodyDiv w:val="1"/>
      <w:marLeft w:val="0"/>
      <w:marRight w:val="0"/>
      <w:marTop w:val="0"/>
      <w:marBottom w:val="0"/>
      <w:divBdr>
        <w:top w:val="none" w:sz="0" w:space="0" w:color="auto"/>
        <w:left w:val="none" w:sz="0" w:space="0" w:color="auto"/>
        <w:bottom w:val="none" w:sz="0" w:space="0" w:color="auto"/>
        <w:right w:val="none" w:sz="0" w:space="0" w:color="auto"/>
      </w:divBdr>
      <w:divsChild>
        <w:div w:id="452604039">
          <w:marLeft w:val="0"/>
          <w:marRight w:val="0"/>
          <w:marTop w:val="0"/>
          <w:marBottom w:val="0"/>
          <w:divBdr>
            <w:top w:val="none" w:sz="0" w:space="0" w:color="auto"/>
            <w:left w:val="none" w:sz="0" w:space="0" w:color="auto"/>
            <w:bottom w:val="none" w:sz="0" w:space="0" w:color="auto"/>
            <w:right w:val="none" w:sz="0" w:space="0" w:color="auto"/>
          </w:divBdr>
          <w:divsChild>
            <w:div w:id="1733196716">
              <w:marLeft w:val="0"/>
              <w:marRight w:val="0"/>
              <w:marTop w:val="0"/>
              <w:marBottom w:val="0"/>
              <w:divBdr>
                <w:top w:val="none" w:sz="0" w:space="0" w:color="auto"/>
                <w:left w:val="none" w:sz="0" w:space="0" w:color="auto"/>
                <w:bottom w:val="none" w:sz="0" w:space="0" w:color="auto"/>
                <w:right w:val="none" w:sz="0" w:space="0" w:color="auto"/>
              </w:divBdr>
              <w:divsChild>
                <w:div w:id="65341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446471">
      <w:bodyDiv w:val="1"/>
      <w:marLeft w:val="0"/>
      <w:marRight w:val="0"/>
      <w:marTop w:val="0"/>
      <w:marBottom w:val="0"/>
      <w:divBdr>
        <w:top w:val="none" w:sz="0" w:space="0" w:color="auto"/>
        <w:left w:val="none" w:sz="0" w:space="0" w:color="auto"/>
        <w:bottom w:val="none" w:sz="0" w:space="0" w:color="auto"/>
        <w:right w:val="none" w:sz="0" w:space="0" w:color="auto"/>
      </w:divBdr>
      <w:divsChild>
        <w:div w:id="1469396790">
          <w:marLeft w:val="0"/>
          <w:marRight w:val="0"/>
          <w:marTop w:val="0"/>
          <w:marBottom w:val="0"/>
          <w:divBdr>
            <w:top w:val="none" w:sz="0" w:space="0" w:color="auto"/>
            <w:left w:val="none" w:sz="0" w:space="0" w:color="auto"/>
            <w:bottom w:val="none" w:sz="0" w:space="0" w:color="auto"/>
            <w:right w:val="none" w:sz="0" w:space="0" w:color="auto"/>
          </w:divBdr>
          <w:divsChild>
            <w:div w:id="541752514">
              <w:marLeft w:val="0"/>
              <w:marRight w:val="0"/>
              <w:marTop w:val="0"/>
              <w:marBottom w:val="0"/>
              <w:divBdr>
                <w:top w:val="none" w:sz="0" w:space="0" w:color="auto"/>
                <w:left w:val="none" w:sz="0" w:space="0" w:color="auto"/>
                <w:bottom w:val="none" w:sz="0" w:space="0" w:color="auto"/>
                <w:right w:val="none" w:sz="0" w:space="0" w:color="auto"/>
              </w:divBdr>
              <w:divsChild>
                <w:div w:id="16220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8556840">
      <w:bodyDiv w:val="1"/>
      <w:marLeft w:val="0"/>
      <w:marRight w:val="0"/>
      <w:marTop w:val="0"/>
      <w:marBottom w:val="0"/>
      <w:divBdr>
        <w:top w:val="none" w:sz="0" w:space="0" w:color="auto"/>
        <w:left w:val="none" w:sz="0" w:space="0" w:color="auto"/>
        <w:bottom w:val="none" w:sz="0" w:space="0" w:color="auto"/>
        <w:right w:val="none" w:sz="0" w:space="0" w:color="auto"/>
      </w:divBdr>
    </w:div>
    <w:div w:id="1075205047">
      <w:bodyDiv w:val="1"/>
      <w:marLeft w:val="0"/>
      <w:marRight w:val="0"/>
      <w:marTop w:val="0"/>
      <w:marBottom w:val="0"/>
      <w:divBdr>
        <w:top w:val="none" w:sz="0" w:space="0" w:color="auto"/>
        <w:left w:val="none" w:sz="0" w:space="0" w:color="auto"/>
        <w:bottom w:val="none" w:sz="0" w:space="0" w:color="auto"/>
        <w:right w:val="none" w:sz="0" w:space="0" w:color="auto"/>
      </w:divBdr>
      <w:divsChild>
        <w:div w:id="1830439189">
          <w:marLeft w:val="0"/>
          <w:marRight w:val="0"/>
          <w:marTop w:val="0"/>
          <w:marBottom w:val="0"/>
          <w:divBdr>
            <w:top w:val="none" w:sz="0" w:space="0" w:color="auto"/>
            <w:left w:val="none" w:sz="0" w:space="0" w:color="auto"/>
            <w:bottom w:val="none" w:sz="0" w:space="0" w:color="auto"/>
            <w:right w:val="none" w:sz="0" w:space="0" w:color="auto"/>
          </w:divBdr>
          <w:divsChild>
            <w:div w:id="392894535">
              <w:marLeft w:val="0"/>
              <w:marRight w:val="0"/>
              <w:marTop w:val="0"/>
              <w:marBottom w:val="0"/>
              <w:divBdr>
                <w:top w:val="none" w:sz="0" w:space="0" w:color="auto"/>
                <w:left w:val="none" w:sz="0" w:space="0" w:color="auto"/>
                <w:bottom w:val="none" w:sz="0" w:space="0" w:color="auto"/>
                <w:right w:val="none" w:sz="0" w:space="0" w:color="auto"/>
              </w:divBdr>
              <w:divsChild>
                <w:div w:id="40830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140759">
      <w:bodyDiv w:val="1"/>
      <w:marLeft w:val="0"/>
      <w:marRight w:val="0"/>
      <w:marTop w:val="0"/>
      <w:marBottom w:val="0"/>
      <w:divBdr>
        <w:top w:val="none" w:sz="0" w:space="0" w:color="auto"/>
        <w:left w:val="none" w:sz="0" w:space="0" w:color="auto"/>
        <w:bottom w:val="none" w:sz="0" w:space="0" w:color="auto"/>
        <w:right w:val="none" w:sz="0" w:space="0" w:color="auto"/>
      </w:divBdr>
      <w:divsChild>
        <w:div w:id="1916473523">
          <w:marLeft w:val="0"/>
          <w:marRight w:val="0"/>
          <w:marTop w:val="0"/>
          <w:marBottom w:val="0"/>
          <w:divBdr>
            <w:top w:val="none" w:sz="0" w:space="0" w:color="auto"/>
            <w:left w:val="none" w:sz="0" w:space="0" w:color="auto"/>
            <w:bottom w:val="none" w:sz="0" w:space="0" w:color="auto"/>
            <w:right w:val="none" w:sz="0" w:space="0" w:color="auto"/>
          </w:divBdr>
          <w:divsChild>
            <w:div w:id="976380574">
              <w:marLeft w:val="0"/>
              <w:marRight w:val="0"/>
              <w:marTop w:val="0"/>
              <w:marBottom w:val="0"/>
              <w:divBdr>
                <w:top w:val="none" w:sz="0" w:space="0" w:color="auto"/>
                <w:left w:val="none" w:sz="0" w:space="0" w:color="auto"/>
                <w:bottom w:val="none" w:sz="0" w:space="0" w:color="auto"/>
                <w:right w:val="none" w:sz="0" w:space="0" w:color="auto"/>
              </w:divBdr>
              <w:divsChild>
                <w:div w:id="28947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140921">
      <w:bodyDiv w:val="1"/>
      <w:marLeft w:val="0"/>
      <w:marRight w:val="0"/>
      <w:marTop w:val="0"/>
      <w:marBottom w:val="0"/>
      <w:divBdr>
        <w:top w:val="none" w:sz="0" w:space="0" w:color="auto"/>
        <w:left w:val="none" w:sz="0" w:space="0" w:color="auto"/>
        <w:bottom w:val="none" w:sz="0" w:space="0" w:color="auto"/>
        <w:right w:val="none" w:sz="0" w:space="0" w:color="auto"/>
      </w:divBdr>
      <w:divsChild>
        <w:div w:id="1640652078">
          <w:marLeft w:val="0"/>
          <w:marRight w:val="0"/>
          <w:marTop w:val="0"/>
          <w:marBottom w:val="0"/>
          <w:divBdr>
            <w:top w:val="none" w:sz="0" w:space="0" w:color="auto"/>
            <w:left w:val="none" w:sz="0" w:space="0" w:color="auto"/>
            <w:bottom w:val="none" w:sz="0" w:space="0" w:color="auto"/>
            <w:right w:val="none" w:sz="0" w:space="0" w:color="auto"/>
          </w:divBdr>
          <w:divsChild>
            <w:div w:id="620841988">
              <w:marLeft w:val="0"/>
              <w:marRight w:val="0"/>
              <w:marTop w:val="0"/>
              <w:marBottom w:val="0"/>
              <w:divBdr>
                <w:top w:val="none" w:sz="0" w:space="0" w:color="auto"/>
                <w:left w:val="none" w:sz="0" w:space="0" w:color="auto"/>
                <w:bottom w:val="none" w:sz="0" w:space="0" w:color="auto"/>
                <w:right w:val="none" w:sz="0" w:space="0" w:color="auto"/>
              </w:divBdr>
              <w:divsChild>
                <w:div w:id="26577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018403">
      <w:bodyDiv w:val="1"/>
      <w:marLeft w:val="0"/>
      <w:marRight w:val="0"/>
      <w:marTop w:val="0"/>
      <w:marBottom w:val="0"/>
      <w:divBdr>
        <w:top w:val="none" w:sz="0" w:space="0" w:color="auto"/>
        <w:left w:val="none" w:sz="0" w:space="0" w:color="auto"/>
        <w:bottom w:val="none" w:sz="0" w:space="0" w:color="auto"/>
        <w:right w:val="none" w:sz="0" w:space="0" w:color="auto"/>
      </w:divBdr>
      <w:divsChild>
        <w:div w:id="726760248">
          <w:marLeft w:val="0"/>
          <w:marRight w:val="0"/>
          <w:marTop w:val="0"/>
          <w:marBottom w:val="0"/>
          <w:divBdr>
            <w:top w:val="none" w:sz="0" w:space="0" w:color="auto"/>
            <w:left w:val="none" w:sz="0" w:space="0" w:color="auto"/>
            <w:bottom w:val="none" w:sz="0" w:space="0" w:color="auto"/>
            <w:right w:val="none" w:sz="0" w:space="0" w:color="auto"/>
          </w:divBdr>
          <w:divsChild>
            <w:div w:id="479352469">
              <w:marLeft w:val="0"/>
              <w:marRight w:val="0"/>
              <w:marTop w:val="0"/>
              <w:marBottom w:val="0"/>
              <w:divBdr>
                <w:top w:val="none" w:sz="0" w:space="0" w:color="auto"/>
                <w:left w:val="none" w:sz="0" w:space="0" w:color="auto"/>
                <w:bottom w:val="none" w:sz="0" w:space="0" w:color="auto"/>
                <w:right w:val="none" w:sz="0" w:space="0" w:color="auto"/>
              </w:divBdr>
              <w:divsChild>
                <w:div w:id="143551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788676">
      <w:bodyDiv w:val="1"/>
      <w:marLeft w:val="0"/>
      <w:marRight w:val="0"/>
      <w:marTop w:val="0"/>
      <w:marBottom w:val="0"/>
      <w:divBdr>
        <w:top w:val="none" w:sz="0" w:space="0" w:color="auto"/>
        <w:left w:val="none" w:sz="0" w:space="0" w:color="auto"/>
        <w:bottom w:val="none" w:sz="0" w:space="0" w:color="auto"/>
        <w:right w:val="none" w:sz="0" w:space="0" w:color="auto"/>
      </w:divBdr>
    </w:div>
    <w:div w:id="1219052726">
      <w:bodyDiv w:val="1"/>
      <w:marLeft w:val="0"/>
      <w:marRight w:val="0"/>
      <w:marTop w:val="0"/>
      <w:marBottom w:val="0"/>
      <w:divBdr>
        <w:top w:val="none" w:sz="0" w:space="0" w:color="auto"/>
        <w:left w:val="none" w:sz="0" w:space="0" w:color="auto"/>
        <w:bottom w:val="none" w:sz="0" w:space="0" w:color="auto"/>
        <w:right w:val="none" w:sz="0" w:space="0" w:color="auto"/>
      </w:divBdr>
      <w:divsChild>
        <w:div w:id="949169777">
          <w:marLeft w:val="0"/>
          <w:marRight w:val="0"/>
          <w:marTop w:val="0"/>
          <w:marBottom w:val="0"/>
          <w:divBdr>
            <w:top w:val="none" w:sz="0" w:space="0" w:color="auto"/>
            <w:left w:val="none" w:sz="0" w:space="0" w:color="auto"/>
            <w:bottom w:val="none" w:sz="0" w:space="0" w:color="auto"/>
            <w:right w:val="none" w:sz="0" w:space="0" w:color="auto"/>
          </w:divBdr>
          <w:divsChild>
            <w:div w:id="823548012">
              <w:marLeft w:val="0"/>
              <w:marRight w:val="0"/>
              <w:marTop w:val="0"/>
              <w:marBottom w:val="0"/>
              <w:divBdr>
                <w:top w:val="none" w:sz="0" w:space="0" w:color="auto"/>
                <w:left w:val="none" w:sz="0" w:space="0" w:color="auto"/>
                <w:bottom w:val="none" w:sz="0" w:space="0" w:color="auto"/>
                <w:right w:val="none" w:sz="0" w:space="0" w:color="auto"/>
              </w:divBdr>
              <w:divsChild>
                <w:div w:id="127100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150231">
      <w:bodyDiv w:val="1"/>
      <w:marLeft w:val="0"/>
      <w:marRight w:val="0"/>
      <w:marTop w:val="0"/>
      <w:marBottom w:val="0"/>
      <w:divBdr>
        <w:top w:val="none" w:sz="0" w:space="0" w:color="auto"/>
        <w:left w:val="none" w:sz="0" w:space="0" w:color="auto"/>
        <w:bottom w:val="none" w:sz="0" w:space="0" w:color="auto"/>
        <w:right w:val="none" w:sz="0" w:space="0" w:color="auto"/>
      </w:divBdr>
    </w:div>
    <w:div w:id="1229922371">
      <w:bodyDiv w:val="1"/>
      <w:marLeft w:val="0"/>
      <w:marRight w:val="0"/>
      <w:marTop w:val="0"/>
      <w:marBottom w:val="0"/>
      <w:divBdr>
        <w:top w:val="none" w:sz="0" w:space="0" w:color="auto"/>
        <w:left w:val="none" w:sz="0" w:space="0" w:color="auto"/>
        <w:bottom w:val="none" w:sz="0" w:space="0" w:color="auto"/>
        <w:right w:val="none" w:sz="0" w:space="0" w:color="auto"/>
      </w:divBdr>
      <w:divsChild>
        <w:div w:id="1457019992">
          <w:marLeft w:val="0"/>
          <w:marRight w:val="0"/>
          <w:marTop w:val="0"/>
          <w:marBottom w:val="0"/>
          <w:divBdr>
            <w:top w:val="none" w:sz="0" w:space="0" w:color="auto"/>
            <w:left w:val="none" w:sz="0" w:space="0" w:color="auto"/>
            <w:bottom w:val="none" w:sz="0" w:space="0" w:color="auto"/>
            <w:right w:val="none" w:sz="0" w:space="0" w:color="auto"/>
          </w:divBdr>
          <w:divsChild>
            <w:div w:id="518545373">
              <w:marLeft w:val="0"/>
              <w:marRight w:val="0"/>
              <w:marTop w:val="0"/>
              <w:marBottom w:val="0"/>
              <w:divBdr>
                <w:top w:val="none" w:sz="0" w:space="0" w:color="auto"/>
                <w:left w:val="none" w:sz="0" w:space="0" w:color="auto"/>
                <w:bottom w:val="none" w:sz="0" w:space="0" w:color="auto"/>
                <w:right w:val="none" w:sz="0" w:space="0" w:color="auto"/>
              </w:divBdr>
              <w:divsChild>
                <w:div w:id="162499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221093">
      <w:bodyDiv w:val="1"/>
      <w:marLeft w:val="0"/>
      <w:marRight w:val="0"/>
      <w:marTop w:val="0"/>
      <w:marBottom w:val="0"/>
      <w:divBdr>
        <w:top w:val="none" w:sz="0" w:space="0" w:color="auto"/>
        <w:left w:val="none" w:sz="0" w:space="0" w:color="auto"/>
        <w:bottom w:val="none" w:sz="0" w:space="0" w:color="auto"/>
        <w:right w:val="none" w:sz="0" w:space="0" w:color="auto"/>
      </w:divBdr>
    </w:div>
    <w:div w:id="1258714926">
      <w:bodyDiv w:val="1"/>
      <w:marLeft w:val="0"/>
      <w:marRight w:val="0"/>
      <w:marTop w:val="0"/>
      <w:marBottom w:val="0"/>
      <w:divBdr>
        <w:top w:val="none" w:sz="0" w:space="0" w:color="auto"/>
        <w:left w:val="none" w:sz="0" w:space="0" w:color="auto"/>
        <w:bottom w:val="none" w:sz="0" w:space="0" w:color="auto"/>
        <w:right w:val="none" w:sz="0" w:space="0" w:color="auto"/>
      </w:divBdr>
    </w:div>
    <w:div w:id="1309675879">
      <w:bodyDiv w:val="1"/>
      <w:marLeft w:val="0"/>
      <w:marRight w:val="0"/>
      <w:marTop w:val="0"/>
      <w:marBottom w:val="0"/>
      <w:divBdr>
        <w:top w:val="none" w:sz="0" w:space="0" w:color="auto"/>
        <w:left w:val="none" w:sz="0" w:space="0" w:color="auto"/>
        <w:bottom w:val="none" w:sz="0" w:space="0" w:color="auto"/>
        <w:right w:val="none" w:sz="0" w:space="0" w:color="auto"/>
      </w:divBdr>
    </w:div>
    <w:div w:id="1314338858">
      <w:bodyDiv w:val="1"/>
      <w:marLeft w:val="0"/>
      <w:marRight w:val="0"/>
      <w:marTop w:val="0"/>
      <w:marBottom w:val="0"/>
      <w:divBdr>
        <w:top w:val="none" w:sz="0" w:space="0" w:color="auto"/>
        <w:left w:val="none" w:sz="0" w:space="0" w:color="auto"/>
        <w:bottom w:val="none" w:sz="0" w:space="0" w:color="auto"/>
        <w:right w:val="none" w:sz="0" w:space="0" w:color="auto"/>
      </w:divBdr>
    </w:div>
    <w:div w:id="1398939111">
      <w:bodyDiv w:val="1"/>
      <w:marLeft w:val="0"/>
      <w:marRight w:val="0"/>
      <w:marTop w:val="0"/>
      <w:marBottom w:val="0"/>
      <w:divBdr>
        <w:top w:val="none" w:sz="0" w:space="0" w:color="auto"/>
        <w:left w:val="none" w:sz="0" w:space="0" w:color="auto"/>
        <w:bottom w:val="none" w:sz="0" w:space="0" w:color="auto"/>
        <w:right w:val="none" w:sz="0" w:space="0" w:color="auto"/>
      </w:divBdr>
      <w:divsChild>
        <w:div w:id="1392729307">
          <w:marLeft w:val="0"/>
          <w:marRight w:val="0"/>
          <w:marTop w:val="0"/>
          <w:marBottom w:val="0"/>
          <w:divBdr>
            <w:top w:val="none" w:sz="0" w:space="0" w:color="auto"/>
            <w:left w:val="none" w:sz="0" w:space="0" w:color="auto"/>
            <w:bottom w:val="none" w:sz="0" w:space="0" w:color="auto"/>
            <w:right w:val="none" w:sz="0" w:space="0" w:color="auto"/>
          </w:divBdr>
          <w:divsChild>
            <w:div w:id="1905748771">
              <w:marLeft w:val="0"/>
              <w:marRight w:val="0"/>
              <w:marTop w:val="0"/>
              <w:marBottom w:val="0"/>
              <w:divBdr>
                <w:top w:val="none" w:sz="0" w:space="0" w:color="auto"/>
                <w:left w:val="none" w:sz="0" w:space="0" w:color="auto"/>
                <w:bottom w:val="none" w:sz="0" w:space="0" w:color="auto"/>
                <w:right w:val="none" w:sz="0" w:space="0" w:color="auto"/>
              </w:divBdr>
              <w:divsChild>
                <w:div w:id="66513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828109">
      <w:bodyDiv w:val="1"/>
      <w:marLeft w:val="0"/>
      <w:marRight w:val="0"/>
      <w:marTop w:val="0"/>
      <w:marBottom w:val="0"/>
      <w:divBdr>
        <w:top w:val="none" w:sz="0" w:space="0" w:color="auto"/>
        <w:left w:val="none" w:sz="0" w:space="0" w:color="auto"/>
        <w:bottom w:val="none" w:sz="0" w:space="0" w:color="auto"/>
        <w:right w:val="none" w:sz="0" w:space="0" w:color="auto"/>
      </w:divBdr>
      <w:divsChild>
        <w:div w:id="1901674639">
          <w:marLeft w:val="0"/>
          <w:marRight w:val="0"/>
          <w:marTop w:val="0"/>
          <w:marBottom w:val="0"/>
          <w:divBdr>
            <w:top w:val="none" w:sz="0" w:space="0" w:color="auto"/>
            <w:left w:val="none" w:sz="0" w:space="0" w:color="auto"/>
            <w:bottom w:val="none" w:sz="0" w:space="0" w:color="auto"/>
            <w:right w:val="none" w:sz="0" w:space="0" w:color="auto"/>
          </w:divBdr>
          <w:divsChild>
            <w:div w:id="285740553">
              <w:marLeft w:val="0"/>
              <w:marRight w:val="0"/>
              <w:marTop w:val="0"/>
              <w:marBottom w:val="0"/>
              <w:divBdr>
                <w:top w:val="none" w:sz="0" w:space="0" w:color="auto"/>
                <w:left w:val="none" w:sz="0" w:space="0" w:color="auto"/>
                <w:bottom w:val="none" w:sz="0" w:space="0" w:color="auto"/>
                <w:right w:val="none" w:sz="0" w:space="0" w:color="auto"/>
              </w:divBdr>
              <w:divsChild>
                <w:div w:id="3928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334553">
      <w:bodyDiv w:val="1"/>
      <w:marLeft w:val="0"/>
      <w:marRight w:val="0"/>
      <w:marTop w:val="0"/>
      <w:marBottom w:val="0"/>
      <w:divBdr>
        <w:top w:val="none" w:sz="0" w:space="0" w:color="auto"/>
        <w:left w:val="none" w:sz="0" w:space="0" w:color="auto"/>
        <w:bottom w:val="none" w:sz="0" w:space="0" w:color="auto"/>
        <w:right w:val="none" w:sz="0" w:space="0" w:color="auto"/>
      </w:divBdr>
    </w:div>
    <w:div w:id="1616474132">
      <w:bodyDiv w:val="1"/>
      <w:marLeft w:val="0"/>
      <w:marRight w:val="0"/>
      <w:marTop w:val="0"/>
      <w:marBottom w:val="0"/>
      <w:divBdr>
        <w:top w:val="none" w:sz="0" w:space="0" w:color="auto"/>
        <w:left w:val="none" w:sz="0" w:space="0" w:color="auto"/>
        <w:bottom w:val="none" w:sz="0" w:space="0" w:color="auto"/>
        <w:right w:val="none" w:sz="0" w:space="0" w:color="auto"/>
      </w:divBdr>
    </w:div>
    <w:div w:id="1682587815">
      <w:bodyDiv w:val="1"/>
      <w:marLeft w:val="0"/>
      <w:marRight w:val="0"/>
      <w:marTop w:val="0"/>
      <w:marBottom w:val="0"/>
      <w:divBdr>
        <w:top w:val="none" w:sz="0" w:space="0" w:color="auto"/>
        <w:left w:val="none" w:sz="0" w:space="0" w:color="auto"/>
        <w:bottom w:val="none" w:sz="0" w:space="0" w:color="auto"/>
        <w:right w:val="none" w:sz="0" w:space="0" w:color="auto"/>
      </w:divBdr>
      <w:divsChild>
        <w:div w:id="1203323211">
          <w:marLeft w:val="0"/>
          <w:marRight w:val="0"/>
          <w:marTop w:val="0"/>
          <w:marBottom w:val="0"/>
          <w:divBdr>
            <w:top w:val="none" w:sz="0" w:space="0" w:color="auto"/>
            <w:left w:val="none" w:sz="0" w:space="0" w:color="auto"/>
            <w:bottom w:val="none" w:sz="0" w:space="0" w:color="auto"/>
            <w:right w:val="none" w:sz="0" w:space="0" w:color="auto"/>
          </w:divBdr>
          <w:divsChild>
            <w:div w:id="388384598">
              <w:marLeft w:val="0"/>
              <w:marRight w:val="0"/>
              <w:marTop w:val="0"/>
              <w:marBottom w:val="0"/>
              <w:divBdr>
                <w:top w:val="none" w:sz="0" w:space="0" w:color="auto"/>
                <w:left w:val="none" w:sz="0" w:space="0" w:color="auto"/>
                <w:bottom w:val="none" w:sz="0" w:space="0" w:color="auto"/>
                <w:right w:val="none" w:sz="0" w:space="0" w:color="auto"/>
              </w:divBdr>
              <w:divsChild>
                <w:div w:id="178523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040359">
      <w:bodyDiv w:val="1"/>
      <w:marLeft w:val="0"/>
      <w:marRight w:val="0"/>
      <w:marTop w:val="0"/>
      <w:marBottom w:val="0"/>
      <w:divBdr>
        <w:top w:val="none" w:sz="0" w:space="0" w:color="auto"/>
        <w:left w:val="none" w:sz="0" w:space="0" w:color="auto"/>
        <w:bottom w:val="none" w:sz="0" w:space="0" w:color="auto"/>
        <w:right w:val="none" w:sz="0" w:space="0" w:color="auto"/>
      </w:divBdr>
    </w:div>
    <w:div w:id="1715036196">
      <w:bodyDiv w:val="1"/>
      <w:marLeft w:val="0"/>
      <w:marRight w:val="0"/>
      <w:marTop w:val="0"/>
      <w:marBottom w:val="0"/>
      <w:divBdr>
        <w:top w:val="none" w:sz="0" w:space="0" w:color="auto"/>
        <w:left w:val="none" w:sz="0" w:space="0" w:color="auto"/>
        <w:bottom w:val="none" w:sz="0" w:space="0" w:color="auto"/>
        <w:right w:val="none" w:sz="0" w:space="0" w:color="auto"/>
      </w:divBdr>
      <w:divsChild>
        <w:div w:id="931160847">
          <w:marLeft w:val="0"/>
          <w:marRight w:val="0"/>
          <w:marTop w:val="0"/>
          <w:marBottom w:val="0"/>
          <w:divBdr>
            <w:top w:val="none" w:sz="0" w:space="0" w:color="auto"/>
            <w:left w:val="none" w:sz="0" w:space="0" w:color="auto"/>
            <w:bottom w:val="none" w:sz="0" w:space="0" w:color="auto"/>
            <w:right w:val="none" w:sz="0" w:space="0" w:color="auto"/>
          </w:divBdr>
          <w:divsChild>
            <w:div w:id="1518621069">
              <w:marLeft w:val="0"/>
              <w:marRight w:val="0"/>
              <w:marTop w:val="0"/>
              <w:marBottom w:val="0"/>
              <w:divBdr>
                <w:top w:val="none" w:sz="0" w:space="0" w:color="auto"/>
                <w:left w:val="none" w:sz="0" w:space="0" w:color="auto"/>
                <w:bottom w:val="none" w:sz="0" w:space="0" w:color="auto"/>
                <w:right w:val="none" w:sz="0" w:space="0" w:color="auto"/>
              </w:divBdr>
              <w:divsChild>
                <w:div w:id="138740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484562">
      <w:bodyDiv w:val="1"/>
      <w:marLeft w:val="0"/>
      <w:marRight w:val="0"/>
      <w:marTop w:val="0"/>
      <w:marBottom w:val="0"/>
      <w:divBdr>
        <w:top w:val="none" w:sz="0" w:space="0" w:color="auto"/>
        <w:left w:val="none" w:sz="0" w:space="0" w:color="auto"/>
        <w:bottom w:val="none" w:sz="0" w:space="0" w:color="auto"/>
        <w:right w:val="none" w:sz="0" w:space="0" w:color="auto"/>
      </w:divBdr>
    </w:div>
    <w:div w:id="1809855329">
      <w:bodyDiv w:val="1"/>
      <w:marLeft w:val="0"/>
      <w:marRight w:val="0"/>
      <w:marTop w:val="0"/>
      <w:marBottom w:val="0"/>
      <w:divBdr>
        <w:top w:val="none" w:sz="0" w:space="0" w:color="auto"/>
        <w:left w:val="none" w:sz="0" w:space="0" w:color="auto"/>
        <w:bottom w:val="none" w:sz="0" w:space="0" w:color="auto"/>
        <w:right w:val="none" w:sz="0" w:space="0" w:color="auto"/>
      </w:divBdr>
    </w:div>
    <w:div w:id="1823346480">
      <w:bodyDiv w:val="1"/>
      <w:marLeft w:val="0"/>
      <w:marRight w:val="0"/>
      <w:marTop w:val="0"/>
      <w:marBottom w:val="0"/>
      <w:divBdr>
        <w:top w:val="none" w:sz="0" w:space="0" w:color="auto"/>
        <w:left w:val="none" w:sz="0" w:space="0" w:color="auto"/>
        <w:bottom w:val="none" w:sz="0" w:space="0" w:color="auto"/>
        <w:right w:val="none" w:sz="0" w:space="0" w:color="auto"/>
      </w:divBdr>
    </w:div>
    <w:div w:id="1843471625">
      <w:bodyDiv w:val="1"/>
      <w:marLeft w:val="0"/>
      <w:marRight w:val="0"/>
      <w:marTop w:val="0"/>
      <w:marBottom w:val="0"/>
      <w:divBdr>
        <w:top w:val="none" w:sz="0" w:space="0" w:color="auto"/>
        <w:left w:val="none" w:sz="0" w:space="0" w:color="auto"/>
        <w:bottom w:val="none" w:sz="0" w:space="0" w:color="auto"/>
        <w:right w:val="none" w:sz="0" w:space="0" w:color="auto"/>
      </w:divBdr>
    </w:div>
    <w:div w:id="1920485225">
      <w:bodyDiv w:val="1"/>
      <w:marLeft w:val="0"/>
      <w:marRight w:val="0"/>
      <w:marTop w:val="0"/>
      <w:marBottom w:val="0"/>
      <w:divBdr>
        <w:top w:val="none" w:sz="0" w:space="0" w:color="auto"/>
        <w:left w:val="none" w:sz="0" w:space="0" w:color="auto"/>
        <w:bottom w:val="none" w:sz="0" w:space="0" w:color="auto"/>
        <w:right w:val="none" w:sz="0" w:space="0" w:color="auto"/>
      </w:divBdr>
    </w:div>
    <w:div w:id="1979530108">
      <w:bodyDiv w:val="1"/>
      <w:marLeft w:val="0"/>
      <w:marRight w:val="0"/>
      <w:marTop w:val="0"/>
      <w:marBottom w:val="0"/>
      <w:divBdr>
        <w:top w:val="none" w:sz="0" w:space="0" w:color="auto"/>
        <w:left w:val="none" w:sz="0" w:space="0" w:color="auto"/>
        <w:bottom w:val="none" w:sz="0" w:space="0" w:color="auto"/>
        <w:right w:val="none" w:sz="0" w:space="0" w:color="auto"/>
      </w:divBdr>
      <w:divsChild>
        <w:div w:id="1371148425">
          <w:marLeft w:val="0"/>
          <w:marRight w:val="0"/>
          <w:marTop w:val="0"/>
          <w:marBottom w:val="0"/>
          <w:divBdr>
            <w:top w:val="none" w:sz="0" w:space="0" w:color="auto"/>
            <w:left w:val="none" w:sz="0" w:space="0" w:color="auto"/>
            <w:bottom w:val="none" w:sz="0" w:space="0" w:color="auto"/>
            <w:right w:val="none" w:sz="0" w:space="0" w:color="auto"/>
          </w:divBdr>
          <w:divsChild>
            <w:div w:id="1549340762">
              <w:marLeft w:val="0"/>
              <w:marRight w:val="0"/>
              <w:marTop w:val="0"/>
              <w:marBottom w:val="0"/>
              <w:divBdr>
                <w:top w:val="none" w:sz="0" w:space="0" w:color="auto"/>
                <w:left w:val="none" w:sz="0" w:space="0" w:color="auto"/>
                <w:bottom w:val="none" w:sz="0" w:space="0" w:color="auto"/>
                <w:right w:val="none" w:sz="0" w:space="0" w:color="auto"/>
              </w:divBdr>
              <w:divsChild>
                <w:div w:id="67195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881823">
      <w:bodyDiv w:val="1"/>
      <w:marLeft w:val="0"/>
      <w:marRight w:val="0"/>
      <w:marTop w:val="0"/>
      <w:marBottom w:val="0"/>
      <w:divBdr>
        <w:top w:val="none" w:sz="0" w:space="0" w:color="auto"/>
        <w:left w:val="none" w:sz="0" w:space="0" w:color="auto"/>
        <w:bottom w:val="none" w:sz="0" w:space="0" w:color="auto"/>
        <w:right w:val="none" w:sz="0" w:space="0" w:color="auto"/>
      </w:divBdr>
    </w:div>
    <w:div w:id="2030646202">
      <w:bodyDiv w:val="1"/>
      <w:marLeft w:val="0"/>
      <w:marRight w:val="0"/>
      <w:marTop w:val="0"/>
      <w:marBottom w:val="0"/>
      <w:divBdr>
        <w:top w:val="none" w:sz="0" w:space="0" w:color="auto"/>
        <w:left w:val="none" w:sz="0" w:space="0" w:color="auto"/>
        <w:bottom w:val="none" w:sz="0" w:space="0" w:color="auto"/>
        <w:right w:val="none" w:sz="0" w:space="0" w:color="auto"/>
      </w:divBdr>
    </w:div>
    <w:div w:id="2035957366">
      <w:bodyDiv w:val="1"/>
      <w:marLeft w:val="0"/>
      <w:marRight w:val="0"/>
      <w:marTop w:val="0"/>
      <w:marBottom w:val="0"/>
      <w:divBdr>
        <w:top w:val="none" w:sz="0" w:space="0" w:color="auto"/>
        <w:left w:val="none" w:sz="0" w:space="0" w:color="auto"/>
        <w:bottom w:val="none" w:sz="0" w:space="0" w:color="auto"/>
        <w:right w:val="none" w:sz="0" w:space="0" w:color="auto"/>
      </w:divBdr>
      <w:divsChild>
        <w:div w:id="1737387713">
          <w:marLeft w:val="0"/>
          <w:marRight w:val="0"/>
          <w:marTop w:val="0"/>
          <w:marBottom w:val="0"/>
          <w:divBdr>
            <w:top w:val="none" w:sz="0" w:space="0" w:color="auto"/>
            <w:left w:val="none" w:sz="0" w:space="0" w:color="auto"/>
            <w:bottom w:val="none" w:sz="0" w:space="0" w:color="auto"/>
            <w:right w:val="none" w:sz="0" w:space="0" w:color="auto"/>
          </w:divBdr>
          <w:divsChild>
            <w:div w:id="963079465">
              <w:marLeft w:val="0"/>
              <w:marRight w:val="0"/>
              <w:marTop w:val="0"/>
              <w:marBottom w:val="0"/>
              <w:divBdr>
                <w:top w:val="none" w:sz="0" w:space="0" w:color="auto"/>
                <w:left w:val="none" w:sz="0" w:space="0" w:color="auto"/>
                <w:bottom w:val="none" w:sz="0" w:space="0" w:color="auto"/>
                <w:right w:val="none" w:sz="0" w:space="0" w:color="auto"/>
              </w:divBdr>
              <w:divsChild>
                <w:div w:id="150833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777422">
      <w:bodyDiv w:val="1"/>
      <w:marLeft w:val="0"/>
      <w:marRight w:val="0"/>
      <w:marTop w:val="0"/>
      <w:marBottom w:val="0"/>
      <w:divBdr>
        <w:top w:val="none" w:sz="0" w:space="0" w:color="auto"/>
        <w:left w:val="none" w:sz="0" w:space="0" w:color="auto"/>
        <w:bottom w:val="none" w:sz="0" w:space="0" w:color="auto"/>
        <w:right w:val="none" w:sz="0" w:space="0" w:color="auto"/>
      </w:divBdr>
      <w:divsChild>
        <w:div w:id="1790009534">
          <w:marLeft w:val="0"/>
          <w:marRight w:val="0"/>
          <w:marTop w:val="0"/>
          <w:marBottom w:val="0"/>
          <w:divBdr>
            <w:top w:val="none" w:sz="0" w:space="0" w:color="auto"/>
            <w:left w:val="none" w:sz="0" w:space="0" w:color="auto"/>
            <w:bottom w:val="none" w:sz="0" w:space="0" w:color="auto"/>
            <w:right w:val="none" w:sz="0" w:space="0" w:color="auto"/>
          </w:divBdr>
          <w:divsChild>
            <w:div w:id="769353541">
              <w:marLeft w:val="0"/>
              <w:marRight w:val="0"/>
              <w:marTop w:val="0"/>
              <w:marBottom w:val="0"/>
              <w:divBdr>
                <w:top w:val="none" w:sz="0" w:space="0" w:color="auto"/>
                <w:left w:val="none" w:sz="0" w:space="0" w:color="auto"/>
                <w:bottom w:val="none" w:sz="0" w:space="0" w:color="auto"/>
                <w:right w:val="none" w:sz="0" w:space="0" w:color="auto"/>
              </w:divBdr>
              <w:divsChild>
                <w:div w:id="18633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9867214">
      <w:bodyDiv w:val="1"/>
      <w:marLeft w:val="0"/>
      <w:marRight w:val="0"/>
      <w:marTop w:val="0"/>
      <w:marBottom w:val="0"/>
      <w:divBdr>
        <w:top w:val="none" w:sz="0" w:space="0" w:color="auto"/>
        <w:left w:val="none" w:sz="0" w:space="0" w:color="auto"/>
        <w:bottom w:val="none" w:sz="0" w:space="0" w:color="auto"/>
        <w:right w:val="none" w:sz="0" w:space="0" w:color="auto"/>
      </w:divBdr>
      <w:divsChild>
        <w:div w:id="752433693">
          <w:marLeft w:val="0"/>
          <w:marRight w:val="0"/>
          <w:marTop w:val="0"/>
          <w:marBottom w:val="0"/>
          <w:divBdr>
            <w:top w:val="none" w:sz="0" w:space="0" w:color="auto"/>
            <w:left w:val="none" w:sz="0" w:space="0" w:color="auto"/>
            <w:bottom w:val="none" w:sz="0" w:space="0" w:color="auto"/>
            <w:right w:val="none" w:sz="0" w:space="0" w:color="auto"/>
          </w:divBdr>
          <w:divsChild>
            <w:div w:id="126558632">
              <w:marLeft w:val="0"/>
              <w:marRight w:val="0"/>
              <w:marTop w:val="0"/>
              <w:marBottom w:val="0"/>
              <w:divBdr>
                <w:top w:val="none" w:sz="0" w:space="0" w:color="auto"/>
                <w:left w:val="none" w:sz="0" w:space="0" w:color="auto"/>
                <w:bottom w:val="none" w:sz="0" w:space="0" w:color="auto"/>
                <w:right w:val="none" w:sz="0" w:space="0" w:color="auto"/>
              </w:divBdr>
              <w:divsChild>
                <w:div w:id="74063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733293">
      <w:bodyDiv w:val="1"/>
      <w:marLeft w:val="0"/>
      <w:marRight w:val="0"/>
      <w:marTop w:val="0"/>
      <w:marBottom w:val="0"/>
      <w:divBdr>
        <w:top w:val="none" w:sz="0" w:space="0" w:color="auto"/>
        <w:left w:val="none" w:sz="0" w:space="0" w:color="auto"/>
        <w:bottom w:val="none" w:sz="0" w:space="0" w:color="auto"/>
        <w:right w:val="none" w:sz="0" w:space="0" w:color="auto"/>
      </w:divBdr>
      <w:divsChild>
        <w:div w:id="1782412506">
          <w:marLeft w:val="0"/>
          <w:marRight w:val="0"/>
          <w:marTop w:val="0"/>
          <w:marBottom w:val="0"/>
          <w:divBdr>
            <w:top w:val="none" w:sz="0" w:space="0" w:color="auto"/>
            <w:left w:val="none" w:sz="0" w:space="0" w:color="auto"/>
            <w:bottom w:val="none" w:sz="0" w:space="0" w:color="auto"/>
            <w:right w:val="none" w:sz="0" w:space="0" w:color="auto"/>
          </w:divBdr>
          <w:divsChild>
            <w:div w:id="800881398">
              <w:marLeft w:val="0"/>
              <w:marRight w:val="0"/>
              <w:marTop w:val="0"/>
              <w:marBottom w:val="0"/>
              <w:divBdr>
                <w:top w:val="none" w:sz="0" w:space="0" w:color="auto"/>
                <w:left w:val="none" w:sz="0" w:space="0" w:color="auto"/>
                <w:bottom w:val="none" w:sz="0" w:space="0" w:color="auto"/>
                <w:right w:val="none" w:sz="0" w:space="0" w:color="auto"/>
              </w:divBdr>
              <w:divsChild>
                <w:div w:id="180731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386121">
      <w:bodyDiv w:val="1"/>
      <w:marLeft w:val="0"/>
      <w:marRight w:val="0"/>
      <w:marTop w:val="0"/>
      <w:marBottom w:val="0"/>
      <w:divBdr>
        <w:top w:val="none" w:sz="0" w:space="0" w:color="auto"/>
        <w:left w:val="none" w:sz="0" w:space="0" w:color="auto"/>
        <w:bottom w:val="none" w:sz="0" w:space="0" w:color="auto"/>
        <w:right w:val="none" w:sz="0" w:space="0" w:color="auto"/>
      </w:divBdr>
      <w:divsChild>
        <w:div w:id="1087464555">
          <w:marLeft w:val="0"/>
          <w:marRight w:val="0"/>
          <w:marTop w:val="0"/>
          <w:marBottom w:val="0"/>
          <w:divBdr>
            <w:top w:val="none" w:sz="0" w:space="0" w:color="auto"/>
            <w:left w:val="none" w:sz="0" w:space="0" w:color="auto"/>
            <w:bottom w:val="none" w:sz="0" w:space="0" w:color="auto"/>
            <w:right w:val="none" w:sz="0" w:space="0" w:color="auto"/>
          </w:divBdr>
          <w:divsChild>
            <w:div w:id="2062053559">
              <w:marLeft w:val="0"/>
              <w:marRight w:val="0"/>
              <w:marTop w:val="0"/>
              <w:marBottom w:val="0"/>
              <w:divBdr>
                <w:top w:val="none" w:sz="0" w:space="0" w:color="auto"/>
                <w:left w:val="none" w:sz="0" w:space="0" w:color="auto"/>
                <w:bottom w:val="none" w:sz="0" w:space="0" w:color="auto"/>
                <w:right w:val="none" w:sz="0" w:space="0" w:color="auto"/>
              </w:divBdr>
              <w:divsChild>
                <w:div w:id="91096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447100">
      <w:bodyDiv w:val="1"/>
      <w:marLeft w:val="0"/>
      <w:marRight w:val="0"/>
      <w:marTop w:val="0"/>
      <w:marBottom w:val="0"/>
      <w:divBdr>
        <w:top w:val="none" w:sz="0" w:space="0" w:color="auto"/>
        <w:left w:val="none" w:sz="0" w:space="0" w:color="auto"/>
        <w:bottom w:val="none" w:sz="0" w:space="0" w:color="auto"/>
        <w:right w:val="none" w:sz="0" w:space="0" w:color="auto"/>
      </w:divBdr>
      <w:divsChild>
        <w:div w:id="480538155">
          <w:marLeft w:val="0"/>
          <w:marRight w:val="0"/>
          <w:marTop w:val="0"/>
          <w:marBottom w:val="0"/>
          <w:divBdr>
            <w:top w:val="none" w:sz="0" w:space="0" w:color="auto"/>
            <w:left w:val="none" w:sz="0" w:space="0" w:color="auto"/>
            <w:bottom w:val="none" w:sz="0" w:space="0" w:color="auto"/>
            <w:right w:val="none" w:sz="0" w:space="0" w:color="auto"/>
          </w:divBdr>
          <w:divsChild>
            <w:div w:id="1030497580">
              <w:marLeft w:val="0"/>
              <w:marRight w:val="0"/>
              <w:marTop w:val="0"/>
              <w:marBottom w:val="0"/>
              <w:divBdr>
                <w:top w:val="none" w:sz="0" w:space="0" w:color="auto"/>
                <w:left w:val="none" w:sz="0" w:space="0" w:color="auto"/>
                <w:bottom w:val="none" w:sz="0" w:space="0" w:color="auto"/>
                <w:right w:val="none" w:sz="0" w:space="0" w:color="auto"/>
              </w:divBdr>
              <w:divsChild>
                <w:div w:id="66547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642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footnotes.xml.rels><?xml version="1.0" encoding="UTF-8" standalone="yes"?>
<Relationships xmlns="http://schemas.openxmlformats.org/package/2006/relationships"><Relationship Id="rId3" Type="http://schemas.openxmlformats.org/officeDocument/2006/relationships/hyperlink" Target="https://elpais.com/diario/1992/05/09/internacional/705362420_850215.html" TargetMode="External"/><Relationship Id="rId2" Type="http://schemas.openxmlformats.org/officeDocument/2006/relationships/hyperlink" Target="https://www.corteidh.or.cr/docs/asuntos/habbal_y_otros_18_03_22.pdf" TargetMode="External"/><Relationship Id="rId1" Type="http://schemas.openxmlformats.org/officeDocument/2006/relationships/hyperlink" Target="https://www.corteidh.or.cr/docs/asuntos/habbal_22_02_2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C292EF-586C-41B8-A176-AD890B159B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40</Pages>
  <Words>18939</Words>
  <Characters>104170</Characters>
  <Application>Microsoft Office Word</Application>
  <DocSecurity>0</DocSecurity>
  <Lines>868</Lines>
  <Paragraphs>245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122864</CharactersWithSpaces>
  <SharedDoc>false</SharedDoc>
  <HLinks>
    <vt:vector size="306" baseType="variant">
      <vt:variant>
        <vt:i4>1245234</vt:i4>
      </vt:variant>
      <vt:variant>
        <vt:i4>290</vt:i4>
      </vt:variant>
      <vt:variant>
        <vt:i4>0</vt:i4>
      </vt:variant>
      <vt:variant>
        <vt:i4>5</vt:i4>
      </vt:variant>
      <vt:variant>
        <vt:lpwstr/>
      </vt:variant>
      <vt:variant>
        <vt:lpwstr>_Toc108021956</vt:lpwstr>
      </vt:variant>
      <vt:variant>
        <vt:i4>1245234</vt:i4>
      </vt:variant>
      <vt:variant>
        <vt:i4>284</vt:i4>
      </vt:variant>
      <vt:variant>
        <vt:i4>0</vt:i4>
      </vt:variant>
      <vt:variant>
        <vt:i4>5</vt:i4>
      </vt:variant>
      <vt:variant>
        <vt:lpwstr/>
      </vt:variant>
      <vt:variant>
        <vt:lpwstr>_Toc108021955</vt:lpwstr>
      </vt:variant>
      <vt:variant>
        <vt:i4>1245234</vt:i4>
      </vt:variant>
      <vt:variant>
        <vt:i4>278</vt:i4>
      </vt:variant>
      <vt:variant>
        <vt:i4>0</vt:i4>
      </vt:variant>
      <vt:variant>
        <vt:i4>5</vt:i4>
      </vt:variant>
      <vt:variant>
        <vt:lpwstr/>
      </vt:variant>
      <vt:variant>
        <vt:lpwstr>_Toc108021954</vt:lpwstr>
      </vt:variant>
      <vt:variant>
        <vt:i4>1245234</vt:i4>
      </vt:variant>
      <vt:variant>
        <vt:i4>272</vt:i4>
      </vt:variant>
      <vt:variant>
        <vt:i4>0</vt:i4>
      </vt:variant>
      <vt:variant>
        <vt:i4>5</vt:i4>
      </vt:variant>
      <vt:variant>
        <vt:lpwstr/>
      </vt:variant>
      <vt:variant>
        <vt:lpwstr>_Toc108021953</vt:lpwstr>
      </vt:variant>
      <vt:variant>
        <vt:i4>1245234</vt:i4>
      </vt:variant>
      <vt:variant>
        <vt:i4>266</vt:i4>
      </vt:variant>
      <vt:variant>
        <vt:i4>0</vt:i4>
      </vt:variant>
      <vt:variant>
        <vt:i4>5</vt:i4>
      </vt:variant>
      <vt:variant>
        <vt:lpwstr/>
      </vt:variant>
      <vt:variant>
        <vt:lpwstr>_Toc108021952</vt:lpwstr>
      </vt:variant>
      <vt:variant>
        <vt:i4>1245234</vt:i4>
      </vt:variant>
      <vt:variant>
        <vt:i4>260</vt:i4>
      </vt:variant>
      <vt:variant>
        <vt:i4>0</vt:i4>
      </vt:variant>
      <vt:variant>
        <vt:i4>5</vt:i4>
      </vt:variant>
      <vt:variant>
        <vt:lpwstr/>
      </vt:variant>
      <vt:variant>
        <vt:lpwstr>_Toc108021951</vt:lpwstr>
      </vt:variant>
      <vt:variant>
        <vt:i4>1245234</vt:i4>
      </vt:variant>
      <vt:variant>
        <vt:i4>254</vt:i4>
      </vt:variant>
      <vt:variant>
        <vt:i4>0</vt:i4>
      </vt:variant>
      <vt:variant>
        <vt:i4>5</vt:i4>
      </vt:variant>
      <vt:variant>
        <vt:lpwstr/>
      </vt:variant>
      <vt:variant>
        <vt:lpwstr>_Toc108021950</vt:lpwstr>
      </vt:variant>
      <vt:variant>
        <vt:i4>1179698</vt:i4>
      </vt:variant>
      <vt:variant>
        <vt:i4>248</vt:i4>
      </vt:variant>
      <vt:variant>
        <vt:i4>0</vt:i4>
      </vt:variant>
      <vt:variant>
        <vt:i4>5</vt:i4>
      </vt:variant>
      <vt:variant>
        <vt:lpwstr/>
      </vt:variant>
      <vt:variant>
        <vt:lpwstr>_Toc108021949</vt:lpwstr>
      </vt:variant>
      <vt:variant>
        <vt:i4>1179698</vt:i4>
      </vt:variant>
      <vt:variant>
        <vt:i4>242</vt:i4>
      </vt:variant>
      <vt:variant>
        <vt:i4>0</vt:i4>
      </vt:variant>
      <vt:variant>
        <vt:i4>5</vt:i4>
      </vt:variant>
      <vt:variant>
        <vt:lpwstr/>
      </vt:variant>
      <vt:variant>
        <vt:lpwstr>_Toc108021948</vt:lpwstr>
      </vt:variant>
      <vt:variant>
        <vt:i4>1179698</vt:i4>
      </vt:variant>
      <vt:variant>
        <vt:i4>236</vt:i4>
      </vt:variant>
      <vt:variant>
        <vt:i4>0</vt:i4>
      </vt:variant>
      <vt:variant>
        <vt:i4>5</vt:i4>
      </vt:variant>
      <vt:variant>
        <vt:lpwstr/>
      </vt:variant>
      <vt:variant>
        <vt:lpwstr>_Toc108021947</vt:lpwstr>
      </vt:variant>
      <vt:variant>
        <vt:i4>1179698</vt:i4>
      </vt:variant>
      <vt:variant>
        <vt:i4>230</vt:i4>
      </vt:variant>
      <vt:variant>
        <vt:i4>0</vt:i4>
      </vt:variant>
      <vt:variant>
        <vt:i4>5</vt:i4>
      </vt:variant>
      <vt:variant>
        <vt:lpwstr/>
      </vt:variant>
      <vt:variant>
        <vt:lpwstr>_Toc108021946</vt:lpwstr>
      </vt:variant>
      <vt:variant>
        <vt:i4>1179698</vt:i4>
      </vt:variant>
      <vt:variant>
        <vt:i4>224</vt:i4>
      </vt:variant>
      <vt:variant>
        <vt:i4>0</vt:i4>
      </vt:variant>
      <vt:variant>
        <vt:i4>5</vt:i4>
      </vt:variant>
      <vt:variant>
        <vt:lpwstr/>
      </vt:variant>
      <vt:variant>
        <vt:lpwstr>_Toc108021945</vt:lpwstr>
      </vt:variant>
      <vt:variant>
        <vt:i4>1179698</vt:i4>
      </vt:variant>
      <vt:variant>
        <vt:i4>218</vt:i4>
      </vt:variant>
      <vt:variant>
        <vt:i4>0</vt:i4>
      </vt:variant>
      <vt:variant>
        <vt:i4>5</vt:i4>
      </vt:variant>
      <vt:variant>
        <vt:lpwstr/>
      </vt:variant>
      <vt:variant>
        <vt:lpwstr>_Toc108021944</vt:lpwstr>
      </vt:variant>
      <vt:variant>
        <vt:i4>1179698</vt:i4>
      </vt:variant>
      <vt:variant>
        <vt:i4>212</vt:i4>
      </vt:variant>
      <vt:variant>
        <vt:i4>0</vt:i4>
      </vt:variant>
      <vt:variant>
        <vt:i4>5</vt:i4>
      </vt:variant>
      <vt:variant>
        <vt:lpwstr/>
      </vt:variant>
      <vt:variant>
        <vt:lpwstr>_Toc108021943</vt:lpwstr>
      </vt:variant>
      <vt:variant>
        <vt:i4>1179698</vt:i4>
      </vt:variant>
      <vt:variant>
        <vt:i4>206</vt:i4>
      </vt:variant>
      <vt:variant>
        <vt:i4>0</vt:i4>
      </vt:variant>
      <vt:variant>
        <vt:i4>5</vt:i4>
      </vt:variant>
      <vt:variant>
        <vt:lpwstr/>
      </vt:variant>
      <vt:variant>
        <vt:lpwstr>_Toc108021942</vt:lpwstr>
      </vt:variant>
      <vt:variant>
        <vt:i4>1179698</vt:i4>
      </vt:variant>
      <vt:variant>
        <vt:i4>200</vt:i4>
      </vt:variant>
      <vt:variant>
        <vt:i4>0</vt:i4>
      </vt:variant>
      <vt:variant>
        <vt:i4>5</vt:i4>
      </vt:variant>
      <vt:variant>
        <vt:lpwstr/>
      </vt:variant>
      <vt:variant>
        <vt:lpwstr>_Toc108021941</vt:lpwstr>
      </vt:variant>
      <vt:variant>
        <vt:i4>1179698</vt:i4>
      </vt:variant>
      <vt:variant>
        <vt:i4>194</vt:i4>
      </vt:variant>
      <vt:variant>
        <vt:i4>0</vt:i4>
      </vt:variant>
      <vt:variant>
        <vt:i4>5</vt:i4>
      </vt:variant>
      <vt:variant>
        <vt:lpwstr/>
      </vt:variant>
      <vt:variant>
        <vt:lpwstr>_Toc108021940</vt:lpwstr>
      </vt:variant>
      <vt:variant>
        <vt:i4>1376306</vt:i4>
      </vt:variant>
      <vt:variant>
        <vt:i4>188</vt:i4>
      </vt:variant>
      <vt:variant>
        <vt:i4>0</vt:i4>
      </vt:variant>
      <vt:variant>
        <vt:i4>5</vt:i4>
      </vt:variant>
      <vt:variant>
        <vt:lpwstr/>
      </vt:variant>
      <vt:variant>
        <vt:lpwstr>_Toc108021939</vt:lpwstr>
      </vt:variant>
      <vt:variant>
        <vt:i4>1376306</vt:i4>
      </vt:variant>
      <vt:variant>
        <vt:i4>182</vt:i4>
      </vt:variant>
      <vt:variant>
        <vt:i4>0</vt:i4>
      </vt:variant>
      <vt:variant>
        <vt:i4>5</vt:i4>
      </vt:variant>
      <vt:variant>
        <vt:lpwstr/>
      </vt:variant>
      <vt:variant>
        <vt:lpwstr>_Toc108021938</vt:lpwstr>
      </vt:variant>
      <vt:variant>
        <vt:i4>1376306</vt:i4>
      </vt:variant>
      <vt:variant>
        <vt:i4>176</vt:i4>
      </vt:variant>
      <vt:variant>
        <vt:i4>0</vt:i4>
      </vt:variant>
      <vt:variant>
        <vt:i4>5</vt:i4>
      </vt:variant>
      <vt:variant>
        <vt:lpwstr/>
      </vt:variant>
      <vt:variant>
        <vt:lpwstr>_Toc108021937</vt:lpwstr>
      </vt:variant>
      <vt:variant>
        <vt:i4>1376306</vt:i4>
      </vt:variant>
      <vt:variant>
        <vt:i4>170</vt:i4>
      </vt:variant>
      <vt:variant>
        <vt:i4>0</vt:i4>
      </vt:variant>
      <vt:variant>
        <vt:i4>5</vt:i4>
      </vt:variant>
      <vt:variant>
        <vt:lpwstr/>
      </vt:variant>
      <vt:variant>
        <vt:lpwstr>_Toc108021936</vt:lpwstr>
      </vt:variant>
      <vt:variant>
        <vt:i4>1376306</vt:i4>
      </vt:variant>
      <vt:variant>
        <vt:i4>164</vt:i4>
      </vt:variant>
      <vt:variant>
        <vt:i4>0</vt:i4>
      </vt:variant>
      <vt:variant>
        <vt:i4>5</vt:i4>
      </vt:variant>
      <vt:variant>
        <vt:lpwstr/>
      </vt:variant>
      <vt:variant>
        <vt:lpwstr>_Toc108021935</vt:lpwstr>
      </vt:variant>
      <vt:variant>
        <vt:i4>1376306</vt:i4>
      </vt:variant>
      <vt:variant>
        <vt:i4>158</vt:i4>
      </vt:variant>
      <vt:variant>
        <vt:i4>0</vt:i4>
      </vt:variant>
      <vt:variant>
        <vt:i4>5</vt:i4>
      </vt:variant>
      <vt:variant>
        <vt:lpwstr/>
      </vt:variant>
      <vt:variant>
        <vt:lpwstr>_Toc108021934</vt:lpwstr>
      </vt:variant>
      <vt:variant>
        <vt:i4>1376306</vt:i4>
      </vt:variant>
      <vt:variant>
        <vt:i4>152</vt:i4>
      </vt:variant>
      <vt:variant>
        <vt:i4>0</vt:i4>
      </vt:variant>
      <vt:variant>
        <vt:i4>5</vt:i4>
      </vt:variant>
      <vt:variant>
        <vt:lpwstr/>
      </vt:variant>
      <vt:variant>
        <vt:lpwstr>_Toc108021933</vt:lpwstr>
      </vt:variant>
      <vt:variant>
        <vt:i4>1376306</vt:i4>
      </vt:variant>
      <vt:variant>
        <vt:i4>146</vt:i4>
      </vt:variant>
      <vt:variant>
        <vt:i4>0</vt:i4>
      </vt:variant>
      <vt:variant>
        <vt:i4>5</vt:i4>
      </vt:variant>
      <vt:variant>
        <vt:lpwstr/>
      </vt:variant>
      <vt:variant>
        <vt:lpwstr>_Toc108021932</vt:lpwstr>
      </vt:variant>
      <vt:variant>
        <vt:i4>1376306</vt:i4>
      </vt:variant>
      <vt:variant>
        <vt:i4>140</vt:i4>
      </vt:variant>
      <vt:variant>
        <vt:i4>0</vt:i4>
      </vt:variant>
      <vt:variant>
        <vt:i4>5</vt:i4>
      </vt:variant>
      <vt:variant>
        <vt:lpwstr/>
      </vt:variant>
      <vt:variant>
        <vt:lpwstr>_Toc108021931</vt:lpwstr>
      </vt:variant>
      <vt:variant>
        <vt:i4>1376306</vt:i4>
      </vt:variant>
      <vt:variant>
        <vt:i4>134</vt:i4>
      </vt:variant>
      <vt:variant>
        <vt:i4>0</vt:i4>
      </vt:variant>
      <vt:variant>
        <vt:i4>5</vt:i4>
      </vt:variant>
      <vt:variant>
        <vt:lpwstr/>
      </vt:variant>
      <vt:variant>
        <vt:lpwstr>_Toc108021930</vt:lpwstr>
      </vt:variant>
      <vt:variant>
        <vt:i4>1310770</vt:i4>
      </vt:variant>
      <vt:variant>
        <vt:i4>128</vt:i4>
      </vt:variant>
      <vt:variant>
        <vt:i4>0</vt:i4>
      </vt:variant>
      <vt:variant>
        <vt:i4>5</vt:i4>
      </vt:variant>
      <vt:variant>
        <vt:lpwstr/>
      </vt:variant>
      <vt:variant>
        <vt:lpwstr>_Toc108021929</vt:lpwstr>
      </vt:variant>
      <vt:variant>
        <vt:i4>1310770</vt:i4>
      </vt:variant>
      <vt:variant>
        <vt:i4>122</vt:i4>
      </vt:variant>
      <vt:variant>
        <vt:i4>0</vt:i4>
      </vt:variant>
      <vt:variant>
        <vt:i4>5</vt:i4>
      </vt:variant>
      <vt:variant>
        <vt:lpwstr/>
      </vt:variant>
      <vt:variant>
        <vt:lpwstr>_Toc108021928</vt:lpwstr>
      </vt:variant>
      <vt:variant>
        <vt:i4>1310770</vt:i4>
      </vt:variant>
      <vt:variant>
        <vt:i4>116</vt:i4>
      </vt:variant>
      <vt:variant>
        <vt:i4>0</vt:i4>
      </vt:variant>
      <vt:variant>
        <vt:i4>5</vt:i4>
      </vt:variant>
      <vt:variant>
        <vt:lpwstr/>
      </vt:variant>
      <vt:variant>
        <vt:lpwstr>_Toc108021927</vt:lpwstr>
      </vt:variant>
      <vt:variant>
        <vt:i4>1310770</vt:i4>
      </vt:variant>
      <vt:variant>
        <vt:i4>110</vt:i4>
      </vt:variant>
      <vt:variant>
        <vt:i4>0</vt:i4>
      </vt:variant>
      <vt:variant>
        <vt:i4>5</vt:i4>
      </vt:variant>
      <vt:variant>
        <vt:lpwstr/>
      </vt:variant>
      <vt:variant>
        <vt:lpwstr>_Toc108021926</vt:lpwstr>
      </vt:variant>
      <vt:variant>
        <vt:i4>1310770</vt:i4>
      </vt:variant>
      <vt:variant>
        <vt:i4>104</vt:i4>
      </vt:variant>
      <vt:variant>
        <vt:i4>0</vt:i4>
      </vt:variant>
      <vt:variant>
        <vt:i4>5</vt:i4>
      </vt:variant>
      <vt:variant>
        <vt:lpwstr/>
      </vt:variant>
      <vt:variant>
        <vt:lpwstr>_Toc108021925</vt:lpwstr>
      </vt:variant>
      <vt:variant>
        <vt:i4>1310770</vt:i4>
      </vt:variant>
      <vt:variant>
        <vt:i4>98</vt:i4>
      </vt:variant>
      <vt:variant>
        <vt:i4>0</vt:i4>
      </vt:variant>
      <vt:variant>
        <vt:i4>5</vt:i4>
      </vt:variant>
      <vt:variant>
        <vt:lpwstr/>
      </vt:variant>
      <vt:variant>
        <vt:lpwstr>_Toc108021924</vt:lpwstr>
      </vt:variant>
      <vt:variant>
        <vt:i4>1310770</vt:i4>
      </vt:variant>
      <vt:variant>
        <vt:i4>92</vt:i4>
      </vt:variant>
      <vt:variant>
        <vt:i4>0</vt:i4>
      </vt:variant>
      <vt:variant>
        <vt:i4>5</vt:i4>
      </vt:variant>
      <vt:variant>
        <vt:lpwstr/>
      </vt:variant>
      <vt:variant>
        <vt:lpwstr>_Toc108021923</vt:lpwstr>
      </vt:variant>
      <vt:variant>
        <vt:i4>1310770</vt:i4>
      </vt:variant>
      <vt:variant>
        <vt:i4>86</vt:i4>
      </vt:variant>
      <vt:variant>
        <vt:i4>0</vt:i4>
      </vt:variant>
      <vt:variant>
        <vt:i4>5</vt:i4>
      </vt:variant>
      <vt:variant>
        <vt:lpwstr/>
      </vt:variant>
      <vt:variant>
        <vt:lpwstr>_Toc108021922</vt:lpwstr>
      </vt:variant>
      <vt:variant>
        <vt:i4>1310770</vt:i4>
      </vt:variant>
      <vt:variant>
        <vt:i4>80</vt:i4>
      </vt:variant>
      <vt:variant>
        <vt:i4>0</vt:i4>
      </vt:variant>
      <vt:variant>
        <vt:i4>5</vt:i4>
      </vt:variant>
      <vt:variant>
        <vt:lpwstr/>
      </vt:variant>
      <vt:variant>
        <vt:lpwstr>_Toc108021921</vt:lpwstr>
      </vt:variant>
      <vt:variant>
        <vt:i4>1310770</vt:i4>
      </vt:variant>
      <vt:variant>
        <vt:i4>74</vt:i4>
      </vt:variant>
      <vt:variant>
        <vt:i4>0</vt:i4>
      </vt:variant>
      <vt:variant>
        <vt:i4>5</vt:i4>
      </vt:variant>
      <vt:variant>
        <vt:lpwstr/>
      </vt:variant>
      <vt:variant>
        <vt:lpwstr>_Toc108021920</vt:lpwstr>
      </vt:variant>
      <vt:variant>
        <vt:i4>1507378</vt:i4>
      </vt:variant>
      <vt:variant>
        <vt:i4>68</vt:i4>
      </vt:variant>
      <vt:variant>
        <vt:i4>0</vt:i4>
      </vt:variant>
      <vt:variant>
        <vt:i4>5</vt:i4>
      </vt:variant>
      <vt:variant>
        <vt:lpwstr/>
      </vt:variant>
      <vt:variant>
        <vt:lpwstr>_Toc108021919</vt:lpwstr>
      </vt:variant>
      <vt:variant>
        <vt:i4>1507378</vt:i4>
      </vt:variant>
      <vt:variant>
        <vt:i4>62</vt:i4>
      </vt:variant>
      <vt:variant>
        <vt:i4>0</vt:i4>
      </vt:variant>
      <vt:variant>
        <vt:i4>5</vt:i4>
      </vt:variant>
      <vt:variant>
        <vt:lpwstr/>
      </vt:variant>
      <vt:variant>
        <vt:lpwstr>_Toc108021918</vt:lpwstr>
      </vt:variant>
      <vt:variant>
        <vt:i4>1507378</vt:i4>
      </vt:variant>
      <vt:variant>
        <vt:i4>56</vt:i4>
      </vt:variant>
      <vt:variant>
        <vt:i4>0</vt:i4>
      </vt:variant>
      <vt:variant>
        <vt:i4>5</vt:i4>
      </vt:variant>
      <vt:variant>
        <vt:lpwstr/>
      </vt:variant>
      <vt:variant>
        <vt:lpwstr>_Toc108021917</vt:lpwstr>
      </vt:variant>
      <vt:variant>
        <vt:i4>1507378</vt:i4>
      </vt:variant>
      <vt:variant>
        <vt:i4>50</vt:i4>
      </vt:variant>
      <vt:variant>
        <vt:i4>0</vt:i4>
      </vt:variant>
      <vt:variant>
        <vt:i4>5</vt:i4>
      </vt:variant>
      <vt:variant>
        <vt:lpwstr/>
      </vt:variant>
      <vt:variant>
        <vt:lpwstr>_Toc108021916</vt:lpwstr>
      </vt:variant>
      <vt:variant>
        <vt:i4>1507378</vt:i4>
      </vt:variant>
      <vt:variant>
        <vt:i4>44</vt:i4>
      </vt:variant>
      <vt:variant>
        <vt:i4>0</vt:i4>
      </vt:variant>
      <vt:variant>
        <vt:i4>5</vt:i4>
      </vt:variant>
      <vt:variant>
        <vt:lpwstr/>
      </vt:variant>
      <vt:variant>
        <vt:lpwstr>_Toc108021915</vt:lpwstr>
      </vt:variant>
      <vt:variant>
        <vt:i4>1507378</vt:i4>
      </vt:variant>
      <vt:variant>
        <vt:i4>38</vt:i4>
      </vt:variant>
      <vt:variant>
        <vt:i4>0</vt:i4>
      </vt:variant>
      <vt:variant>
        <vt:i4>5</vt:i4>
      </vt:variant>
      <vt:variant>
        <vt:lpwstr/>
      </vt:variant>
      <vt:variant>
        <vt:lpwstr>_Toc108021914</vt:lpwstr>
      </vt:variant>
      <vt:variant>
        <vt:i4>1507378</vt:i4>
      </vt:variant>
      <vt:variant>
        <vt:i4>32</vt:i4>
      </vt:variant>
      <vt:variant>
        <vt:i4>0</vt:i4>
      </vt:variant>
      <vt:variant>
        <vt:i4>5</vt:i4>
      </vt:variant>
      <vt:variant>
        <vt:lpwstr/>
      </vt:variant>
      <vt:variant>
        <vt:lpwstr>_Toc108021913</vt:lpwstr>
      </vt:variant>
      <vt:variant>
        <vt:i4>1507378</vt:i4>
      </vt:variant>
      <vt:variant>
        <vt:i4>26</vt:i4>
      </vt:variant>
      <vt:variant>
        <vt:i4>0</vt:i4>
      </vt:variant>
      <vt:variant>
        <vt:i4>5</vt:i4>
      </vt:variant>
      <vt:variant>
        <vt:lpwstr/>
      </vt:variant>
      <vt:variant>
        <vt:lpwstr>_Toc108021912</vt:lpwstr>
      </vt:variant>
      <vt:variant>
        <vt:i4>1507378</vt:i4>
      </vt:variant>
      <vt:variant>
        <vt:i4>20</vt:i4>
      </vt:variant>
      <vt:variant>
        <vt:i4>0</vt:i4>
      </vt:variant>
      <vt:variant>
        <vt:i4>5</vt:i4>
      </vt:variant>
      <vt:variant>
        <vt:lpwstr/>
      </vt:variant>
      <vt:variant>
        <vt:lpwstr>_Toc108021911</vt:lpwstr>
      </vt:variant>
      <vt:variant>
        <vt:i4>1507378</vt:i4>
      </vt:variant>
      <vt:variant>
        <vt:i4>14</vt:i4>
      </vt:variant>
      <vt:variant>
        <vt:i4>0</vt:i4>
      </vt:variant>
      <vt:variant>
        <vt:i4>5</vt:i4>
      </vt:variant>
      <vt:variant>
        <vt:lpwstr/>
      </vt:variant>
      <vt:variant>
        <vt:lpwstr>_Toc108021910</vt:lpwstr>
      </vt:variant>
      <vt:variant>
        <vt:i4>1441842</vt:i4>
      </vt:variant>
      <vt:variant>
        <vt:i4>8</vt:i4>
      </vt:variant>
      <vt:variant>
        <vt:i4>0</vt:i4>
      </vt:variant>
      <vt:variant>
        <vt:i4>5</vt:i4>
      </vt:variant>
      <vt:variant>
        <vt:lpwstr/>
      </vt:variant>
      <vt:variant>
        <vt:lpwstr>_Toc108021909</vt:lpwstr>
      </vt:variant>
      <vt:variant>
        <vt:i4>1441842</vt:i4>
      </vt:variant>
      <vt:variant>
        <vt:i4>2</vt:i4>
      </vt:variant>
      <vt:variant>
        <vt:i4>0</vt:i4>
      </vt:variant>
      <vt:variant>
        <vt:i4>5</vt:i4>
      </vt:variant>
      <vt:variant>
        <vt:lpwstr/>
      </vt:variant>
      <vt:variant>
        <vt:lpwstr>_Toc108021908</vt:lpwstr>
      </vt:variant>
      <vt:variant>
        <vt:i4>4784245</vt:i4>
      </vt:variant>
      <vt:variant>
        <vt:i4>3</vt:i4>
      </vt:variant>
      <vt:variant>
        <vt:i4>0</vt:i4>
      </vt:variant>
      <vt:variant>
        <vt:i4>5</vt:i4>
      </vt:variant>
      <vt:variant>
        <vt:lpwstr>https://www.corteidh.or.cr/docs/asuntos/habbal_y_otros_18_03_22.pdf</vt:lpwstr>
      </vt:variant>
      <vt:variant>
        <vt:lpwstr/>
      </vt:variant>
      <vt:variant>
        <vt:i4>6029412</vt:i4>
      </vt:variant>
      <vt:variant>
        <vt:i4>0</vt:i4>
      </vt:variant>
      <vt:variant>
        <vt:i4>0</vt:i4>
      </vt:variant>
      <vt:variant>
        <vt:i4>5</vt:i4>
      </vt:variant>
      <vt:variant>
        <vt:lpwstr>https://www.corteidh.or.cr/docs/asuntos/habbal_22_02_22.pdf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Corte IDH</dc:creator>
  <cp:keywords/>
  <dc:description/>
  <cp:lastModifiedBy>Francella Hernandez</cp:lastModifiedBy>
  <cp:revision>9</cp:revision>
  <cp:lastPrinted>2023-02-07T19:27:00Z</cp:lastPrinted>
  <dcterms:created xsi:type="dcterms:W3CDTF">2022-10-03T22:55:00Z</dcterms:created>
  <dcterms:modified xsi:type="dcterms:W3CDTF">2023-02-07T19:27:00Z</dcterms:modified>
</cp:coreProperties>
</file>