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668A6" w14:textId="7D4A6D5F" w:rsidR="00E249EB" w:rsidRDefault="00E249EB" w:rsidP="00E249EB">
      <w:pPr>
        <w:spacing w:before="360" w:after="360"/>
        <w:ind w:left="708" w:right="-4" w:hanging="708"/>
        <w:jc w:val="center"/>
        <w:rPr>
          <w:rFonts w:ascii="Verdana" w:eastAsia="MS Mincho" w:hAnsi="Verdana"/>
          <w:color w:val="FF0000"/>
          <w:lang w:val="es-ES"/>
        </w:rPr>
      </w:pPr>
    </w:p>
    <w:p w14:paraId="4F17AF33" w14:textId="3A85F45B" w:rsidR="00E249EB" w:rsidRPr="002E3990" w:rsidRDefault="002E5D49" w:rsidP="00246053">
      <w:pPr>
        <w:ind w:left="720"/>
        <w:rPr>
          <w:rFonts w:eastAsia="MS Mincho"/>
          <w:lang w:val="es-ES"/>
        </w:rPr>
      </w:pPr>
      <w:r w:rsidRPr="002E3990">
        <w:rPr>
          <w:rFonts w:eastAsia="MS Mincho"/>
          <w:lang w:val="es-ES"/>
        </w:rPr>
        <w:t xml:space="preserve"> </w:t>
      </w:r>
    </w:p>
    <w:p w14:paraId="2E80F7C3" w14:textId="66F112B5" w:rsidR="00C10DAE" w:rsidRPr="00685917" w:rsidRDefault="00C10DAE" w:rsidP="00685917">
      <w:pPr>
        <w:spacing w:before="360" w:after="360"/>
        <w:ind w:left="-142" w:right="-4"/>
        <w:jc w:val="center"/>
        <w:rPr>
          <w:rFonts w:ascii="Verdana" w:eastAsia="MS Mincho" w:hAnsi="Verdana"/>
          <w:b/>
          <w:bCs/>
          <w:lang w:val="es-ES"/>
        </w:rPr>
      </w:pPr>
      <w:r w:rsidRPr="00685917">
        <w:rPr>
          <w:rFonts w:ascii="Verdana" w:eastAsia="MS Mincho" w:hAnsi="Verdana"/>
          <w:b/>
          <w:bCs/>
          <w:lang w:val="es-ES"/>
        </w:rPr>
        <w:t>CORTE INTERAMERICANA DE DERECHOS HUMANOS</w:t>
      </w:r>
    </w:p>
    <w:p w14:paraId="24ADB88D" w14:textId="54A9A095" w:rsidR="00C10DAE" w:rsidRPr="00685917" w:rsidRDefault="006B794F" w:rsidP="00685917">
      <w:pPr>
        <w:spacing w:before="360" w:after="360"/>
        <w:jc w:val="center"/>
        <w:rPr>
          <w:rFonts w:ascii="Verdana" w:hAnsi="Verdana"/>
          <w:b/>
          <w:bCs/>
          <w:i/>
          <w:smallCaps/>
          <w:lang w:val="es-ES" w:eastAsia="es-ES"/>
        </w:rPr>
      </w:pPr>
      <w:r w:rsidRPr="00685917">
        <w:rPr>
          <w:rFonts w:ascii="Verdana" w:hAnsi="Verdana" w:cs="Verdana Bold"/>
          <w:b/>
          <w:bCs/>
          <w:i/>
          <w:caps/>
          <w:lang w:val="es-ES"/>
        </w:rPr>
        <w:t>Caso Flores Bedregal</w:t>
      </w:r>
      <w:r w:rsidR="00C10DAE" w:rsidRPr="00685917">
        <w:rPr>
          <w:rFonts w:ascii="Verdana" w:hAnsi="Verdana" w:cs="Verdana Bold"/>
          <w:b/>
          <w:bCs/>
          <w:i/>
          <w:caps/>
          <w:lang w:val="es-ES"/>
        </w:rPr>
        <w:t xml:space="preserve"> </w:t>
      </w:r>
      <w:r w:rsidR="00053295" w:rsidRPr="00685917">
        <w:rPr>
          <w:rFonts w:ascii="Verdana" w:hAnsi="Verdana" w:cs="Verdana Bold"/>
          <w:b/>
          <w:bCs/>
          <w:i/>
          <w:caps/>
          <w:lang w:val="es-ES"/>
        </w:rPr>
        <w:t xml:space="preserve">y otras </w:t>
      </w:r>
      <w:r w:rsidR="00C10DAE" w:rsidRPr="00685917">
        <w:rPr>
          <w:rFonts w:ascii="Verdana" w:hAnsi="Verdana" w:cs="Verdana Bold"/>
          <w:b/>
          <w:bCs/>
          <w:i/>
          <w:caps/>
          <w:lang w:val="es-ES"/>
        </w:rPr>
        <w:t>VS. bolivia</w:t>
      </w:r>
    </w:p>
    <w:p w14:paraId="378DC25A" w14:textId="0ADA077B" w:rsidR="00C10DAE" w:rsidRPr="00685917" w:rsidRDefault="00C10DAE" w:rsidP="00685917">
      <w:pPr>
        <w:spacing w:before="360" w:after="360"/>
        <w:ind w:left="-142" w:right="-4"/>
        <w:jc w:val="center"/>
        <w:rPr>
          <w:rFonts w:ascii="Verdana" w:eastAsia="MS Mincho" w:hAnsi="Verdana"/>
          <w:b/>
          <w:bCs/>
          <w:lang w:val="es-ES"/>
        </w:rPr>
      </w:pPr>
      <w:r w:rsidRPr="00685917">
        <w:rPr>
          <w:rFonts w:ascii="Verdana" w:eastAsia="MS Mincho" w:hAnsi="Verdana"/>
          <w:b/>
          <w:bCs/>
          <w:lang w:val="es-ES"/>
        </w:rPr>
        <w:t xml:space="preserve">SENTENCIA DE </w:t>
      </w:r>
      <w:r w:rsidR="00526280">
        <w:rPr>
          <w:rFonts w:ascii="Verdana" w:eastAsia="MS Mincho" w:hAnsi="Verdana"/>
          <w:b/>
          <w:bCs/>
          <w:lang w:val="es-ES"/>
        </w:rPr>
        <w:t>17</w:t>
      </w:r>
      <w:r w:rsidRPr="00685917">
        <w:rPr>
          <w:rFonts w:ascii="Verdana" w:eastAsia="MS Mincho" w:hAnsi="Verdana"/>
          <w:b/>
          <w:bCs/>
          <w:lang w:val="es-ES"/>
        </w:rPr>
        <w:t xml:space="preserve"> DE </w:t>
      </w:r>
      <w:r w:rsidR="008464EA">
        <w:rPr>
          <w:rFonts w:ascii="Verdana" w:eastAsia="MS Mincho" w:hAnsi="Verdana"/>
          <w:b/>
          <w:bCs/>
          <w:lang w:val="es-ES"/>
        </w:rPr>
        <w:t>OCTU</w:t>
      </w:r>
      <w:r w:rsidR="001D3579" w:rsidRPr="00685917">
        <w:rPr>
          <w:rFonts w:ascii="Verdana" w:eastAsia="MS Mincho" w:hAnsi="Verdana"/>
          <w:b/>
          <w:bCs/>
          <w:lang w:val="es-ES"/>
        </w:rPr>
        <w:t>BRE</w:t>
      </w:r>
      <w:r w:rsidR="006B794F" w:rsidRPr="00685917">
        <w:rPr>
          <w:rFonts w:ascii="Verdana" w:eastAsia="MS Mincho" w:hAnsi="Verdana"/>
          <w:b/>
          <w:bCs/>
          <w:lang w:val="es-ES"/>
        </w:rPr>
        <w:t xml:space="preserve"> </w:t>
      </w:r>
      <w:r w:rsidR="002027EA" w:rsidRPr="00685917">
        <w:rPr>
          <w:rFonts w:ascii="Verdana" w:eastAsia="MS Mincho" w:hAnsi="Verdana"/>
          <w:b/>
          <w:bCs/>
          <w:lang w:val="es-ES"/>
        </w:rPr>
        <w:t xml:space="preserve">DE </w:t>
      </w:r>
      <w:r w:rsidR="005258E9" w:rsidRPr="00685917">
        <w:rPr>
          <w:rFonts w:ascii="Verdana" w:eastAsia="MS Mincho" w:hAnsi="Verdana"/>
          <w:b/>
          <w:bCs/>
          <w:lang w:val="es-ES"/>
        </w:rPr>
        <w:t>202</w:t>
      </w:r>
      <w:r w:rsidR="00A417FE" w:rsidRPr="00685917">
        <w:rPr>
          <w:rFonts w:ascii="Verdana" w:eastAsia="MS Mincho" w:hAnsi="Verdana"/>
          <w:b/>
          <w:bCs/>
          <w:lang w:val="es-ES"/>
        </w:rPr>
        <w:t>2</w:t>
      </w:r>
    </w:p>
    <w:p w14:paraId="5465DB53" w14:textId="3784675E" w:rsidR="00C10DAE" w:rsidRPr="00BE48C7" w:rsidRDefault="00C10DAE" w:rsidP="00685917">
      <w:pPr>
        <w:spacing w:before="360" w:after="360"/>
        <w:ind w:left="-142" w:right="-4"/>
        <w:jc w:val="center"/>
        <w:rPr>
          <w:rFonts w:ascii="Verdana" w:hAnsi="Verdana"/>
          <w:b/>
          <w:bCs/>
          <w:i/>
          <w:iCs/>
          <w:lang w:val="es-ES"/>
        </w:rPr>
      </w:pPr>
      <w:r w:rsidRPr="00BE48C7">
        <w:rPr>
          <w:rFonts w:ascii="Verdana" w:hAnsi="Verdana"/>
          <w:b/>
          <w:bCs/>
          <w:i/>
          <w:iCs/>
          <w:lang w:val="es-ES"/>
        </w:rPr>
        <w:t>(</w:t>
      </w:r>
      <w:r w:rsidR="006B794F" w:rsidRPr="00BE48C7">
        <w:rPr>
          <w:rFonts w:ascii="Verdana" w:hAnsi="Verdana"/>
          <w:b/>
          <w:bCs/>
          <w:i/>
          <w:iCs/>
          <w:lang w:val="es-ES"/>
        </w:rPr>
        <w:t xml:space="preserve">Excepciones </w:t>
      </w:r>
      <w:r w:rsidR="00552A9E" w:rsidRPr="00BE48C7">
        <w:rPr>
          <w:rFonts w:ascii="Verdana" w:hAnsi="Verdana"/>
          <w:b/>
          <w:bCs/>
          <w:i/>
          <w:iCs/>
          <w:lang w:val="es-ES"/>
        </w:rPr>
        <w:t>P</w:t>
      </w:r>
      <w:r w:rsidR="006B794F" w:rsidRPr="00BE48C7">
        <w:rPr>
          <w:rFonts w:ascii="Verdana" w:hAnsi="Verdana"/>
          <w:b/>
          <w:bCs/>
          <w:i/>
          <w:iCs/>
          <w:lang w:val="es-ES"/>
        </w:rPr>
        <w:t xml:space="preserve">reliminares, </w:t>
      </w:r>
      <w:r w:rsidRPr="00BE48C7">
        <w:rPr>
          <w:rFonts w:ascii="Verdana" w:hAnsi="Verdana"/>
          <w:b/>
          <w:bCs/>
          <w:i/>
          <w:iCs/>
          <w:lang w:val="es-ES"/>
        </w:rPr>
        <w:t>Fondo, Reparaciones y Costas)</w:t>
      </w:r>
    </w:p>
    <w:p w14:paraId="629BD6D1" w14:textId="0A97063A" w:rsidR="00C10DAE" w:rsidRPr="00BD18C2" w:rsidRDefault="00C10DAE" w:rsidP="00BD18C2">
      <w:pPr>
        <w:rPr>
          <w:rFonts w:ascii="Verdana" w:hAnsi="Verdana"/>
          <w:i/>
          <w:lang w:val="es-ES"/>
        </w:rPr>
      </w:pPr>
      <w:r w:rsidRPr="00BD18C2">
        <w:rPr>
          <w:rFonts w:ascii="Verdana" w:hAnsi="Verdana"/>
          <w:lang w:val="es-ES"/>
        </w:rPr>
        <w:t xml:space="preserve">En el </w:t>
      </w:r>
      <w:r w:rsidR="006B794F" w:rsidRPr="00BD18C2">
        <w:rPr>
          <w:rFonts w:ascii="Verdana" w:hAnsi="Verdana"/>
          <w:i/>
          <w:lang w:val="es-ES"/>
        </w:rPr>
        <w:t>Caso Flores Bedregal</w:t>
      </w:r>
      <w:r w:rsidR="00053295" w:rsidRPr="00BD18C2">
        <w:rPr>
          <w:rFonts w:ascii="Verdana" w:hAnsi="Verdana"/>
          <w:i/>
          <w:lang w:val="es-ES"/>
        </w:rPr>
        <w:t xml:space="preserve"> y Otras</w:t>
      </w:r>
      <w:r w:rsidR="003E3FC4" w:rsidRPr="00BD18C2">
        <w:rPr>
          <w:rFonts w:ascii="Verdana" w:hAnsi="Verdana"/>
          <w:i/>
          <w:lang w:val="es-ES"/>
        </w:rPr>
        <w:t xml:space="preserve"> Vs. </w:t>
      </w:r>
      <w:r w:rsidR="00170716" w:rsidRPr="00BD18C2">
        <w:rPr>
          <w:rFonts w:ascii="Verdana" w:hAnsi="Verdana"/>
          <w:i/>
          <w:lang w:val="es-ES"/>
        </w:rPr>
        <w:t>Bolivia</w:t>
      </w:r>
      <w:r w:rsidRPr="00BD18C2">
        <w:rPr>
          <w:rFonts w:ascii="Verdana" w:hAnsi="Verdana"/>
          <w:i/>
          <w:lang w:val="es-ES"/>
        </w:rPr>
        <w:t>,</w:t>
      </w:r>
    </w:p>
    <w:p w14:paraId="0F8CFDB3" w14:textId="77777777" w:rsidR="00C10DAE" w:rsidRPr="00685917" w:rsidRDefault="00C10DAE" w:rsidP="00685917">
      <w:pPr>
        <w:jc w:val="center"/>
        <w:rPr>
          <w:rFonts w:ascii="Verdana" w:hAnsi="Verdana"/>
          <w:i/>
          <w:lang w:val="es-ES"/>
        </w:rPr>
      </w:pPr>
    </w:p>
    <w:p w14:paraId="2EED737A" w14:textId="77777777" w:rsidR="00C10DAE" w:rsidRPr="00685917" w:rsidRDefault="00C10DAE" w:rsidP="00685917">
      <w:pPr>
        <w:ind w:right="-4"/>
        <w:jc w:val="both"/>
        <w:rPr>
          <w:rFonts w:ascii="Verdana" w:hAnsi="Verdana"/>
          <w:lang w:val="es-ES"/>
        </w:rPr>
      </w:pPr>
      <w:r w:rsidRPr="00685917">
        <w:rPr>
          <w:rFonts w:ascii="Verdana" w:hAnsi="Verdana"/>
          <w:lang w:val="es-ES"/>
        </w:rPr>
        <w:t>la Corte Interamericana de Derechos Humanos (en adelante “la Corte Interamericana”, “la Corte” o “el Tribunal”), integrada por los siguientes Jueces:</w:t>
      </w:r>
    </w:p>
    <w:p w14:paraId="6673D2AE" w14:textId="77777777" w:rsidR="00C10DAE" w:rsidRPr="00685917" w:rsidRDefault="00C10DAE" w:rsidP="00685917">
      <w:pPr>
        <w:ind w:right="-4"/>
        <w:jc w:val="both"/>
        <w:rPr>
          <w:rFonts w:ascii="Verdana" w:hAnsi="Verdana"/>
          <w:lang w:val="es-ES"/>
        </w:rPr>
      </w:pPr>
    </w:p>
    <w:p w14:paraId="0466425E" w14:textId="7A6ECB1C" w:rsidR="00C10DAE" w:rsidRPr="00685917" w:rsidRDefault="004C7D74" w:rsidP="00685917">
      <w:pPr>
        <w:ind w:left="709" w:right="-6"/>
        <w:jc w:val="both"/>
        <w:rPr>
          <w:rFonts w:ascii="Verdana" w:hAnsi="Verdana"/>
          <w:lang w:val="es-ES"/>
        </w:rPr>
      </w:pPr>
      <w:r w:rsidRPr="00685917">
        <w:rPr>
          <w:rFonts w:ascii="Verdana" w:hAnsi="Verdana"/>
          <w:lang w:val="es-ES"/>
        </w:rPr>
        <w:t xml:space="preserve">Ricardo </w:t>
      </w:r>
      <w:r w:rsidR="0097073C" w:rsidRPr="00685917">
        <w:rPr>
          <w:rFonts w:ascii="Verdana" w:hAnsi="Verdana"/>
          <w:lang w:val="es-ES"/>
        </w:rPr>
        <w:t xml:space="preserve">C. </w:t>
      </w:r>
      <w:r w:rsidRPr="00685917">
        <w:rPr>
          <w:rFonts w:ascii="Verdana" w:hAnsi="Verdana"/>
          <w:lang w:val="es-ES"/>
        </w:rPr>
        <w:t>Pérez Manrique, Presidente;</w:t>
      </w:r>
    </w:p>
    <w:p w14:paraId="620CCBDD" w14:textId="77777777" w:rsidR="005258E9" w:rsidRPr="00685917" w:rsidRDefault="005258E9" w:rsidP="00685917">
      <w:pPr>
        <w:ind w:left="709" w:right="-6"/>
        <w:jc w:val="both"/>
        <w:rPr>
          <w:rFonts w:ascii="Verdana" w:hAnsi="Verdana"/>
          <w:lang w:val="es-ES"/>
        </w:rPr>
      </w:pPr>
      <w:r w:rsidRPr="00685917">
        <w:rPr>
          <w:rFonts w:ascii="Verdana" w:hAnsi="Verdana"/>
          <w:lang w:val="es-ES"/>
        </w:rPr>
        <w:t xml:space="preserve">Humberto Antonio </w:t>
      </w:r>
      <w:r w:rsidR="004C7D74" w:rsidRPr="00685917">
        <w:rPr>
          <w:rFonts w:ascii="Verdana" w:hAnsi="Verdana"/>
          <w:lang w:val="es-ES"/>
        </w:rPr>
        <w:t>Sierra Porte, Vicepresidente;</w:t>
      </w:r>
    </w:p>
    <w:p w14:paraId="1FF5D493" w14:textId="77777777" w:rsidR="004C7D74" w:rsidRPr="00685917" w:rsidRDefault="004C7D74" w:rsidP="00685917">
      <w:pPr>
        <w:ind w:left="709" w:right="-6"/>
        <w:jc w:val="both"/>
        <w:rPr>
          <w:rFonts w:ascii="Verdana" w:hAnsi="Verdana"/>
          <w:lang w:val="es-ES"/>
        </w:rPr>
      </w:pPr>
      <w:r w:rsidRPr="00685917">
        <w:rPr>
          <w:rFonts w:ascii="Verdana" w:hAnsi="Verdana"/>
          <w:lang w:val="es-ES"/>
        </w:rPr>
        <w:t>Eduardo Ferrer Mac-Gregor Poisot, Juez;</w:t>
      </w:r>
    </w:p>
    <w:p w14:paraId="34E8C579" w14:textId="77777777" w:rsidR="004C7D74" w:rsidRPr="00685917" w:rsidRDefault="004C7D74" w:rsidP="00685917">
      <w:pPr>
        <w:ind w:left="709" w:right="-6"/>
        <w:jc w:val="both"/>
        <w:rPr>
          <w:rFonts w:ascii="Verdana" w:hAnsi="Verdana"/>
          <w:lang w:val="es-ES"/>
        </w:rPr>
      </w:pPr>
      <w:r w:rsidRPr="00685917">
        <w:rPr>
          <w:rFonts w:ascii="Verdana" w:hAnsi="Verdana"/>
          <w:lang w:val="es-ES"/>
        </w:rPr>
        <w:t>Nancy Hernández López, Jueza;</w:t>
      </w:r>
    </w:p>
    <w:p w14:paraId="60EC8407" w14:textId="77777777" w:rsidR="004C7D74" w:rsidRPr="00685917" w:rsidRDefault="004C7D74" w:rsidP="00685917">
      <w:pPr>
        <w:ind w:left="709" w:right="-6"/>
        <w:jc w:val="both"/>
        <w:rPr>
          <w:rFonts w:ascii="Verdana" w:hAnsi="Verdana"/>
          <w:lang w:val="es-ES"/>
        </w:rPr>
      </w:pPr>
      <w:r w:rsidRPr="00685917">
        <w:rPr>
          <w:rFonts w:ascii="Verdana" w:hAnsi="Verdana"/>
          <w:lang w:val="es-ES"/>
        </w:rPr>
        <w:t>Verónica Gómez, Jueza;</w:t>
      </w:r>
    </w:p>
    <w:p w14:paraId="6C91EEE9" w14:textId="37AAA6FB" w:rsidR="004C7D74" w:rsidRPr="00685917" w:rsidRDefault="004C7D74" w:rsidP="00685917">
      <w:pPr>
        <w:ind w:left="709" w:right="-6"/>
        <w:jc w:val="both"/>
        <w:rPr>
          <w:rFonts w:ascii="Verdana" w:hAnsi="Verdana"/>
          <w:lang w:val="es-ES"/>
        </w:rPr>
      </w:pPr>
      <w:r w:rsidRPr="00685917">
        <w:rPr>
          <w:rFonts w:ascii="Verdana" w:hAnsi="Verdana"/>
          <w:lang w:val="es-ES"/>
        </w:rPr>
        <w:t>Patricia Pérez Gol</w:t>
      </w:r>
      <w:r w:rsidR="00526BB3" w:rsidRPr="00685917">
        <w:rPr>
          <w:rFonts w:ascii="Verdana" w:hAnsi="Verdana"/>
          <w:lang w:val="es-ES"/>
        </w:rPr>
        <w:t>d</w:t>
      </w:r>
      <w:r w:rsidRPr="00685917">
        <w:rPr>
          <w:rFonts w:ascii="Verdana" w:hAnsi="Verdana"/>
          <w:lang w:val="es-ES"/>
        </w:rPr>
        <w:t>berg,</w:t>
      </w:r>
      <w:r w:rsidR="00B53A38" w:rsidRPr="00685917">
        <w:rPr>
          <w:rFonts w:ascii="Verdana" w:hAnsi="Verdana"/>
          <w:lang w:val="es-ES"/>
        </w:rPr>
        <w:t xml:space="preserve"> </w:t>
      </w:r>
      <w:r w:rsidRPr="00685917">
        <w:rPr>
          <w:rFonts w:ascii="Verdana" w:hAnsi="Verdana"/>
          <w:lang w:val="es-ES"/>
        </w:rPr>
        <w:t>Jueza, y</w:t>
      </w:r>
    </w:p>
    <w:p w14:paraId="35874FD7" w14:textId="77777777" w:rsidR="004C7D74" w:rsidRPr="00685917" w:rsidRDefault="004C7D74" w:rsidP="00685917">
      <w:pPr>
        <w:ind w:left="709" w:right="-6"/>
        <w:jc w:val="both"/>
        <w:rPr>
          <w:rFonts w:ascii="Verdana" w:hAnsi="Verdana"/>
          <w:lang w:val="es-ES"/>
        </w:rPr>
      </w:pPr>
      <w:r w:rsidRPr="00685917">
        <w:rPr>
          <w:rFonts w:ascii="Verdana" w:hAnsi="Verdana"/>
          <w:lang w:val="es-ES"/>
        </w:rPr>
        <w:t>Rodrigo Mudrovitsch, Juez;</w:t>
      </w:r>
    </w:p>
    <w:p w14:paraId="230EB3DD" w14:textId="77777777" w:rsidR="004C7D74" w:rsidRPr="00685917" w:rsidRDefault="004C7D74" w:rsidP="00685917">
      <w:pPr>
        <w:ind w:left="709" w:right="-6"/>
        <w:jc w:val="both"/>
        <w:rPr>
          <w:rFonts w:ascii="Verdana" w:hAnsi="Verdana"/>
          <w:lang w:val="es-ES"/>
        </w:rPr>
      </w:pPr>
    </w:p>
    <w:p w14:paraId="0616E713" w14:textId="3DC8A857" w:rsidR="00C10DAE" w:rsidRPr="00685917" w:rsidRDefault="006B794F" w:rsidP="00685917">
      <w:pPr>
        <w:ind w:right="-4"/>
        <w:jc w:val="both"/>
        <w:rPr>
          <w:rFonts w:ascii="Verdana" w:hAnsi="Verdana"/>
          <w:lang w:val="es-ES"/>
        </w:rPr>
      </w:pPr>
      <w:r w:rsidRPr="00685917">
        <w:rPr>
          <w:rFonts w:ascii="Verdana" w:hAnsi="Verdana"/>
          <w:lang w:val="es-ES"/>
        </w:rPr>
        <w:t>presente</w:t>
      </w:r>
      <w:r w:rsidR="003E23D8">
        <w:rPr>
          <w:rFonts w:ascii="Verdana" w:hAnsi="Verdana"/>
          <w:lang w:val="es-ES"/>
        </w:rPr>
        <w:t>s</w:t>
      </w:r>
      <w:r w:rsidR="00C10DAE" w:rsidRPr="00685917">
        <w:rPr>
          <w:rFonts w:ascii="Verdana" w:hAnsi="Verdana"/>
          <w:lang w:val="es-ES"/>
        </w:rPr>
        <w:t>, además,</w:t>
      </w:r>
    </w:p>
    <w:p w14:paraId="37AB89D0" w14:textId="77777777" w:rsidR="00C10DAE" w:rsidRPr="00685917" w:rsidRDefault="00C10DAE" w:rsidP="00685917">
      <w:pPr>
        <w:ind w:right="-4"/>
        <w:jc w:val="both"/>
        <w:rPr>
          <w:rFonts w:ascii="Verdana" w:hAnsi="Verdana"/>
          <w:lang w:val="es-ES"/>
        </w:rPr>
      </w:pPr>
    </w:p>
    <w:p w14:paraId="4AD2B618" w14:textId="77777777" w:rsidR="00C10DAE" w:rsidRPr="00685917" w:rsidRDefault="00C10DAE" w:rsidP="00685917">
      <w:pPr>
        <w:ind w:right="-6" w:firstLine="708"/>
        <w:jc w:val="both"/>
        <w:rPr>
          <w:rFonts w:ascii="Verdana" w:hAnsi="Verdana"/>
          <w:lang w:val="es-ES"/>
        </w:rPr>
      </w:pPr>
      <w:r w:rsidRPr="00685917">
        <w:rPr>
          <w:rFonts w:ascii="Verdana" w:hAnsi="Verdana"/>
          <w:lang w:val="es-ES"/>
        </w:rPr>
        <w:t>Pablo Saavedra Alessandri, Secretario, y</w:t>
      </w:r>
    </w:p>
    <w:p w14:paraId="10A0A624" w14:textId="5AD0E640" w:rsidR="004B543A" w:rsidRPr="00685917" w:rsidRDefault="004B543A" w:rsidP="00685917">
      <w:pPr>
        <w:ind w:right="-6" w:firstLine="708"/>
        <w:jc w:val="both"/>
        <w:rPr>
          <w:rFonts w:ascii="Verdana" w:hAnsi="Verdana"/>
          <w:lang w:val="es-ES"/>
        </w:rPr>
      </w:pPr>
      <w:r w:rsidRPr="00685917">
        <w:rPr>
          <w:rFonts w:ascii="Verdana" w:hAnsi="Verdana"/>
          <w:lang w:val="es-ES"/>
        </w:rPr>
        <w:t>Romina</w:t>
      </w:r>
      <w:r w:rsidR="003E23D8">
        <w:rPr>
          <w:rFonts w:ascii="Verdana" w:hAnsi="Verdana"/>
          <w:lang w:val="es-ES"/>
        </w:rPr>
        <w:t xml:space="preserve"> I.</w:t>
      </w:r>
      <w:r w:rsidRPr="00685917">
        <w:rPr>
          <w:rFonts w:ascii="Verdana" w:hAnsi="Verdana"/>
          <w:lang w:val="es-ES"/>
        </w:rPr>
        <w:t xml:space="preserve"> Sijniensky,</w:t>
      </w:r>
      <w:r w:rsidR="003814A0" w:rsidRPr="00685917">
        <w:rPr>
          <w:rFonts w:ascii="Verdana" w:hAnsi="Verdana"/>
          <w:lang w:val="es-ES"/>
        </w:rPr>
        <w:t xml:space="preserve"> Secretaria Adjunta,</w:t>
      </w:r>
    </w:p>
    <w:p w14:paraId="7E126A5F" w14:textId="77777777" w:rsidR="00C10DAE" w:rsidRPr="00685917" w:rsidRDefault="00C10DAE" w:rsidP="00685917">
      <w:pPr>
        <w:ind w:left="708" w:right="-6"/>
        <w:jc w:val="both"/>
        <w:rPr>
          <w:rFonts w:ascii="Verdana" w:hAnsi="Verdana"/>
          <w:lang w:val="es-ES"/>
        </w:rPr>
      </w:pPr>
    </w:p>
    <w:p w14:paraId="2387C0AA" w14:textId="566DD2B3" w:rsidR="00C10DAE" w:rsidRPr="00685917" w:rsidRDefault="00C10DAE" w:rsidP="00685917">
      <w:pPr>
        <w:ind w:right="-4"/>
        <w:jc w:val="both"/>
        <w:rPr>
          <w:rFonts w:ascii="Verdana" w:hAnsi="Verdana"/>
          <w:lang w:val="es-ES"/>
        </w:rPr>
      </w:pPr>
      <w:r w:rsidRPr="00685917">
        <w:rPr>
          <w:rFonts w:ascii="Verdana" w:hAnsi="Verdana"/>
          <w:lang w:val="es-ES"/>
        </w:rPr>
        <w:t xml:space="preserve">de conformidad con los artículos 62.3 y 63.1 de la Convención Americana sobre Derechos Humanos (en adelante, “la Convención Americana” o “la Convención”) y con los artículos 31, 32, </w:t>
      </w:r>
      <w:r w:rsidR="00BB2718" w:rsidRPr="00685917">
        <w:rPr>
          <w:rFonts w:ascii="Verdana" w:hAnsi="Verdana"/>
          <w:lang w:val="es-ES"/>
        </w:rPr>
        <w:t xml:space="preserve">42, </w:t>
      </w:r>
      <w:r w:rsidRPr="00685917">
        <w:rPr>
          <w:rFonts w:ascii="Verdana" w:hAnsi="Verdana"/>
          <w:lang w:val="es-ES"/>
        </w:rPr>
        <w:t>65 y 67 del Reglamento de la Corte (en adelante también “el Reglamento”), dicta la presente Sentencia</w:t>
      </w:r>
      <w:r w:rsidR="00170716" w:rsidRPr="00685917">
        <w:rPr>
          <w:rFonts w:ascii="Verdana" w:hAnsi="Verdana"/>
          <w:lang w:val="es-ES"/>
        </w:rPr>
        <w:t>, que se estructura en el siguiente orden:</w:t>
      </w:r>
    </w:p>
    <w:p w14:paraId="29F700DE" w14:textId="77777777" w:rsidR="006E3E32" w:rsidRPr="00C17B68" w:rsidRDefault="006E3E32" w:rsidP="0044009A">
      <w:pPr>
        <w:jc w:val="center"/>
        <w:rPr>
          <w:rFonts w:cs="Verdana Bold"/>
          <w:b/>
          <w:bCs/>
          <w:i/>
          <w:sz w:val="18"/>
          <w:lang w:val="es-ES"/>
        </w:rPr>
      </w:pPr>
      <w:r w:rsidRPr="00C17B68">
        <w:rPr>
          <w:rFonts w:cs="Verdana Bold"/>
          <w:b/>
          <w:bCs/>
          <w:i/>
          <w:sz w:val="18"/>
          <w:lang w:val="es-ES"/>
        </w:rPr>
        <w:br/>
      </w:r>
    </w:p>
    <w:p w14:paraId="03E90697" w14:textId="77777777" w:rsidR="006E3E32" w:rsidRPr="00C17B68" w:rsidRDefault="006E3E32">
      <w:pPr>
        <w:rPr>
          <w:rFonts w:cs="Verdana Bold"/>
          <w:b/>
          <w:bCs/>
          <w:i/>
          <w:sz w:val="18"/>
          <w:lang w:val="es-ES"/>
        </w:rPr>
      </w:pPr>
      <w:r w:rsidRPr="00C17B68">
        <w:rPr>
          <w:rFonts w:cs="Verdana Bold"/>
          <w:b/>
          <w:bCs/>
          <w:i/>
          <w:sz w:val="18"/>
          <w:lang w:val="es-ES"/>
        </w:rPr>
        <w:br w:type="page"/>
      </w:r>
    </w:p>
    <w:p w14:paraId="1DAE7C57" w14:textId="34439BD7" w:rsidR="0044009A" w:rsidRPr="00685917" w:rsidRDefault="009C0AF3" w:rsidP="0044009A">
      <w:pPr>
        <w:jc w:val="center"/>
        <w:rPr>
          <w:rFonts w:ascii="Verdana" w:hAnsi="Verdana" w:cs="Verdana Bold"/>
          <w:b/>
          <w:bCs/>
          <w:iCs/>
          <w:caps/>
          <w:lang w:val="es-ES"/>
        </w:rPr>
      </w:pPr>
      <w:r w:rsidRPr="00685917">
        <w:rPr>
          <w:rFonts w:ascii="Verdana" w:hAnsi="Verdana" w:cs="Verdana Bold"/>
          <w:b/>
          <w:bCs/>
          <w:iCs/>
          <w:lang w:val="es-ES"/>
        </w:rPr>
        <w:lastRenderedPageBreak/>
        <w:t>TABLA DE CONTENIDO</w:t>
      </w:r>
    </w:p>
    <w:p w14:paraId="49E4D2E6" w14:textId="77777777" w:rsidR="00C10DAE" w:rsidRPr="00C17B68" w:rsidRDefault="00C10DAE" w:rsidP="0044009A">
      <w:pPr>
        <w:ind w:right="-4"/>
        <w:rPr>
          <w:lang w:val="es-ES"/>
        </w:rPr>
      </w:pPr>
    </w:p>
    <w:sdt>
      <w:sdtPr>
        <w:rPr>
          <w:rFonts w:ascii="Verdana" w:eastAsia="Batang" w:hAnsi="Verdana" w:cs="Times"/>
          <w:b/>
          <w:bCs/>
          <w:lang w:val="es-ES" w:eastAsia="en-US"/>
        </w:rPr>
        <w:id w:val="-1332759945"/>
        <w:docPartObj>
          <w:docPartGallery w:val="Table of Contents"/>
          <w:docPartUnique/>
        </w:docPartObj>
      </w:sdtPr>
      <w:sdtEndPr>
        <w:rPr>
          <w:rFonts w:eastAsia="Times New Roman" w:cs="Times New Roman"/>
          <w:b w:val="0"/>
          <w:bCs w:val="0"/>
          <w:sz w:val="18"/>
          <w:szCs w:val="18"/>
          <w:lang w:eastAsia="en-GB"/>
        </w:rPr>
      </w:sdtEndPr>
      <w:sdtContent>
        <w:p w14:paraId="6B92C82C" w14:textId="6953B35D" w:rsidR="009C0AF3" w:rsidRPr="00685917" w:rsidRDefault="009C0AF3" w:rsidP="00685917">
          <w:pPr>
            <w:jc w:val="both"/>
            <w:rPr>
              <w:rFonts w:ascii="Verdana" w:hAnsi="Verdana"/>
              <w:lang w:val="es-ES"/>
            </w:rPr>
          </w:pPr>
        </w:p>
        <w:p w14:paraId="242691D7" w14:textId="0BC12052" w:rsidR="002F1E4F" w:rsidRPr="00AC4FA9" w:rsidRDefault="007B5FD8">
          <w:pPr>
            <w:pStyle w:val="TDC1"/>
            <w:tabs>
              <w:tab w:val="right" w:leader="dot" w:pos="10070"/>
            </w:tabs>
            <w:rPr>
              <w:rFonts w:ascii="Verdana" w:eastAsiaTheme="minorEastAsia" w:hAnsi="Verdana" w:cstheme="minorBidi"/>
              <w:noProof/>
              <w:sz w:val="18"/>
              <w:szCs w:val="18"/>
              <w:lang w:val="es-CR" w:eastAsia="es-CR"/>
            </w:rPr>
          </w:pPr>
          <w:r w:rsidRPr="007B5FD8">
            <w:rPr>
              <w:rFonts w:ascii="Verdana" w:hAnsi="Verdana"/>
              <w:b/>
              <w:bCs/>
              <w:noProof/>
              <w:sz w:val="19"/>
              <w:szCs w:val="19"/>
              <w:lang w:val="es-ES"/>
            </w:rPr>
            <w:t>I</w:t>
          </w:r>
          <w:r w:rsidRPr="007B5FD8">
            <w:rPr>
              <w:rFonts w:ascii="Verdana" w:hAnsi="Verdana"/>
              <w:noProof/>
              <w:sz w:val="19"/>
              <w:szCs w:val="19"/>
              <w:lang w:val="es-ES"/>
            </w:rPr>
            <w:t xml:space="preserve"> </w:t>
          </w:r>
          <w:r w:rsidR="009C0AF3" w:rsidRPr="00AC4FA9">
            <w:rPr>
              <w:rFonts w:ascii="Verdana" w:hAnsi="Verdana"/>
              <w:noProof/>
              <w:sz w:val="18"/>
              <w:szCs w:val="18"/>
              <w:lang w:val="es-ES"/>
            </w:rPr>
            <w:fldChar w:fldCharType="begin"/>
          </w:r>
          <w:r w:rsidR="009C0AF3" w:rsidRPr="00AC4FA9">
            <w:rPr>
              <w:rFonts w:ascii="Verdana" w:hAnsi="Verdana"/>
              <w:sz w:val="18"/>
              <w:szCs w:val="18"/>
              <w:lang w:val="es-ES"/>
            </w:rPr>
            <w:instrText xml:space="preserve"> TOC \o "1-3" \h \z \u </w:instrText>
          </w:r>
          <w:r w:rsidR="009C0AF3" w:rsidRPr="00AC4FA9">
            <w:rPr>
              <w:rFonts w:ascii="Verdana" w:hAnsi="Verdana"/>
              <w:noProof/>
              <w:sz w:val="18"/>
              <w:szCs w:val="18"/>
              <w:lang w:val="es-ES"/>
            </w:rPr>
            <w:fldChar w:fldCharType="separate"/>
          </w:r>
          <w:hyperlink w:anchor="_Toc125037449" w:history="1">
            <w:r w:rsidR="002F1E4F" w:rsidRPr="00AC4FA9">
              <w:rPr>
                <w:rStyle w:val="Hipervnculo"/>
                <w:rFonts w:ascii="Verdana" w:hAnsi="Verdana"/>
                <w:b/>
                <w:bCs/>
                <w:noProof/>
                <w:sz w:val="18"/>
                <w:szCs w:val="18"/>
                <w:lang w:val="es-ES"/>
              </w:rPr>
              <w:t>INTRODUCCIÓN DE LA CAUSA Y OBJETO DE LA CONTROVERSIA</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_Toc125037449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w:t>
            </w:r>
            <w:r w:rsidR="002F1E4F" w:rsidRPr="00AC4FA9">
              <w:rPr>
                <w:rFonts w:ascii="Verdana" w:hAnsi="Verdana"/>
                <w:noProof/>
                <w:webHidden/>
                <w:sz w:val="18"/>
                <w:szCs w:val="18"/>
              </w:rPr>
              <w:fldChar w:fldCharType="end"/>
            </w:r>
          </w:hyperlink>
        </w:p>
        <w:p w14:paraId="76B5B9D9" w14:textId="25B70E56" w:rsidR="002F1E4F" w:rsidRPr="00AC4FA9" w:rsidRDefault="00000000">
          <w:pPr>
            <w:pStyle w:val="TDC1"/>
            <w:tabs>
              <w:tab w:val="right" w:leader="dot" w:pos="10070"/>
            </w:tabs>
            <w:rPr>
              <w:rFonts w:ascii="Verdana" w:eastAsiaTheme="minorEastAsia" w:hAnsi="Verdana" w:cstheme="minorBidi"/>
              <w:noProof/>
              <w:sz w:val="18"/>
              <w:szCs w:val="18"/>
              <w:lang w:val="es-CR" w:eastAsia="es-CR"/>
            </w:rPr>
          </w:pPr>
          <w:hyperlink w:anchor="_Toc125037450" w:history="1">
            <w:r w:rsidR="002F1E4F" w:rsidRPr="00AC4FA9">
              <w:rPr>
                <w:rStyle w:val="Hipervnculo"/>
                <w:rFonts w:ascii="Verdana" w:hAnsi="Verdana"/>
                <w:b/>
                <w:bCs/>
                <w:noProof/>
                <w:sz w:val="18"/>
                <w:szCs w:val="18"/>
                <w:lang w:val="es-ES"/>
              </w:rPr>
              <w:t>II</w:t>
            </w:r>
            <w:r w:rsidR="007B5FD8" w:rsidRPr="00AC4FA9">
              <w:rPr>
                <w:rStyle w:val="Hipervnculo"/>
                <w:rFonts w:ascii="Verdana" w:hAnsi="Verdana"/>
                <w:b/>
                <w:bCs/>
                <w:noProof/>
                <w:sz w:val="18"/>
                <w:szCs w:val="18"/>
                <w:lang w:val="es-ES"/>
              </w:rPr>
              <w:t xml:space="preserve"> PROCEDIMIENTO ANTE LA CORTE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_Toc125037450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5</w:t>
            </w:r>
            <w:r w:rsidR="002F1E4F" w:rsidRPr="00AC4FA9">
              <w:rPr>
                <w:rFonts w:ascii="Verdana" w:hAnsi="Verdana"/>
                <w:noProof/>
                <w:webHidden/>
                <w:sz w:val="18"/>
                <w:szCs w:val="18"/>
              </w:rPr>
              <w:fldChar w:fldCharType="end"/>
            </w:r>
          </w:hyperlink>
        </w:p>
        <w:p w14:paraId="7E1D7847" w14:textId="765D02C5" w:rsidR="002F1E4F" w:rsidRPr="00AC4FA9" w:rsidRDefault="007B5FD8">
          <w:pPr>
            <w:pStyle w:val="TDC1"/>
            <w:tabs>
              <w:tab w:val="right" w:leader="dot" w:pos="10070"/>
            </w:tabs>
            <w:rPr>
              <w:rFonts w:ascii="Verdana" w:eastAsiaTheme="minorEastAsia" w:hAnsi="Verdana" w:cstheme="minorBidi"/>
              <w:noProof/>
              <w:sz w:val="18"/>
              <w:szCs w:val="18"/>
              <w:lang w:val="es-CR" w:eastAsia="es-CR"/>
            </w:rPr>
          </w:pPr>
          <w:r w:rsidRPr="00AC4FA9">
            <w:rPr>
              <w:rFonts w:ascii="Verdana" w:hAnsi="Verdana"/>
              <w:b/>
              <w:bCs/>
              <w:noProof/>
              <w:sz w:val="18"/>
              <w:szCs w:val="18"/>
            </w:rPr>
            <w:t>III</w:t>
          </w:r>
          <w:r w:rsidRPr="00AC4FA9">
            <w:rPr>
              <w:rFonts w:ascii="Verdana" w:hAnsi="Verdana"/>
              <w:noProof/>
              <w:sz w:val="18"/>
              <w:szCs w:val="18"/>
            </w:rPr>
            <w:t xml:space="preserve"> </w:t>
          </w:r>
          <w:hyperlink w:anchor="_Toc125037453" w:history="1">
            <w:r w:rsidR="002F1E4F" w:rsidRPr="00AC4FA9">
              <w:rPr>
                <w:rStyle w:val="Hipervnculo"/>
                <w:rFonts w:ascii="Verdana" w:hAnsi="Verdana"/>
                <w:b/>
                <w:bCs/>
                <w:noProof/>
                <w:sz w:val="18"/>
                <w:szCs w:val="18"/>
                <w:lang w:val="es-ES"/>
              </w:rPr>
              <w:t>COMPETENCIA</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_Toc125037453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6</w:t>
            </w:r>
            <w:r w:rsidR="002F1E4F" w:rsidRPr="00AC4FA9">
              <w:rPr>
                <w:rFonts w:ascii="Verdana" w:hAnsi="Verdana"/>
                <w:noProof/>
                <w:webHidden/>
                <w:sz w:val="18"/>
                <w:szCs w:val="18"/>
              </w:rPr>
              <w:fldChar w:fldCharType="end"/>
            </w:r>
          </w:hyperlink>
        </w:p>
        <w:p w14:paraId="41C24DE3" w14:textId="5CB969E7" w:rsidR="002F1E4F" w:rsidRPr="00AC4FA9" w:rsidRDefault="007B5FD8">
          <w:pPr>
            <w:pStyle w:val="TDC1"/>
            <w:tabs>
              <w:tab w:val="right" w:leader="dot" w:pos="10070"/>
            </w:tabs>
            <w:rPr>
              <w:rFonts w:ascii="Verdana" w:eastAsiaTheme="minorEastAsia" w:hAnsi="Verdana" w:cstheme="minorBidi"/>
              <w:noProof/>
              <w:sz w:val="18"/>
              <w:szCs w:val="18"/>
              <w:lang w:val="es-CR" w:eastAsia="es-CR"/>
            </w:rPr>
          </w:pPr>
          <w:r w:rsidRPr="00AC4FA9">
            <w:rPr>
              <w:rFonts w:ascii="Verdana" w:hAnsi="Verdana"/>
              <w:b/>
              <w:bCs/>
              <w:noProof/>
              <w:sz w:val="18"/>
              <w:szCs w:val="18"/>
            </w:rPr>
            <w:t>IV</w:t>
          </w:r>
          <w:r w:rsidRPr="00AC4FA9">
            <w:rPr>
              <w:rFonts w:ascii="Verdana" w:hAnsi="Verdana"/>
              <w:noProof/>
              <w:sz w:val="18"/>
              <w:szCs w:val="18"/>
            </w:rPr>
            <w:t xml:space="preserve"> </w:t>
          </w:r>
          <w:hyperlink w:anchor="_Toc125037455" w:history="1">
            <w:r w:rsidR="002F1E4F" w:rsidRPr="00AC4FA9">
              <w:rPr>
                <w:rStyle w:val="Hipervnculo"/>
                <w:rFonts w:ascii="Verdana" w:hAnsi="Verdana"/>
                <w:b/>
                <w:bCs/>
                <w:noProof/>
                <w:sz w:val="18"/>
                <w:szCs w:val="18"/>
                <w:lang w:val="es-ES"/>
              </w:rPr>
              <w:t>EXCEPCIONES PRELIMINARES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_Toc125037455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7</w:t>
            </w:r>
            <w:r w:rsidR="002F1E4F" w:rsidRPr="00AC4FA9">
              <w:rPr>
                <w:rFonts w:ascii="Verdana" w:hAnsi="Verdana"/>
                <w:noProof/>
                <w:webHidden/>
                <w:sz w:val="18"/>
                <w:szCs w:val="18"/>
              </w:rPr>
              <w:fldChar w:fldCharType="end"/>
            </w:r>
          </w:hyperlink>
        </w:p>
        <w:p w14:paraId="5632D1FC" w14:textId="123281B9" w:rsidR="002F1E4F" w:rsidRPr="00AC4FA9" w:rsidRDefault="00000000">
          <w:pPr>
            <w:pStyle w:val="TDC2"/>
            <w:tabs>
              <w:tab w:val="right" w:leader="dot" w:pos="10070"/>
            </w:tabs>
            <w:rPr>
              <w:rFonts w:ascii="Verdana" w:eastAsiaTheme="minorEastAsia" w:hAnsi="Verdana" w:cstheme="minorBidi"/>
              <w:noProof/>
              <w:sz w:val="18"/>
              <w:szCs w:val="18"/>
              <w:lang w:val="es-CR" w:eastAsia="es-CR"/>
            </w:rPr>
          </w:pPr>
          <w:hyperlink w:anchor="_Toc125037456" w:history="1">
            <w:r w:rsidR="002F1E4F" w:rsidRPr="00AC4FA9">
              <w:rPr>
                <w:rStyle w:val="Hipervnculo"/>
                <w:rFonts w:ascii="Verdana" w:hAnsi="Verdana" w:cs="Arial"/>
                <w:b/>
                <w:bCs/>
                <w:noProof/>
                <w:sz w:val="18"/>
                <w:szCs w:val="18"/>
                <w:lang w:val="es-ES"/>
              </w:rPr>
              <w:t xml:space="preserve">A. Excepciones preliminares sobre falta de competencia </w:t>
            </w:r>
            <w:r w:rsidR="002F1E4F" w:rsidRPr="00AC4FA9">
              <w:rPr>
                <w:rStyle w:val="Hipervnculo"/>
                <w:rFonts w:ascii="Verdana" w:hAnsi="Verdana" w:cs="Arial"/>
                <w:b/>
                <w:bCs/>
                <w:i/>
                <w:noProof/>
                <w:sz w:val="18"/>
                <w:szCs w:val="18"/>
                <w:lang w:val="es-ES"/>
              </w:rPr>
              <w:t>ratione temporis y ratione materiae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_Toc125037456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7</w:t>
            </w:r>
            <w:r w:rsidR="002F1E4F" w:rsidRPr="00AC4FA9">
              <w:rPr>
                <w:rFonts w:ascii="Verdana" w:hAnsi="Verdana"/>
                <w:noProof/>
                <w:webHidden/>
                <w:sz w:val="18"/>
                <w:szCs w:val="18"/>
              </w:rPr>
              <w:fldChar w:fldCharType="end"/>
            </w:r>
          </w:hyperlink>
        </w:p>
        <w:p w14:paraId="76AE8630" w14:textId="4D32542F"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57" w:history="1">
            <w:r w:rsidR="002F1E4F" w:rsidRPr="00AC4FA9">
              <w:rPr>
                <w:rStyle w:val="Hipervnculo"/>
                <w:rFonts w:ascii="Verdana" w:hAnsi="Verdana" w:cs="Arial"/>
                <w:noProof/>
                <w:sz w:val="18"/>
                <w:szCs w:val="18"/>
                <w:lang w:val="es-ES"/>
              </w:rPr>
              <w:t>A.1. A</w:t>
            </w:r>
            <w:r w:rsidR="00AD31B3" w:rsidRPr="00AC4FA9">
              <w:rPr>
                <w:rStyle w:val="Hipervnculo"/>
                <w:rFonts w:ascii="Verdana" w:hAnsi="Verdana" w:cs="Arial"/>
                <w:noProof/>
                <w:sz w:val="18"/>
                <w:szCs w:val="18"/>
                <w:lang w:val="es-ES"/>
              </w:rPr>
              <w:t>legatos</w:t>
            </w:r>
            <w:r w:rsidR="002F1E4F" w:rsidRPr="00AC4FA9">
              <w:rPr>
                <w:rStyle w:val="Hipervnculo"/>
                <w:rFonts w:ascii="Verdana" w:hAnsi="Verdana" w:cs="Arial"/>
                <w:noProof/>
                <w:sz w:val="18"/>
                <w:szCs w:val="18"/>
                <w:lang w:val="es-ES"/>
              </w:rPr>
              <w:t xml:space="preserve"> de las partes y la Comisión</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_Toc125037457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7</w:t>
            </w:r>
            <w:r w:rsidR="002F1E4F" w:rsidRPr="00AC4FA9">
              <w:rPr>
                <w:rFonts w:ascii="Verdana" w:hAnsi="Verdana"/>
                <w:noProof/>
                <w:webHidden/>
                <w:sz w:val="18"/>
                <w:szCs w:val="18"/>
              </w:rPr>
              <w:fldChar w:fldCharType="end"/>
            </w:r>
          </w:hyperlink>
        </w:p>
        <w:p w14:paraId="205ED0E2" w14:textId="53EF6004"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58" w:history="1">
            <w:r w:rsidR="002F1E4F" w:rsidRPr="00AC4FA9">
              <w:rPr>
                <w:rStyle w:val="Hipervnculo"/>
                <w:rFonts w:ascii="Verdana" w:hAnsi="Verdana" w:cs="Arial"/>
                <w:noProof/>
                <w:sz w:val="18"/>
                <w:szCs w:val="18"/>
                <w:lang w:val="es-ES"/>
              </w:rPr>
              <w:t>A.2. Consideraciones de la Corte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_Toc125037458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7</w:t>
            </w:r>
            <w:r w:rsidR="002F1E4F" w:rsidRPr="00AC4FA9">
              <w:rPr>
                <w:rFonts w:ascii="Verdana" w:hAnsi="Verdana"/>
                <w:noProof/>
                <w:webHidden/>
                <w:sz w:val="18"/>
                <w:szCs w:val="18"/>
              </w:rPr>
              <w:fldChar w:fldCharType="end"/>
            </w:r>
          </w:hyperlink>
        </w:p>
        <w:p w14:paraId="708021E0" w14:textId="32F866B7" w:rsidR="002F1E4F" w:rsidRPr="00AC4FA9" w:rsidRDefault="00000000">
          <w:pPr>
            <w:pStyle w:val="TDC2"/>
            <w:tabs>
              <w:tab w:val="right" w:leader="dot" w:pos="10070"/>
            </w:tabs>
            <w:rPr>
              <w:rFonts w:ascii="Verdana" w:eastAsiaTheme="minorEastAsia" w:hAnsi="Verdana" w:cstheme="minorBidi"/>
              <w:noProof/>
              <w:sz w:val="18"/>
              <w:szCs w:val="18"/>
              <w:lang w:val="es-CR" w:eastAsia="es-CR"/>
            </w:rPr>
          </w:pPr>
          <w:hyperlink w:anchor="_Toc125037459" w:history="1">
            <w:r w:rsidR="002F1E4F" w:rsidRPr="00AC4FA9">
              <w:rPr>
                <w:rStyle w:val="Hipervnculo"/>
                <w:rFonts w:ascii="Verdana" w:hAnsi="Verdana" w:cs="Arial"/>
                <w:b/>
                <w:bCs/>
                <w:noProof/>
                <w:sz w:val="18"/>
                <w:szCs w:val="18"/>
                <w:lang w:val="es-ES"/>
              </w:rPr>
              <w:t>B. Excepción preliminar sobre la falta de agotamiento de recursos internos en relación con la solicitud de reparación</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_Toc125037459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9</w:t>
            </w:r>
            <w:r w:rsidR="002F1E4F" w:rsidRPr="00AC4FA9">
              <w:rPr>
                <w:rFonts w:ascii="Verdana" w:hAnsi="Verdana"/>
                <w:noProof/>
                <w:webHidden/>
                <w:sz w:val="18"/>
                <w:szCs w:val="18"/>
              </w:rPr>
              <w:fldChar w:fldCharType="end"/>
            </w:r>
          </w:hyperlink>
        </w:p>
        <w:p w14:paraId="7EA07BEB" w14:textId="742FCE12"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60" w:history="1">
            <w:r w:rsidR="002F1E4F" w:rsidRPr="00AC4FA9">
              <w:rPr>
                <w:rStyle w:val="Hipervnculo"/>
                <w:rFonts w:ascii="Verdana" w:hAnsi="Verdana" w:cs="Arial"/>
                <w:noProof/>
                <w:sz w:val="18"/>
                <w:szCs w:val="18"/>
                <w:lang w:val="es-ES"/>
              </w:rPr>
              <w:t>B.1. A</w:t>
            </w:r>
            <w:r w:rsidR="00AD31B3" w:rsidRPr="00AC4FA9">
              <w:rPr>
                <w:rStyle w:val="Hipervnculo"/>
                <w:rFonts w:ascii="Verdana" w:hAnsi="Verdana" w:cs="Arial"/>
                <w:noProof/>
                <w:sz w:val="18"/>
                <w:szCs w:val="18"/>
                <w:lang w:val="es-ES"/>
              </w:rPr>
              <w:t>legatos</w:t>
            </w:r>
            <w:r w:rsidR="002F1E4F" w:rsidRPr="00AC4FA9">
              <w:rPr>
                <w:rStyle w:val="Hipervnculo"/>
                <w:rFonts w:ascii="Verdana" w:hAnsi="Verdana" w:cs="Arial"/>
                <w:noProof/>
                <w:sz w:val="18"/>
                <w:szCs w:val="18"/>
                <w:lang w:val="es-ES"/>
              </w:rPr>
              <w:t xml:space="preserve"> de las partes y la Comisión</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_Toc125037460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9</w:t>
            </w:r>
            <w:r w:rsidR="002F1E4F" w:rsidRPr="00AC4FA9">
              <w:rPr>
                <w:rFonts w:ascii="Verdana" w:hAnsi="Verdana"/>
                <w:noProof/>
                <w:webHidden/>
                <w:sz w:val="18"/>
                <w:szCs w:val="18"/>
              </w:rPr>
              <w:fldChar w:fldCharType="end"/>
            </w:r>
          </w:hyperlink>
        </w:p>
        <w:p w14:paraId="6DBED5C9" w14:textId="7BA56A3B"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61" w:history="1">
            <w:r w:rsidR="002F1E4F" w:rsidRPr="00AC4FA9">
              <w:rPr>
                <w:rStyle w:val="Hipervnculo"/>
                <w:rFonts w:ascii="Verdana" w:hAnsi="Verdana" w:cs="Arial"/>
                <w:noProof/>
                <w:sz w:val="18"/>
                <w:szCs w:val="18"/>
                <w:lang w:val="es-ES"/>
              </w:rPr>
              <w:t>B.2. Consideraciones de la Corte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_Toc125037461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9</w:t>
            </w:r>
            <w:r w:rsidR="002F1E4F" w:rsidRPr="00AC4FA9">
              <w:rPr>
                <w:rFonts w:ascii="Verdana" w:hAnsi="Verdana"/>
                <w:noProof/>
                <w:webHidden/>
                <w:sz w:val="18"/>
                <w:szCs w:val="18"/>
              </w:rPr>
              <w:fldChar w:fldCharType="end"/>
            </w:r>
          </w:hyperlink>
        </w:p>
        <w:p w14:paraId="4D1C841E" w14:textId="7A966E95" w:rsidR="002F1E4F" w:rsidRPr="00AC4FA9" w:rsidRDefault="00000000">
          <w:pPr>
            <w:pStyle w:val="TDC1"/>
            <w:tabs>
              <w:tab w:val="right" w:leader="dot" w:pos="10070"/>
            </w:tabs>
            <w:rPr>
              <w:rFonts w:ascii="Verdana" w:eastAsiaTheme="minorEastAsia" w:hAnsi="Verdana" w:cstheme="minorBidi"/>
              <w:noProof/>
              <w:sz w:val="18"/>
              <w:szCs w:val="18"/>
              <w:lang w:val="es-CR" w:eastAsia="es-CR"/>
            </w:rPr>
          </w:pPr>
          <w:hyperlink w:anchor="_Toc125037462" w:history="1">
            <w:r w:rsidR="002F1E4F" w:rsidRPr="00AC4FA9">
              <w:rPr>
                <w:rStyle w:val="Hipervnculo"/>
                <w:rFonts w:ascii="Verdana" w:hAnsi="Verdana"/>
                <w:b/>
                <w:bCs/>
                <w:noProof/>
                <w:sz w:val="18"/>
                <w:szCs w:val="18"/>
                <w:lang w:val="es-ES"/>
              </w:rPr>
              <w:t>V</w:t>
            </w:r>
            <w:r w:rsidR="007B5FD8" w:rsidRPr="00AC4FA9">
              <w:rPr>
                <w:rStyle w:val="Hipervnculo"/>
                <w:rFonts w:ascii="Verdana" w:hAnsi="Verdana"/>
                <w:b/>
                <w:bCs/>
                <w:noProof/>
                <w:sz w:val="18"/>
                <w:szCs w:val="18"/>
                <w:lang w:val="es-ES"/>
              </w:rPr>
              <w:t xml:space="preserve"> PRUEBA</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_Toc125037462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10</w:t>
            </w:r>
            <w:r w:rsidR="002F1E4F" w:rsidRPr="00AC4FA9">
              <w:rPr>
                <w:rFonts w:ascii="Verdana" w:hAnsi="Verdana"/>
                <w:noProof/>
                <w:webHidden/>
                <w:sz w:val="18"/>
                <w:szCs w:val="18"/>
              </w:rPr>
              <w:fldChar w:fldCharType="end"/>
            </w:r>
          </w:hyperlink>
        </w:p>
        <w:p w14:paraId="19B6B0D1" w14:textId="14552C40"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464" w:history="1">
            <w:r w:rsidR="002F1E4F" w:rsidRPr="00AC4FA9">
              <w:rPr>
                <w:rStyle w:val="Hipervnculo"/>
                <w:rFonts w:ascii="Verdana" w:hAnsi="Verdana" w:cs="Arial"/>
                <w:b/>
                <w:bCs/>
                <w:noProof/>
                <w:sz w:val="18"/>
                <w:szCs w:val="18"/>
                <w:lang w:val="es-ES"/>
              </w:rPr>
              <w:t>A.</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cs="Arial"/>
                <w:b/>
                <w:bCs/>
                <w:noProof/>
                <w:sz w:val="18"/>
                <w:szCs w:val="18"/>
                <w:lang w:val="es-ES"/>
              </w:rPr>
              <w:t>Admisibilidad de la prueba documental</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_Toc125037464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10</w:t>
            </w:r>
            <w:r w:rsidR="002F1E4F" w:rsidRPr="00AC4FA9">
              <w:rPr>
                <w:rFonts w:ascii="Verdana" w:hAnsi="Verdana"/>
                <w:noProof/>
                <w:webHidden/>
                <w:sz w:val="18"/>
                <w:szCs w:val="18"/>
              </w:rPr>
              <w:fldChar w:fldCharType="end"/>
            </w:r>
          </w:hyperlink>
        </w:p>
        <w:p w14:paraId="10A9F927" w14:textId="6EF20FB8"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465" w:history="1">
            <w:r w:rsidR="002F1E4F" w:rsidRPr="00AC4FA9">
              <w:rPr>
                <w:rStyle w:val="Hipervnculo"/>
                <w:rFonts w:ascii="Verdana" w:hAnsi="Verdana" w:cs="Arial"/>
                <w:b/>
                <w:bCs/>
                <w:noProof/>
                <w:sz w:val="18"/>
                <w:szCs w:val="18"/>
                <w:lang w:val="es-ES"/>
              </w:rPr>
              <w:t>B.</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cs="Arial"/>
                <w:b/>
                <w:bCs/>
                <w:noProof/>
                <w:sz w:val="18"/>
                <w:szCs w:val="18"/>
                <w:lang w:val="es-ES"/>
              </w:rPr>
              <w:t>Admisibilidad de las declaraciones de las presuntas víctimas, la prueba testimonial y pericial</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_Toc125037465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12</w:t>
            </w:r>
            <w:r w:rsidR="002F1E4F" w:rsidRPr="00AC4FA9">
              <w:rPr>
                <w:rFonts w:ascii="Verdana" w:hAnsi="Verdana"/>
                <w:noProof/>
                <w:webHidden/>
                <w:sz w:val="18"/>
                <w:szCs w:val="18"/>
              </w:rPr>
              <w:fldChar w:fldCharType="end"/>
            </w:r>
          </w:hyperlink>
        </w:p>
        <w:p w14:paraId="0A0CF448" w14:textId="014E85A5" w:rsidR="002F1E4F" w:rsidRPr="00AC4FA9" w:rsidRDefault="007B5FD8">
          <w:pPr>
            <w:pStyle w:val="TDC1"/>
            <w:tabs>
              <w:tab w:val="right" w:leader="dot" w:pos="10070"/>
            </w:tabs>
            <w:rPr>
              <w:rFonts w:ascii="Verdana" w:eastAsiaTheme="minorEastAsia" w:hAnsi="Verdana" w:cstheme="minorBidi"/>
              <w:noProof/>
              <w:sz w:val="18"/>
              <w:szCs w:val="18"/>
              <w:lang w:val="es-CR" w:eastAsia="es-CR"/>
            </w:rPr>
          </w:pPr>
          <w:r w:rsidRPr="00AC4FA9">
            <w:rPr>
              <w:rFonts w:ascii="Verdana" w:hAnsi="Verdana"/>
              <w:b/>
              <w:bCs/>
              <w:noProof/>
              <w:sz w:val="18"/>
              <w:szCs w:val="18"/>
            </w:rPr>
            <w:t xml:space="preserve">VI </w:t>
          </w:r>
          <w:hyperlink w:anchor="_Toc125037467" w:history="1">
            <w:r w:rsidR="002F1E4F" w:rsidRPr="00AC4FA9">
              <w:rPr>
                <w:rStyle w:val="Hipervnculo"/>
                <w:rFonts w:ascii="Verdana" w:hAnsi="Verdana"/>
                <w:b/>
                <w:bCs/>
                <w:noProof/>
                <w:sz w:val="18"/>
                <w:szCs w:val="18"/>
                <w:lang w:val="es-ES"/>
              </w:rPr>
              <w:t>HECHOS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_Toc125037467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12</w:t>
            </w:r>
            <w:r w:rsidR="002F1E4F" w:rsidRPr="00AC4FA9">
              <w:rPr>
                <w:rFonts w:ascii="Verdana" w:hAnsi="Verdana"/>
                <w:noProof/>
                <w:webHidden/>
                <w:sz w:val="18"/>
                <w:szCs w:val="18"/>
              </w:rPr>
              <w:fldChar w:fldCharType="end"/>
            </w:r>
          </w:hyperlink>
        </w:p>
        <w:p w14:paraId="2E0428C0" w14:textId="3E92CDDD"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468" w:history="1">
            <w:r w:rsidR="002F1E4F" w:rsidRPr="00AC4FA9">
              <w:rPr>
                <w:rStyle w:val="Hipervnculo"/>
                <w:rFonts w:ascii="Verdana" w:hAnsi="Verdana" w:cs="Arial"/>
                <w:b/>
                <w:bCs/>
                <w:noProof/>
                <w:sz w:val="18"/>
                <w:szCs w:val="18"/>
                <w:lang w:val="es-ES"/>
              </w:rPr>
              <w:t>A.</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cs="Arial"/>
                <w:b/>
                <w:bCs/>
                <w:noProof/>
                <w:sz w:val="18"/>
                <w:szCs w:val="18"/>
                <w:lang w:val="es-ES"/>
              </w:rPr>
              <w:t>Sobre Juan Carlos Flores Bedregal</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_Toc125037468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12</w:t>
            </w:r>
            <w:r w:rsidR="002F1E4F" w:rsidRPr="00AC4FA9">
              <w:rPr>
                <w:rFonts w:ascii="Verdana" w:hAnsi="Verdana"/>
                <w:noProof/>
                <w:webHidden/>
                <w:sz w:val="18"/>
                <w:szCs w:val="18"/>
              </w:rPr>
              <w:fldChar w:fldCharType="end"/>
            </w:r>
          </w:hyperlink>
        </w:p>
        <w:p w14:paraId="709C293C" w14:textId="45361305"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469" w:history="1">
            <w:r w:rsidR="002F1E4F" w:rsidRPr="00AC4FA9">
              <w:rPr>
                <w:rStyle w:val="Hipervnculo"/>
                <w:rFonts w:ascii="Verdana" w:hAnsi="Verdana" w:cs="Arial"/>
                <w:b/>
                <w:bCs/>
                <w:noProof/>
                <w:sz w:val="18"/>
                <w:szCs w:val="18"/>
                <w:lang w:val="es-ES"/>
              </w:rPr>
              <w:t>B.</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cs="Arial"/>
                <w:b/>
                <w:bCs/>
                <w:noProof/>
                <w:sz w:val="18"/>
                <w:szCs w:val="18"/>
                <w:lang w:val="es-ES"/>
              </w:rPr>
              <w:t>Los hechos del 17 de julio de 1980 y los intentos de dar con el paradero de Juan Carlos Flores Bedregal</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_Toc125037469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13</w:t>
            </w:r>
            <w:r w:rsidR="002F1E4F" w:rsidRPr="00AC4FA9">
              <w:rPr>
                <w:rFonts w:ascii="Verdana" w:hAnsi="Verdana"/>
                <w:noProof/>
                <w:webHidden/>
                <w:sz w:val="18"/>
                <w:szCs w:val="18"/>
              </w:rPr>
              <w:fldChar w:fldCharType="end"/>
            </w:r>
          </w:hyperlink>
        </w:p>
        <w:p w14:paraId="31E6DAAF" w14:textId="6248D5B9"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470" w:history="1">
            <w:r w:rsidR="002F1E4F" w:rsidRPr="00AC4FA9">
              <w:rPr>
                <w:rStyle w:val="Hipervnculo"/>
                <w:rFonts w:ascii="Verdana" w:hAnsi="Verdana" w:cs="Arial"/>
                <w:b/>
                <w:bCs/>
                <w:noProof/>
                <w:sz w:val="18"/>
                <w:szCs w:val="18"/>
                <w:lang w:val="es-ES"/>
              </w:rPr>
              <w:t>C.</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cs="Arial"/>
                <w:b/>
                <w:bCs/>
                <w:noProof/>
                <w:sz w:val="18"/>
                <w:szCs w:val="18"/>
                <w:lang w:val="es-ES"/>
              </w:rPr>
              <w:t>Procesos judiciales y administrativo</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_Toc125037470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15</w:t>
            </w:r>
            <w:r w:rsidR="002F1E4F" w:rsidRPr="00AC4FA9">
              <w:rPr>
                <w:rFonts w:ascii="Verdana" w:hAnsi="Verdana"/>
                <w:noProof/>
                <w:webHidden/>
                <w:sz w:val="18"/>
                <w:szCs w:val="18"/>
              </w:rPr>
              <w:fldChar w:fldCharType="end"/>
            </w:r>
          </w:hyperlink>
        </w:p>
        <w:p w14:paraId="00603708" w14:textId="5AAF3ACA"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71" w:history="1">
            <w:r w:rsidR="002F1E4F" w:rsidRPr="00AC4FA9">
              <w:rPr>
                <w:rStyle w:val="Hipervnculo"/>
                <w:rFonts w:ascii="Verdana" w:hAnsi="Verdana" w:cs="Arial"/>
                <w:noProof/>
                <w:sz w:val="18"/>
                <w:szCs w:val="18"/>
                <w:lang w:val="es-ES"/>
              </w:rPr>
              <w:t>C.1. Proceso penal ordinario “Ministerio Público c/ Franz Pizarro Solano y otros”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_Toc125037471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15</w:t>
            </w:r>
            <w:r w:rsidR="002F1E4F" w:rsidRPr="00AC4FA9">
              <w:rPr>
                <w:rFonts w:ascii="Verdana" w:hAnsi="Verdana"/>
                <w:noProof/>
                <w:webHidden/>
                <w:sz w:val="18"/>
                <w:szCs w:val="18"/>
              </w:rPr>
              <w:fldChar w:fldCharType="end"/>
            </w:r>
          </w:hyperlink>
        </w:p>
        <w:p w14:paraId="062BDE04" w14:textId="3797EB31"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72" w:history="1">
            <w:r w:rsidR="002F1E4F" w:rsidRPr="00AC4FA9">
              <w:rPr>
                <w:rStyle w:val="Hipervnculo"/>
                <w:rFonts w:ascii="Verdana" w:hAnsi="Verdana"/>
                <w:noProof/>
                <w:sz w:val="18"/>
                <w:szCs w:val="18"/>
                <w:lang w:val="es-ES"/>
              </w:rPr>
              <w:t>C.2. Procedimiento administrativo conforme a la Resolución Ministerial No. 316/09</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_Toc125037472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21</w:t>
            </w:r>
            <w:r w:rsidR="002F1E4F" w:rsidRPr="00AC4FA9">
              <w:rPr>
                <w:rFonts w:ascii="Verdana" w:hAnsi="Verdana"/>
                <w:noProof/>
                <w:webHidden/>
                <w:sz w:val="18"/>
                <w:szCs w:val="18"/>
              </w:rPr>
              <w:fldChar w:fldCharType="end"/>
            </w:r>
          </w:hyperlink>
        </w:p>
        <w:p w14:paraId="5BF0E418" w14:textId="119C56E1"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473" w:history="1">
            <w:r w:rsidR="002F1E4F" w:rsidRPr="00AC4FA9">
              <w:rPr>
                <w:rStyle w:val="Hipervnculo"/>
                <w:rFonts w:ascii="Verdana" w:hAnsi="Verdana" w:cs="Arial"/>
                <w:b/>
                <w:bCs/>
                <w:noProof/>
                <w:sz w:val="18"/>
                <w:szCs w:val="18"/>
                <w:lang w:val="es-ES"/>
              </w:rPr>
              <w:t>D.</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cs="Arial"/>
                <w:b/>
                <w:bCs/>
                <w:noProof/>
                <w:sz w:val="18"/>
                <w:szCs w:val="18"/>
                <w:lang w:val="es-ES"/>
              </w:rPr>
              <w:t>Intentos de identificación de restos como parte de la búsqueda de Juan Carlos Flores Bedregal</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_Toc125037473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22</w:t>
            </w:r>
            <w:r w:rsidR="002F1E4F" w:rsidRPr="00AC4FA9">
              <w:rPr>
                <w:rFonts w:ascii="Verdana" w:hAnsi="Verdana"/>
                <w:noProof/>
                <w:webHidden/>
                <w:sz w:val="18"/>
                <w:szCs w:val="18"/>
              </w:rPr>
              <w:fldChar w:fldCharType="end"/>
            </w:r>
          </w:hyperlink>
        </w:p>
        <w:p w14:paraId="06A0769F" w14:textId="4798BA15" w:rsidR="002F1E4F" w:rsidRPr="00AC4FA9" w:rsidRDefault="007B5FD8">
          <w:pPr>
            <w:pStyle w:val="TDC1"/>
            <w:tabs>
              <w:tab w:val="right" w:leader="dot" w:pos="10070"/>
            </w:tabs>
            <w:rPr>
              <w:rFonts w:ascii="Verdana" w:eastAsiaTheme="minorEastAsia" w:hAnsi="Verdana" w:cstheme="minorBidi"/>
              <w:b/>
              <w:bCs/>
              <w:noProof/>
              <w:sz w:val="18"/>
              <w:szCs w:val="18"/>
              <w:lang w:val="es-CR" w:eastAsia="es-CR"/>
            </w:rPr>
          </w:pPr>
          <w:r w:rsidRPr="00AC4FA9">
            <w:rPr>
              <w:rFonts w:ascii="Verdana" w:hAnsi="Verdana"/>
              <w:b/>
              <w:bCs/>
              <w:noProof/>
              <w:sz w:val="18"/>
              <w:szCs w:val="18"/>
            </w:rPr>
            <w:t xml:space="preserve">VII </w:t>
          </w:r>
          <w:hyperlink w:anchor="_Toc125037475" w:history="1">
            <w:r w:rsidR="002F1E4F" w:rsidRPr="00AC4FA9">
              <w:rPr>
                <w:rStyle w:val="Hipervnculo"/>
                <w:rFonts w:ascii="Verdana" w:hAnsi="Verdana"/>
                <w:b/>
                <w:bCs/>
                <w:noProof/>
                <w:sz w:val="18"/>
                <w:szCs w:val="18"/>
                <w:lang w:val="es-ES"/>
              </w:rPr>
              <w:t>FONDO</w:t>
            </w:r>
            <w:r w:rsidR="002F1E4F" w:rsidRPr="00AC4FA9">
              <w:rPr>
                <w:rFonts w:ascii="Verdana" w:hAnsi="Verdana"/>
                <w:b/>
                <w:bCs/>
                <w:noProof/>
                <w:webHidden/>
                <w:sz w:val="18"/>
                <w:szCs w:val="18"/>
              </w:rPr>
              <w:tab/>
            </w:r>
            <w:r w:rsidR="002F1E4F" w:rsidRPr="00AC4FA9">
              <w:rPr>
                <w:rFonts w:ascii="Verdana" w:hAnsi="Verdana"/>
                <w:b/>
                <w:bCs/>
                <w:noProof/>
                <w:webHidden/>
                <w:sz w:val="18"/>
                <w:szCs w:val="18"/>
              </w:rPr>
              <w:fldChar w:fldCharType="begin"/>
            </w:r>
            <w:r w:rsidR="002F1E4F" w:rsidRPr="00AC4FA9">
              <w:rPr>
                <w:rFonts w:ascii="Verdana" w:hAnsi="Verdana"/>
                <w:b/>
                <w:bCs/>
                <w:noProof/>
                <w:webHidden/>
                <w:sz w:val="18"/>
                <w:szCs w:val="18"/>
              </w:rPr>
              <w:instrText xml:space="preserve"> PAGEREF _Toc125037475 \h </w:instrText>
            </w:r>
            <w:r w:rsidR="002F1E4F" w:rsidRPr="00AC4FA9">
              <w:rPr>
                <w:rFonts w:ascii="Verdana" w:hAnsi="Verdana"/>
                <w:b/>
                <w:bCs/>
                <w:noProof/>
                <w:webHidden/>
                <w:sz w:val="18"/>
                <w:szCs w:val="18"/>
              </w:rPr>
            </w:r>
            <w:r w:rsidR="002F1E4F" w:rsidRPr="00AC4FA9">
              <w:rPr>
                <w:rFonts w:ascii="Verdana" w:hAnsi="Verdana"/>
                <w:b/>
                <w:bCs/>
                <w:noProof/>
                <w:webHidden/>
                <w:sz w:val="18"/>
                <w:szCs w:val="18"/>
              </w:rPr>
              <w:fldChar w:fldCharType="separate"/>
            </w:r>
            <w:r w:rsidR="00BC5A44">
              <w:rPr>
                <w:rFonts w:ascii="Verdana" w:hAnsi="Verdana"/>
                <w:b/>
                <w:bCs/>
                <w:noProof/>
                <w:webHidden/>
                <w:sz w:val="18"/>
                <w:szCs w:val="18"/>
              </w:rPr>
              <w:t>23</w:t>
            </w:r>
            <w:r w:rsidR="002F1E4F" w:rsidRPr="00AC4FA9">
              <w:rPr>
                <w:rFonts w:ascii="Verdana" w:hAnsi="Verdana"/>
                <w:b/>
                <w:bCs/>
                <w:noProof/>
                <w:webHidden/>
                <w:sz w:val="18"/>
                <w:szCs w:val="18"/>
              </w:rPr>
              <w:fldChar w:fldCharType="end"/>
            </w:r>
          </w:hyperlink>
        </w:p>
        <w:p w14:paraId="16FE782A" w14:textId="10E45929" w:rsidR="002F1E4F" w:rsidRPr="00AC4FA9" w:rsidRDefault="007B5FD8">
          <w:pPr>
            <w:pStyle w:val="TDC1"/>
            <w:tabs>
              <w:tab w:val="right" w:leader="dot" w:pos="10070"/>
            </w:tabs>
            <w:rPr>
              <w:rFonts w:ascii="Verdana" w:eastAsiaTheme="minorEastAsia" w:hAnsi="Verdana" w:cstheme="minorBidi"/>
              <w:noProof/>
              <w:sz w:val="18"/>
              <w:szCs w:val="18"/>
              <w:lang w:val="es-CR" w:eastAsia="es-CR"/>
            </w:rPr>
          </w:pPr>
          <w:r w:rsidRPr="00AC4FA9">
            <w:rPr>
              <w:rFonts w:ascii="Verdana" w:hAnsi="Verdana"/>
              <w:b/>
              <w:bCs/>
              <w:noProof/>
              <w:sz w:val="18"/>
              <w:szCs w:val="18"/>
            </w:rPr>
            <w:t xml:space="preserve">VII-I </w:t>
          </w:r>
          <w:hyperlink w:anchor="_Toc125037477" w:history="1">
            <w:r w:rsidR="002F1E4F" w:rsidRPr="00AC4FA9">
              <w:rPr>
                <w:rStyle w:val="Hipervnculo"/>
                <w:rFonts w:ascii="Verdana" w:hAnsi="Verdana"/>
                <w:b/>
                <w:bCs/>
                <w:noProof/>
                <w:sz w:val="18"/>
                <w:szCs w:val="18"/>
                <w:lang w:val="es-ES"/>
              </w:rPr>
              <w:t>DERECHOS AL RECONOCIMIENTO DE LA PERSONALIDAD JURÍDICA, A LA VIDA, A LA INTEGRIDAD PERSONAL Y A LA LIBERTAD PERSONAL, EN RELACIÓN CON LA OBLIGACIÓN DE RESPETAR Y GARANTIZAR LOS DERECHOS DE LA CONVENCIÓN AMERICANA Y EL ARTICULO I.a) DE LA CIDFP</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_Toc125037477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23</w:t>
            </w:r>
            <w:r w:rsidR="002F1E4F" w:rsidRPr="00AC4FA9">
              <w:rPr>
                <w:rFonts w:ascii="Verdana" w:hAnsi="Verdana"/>
                <w:noProof/>
                <w:webHidden/>
                <w:sz w:val="18"/>
                <w:szCs w:val="18"/>
              </w:rPr>
              <w:fldChar w:fldCharType="end"/>
            </w:r>
          </w:hyperlink>
        </w:p>
        <w:p w14:paraId="3B54A56C" w14:textId="7FD106D9"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478" w:history="1">
            <w:r w:rsidR="002F1E4F" w:rsidRPr="00AC4FA9">
              <w:rPr>
                <w:rStyle w:val="Hipervnculo"/>
                <w:rFonts w:ascii="Verdana" w:hAnsi="Verdana" w:cs="Arial"/>
                <w:b/>
                <w:bCs/>
                <w:noProof/>
                <w:sz w:val="18"/>
                <w:szCs w:val="18"/>
                <w:lang w:val="es-ES"/>
              </w:rPr>
              <w:t>A.</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cs="Arial"/>
                <w:b/>
                <w:bCs/>
                <w:noProof/>
                <w:sz w:val="18"/>
                <w:szCs w:val="18"/>
                <w:lang w:val="es-ES"/>
              </w:rPr>
              <w:t>A</w:t>
            </w:r>
            <w:r w:rsidR="00AD31B3" w:rsidRPr="00AC4FA9">
              <w:rPr>
                <w:rStyle w:val="Hipervnculo"/>
                <w:rFonts w:ascii="Verdana" w:hAnsi="Verdana" w:cs="Arial"/>
                <w:b/>
                <w:bCs/>
                <w:noProof/>
                <w:sz w:val="18"/>
                <w:szCs w:val="18"/>
                <w:lang w:val="es-ES"/>
              </w:rPr>
              <w:t>legatos de la Comisión y las partes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_Toc125037478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23</w:t>
            </w:r>
            <w:r w:rsidR="002F1E4F" w:rsidRPr="00AC4FA9">
              <w:rPr>
                <w:rFonts w:ascii="Verdana" w:hAnsi="Verdana"/>
                <w:noProof/>
                <w:webHidden/>
                <w:sz w:val="18"/>
                <w:szCs w:val="18"/>
              </w:rPr>
              <w:fldChar w:fldCharType="end"/>
            </w:r>
          </w:hyperlink>
        </w:p>
        <w:p w14:paraId="395AE29F" w14:textId="63A4A938" w:rsidR="002F1E4F" w:rsidRPr="00AC4FA9" w:rsidRDefault="00000000">
          <w:pPr>
            <w:pStyle w:val="TDC2"/>
            <w:tabs>
              <w:tab w:val="right" w:leader="dot" w:pos="10070"/>
            </w:tabs>
            <w:rPr>
              <w:rFonts w:ascii="Verdana" w:eastAsiaTheme="minorEastAsia" w:hAnsi="Verdana" w:cstheme="minorBidi"/>
              <w:noProof/>
              <w:sz w:val="18"/>
              <w:szCs w:val="18"/>
              <w:lang w:val="es-CR" w:eastAsia="es-CR"/>
            </w:rPr>
          </w:pPr>
          <w:hyperlink w:anchor="_Toc125037479" w:history="1">
            <w:r w:rsidR="002F1E4F" w:rsidRPr="00AC4FA9">
              <w:rPr>
                <w:rStyle w:val="Hipervnculo"/>
                <w:rFonts w:ascii="Verdana" w:hAnsi="Verdana" w:cs="Arial"/>
                <w:b/>
                <w:bCs/>
                <w:noProof/>
                <w:sz w:val="18"/>
                <w:szCs w:val="18"/>
                <w:lang w:val="es-ES"/>
              </w:rPr>
              <w:t>B. Consideraciones de la Corte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_Toc125037479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24</w:t>
            </w:r>
            <w:r w:rsidR="002F1E4F" w:rsidRPr="00AC4FA9">
              <w:rPr>
                <w:rFonts w:ascii="Verdana" w:hAnsi="Verdana"/>
                <w:noProof/>
                <w:webHidden/>
                <w:sz w:val="18"/>
                <w:szCs w:val="18"/>
              </w:rPr>
              <w:fldChar w:fldCharType="end"/>
            </w:r>
          </w:hyperlink>
        </w:p>
        <w:p w14:paraId="6EB4C50D" w14:textId="02067A75"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80" w:history="1">
            <w:r w:rsidR="002F1E4F" w:rsidRPr="00AC4FA9">
              <w:rPr>
                <w:rStyle w:val="Hipervnculo"/>
                <w:rFonts w:ascii="Verdana" w:hAnsi="Verdana" w:cs="Arial"/>
                <w:noProof/>
                <w:sz w:val="18"/>
                <w:szCs w:val="18"/>
                <w:lang w:val="es-ES"/>
              </w:rPr>
              <w:t>B.1. La desaparición forzada de personas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_Toc125037480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24</w:t>
            </w:r>
            <w:r w:rsidR="002F1E4F" w:rsidRPr="00AC4FA9">
              <w:rPr>
                <w:rFonts w:ascii="Verdana" w:hAnsi="Verdana"/>
                <w:noProof/>
                <w:webHidden/>
                <w:sz w:val="18"/>
                <w:szCs w:val="18"/>
              </w:rPr>
              <w:fldChar w:fldCharType="end"/>
            </w:r>
          </w:hyperlink>
        </w:p>
        <w:p w14:paraId="27F87504" w14:textId="5964ED58"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81" w:history="1">
            <w:r w:rsidR="002F1E4F" w:rsidRPr="00AC4FA9">
              <w:rPr>
                <w:rStyle w:val="Hipervnculo"/>
                <w:rFonts w:ascii="Verdana" w:hAnsi="Verdana" w:cs="Arial"/>
                <w:noProof/>
                <w:sz w:val="18"/>
                <w:szCs w:val="18"/>
                <w:lang w:val="es-ES"/>
              </w:rPr>
              <w:t>B.2. Examen del caso</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_Toc125037481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27</w:t>
            </w:r>
            <w:r w:rsidR="002F1E4F" w:rsidRPr="00AC4FA9">
              <w:rPr>
                <w:rFonts w:ascii="Verdana" w:hAnsi="Verdana"/>
                <w:noProof/>
                <w:webHidden/>
                <w:sz w:val="18"/>
                <w:szCs w:val="18"/>
              </w:rPr>
              <w:fldChar w:fldCharType="end"/>
            </w:r>
          </w:hyperlink>
        </w:p>
        <w:p w14:paraId="01ADE682" w14:textId="5A6FCB5E" w:rsidR="002F1E4F" w:rsidRPr="00AC4FA9" w:rsidRDefault="00000000">
          <w:pPr>
            <w:pStyle w:val="TDC1"/>
            <w:tabs>
              <w:tab w:val="right" w:leader="dot" w:pos="10070"/>
            </w:tabs>
            <w:rPr>
              <w:rFonts w:ascii="Verdana" w:eastAsiaTheme="minorEastAsia" w:hAnsi="Verdana" w:cstheme="minorBidi"/>
              <w:noProof/>
              <w:sz w:val="18"/>
              <w:szCs w:val="18"/>
              <w:lang w:val="es-CR" w:eastAsia="es-CR"/>
            </w:rPr>
          </w:pPr>
          <w:hyperlink w:anchor="_Toc125037482" w:history="1">
            <w:r w:rsidR="002F1E4F" w:rsidRPr="00AC4FA9">
              <w:rPr>
                <w:rStyle w:val="Hipervnculo"/>
                <w:rFonts w:ascii="Verdana" w:hAnsi="Verdana"/>
                <w:b/>
                <w:bCs/>
                <w:noProof/>
                <w:sz w:val="18"/>
                <w:szCs w:val="18"/>
                <w:lang w:val="es-ES"/>
              </w:rPr>
              <w:t>VII-II DERECHOS A LAS GARANTÍAS JUDICIALES Y A LA PROTECCIÓN JUDICIAL EN RELACIÓN CON EL DEBER DE RESPETAR Y GARANTIZAR LOS DERECHOS</w:t>
            </w:r>
            <w:r w:rsidR="007B5FD8" w:rsidRPr="00AC4FA9">
              <w:rPr>
                <w:rStyle w:val="Hipervnculo"/>
                <w:rFonts w:ascii="Verdana" w:hAnsi="Verdana"/>
                <w:b/>
                <w:bCs/>
                <w:noProof/>
                <w:sz w:val="18"/>
                <w:szCs w:val="18"/>
                <w:lang w:val="es-ES"/>
              </w:rPr>
              <w:t xml:space="preserve"> Y LOS ARTÍCULOS I.b) Y III DE LA CIDFP</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_Toc125037482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30</w:t>
            </w:r>
            <w:r w:rsidR="002F1E4F" w:rsidRPr="00AC4FA9">
              <w:rPr>
                <w:rFonts w:ascii="Verdana" w:hAnsi="Verdana"/>
                <w:noProof/>
                <w:webHidden/>
                <w:sz w:val="18"/>
                <w:szCs w:val="18"/>
              </w:rPr>
              <w:fldChar w:fldCharType="end"/>
            </w:r>
          </w:hyperlink>
        </w:p>
        <w:p w14:paraId="0D1D9EE2" w14:textId="72297C71" w:rsidR="002F1E4F" w:rsidRPr="00AC4FA9" w:rsidRDefault="00000000">
          <w:pPr>
            <w:pStyle w:val="TDC2"/>
            <w:tabs>
              <w:tab w:val="right" w:leader="dot" w:pos="10070"/>
            </w:tabs>
            <w:rPr>
              <w:rFonts w:ascii="Verdana" w:eastAsiaTheme="minorEastAsia" w:hAnsi="Verdana" w:cstheme="minorBidi"/>
              <w:noProof/>
              <w:sz w:val="18"/>
              <w:szCs w:val="18"/>
              <w:lang w:val="es-CR" w:eastAsia="es-CR"/>
            </w:rPr>
          </w:pPr>
          <w:hyperlink w:anchor="_Toc125037484" w:history="1">
            <w:r w:rsidR="002F1E4F" w:rsidRPr="00AC4FA9">
              <w:rPr>
                <w:rStyle w:val="Hipervnculo"/>
                <w:rFonts w:ascii="Verdana" w:hAnsi="Verdana" w:cs="Arial"/>
                <w:b/>
                <w:bCs/>
                <w:noProof/>
                <w:sz w:val="18"/>
                <w:szCs w:val="18"/>
                <w:lang w:val="es-ES"/>
              </w:rPr>
              <w:t>A. Alegatos de la Comisión y las partes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_Toc125037484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30</w:t>
            </w:r>
            <w:r w:rsidR="002F1E4F" w:rsidRPr="00AC4FA9">
              <w:rPr>
                <w:rFonts w:ascii="Verdana" w:hAnsi="Verdana"/>
                <w:noProof/>
                <w:webHidden/>
                <w:sz w:val="18"/>
                <w:szCs w:val="18"/>
              </w:rPr>
              <w:fldChar w:fldCharType="end"/>
            </w:r>
          </w:hyperlink>
        </w:p>
        <w:p w14:paraId="44650AC0" w14:textId="2D9FFD96"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85" w:history="1">
            <w:r w:rsidR="002F1E4F" w:rsidRPr="00AC4FA9">
              <w:rPr>
                <w:rStyle w:val="Hipervnculo"/>
                <w:rFonts w:ascii="Verdana" w:hAnsi="Verdana" w:cs="Arial"/>
                <w:noProof/>
                <w:sz w:val="18"/>
                <w:szCs w:val="18"/>
                <w:lang w:val="es-ES"/>
              </w:rPr>
              <w:t>A.1. Debida diligencia y plazo razonable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_Toc125037485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30</w:t>
            </w:r>
            <w:r w:rsidR="002F1E4F" w:rsidRPr="00AC4FA9">
              <w:rPr>
                <w:rFonts w:ascii="Verdana" w:hAnsi="Verdana"/>
                <w:noProof/>
                <w:webHidden/>
                <w:sz w:val="18"/>
                <w:szCs w:val="18"/>
              </w:rPr>
              <w:fldChar w:fldCharType="end"/>
            </w:r>
          </w:hyperlink>
        </w:p>
        <w:p w14:paraId="735A3D58" w14:textId="661336FA"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86" w:history="1">
            <w:r w:rsidR="002F1E4F" w:rsidRPr="00AC4FA9">
              <w:rPr>
                <w:rStyle w:val="Hipervnculo"/>
                <w:rFonts w:ascii="Verdana" w:hAnsi="Verdana" w:cs="Arial"/>
                <w:noProof/>
                <w:sz w:val="18"/>
                <w:szCs w:val="18"/>
                <w:lang w:val="es-ES"/>
              </w:rPr>
              <w:t>A.2. Tipificación del delito de Desaparición Forzada de Personas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_Toc125037486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31</w:t>
            </w:r>
            <w:r w:rsidR="002F1E4F" w:rsidRPr="00AC4FA9">
              <w:rPr>
                <w:rFonts w:ascii="Verdana" w:hAnsi="Verdana"/>
                <w:noProof/>
                <w:webHidden/>
                <w:sz w:val="18"/>
                <w:szCs w:val="18"/>
              </w:rPr>
              <w:fldChar w:fldCharType="end"/>
            </w:r>
          </w:hyperlink>
        </w:p>
        <w:p w14:paraId="67F04ADC" w14:textId="12CA94DD"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87" w:history="1">
            <w:r w:rsidR="002F1E4F" w:rsidRPr="00AC4FA9">
              <w:rPr>
                <w:rStyle w:val="Hipervnculo"/>
                <w:rFonts w:ascii="Verdana" w:hAnsi="Verdana" w:cs="Arial"/>
                <w:noProof/>
                <w:sz w:val="18"/>
                <w:szCs w:val="18"/>
                <w:lang w:val="es-ES"/>
              </w:rPr>
              <w:t>A.3. Búsqueda del paradero o los restos de Juan Carlos Flores Bedregal</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_Toc125037487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32</w:t>
            </w:r>
            <w:r w:rsidR="002F1E4F" w:rsidRPr="00AC4FA9">
              <w:rPr>
                <w:rFonts w:ascii="Verdana" w:hAnsi="Verdana"/>
                <w:noProof/>
                <w:webHidden/>
                <w:sz w:val="18"/>
                <w:szCs w:val="18"/>
              </w:rPr>
              <w:fldChar w:fldCharType="end"/>
            </w:r>
          </w:hyperlink>
        </w:p>
        <w:p w14:paraId="0874B75C" w14:textId="032FF6A3" w:rsidR="002F1E4F" w:rsidRPr="00AC4FA9" w:rsidRDefault="00000000">
          <w:pPr>
            <w:pStyle w:val="TDC2"/>
            <w:tabs>
              <w:tab w:val="right" w:leader="dot" w:pos="10070"/>
            </w:tabs>
            <w:rPr>
              <w:rFonts w:ascii="Verdana" w:eastAsiaTheme="minorEastAsia" w:hAnsi="Verdana" w:cstheme="minorBidi"/>
              <w:noProof/>
              <w:sz w:val="18"/>
              <w:szCs w:val="18"/>
              <w:lang w:val="es-CR" w:eastAsia="es-CR"/>
            </w:rPr>
          </w:pPr>
          <w:hyperlink w:anchor="_Toc125037488" w:history="1">
            <w:r w:rsidR="002F1E4F" w:rsidRPr="00AC4FA9">
              <w:rPr>
                <w:rStyle w:val="Hipervnculo"/>
                <w:rFonts w:ascii="Verdana" w:hAnsi="Verdana" w:cs="Arial"/>
                <w:b/>
                <w:bCs/>
                <w:noProof/>
                <w:sz w:val="18"/>
                <w:szCs w:val="18"/>
                <w:lang w:val="es-ES"/>
              </w:rPr>
              <w:t>B. Consideraciones de la Corte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_Toc125037488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32</w:t>
            </w:r>
            <w:r w:rsidR="002F1E4F" w:rsidRPr="00AC4FA9">
              <w:rPr>
                <w:rFonts w:ascii="Verdana" w:hAnsi="Verdana"/>
                <w:noProof/>
                <w:webHidden/>
                <w:sz w:val="18"/>
                <w:szCs w:val="18"/>
              </w:rPr>
              <w:fldChar w:fldCharType="end"/>
            </w:r>
          </w:hyperlink>
        </w:p>
        <w:p w14:paraId="00AB0B4F" w14:textId="6EF79A78"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89" w:history="1">
            <w:r w:rsidR="002F1E4F" w:rsidRPr="00AC4FA9">
              <w:rPr>
                <w:rStyle w:val="Hipervnculo"/>
                <w:rFonts w:ascii="Verdana" w:hAnsi="Verdana" w:cs="Arial"/>
                <w:noProof/>
                <w:sz w:val="18"/>
                <w:szCs w:val="18"/>
                <w:lang w:val="es-ES"/>
              </w:rPr>
              <w:t>B.1. Deber de investigar, juzgar y, en su caso, sancionar la desaparición forzada de personas en un plazo razonable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_Toc125037489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33</w:t>
            </w:r>
            <w:r w:rsidR="002F1E4F" w:rsidRPr="00AC4FA9">
              <w:rPr>
                <w:rFonts w:ascii="Verdana" w:hAnsi="Verdana"/>
                <w:noProof/>
                <w:webHidden/>
                <w:sz w:val="18"/>
                <w:szCs w:val="18"/>
              </w:rPr>
              <w:fldChar w:fldCharType="end"/>
            </w:r>
          </w:hyperlink>
        </w:p>
        <w:p w14:paraId="3CDD82BB" w14:textId="5DD1CA95"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90" w:history="1">
            <w:r w:rsidR="002F1E4F" w:rsidRPr="00AC4FA9">
              <w:rPr>
                <w:rStyle w:val="Hipervnculo"/>
                <w:rFonts w:ascii="Verdana" w:hAnsi="Verdana" w:cs="Arial"/>
                <w:noProof/>
                <w:sz w:val="18"/>
                <w:szCs w:val="18"/>
                <w:lang w:val="es-ES"/>
              </w:rPr>
              <w:t>B.2. Tipificación del delito de desaparición forzada de personas y su falta de aplicación al caso concreto</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_Toc125037490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35</w:t>
            </w:r>
            <w:r w:rsidR="002F1E4F" w:rsidRPr="00AC4FA9">
              <w:rPr>
                <w:rFonts w:ascii="Verdana" w:hAnsi="Verdana"/>
                <w:noProof/>
                <w:webHidden/>
                <w:sz w:val="18"/>
                <w:szCs w:val="18"/>
              </w:rPr>
              <w:fldChar w:fldCharType="end"/>
            </w:r>
          </w:hyperlink>
        </w:p>
        <w:p w14:paraId="18ED2025" w14:textId="73107CC9"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91" w:history="1">
            <w:r w:rsidR="002F1E4F" w:rsidRPr="00AC4FA9">
              <w:rPr>
                <w:rStyle w:val="Hipervnculo"/>
                <w:rFonts w:ascii="Verdana" w:hAnsi="Verdana" w:cs="Arial"/>
                <w:noProof/>
                <w:sz w:val="18"/>
                <w:szCs w:val="18"/>
                <w:lang w:val="es-ES"/>
              </w:rPr>
              <w:t>B.3. Búsqueda del paradero o de los restos de Juan Carlos Flores Bedregal, y el derecho de los familiares a conocer la verdad</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_Toc125037491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37</w:t>
            </w:r>
            <w:r w:rsidR="002F1E4F" w:rsidRPr="00AC4FA9">
              <w:rPr>
                <w:rFonts w:ascii="Verdana" w:hAnsi="Verdana"/>
                <w:noProof/>
                <w:webHidden/>
                <w:sz w:val="18"/>
                <w:szCs w:val="18"/>
              </w:rPr>
              <w:fldChar w:fldCharType="end"/>
            </w:r>
          </w:hyperlink>
        </w:p>
        <w:p w14:paraId="5BF6F312" w14:textId="682A57A0"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92" w:history="1">
            <w:r w:rsidR="002F1E4F" w:rsidRPr="00AC4FA9">
              <w:rPr>
                <w:rStyle w:val="Hipervnculo"/>
                <w:rFonts w:ascii="Verdana" w:hAnsi="Verdana" w:cs="Arial"/>
                <w:noProof/>
                <w:sz w:val="18"/>
                <w:szCs w:val="18"/>
                <w:lang w:val="es-ES"/>
              </w:rPr>
              <w:t>B.4. Conclusión General</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_Toc125037492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38</w:t>
            </w:r>
            <w:r w:rsidR="002F1E4F" w:rsidRPr="00AC4FA9">
              <w:rPr>
                <w:rFonts w:ascii="Verdana" w:hAnsi="Verdana"/>
                <w:noProof/>
                <w:webHidden/>
                <w:sz w:val="18"/>
                <w:szCs w:val="18"/>
              </w:rPr>
              <w:fldChar w:fldCharType="end"/>
            </w:r>
          </w:hyperlink>
        </w:p>
        <w:p w14:paraId="158F56FA" w14:textId="6862B197" w:rsidR="002F1E4F" w:rsidRPr="00AC4FA9" w:rsidRDefault="007B5FD8">
          <w:pPr>
            <w:pStyle w:val="TDC1"/>
            <w:tabs>
              <w:tab w:val="right" w:leader="dot" w:pos="10070"/>
            </w:tabs>
            <w:rPr>
              <w:rFonts w:ascii="Verdana" w:eastAsiaTheme="minorEastAsia" w:hAnsi="Verdana" w:cstheme="minorBidi"/>
              <w:noProof/>
              <w:sz w:val="18"/>
              <w:szCs w:val="18"/>
              <w:lang w:val="es-CR" w:eastAsia="es-CR"/>
            </w:rPr>
          </w:pPr>
          <w:r w:rsidRPr="00AC4FA9">
            <w:rPr>
              <w:rFonts w:ascii="Verdana" w:hAnsi="Verdana"/>
              <w:b/>
              <w:bCs/>
              <w:noProof/>
              <w:sz w:val="18"/>
              <w:szCs w:val="18"/>
            </w:rPr>
            <w:t xml:space="preserve">VII-III </w:t>
          </w:r>
          <w:hyperlink w:anchor="_Toc125037494" w:history="1">
            <w:r w:rsidR="002F1E4F" w:rsidRPr="00AC4FA9">
              <w:rPr>
                <w:rStyle w:val="Hipervnculo"/>
                <w:rFonts w:ascii="Verdana" w:hAnsi="Verdana"/>
                <w:b/>
                <w:bCs/>
                <w:noProof/>
                <w:sz w:val="18"/>
                <w:szCs w:val="18"/>
                <w:lang w:val="es-ES"/>
              </w:rPr>
              <w:t>DERECHO A BUSCAR Y RECIBIR INFORMACIÓN Y GARANTÍAS JUDICIALES, EN RELACIÓN CON EL DEBER DE RESPETAR Y GARANTIZAR LOS DERECHOS Y EL DEBER DE ADOPTAR DISPOSICIONES DE DERECHO INTERNO, ESTABLECIDOS EN LA CONVENCIÓN AMERICANA</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_Toc125037494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39</w:t>
            </w:r>
            <w:r w:rsidR="002F1E4F" w:rsidRPr="00AC4FA9">
              <w:rPr>
                <w:rFonts w:ascii="Verdana" w:hAnsi="Verdana"/>
                <w:noProof/>
                <w:webHidden/>
                <w:sz w:val="18"/>
                <w:szCs w:val="18"/>
              </w:rPr>
              <w:fldChar w:fldCharType="end"/>
            </w:r>
          </w:hyperlink>
        </w:p>
        <w:p w14:paraId="370874BC" w14:textId="21E56910" w:rsidR="002F1E4F" w:rsidRPr="00AC4FA9" w:rsidRDefault="00000000">
          <w:pPr>
            <w:pStyle w:val="TDC2"/>
            <w:tabs>
              <w:tab w:val="right" w:leader="dot" w:pos="10070"/>
            </w:tabs>
            <w:rPr>
              <w:rFonts w:ascii="Verdana" w:eastAsiaTheme="minorEastAsia" w:hAnsi="Verdana" w:cstheme="minorBidi"/>
              <w:noProof/>
              <w:sz w:val="18"/>
              <w:szCs w:val="18"/>
              <w:lang w:val="es-CR" w:eastAsia="es-CR"/>
            </w:rPr>
          </w:pPr>
          <w:hyperlink w:anchor="_Toc125037495" w:history="1">
            <w:r w:rsidR="002F1E4F" w:rsidRPr="00AC4FA9">
              <w:rPr>
                <w:rStyle w:val="Hipervnculo"/>
                <w:rFonts w:ascii="Verdana" w:hAnsi="Verdana" w:cs="Arial"/>
                <w:b/>
                <w:bCs/>
                <w:noProof/>
                <w:sz w:val="18"/>
                <w:szCs w:val="18"/>
                <w:lang w:val="es-ES"/>
              </w:rPr>
              <w:t>A. Proceso penal y administrativo</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_Toc125037495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39</w:t>
            </w:r>
            <w:r w:rsidR="002F1E4F" w:rsidRPr="00AC4FA9">
              <w:rPr>
                <w:rFonts w:ascii="Verdana" w:hAnsi="Verdana"/>
                <w:noProof/>
                <w:webHidden/>
                <w:sz w:val="18"/>
                <w:szCs w:val="18"/>
              </w:rPr>
              <w:fldChar w:fldCharType="end"/>
            </w:r>
          </w:hyperlink>
        </w:p>
        <w:p w14:paraId="5A7327D0" w14:textId="0360E6DB"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96" w:history="1">
            <w:r w:rsidR="002F1E4F" w:rsidRPr="00AC4FA9">
              <w:rPr>
                <w:rStyle w:val="Hipervnculo"/>
                <w:rFonts w:ascii="Verdana" w:hAnsi="Verdana" w:cs="Arial"/>
                <w:noProof/>
                <w:sz w:val="18"/>
                <w:szCs w:val="18"/>
                <w:lang w:val="es-ES"/>
              </w:rPr>
              <w:t>A.1. Proceso Penal “Ministerio Público c/Franz Pizarro Solano y otros”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_Toc125037496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39</w:t>
            </w:r>
            <w:r w:rsidR="002F1E4F" w:rsidRPr="00AC4FA9">
              <w:rPr>
                <w:rFonts w:ascii="Verdana" w:hAnsi="Verdana"/>
                <w:noProof/>
                <w:webHidden/>
                <w:sz w:val="18"/>
                <w:szCs w:val="18"/>
              </w:rPr>
              <w:fldChar w:fldCharType="end"/>
            </w:r>
          </w:hyperlink>
        </w:p>
        <w:p w14:paraId="0ECB3666" w14:textId="0749512B" w:rsidR="002F1E4F" w:rsidRPr="00AC4FA9" w:rsidRDefault="00000000" w:rsidP="007B5FD8">
          <w:pPr>
            <w:pStyle w:val="TDC3"/>
            <w:tabs>
              <w:tab w:val="right" w:leader="dot" w:pos="10070"/>
            </w:tabs>
            <w:ind w:left="567"/>
            <w:rPr>
              <w:rFonts w:ascii="Verdana" w:eastAsiaTheme="minorEastAsia" w:hAnsi="Verdana" w:cstheme="minorBidi"/>
              <w:noProof/>
              <w:sz w:val="18"/>
              <w:szCs w:val="18"/>
              <w:lang w:val="es-CR" w:eastAsia="es-CR"/>
            </w:rPr>
          </w:pPr>
          <w:hyperlink w:anchor="_Toc125037497" w:history="1">
            <w:r w:rsidR="002F1E4F" w:rsidRPr="00AC4FA9">
              <w:rPr>
                <w:rStyle w:val="Hipervnculo"/>
                <w:rFonts w:ascii="Verdana" w:hAnsi="Verdana" w:cs="Arial"/>
                <w:noProof/>
                <w:sz w:val="18"/>
                <w:szCs w:val="18"/>
                <w:lang w:val="es-ES"/>
              </w:rPr>
              <w:t>A.1.1. A</w:t>
            </w:r>
            <w:r w:rsidR="00AD31B3" w:rsidRPr="00AC4FA9">
              <w:rPr>
                <w:rStyle w:val="Hipervnculo"/>
                <w:rFonts w:ascii="Verdana" w:hAnsi="Verdana" w:cs="Arial"/>
                <w:noProof/>
                <w:sz w:val="18"/>
                <w:szCs w:val="18"/>
                <w:lang w:val="es-ES"/>
              </w:rPr>
              <w:t>legatos de la Comisión y las partes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_Toc125037497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39</w:t>
            </w:r>
            <w:r w:rsidR="002F1E4F" w:rsidRPr="00AC4FA9">
              <w:rPr>
                <w:rFonts w:ascii="Verdana" w:hAnsi="Verdana"/>
                <w:noProof/>
                <w:webHidden/>
                <w:sz w:val="18"/>
                <w:szCs w:val="18"/>
              </w:rPr>
              <w:fldChar w:fldCharType="end"/>
            </w:r>
          </w:hyperlink>
        </w:p>
        <w:p w14:paraId="24F2A6BF" w14:textId="12DA83FF"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498" w:history="1">
            <w:r w:rsidR="002F1E4F" w:rsidRPr="00AC4FA9">
              <w:rPr>
                <w:rStyle w:val="Hipervnculo"/>
                <w:rFonts w:ascii="Verdana" w:hAnsi="Verdana" w:cs="Arial"/>
                <w:noProof/>
                <w:sz w:val="18"/>
                <w:szCs w:val="18"/>
                <w:lang w:val="es-ES"/>
              </w:rPr>
              <w:t>A.2. Procedimiento administrativo ante las Fuerzas Armadas derivado de la Resolución Ministerial No. 316/09</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_Toc125037498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40</w:t>
            </w:r>
            <w:r w:rsidR="002F1E4F" w:rsidRPr="00AC4FA9">
              <w:rPr>
                <w:rFonts w:ascii="Verdana" w:hAnsi="Verdana"/>
                <w:noProof/>
                <w:webHidden/>
                <w:sz w:val="18"/>
                <w:szCs w:val="18"/>
              </w:rPr>
              <w:fldChar w:fldCharType="end"/>
            </w:r>
          </w:hyperlink>
        </w:p>
        <w:p w14:paraId="0BF3B000" w14:textId="690CC1C6" w:rsidR="002F1E4F" w:rsidRPr="00AC4FA9" w:rsidRDefault="00000000" w:rsidP="007B5FD8">
          <w:pPr>
            <w:pStyle w:val="TDC3"/>
            <w:tabs>
              <w:tab w:val="right" w:leader="dot" w:pos="10070"/>
            </w:tabs>
            <w:ind w:left="567"/>
            <w:rPr>
              <w:rFonts w:ascii="Verdana" w:eastAsiaTheme="minorEastAsia" w:hAnsi="Verdana" w:cstheme="minorBidi"/>
              <w:noProof/>
              <w:sz w:val="18"/>
              <w:szCs w:val="18"/>
              <w:lang w:val="es-CR" w:eastAsia="es-CR"/>
            </w:rPr>
          </w:pPr>
          <w:hyperlink w:anchor="_Toc125037499" w:history="1">
            <w:r w:rsidR="002F1E4F" w:rsidRPr="00AC4FA9">
              <w:rPr>
                <w:rStyle w:val="Hipervnculo"/>
                <w:rFonts w:ascii="Verdana" w:hAnsi="Verdana" w:cs="Arial"/>
                <w:noProof/>
                <w:sz w:val="18"/>
                <w:szCs w:val="18"/>
                <w:lang w:val="es-ES"/>
              </w:rPr>
              <w:t>A.2.1. A</w:t>
            </w:r>
            <w:r w:rsidR="00AD31B3" w:rsidRPr="00AC4FA9">
              <w:rPr>
                <w:rStyle w:val="Hipervnculo"/>
                <w:rFonts w:ascii="Verdana" w:hAnsi="Verdana" w:cs="Arial"/>
                <w:noProof/>
                <w:sz w:val="18"/>
                <w:szCs w:val="18"/>
                <w:lang w:val="es-ES"/>
              </w:rPr>
              <w:t>legatos de la Comisión y las partes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_Toc125037499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40</w:t>
            </w:r>
            <w:r w:rsidR="002F1E4F" w:rsidRPr="00AC4FA9">
              <w:rPr>
                <w:rFonts w:ascii="Verdana" w:hAnsi="Verdana"/>
                <w:noProof/>
                <w:webHidden/>
                <w:sz w:val="18"/>
                <w:szCs w:val="18"/>
              </w:rPr>
              <w:fldChar w:fldCharType="end"/>
            </w:r>
          </w:hyperlink>
        </w:p>
        <w:p w14:paraId="1EB3B5D6" w14:textId="309891AF"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500" w:history="1">
            <w:r w:rsidR="002F1E4F" w:rsidRPr="00AC4FA9">
              <w:rPr>
                <w:rStyle w:val="Hipervnculo"/>
                <w:rFonts w:ascii="Verdana" w:hAnsi="Verdana"/>
                <w:b/>
                <w:bCs/>
                <w:noProof/>
                <w:sz w:val="18"/>
                <w:szCs w:val="18"/>
                <w:lang w:val="es-ES"/>
              </w:rPr>
              <w:t>B.</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b/>
                <w:bCs/>
                <w:noProof/>
                <w:sz w:val="18"/>
                <w:szCs w:val="18"/>
                <w:lang w:val="es-ES"/>
              </w:rPr>
              <w:t>Consideraciones de la Corte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_Toc125037500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40</w:t>
            </w:r>
            <w:r w:rsidR="002F1E4F" w:rsidRPr="00AC4FA9">
              <w:rPr>
                <w:rFonts w:ascii="Verdana" w:hAnsi="Verdana"/>
                <w:noProof/>
                <w:webHidden/>
                <w:sz w:val="18"/>
                <w:szCs w:val="18"/>
              </w:rPr>
              <w:fldChar w:fldCharType="end"/>
            </w:r>
          </w:hyperlink>
        </w:p>
        <w:p w14:paraId="6F53914E" w14:textId="3DAFC2EC"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501" w:history="1">
            <w:r w:rsidR="002F1E4F" w:rsidRPr="00AC4FA9">
              <w:rPr>
                <w:rStyle w:val="Hipervnculo"/>
                <w:rFonts w:ascii="Verdana" w:hAnsi="Verdana" w:cs="Arial"/>
                <w:noProof/>
                <w:sz w:val="18"/>
                <w:szCs w:val="18"/>
                <w:lang w:val="es-ES"/>
              </w:rPr>
              <w:t>B.1. El acceso a la información en casos de desaparición forzada de personas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_Toc125037501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40</w:t>
            </w:r>
            <w:r w:rsidR="002F1E4F" w:rsidRPr="00AC4FA9">
              <w:rPr>
                <w:rFonts w:ascii="Verdana" w:hAnsi="Verdana"/>
                <w:noProof/>
                <w:webHidden/>
                <w:sz w:val="18"/>
                <w:szCs w:val="18"/>
              </w:rPr>
              <w:fldChar w:fldCharType="end"/>
            </w:r>
          </w:hyperlink>
        </w:p>
        <w:p w14:paraId="73FA50DF" w14:textId="1463168F" w:rsidR="002F1E4F" w:rsidRPr="00AC4FA9" w:rsidRDefault="00000000">
          <w:pPr>
            <w:pStyle w:val="TDC3"/>
            <w:tabs>
              <w:tab w:val="right" w:leader="dot" w:pos="10070"/>
            </w:tabs>
            <w:rPr>
              <w:rFonts w:ascii="Verdana" w:eastAsiaTheme="minorEastAsia" w:hAnsi="Verdana" w:cstheme="minorBidi"/>
              <w:noProof/>
              <w:sz w:val="18"/>
              <w:szCs w:val="18"/>
              <w:lang w:val="es-CR" w:eastAsia="es-CR"/>
            </w:rPr>
          </w:pPr>
          <w:hyperlink w:anchor="_Toc125037502" w:history="1">
            <w:r w:rsidR="002F1E4F" w:rsidRPr="00AC4FA9">
              <w:rPr>
                <w:rStyle w:val="Hipervnculo"/>
                <w:rFonts w:ascii="Verdana" w:hAnsi="Verdana"/>
                <w:noProof/>
                <w:sz w:val="18"/>
                <w:szCs w:val="18"/>
                <w:lang w:val="es-ES"/>
              </w:rPr>
              <w:t>B.2. Análisis del caso concreto</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_Toc125037502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43</w:t>
            </w:r>
            <w:r w:rsidR="002F1E4F" w:rsidRPr="00AC4FA9">
              <w:rPr>
                <w:rFonts w:ascii="Verdana" w:hAnsi="Verdana"/>
                <w:noProof/>
                <w:webHidden/>
                <w:sz w:val="18"/>
                <w:szCs w:val="18"/>
              </w:rPr>
              <w:fldChar w:fldCharType="end"/>
            </w:r>
          </w:hyperlink>
        </w:p>
        <w:p w14:paraId="64FD7ECF" w14:textId="1B0323CE" w:rsidR="002F1E4F" w:rsidRPr="00AC4FA9" w:rsidRDefault="00000000" w:rsidP="007B5FD8">
          <w:pPr>
            <w:pStyle w:val="TDC3"/>
            <w:tabs>
              <w:tab w:val="right" w:leader="dot" w:pos="10070"/>
            </w:tabs>
            <w:ind w:left="567"/>
            <w:rPr>
              <w:rFonts w:ascii="Verdana" w:eastAsiaTheme="minorEastAsia" w:hAnsi="Verdana" w:cstheme="minorBidi"/>
              <w:noProof/>
              <w:sz w:val="18"/>
              <w:szCs w:val="18"/>
              <w:lang w:val="es-CR" w:eastAsia="es-CR"/>
            </w:rPr>
          </w:pPr>
          <w:hyperlink w:anchor="_Toc125037503" w:history="1">
            <w:r w:rsidR="002F1E4F" w:rsidRPr="00AC4FA9">
              <w:rPr>
                <w:rStyle w:val="Hipervnculo"/>
                <w:rFonts w:ascii="Verdana" w:hAnsi="Verdana"/>
                <w:noProof/>
                <w:sz w:val="18"/>
                <w:szCs w:val="18"/>
                <w:lang w:val="es-ES"/>
              </w:rPr>
              <w:t>B.2.1 Marco normativo interno sobre el derecho de acceso a la información</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_Toc125037503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43</w:t>
            </w:r>
            <w:r w:rsidR="002F1E4F" w:rsidRPr="00AC4FA9">
              <w:rPr>
                <w:rFonts w:ascii="Verdana" w:hAnsi="Verdana"/>
                <w:noProof/>
                <w:webHidden/>
                <w:sz w:val="18"/>
                <w:szCs w:val="18"/>
              </w:rPr>
              <w:fldChar w:fldCharType="end"/>
            </w:r>
          </w:hyperlink>
        </w:p>
        <w:p w14:paraId="6BF6B884" w14:textId="1872AADF" w:rsidR="002F1E4F" w:rsidRPr="00AC4FA9" w:rsidRDefault="00000000" w:rsidP="007B5FD8">
          <w:pPr>
            <w:pStyle w:val="TDC3"/>
            <w:tabs>
              <w:tab w:val="right" w:leader="dot" w:pos="10070"/>
            </w:tabs>
            <w:ind w:left="567"/>
            <w:rPr>
              <w:rFonts w:ascii="Verdana" w:eastAsiaTheme="minorEastAsia" w:hAnsi="Verdana" w:cstheme="minorBidi"/>
              <w:noProof/>
              <w:sz w:val="18"/>
              <w:szCs w:val="18"/>
              <w:lang w:val="es-CR" w:eastAsia="es-CR"/>
            </w:rPr>
          </w:pPr>
          <w:hyperlink w:anchor="_Toc125037504" w:history="1">
            <w:r w:rsidR="002F1E4F" w:rsidRPr="00AC4FA9">
              <w:rPr>
                <w:rStyle w:val="Hipervnculo"/>
                <w:rFonts w:ascii="Verdana" w:hAnsi="Verdana"/>
                <w:noProof/>
                <w:sz w:val="18"/>
                <w:szCs w:val="18"/>
                <w:lang w:val="es-ES"/>
              </w:rPr>
              <w:t>B.2.2 Proceso penal “Ministerio Público c/Franz Pizarro Solano y otros”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_Toc125037504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44</w:t>
            </w:r>
            <w:r w:rsidR="002F1E4F" w:rsidRPr="00AC4FA9">
              <w:rPr>
                <w:rFonts w:ascii="Verdana" w:hAnsi="Verdana"/>
                <w:noProof/>
                <w:webHidden/>
                <w:sz w:val="18"/>
                <w:szCs w:val="18"/>
              </w:rPr>
              <w:fldChar w:fldCharType="end"/>
            </w:r>
          </w:hyperlink>
        </w:p>
        <w:p w14:paraId="7311A0AD" w14:textId="031D2A3E" w:rsidR="002F1E4F" w:rsidRPr="00AC4FA9" w:rsidRDefault="00000000" w:rsidP="007B5FD8">
          <w:pPr>
            <w:pStyle w:val="TDC3"/>
            <w:tabs>
              <w:tab w:val="right" w:leader="dot" w:pos="10070"/>
            </w:tabs>
            <w:ind w:left="567"/>
            <w:rPr>
              <w:rFonts w:ascii="Verdana" w:eastAsiaTheme="minorEastAsia" w:hAnsi="Verdana" w:cstheme="minorBidi"/>
              <w:noProof/>
              <w:sz w:val="18"/>
              <w:szCs w:val="18"/>
              <w:lang w:val="es-CR" w:eastAsia="es-CR"/>
            </w:rPr>
          </w:pPr>
          <w:hyperlink w:anchor="_Toc125037505" w:history="1">
            <w:r w:rsidR="002F1E4F" w:rsidRPr="00AC4FA9">
              <w:rPr>
                <w:rStyle w:val="Hipervnculo"/>
                <w:rFonts w:ascii="Verdana" w:hAnsi="Verdana"/>
                <w:noProof/>
                <w:sz w:val="18"/>
                <w:szCs w:val="18"/>
                <w:lang w:val="es-ES"/>
              </w:rPr>
              <w:t>B.2.3 Procedimiento administrativo por Resolución Ministerial No. 316/09</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_Toc125037505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45</w:t>
            </w:r>
            <w:r w:rsidR="002F1E4F" w:rsidRPr="00AC4FA9">
              <w:rPr>
                <w:rFonts w:ascii="Verdana" w:hAnsi="Verdana"/>
                <w:noProof/>
                <w:webHidden/>
                <w:sz w:val="18"/>
                <w:szCs w:val="18"/>
              </w:rPr>
              <w:fldChar w:fldCharType="end"/>
            </w:r>
          </w:hyperlink>
        </w:p>
        <w:p w14:paraId="7BB37954" w14:textId="037E4181" w:rsidR="002F1E4F" w:rsidRPr="00AC4FA9" w:rsidRDefault="007B5FD8">
          <w:pPr>
            <w:pStyle w:val="TDC1"/>
            <w:tabs>
              <w:tab w:val="right" w:leader="dot" w:pos="10070"/>
            </w:tabs>
            <w:rPr>
              <w:rFonts w:ascii="Verdana" w:eastAsiaTheme="minorEastAsia" w:hAnsi="Verdana" w:cstheme="minorBidi"/>
              <w:noProof/>
              <w:sz w:val="18"/>
              <w:szCs w:val="18"/>
              <w:lang w:val="es-CR" w:eastAsia="es-CR"/>
            </w:rPr>
          </w:pPr>
          <w:r w:rsidRPr="00AC4FA9">
            <w:rPr>
              <w:rFonts w:ascii="Verdana" w:hAnsi="Verdana"/>
              <w:b/>
              <w:bCs/>
              <w:noProof/>
              <w:sz w:val="18"/>
              <w:szCs w:val="18"/>
            </w:rPr>
            <w:t xml:space="preserve">VII-IV </w:t>
          </w:r>
          <w:hyperlink w:anchor="_Toc125037507" w:history="1">
            <w:r w:rsidR="002F1E4F" w:rsidRPr="00AC4FA9">
              <w:rPr>
                <w:rStyle w:val="Hipervnculo"/>
                <w:rFonts w:ascii="Verdana" w:hAnsi="Verdana"/>
                <w:b/>
                <w:bCs/>
                <w:noProof/>
                <w:sz w:val="18"/>
                <w:szCs w:val="18"/>
                <w:lang w:val="es-ES"/>
              </w:rPr>
              <w:t>DERECHO A LA INTEGRIDAD PERSONAL,</w:t>
            </w:r>
            <w:r w:rsidRPr="00AC4FA9">
              <w:rPr>
                <w:rStyle w:val="Hipervnculo"/>
                <w:rFonts w:ascii="Verdana" w:hAnsi="Verdana"/>
                <w:b/>
                <w:bCs/>
                <w:noProof/>
                <w:sz w:val="18"/>
                <w:szCs w:val="18"/>
                <w:lang w:val="es-ES"/>
              </w:rPr>
              <w:t xml:space="preserve"> EN RELACIÓN CON EL DEBER DE RESPETAR Y GARANTIZAR LOS DERECHOS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_Toc125037507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47</w:t>
            </w:r>
            <w:r w:rsidR="002F1E4F" w:rsidRPr="00AC4FA9">
              <w:rPr>
                <w:rFonts w:ascii="Verdana" w:hAnsi="Verdana"/>
                <w:noProof/>
                <w:webHidden/>
                <w:sz w:val="18"/>
                <w:szCs w:val="18"/>
              </w:rPr>
              <w:fldChar w:fldCharType="end"/>
            </w:r>
          </w:hyperlink>
        </w:p>
        <w:p w14:paraId="256D1563" w14:textId="2B11187A"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509" w:history="1">
            <w:r w:rsidR="002F1E4F" w:rsidRPr="00AC4FA9">
              <w:rPr>
                <w:rStyle w:val="Hipervnculo"/>
                <w:rFonts w:ascii="Verdana" w:hAnsi="Verdana"/>
                <w:b/>
                <w:bCs/>
                <w:noProof/>
                <w:sz w:val="18"/>
                <w:szCs w:val="18"/>
                <w:lang w:val="es-ES"/>
              </w:rPr>
              <w:t>A.</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b/>
                <w:bCs/>
                <w:noProof/>
                <w:sz w:val="18"/>
                <w:szCs w:val="18"/>
                <w:lang w:val="es-ES"/>
              </w:rPr>
              <w:t>Alegatos de la Comisión y las partes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_Toc125037509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47</w:t>
            </w:r>
            <w:r w:rsidR="002F1E4F" w:rsidRPr="00AC4FA9">
              <w:rPr>
                <w:rFonts w:ascii="Verdana" w:hAnsi="Verdana"/>
                <w:noProof/>
                <w:webHidden/>
                <w:sz w:val="18"/>
                <w:szCs w:val="18"/>
              </w:rPr>
              <w:fldChar w:fldCharType="end"/>
            </w:r>
          </w:hyperlink>
        </w:p>
        <w:p w14:paraId="64DA2D10" w14:textId="6B334CD5"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510" w:history="1">
            <w:r w:rsidR="002F1E4F" w:rsidRPr="00AC4FA9">
              <w:rPr>
                <w:rStyle w:val="Hipervnculo"/>
                <w:rFonts w:ascii="Verdana" w:hAnsi="Verdana"/>
                <w:b/>
                <w:bCs/>
                <w:noProof/>
                <w:sz w:val="18"/>
                <w:szCs w:val="18"/>
                <w:lang w:val="es-ES"/>
              </w:rPr>
              <w:t>B.</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b/>
                <w:bCs/>
                <w:noProof/>
                <w:sz w:val="18"/>
                <w:szCs w:val="18"/>
                <w:lang w:val="es-ES"/>
              </w:rPr>
              <w:t>Consideraciones de la Corte</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_Toc125037510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48</w:t>
            </w:r>
            <w:r w:rsidR="002F1E4F" w:rsidRPr="00AC4FA9">
              <w:rPr>
                <w:rFonts w:ascii="Verdana" w:hAnsi="Verdana"/>
                <w:noProof/>
                <w:webHidden/>
                <w:sz w:val="18"/>
                <w:szCs w:val="18"/>
              </w:rPr>
              <w:fldChar w:fldCharType="end"/>
            </w:r>
          </w:hyperlink>
        </w:p>
        <w:p w14:paraId="20FF9E33" w14:textId="610A2FB5" w:rsidR="002F1E4F" w:rsidRPr="00AC4FA9" w:rsidRDefault="00000000">
          <w:pPr>
            <w:pStyle w:val="TDC1"/>
            <w:tabs>
              <w:tab w:val="right" w:leader="dot" w:pos="10070"/>
            </w:tabs>
            <w:rPr>
              <w:rFonts w:ascii="Verdana" w:eastAsiaTheme="minorEastAsia" w:hAnsi="Verdana" w:cstheme="minorBidi"/>
              <w:noProof/>
              <w:sz w:val="18"/>
              <w:szCs w:val="18"/>
              <w:lang w:val="es-CR" w:eastAsia="es-CR"/>
            </w:rPr>
          </w:pPr>
          <w:hyperlink w:anchor="_Toc125037511" w:history="1">
            <w:r w:rsidR="002F1E4F" w:rsidRPr="00AC4FA9">
              <w:rPr>
                <w:rStyle w:val="Hipervnculo"/>
                <w:rFonts w:ascii="Verdana" w:hAnsi="Verdana"/>
                <w:b/>
                <w:bCs/>
                <w:noProof/>
                <w:sz w:val="18"/>
                <w:szCs w:val="18"/>
                <w:lang w:val="es-ES"/>
              </w:rPr>
              <w:t>VIII REPARACIONES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_Toc125037511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50</w:t>
            </w:r>
            <w:r w:rsidR="002F1E4F" w:rsidRPr="00AC4FA9">
              <w:rPr>
                <w:rFonts w:ascii="Verdana" w:hAnsi="Verdana"/>
                <w:noProof/>
                <w:webHidden/>
                <w:sz w:val="18"/>
                <w:szCs w:val="18"/>
              </w:rPr>
              <w:fldChar w:fldCharType="end"/>
            </w:r>
          </w:hyperlink>
        </w:p>
        <w:p w14:paraId="0964C6C6" w14:textId="321F690D"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512" w:history="1">
            <w:r w:rsidR="002F1E4F" w:rsidRPr="00AC4FA9">
              <w:rPr>
                <w:rStyle w:val="Hipervnculo"/>
                <w:rFonts w:ascii="Verdana" w:hAnsi="Verdana"/>
                <w:b/>
                <w:bCs/>
                <w:noProof/>
                <w:sz w:val="18"/>
                <w:szCs w:val="18"/>
                <w:lang w:val="es-ES"/>
              </w:rPr>
              <w:t>A.</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b/>
                <w:bCs/>
                <w:noProof/>
                <w:sz w:val="18"/>
                <w:szCs w:val="18"/>
                <w:lang w:val="es-ES"/>
              </w:rPr>
              <w:t>Parte Lesionada</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_Toc125037512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51</w:t>
            </w:r>
            <w:r w:rsidR="002F1E4F" w:rsidRPr="00AC4FA9">
              <w:rPr>
                <w:rFonts w:ascii="Verdana" w:hAnsi="Verdana"/>
                <w:noProof/>
                <w:webHidden/>
                <w:sz w:val="18"/>
                <w:szCs w:val="18"/>
              </w:rPr>
              <w:fldChar w:fldCharType="end"/>
            </w:r>
          </w:hyperlink>
        </w:p>
        <w:p w14:paraId="7A2A4EE7" w14:textId="01836F50"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513" w:history="1">
            <w:r w:rsidR="002F1E4F" w:rsidRPr="00AC4FA9">
              <w:rPr>
                <w:rStyle w:val="Hipervnculo"/>
                <w:rFonts w:ascii="Verdana" w:hAnsi="Verdana"/>
                <w:b/>
                <w:bCs/>
                <w:noProof/>
                <w:sz w:val="18"/>
                <w:szCs w:val="18"/>
                <w:lang w:val="es-ES"/>
              </w:rPr>
              <w:t>B.</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b/>
                <w:bCs/>
                <w:noProof/>
                <w:sz w:val="18"/>
                <w:szCs w:val="18"/>
                <w:lang w:val="es-ES"/>
              </w:rPr>
              <w:t>Obligación de investigar los hechos, juzgar y, en su caso, sancionar a los responsables y determinar el paradero de la víctima</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_Toc125037513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52</w:t>
            </w:r>
            <w:r w:rsidR="002F1E4F" w:rsidRPr="00AC4FA9">
              <w:rPr>
                <w:rFonts w:ascii="Verdana" w:hAnsi="Verdana"/>
                <w:noProof/>
                <w:webHidden/>
                <w:sz w:val="18"/>
                <w:szCs w:val="18"/>
              </w:rPr>
              <w:fldChar w:fldCharType="end"/>
            </w:r>
          </w:hyperlink>
        </w:p>
        <w:p w14:paraId="4421DDDE" w14:textId="2495B6E1"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514" w:history="1">
            <w:r w:rsidR="002F1E4F" w:rsidRPr="00AC4FA9">
              <w:rPr>
                <w:rStyle w:val="Hipervnculo"/>
                <w:rFonts w:ascii="Verdana" w:hAnsi="Verdana"/>
                <w:b/>
                <w:bCs/>
                <w:noProof/>
                <w:sz w:val="18"/>
                <w:szCs w:val="18"/>
                <w:lang w:val="es-ES"/>
              </w:rPr>
              <w:t>C.</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b/>
                <w:bCs/>
                <w:noProof/>
                <w:sz w:val="18"/>
                <w:szCs w:val="18"/>
                <w:lang w:val="es-ES"/>
              </w:rPr>
              <w:t>Medidas de rehabilitación, satisfacción y garantías de no repetición</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_Toc125037514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54</w:t>
            </w:r>
            <w:r w:rsidR="002F1E4F" w:rsidRPr="00AC4FA9">
              <w:rPr>
                <w:rFonts w:ascii="Verdana" w:hAnsi="Verdana"/>
                <w:noProof/>
                <w:webHidden/>
                <w:sz w:val="18"/>
                <w:szCs w:val="18"/>
              </w:rPr>
              <w:fldChar w:fldCharType="end"/>
            </w:r>
          </w:hyperlink>
        </w:p>
        <w:p w14:paraId="6249617E" w14:textId="6F14A728"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515" w:history="1">
            <w:r w:rsidR="002F1E4F" w:rsidRPr="00AC4FA9">
              <w:rPr>
                <w:rStyle w:val="Hipervnculo"/>
                <w:rFonts w:ascii="Verdana" w:hAnsi="Verdana"/>
                <w:b/>
                <w:bCs/>
                <w:noProof/>
                <w:sz w:val="18"/>
                <w:szCs w:val="18"/>
                <w:lang w:val="es-ES"/>
              </w:rPr>
              <w:t>D.</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b/>
                <w:bCs/>
                <w:noProof/>
                <w:sz w:val="18"/>
                <w:szCs w:val="18"/>
                <w:lang w:val="es-ES"/>
              </w:rPr>
              <w:t>Indemnizaciones compensatorias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_Toc125037515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57</w:t>
            </w:r>
            <w:r w:rsidR="002F1E4F" w:rsidRPr="00AC4FA9">
              <w:rPr>
                <w:rFonts w:ascii="Verdana" w:hAnsi="Verdana"/>
                <w:noProof/>
                <w:webHidden/>
                <w:sz w:val="18"/>
                <w:szCs w:val="18"/>
              </w:rPr>
              <w:fldChar w:fldCharType="end"/>
            </w:r>
          </w:hyperlink>
        </w:p>
        <w:p w14:paraId="342E026E" w14:textId="4EDFDA34" w:rsidR="002F1E4F" w:rsidRPr="00AC4FA9" w:rsidRDefault="00000000">
          <w:pPr>
            <w:pStyle w:val="TDC2"/>
            <w:tabs>
              <w:tab w:val="left" w:pos="660"/>
              <w:tab w:val="right" w:leader="dot" w:pos="10070"/>
            </w:tabs>
            <w:rPr>
              <w:rFonts w:ascii="Verdana" w:eastAsiaTheme="minorEastAsia" w:hAnsi="Verdana" w:cstheme="minorBidi"/>
              <w:noProof/>
              <w:sz w:val="18"/>
              <w:szCs w:val="18"/>
              <w:lang w:val="es-CR" w:eastAsia="es-CR"/>
            </w:rPr>
          </w:pPr>
          <w:hyperlink w:anchor="_Toc125037516" w:history="1">
            <w:r w:rsidR="002F1E4F" w:rsidRPr="00AC4FA9">
              <w:rPr>
                <w:rStyle w:val="Hipervnculo"/>
                <w:rFonts w:ascii="Verdana" w:hAnsi="Verdana"/>
                <w:b/>
                <w:bCs/>
                <w:noProof/>
                <w:sz w:val="18"/>
                <w:szCs w:val="18"/>
                <w:lang w:val="es-ES"/>
              </w:rPr>
              <w:t>E.</w:t>
            </w:r>
            <w:r w:rsidR="002F1E4F" w:rsidRPr="00AC4FA9">
              <w:rPr>
                <w:rFonts w:ascii="Verdana" w:eastAsiaTheme="minorEastAsia" w:hAnsi="Verdana" w:cstheme="minorBidi"/>
                <w:noProof/>
                <w:sz w:val="18"/>
                <w:szCs w:val="18"/>
                <w:lang w:val="es-CR" w:eastAsia="es-CR"/>
              </w:rPr>
              <w:tab/>
            </w:r>
            <w:r w:rsidR="002F1E4F" w:rsidRPr="00AC4FA9">
              <w:rPr>
                <w:rStyle w:val="Hipervnculo"/>
                <w:rFonts w:ascii="Verdana" w:hAnsi="Verdana"/>
                <w:b/>
                <w:bCs/>
                <w:noProof/>
                <w:sz w:val="18"/>
                <w:szCs w:val="18"/>
                <w:lang w:val="es-ES"/>
              </w:rPr>
              <w:t>Costas y Gastos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_Toc125037516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60</w:t>
            </w:r>
            <w:r w:rsidR="002F1E4F" w:rsidRPr="00AC4FA9">
              <w:rPr>
                <w:rFonts w:ascii="Verdana" w:hAnsi="Verdana"/>
                <w:noProof/>
                <w:webHidden/>
                <w:sz w:val="18"/>
                <w:szCs w:val="18"/>
              </w:rPr>
              <w:fldChar w:fldCharType="end"/>
            </w:r>
          </w:hyperlink>
        </w:p>
        <w:p w14:paraId="641FFFC3" w14:textId="584D45C5" w:rsidR="002F1E4F" w:rsidRPr="00AC4FA9" w:rsidRDefault="00000000">
          <w:pPr>
            <w:pStyle w:val="TDC2"/>
            <w:tabs>
              <w:tab w:val="right" w:leader="dot" w:pos="10070"/>
            </w:tabs>
            <w:rPr>
              <w:rFonts w:ascii="Verdana" w:eastAsiaTheme="minorEastAsia" w:hAnsi="Verdana" w:cstheme="minorBidi"/>
              <w:noProof/>
              <w:sz w:val="18"/>
              <w:szCs w:val="18"/>
              <w:lang w:val="es-CR" w:eastAsia="es-CR"/>
            </w:rPr>
          </w:pPr>
          <w:hyperlink w:anchor="_Toc125037517" w:history="1">
            <w:r w:rsidR="002F1E4F" w:rsidRPr="00AC4FA9">
              <w:rPr>
                <w:rStyle w:val="Hipervnculo"/>
                <w:rFonts w:ascii="Verdana" w:hAnsi="Verdana"/>
                <w:b/>
                <w:bCs/>
                <w:noProof/>
                <w:sz w:val="18"/>
                <w:szCs w:val="18"/>
                <w:lang w:val="es-ES"/>
              </w:rPr>
              <w:t>F.  Acceso al fondo de asistencia legal a las víctimas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_Toc125037517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61</w:t>
            </w:r>
            <w:r w:rsidR="002F1E4F" w:rsidRPr="00AC4FA9">
              <w:rPr>
                <w:rFonts w:ascii="Verdana" w:hAnsi="Verdana"/>
                <w:noProof/>
                <w:webHidden/>
                <w:sz w:val="18"/>
                <w:szCs w:val="18"/>
              </w:rPr>
              <w:fldChar w:fldCharType="end"/>
            </w:r>
          </w:hyperlink>
        </w:p>
        <w:p w14:paraId="3AA3D8D2" w14:textId="219E3BC8" w:rsidR="002F1E4F" w:rsidRPr="00AC4FA9" w:rsidRDefault="00000000">
          <w:pPr>
            <w:pStyle w:val="TDC2"/>
            <w:tabs>
              <w:tab w:val="right" w:leader="dot" w:pos="10070"/>
            </w:tabs>
            <w:rPr>
              <w:rFonts w:ascii="Verdana" w:eastAsiaTheme="minorEastAsia" w:hAnsi="Verdana" w:cstheme="minorBidi"/>
              <w:noProof/>
              <w:sz w:val="18"/>
              <w:szCs w:val="18"/>
              <w:lang w:val="es-CR" w:eastAsia="es-CR"/>
            </w:rPr>
          </w:pPr>
          <w:hyperlink w:anchor="_Toc125037518" w:history="1">
            <w:r w:rsidR="002F1E4F" w:rsidRPr="00AC4FA9">
              <w:rPr>
                <w:rStyle w:val="Hipervnculo"/>
                <w:rFonts w:ascii="Verdana" w:hAnsi="Verdana"/>
                <w:b/>
                <w:bCs/>
                <w:noProof/>
                <w:sz w:val="18"/>
                <w:szCs w:val="18"/>
                <w:lang w:val="es-ES"/>
              </w:rPr>
              <w:t>G. Modalidad de cumplimiento de los pagos ordenados</w:t>
            </w:r>
            <w:r w:rsidR="002F1E4F" w:rsidRPr="00AC4FA9">
              <w:rPr>
                <w:rFonts w:ascii="Verdana" w:hAnsi="Verdana"/>
                <w:noProof/>
                <w:webHidden/>
                <w:sz w:val="18"/>
                <w:szCs w:val="18"/>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rPr>
              <w:instrText xml:space="preserve"> PAGEREF _Toc125037518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rPr>
              <w:t>62</w:t>
            </w:r>
            <w:r w:rsidR="002F1E4F" w:rsidRPr="00AC4FA9">
              <w:rPr>
                <w:rFonts w:ascii="Verdana" w:hAnsi="Verdana"/>
                <w:noProof/>
                <w:webHidden/>
                <w:sz w:val="18"/>
                <w:szCs w:val="18"/>
              </w:rPr>
              <w:fldChar w:fldCharType="end"/>
            </w:r>
          </w:hyperlink>
        </w:p>
        <w:p w14:paraId="0C6DB13E" w14:textId="0AE5B907" w:rsidR="007B5FD8" w:rsidRPr="00AC4FA9" w:rsidRDefault="007B5FD8" w:rsidP="007B5FD8">
          <w:pPr>
            <w:pStyle w:val="TDC1"/>
            <w:tabs>
              <w:tab w:val="right" w:leader="dot" w:pos="10070"/>
            </w:tabs>
            <w:rPr>
              <w:rFonts w:ascii="Verdana" w:hAnsi="Verdana"/>
              <w:sz w:val="18"/>
              <w:szCs w:val="18"/>
              <w:lang w:val="es-ES"/>
            </w:rPr>
          </w:pPr>
          <w:r w:rsidRPr="00AC4FA9">
            <w:rPr>
              <w:rFonts w:ascii="Verdana" w:hAnsi="Verdana"/>
              <w:b/>
              <w:bCs/>
              <w:noProof/>
              <w:sz w:val="18"/>
              <w:szCs w:val="18"/>
              <w:lang w:val="es-ES"/>
            </w:rPr>
            <w:t>IX</w:t>
          </w:r>
          <w:r w:rsidRPr="00AC4FA9">
            <w:rPr>
              <w:rFonts w:ascii="Verdana" w:hAnsi="Verdana"/>
              <w:noProof/>
              <w:sz w:val="18"/>
              <w:szCs w:val="18"/>
              <w:lang w:val="es-ES"/>
            </w:rPr>
            <w:t xml:space="preserve"> </w:t>
          </w:r>
          <w:hyperlink w:anchor="_Toc125037520" w:history="1">
            <w:r w:rsidR="002F1E4F" w:rsidRPr="00AC4FA9">
              <w:rPr>
                <w:rStyle w:val="Hipervnculo"/>
                <w:rFonts w:ascii="Verdana" w:hAnsi="Verdana"/>
                <w:b/>
                <w:bCs/>
                <w:noProof/>
                <w:sz w:val="18"/>
                <w:szCs w:val="18"/>
                <w:lang w:val="es-ES"/>
              </w:rPr>
              <w:t>PUNTOS RESOLUTIVOS</w:t>
            </w:r>
            <w:r w:rsidR="002F1E4F" w:rsidRPr="00AC4FA9">
              <w:rPr>
                <w:rFonts w:ascii="Verdana" w:hAnsi="Verdana"/>
                <w:noProof/>
                <w:webHidden/>
                <w:sz w:val="18"/>
                <w:szCs w:val="18"/>
                <w:lang w:val="es-ES"/>
              </w:rPr>
              <w:tab/>
            </w:r>
            <w:r w:rsidR="002F1E4F" w:rsidRPr="00AC4FA9">
              <w:rPr>
                <w:rFonts w:ascii="Verdana" w:hAnsi="Verdana"/>
                <w:noProof/>
                <w:webHidden/>
                <w:sz w:val="18"/>
                <w:szCs w:val="18"/>
              </w:rPr>
              <w:fldChar w:fldCharType="begin"/>
            </w:r>
            <w:r w:rsidR="002F1E4F" w:rsidRPr="00AC4FA9">
              <w:rPr>
                <w:rFonts w:ascii="Verdana" w:hAnsi="Verdana"/>
                <w:noProof/>
                <w:webHidden/>
                <w:sz w:val="18"/>
                <w:szCs w:val="18"/>
                <w:lang w:val="es-ES"/>
              </w:rPr>
              <w:instrText xml:space="preserve"> PAGEREF _Toc125037520 \h </w:instrText>
            </w:r>
            <w:r w:rsidR="002F1E4F" w:rsidRPr="00AC4FA9">
              <w:rPr>
                <w:rFonts w:ascii="Verdana" w:hAnsi="Verdana"/>
                <w:noProof/>
                <w:webHidden/>
                <w:sz w:val="18"/>
                <w:szCs w:val="18"/>
              </w:rPr>
            </w:r>
            <w:r w:rsidR="002F1E4F" w:rsidRPr="00AC4FA9">
              <w:rPr>
                <w:rFonts w:ascii="Verdana" w:hAnsi="Verdana"/>
                <w:noProof/>
                <w:webHidden/>
                <w:sz w:val="18"/>
                <w:szCs w:val="18"/>
              </w:rPr>
              <w:fldChar w:fldCharType="separate"/>
            </w:r>
            <w:r w:rsidR="00BC5A44">
              <w:rPr>
                <w:rFonts w:ascii="Verdana" w:hAnsi="Verdana"/>
                <w:noProof/>
                <w:webHidden/>
                <w:sz w:val="18"/>
                <w:szCs w:val="18"/>
                <w:lang w:val="es-ES"/>
              </w:rPr>
              <w:t>63</w:t>
            </w:r>
            <w:r w:rsidR="002F1E4F" w:rsidRPr="00AC4FA9">
              <w:rPr>
                <w:rFonts w:ascii="Verdana" w:hAnsi="Verdana"/>
                <w:noProof/>
                <w:webHidden/>
                <w:sz w:val="18"/>
                <w:szCs w:val="18"/>
              </w:rPr>
              <w:fldChar w:fldCharType="end"/>
            </w:r>
          </w:hyperlink>
          <w:r w:rsidR="009C0AF3" w:rsidRPr="00AC4FA9">
            <w:rPr>
              <w:rFonts w:ascii="Verdana" w:hAnsi="Verdana"/>
              <w:b/>
              <w:bCs/>
              <w:sz w:val="18"/>
              <w:szCs w:val="18"/>
              <w:lang w:val="es-ES"/>
            </w:rPr>
            <w:fldChar w:fldCharType="end"/>
          </w:r>
        </w:p>
      </w:sdtContent>
    </w:sdt>
    <w:p w14:paraId="780E82DD" w14:textId="77777777" w:rsidR="00AC4FA9" w:rsidRDefault="00AC4FA9" w:rsidP="00E715E9">
      <w:pPr>
        <w:pStyle w:val="Ttulo1"/>
        <w:spacing w:before="0"/>
        <w:jc w:val="center"/>
        <w:rPr>
          <w:rFonts w:ascii="Verdana" w:hAnsi="Verdana"/>
          <w:b/>
          <w:bCs/>
          <w:color w:val="000000" w:themeColor="text1"/>
          <w:sz w:val="20"/>
          <w:szCs w:val="20"/>
          <w:lang w:val="es-ES"/>
        </w:rPr>
      </w:pPr>
      <w:bookmarkStart w:id="0" w:name="_Toc125037448"/>
      <w:bookmarkStart w:id="1" w:name="_Toc369989729"/>
      <w:bookmarkStart w:id="2" w:name="_Toc438132269"/>
      <w:bookmarkStart w:id="3" w:name="_Toc288744729"/>
      <w:bookmarkStart w:id="4" w:name="_Toc460237942"/>
      <w:bookmarkStart w:id="5" w:name="_Toc460238239"/>
      <w:bookmarkStart w:id="6" w:name="_Toc470105092"/>
    </w:p>
    <w:p w14:paraId="57BA5F61" w14:textId="557CEABE" w:rsidR="00AC4FA9" w:rsidRDefault="00AC4FA9" w:rsidP="00596AF2">
      <w:pPr>
        <w:pStyle w:val="Ttulo1"/>
        <w:spacing w:before="0"/>
        <w:rPr>
          <w:rFonts w:ascii="Verdana" w:hAnsi="Verdana"/>
          <w:b/>
          <w:bCs/>
          <w:color w:val="000000" w:themeColor="text1"/>
          <w:sz w:val="20"/>
          <w:szCs w:val="20"/>
          <w:lang w:val="es-ES"/>
        </w:rPr>
      </w:pPr>
    </w:p>
    <w:p w14:paraId="34465217" w14:textId="77777777" w:rsidR="00596AF2" w:rsidRPr="00596AF2" w:rsidRDefault="00596AF2" w:rsidP="00596AF2">
      <w:pPr>
        <w:rPr>
          <w:lang w:val="es-ES"/>
        </w:rPr>
      </w:pPr>
    </w:p>
    <w:p w14:paraId="5F2F3ECE" w14:textId="77777777" w:rsidR="00AC4FA9" w:rsidRDefault="00AC4FA9" w:rsidP="00E715E9">
      <w:pPr>
        <w:pStyle w:val="Ttulo1"/>
        <w:spacing w:before="0"/>
        <w:jc w:val="center"/>
        <w:rPr>
          <w:rFonts w:ascii="Verdana" w:hAnsi="Verdana"/>
          <w:b/>
          <w:bCs/>
          <w:color w:val="000000" w:themeColor="text1"/>
          <w:sz w:val="20"/>
          <w:szCs w:val="20"/>
          <w:lang w:val="es-ES"/>
        </w:rPr>
      </w:pPr>
    </w:p>
    <w:p w14:paraId="5B46AA31" w14:textId="77777777" w:rsidR="00AC4FA9" w:rsidRDefault="00AC4FA9" w:rsidP="00E715E9">
      <w:pPr>
        <w:pStyle w:val="Ttulo1"/>
        <w:spacing w:before="0"/>
        <w:jc w:val="center"/>
        <w:rPr>
          <w:rFonts w:ascii="Verdana" w:hAnsi="Verdana"/>
          <w:b/>
          <w:bCs/>
          <w:color w:val="000000" w:themeColor="text1"/>
          <w:sz w:val="20"/>
          <w:szCs w:val="20"/>
          <w:lang w:val="es-ES"/>
        </w:rPr>
      </w:pPr>
    </w:p>
    <w:p w14:paraId="35A8F4FE" w14:textId="32896078" w:rsidR="00E715E9" w:rsidRDefault="00E715E9" w:rsidP="00E715E9">
      <w:pPr>
        <w:pStyle w:val="Ttulo1"/>
        <w:spacing w:before="0"/>
        <w:jc w:val="center"/>
        <w:rPr>
          <w:rFonts w:ascii="Verdana" w:hAnsi="Verdana"/>
          <w:b/>
          <w:bCs/>
          <w:color w:val="000000" w:themeColor="text1"/>
          <w:sz w:val="20"/>
          <w:szCs w:val="20"/>
          <w:lang w:val="es-ES"/>
        </w:rPr>
      </w:pPr>
      <w:r>
        <w:rPr>
          <w:rFonts w:ascii="Verdana" w:hAnsi="Verdana"/>
          <w:b/>
          <w:bCs/>
          <w:color w:val="000000" w:themeColor="text1"/>
          <w:sz w:val="20"/>
          <w:szCs w:val="20"/>
          <w:lang w:val="es-ES"/>
        </w:rPr>
        <w:t>I</w:t>
      </w:r>
      <w:bookmarkEnd w:id="0"/>
    </w:p>
    <w:p w14:paraId="5F0A1131" w14:textId="62E009C1" w:rsidR="002B18E1" w:rsidRDefault="00C10DAE" w:rsidP="002B18E1">
      <w:pPr>
        <w:pStyle w:val="Ttulo1"/>
        <w:spacing w:before="0"/>
        <w:jc w:val="center"/>
        <w:rPr>
          <w:rFonts w:ascii="Verdana" w:hAnsi="Verdana"/>
          <w:b/>
          <w:bCs/>
          <w:color w:val="000000" w:themeColor="text1"/>
          <w:sz w:val="20"/>
          <w:szCs w:val="20"/>
          <w:lang w:val="es-ES"/>
        </w:rPr>
      </w:pPr>
      <w:bookmarkStart w:id="7" w:name="_Toc124157773"/>
      <w:bookmarkStart w:id="8" w:name="_Toc125037449"/>
      <w:r w:rsidRPr="00433282">
        <w:rPr>
          <w:rFonts w:ascii="Verdana" w:hAnsi="Verdana"/>
          <w:b/>
          <w:bCs/>
          <w:color w:val="000000" w:themeColor="text1"/>
          <w:sz w:val="20"/>
          <w:szCs w:val="20"/>
          <w:lang w:val="es-ES"/>
        </w:rPr>
        <w:t>INTRODUCCIÓN DE LA CAUSA Y OBJETO DE LA CONTROVERSIA</w:t>
      </w:r>
      <w:bookmarkEnd w:id="1"/>
      <w:bookmarkEnd w:id="2"/>
      <w:bookmarkEnd w:id="3"/>
      <w:bookmarkEnd w:id="4"/>
      <w:bookmarkEnd w:id="5"/>
      <w:bookmarkEnd w:id="6"/>
      <w:bookmarkEnd w:id="7"/>
      <w:bookmarkEnd w:id="8"/>
    </w:p>
    <w:p w14:paraId="47E30DE0" w14:textId="77777777" w:rsidR="002B18E1" w:rsidRPr="002B18E1" w:rsidRDefault="002B18E1" w:rsidP="002B18E1">
      <w:pPr>
        <w:rPr>
          <w:lang w:val="es-ES"/>
        </w:rPr>
      </w:pPr>
    </w:p>
    <w:p w14:paraId="7B471A5C" w14:textId="1CDC8372" w:rsidR="00A64289" w:rsidRPr="00E16922" w:rsidRDefault="00C10DAE" w:rsidP="005E070D">
      <w:pPr>
        <w:pStyle w:val="Prrafodelista"/>
      </w:pPr>
      <w:r w:rsidRPr="002E3990">
        <w:rPr>
          <w:iCs/>
        </w:rPr>
        <w:t>El</w:t>
      </w:r>
      <w:r w:rsidRPr="002E3990">
        <w:rPr>
          <w:i/>
        </w:rPr>
        <w:t xml:space="preserve"> caso sometido a la Corte.</w:t>
      </w:r>
      <w:r w:rsidRPr="002E3990">
        <w:t xml:space="preserve"> – El </w:t>
      </w:r>
      <w:r w:rsidR="00FB39D8" w:rsidRPr="002E3990">
        <w:t>18 de octubre de 2018</w:t>
      </w:r>
      <w:r w:rsidRPr="002E3990">
        <w:t xml:space="preserve"> la Comisión Interamericana d</w:t>
      </w:r>
      <w:r w:rsidR="00DB7AC5" w:rsidRPr="002E3990">
        <w:t>e Derechos Humanos (en adelante</w:t>
      </w:r>
      <w:r w:rsidRPr="002E3990">
        <w:t xml:space="preserve"> “la Comisión Interamericana” o “la Comisión”) sometió a la jurisdicción de la Corte Interamericana, de conformidad con los artículos 51 y 61 de la Convención Americana, el caso </w:t>
      </w:r>
      <w:r w:rsidR="00FB39D8" w:rsidRPr="002E3990">
        <w:rPr>
          <w:iCs/>
        </w:rPr>
        <w:t>Flores Bedregal</w:t>
      </w:r>
      <w:r w:rsidRPr="002E3990">
        <w:t xml:space="preserve"> en contra del Estado Plurinacional de Bol</w:t>
      </w:r>
      <w:r w:rsidR="00003D4D" w:rsidRPr="002E3990">
        <w:t xml:space="preserve">ivia (en adelante “el Estado” </w:t>
      </w:r>
      <w:r w:rsidRPr="002E3990">
        <w:t>o “Bolivia”)</w:t>
      </w:r>
      <w:r w:rsidR="00C85F7D" w:rsidRPr="002E3990">
        <w:t>.</w:t>
      </w:r>
      <w:r w:rsidR="00736DD6" w:rsidRPr="002E3990">
        <w:t xml:space="preserve"> </w:t>
      </w:r>
      <w:r w:rsidR="00F70FAC" w:rsidRPr="002E3990">
        <w:t>Según la Comisión, la controversia versa sobre la</w:t>
      </w:r>
      <w:r w:rsidR="000A30F4" w:rsidRPr="002E3990">
        <w:t xml:space="preserve"> </w:t>
      </w:r>
      <w:r w:rsidR="008040CC" w:rsidRPr="002E3990">
        <w:t>alegada r</w:t>
      </w:r>
      <w:r w:rsidR="00F70FAC" w:rsidRPr="002E3990">
        <w:t xml:space="preserve">esponsabilidad internacional de Bolivia </w:t>
      </w:r>
      <w:r w:rsidR="00FB39D8" w:rsidRPr="002E3990">
        <w:t>por la desaparición forzada de Juan Carlos Flores Bedregal</w:t>
      </w:r>
      <w:r w:rsidR="003814A0" w:rsidRPr="002E3990">
        <w:t xml:space="preserve"> (en adelante también “señor Flores Bedregal” o “la presunta víctima”)</w:t>
      </w:r>
      <w:r w:rsidR="00FB39D8" w:rsidRPr="002E3990">
        <w:t>, dirigente del Partido Obrero Revolucionario (en adelante “POR”) y diputado nacional</w:t>
      </w:r>
      <w:r w:rsidR="008040CC" w:rsidRPr="002E3990">
        <w:t>, presuntamente p</w:t>
      </w:r>
      <w:r w:rsidR="001E29B7" w:rsidRPr="002E3990">
        <w:t xml:space="preserve">erpetrada con la participación de las </w:t>
      </w:r>
      <w:r w:rsidR="0093309B" w:rsidRPr="002E3990">
        <w:t>Fuerzas Armadas (en adelante también “</w:t>
      </w:r>
      <w:r w:rsidR="001E29B7" w:rsidRPr="002E3990">
        <w:t>FFAA</w:t>
      </w:r>
      <w:r w:rsidR="0093309B" w:rsidRPr="002E3990">
        <w:t>”)</w:t>
      </w:r>
      <w:r w:rsidR="001E29B7" w:rsidRPr="002E3990">
        <w:t>,</w:t>
      </w:r>
      <w:r w:rsidR="00FB39D8" w:rsidRPr="002E3990">
        <w:t xml:space="preserve"> en el marco del golpe de Estado de julio de 1980 </w:t>
      </w:r>
      <w:r w:rsidR="00FB39D8" w:rsidRPr="002E3990">
        <w:rPr>
          <w:color w:val="002060"/>
        </w:rPr>
        <w:t>y</w:t>
      </w:r>
      <w:r w:rsidR="0093309B" w:rsidRPr="002E3990">
        <w:rPr>
          <w:color w:val="002060"/>
        </w:rPr>
        <w:t xml:space="preserve"> </w:t>
      </w:r>
      <w:r w:rsidR="0093309B" w:rsidRPr="002E3990">
        <w:t>por</w:t>
      </w:r>
      <w:r w:rsidR="0093309B" w:rsidRPr="002E3990">
        <w:rPr>
          <w:color w:val="7030A0"/>
        </w:rPr>
        <w:t xml:space="preserve"> </w:t>
      </w:r>
      <w:r w:rsidR="00FB39D8" w:rsidRPr="002E3990">
        <w:rPr>
          <w:color w:val="000000" w:themeColor="text1"/>
        </w:rPr>
        <w:t>la</w:t>
      </w:r>
      <w:r w:rsidR="00FB39D8" w:rsidRPr="002E3990">
        <w:t xml:space="preserve"> impunidad </w:t>
      </w:r>
      <w:r w:rsidR="001E29B7" w:rsidRPr="002E3990">
        <w:t xml:space="preserve">de estos </w:t>
      </w:r>
      <w:r w:rsidR="00FB39D8" w:rsidRPr="002E3990">
        <w:t>hechos. La Comisión determinó que el Estad</w:t>
      </w:r>
      <w:r w:rsidR="0093309B" w:rsidRPr="002E3990">
        <w:t>o</w:t>
      </w:r>
      <w:r w:rsidR="00FB39D8" w:rsidRPr="002E3990">
        <w:t xml:space="preserve"> es responsable por la violación de los derechos al reconocimiento de la personalidad jurídica, la vida, la integridad personal, la libertad personal, las garantías judiciales, la libertad de asociación, los derechos políticos, y la protección </w:t>
      </w:r>
      <w:r w:rsidR="00FB39D8" w:rsidRPr="00E16922">
        <w:t>judicial</w:t>
      </w:r>
      <w:r w:rsidR="008040CC" w:rsidRPr="00E16922">
        <w:t>,</w:t>
      </w:r>
      <w:r w:rsidR="00FB39D8" w:rsidRPr="00E16922">
        <w:t xml:space="preserve"> en perjuicio de Juan Carlos Flores Bedregal</w:t>
      </w:r>
      <w:r w:rsidR="00E83C7D" w:rsidRPr="00E16922">
        <w:t xml:space="preserve">, así como </w:t>
      </w:r>
      <w:r w:rsidR="0018662C" w:rsidRPr="00E16922">
        <w:t>por la violación de los derechos a la</w:t>
      </w:r>
      <w:r w:rsidR="000227B9" w:rsidRPr="00E16922">
        <w:t xml:space="preserve"> integridad personal, </w:t>
      </w:r>
      <w:r w:rsidR="0018662C" w:rsidRPr="00E16922">
        <w:t xml:space="preserve">garantías judiciales, libertad de </w:t>
      </w:r>
      <w:r w:rsidR="006A080C" w:rsidRPr="00E16922">
        <w:t xml:space="preserve">pensamiento y de </w:t>
      </w:r>
      <w:r w:rsidR="0018662C" w:rsidRPr="00E16922">
        <w:t xml:space="preserve">expresión y protección judicial </w:t>
      </w:r>
      <w:r w:rsidR="005B0330" w:rsidRPr="00E16922">
        <w:t xml:space="preserve">en perjuicio </w:t>
      </w:r>
      <w:r w:rsidR="00BF586B" w:rsidRPr="00E16922">
        <w:t xml:space="preserve">de </w:t>
      </w:r>
      <w:r w:rsidR="004F7548" w:rsidRPr="00E16922">
        <w:rPr>
          <w:rFonts w:cs="Verdana"/>
        </w:rPr>
        <w:t>sus hermanas Olga Beatriz, Eliana Isbel</w:t>
      </w:r>
      <w:r w:rsidR="00AA138F" w:rsidRPr="00E16922">
        <w:rPr>
          <w:rFonts w:cs="Verdana"/>
        </w:rPr>
        <w:t>i</w:t>
      </w:r>
      <w:r w:rsidR="004F7548" w:rsidRPr="00E16922">
        <w:rPr>
          <w:rFonts w:cs="Verdana"/>
        </w:rPr>
        <w:t>a,</w:t>
      </w:r>
      <w:r w:rsidR="00E75414" w:rsidRPr="00E16922">
        <w:rPr>
          <w:rFonts w:cs="Verdana"/>
        </w:rPr>
        <w:t xml:space="preserve"> </w:t>
      </w:r>
      <w:r w:rsidR="004F7548" w:rsidRPr="00E16922">
        <w:rPr>
          <w:rFonts w:cs="Verdana"/>
        </w:rPr>
        <w:t xml:space="preserve">Verónica y Lilian Teresa Flores Bedregal (en adelante también </w:t>
      </w:r>
      <w:r w:rsidR="006C52B2" w:rsidRPr="00E16922">
        <w:rPr>
          <w:rFonts w:cs="Verdana"/>
        </w:rPr>
        <w:t xml:space="preserve">“hermanas Flores Bedregal” o </w:t>
      </w:r>
      <w:r w:rsidR="00DE6792" w:rsidRPr="00E16922">
        <w:rPr>
          <w:rFonts w:cs="Verdana"/>
        </w:rPr>
        <w:t>“</w:t>
      </w:r>
      <w:r w:rsidR="004F7548" w:rsidRPr="00E16922">
        <w:rPr>
          <w:rFonts w:cs="Verdana"/>
        </w:rPr>
        <w:t>presuntas víctimas</w:t>
      </w:r>
      <w:r w:rsidR="00DE6792" w:rsidRPr="00E16922">
        <w:rPr>
          <w:rFonts w:cs="Verdana"/>
        </w:rPr>
        <w:t>”)</w:t>
      </w:r>
      <w:r w:rsidR="00FB39D8" w:rsidRPr="00E16922">
        <w:t xml:space="preserve">.  </w:t>
      </w:r>
    </w:p>
    <w:p w14:paraId="18B019E5" w14:textId="77777777" w:rsidR="00A64289" w:rsidRPr="002E61E9" w:rsidRDefault="00A64289" w:rsidP="00E55450">
      <w:pPr>
        <w:rPr>
          <w:lang w:val="es-ES"/>
        </w:rPr>
      </w:pPr>
    </w:p>
    <w:p w14:paraId="4A4D9A61" w14:textId="52D40492" w:rsidR="00C10DAE" w:rsidRDefault="00C10DAE" w:rsidP="005E070D">
      <w:pPr>
        <w:pStyle w:val="Prrafodelista"/>
      </w:pPr>
      <w:bookmarkStart w:id="9" w:name="_Ref363651855"/>
      <w:r w:rsidRPr="00F45067">
        <w:rPr>
          <w:i/>
        </w:rPr>
        <w:t xml:space="preserve">Trámite ante la Comisión. </w:t>
      </w:r>
      <w:r w:rsidRPr="00F45067">
        <w:t>– El trámite ante la Comisión fue el siguiente:</w:t>
      </w:r>
      <w:bookmarkEnd w:id="9"/>
    </w:p>
    <w:p w14:paraId="55887805" w14:textId="77777777" w:rsidR="00F45067" w:rsidRPr="00882669" w:rsidRDefault="00F45067" w:rsidP="00882669">
      <w:pPr>
        <w:ind w:right="4"/>
        <w:jc w:val="both"/>
        <w:rPr>
          <w:rFonts w:ascii="Verdana" w:hAnsi="Verdana"/>
          <w:lang w:val="es-ES"/>
        </w:rPr>
      </w:pPr>
    </w:p>
    <w:p w14:paraId="6F714B0E" w14:textId="77777777" w:rsidR="00F45067" w:rsidRPr="00685917" w:rsidRDefault="00F45067" w:rsidP="00882669">
      <w:pPr>
        <w:numPr>
          <w:ilvl w:val="0"/>
          <w:numId w:val="13"/>
        </w:numPr>
        <w:ind w:right="-4"/>
        <w:jc w:val="both"/>
        <w:rPr>
          <w:rFonts w:ascii="Verdana" w:hAnsi="Verdana"/>
          <w:lang w:val="es-ES"/>
        </w:rPr>
      </w:pPr>
      <w:r w:rsidRPr="00685917">
        <w:rPr>
          <w:rFonts w:ascii="Verdana" w:hAnsi="Verdana"/>
          <w:i/>
          <w:lang w:val="es-ES"/>
        </w:rPr>
        <w:t xml:space="preserve">Petición. – </w:t>
      </w:r>
      <w:r w:rsidRPr="00685917">
        <w:rPr>
          <w:rFonts w:ascii="Verdana" w:hAnsi="Verdana"/>
          <w:lang w:val="es-ES"/>
        </w:rPr>
        <w:t>El 14 de junio de 2006 la señora Olga Flores Bedregal presentó la petición inicial ante la Comisión que fue tramitada bajo el número P616/06.</w:t>
      </w:r>
    </w:p>
    <w:p w14:paraId="68593FDC" w14:textId="52685C87" w:rsidR="00F45067" w:rsidRPr="00685917" w:rsidRDefault="00F45067" w:rsidP="00F45067">
      <w:pPr>
        <w:numPr>
          <w:ilvl w:val="0"/>
          <w:numId w:val="13"/>
        </w:numPr>
        <w:spacing w:before="120" w:after="120"/>
        <w:ind w:right="-4"/>
        <w:jc w:val="both"/>
        <w:rPr>
          <w:rFonts w:ascii="Verdana" w:hAnsi="Verdana"/>
          <w:lang w:val="es-ES"/>
        </w:rPr>
      </w:pPr>
      <w:r w:rsidRPr="00685917">
        <w:rPr>
          <w:rFonts w:ascii="Verdana" w:hAnsi="Verdana"/>
          <w:i/>
          <w:lang w:val="es-ES"/>
        </w:rPr>
        <w:t>Informe de Admisibilidad</w:t>
      </w:r>
      <w:r w:rsidRPr="00685917">
        <w:rPr>
          <w:rFonts w:ascii="Verdana" w:hAnsi="Verdana"/>
          <w:lang w:val="es-ES"/>
        </w:rPr>
        <w:t>. – El 4 de agosto de 2009 la Comisión aprobó el Informe de Admisibilidad N</w:t>
      </w:r>
      <w:r w:rsidR="00DF777A">
        <w:rPr>
          <w:rFonts w:ascii="Verdana" w:hAnsi="Verdana"/>
          <w:lang w:val="es-ES"/>
        </w:rPr>
        <w:t>o.</w:t>
      </w:r>
      <w:r w:rsidRPr="00685917">
        <w:rPr>
          <w:rFonts w:ascii="Verdana" w:hAnsi="Verdana"/>
          <w:lang w:val="es-ES"/>
        </w:rPr>
        <w:t xml:space="preserve"> 65/09 </w:t>
      </w:r>
      <w:r w:rsidR="00434D5A">
        <w:rPr>
          <w:rFonts w:ascii="Verdana" w:hAnsi="Verdana"/>
          <w:lang w:val="es-ES"/>
        </w:rPr>
        <w:t xml:space="preserve">(en adelante “Informe de Admisibilidad”) </w:t>
      </w:r>
      <w:r w:rsidRPr="00685917">
        <w:rPr>
          <w:rFonts w:ascii="Verdana" w:hAnsi="Verdana"/>
          <w:lang w:val="es-ES"/>
        </w:rPr>
        <w:t xml:space="preserve">y se puso a disposición de las partes a fin de llegar a una solución amistosa. </w:t>
      </w:r>
    </w:p>
    <w:p w14:paraId="42F3CACA" w14:textId="52AB6D73" w:rsidR="00F45067" w:rsidRPr="00685917" w:rsidRDefault="00F45067" w:rsidP="00F45067">
      <w:pPr>
        <w:numPr>
          <w:ilvl w:val="0"/>
          <w:numId w:val="13"/>
        </w:numPr>
        <w:spacing w:before="120" w:after="120"/>
        <w:ind w:right="-4"/>
        <w:jc w:val="both"/>
        <w:rPr>
          <w:rFonts w:ascii="Verdana" w:hAnsi="Verdana"/>
          <w:lang w:val="es-ES"/>
        </w:rPr>
      </w:pPr>
      <w:r w:rsidRPr="00685917">
        <w:rPr>
          <w:rFonts w:ascii="Verdana" w:hAnsi="Verdana"/>
          <w:i/>
          <w:lang w:val="es-ES"/>
        </w:rPr>
        <w:t>Informe de Fondo</w:t>
      </w:r>
      <w:r w:rsidRPr="00685917">
        <w:rPr>
          <w:rFonts w:ascii="Verdana" w:hAnsi="Verdana"/>
          <w:lang w:val="es-ES"/>
        </w:rPr>
        <w:t xml:space="preserve">. - El 8 de mayo de 2018 la Comisión adoptó el Informe de Fondo </w:t>
      </w:r>
      <w:r w:rsidRPr="00DF777A">
        <w:rPr>
          <w:rFonts w:ascii="Verdana" w:hAnsi="Verdana"/>
          <w:lang w:val="es-ES"/>
        </w:rPr>
        <w:t>N</w:t>
      </w:r>
      <w:r w:rsidR="00DF777A">
        <w:rPr>
          <w:rFonts w:ascii="Verdana" w:hAnsi="Verdana"/>
          <w:lang w:val="es-ES"/>
        </w:rPr>
        <w:t xml:space="preserve">o. </w:t>
      </w:r>
      <w:r w:rsidRPr="00DF777A">
        <w:rPr>
          <w:rFonts w:ascii="Verdana" w:hAnsi="Verdana"/>
          <w:lang w:val="es-ES"/>
        </w:rPr>
        <w:t>60</w:t>
      </w:r>
      <w:r w:rsidRPr="00685917">
        <w:rPr>
          <w:rFonts w:ascii="Verdana" w:hAnsi="Verdana"/>
          <w:lang w:val="es-ES"/>
        </w:rPr>
        <w:t xml:space="preserve">/18 (en adelante el “Informe de Fondo”), conforme al artículo 50 de la Convención, en el </w:t>
      </w:r>
      <w:r w:rsidR="00674F11">
        <w:rPr>
          <w:rFonts w:ascii="Verdana" w:hAnsi="Verdana"/>
          <w:lang w:val="es-ES"/>
        </w:rPr>
        <w:t xml:space="preserve">que </w:t>
      </w:r>
      <w:r w:rsidRPr="00685917">
        <w:rPr>
          <w:rFonts w:ascii="Verdana" w:hAnsi="Verdana"/>
          <w:lang w:val="es-ES"/>
        </w:rPr>
        <w:t xml:space="preserve">emitió sus conclusiones y recomendaciones al Estado. </w:t>
      </w:r>
    </w:p>
    <w:p w14:paraId="1DB7887E" w14:textId="53C8D50F" w:rsidR="00F45067" w:rsidRPr="00685917" w:rsidRDefault="00F45067" w:rsidP="00F45067">
      <w:pPr>
        <w:numPr>
          <w:ilvl w:val="0"/>
          <w:numId w:val="13"/>
        </w:numPr>
        <w:spacing w:before="120" w:after="120"/>
        <w:ind w:right="-4"/>
        <w:jc w:val="both"/>
        <w:rPr>
          <w:rFonts w:ascii="Verdana" w:hAnsi="Verdana"/>
          <w:lang w:val="es-ES"/>
        </w:rPr>
      </w:pPr>
      <w:r w:rsidRPr="00685917">
        <w:rPr>
          <w:rFonts w:ascii="Verdana" w:hAnsi="Verdana"/>
          <w:i/>
          <w:lang w:val="es-ES"/>
        </w:rPr>
        <w:t xml:space="preserve">Notificación al </w:t>
      </w:r>
      <w:r w:rsidRPr="00661D76">
        <w:rPr>
          <w:rFonts w:ascii="Verdana" w:hAnsi="Verdana"/>
          <w:i/>
          <w:lang w:val="es-ES"/>
        </w:rPr>
        <w:t xml:space="preserve">Estado. – </w:t>
      </w:r>
      <w:r w:rsidRPr="00661D76">
        <w:rPr>
          <w:rFonts w:ascii="Verdana" w:hAnsi="Verdana"/>
          <w:lang w:val="es-ES"/>
        </w:rPr>
        <w:t>El 18 de julio de 2018 se notificó el Informe de Fondo al Estado, con el plazo de dos meses para informar sobre el cumplimiento de las recomendaciones.</w:t>
      </w:r>
      <w:r w:rsidRPr="00685917">
        <w:rPr>
          <w:rFonts w:ascii="Verdana" w:hAnsi="Verdana"/>
          <w:lang w:val="es-ES"/>
        </w:rPr>
        <w:t xml:space="preserve"> </w:t>
      </w:r>
    </w:p>
    <w:p w14:paraId="24FC0CD6" w14:textId="03516D33" w:rsidR="00F45067" w:rsidRPr="00685917" w:rsidRDefault="00F45067" w:rsidP="00F45067">
      <w:pPr>
        <w:numPr>
          <w:ilvl w:val="0"/>
          <w:numId w:val="13"/>
        </w:numPr>
        <w:spacing w:before="120" w:after="120"/>
        <w:ind w:right="-4"/>
        <w:jc w:val="both"/>
        <w:rPr>
          <w:rFonts w:ascii="Verdana" w:hAnsi="Verdana"/>
          <w:lang w:val="es-ES"/>
        </w:rPr>
      </w:pPr>
      <w:r w:rsidRPr="00685917">
        <w:rPr>
          <w:rFonts w:ascii="Verdana" w:hAnsi="Verdana"/>
          <w:i/>
          <w:lang w:val="es-ES"/>
        </w:rPr>
        <w:t>Sometimiento a la Corte. –</w:t>
      </w:r>
      <w:r w:rsidRPr="00685917">
        <w:rPr>
          <w:rFonts w:ascii="Verdana" w:hAnsi="Verdana"/>
          <w:lang w:val="es-ES"/>
        </w:rPr>
        <w:t xml:space="preserve"> El 18 de octubre de 2018 la Comisión sometió </w:t>
      </w:r>
      <w:r w:rsidRPr="00685917">
        <w:rPr>
          <w:rFonts w:ascii="Verdana" w:eastAsiaTheme="minorHAnsi" w:hAnsi="Verdana" w:cs="Verdana"/>
          <w:lang w:val="es-ES"/>
        </w:rPr>
        <w:t xml:space="preserve">a la jurisdicción de la Corte la totalidad de los hechos y presuntas violaciones de </w:t>
      </w:r>
      <w:r w:rsidR="002E3990">
        <w:rPr>
          <w:rFonts w:ascii="Verdana" w:eastAsiaTheme="minorHAnsi" w:hAnsi="Verdana" w:cs="Verdana"/>
          <w:lang w:val="es-ES"/>
        </w:rPr>
        <w:t xml:space="preserve">los </w:t>
      </w:r>
      <w:r w:rsidRPr="00685917">
        <w:rPr>
          <w:rFonts w:ascii="Verdana" w:eastAsiaTheme="minorHAnsi" w:hAnsi="Verdana" w:cs="Verdana"/>
          <w:lang w:val="es-ES"/>
        </w:rPr>
        <w:t xml:space="preserve">derechos </w:t>
      </w:r>
      <w:r w:rsidR="002E3990" w:rsidRPr="002E3990">
        <w:rPr>
          <w:rFonts w:ascii="Verdana" w:eastAsiaTheme="minorHAnsi" w:hAnsi="Verdana" w:cs="Verdana"/>
          <w:lang w:val="es-ES"/>
        </w:rPr>
        <w:t xml:space="preserve">consagrados en los artículos 3, 4.1, 5.1, 5.2, 7, 8.1, </w:t>
      </w:r>
      <w:r w:rsidR="002E3990">
        <w:rPr>
          <w:rFonts w:ascii="Verdana" w:eastAsiaTheme="minorHAnsi" w:hAnsi="Verdana" w:cs="Verdana"/>
          <w:lang w:val="es-ES"/>
        </w:rPr>
        <w:t xml:space="preserve">13, </w:t>
      </w:r>
      <w:r w:rsidR="002E3990" w:rsidRPr="002E3990">
        <w:rPr>
          <w:rFonts w:ascii="Verdana" w:eastAsiaTheme="minorHAnsi" w:hAnsi="Verdana" w:cs="Verdana"/>
          <w:lang w:val="es-ES"/>
        </w:rPr>
        <w:t>16, 23 y 25.1 de la Convención Americana, en relación con los artículos 1.1 y 2 del mismo instrumento, y los artículos I a) y b) y III de la Convención Interamericana sobre Desaparición Forzada de Personas (en adelante también “CIDFP”)</w:t>
      </w:r>
      <w:r w:rsidRPr="00A64D65">
        <w:rPr>
          <w:rFonts w:ascii="Verdana" w:hAnsi="Verdana"/>
          <w:lang w:val="es-ES"/>
        </w:rPr>
        <w:t xml:space="preserve">. </w:t>
      </w:r>
      <w:r w:rsidRPr="00846D53">
        <w:rPr>
          <w:rFonts w:ascii="Verdana" w:hAnsi="Verdana"/>
          <w:lang w:val="es-ES"/>
        </w:rPr>
        <w:t>Este Tribunal nota con preocupación que</w:t>
      </w:r>
      <w:r w:rsidR="00674F11">
        <w:rPr>
          <w:rFonts w:ascii="Verdana" w:hAnsi="Verdana"/>
          <w:lang w:val="es-ES"/>
        </w:rPr>
        <w:t>,</w:t>
      </w:r>
      <w:r w:rsidRPr="00846D53">
        <w:rPr>
          <w:rFonts w:ascii="Verdana" w:hAnsi="Verdana"/>
          <w:lang w:val="es-ES"/>
        </w:rPr>
        <w:t xml:space="preserve"> entre la presentación de la petición inicial ante la Comisión y el sometimiento del caso ante la Corte</w:t>
      </w:r>
      <w:r w:rsidR="00674F11">
        <w:rPr>
          <w:rFonts w:ascii="Verdana" w:hAnsi="Verdana"/>
          <w:lang w:val="es-ES"/>
        </w:rPr>
        <w:t>,</w:t>
      </w:r>
      <w:r w:rsidRPr="00846D53">
        <w:rPr>
          <w:rFonts w:ascii="Verdana" w:hAnsi="Verdana"/>
          <w:lang w:val="es-ES"/>
        </w:rPr>
        <w:t xml:space="preserve"> transcurrieron más </w:t>
      </w:r>
      <w:r w:rsidRPr="00344C2A">
        <w:rPr>
          <w:rFonts w:ascii="Verdana" w:hAnsi="Verdana"/>
          <w:lang w:val="es-ES"/>
        </w:rPr>
        <w:t>de 12 añ</w:t>
      </w:r>
      <w:r w:rsidR="00846D53" w:rsidRPr="00344C2A">
        <w:rPr>
          <w:rFonts w:ascii="Verdana" w:hAnsi="Verdana"/>
          <w:lang w:val="es-ES"/>
        </w:rPr>
        <w:t>os.</w:t>
      </w:r>
    </w:p>
    <w:p w14:paraId="74853705" w14:textId="68EAA1CF" w:rsidR="00F45067" w:rsidRDefault="00F45067" w:rsidP="00F45067">
      <w:pPr>
        <w:numPr>
          <w:ilvl w:val="0"/>
          <w:numId w:val="13"/>
        </w:numPr>
        <w:spacing w:before="120" w:after="120"/>
        <w:ind w:right="-4"/>
        <w:jc w:val="both"/>
        <w:rPr>
          <w:rFonts w:ascii="Verdana" w:hAnsi="Verdana"/>
          <w:lang w:val="es-ES"/>
        </w:rPr>
      </w:pPr>
      <w:r w:rsidRPr="00685917">
        <w:rPr>
          <w:rFonts w:ascii="Verdana" w:hAnsi="Verdana"/>
          <w:i/>
          <w:lang w:val="es-ES"/>
        </w:rPr>
        <w:t xml:space="preserve"> Solicitud de la Comisión Interamericana. – </w:t>
      </w:r>
      <w:r w:rsidRPr="00685917">
        <w:rPr>
          <w:rFonts w:ascii="Verdana" w:hAnsi="Verdana"/>
          <w:lang w:val="es-ES"/>
        </w:rPr>
        <w:t>Con base en lo anterior, la Comisión solicitó a la Corte que concluyera y declarara la responsabilidad internacional de Bolivia por la alegada violación de los derechos indicados en las conclusiones del Informe de Fondo</w:t>
      </w:r>
      <w:r w:rsidRPr="00685917">
        <w:rPr>
          <w:rFonts w:ascii="Verdana" w:eastAsiaTheme="minorHAnsi" w:hAnsi="Verdana" w:cs="Arial"/>
          <w:bCs/>
          <w:lang w:val="es-ES"/>
        </w:rPr>
        <w:t xml:space="preserve">. </w:t>
      </w:r>
      <w:r w:rsidRPr="00685917">
        <w:rPr>
          <w:rFonts w:ascii="Verdana" w:eastAsia="Calibri" w:hAnsi="Verdana" w:cs="Verdana"/>
          <w:lang w:val="es-ES"/>
        </w:rPr>
        <w:t>Adicionalmente</w:t>
      </w:r>
      <w:r w:rsidRPr="00685917">
        <w:rPr>
          <w:rFonts w:ascii="Verdana" w:hAnsi="Verdana"/>
          <w:lang w:val="es-ES"/>
        </w:rPr>
        <w:t>, solici</w:t>
      </w:r>
      <w:r w:rsidRPr="00661D76">
        <w:rPr>
          <w:rFonts w:ascii="Verdana" w:hAnsi="Verdana"/>
          <w:lang w:val="es-ES"/>
        </w:rPr>
        <w:t>tó a la Corte que ordene al Estado determinadas medidas de reparación (</w:t>
      </w:r>
      <w:r w:rsidRPr="00661D76">
        <w:rPr>
          <w:rFonts w:ascii="Verdana" w:hAnsi="Verdana"/>
          <w:i/>
          <w:lang w:val="es-ES"/>
        </w:rPr>
        <w:t>infra</w:t>
      </w:r>
      <w:r w:rsidRPr="00661D76">
        <w:rPr>
          <w:rFonts w:ascii="Verdana" w:hAnsi="Verdana"/>
          <w:lang w:val="es-ES"/>
        </w:rPr>
        <w:t xml:space="preserve"> Capítulo </w:t>
      </w:r>
      <w:r w:rsidR="007676E5">
        <w:rPr>
          <w:rFonts w:ascii="Verdana" w:hAnsi="Verdana"/>
          <w:lang w:val="es-ES"/>
        </w:rPr>
        <w:t>VIII</w:t>
      </w:r>
      <w:r w:rsidRPr="00661D76">
        <w:rPr>
          <w:rFonts w:ascii="Verdana" w:hAnsi="Verdana"/>
          <w:lang w:val="es-ES"/>
        </w:rPr>
        <w:t>).</w:t>
      </w:r>
      <w:r w:rsidRPr="00685917">
        <w:rPr>
          <w:rFonts w:ascii="Verdana" w:hAnsi="Verdana"/>
          <w:lang w:val="es-ES"/>
        </w:rPr>
        <w:t xml:space="preserve"> </w:t>
      </w:r>
    </w:p>
    <w:p w14:paraId="0C4E6FA3" w14:textId="77777777" w:rsidR="00BB7208" w:rsidRDefault="00BB7208" w:rsidP="00BB7208">
      <w:pPr>
        <w:spacing w:before="120" w:after="120"/>
        <w:ind w:left="720" w:right="-4"/>
        <w:jc w:val="both"/>
        <w:rPr>
          <w:rFonts w:ascii="Verdana" w:hAnsi="Verdana"/>
          <w:lang w:val="es-ES"/>
        </w:rPr>
      </w:pPr>
    </w:p>
    <w:p w14:paraId="761F8C43" w14:textId="77777777" w:rsidR="004B22E7" w:rsidRPr="00685917" w:rsidRDefault="004B22E7" w:rsidP="004B22E7">
      <w:pPr>
        <w:spacing w:before="120" w:after="120"/>
        <w:ind w:right="-4"/>
        <w:jc w:val="both"/>
        <w:rPr>
          <w:rFonts w:ascii="Verdana" w:hAnsi="Verdana"/>
          <w:lang w:val="es-ES"/>
        </w:rPr>
      </w:pPr>
    </w:p>
    <w:p w14:paraId="4C38F261" w14:textId="69834A2F" w:rsidR="00E715E9" w:rsidRDefault="007E6E68" w:rsidP="007E6E68">
      <w:pPr>
        <w:pStyle w:val="Ttulo1"/>
        <w:spacing w:before="0"/>
        <w:jc w:val="center"/>
        <w:rPr>
          <w:rFonts w:ascii="Verdana" w:hAnsi="Verdana"/>
          <w:b/>
          <w:bCs/>
          <w:color w:val="000000" w:themeColor="text1"/>
          <w:sz w:val="20"/>
          <w:szCs w:val="20"/>
          <w:lang w:val="es-ES"/>
        </w:rPr>
      </w:pPr>
      <w:bookmarkStart w:id="10" w:name="_Toc125037450"/>
      <w:bookmarkStart w:id="11" w:name="_Toc359314415"/>
      <w:bookmarkStart w:id="12" w:name="_Toc361671572"/>
      <w:bookmarkStart w:id="13" w:name="_Toc361671992"/>
      <w:bookmarkStart w:id="14" w:name="_Toc361732789"/>
      <w:bookmarkStart w:id="15" w:name="_Toc361732832"/>
      <w:bookmarkStart w:id="16" w:name="_Toc362456863"/>
      <w:bookmarkStart w:id="17" w:name="_Toc365021392"/>
      <w:bookmarkStart w:id="18" w:name="_Toc369076778"/>
      <w:bookmarkStart w:id="19" w:name="_Toc369989362"/>
      <w:bookmarkStart w:id="20" w:name="_Toc369989449"/>
      <w:bookmarkStart w:id="21" w:name="_Toc369989730"/>
      <w:bookmarkStart w:id="22" w:name="_Toc438132270"/>
      <w:bookmarkStart w:id="23" w:name="_Toc311128156"/>
      <w:bookmarkStart w:id="24" w:name="_Toc311128353"/>
      <w:bookmarkStart w:id="25" w:name="_Toc460237943"/>
      <w:bookmarkStart w:id="26" w:name="_Toc460238240"/>
      <w:bookmarkStart w:id="27" w:name="_Toc470105093"/>
      <w:r>
        <w:rPr>
          <w:rFonts w:ascii="Verdana" w:hAnsi="Verdana"/>
          <w:b/>
          <w:bCs/>
          <w:color w:val="000000" w:themeColor="text1"/>
          <w:sz w:val="20"/>
          <w:szCs w:val="20"/>
          <w:lang w:val="es-ES"/>
        </w:rPr>
        <w:lastRenderedPageBreak/>
        <w:t>II</w:t>
      </w:r>
      <w:bookmarkEnd w:id="10"/>
    </w:p>
    <w:p w14:paraId="359CAD62" w14:textId="44034348" w:rsidR="00F45067" w:rsidRPr="00433282" w:rsidRDefault="00F45067" w:rsidP="007E6E68">
      <w:pPr>
        <w:pStyle w:val="Ttulo1"/>
        <w:spacing w:before="0"/>
        <w:jc w:val="center"/>
        <w:rPr>
          <w:rFonts w:ascii="Verdana" w:hAnsi="Verdana"/>
          <w:b/>
          <w:bCs/>
          <w:color w:val="000000" w:themeColor="text1"/>
          <w:sz w:val="20"/>
          <w:szCs w:val="20"/>
          <w:lang w:val="es-ES"/>
        </w:rPr>
      </w:pPr>
      <w:bookmarkStart w:id="28" w:name="_Toc124157775"/>
      <w:bookmarkStart w:id="29" w:name="_Toc125037451"/>
      <w:r w:rsidRPr="00433282">
        <w:rPr>
          <w:rFonts w:ascii="Verdana" w:hAnsi="Verdana"/>
          <w:b/>
          <w:bCs/>
          <w:color w:val="000000" w:themeColor="text1"/>
          <w:sz w:val="20"/>
          <w:szCs w:val="20"/>
          <w:lang w:val="es-ES"/>
        </w:rPr>
        <w:t>PROCEDIMIENTO ANTE LA CORTE</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8813B83" w14:textId="77777777" w:rsidR="00F45067" w:rsidRPr="008464EA" w:rsidRDefault="00F45067" w:rsidP="008464EA">
      <w:pPr>
        <w:rPr>
          <w:rFonts w:ascii="Verdana" w:hAnsi="Verdana"/>
          <w:lang w:val="es-ES"/>
        </w:rPr>
      </w:pPr>
    </w:p>
    <w:p w14:paraId="3D8D0DA9" w14:textId="0CBFF4A8" w:rsidR="00296C50" w:rsidRPr="00433282" w:rsidRDefault="00296C50" w:rsidP="005E070D">
      <w:pPr>
        <w:pStyle w:val="Prrafodelista"/>
      </w:pPr>
      <w:r w:rsidRPr="00433282">
        <w:rPr>
          <w:i/>
          <w:lang w:eastAsia="es-ES"/>
        </w:rPr>
        <w:t xml:space="preserve">Notificación al Estado y </w:t>
      </w:r>
      <w:r w:rsidR="005E78E9" w:rsidRPr="00433282">
        <w:rPr>
          <w:i/>
          <w:lang w:eastAsia="es-ES"/>
        </w:rPr>
        <w:t xml:space="preserve">el </w:t>
      </w:r>
      <w:r w:rsidRPr="00433282">
        <w:rPr>
          <w:i/>
          <w:lang w:eastAsia="es-ES"/>
        </w:rPr>
        <w:t>representante.</w:t>
      </w:r>
      <w:r w:rsidRPr="00433282">
        <w:rPr>
          <w:lang w:eastAsia="es-ES"/>
        </w:rPr>
        <w:t xml:space="preserve"> – </w:t>
      </w:r>
      <w:r w:rsidR="00F70FAC" w:rsidRPr="00433282">
        <w:t xml:space="preserve">El </w:t>
      </w:r>
      <w:r w:rsidR="005B10A5" w:rsidRPr="006E6AC6">
        <w:t xml:space="preserve">10 </w:t>
      </w:r>
      <w:r w:rsidR="005B10A5" w:rsidRPr="00291F9F">
        <w:t>d</w:t>
      </w:r>
      <w:r w:rsidR="006E6AC6" w:rsidRPr="00291F9F">
        <w:t>e enero</w:t>
      </w:r>
      <w:r w:rsidR="005B10A5" w:rsidRPr="00291F9F">
        <w:t xml:space="preserve"> de 201</w:t>
      </w:r>
      <w:r w:rsidR="006E6AC6" w:rsidRPr="00291F9F">
        <w:t>9</w:t>
      </w:r>
      <w:r w:rsidR="005B10A5" w:rsidRPr="00291F9F">
        <w:t xml:space="preserve"> la Corte notificó al Estado sobre el </w:t>
      </w:r>
      <w:r w:rsidR="00F70FAC" w:rsidRPr="00291F9F">
        <w:t>sometimiento del caso por parte de la Comisión</w:t>
      </w:r>
      <w:r w:rsidR="00501D13" w:rsidRPr="00291F9F">
        <w:t xml:space="preserve"> y </w:t>
      </w:r>
      <w:r w:rsidR="005B10A5" w:rsidRPr="00291F9F">
        <w:t xml:space="preserve">el </w:t>
      </w:r>
      <w:r w:rsidR="00291F9F" w:rsidRPr="00291F9F">
        <w:t>1</w:t>
      </w:r>
      <w:r w:rsidR="006E6AC6" w:rsidRPr="00291F9F">
        <w:t>0</w:t>
      </w:r>
      <w:r w:rsidR="005B10A5" w:rsidRPr="00291F9F">
        <w:t xml:space="preserve"> d</w:t>
      </w:r>
      <w:r w:rsidR="006E6AC6" w:rsidRPr="00291F9F">
        <w:t>e diciem</w:t>
      </w:r>
      <w:r w:rsidR="00065327" w:rsidRPr="00291F9F">
        <w:t>bre</w:t>
      </w:r>
      <w:r w:rsidR="005B10A5" w:rsidRPr="00291F9F">
        <w:t xml:space="preserve"> de 201</w:t>
      </w:r>
      <w:r w:rsidR="0083717E" w:rsidRPr="00291F9F">
        <w:t>8</w:t>
      </w:r>
      <w:r w:rsidR="005B10A5" w:rsidRPr="00291F9F">
        <w:t xml:space="preserve"> hizo</w:t>
      </w:r>
      <w:r w:rsidR="005B10A5" w:rsidRPr="00433282">
        <w:t xml:space="preserve"> lo propio con el</w:t>
      </w:r>
      <w:r w:rsidR="00F70FAC" w:rsidRPr="00433282">
        <w:t xml:space="preserve"> representante de la</w:t>
      </w:r>
      <w:r w:rsidR="004B22E7">
        <w:t>s</w:t>
      </w:r>
      <w:r w:rsidR="00F70FAC" w:rsidRPr="00433282">
        <w:t xml:space="preserve"> presunta</w:t>
      </w:r>
      <w:r w:rsidR="004B22E7">
        <w:t>s</w:t>
      </w:r>
      <w:r w:rsidR="00F70FAC" w:rsidRPr="00433282">
        <w:t xml:space="preserve"> víctima</w:t>
      </w:r>
      <w:r w:rsidR="004B22E7">
        <w:t>s</w:t>
      </w:r>
      <w:r w:rsidR="00674F11" w:rsidRPr="00BA4885">
        <w:rPr>
          <w:vertAlign w:val="superscript"/>
        </w:rPr>
        <w:footnoteReference w:id="1"/>
      </w:r>
      <w:r w:rsidR="00846D53">
        <w:t>.</w:t>
      </w:r>
    </w:p>
    <w:p w14:paraId="52E0AE7F" w14:textId="77777777" w:rsidR="00433282" w:rsidRPr="002E61E9" w:rsidRDefault="00433282" w:rsidP="00E55450">
      <w:pPr>
        <w:rPr>
          <w:lang w:val="es-ES"/>
        </w:rPr>
      </w:pPr>
    </w:p>
    <w:p w14:paraId="35BC746C" w14:textId="5F03C952" w:rsidR="00433282" w:rsidRPr="00433282" w:rsidRDefault="00296C50" w:rsidP="005E070D">
      <w:pPr>
        <w:pStyle w:val="Prrafodelista"/>
      </w:pPr>
      <w:r w:rsidRPr="00433282">
        <w:rPr>
          <w:i/>
          <w:lang w:eastAsia="es-ES"/>
        </w:rPr>
        <w:t>Escrito de solicitudes, argumentos y pruebas</w:t>
      </w:r>
      <w:r w:rsidRPr="00433282">
        <w:rPr>
          <w:lang w:eastAsia="es-ES"/>
        </w:rPr>
        <w:t>.</w:t>
      </w:r>
      <w:r w:rsidR="0028664A" w:rsidRPr="00433282">
        <w:rPr>
          <w:lang w:eastAsia="es-ES"/>
        </w:rPr>
        <w:t xml:space="preserve"> </w:t>
      </w:r>
      <w:r w:rsidRPr="00433282">
        <w:rPr>
          <w:lang w:eastAsia="es-ES"/>
        </w:rPr>
        <w:t xml:space="preserve">– </w:t>
      </w:r>
      <w:r w:rsidR="00170AA7" w:rsidRPr="00433282">
        <w:t>El 9 de febrero de 2019</w:t>
      </w:r>
      <w:r w:rsidRPr="00433282">
        <w:t xml:space="preserve"> </w:t>
      </w:r>
      <w:r w:rsidR="005E78E9" w:rsidRPr="00433282">
        <w:t>el</w:t>
      </w:r>
      <w:r w:rsidRPr="00433282">
        <w:t xml:space="preserve"> representante present</w:t>
      </w:r>
      <w:r w:rsidR="00482D2F" w:rsidRPr="00433282">
        <w:t>ó</w:t>
      </w:r>
      <w:r w:rsidRPr="00433282">
        <w:t xml:space="preserve"> su escrito de solicitudes, argumentos y pruebas (en adelante “escrito de solicitudes y argumentos”), en los términos de los artículos 25 y 40 del Reglamento de la Corte.</w:t>
      </w:r>
      <w:r w:rsidRPr="00433282">
        <w:rPr>
          <w:lang w:eastAsia="es-ES"/>
        </w:rPr>
        <w:t xml:space="preserve"> En dicho escrito, coincidi</w:t>
      </w:r>
      <w:r w:rsidR="005E78E9" w:rsidRPr="00433282">
        <w:rPr>
          <w:lang w:eastAsia="es-ES"/>
        </w:rPr>
        <w:t>ó</w:t>
      </w:r>
      <w:r w:rsidRPr="00433282">
        <w:rPr>
          <w:lang w:eastAsia="es-ES"/>
        </w:rPr>
        <w:t xml:space="preserve"> con los alegatos de la Comisión y agreg</w:t>
      </w:r>
      <w:r w:rsidR="005E78E9" w:rsidRPr="00433282">
        <w:rPr>
          <w:lang w:eastAsia="es-ES"/>
        </w:rPr>
        <w:t>ó</w:t>
      </w:r>
      <w:r w:rsidRPr="00433282">
        <w:rPr>
          <w:lang w:eastAsia="es-ES"/>
        </w:rPr>
        <w:t xml:space="preserve"> argumentos </w:t>
      </w:r>
      <w:r w:rsidR="005B10A5" w:rsidRPr="00433282">
        <w:rPr>
          <w:lang w:eastAsia="es-ES"/>
        </w:rPr>
        <w:t>sobre la presunta</w:t>
      </w:r>
      <w:r w:rsidRPr="00433282">
        <w:rPr>
          <w:lang w:eastAsia="es-ES"/>
        </w:rPr>
        <w:t xml:space="preserve"> vulneración </w:t>
      </w:r>
      <w:r w:rsidR="0028664A" w:rsidRPr="00433282">
        <w:rPr>
          <w:lang w:eastAsia="es-ES"/>
        </w:rPr>
        <w:t>del artículo 5 de la Convención</w:t>
      </w:r>
      <w:r w:rsidR="006C52B2" w:rsidRPr="00433282">
        <w:rPr>
          <w:lang w:eastAsia="es-ES"/>
        </w:rPr>
        <w:t>,</w:t>
      </w:r>
      <w:r w:rsidR="0028664A" w:rsidRPr="00433282">
        <w:rPr>
          <w:lang w:eastAsia="es-ES"/>
        </w:rPr>
        <w:t xml:space="preserve"> en perjuicio de las hermanas Flores Bedregal</w:t>
      </w:r>
      <w:r w:rsidR="00D83CD8">
        <w:rPr>
          <w:lang w:eastAsia="es-ES"/>
        </w:rPr>
        <w:t>.</w:t>
      </w:r>
    </w:p>
    <w:p w14:paraId="2E8CE13C" w14:textId="77777777" w:rsidR="00433282" w:rsidRPr="002E61E9" w:rsidRDefault="00433282" w:rsidP="00846D53">
      <w:pPr>
        <w:rPr>
          <w:rFonts w:eastAsia="Calibri"/>
          <w:lang w:val="es-ES"/>
        </w:rPr>
      </w:pPr>
    </w:p>
    <w:p w14:paraId="6D721E6C" w14:textId="3B1998AA" w:rsidR="00433282" w:rsidRPr="00433282" w:rsidRDefault="00296C50" w:rsidP="005E070D">
      <w:pPr>
        <w:pStyle w:val="Prrafodelista"/>
      </w:pPr>
      <w:r w:rsidRPr="00F05592">
        <w:rPr>
          <w:rFonts w:eastAsia="Calibri"/>
          <w:bCs/>
          <w:i/>
          <w:iCs/>
        </w:rPr>
        <w:t>Escrito de contestación</w:t>
      </w:r>
      <w:r w:rsidRPr="008464EA">
        <w:rPr>
          <w:rFonts w:eastAsia="Calibri"/>
          <w:bCs/>
        </w:rPr>
        <w:t xml:space="preserve">. </w:t>
      </w:r>
      <w:r w:rsidR="0028664A" w:rsidRPr="00433282">
        <w:rPr>
          <w:rFonts w:eastAsia="Calibri"/>
          <w:bCs/>
        </w:rPr>
        <w:t xml:space="preserve">- </w:t>
      </w:r>
      <w:r w:rsidR="008E6AFA" w:rsidRPr="00433282">
        <w:t>El 13 de mayo de 2019</w:t>
      </w:r>
      <w:r w:rsidRPr="00433282">
        <w:t xml:space="preserve"> el Estado</w:t>
      </w:r>
      <w:r w:rsidR="00920E6B" w:rsidRPr="00BA4885">
        <w:rPr>
          <w:vertAlign w:val="superscript"/>
        </w:rPr>
        <w:footnoteReference w:id="2"/>
      </w:r>
      <w:r w:rsidRPr="00433282">
        <w:t xml:space="preserve"> presentó ante la Corte su escrito de contestación al sometimiento del caso</w:t>
      </w:r>
      <w:r w:rsidR="000B756E" w:rsidRPr="00433282">
        <w:t>,</w:t>
      </w:r>
      <w:r w:rsidRPr="00433282">
        <w:t xml:space="preserve"> y al escrito de solicitudes y argumentos (en adelante </w:t>
      </w:r>
      <w:r w:rsidR="006C52B2" w:rsidRPr="00433282">
        <w:t xml:space="preserve">“escrito de contestación” o </w:t>
      </w:r>
      <w:r w:rsidRPr="00433282">
        <w:t>“contestación”), en los términos del artículo 41 del Reglamento del Tribunal</w:t>
      </w:r>
      <w:r w:rsidR="006E6AC6">
        <w:t xml:space="preserve">. </w:t>
      </w:r>
      <w:r w:rsidRPr="00433282">
        <w:rPr>
          <w:rFonts w:eastAsia="Calibri" w:cs="Verdana"/>
          <w:spacing w:val="-2"/>
        </w:rPr>
        <w:t xml:space="preserve">En dicho escrito, el Estado </w:t>
      </w:r>
      <w:r w:rsidRPr="00433282">
        <w:rPr>
          <w:rFonts w:eastAsia="Calibri" w:cs="Verdana"/>
          <w:spacing w:val="-2"/>
          <w:lang w:eastAsia="es-ES"/>
        </w:rPr>
        <w:t>presentó</w:t>
      </w:r>
      <w:r w:rsidR="008E6AFA" w:rsidRPr="00433282">
        <w:rPr>
          <w:rFonts w:eastAsia="Calibri" w:cs="Verdana"/>
          <w:spacing w:val="-2"/>
          <w:lang w:eastAsia="es-ES"/>
        </w:rPr>
        <w:t xml:space="preserve"> </w:t>
      </w:r>
      <w:r w:rsidR="00E61F60" w:rsidRPr="00433282">
        <w:rPr>
          <w:rFonts w:eastAsia="Calibri" w:cs="Verdana"/>
          <w:spacing w:val="-2"/>
          <w:lang w:eastAsia="es-ES"/>
        </w:rPr>
        <w:t>tres</w:t>
      </w:r>
      <w:r w:rsidR="008E6AFA" w:rsidRPr="00433282">
        <w:rPr>
          <w:rFonts w:eastAsia="Calibri" w:cs="Verdana"/>
          <w:spacing w:val="-2"/>
          <w:lang w:eastAsia="es-ES"/>
        </w:rPr>
        <w:t xml:space="preserve"> </w:t>
      </w:r>
      <w:r w:rsidR="008E6AFA" w:rsidRPr="007A1548">
        <w:rPr>
          <w:rFonts w:eastAsia="Calibri" w:cs="Verdana"/>
          <w:spacing w:val="-2"/>
          <w:lang w:eastAsia="es-ES"/>
        </w:rPr>
        <w:t>excepciones preliminares</w:t>
      </w:r>
      <w:r w:rsidR="008E6AFA" w:rsidRPr="00433282">
        <w:rPr>
          <w:rFonts w:eastAsia="Calibri" w:cs="Verdana"/>
          <w:spacing w:val="-2"/>
          <w:lang w:eastAsia="es-ES"/>
        </w:rPr>
        <w:t xml:space="preserve"> </w:t>
      </w:r>
      <w:r w:rsidR="005B10A5" w:rsidRPr="00433282">
        <w:rPr>
          <w:rFonts w:eastAsia="Calibri" w:cs="Verdana"/>
          <w:spacing w:val="-2"/>
          <w:lang w:eastAsia="es-ES"/>
        </w:rPr>
        <w:t>al</w:t>
      </w:r>
      <w:r w:rsidR="00E61F60" w:rsidRPr="00433282">
        <w:rPr>
          <w:rFonts w:eastAsia="Calibri" w:cs="Verdana"/>
          <w:spacing w:val="-2"/>
          <w:lang w:eastAsia="es-ES"/>
        </w:rPr>
        <w:t xml:space="preserve"> ejercicio de l</w:t>
      </w:r>
      <w:r w:rsidR="005B10A5" w:rsidRPr="00433282">
        <w:rPr>
          <w:rFonts w:eastAsia="Calibri" w:cs="Verdana"/>
          <w:spacing w:val="-2"/>
          <w:lang w:eastAsia="es-ES"/>
        </w:rPr>
        <w:t>a jurisdicción de la Corte</w:t>
      </w:r>
      <w:r w:rsidR="00E61F60" w:rsidRPr="00433282">
        <w:rPr>
          <w:rFonts w:eastAsia="Calibri" w:cs="Verdana"/>
          <w:spacing w:val="-2"/>
          <w:lang w:eastAsia="es-ES"/>
        </w:rPr>
        <w:t xml:space="preserve"> en este caso</w:t>
      </w:r>
      <w:r w:rsidR="005B10A5" w:rsidRPr="00433282">
        <w:rPr>
          <w:rFonts w:eastAsia="Calibri" w:cs="Verdana"/>
          <w:spacing w:val="-2"/>
          <w:lang w:eastAsia="es-ES"/>
        </w:rPr>
        <w:t>.</w:t>
      </w:r>
      <w:r w:rsidR="008E6AFA" w:rsidRPr="00433282">
        <w:rPr>
          <w:b/>
          <w:bCs/>
        </w:rPr>
        <w:t xml:space="preserve"> </w:t>
      </w:r>
    </w:p>
    <w:p w14:paraId="61173811" w14:textId="77777777" w:rsidR="00433282" w:rsidRPr="002E61E9" w:rsidRDefault="00433282" w:rsidP="00846D53">
      <w:pPr>
        <w:rPr>
          <w:lang w:val="es-ES"/>
        </w:rPr>
      </w:pPr>
    </w:p>
    <w:p w14:paraId="373531EF" w14:textId="0B06832E" w:rsidR="00433282" w:rsidRPr="00433282" w:rsidRDefault="00A7318E" w:rsidP="005E070D">
      <w:pPr>
        <w:pStyle w:val="Prrafodelista"/>
      </w:pPr>
      <w:r w:rsidRPr="00433282">
        <w:rPr>
          <w:i/>
        </w:rPr>
        <w:t>Observaciones a las excepciones preliminares.</w:t>
      </w:r>
      <w:r w:rsidRPr="00433282">
        <w:t xml:space="preserve"> - Los días </w:t>
      </w:r>
      <w:r w:rsidR="002E04F6">
        <w:t>2</w:t>
      </w:r>
      <w:r w:rsidR="000E537D" w:rsidRPr="00433282">
        <w:t>7</w:t>
      </w:r>
      <w:r w:rsidRPr="00433282">
        <w:t xml:space="preserve"> de junio y </w:t>
      </w:r>
      <w:r w:rsidR="000E537D" w:rsidRPr="00433282">
        <w:t>4</w:t>
      </w:r>
      <w:r w:rsidRPr="00433282">
        <w:t xml:space="preserve"> de julio de 20</w:t>
      </w:r>
      <w:r w:rsidR="000E537D" w:rsidRPr="00433282">
        <w:t>19</w:t>
      </w:r>
      <w:r w:rsidRPr="00433282">
        <w:t xml:space="preserve">, el representante y la Comisión, respectivamente, presentaron observaciones a las excepciones preliminares, </w:t>
      </w:r>
      <w:r w:rsidR="000B756E" w:rsidRPr="00433282">
        <w:t>en las cuales solicitaron</w:t>
      </w:r>
      <w:r w:rsidRPr="00433282">
        <w:t xml:space="preserve"> que </w:t>
      </w:r>
      <w:r w:rsidR="00B8074F" w:rsidRPr="00433282">
        <w:t xml:space="preserve">éstas </w:t>
      </w:r>
      <w:r w:rsidRPr="00433282">
        <w:t>fueran desestimadas</w:t>
      </w:r>
      <w:r w:rsidR="00B8074F" w:rsidRPr="00433282">
        <w:t xml:space="preserve"> por la Corte</w:t>
      </w:r>
      <w:r w:rsidRPr="00433282">
        <w:t xml:space="preserve">. </w:t>
      </w:r>
    </w:p>
    <w:p w14:paraId="42C27CBC" w14:textId="77777777" w:rsidR="00433282" w:rsidRPr="002E61E9" w:rsidRDefault="00433282" w:rsidP="00846D53">
      <w:pPr>
        <w:rPr>
          <w:lang w:val="es-ES" w:eastAsia="es-ES"/>
        </w:rPr>
      </w:pPr>
    </w:p>
    <w:p w14:paraId="370F544B" w14:textId="5AACD588" w:rsidR="007D114F" w:rsidRDefault="003D5650" w:rsidP="005E070D">
      <w:pPr>
        <w:pStyle w:val="Prrafodelista"/>
      </w:pPr>
      <w:r w:rsidRPr="00433282">
        <w:rPr>
          <w:i/>
          <w:iCs/>
          <w:lang w:eastAsia="es-ES"/>
        </w:rPr>
        <w:t>Audiencia pública</w:t>
      </w:r>
      <w:r w:rsidRPr="00433282">
        <w:rPr>
          <w:lang w:eastAsia="es-ES"/>
        </w:rPr>
        <w:t xml:space="preserve">. </w:t>
      </w:r>
      <w:r w:rsidR="00A7318E" w:rsidRPr="00433282">
        <w:rPr>
          <w:lang w:eastAsia="es-ES"/>
        </w:rPr>
        <w:t>–</w:t>
      </w:r>
      <w:r w:rsidR="005747CF" w:rsidRPr="00433282">
        <w:rPr>
          <w:lang w:eastAsia="es-ES"/>
        </w:rPr>
        <w:t xml:space="preserve"> </w:t>
      </w:r>
      <w:r w:rsidR="005747CF" w:rsidRPr="00433282">
        <w:t>El 8 de diciembre de 2021 la Presiden</w:t>
      </w:r>
      <w:r w:rsidR="007C5A7A" w:rsidRPr="00433282">
        <w:t>cia</w:t>
      </w:r>
      <w:r w:rsidR="005747CF" w:rsidRPr="00433282">
        <w:t xml:space="preserve"> de la Corte dictó una Resolución</w:t>
      </w:r>
      <w:r w:rsidR="005747CF" w:rsidRPr="00BA4885">
        <w:rPr>
          <w:vertAlign w:val="superscript"/>
        </w:rPr>
        <w:footnoteReference w:id="3"/>
      </w:r>
      <w:r w:rsidR="005747CF" w:rsidRPr="00433282">
        <w:t xml:space="preserve">, en consulta con el </w:t>
      </w:r>
      <w:r w:rsidR="005E78E9" w:rsidRPr="00433282">
        <w:t>P</w:t>
      </w:r>
      <w:r w:rsidR="005747CF" w:rsidRPr="00433282">
        <w:t>leno de la Corte, mediante la cual ordenó recibir las declaraciones admitidas mediante la Resolución de 13 de febrero de 2020</w:t>
      </w:r>
      <w:r w:rsidR="00904EFE" w:rsidRPr="00BA4885">
        <w:rPr>
          <w:vertAlign w:val="superscript"/>
        </w:rPr>
        <w:footnoteReference w:id="4"/>
      </w:r>
      <w:r w:rsidR="00904EFE" w:rsidRPr="00433282">
        <w:t xml:space="preserve">. </w:t>
      </w:r>
      <w:r w:rsidR="005747CF" w:rsidRPr="00433282">
        <w:t xml:space="preserve"> </w:t>
      </w:r>
      <w:r w:rsidR="005747CF" w:rsidRPr="00433282">
        <w:rPr>
          <w:lang w:eastAsia="es-ES"/>
        </w:rPr>
        <w:t xml:space="preserve">Asimismo, en tal Resolución, </w:t>
      </w:r>
      <w:r w:rsidR="005E78E9" w:rsidRPr="00433282">
        <w:rPr>
          <w:lang w:eastAsia="es-ES"/>
        </w:rPr>
        <w:t>la</w:t>
      </w:r>
      <w:r w:rsidR="005747CF" w:rsidRPr="00433282">
        <w:rPr>
          <w:lang w:eastAsia="es-ES"/>
        </w:rPr>
        <w:t xml:space="preserve"> Presiden</w:t>
      </w:r>
      <w:r w:rsidR="009F1B61">
        <w:rPr>
          <w:lang w:eastAsia="es-ES"/>
        </w:rPr>
        <w:t>cia</w:t>
      </w:r>
      <w:r w:rsidR="005747CF" w:rsidRPr="00433282">
        <w:rPr>
          <w:lang w:eastAsia="es-ES"/>
        </w:rPr>
        <w:t xml:space="preserve"> convocó a las partes y a la Comisión a una audiencia pública que fue celebrada el 10 de febrero de 202</w:t>
      </w:r>
      <w:r w:rsidR="003A6AE6" w:rsidRPr="00433282">
        <w:rPr>
          <w:lang w:eastAsia="es-ES"/>
        </w:rPr>
        <w:t>2</w:t>
      </w:r>
      <w:r w:rsidR="005747CF" w:rsidRPr="00BA4885">
        <w:rPr>
          <w:vertAlign w:val="superscript"/>
        </w:rPr>
        <w:footnoteReference w:id="5"/>
      </w:r>
      <w:r w:rsidR="005747CF" w:rsidRPr="00433282">
        <w:rPr>
          <w:lang w:eastAsia="es-ES"/>
        </w:rPr>
        <w:t>, en la cual se recibi</w:t>
      </w:r>
      <w:r w:rsidR="00FD4C80" w:rsidRPr="00433282">
        <w:rPr>
          <w:lang w:eastAsia="es-ES"/>
        </w:rPr>
        <w:t>eron</w:t>
      </w:r>
      <w:r w:rsidR="005747CF" w:rsidRPr="00433282">
        <w:rPr>
          <w:lang w:eastAsia="es-ES"/>
        </w:rPr>
        <w:t xml:space="preserve"> tres declara</w:t>
      </w:r>
      <w:r w:rsidR="00FD4C80" w:rsidRPr="00433282">
        <w:rPr>
          <w:lang w:eastAsia="es-ES"/>
        </w:rPr>
        <w:t>ciones</w:t>
      </w:r>
      <w:r w:rsidR="005747CF" w:rsidRPr="00433282">
        <w:rPr>
          <w:lang w:eastAsia="es-ES"/>
        </w:rPr>
        <w:t xml:space="preserve">, así como las observaciones y alegatos finales orales de la Comisión, </w:t>
      </w:r>
      <w:r w:rsidR="005E78E9" w:rsidRPr="00433282">
        <w:rPr>
          <w:lang w:eastAsia="es-ES"/>
        </w:rPr>
        <w:t xml:space="preserve">del </w:t>
      </w:r>
      <w:r w:rsidR="005747CF" w:rsidRPr="00433282">
        <w:rPr>
          <w:lang w:eastAsia="es-ES"/>
        </w:rPr>
        <w:t>representante de la</w:t>
      </w:r>
      <w:r w:rsidR="005E78E9" w:rsidRPr="00433282">
        <w:rPr>
          <w:lang w:eastAsia="es-ES"/>
        </w:rPr>
        <w:t>s</w:t>
      </w:r>
      <w:r w:rsidR="005747CF" w:rsidRPr="00433282">
        <w:rPr>
          <w:lang w:eastAsia="es-ES"/>
        </w:rPr>
        <w:t xml:space="preserve"> presunta</w:t>
      </w:r>
      <w:r w:rsidR="005E78E9" w:rsidRPr="00433282">
        <w:rPr>
          <w:lang w:eastAsia="es-ES"/>
        </w:rPr>
        <w:t>s</w:t>
      </w:r>
      <w:r w:rsidR="005747CF" w:rsidRPr="00433282">
        <w:rPr>
          <w:lang w:eastAsia="es-ES"/>
        </w:rPr>
        <w:t xml:space="preserve"> víctima</w:t>
      </w:r>
      <w:r w:rsidR="005E78E9" w:rsidRPr="00433282">
        <w:rPr>
          <w:lang w:eastAsia="es-ES"/>
        </w:rPr>
        <w:t>s</w:t>
      </w:r>
      <w:r w:rsidR="005747CF" w:rsidRPr="00433282">
        <w:rPr>
          <w:lang w:eastAsia="es-ES"/>
        </w:rPr>
        <w:t xml:space="preserve"> y </w:t>
      </w:r>
      <w:r w:rsidR="005E78E9" w:rsidRPr="00433282">
        <w:rPr>
          <w:lang w:eastAsia="es-ES"/>
        </w:rPr>
        <w:t>d</w:t>
      </w:r>
      <w:r w:rsidR="005747CF" w:rsidRPr="00433282">
        <w:rPr>
          <w:lang w:eastAsia="es-ES"/>
        </w:rPr>
        <w:t xml:space="preserve">el Estado, respectivamente.  </w:t>
      </w:r>
    </w:p>
    <w:p w14:paraId="694C30C6" w14:textId="77777777" w:rsidR="007D114F" w:rsidRPr="0052423B" w:rsidRDefault="007D114F" w:rsidP="00B50CD5">
      <w:pPr>
        <w:rPr>
          <w:lang w:val="es-ES"/>
        </w:rPr>
      </w:pPr>
    </w:p>
    <w:p w14:paraId="341576FD" w14:textId="34C53130" w:rsidR="00A7318E" w:rsidRPr="00014203" w:rsidRDefault="00A7318E" w:rsidP="005E070D">
      <w:pPr>
        <w:pStyle w:val="Prrafodelista"/>
      </w:pPr>
      <w:r w:rsidRPr="00014203">
        <w:rPr>
          <w:rFonts w:eastAsia="Verdana"/>
          <w:i/>
          <w:lang w:eastAsia="es-CR"/>
        </w:rPr>
        <w:lastRenderedPageBreak/>
        <w:t>Amic</w:t>
      </w:r>
      <w:r w:rsidR="009F1B61">
        <w:rPr>
          <w:rFonts w:eastAsia="Verdana"/>
          <w:i/>
          <w:lang w:eastAsia="es-CR"/>
        </w:rPr>
        <w:t>i</w:t>
      </w:r>
      <w:r w:rsidRPr="00014203">
        <w:rPr>
          <w:rFonts w:eastAsia="Verdana"/>
          <w:i/>
          <w:lang w:eastAsia="es-CR"/>
        </w:rPr>
        <w:t xml:space="preserve"> curiae</w:t>
      </w:r>
      <w:r w:rsidRPr="00014203">
        <w:rPr>
          <w:rFonts w:eastAsia="Verdana"/>
          <w:lang w:eastAsia="es-CR"/>
        </w:rPr>
        <w:t>. – E</w:t>
      </w:r>
      <w:r w:rsidR="0093309B" w:rsidRPr="00014203">
        <w:rPr>
          <w:rFonts w:eastAsia="Verdana"/>
          <w:lang w:eastAsia="es-CR"/>
        </w:rPr>
        <w:t xml:space="preserve">ste </w:t>
      </w:r>
      <w:r w:rsidR="00170716" w:rsidRPr="00014203">
        <w:rPr>
          <w:rFonts w:eastAsia="Verdana"/>
          <w:lang w:eastAsia="es-CR"/>
        </w:rPr>
        <w:t xml:space="preserve">Tribunal recibió tres escritos en calidad de </w:t>
      </w:r>
      <w:r w:rsidR="00170716" w:rsidRPr="00014203">
        <w:rPr>
          <w:rFonts w:eastAsia="Verdana"/>
          <w:i/>
          <w:lang w:eastAsia="es-CR"/>
        </w:rPr>
        <w:t>amicus curiae</w:t>
      </w:r>
      <w:r w:rsidR="00170716" w:rsidRPr="00014203">
        <w:rPr>
          <w:rFonts w:eastAsia="Verdana"/>
          <w:lang w:eastAsia="es-CR"/>
        </w:rPr>
        <w:t xml:space="preserve"> presentado</w:t>
      </w:r>
      <w:r w:rsidR="00F24534" w:rsidRPr="00014203">
        <w:rPr>
          <w:rFonts w:eastAsia="Verdana"/>
          <w:lang w:eastAsia="es-CR"/>
        </w:rPr>
        <w:t>s</w:t>
      </w:r>
      <w:r w:rsidR="00170716" w:rsidRPr="00014203">
        <w:rPr>
          <w:rFonts w:eastAsia="Verdana"/>
          <w:lang w:eastAsia="es-CR"/>
        </w:rPr>
        <w:t xml:space="preserve"> por: </w:t>
      </w:r>
      <w:r w:rsidR="00E83C7D" w:rsidRPr="00014203">
        <w:rPr>
          <w:rFonts w:eastAsia="Verdana"/>
          <w:lang w:eastAsia="es-CR"/>
        </w:rPr>
        <w:t>a</w:t>
      </w:r>
      <w:r w:rsidR="00170716" w:rsidRPr="00014203">
        <w:rPr>
          <w:rFonts w:eastAsia="Verdana"/>
          <w:lang w:eastAsia="es-CR"/>
        </w:rPr>
        <w:t>)</w:t>
      </w:r>
      <w:r w:rsidR="009E1336" w:rsidRPr="00014203">
        <w:rPr>
          <w:rFonts w:eastAsia="Verdana"/>
          <w:lang w:eastAsia="es-CR"/>
        </w:rPr>
        <w:t xml:space="preserve"> Robert F. Kennedy Human Rights</w:t>
      </w:r>
      <w:r w:rsidRPr="00BA4885">
        <w:rPr>
          <w:vertAlign w:val="superscript"/>
        </w:rPr>
        <w:footnoteReference w:id="6"/>
      </w:r>
      <w:r w:rsidR="00904EFE" w:rsidRPr="00014203">
        <w:rPr>
          <w:rFonts w:eastAsia="Verdana"/>
          <w:lang w:eastAsia="es-CR"/>
        </w:rPr>
        <w:t>;</w:t>
      </w:r>
      <w:r w:rsidR="00DA521C" w:rsidRPr="00014203">
        <w:rPr>
          <w:rFonts w:eastAsia="Verdana"/>
          <w:lang w:eastAsia="es-CR"/>
        </w:rPr>
        <w:t xml:space="preserve"> </w:t>
      </w:r>
      <w:r w:rsidR="00E83C7D" w:rsidRPr="00014203">
        <w:rPr>
          <w:rFonts w:eastAsia="Verdana"/>
          <w:lang w:eastAsia="es-CR"/>
        </w:rPr>
        <w:t>b)</w:t>
      </w:r>
      <w:r w:rsidR="00442122" w:rsidRPr="00014203">
        <w:rPr>
          <w:rFonts w:eastAsia="Verdana"/>
          <w:lang w:eastAsia="es-CR"/>
        </w:rPr>
        <w:t xml:space="preserve"> </w:t>
      </w:r>
      <w:r w:rsidR="00DA521C" w:rsidRPr="00014203">
        <w:rPr>
          <w:rFonts w:eastAsia="Verdana"/>
          <w:lang w:eastAsia="es-CR"/>
        </w:rPr>
        <w:t>Clínica Jurídica de Libertades Informativas y Transparencia de la Universidad del Pacífico</w:t>
      </w:r>
      <w:r w:rsidR="00DA521C" w:rsidRPr="00BA4885">
        <w:rPr>
          <w:vertAlign w:val="superscript"/>
        </w:rPr>
        <w:footnoteReference w:id="7"/>
      </w:r>
      <w:r w:rsidR="0093309B" w:rsidRPr="00014203">
        <w:rPr>
          <w:rFonts w:eastAsia="Verdana"/>
          <w:lang w:eastAsia="es-CR"/>
        </w:rPr>
        <w:t>,</w:t>
      </w:r>
      <w:r w:rsidR="000A7F84" w:rsidRPr="00014203">
        <w:rPr>
          <w:rFonts w:eastAsia="Verdana"/>
          <w:b/>
          <w:bCs/>
          <w:lang w:eastAsia="es-CR"/>
        </w:rPr>
        <w:t xml:space="preserve"> </w:t>
      </w:r>
      <w:r w:rsidR="00170716" w:rsidRPr="00014203">
        <w:rPr>
          <w:rFonts w:eastAsia="Verdana"/>
          <w:lang w:eastAsia="es-CR"/>
        </w:rPr>
        <w:t xml:space="preserve">y </w:t>
      </w:r>
      <w:r w:rsidR="00F05AD6" w:rsidRPr="00014203">
        <w:rPr>
          <w:rFonts w:eastAsia="Verdana"/>
          <w:lang w:eastAsia="es-CR"/>
        </w:rPr>
        <w:t xml:space="preserve">c) </w:t>
      </w:r>
      <w:r w:rsidR="000A7F84" w:rsidRPr="00014203">
        <w:rPr>
          <w:rFonts w:eastAsia="Verdana"/>
          <w:lang w:eastAsia="es-CR"/>
        </w:rPr>
        <w:t>Ankawa Internacional/Centro de Derechos Humanos</w:t>
      </w:r>
      <w:r w:rsidR="000A7F84" w:rsidRPr="00BA4885">
        <w:rPr>
          <w:vertAlign w:val="superscript"/>
        </w:rPr>
        <w:footnoteReference w:id="8"/>
      </w:r>
      <w:r w:rsidR="00170716" w:rsidRPr="00014203">
        <w:rPr>
          <w:rFonts w:eastAsia="Verdana"/>
          <w:lang w:eastAsia="es-CR"/>
        </w:rPr>
        <w:t>.</w:t>
      </w:r>
    </w:p>
    <w:p w14:paraId="0A52B801" w14:textId="77777777" w:rsidR="00014203" w:rsidRPr="002E61E9" w:rsidRDefault="00014203" w:rsidP="00846D53">
      <w:pPr>
        <w:rPr>
          <w:lang w:val="es-ES"/>
        </w:rPr>
      </w:pPr>
    </w:p>
    <w:p w14:paraId="7D919137" w14:textId="0BFCDDF9" w:rsidR="008E6AFA" w:rsidRPr="00014203" w:rsidRDefault="00296C50" w:rsidP="005E070D">
      <w:pPr>
        <w:pStyle w:val="Prrafodelista"/>
      </w:pPr>
      <w:r w:rsidRPr="00014203">
        <w:rPr>
          <w:rFonts w:cs="Arial"/>
          <w:i/>
          <w:lang w:eastAsia="es-ES"/>
        </w:rPr>
        <w:t>A</w:t>
      </w:r>
      <w:r w:rsidRPr="00014203">
        <w:rPr>
          <w:i/>
          <w:lang w:eastAsia="es-ES"/>
        </w:rPr>
        <w:t>legatos y</w:t>
      </w:r>
      <w:r w:rsidR="00A7061E" w:rsidRPr="00014203">
        <w:rPr>
          <w:i/>
          <w:lang w:eastAsia="es-ES"/>
        </w:rPr>
        <w:t xml:space="preserve"> observaciones finales escritos</w:t>
      </w:r>
      <w:r w:rsidRPr="00014203">
        <w:rPr>
          <w:lang w:eastAsia="es-ES"/>
        </w:rPr>
        <w:t>.</w:t>
      </w:r>
      <w:r w:rsidR="00A7061E" w:rsidRPr="00014203">
        <w:rPr>
          <w:lang w:eastAsia="es-ES"/>
        </w:rPr>
        <w:t xml:space="preserve"> </w:t>
      </w:r>
      <w:r w:rsidRPr="00014203">
        <w:rPr>
          <w:lang w:eastAsia="es-ES"/>
        </w:rPr>
        <w:t xml:space="preserve">– </w:t>
      </w:r>
      <w:r w:rsidR="003D248E" w:rsidRPr="00014203">
        <w:rPr>
          <w:lang w:eastAsia="es-ES"/>
        </w:rPr>
        <w:t>El 10 de marzo de 2022 las partes presentaron sus alegatos finales escritos</w:t>
      </w:r>
      <w:r w:rsidR="00442122" w:rsidRPr="00014203">
        <w:rPr>
          <w:lang w:eastAsia="es-ES"/>
        </w:rPr>
        <w:t xml:space="preserve"> con sus respectivos anexos</w:t>
      </w:r>
      <w:r w:rsidR="003D248E" w:rsidRPr="00014203">
        <w:rPr>
          <w:lang w:eastAsia="es-ES"/>
        </w:rPr>
        <w:t xml:space="preserve">. </w:t>
      </w:r>
      <w:r w:rsidR="003D248E" w:rsidRPr="00014203">
        <w:rPr>
          <w:lang w:eastAsia="es-CR"/>
        </w:rPr>
        <w:t>En esa misma fecha la Comisión presentó sus observaciones finales escritas.</w:t>
      </w:r>
    </w:p>
    <w:p w14:paraId="2FA858DF" w14:textId="77777777" w:rsidR="00014203" w:rsidRPr="002E61E9" w:rsidRDefault="00014203" w:rsidP="00846D53">
      <w:pPr>
        <w:rPr>
          <w:lang w:val="es-ES"/>
        </w:rPr>
      </w:pPr>
    </w:p>
    <w:p w14:paraId="6AEFB89A" w14:textId="67E7374F" w:rsidR="002F5A19" w:rsidRDefault="00405B54" w:rsidP="005E070D">
      <w:pPr>
        <w:pStyle w:val="Prrafodelista"/>
      </w:pPr>
      <w:r w:rsidRPr="00014203">
        <w:rPr>
          <w:i/>
          <w:iCs/>
          <w:lang w:eastAsia="es-MX"/>
        </w:rPr>
        <w:t xml:space="preserve">Observaciones </w:t>
      </w:r>
      <w:r w:rsidR="009F1B61" w:rsidRPr="00E42532">
        <w:rPr>
          <w:rFonts w:eastAsia="Verdana" w:cs="Verdana"/>
          <w:i/>
        </w:rPr>
        <w:t>a los anexos a los alegatos finales</w:t>
      </w:r>
      <w:r w:rsidRPr="00014203">
        <w:rPr>
          <w:lang w:eastAsia="es-MX"/>
        </w:rPr>
        <w:t>. –</w:t>
      </w:r>
      <w:bookmarkStart w:id="31" w:name="_Ref303582878"/>
      <w:r w:rsidR="00DE7461" w:rsidRPr="00014203">
        <w:rPr>
          <w:lang w:eastAsia="es-MX"/>
        </w:rPr>
        <w:t xml:space="preserve"> El </w:t>
      </w:r>
      <w:r w:rsidR="001D3B94" w:rsidRPr="00014203">
        <w:rPr>
          <w:lang w:eastAsia="es-MX"/>
        </w:rPr>
        <w:t>22</w:t>
      </w:r>
      <w:r w:rsidR="00710F79" w:rsidRPr="00014203">
        <w:rPr>
          <w:lang w:eastAsia="es-MX"/>
        </w:rPr>
        <w:t xml:space="preserve"> de marzo de 2022</w:t>
      </w:r>
      <w:r w:rsidR="00170AA7" w:rsidRPr="00014203">
        <w:rPr>
          <w:lang w:eastAsia="es-MX"/>
        </w:rPr>
        <w:t xml:space="preserve"> </w:t>
      </w:r>
      <w:r w:rsidR="005E78E9" w:rsidRPr="00014203">
        <w:rPr>
          <w:lang w:eastAsia="es-MX"/>
        </w:rPr>
        <w:t>el</w:t>
      </w:r>
      <w:r w:rsidRPr="00014203">
        <w:rPr>
          <w:lang w:eastAsia="es-MX"/>
        </w:rPr>
        <w:t xml:space="preserve"> representante</w:t>
      </w:r>
      <w:r w:rsidR="001D3B94" w:rsidRPr="00014203">
        <w:rPr>
          <w:lang w:eastAsia="es-MX"/>
        </w:rPr>
        <w:t xml:space="preserve"> </w:t>
      </w:r>
      <w:r w:rsidRPr="00014203">
        <w:rPr>
          <w:lang w:eastAsia="es-MX"/>
        </w:rPr>
        <w:t>y el</w:t>
      </w:r>
      <w:r w:rsidR="001D3B94" w:rsidRPr="00014203">
        <w:rPr>
          <w:lang w:eastAsia="es-MX"/>
        </w:rPr>
        <w:t xml:space="preserve"> </w:t>
      </w:r>
      <w:r w:rsidR="00154259" w:rsidRPr="00014203">
        <w:rPr>
          <w:lang w:eastAsia="es-MX"/>
        </w:rPr>
        <w:t>28 de marzo de 2022</w:t>
      </w:r>
      <w:r w:rsidR="001D3B94" w:rsidRPr="00014203">
        <w:rPr>
          <w:lang w:eastAsia="es-MX"/>
        </w:rPr>
        <w:t xml:space="preserve"> el</w:t>
      </w:r>
      <w:r w:rsidRPr="00014203">
        <w:rPr>
          <w:lang w:eastAsia="es-MX"/>
        </w:rPr>
        <w:t xml:space="preserve"> Estado, respectivamente, remitieron sus observaciones a </w:t>
      </w:r>
      <w:r w:rsidR="005E78E9" w:rsidRPr="00014203">
        <w:rPr>
          <w:lang w:eastAsia="es-MX"/>
        </w:rPr>
        <w:t xml:space="preserve">los anexos presentados junto con </w:t>
      </w:r>
      <w:r w:rsidRPr="00014203">
        <w:rPr>
          <w:lang w:eastAsia="es-MX"/>
        </w:rPr>
        <w:t xml:space="preserve">los alegatos finales escritos </w:t>
      </w:r>
      <w:r w:rsidR="00C65660">
        <w:rPr>
          <w:lang w:eastAsia="es-MX"/>
        </w:rPr>
        <w:t>por</w:t>
      </w:r>
      <w:r w:rsidR="00C65660" w:rsidRPr="00014203">
        <w:rPr>
          <w:lang w:eastAsia="es-MX"/>
        </w:rPr>
        <w:t xml:space="preserve"> </w:t>
      </w:r>
      <w:r w:rsidRPr="00014203">
        <w:rPr>
          <w:lang w:eastAsia="es-MX"/>
        </w:rPr>
        <w:t>la otra parte</w:t>
      </w:r>
      <w:bookmarkEnd w:id="31"/>
      <w:r w:rsidR="005E78E9" w:rsidRPr="00014203">
        <w:rPr>
          <w:lang w:eastAsia="es-MX"/>
        </w:rPr>
        <w:t xml:space="preserve">. </w:t>
      </w:r>
      <w:r w:rsidR="00996CD7" w:rsidRPr="00014203">
        <w:rPr>
          <w:lang w:eastAsia="es-MX"/>
        </w:rPr>
        <w:t xml:space="preserve">El </w:t>
      </w:r>
      <w:r w:rsidR="00154259" w:rsidRPr="00014203">
        <w:rPr>
          <w:lang w:eastAsia="es-MX"/>
        </w:rPr>
        <w:t>28</w:t>
      </w:r>
      <w:r w:rsidR="001D3B94" w:rsidRPr="00014203">
        <w:rPr>
          <w:lang w:eastAsia="es-MX"/>
        </w:rPr>
        <w:t xml:space="preserve"> </w:t>
      </w:r>
      <w:r w:rsidR="00710F79" w:rsidRPr="00014203">
        <w:rPr>
          <w:lang w:eastAsia="es-MX"/>
        </w:rPr>
        <w:t>de marzo de 2022</w:t>
      </w:r>
      <w:r w:rsidR="00170AA7" w:rsidRPr="00014203">
        <w:rPr>
          <w:lang w:eastAsia="es-MX"/>
        </w:rPr>
        <w:t xml:space="preserve"> </w:t>
      </w:r>
      <w:r w:rsidR="00996CD7" w:rsidRPr="00014203">
        <w:rPr>
          <w:lang w:eastAsia="es-MX"/>
        </w:rPr>
        <w:t xml:space="preserve">la Comisión </w:t>
      </w:r>
      <w:r w:rsidR="00996CD7" w:rsidRPr="00014203">
        <w:t xml:space="preserve">informó que no </w:t>
      </w:r>
      <w:r w:rsidR="00D32053" w:rsidRPr="00014203">
        <w:t>tenía</w:t>
      </w:r>
      <w:r w:rsidR="00996CD7" w:rsidRPr="00014203">
        <w:t xml:space="preserve"> observaciones a los anexos presentados por las partes en el presente caso</w:t>
      </w:r>
      <w:r w:rsidR="00D32053" w:rsidRPr="00014203">
        <w:t>.</w:t>
      </w:r>
    </w:p>
    <w:p w14:paraId="7C7F2891" w14:textId="77777777" w:rsidR="005F6A34" w:rsidRPr="002E61E9" w:rsidRDefault="005F6A34" w:rsidP="00846D53">
      <w:pPr>
        <w:rPr>
          <w:lang w:val="es-ES"/>
        </w:rPr>
      </w:pPr>
    </w:p>
    <w:p w14:paraId="752E19FD" w14:textId="1DB50333" w:rsidR="009F1818" w:rsidRPr="005F6A34" w:rsidRDefault="009F1818" w:rsidP="005E070D">
      <w:pPr>
        <w:pStyle w:val="Prrafodelista"/>
      </w:pPr>
      <w:r w:rsidRPr="007C693A">
        <w:rPr>
          <w:i/>
        </w:rPr>
        <w:t>Otros escritos.</w:t>
      </w:r>
      <w:r w:rsidRPr="005F6A34">
        <w:t xml:space="preserve"> – El </w:t>
      </w:r>
      <w:r w:rsidR="000647AE" w:rsidRPr="005F6A34">
        <w:t>18</w:t>
      </w:r>
      <w:r w:rsidRPr="005F6A34">
        <w:t xml:space="preserve"> de</w:t>
      </w:r>
      <w:r w:rsidR="008F636B" w:rsidRPr="005F6A34">
        <w:t xml:space="preserve"> abril</w:t>
      </w:r>
      <w:r w:rsidRPr="005F6A34">
        <w:t xml:space="preserve"> de 2022 </w:t>
      </w:r>
      <w:r w:rsidR="008F636B" w:rsidRPr="005F6A34">
        <w:t xml:space="preserve">se recibió un escrito del </w:t>
      </w:r>
      <w:r w:rsidR="00846D53">
        <w:t>r</w:t>
      </w:r>
      <w:r w:rsidR="008F636B" w:rsidRPr="005F6A34">
        <w:t>epresentante en el que se hace referencia a</w:t>
      </w:r>
      <w:r w:rsidR="00D956A7" w:rsidRPr="005F6A34">
        <w:t xml:space="preserve"> un acto de reconocimiento</w:t>
      </w:r>
      <w:r w:rsidRPr="005F6A34">
        <w:t xml:space="preserve"> </w:t>
      </w:r>
      <w:r w:rsidR="00D956A7" w:rsidRPr="005F6A34">
        <w:t>póstumo a Juan Carlos Flores Bedregal por parte del Estado con base en un acuerdo con la señora Adela Hortensia Villamil</w:t>
      </w:r>
      <w:r w:rsidR="00637CBA" w:rsidRPr="005F6A34">
        <w:t>,</w:t>
      </w:r>
      <w:r w:rsidR="00CE5E8D" w:rsidRPr="005F6A34">
        <w:t xml:space="preserve"> en calidad de viuda del señor Flores Bedregal</w:t>
      </w:r>
      <w:r w:rsidR="00D956A7" w:rsidRPr="005F6A34">
        <w:t>. El</w:t>
      </w:r>
      <w:r w:rsidR="008F636B" w:rsidRPr="005F6A34">
        <w:t xml:space="preserve"> </w:t>
      </w:r>
      <w:r w:rsidR="00D956A7" w:rsidRPr="005F6A34">
        <w:t xml:space="preserve">2 de mayo de 2022 la Comisión Interamericana informó sobre </w:t>
      </w:r>
      <w:r w:rsidR="00CE5E8D" w:rsidRPr="005F6A34">
        <w:t>la</w:t>
      </w:r>
      <w:r w:rsidR="00D956A7" w:rsidRPr="005F6A34">
        <w:t xml:space="preserve"> petición </w:t>
      </w:r>
      <w:r w:rsidR="00CE5E8D" w:rsidRPr="005F6A34">
        <w:t xml:space="preserve">P-1186/09 </w:t>
      </w:r>
      <w:r w:rsidR="00D956A7" w:rsidRPr="005F6A34">
        <w:t xml:space="preserve">presentada por la señora Villamil </w:t>
      </w:r>
      <w:r w:rsidR="00CE5E8D" w:rsidRPr="005F6A34">
        <w:t xml:space="preserve">la cual </w:t>
      </w:r>
      <w:r w:rsidR="00D956A7" w:rsidRPr="005F6A34">
        <w:t xml:space="preserve">habría sido objeto de desistimiento tras un acuerdo entre la peticionaria </w:t>
      </w:r>
      <w:r w:rsidR="00CE5E8D" w:rsidRPr="005F6A34">
        <w:t>y el Estado. Según los dichos de la Comisión</w:t>
      </w:r>
      <w:r w:rsidR="00637CBA" w:rsidRPr="005F6A34">
        <w:t>,</w:t>
      </w:r>
      <w:r w:rsidR="00CE5E8D" w:rsidRPr="005F6A34">
        <w:t xml:space="preserve"> dicho acuerdo no fue homologado por ésta por resultar incompatible con las conclusiones de hecho y </w:t>
      </w:r>
      <w:r w:rsidR="00637CBA" w:rsidRPr="005F6A34">
        <w:t xml:space="preserve">de </w:t>
      </w:r>
      <w:r w:rsidR="00CE5E8D" w:rsidRPr="005F6A34">
        <w:t xml:space="preserve">derecho </w:t>
      </w:r>
      <w:r w:rsidR="00637CBA" w:rsidRPr="005F6A34">
        <w:t>establecidas</w:t>
      </w:r>
      <w:r w:rsidR="00CE5E8D" w:rsidRPr="005F6A34">
        <w:t xml:space="preserve"> en el </w:t>
      </w:r>
      <w:r w:rsidR="00CE5E8D" w:rsidRPr="005F6A34">
        <w:rPr>
          <w:rFonts w:eastAsiaTheme="minorHAnsi" w:cs="Verdana"/>
          <w:iCs/>
        </w:rPr>
        <w:t xml:space="preserve">Informe de Fondo </w:t>
      </w:r>
      <w:r w:rsidR="00CE5E8D" w:rsidRPr="005F6A34">
        <w:rPr>
          <w:iCs/>
        </w:rPr>
        <w:t>N</w:t>
      </w:r>
      <w:r w:rsidR="004B22E7">
        <w:rPr>
          <w:iCs/>
        </w:rPr>
        <w:t>o.</w:t>
      </w:r>
      <w:r w:rsidR="00CE5E8D" w:rsidRPr="005F6A34">
        <w:rPr>
          <w:iCs/>
        </w:rPr>
        <w:t xml:space="preserve"> </w:t>
      </w:r>
      <w:r w:rsidR="00CE5E8D" w:rsidRPr="005F6A34">
        <w:rPr>
          <w:rFonts w:eastAsiaTheme="minorHAnsi" w:cs="Verdana"/>
          <w:iCs/>
        </w:rPr>
        <w:t>60/18.</w:t>
      </w:r>
      <w:r w:rsidR="00637CBA" w:rsidRPr="005F6A34">
        <w:rPr>
          <w:rFonts w:eastAsiaTheme="minorHAnsi" w:cs="Verdana"/>
          <w:iCs/>
        </w:rPr>
        <w:t xml:space="preserve"> El 10 de mayo de 2022, el Estado presentó sus observaciones sobre el particular.</w:t>
      </w:r>
    </w:p>
    <w:p w14:paraId="776E3F5D" w14:textId="77777777" w:rsidR="005F6A34" w:rsidRPr="002E61E9" w:rsidRDefault="005F6A34" w:rsidP="00846D53">
      <w:pPr>
        <w:rPr>
          <w:lang w:val="es-ES"/>
        </w:rPr>
      </w:pPr>
    </w:p>
    <w:p w14:paraId="7E7B0847" w14:textId="444874D9" w:rsidR="00E16DA5" w:rsidRPr="005F6A34" w:rsidRDefault="00E16DA5" w:rsidP="005E070D">
      <w:pPr>
        <w:pStyle w:val="Prrafodelista"/>
      </w:pPr>
      <w:r w:rsidRPr="005F6A34">
        <w:rPr>
          <w:rFonts w:eastAsia="Calibri"/>
          <w:i/>
          <w:snapToGrid w:val="0"/>
          <w:lang w:eastAsia="es-ES"/>
        </w:rPr>
        <w:t xml:space="preserve">Erogaciones en aplicación del Fondo de Asistencia. </w:t>
      </w:r>
      <w:r w:rsidRPr="005F6A34">
        <w:rPr>
          <w:rFonts w:eastAsia="Calibri"/>
          <w:iCs/>
          <w:snapToGrid w:val="0"/>
          <w:lang w:eastAsia="es-ES"/>
        </w:rPr>
        <w:t xml:space="preserve">– </w:t>
      </w:r>
      <w:r w:rsidRPr="005F6A34">
        <w:rPr>
          <w:rFonts w:eastAsia="Calibri"/>
          <w:snapToGrid w:val="0"/>
          <w:lang w:eastAsia="es-ES"/>
        </w:rPr>
        <w:t xml:space="preserve">El </w:t>
      </w:r>
      <w:r w:rsidR="004F0C41" w:rsidRPr="009C06FC">
        <w:rPr>
          <w:rFonts w:eastAsia="Calibri"/>
          <w:snapToGrid w:val="0"/>
          <w:lang w:eastAsia="es-ES"/>
        </w:rPr>
        <w:t>1</w:t>
      </w:r>
      <w:r w:rsidRPr="005F6A34">
        <w:rPr>
          <w:rFonts w:eastAsia="Calibri"/>
          <w:snapToGrid w:val="0"/>
          <w:lang w:eastAsia="es-ES"/>
        </w:rPr>
        <w:t xml:space="preserve"> de </w:t>
      </w:r>
      <w:r w:rsidR="004F0C41" w:rsidRPr="005F6A34">
        <w:rPr>
          <w:rFonts w:eastAsia="Calibri"/>
          <w:snapToGrid w:val="0"/>
          <w:lang w:eastAsia="es-ES"/>
        </w:rPr>
        <w:t>abril</w:t>
      </w:r>
      <w:r w:rsidRPr="005F6A34">
        <w:rPr>
          <w:rFonts w:eastAsia="Calibri"/>
          <w:snapToGrid w:val="0"/>
          <w:lang w:eastAsia="es-ES"/>
        </w:rPr>
        <w:t xml:space="preserve"> de 2022 la Secretaría, siguiendo instrucciones del Presidente de la Corte, remitió información al Estado sobre las erogaciones del Fondo de Asistencia Legal de Víctimas </w:t>
      </w:r>
      <w:r w:rsidR="00AA2750">
        <w:rPr>
          <w:rFonts w:eastAsia="Calibri"/>
          <w:snapToGrid w:val="0"/>
          <w:lang w:eastAsia="es-ES"/>
        </w:rPr>
        <w:t xml:space="preserve">(en adelante </w:t>
      </w:r>
      <w:r w:rsidR="00AA2750" w:rsidRPr="00AA2750">
        <w:rPr>
          <w:rFonts w:eastAsia="Calibri"/>
          <w:snapToGrid w:val="0"/>
          <w:lang w:eastAsia="es-ES"/>
        </w:rPr>
        <w:t>“</w:t>
      </w:r>
      <w:r w:rsidR="00AA2750" w:rsidRPr="00AA2750">
        <w:t>FALV”)</w:t>
      </w:r>
      <w:r w:rsidR="00AA2750">
        <w:t xml:space="preserve"> </w:t>
      </w:r>
      <w:r w:rsidRPr="005F6A34">
        <w:rPr>
          <w:rFonts w:eastAsia="Calibri"/>
          <w:snapToGrid w:val="0"/>
          <w:lang w:eastAsia="es-ES"/>
        </w:rPr>
        <w:t>en el presente caso</w:t>
      </w:r>
      <w:r w:rsidR="00442122" w:rsidRPr="005F6A34">
        <w:rPr>
          <w:rFonts w:eastAsia="Calibri"/>
          <w:snapToGrid w:val="0"/>
          <w:lang w:eastAsia="es-ES"/>
        </w:rPr>
        <w:t xml:space="preserve">. Asimismo, conforme al </w:t>
      </w:r>
      <w:r w:rsidRPr="005F6A34">
        <w:rPr>
          <w:rFonts w:eastAsia="Calibri"/>
          <w:snapToGrid w:val="0"/>
          <w:lang w:eastAsia="es-ES"/>
        </w:rPr>
        <w:t xml:space="preserve">artículo 5 del Reglamento de la Corte sobre el Funcionamiento del referido Fondo, le otorgó un plazo para presentar las observaciones que estimara pertinentes. El </w:t>
      </w:r>
      <w:r w:rsidR="009D2ED0" w:rsidRPr="005F6A34">
        <w:rPr>
          <w:rFonts w:eastAsia="Calibri"/>
          <w:snapToGrid w:val="0"/>
          <w:lang w:eastAsia="es-ES"/>
        </w:rPr>
        <w:t>13</w:t>
      </w:r>
      <w:r w:rsidRPr="005F6A34">
        <w:rPr>
          <w:rFonts w:eastAsia="Calibri"/>
          <w:snapToGrid w:val="0"/>
          <w:lang w:eastAsia="es-ES"/>
        </w:rPr>
        <w:t xml:space="preserve"> de </w:t>
      </w:r>
      <w:r w:rsidR="00313485" w:rsidRPr="005F6A34">
        <w:rPr>
          <w:rFonts w:eastAsia="Calibri"/>
          <w:snapToGrid w:val="0"/>
          <w:lang w:eastAsia="es-ES"/>
        </w:rPr>
        <w:t>abril</w:t>
      </w:r>
      <w:r w:rsidRPr="005F6A34">
        <w:rPr>
          <w:rFonts w:eastAsia="Calibri"/>
          <w:snapToGrid w:val="0"/>
          <w:lang w:eastAsia="es-ES"/>
        </w:rPr>
        <w:t xml:space="preserve"> de 2022 el Estado presentó sus observaciones.</w:t>
      </w:r>
      <w:r w:rsidR="007B22CE">
        <w:rPr>
          <w:rFonts w:eastAsia="Calibri"/>
          <w:snapToGrid w:val="0"/>
          <w:lang w:eastAsia="es-ES"/>
        </w:rPr>
        <w:t xml:space="preserve"> </w:t>
      </w:r>
    </w:p>
    <w:p w14:paraId="3685FE5D" w14:textId="77777777" w:rsidR="005F6A34" w:rsidRPr="002E61E9" w:rsidRDefault="005F6A34" w:rsidP="00846D53">
      <w:pPr>
        <w:rPr>
          <w:lang w:val="es-ES"/>
        </w:rPr>
      </w:pPr>
    </w:p>
    <w:p w14:paraId="51B55B7F" w14:textId="1A867F52" w:rsidR="007E6E68" w:rsidRPr="00994D6E" w:rsidRDefault="00296C50" w:rsidP="005E070D">
      <w:pPr>
        <w:pStyle w:val="Prrafodelista"/>
      </w:pPr>
      <w:r w:rsidRPr="007C693A">
        <w:rPr>
          <w:i/>
          <w:iCs/>
          <w:lang w:eastAsia="es-CR"/>
        </w:rPr>
        <w:t>Deliberación del presente caso</w:t>
      </w:r>
      <w:r w:rsidRPr="005F6A34">
        <w:rPr>
          <w:lang w:eastAsia="es-CR"/>
        </w:rPr>
        <w:t>. - La Corte deliber</w:t>
      </w:r>
      <w:r w:rsidR="00E505EA">
        <w:rPr>
          <w:lang w:eastAsia="es-CR"/>
        </w:rPr>
        <w:t>ó</w:t>
      </w:r>
      <w:r w:rsidRPr="005F6A34">
        <w:rPr>
          <w:lang w:eastAsia="es-CR"/>
        </w:rPr>
        <w:t xml:space="preserve"> la presente Sentencia </w:t>
      </w:r>
      <w:r w:rsidR="00284D32">
        <w:rPr>
          <w:lang w:eastAsia="es-CR"/>
        </w:rPr>
        <w:t>los días</w:t>
      </w:r>
      <w:r w:rsidR="004A0F7B" w:rsidRPr="0052423B">
        <w:rPr>
          <w:b/>
          <w:bCs/>
          <w:lang w:eastAsia="es-CR"/>
        </w:rPr>
        <w:t xml:space="preserve"> </w:t>
      </w:r>
      <w:r w:rsidR="00586C6A" w:rsidRPr="00994D6E">
        <w:rPr>
          <w:lang w:eastAsia="es-CR"/>
        </w:rPr>
        <w:t>5, 6 y 9 de septiembre,</w:t>
      </w:r>
      <w:r w:rsidR="00E06E1D" w:rsidRPr="00994D6E">
        <w:rPr>
          <w:lang w:eastAsia="es-CR"/>
        </w:rPr>
        <w:t xml:space="preserve"> y</w:t>
      </w:r>
      <w:r w:rsidR="00586C6A" w:rsidRPr="00994D6E">
        <w:rPr>
          <w:lang w:eastAsia="es-CR"/>
        </w:rPr>
        <w:t xml:space="preserve"> </w:t>
      </w:r>
      <w:r w:rsidR="00923010" w:rsidRPr="00994D6E">
        <w:rPr>
          <w:lang w:eastAsia="es-CR"/>
        </w:rPr>
        <w:t xml:space="preserve">4 y 17 </w:t>
      </w:r>
      <w:r w:rsidR="008464EA" w:rsidRPr="00994D6E">
        <w:rPr>
          <w:lang w:eastAsia="es-CR"/>
        </w:rPr>
        <w:t>octu</w:t>
      </w:r>
      <w:r w:rsidR="001D3579" w:rsidRPr="00994D6E">
        <w:rPr>
          <w:lang w:eastAsia="es-CR"/>
        </w:rPr>
        <w:t>bre</w:t>
      </w:r>
      <w:r w:rsidR="00170AA7" w:rsidRPr="00994D6E">
        <w:rPr>
          <w:lang w:eastAsia="es-CR"/>
        </w:rPr>
        <w:t xml:space="preserve"> de 202</w:t>
      </w:r>
      <w:r w:rsidR="00DE7461" w:rsidRPr="00994D6E">
        <w:rPr>
          <w:lang w:eastAsia="es-CR"/>
        </w:rPr>
        <w:t>2</w:t>
      </w:r>
      <w:r w:rsidR="002D2619" w:rsidRPr="00994D6E">
        <w:rPr>
          <w:lang w:eastAsia="es-CR"/>
        </w:rPr>
        <w:t>.</w:t>
      </w:r>
      <w:r w:rsidR="00846D53" w:rsidRPr="00994D6E">
        <w:rPr>
          <w:lang w:eastAsia="es-CR"/>
        </w:rPr>
        <w:t xml:space="preserve"> </w:t>
      </w:r>
    </w:p>
    <w:p w14:paraId="60D7BC3B" w14:textId="77777777" w:rsidR="00847642" w:rsidRPr="002E61E9" w:rsidRDefault="00847642" w:rsidP="00846D53">
      <w:pPr>
        <w:rPr>
          <w:lang w:val="es-ES"/>
        </w:rPr>
      </w:pPr>
    </w:p>
    <w:p w14:paraId="4E3C4A06" w14:textId="4E9D4E95" w:rsidR="007E6E68" w:rsidRDefault="007E6E68" w:rsidP="007E6E68">
      <w:pPr>
        <w:pStyle w:val="Ttulo1"/>
        <w:spacing w:before="0"/>
        <w:jc w:val="center"/>
        <w:rPr>
          <w:rFonts w:ascii="Verdana" w:hAnsi="Verdana"/>
          <w:b/>
          <w:bCs/>
          <w:color w:val="000000" w:themeColor="text1"/>
          <w:sz w:val="20"/>
          <w:szCs w:val="20"/>
          <w:lang w:val="es-ES"/>
        </w:rPr>
      </w:pPr>
      <w:bookmarkStart w:id="32" w:name="_Toc125037452"/>
      <w:bookmarkStart w:id="33" w:name="_Toc460237944"/>
      <w:bookmarkStart w:id="34" w:name="_Toc460238241"/>
      <w:bookmarkStart w:id="35" w:name="_Toc470105094"/>
      <w:r>
        <w:rPr>
          <w:rFonts w:ascii="Verdana" w:hAnsi="Verdana"/>
          <w:b/>
          <w:bCs/>
          <w:color w:val="000000" w:themeColor="text1"/>
          <w:sz w:val="20"/>
          <w:szCs w:val="20"/>
          <w:lang w:val="es-ES"/>
        </w:rPr>
        <w:t>III</w:t>
      </w:r>
      <w:bookmarkEnd w:id="32"/>
    </w:p>
    <w:p w14:paraId="39918A0D" w14:textId="5CA2D2DD" w:rsidR="005F6A34" w:rsidRPr="005F6A34" w:rsidRDefault="005F6A34" w:rsidP="007E6E68">
      <w:pPr>
        <w:pStyle w:val="Ttulo1"/>
        <w:spacing w:before="0"/>
        <w:jc w:val="center"/>
        <w:rPr>
          <w:rFonts w:ascii="Verdana" w:hAnsi="Verdana"/>
          <w:b/>
          <w:bCs/>
          <w:color w:val="000000" w:themeColor="text1"/>
          <w:sz w:val="20"/>
          <w:szCs w:val="20"/>
          <w:lang w:val="es-ES"/>
        </w:rPr>
      </w:pPr>
      <w:bookmarkStart w:id="36" w:name="_Toc124157777"/>
      <w:bookmarkStart w:id="37" w:name="_Toc125037453"/>
      <w:r w:rsidRPr="005F6A34">
        <w:rPr>
          <w:rFonts w:ascii="Verdana" w:hAnsi="Verdana"/>
          <w:b/>
          <w:bCs/>
          <w:color w:val="000000" w:themeColor="text1"/>
          <w:sz w:val="20"/>
          <w:szCs w:val="20"/>
          <w:lang w:val="es-ES"/>
        </w:rPr>
        <w:t>COMPETENCIA</w:t>
      </w:r>
      <w:bookmarkEnd w:id="33"/>
      <w:bookmarkEnd w:id="34"/>
      <w:bookmarkEnd w:id="35"/>
      <w:bookmarkEnd w:id="36"/>
      <w:bookmarkEnd w:id="37"/>
    </w:p>
    <w:p w14:paraId="49D4A346" w14:textId="77777777" w:rsidR="005F6A34" w:rsidRPr="00F31192" w:rsidRDefault="005F6A34" w:rsidP="00F31192">
      <w:pPr>
        <w:rPr>
          <w:rFonts w:ascii="Verdana" w:hAnsi="Verdana"/>
          <w:lang w:val="es-ES"/>
        </w:rPr>
      </w:pPr>
    </w:p>
    <w:p w14:paraId="753C684C" w14:textId="1EE26CC9" w:rsidR="007E6E68" w:rsidRDefault="00296C50" w:rsidP="005E070D">
      <w:pPr>
        <w:pStyle w:val="Prrafodelista"/>
      </w:pPr>
      <w:r w:rsidRPr="005F6A34">
        <w:t xml:space="preserve">La Corte es competente para conocer del presente caso, en los términos del artículo 62.3 de la Convención, ya que Bolivia es Estado Parte en la Convención desde el 19 de julio de </w:t>
      </w:r>
      <w:r w:rsidR="00575EC5" w:rsidRPr="005F6A34">
        <w:t xml:space="preserve">1979 </w:t>
      </w:r>
      <w:r w:rsidRPr="005F6A34">
        <w:t>y reconoció la competencia contenciosa de la Corte el 27 de julio de 1993</w:t>
      </w:r>
      <w:r w:rsidR="00253ADD" w:rsidRPr="008464EA">
        <w:rPr>
          <w:vertAlign w:val="superscript"/>
        </w:rPr>
        <w:footnoteReference w:id="9"/>
      </w:r>
      <w:r w:rsidRPr="005F6A34">
        <w:t>.</w:t>
      </w:r>
      <w:r w:rsidR="00DD6305" w:rsidRPr="005F6A34">
        <w:rPr>
          <w:i/>
        </w:rPr>
        <w:t xml:space="preserve"> </w:t>
      </w:r>
      <w:r w:rsidR="00890F7A" w:rsidRPr="005F6A34">
        <w:t>Además, depositó el instrumento de ratificación de la CIDFP</w:t>
      </w:r>
      <w:r w:rsidR="00DD6305" w:rsidRPr="005F6A34">
        <w:t xml:space="preserve"> </w:t>
      </w:r>
      <w:r w:rsidR="00A610B9" w:rsidRPr="005F6A34">
        <w:t xml:space="preserve">el </w:t>
      </w:r>
      <w:r w:rsidR="00DD6305" w:rsidRPr="005F6A34">
        <w:t>5 de</w:t>
      </w:r>
      <w:r w:rsidR="00DE3898" w:rsidRPr="005F6A34">
        <w:t xml:space="preserve"> mayo</w:t>
      </w:r>
      <w:r w:rsidR="00DD6305" w:rsidRPr="005F6A34">
        <w:t xml:space="preserve"> de 1999</w:t>
      </w:r>
      <w:r w:rsidR="00890F7A" w:rsidRPr="005F6A34">
        <w:t>.</w:t>
      </w:r>
    </w:p>
    <w:p w14:paraId="6F741995" w14:textId="77777777" w:rsidR="00131A99" w:rsidRPr="0052423B" w:rsidRDefault="00131A99" w:rsidP="00B50CD5">
      <w:pPr>
        <w:rPr>
          <w:lang w:val="es-ES"/>
        </w:rPr>
      </w:pPr>
    </w:p>
    <w:p w14:paraId="0BB357BE" w14:textId="6CF37821" w:rsidR="007E6E68" w:rsidRDefault="007E6E68" w:rsidP="007E6E68">
      <w:pPr>
        <w:pStyle w:val="Ttulo1"/>
        <w:spacing w:before="0"/>
        <w:jc w:val="center"/>
        <w:rPr>
          <w:rFonts w:ascii="Verdana" w:hAnsi="Verdana"/>
          <w:b/>
          <w:bCs/>
          <w:color w:val="000000" w:themeColor="text1"/>
          <w:sz w:val="20"/>
          <w:szCs w:val="20"/>
          <w:lang w:val="es-ES"/>
        </w:rPr>
      </w:pPr>
      <w:bookmarkStart w:id="38" w:name="_Toc125037454"/>
      <w:bookmarkStart w:id="39" w:name="_Toc107234565"/>
      <w:r>
        <w:rPr>
          <w:rFonts w:ascii="Verdana" w:hAnsi="Verdana"/>
          <w:b/>
          <w:bCs/>
          <w:color w:val="000000" w:themeColor="text1"/>
          <w:sz w:val="20"/>
          <w:szCs w:val="20"/>
          <w:lang w:val="es-ES"/>
        </w:rPr>
        <w:t>IV</w:t>
      </w:r>
      <w:bookmarkEnd w:id="38"/>
    </w:p>
    <w:p w14:paraId="2D42CAFF" w14:textId="20A50411" w:rsidR="00F31192" w:rsidRPr="00F31192" w:rsidRDefault="00F31192" w:rsidP="009E4B73">
      <w:pPr>
        <w:pStyle w:val="Ttulo1"/>
        <w:spacing w:before="0"/>
        <w:jc w:val="center"/>
        <w:rPr>
          <w:rFonts w:ascii="Verdana" w:hAnsi="Verdana"/>
          <w:b/>
          <w:bCs/>
          <w:color w:val="000000" w:themeColor="text1"/>
          <w:sz w:val="20"/>
          <w:szCs w:val="20"/>
          <w:lang w:val="es-ES"/>
        </w:rPr>
      </w:pPr>
      <w:bookmarkStart w:id="40" w:name="_Toc124157779"/>
      <w:bookmarkStart w:id="41" w:name="_Toc125037455"/>
      <w:r w:rsidRPr="00F31192">
        <w:rPr>
          <w:rFonts w:ascii="Verdana" w:hAnsi="Verdana"/>
          <w:b/>
          <w:bCs/>
          <w:color w:val="000000" w:themeColor="text1"/>
          <w:sz w:val="20"/>
          <w:szCs w:val="20"/>
          <w:lang w:val="es-ES"/>
        </w:rPr>
        <w:t>EXCEPCIONES PRELIMINARES</w:t>
      </w:r>
      <w:bookmarkEnd w:id="39"/>
      <w:bookmarkEnd w:id="40"/>
      <w:bookmarkEnd w:id="41"/>
    </w:p>
    <w:p w14:paraId="572C938C" w14:textId="77777777" w:rsidR="00F31192" w:rsidRPr="002E61E9" w:rsidRDefault="00F31192" w:rsidP="00846D53">
      <w:pPr>
        <w:rPr>
          <w:lang w:val="es-ES"/>
        </w:rPr>
      </w:pPr>
    </w:p>
    <w:p w14:paraId="210E297D" w14:textId="33972B83" w:rsidR="00F31192" w:rsidRPr="00F31192" w:rsidRDefault="00DD6305" w:rsidP="005E070D">
      <w:pPr>
        <w:pStyle w:val="Prrafodelista"/>
      </w:pPr>
      <w:r w:rsidRPr="005F6A34">
        <w:t xml:space="preserve"> </w:t>
      </w:r>
      <w:bookmarkStart w:id="42" w:name="_Toc470105095"/>
      <w:bookmarkStart w:id="43" w:name="_Toc438132275"/>
      <w:bookmarkStart w:id="44" w:name="_Toc315133577"/>
      <w:bookmarkStart w:id="45" w:name="_Toc316919762"/>
      <w:bookmarkStart w:id="46" w:name="_Toc329703867"/>
      <w:bookmarkStart w:id="47" w:name="_Toc336638904"/>
      <w:bookmarkStart w:id="48" w:name="_Toc359314424"/>
      <w:bookmarkStart w:id="49" w:name="_Toc361671574"/>
      <w:bookmarkStart w:id="50" w:name="_Toc361671994"/>
      <w:bookmarkStart w:id="51" w:name="_Toc361732791"/>
      <w:bookmarkStart w:id="52" w:name="_Toc361732834"/>
      <w:bookmarkStart w:id="53" w:name="_Toc362456865"/>
      <w:bookmarkStart w:id="54" w:name="_Toc365021394"/>
      <w:bookmarkStart w:id="55" w:name="_Toc369076780"/>
      <w:bookmarkStart w:id="56" w:name="_Toc369989372"/>
      <w:bookmarkStart w:id="57" w:name="_Toc369989459"/>
      <w:bookmarkStart w:id="58" w:name="_Toc369989740"/>
      <w:bookmarkStart w:id="59" w:name="_Toc311128165"/>
      <w:bookmarkStart w:id="60" w:name="_Toc311128362"/>
      <w:bookmarkStart w:id="61" w:name="_Toc442082545"/>
      <w:bookmarkStart w:id="62" w:name="_Toc460237945"/>
      <w:bookmarkStart w:id="63" w:name="_Toc460238242"/>
      <w:r w:rsidR="005B0330" w:rsidRPr="00F31192">
        <w:t xml:space="preserve">En el presente caso, el Estado presentó </w:t>
      </w:r>
      <w:r w:rsidR="00F05AD6" w:rsidRPr="00F31192">
        <w:t xml:space="preserve">tres excepciones </w:t>
      </w:r>
      <w:r w:rsidR="005B0330" w:rsidRPr="00F31192">
        <w:t xml:space="preserve">preliminares </w:t>
      </w:r>
      <w:r w:rsidR="00E93D03" w:rsidRPr="00F31192">
        <w:t>sobre</w:t>
      </w:r>
      <w:r w:rsidR="00F05AD6" w:rsidRPr="00F31192">
        <w:t xml:space="preserve">: a) </w:t>
      </w:r>
      <w:r w:rsidR="00FA2C57" w:rsidRPr="00F31192">
        <w:t xml:space="preserve">la competencia </w:t>
      </w:r>
      <w:r w:rsidR="00F05AD6" w:rsidRPr="00F31192">
        <w:rPr>
          <w:i/>
          <w:iCs/>
        </w:rPr>
        <w:t>ratione temporis</w:t>
      </w:r>
      <w:r w:rsidR="00FA2C57" w:rsidRPr="00F31192">
        <w:rPr>
          <w:i/>
          <w:iCs/>
        </w:rPr>
        <w:t xml:space="preserve"> </w:t>
      </w:r>
      <w:r w:rsidR="00FA2C57" w:rsidRPr="00F31192">
        <w:t>de la Corte</w:t>
      </w:r>
      <w:r w:rsidR="00F05AD6" w:rsidRPr="00F31192">
        <w:t>; b)</w:t>
      </w:r>
      <w:r w:rsidR="00187CF2" w:rsidRPr="00F31192">
        <w:t xml:space="preserve"> </w:t>
      </w:r>
      <w:r w:rsidR="00FA2C57" w:rsidRPr="00F31192">
        <w:t xml:space="preserve">la competencia </w:t>
      </w:r>
      <w:r w:rsidR="00F05AD6" w:rsidRPr="00F31192">
        <w:rPr>
          <w:i/>
        </w:rPr>
        <w:t>ratione materiae</w:t>
      </w:r>
      <w:r w:rsidR="00FA2C57" w:rsidRPr="00F31192">
        <w:t xml:space="preserve"> de la Corte; </w:t>
      </w:r>
      <w:r w:rsidR="00F05AD6" w:rsidRPr="00F31192">
        <w:t xml:space="preserve">y c) </w:t>
      </w:r>
      <w:r w:rsidR="00694B60">
        <w:t xml:space="preserve">sobre la falta </w:t>
      </w:r>
      <w:r w:rsidR="00FA2C57" w:rsidRPr="00F31192">
        <w:t xml:space="preserve">de </w:t>
      </w:r>
      <w:r w:rsidR="00F05AD6" w:rsidRPr="00F31192">
        <w:t xml:space="preserve">agotamiento de recursos </w:t>
      </w:r>
      <w:r w:rsidR="00FA2C57" w:rsidRPr="00F31192">
        <w:t xml:space="preserve">internos </w:t>
      </w:r>
      <w:r w:rsidR="00F05AD6" w:rsidRPr="00F31192">
        <w:t>en relación con la solicitud de reparación</w:t>
      </w:r>
      <w:r w:rsidR="00187CF2" w:rsidRPr="00F31192">
        <w:t>.</w:t>
      </w:r>
      <w:r w:rsidR="00AA3017" w:rsidRPr="00F31192">
        <w:t xml:space="preserve"> </w:t>
      </w:r>
      <w:r w:rsidR="001311A7" w:rsidRPr="00F31192">
        <w:t>D</w:t>
      </w:r>
      <w:r w:rsidR="008B687A" w:rsidRPr="00F31192">
        <w:t>ado</w:t>
      </w:r>
      <w:r w:rsidR="001311A7" w:rsidRPr="00F31192">
        <w:t xml:space="preserve"> que las excepciones preliminares </w:t>
      </w:r>
      <w:r w:rsidR="001311A7" w:rsidRPr="00F31192">
        <w:rPr>
          <w:i/>
          <w:iCs/>
        </w:rPr>
        <w:t>ratione temporis</w:t>
      </w:r>
      <w:r w:rsidR="001311A7" w:rsidRPr="00F31192">
        <w:t xml:space="preserve"> y </w:t>
      </w:r>
      <w:r w:rsidR="001311A7" w:rsidRPr="00F31192">
        <w:rPr>
          <w:i/>
          <w:iCs/>
        </w:rPr>
        <w:t>ratione materiae</w:t>
      </w:r>
      <w:r w:rsidR="001311A7" w:rsidRPr="00F31192">
        <w:t xml:space="preserve"> </w:t>
      </w:r>
      <w:r w:rsidR="00FA2C57" w:rsidRPr="00F31192">
        <w:t xml:space="preserve">se encuentran </w:t>
      </w:r>
      <w:r w:rsidR="001311A7" w:rsidRPr="00F31192">
        <w:t>estrechamente relacionadas</w:t>
      </w:r>
      <w:r w:rsidR="00FA2C57" w:rsidRPr="00F31192">
        <w:t>,</w:t>
      </w:r>
      <w:r w:rsidR="001311A7" w:rsidRPr="00F31192">
        <w:t xml:space="preserve"> la Corte las analizará </w:t>
      </w:r>
      <w:r w:rsidR="008B687A" w:rsidRPr="00F31192">
        <w:t>en</w:t>
      </w:r>
      <w:r w:rsidR="001311A7" w:rsidRPr="00F31192">
        <w:t xml:space="preserve"> forma conjunta.</w:t>
      </w:r>
    </w:p>
    <w:p w14:paraId="27E49DC6" w14:textId="77777777" w:rsidR="00187CF2" w:rsidRPr="00685917" w:rsidRDefault="00187CF2" w:rsidP="00685917">
      <w:pPr>
        <w:autoSpaceDE w:val="0"/>
        <w:autoSpaceDN w:val="0"/>
        <w:adjustRightInd w:val="0"/>
        <w:jc w:val="both"/>
        <w:rPr>
          <w:rFonts w:ascii="Verdana" w:hAnsi="Verdana"/>
          <w:lang w:val="es-ES"/>
        </w:rPr>
      </w:pPr>
    </w:p>
    <w:p w14:paraId="42FD3080" w14:textId="2B486425" w:rsidR="00AA3017" w:rsidRPr="008464EA" w:rsidRDefault="00F31192" w:rsidP="007B5FD8">
      <w:pPr>
        <w:pStyle w:val="Ttulo2"/>
        <w:ind w:left="567"/>
        <w:rPr>
          <w:rFonts w:ascii="Verdana" w:hAnsi="Verdana" w:cs="Arial"/>
          <w:b/>
          <w:bCs/>
          <w:i/>
          <w:color w:val="000000" w:themeColor="text1"/>
          <w:sz w:val="20"/>
          <w:szCs w:val="20"/>
          <w:lang w:val="es-ES"/>
        </w:rPr>
      </w:pPr>
      <w:bookmarkStart w:id="64" w:name="_Toc1630853"/>
      <w:bookmarkStart w:id="65" w:name="_Toc125037456"/>
      <w:r w:rsidRPr="008464EA">
        <w:rPr>
          <w:rFonts w:ascii="Verdana" w:hAnsi="Verdana" w:cs="Arial"/>
          <w:b/>
          <w:bCs/>
          <w:color w:val="000000" w:themeColor="text1"/>
          <w:sz w:val="20"/>
          <w:szCs w:val="20"/>
          <w:lang w:val="es-ES"/>
        </w:rPr>
        <w:t xml:space="preserve">A. </w:t>
      </w:r>
      <w:r w:rsidR="00187CF2" w:rsidRPr="008464EA">
        <w:rPr>
          <w:rFonts w:ascii="Verdana" w:hAnsi="Verdana" w:cs="Arial"/>
          <w:b/>
          <w:bCs/>
          <w:color w:val="000000" w:themeColor="text1"/>
          <w:sz w:val="20"/>
          <w:szCs w:val="20"/>
          <w:lang w:val="es-ES"/>
        </w:rPr>
        <w:t>Excepci</w:t>
      </w:r>
      <w:r w:rsidR="00FE1C33" w:rsidRPr="008464EA">
        <w:rPr>
          <w:rFonts w:ascii="Verdana" w:hAnsi="Verdana" w:cs="Arial"/>
          <w:b/>
          <w:bCs/>
          <w:color w:val="000000" w:themeColor="text1"/>
          <w:sz w:val="20"/>
          <w:szCs w:val="20"/>
          <w:lang w:val="es-ES"/>
        </w:rPr>
        <w:t>o</w:t>
      </w:r>
      <w:r w:rsidR="00187CF2" w:rsidRPr="008464EA">
        <w:rPr>
          <w:rFonts w:ascii="Verdana" w:hAnsi="Verdana" w:cs="Arial"/>
          <w:b/>
          <w:bCs/>
          <w:color w:val="000000" w:themeColor="text1"/>
          <w:sz w:val="20"/>
          <w:szCs w:val="20"/>
          <w:lang w:val="es-ES"/>
        </w:rPr>
        <w:t>n</w:t>
      </w:r>
      <w:r w:rsidR="00FE1C33" w:rsidRPr="008464EA">
        <w:rPr>
          <w:rFonts w:ascii="Verdana" w:hAnsi="Verdana" w:cs="Arial"/>
          <w:b/>
          <w:bCs/>
          <w:color w:val="000000" w:themeColor="text1"/>
          <w:sz w:val="20"/>
          <w:szCs w:val="20"/>
          <w:lang w:val="es-ES"/>
        </w:rPr>
        <w:t>es</w:t>
      </w:r>
      <w:r w:rsidR="00187CF2" w:rsidRPr="008464EA">
        <w:rPr>
          <w:rFonts w:ascii="Verdana" w:hAnsi="Verdana" w:cs="Arial"/>
          <w:b/>
          <w:bCs/>
          <w:color w:val="000000" w:themeColor="text1"/>
          <w:sz w:val="20"/>
          <w:szCs w:val="20"/>
          <w:lang w:val="es-ES"/>
        </w:rPr>
        <w:t xml:space="preserve"> preliminar</w:t>
      </w:r>
      <w:r w:rsidR="00FE1C33" w:rsidRPr="008464EA">
        <w:rPr>
          <w:rFonts w:ascii="Verdana" w:hAnsi="Verdana" w:cs="Arial"/>
          <w:b/>
          <w:bCs/>
          <w:color w:val="000000" w:themeColor="text1"/>
          <w:sz w:val="20"/>
          <w:szCs w:val="20"/>
          <w:lang w:val="es-ES"/>
        </w:rPr>
        <w:t>es</w:t>
      </w:r>
      <w:r w:rsidR="00E93D03" w:rsidRPr="008464EA">
        <w:rPr>
          <w:rFonts w:ascii="Verdana" w:hAnsi="Verdana" w:cs="Arial"/>
          <w:b/>
          <w:bCs/>
          <w:color w:val="000000" w:themeColor="text1"/>
          <w:sz w:val="20"/>
          <w:szCs w:val="20"/>
          <w:lang w:val="es-ES"/>
        </w:rPr>
        <w:t xml:space="preserve"> sobre falta de competencia</w:t>
      </w:r>
      <w:r w:rsidR="00187CF2" w:rsidRPr="008464EA">
        <w:rPr>
          <w:rFonts w:ascii="Verdana" w:hAnsi="Verdana" w:cs="Arial"/>
          <w:b/>
          <w:bCs/>
          <w:color w:val="000000" w:themeColor="text1"/>
          <w:sz w:val="20"/>
          <w:szCs w:val="20"/>
          <w:lang w:val="es-ES"/>
        </w:rPr>
        <w:t xml:space="preserve"> </w:t>
      </w:r>
      <w:bookmarkEnd w:id="64"/>
      <w:r w:rsidR="00187CF2" w:rsidRPr="008464EA">
        <w:rPr>
          <w:rFonts w:ascii="Verdana" w:hAnsi="Verdana" w:cs="Arial"/>
          <w:b/>
          <w:bCs/>
          <w:i/>
          <w:color w:val="000000" w:themeColor="text1"/>
          <w:sz w:val="20"/>
          <w:szCs w:val="20"/>
          <w:lang w:val="es-ES"/>
        </w:rPr>
        <w:t>ratione tempori</w:t>
      </w:r>
      <w:r w:rsidR="00DB0181" w:rsidRPr="008464EA">
        <w:rPr>
          <w:rFonts w:ascii="Verdana" w:hAnsi="Verdana" w:cs="Arial"/>
          <w:b/>
          <w:bCs/>
          <w:i/>
          <w:color w:val="000000" w:themeColor="text1"/>
          <w:sz w:val="20"/>
          <w:szCs w:val="20"/>
          <w:lang w:val="es-ES"/>
        </w:rPr>
        <w:t>s y ratione materia</w:t>
      </w:r>
      <w:r w:rsidR="00FA2C57" w:rsidRPr="008464EA">
        <w:rPr>
          <w:rFonts w:ascii="Verdana" w:hAnsi="Verdana" w:cs="Arial"/>
          <w:b/>
          <w:bCs/>
          <w:i/>
          <w:color w:val="000000" w:themeColor="text1"/>
          <w:sz w:val="20"/>
          <w:szCs w:val="20"/>
          <w:lang w:val="es-ES"/>
        </w:rPr>
        <w:t>e</w:t>
      </w:r>
      <w:bookmarkEnd w:id="65"/>
    </w:p>
    <w:p w14:paraId="4679B595" w14:textId="77777777" w:rsidR="00F31192" w:rsidRPr="00F31192" w:rsidRDefault="00F31192" w:rsidP="00F31192">
      <w:pPr>
        <w:rPr>
          <w:lang w:val="es-ES"/>
        </w:rPr>
      </w:pPr>
    </w:p>
    <w:p w14:paraId="2915BAB6" w14:textId="628ED518" w:rsidR="0055339B" w:rsidRPr="008464EA" w:rsidRDefault="00187CF2" w:rsidP="007B5FD8">
      <w:pPr>
        <w:pStyle w:val="Ttulo3"/>
        <w:ind w:left="709"/>
        <w:rPr>
          <w:rFonts w:ascii="Verdana" w:hAnsi="Verdana" w:cs="Arial"/>
          <w:b/>
          <w:bCs/>
          <w:color w:val="000000" w:themeColor="text1"/>
          <w:sz w:val="20"/>
          <w:szCs w:val="20"/>
          <w:lang w:val="es-ES"/>
        </w:rPr>
      </w:pPr>
      <w:bookmarkStart w:id="66" w:name="_Toc125037457"/>
      <w:r w:rsidRPr="008464EA">
        <w:rPr>
          <w:rFonts w:ascii="Verdana" w:hAnsi="Verdana" w:cs="Arial"/>
          <w:b/>
          <w:bCs/>
          <w:color w:val="000000" w:themeColor="text1"/>
          <w:sz w:val="20"/>
          <w:szCs w:val="20"/>
          <w:lang w:val="es-ES"/>
        </w:rPr>
        <w:t>A.1. A</w:t>
      </w:r>
      <w:r w:rsidR="00357DD8">
        <w:rPr>
          <w:rFonts w:ascii="Verdana" w:hAnsi="Verdana" w:cs="Arial"/>
          <w:b/>
          <w:bCs/>
          <w:color w:val="000000" w:themeColor="text1"/>
          <w:sz w:val="20"/>
          <w:szCs w:val="20"/>
          <w:lang w:val="es-ES"/>
        </w:rPr>
        <w:t>legatos</w:t>
      </w:r>
      <w:r w:rsidRPr="008464EA">
        <w:rPr>
          <w:rFonts w:ascii="Verdana" w:hAnsi="Verdana" w:cs="Arial"/>
          <w:b/>
          <w:bCs/>
          <w:color w:val="000000" w:themeColor="text1"/>
          <w:sz w:val="20"/>
          <w:szCs w:val="20"/>
          <w:lang w:val="es-ES"/>
        </w:rPr>
        <w:t xml:space="preserve"> de las partes y la Comisión</w:t>
      </w:r>
      <w:bookmarkEnd w:id="66"/>
    </w:p>
    <w:p w14:paraId="32E6609F" w14:textId="77777777" w:rsidR="00F31192" w:rsidRPr="00F31192" w:rsidRDefault="00F31192" w:rsidP="00F31192">
      <w:pPr>
        <w:rPr>
          <w:lang w:val="es-ES"/>
        </w:rPr>
      </w:pPr>
    </w:p>
    <w:p w14:paraId="407D06B6" w14:textId="53263061" w:rsidR="004A2A88" w:rsidRDefault="00187CF2" w:rsidP="005E070D">
      <w:pPr>
        <w:pStyle w:val="Prrafodelista"/>
      </w:pPr>
      <w:r w:rsidRPr="00685917">
        <w:t xml:space="preserve">El </w:t>
      </w:r>
      <w:r w:rsidRPr="008464EA">
        <w:rPr>
          <w:b/>
          <w:bCs/>
          <w:i/>
          <w:iCs/>
        </w:rPr>
        <w:t>Estado</w:t>
      </w:r>
      <w:r w:rsidRPr="00685917">
        <w:t xml:space="preserve"> </w:t>
      </w:r>
      <w:r w:rsidR="00E93D03" w:rsidRPr="00685917">
        <w:t>aleg</w:t>
      </w:r>
      <w:r w:rsidR="0093309B" w:rsidRPr="00685917">
        <w:t>ó</w:t>
      </w:r>
      <w:r w:rsidR="00E93D03" w:rsidRPr="00685917">
        <w:t xml:space="preserve"> que </w:t>
      </w:r>
      <w:r w:rsidRPr="00685917">
        <w:t xml:space="preserve">la Corte </w:t>
      </w:r>
      <w:r w:rsidR="00E93D03" w:rsidRPr="00685917">
        <w:t>carece de</w:t>
      </w:r>
      <w:r w:rsidRPr="00685917">
        <w:t xml:space="preserve"> competencia para pronunciarse sobre la alegada violación a los derechos </w:t>
      </w:r>
      <w:r w:rsidR="00E93D03" w:rsidRPr="00685917">
        <w:t>a</w:t>
      </w:r>
      <w:r w:rsidRPr="00685917">
        <w:t xml:space="preserve"> la personalidad jurídica, la libertad personal, la integridad personal, la vida, las garantías judiciales y la protección judicial</w:t>
      </w:r>
      <w:r w:rsidR="0093309B" w:rsidRPr="00685917">
        <w:t>,</w:t>
      </w:r>
      <w:r w:rsidRPr="00685917">
        <w:t xml:space="preserve"> </w:t>
      </w:r>
      <w:r w:rsidR="00DA0B1F" w:rsidRPr="00685917">
        <w:t>en perjuicio del señor Juan Carlos Flores Bedregal</w:t>
      </w:r>
      <w:r w:rsidR="00246053">
        <w:t>. Ello,</w:t>
      </w:r>
      <w:r w:rsidR="0093309B" w:rsidRPr="00685917">
        <w:t xml:space="preserve"> </w:t>
      </w:r>
      <w:r w:rsidR="006D21FC" w:rsidRPr="00685917">
        <w:t xml:space="preserve">con fundamento en que los tribunales internos </w:t>
      </w:r>
      <w:r w:rsidR="000D603A" w:rsidRPr="00685917">
        <w:t>ha</w:t>
      </w:r>
      <w:r w:rsidR="006D21FC" w:rsidRPr="00685917">
        <w:t>n</w:t>
      </w:r>
      <w:r w:rsidR="000D603A" w:rsidRPr="00685917">
        <w:t xml:space="preserve"> obrado </w:t>
      </w:r>
      <w:r w:rsidR="006D21FC" w:rsidRPr="00685917">
        <w:t xml:space="preserve">sobre la </w:t>
      </w:r>
      <w:r w:rsidR="000D603A" w:rsidRPr="00685917">
        <w:t xml:space="preserve">base </w:t>
      </w:r>
      <w:r w:rsidR="006D21FC" w:rsidRPr="00685917">
        <w:t>de</w:t>
      </w:r>
      <w:r w:rsidR="000D603A" w:rsidRPr="00685917">
        <w:t xml:space="preserve"> </w:t>
      </w:r>
      <w:r w:rsidRPr="00685917">
        <w:t>que la presunta víctima</w:t>
      </w:r>
      <w:r w:rsidR="000D603A" w:rsidRPr="00685917">
        <w:t xml:space="preserve"> </w:t>
      </w:r>
      <w:r w:rsidR="006D21FC" w:rsidRPr="00685917">
        <w:t xml:space="preserve">fue </w:t>
      </w:r>
      <w:r w:rsidRPr="00685917">
        <w:t>asesinada el 17 de julio de 1980</w:t>
      </w:r>
      <w:r w:rsidR="006D21FC" w:rsidRPr="00685917">
        <w:t xml:space="preserve"> y que la Corte Suprema de Justicia se pronunció </w:t>
      </w:r>
      <w:r w:rsidR="000B687C">
        <w:t xml:space="preserve">al respecto </w:t>
      </w:r>
      <w:r w:rsidR="006D21FC" w:rsidRPr="00E16922">
        <w:t xml:space="preserve">en </w:t>
      </w:r>
      <w:r w:rsidR="004A2A88" w:rsidRPr="00E16922">
        <w:t>los</w:t>
      </w:r>
      <w:r w:rsidR="006D21FC" w:rsidRPr="00E16922">
        <w:t xml:space="preserve"> Juicio</w:t>
      </w:r>
      <w:r w:rsidR="00941E73" w:rsidRPr="00E16922">
        <w:t>s</w:t>
      </w:r>
      <w:r w:rsidR="006D21FC" w:rsidRPr="00E16922">
        <w:t xml:space="preserve"> de Responsabilidad </w:t>
      </w:r>
      <w:r w:rsidR="004A2A88" w:rsidRPr="00E16922">
        <w:t>acumulados</w:t>
      </w:r>
      <w:r w:rsidR="00246053" w:rsidRPr="00E16922">
        <w:t>,</w:t>
      </w:r>
      <w:r w:rsidR="004A2A88" w:rsidRPr="00E16922">
        <w:t xml:space="preserve"> </w:t>
      </w:r>
      <w:r w:rsidR="00941E73" w:rsidRPr="00E16922">
        <w:t xml:space="preserve">seguidos por el Ministerio Público y sus coadyuvantes </w:t>
      </w:r>
      <w:r w:rsidR="006D21FC" w:rsidRPr="00E16922">
        <w:t xml:space="preserve">contra Luis </w:t>
      </w:r>
      <w:r w:rsidR="00A87F4C" w:rsidRPr="00E16922">
        <w:t xml:space="preserve">García </w:t>
      </w:r>
      <w:r w:rsidR="006D21FC" w:rsidRPr="00E16922">
        <w:t>Meza</w:t>
      </w:r>
      <w:r w:rsidR="00625193" w:rsidRPr="00E16922">
        <w:t xml:space="preserve"> Tejada</w:t>
      </w:r>
      <w:r w:rsidR="00B61793" w:rsidRPr="00E16922">
        <w:t xml:space="preserve"> y sus colaboradores</w:t>
      </w:r>
      <w:r w:rsidR="00941E73" w:rsidRPr="00E16922">
        <w:t xml:space="preserve"> (en adelante también “</w:t>
      </w:r>
      <w:r w:rsidR="00280E4D" w:rsidRPr="00E16922">
        <w:t>J</w:t>
      </w:r>
      <w:r w:rsidR="00941E73" w:rsidRPr="00E16922">
        <w:t xml:space="preserve">uicios de </w:t>
      </w:r>
      <w:r w:rsidR="00280E4D" w:rsidRPr="00E16922">
        <w:t>R</w:t>
      </w:r>
      <w:r w:rsidR="00941E73" w:rsidRPr="00E16922">
        <w:t>esponsabilidad”)</w:t>
      </w:r>
      <w:r w:rsidR="003D409B" w:rsidRPr="00E16922">
        <w:t>,</w:t>
      </w:r>
      <w:r w:rsidR="003D409B" w:rsidRPr="00685917">
        <w:t xml:space="preserve"> </w:t>
      </w:r>
      <w:r w:rsidR="00B61793" w:rsidRPr="00685917">
        <w:t>mediante sentencia de 15 de abril de 1993</w:t>
      </w:r>
      <w:r w:rsidR="006D21FC" w:rsidRPr="00685917">
        <w:t>.</w:t>
      </w:r>
      <w:r w:rsidR="00DA0B1F" w:rsidRPr="00685917">
        <w:t xml:space="preserve">  El Estado aleg</w:t>
      </w:r>
      <w:r w:rsidR="0093309B" w:rsidRPr="00685917">
        <w:t>ó</w:t>
      </w:r>
      <w:r w:rsidR="00DA0B1F" w:rsidRPr="00685917">
        <w:t xml:space="preserve"> que</w:t>
      </w:r>
      <w:r w:rsidR="000B687C">
        <w:t>,</w:t>
      </w:r>
      <w:r w:rsidR="00DA0B1F" w:rsidRPr="00685917">
        <w:t xml:space="preserve"> dado</w:t>
      </w:r>
      <w:r w:rsidR="00B61793" w:rsidRPr="00685917">
        <w:t xml:space="preserve"> que ambos hechos son anteriores al </w:t>
      </w:r>
      <w:r w:rsidR="006D21FC" w:rsidRPr="00685917">
        <w:t xml:space="preserve">acto de </w:t>
      </w:r>
      <w:r w:rsidR="000D603A" w:rsidRPr="00685917">
        <w:t xml:space="preserve">reconocimiento de la competencia contenciosa de la Corte por parte de </w:t>
      </w:r>
      <w:r w:rsidR="000020DF" w:rsidRPr="00685917">
        <w:t>Bolivia</w:t>
      </w:r>
      <w:r w:rsidR="000D603A" w:rsidRPr="00685917">
        <w:t xml:space="preserve">, </w:t>
      </w:r>
      <w:r w:rsidR="00DA0B1F" w:rsidRPr="00685917">
        <w:t>el Tribunal</w:t>
      </w:r>
      <w:r w:rsidR="00B61793" w:rsidRPr="00685917">
        <w:t xml:space="preserve"> carece de competencia temporal para pronunciarse </w:t>
      </w:r>
      <w:r w:rsidR="000B687C">
        <w:t xml:space="preserve">sobre las alegadas violaciones a los derechos humanos de la presunta víctima. Asimismo, sostuvo que la Corte carece </w:t>
      </w:r>
      <w:r w:rsidR="005224CA" w:rsidRPr="00685917">
        <w:t xml:space="preserve">de competencia en razón de materia para interpretar y aplicar la Convención Americana y la CIDFP, </w:t>
      </w:r>
      <w:r w:rsidR="000B687C">
        <w:t>debido a que los hechos del presente caso se relacionan con un homicidio y no con una desaparición forzada.</w:t>
      </w:r>
      <w:r w:rsidR="00777115">
        <w:t xml:space="preserve"> </w:t>
      </w:r>
    </w:p>
    <w:p w14:paraId="0A7B1805" w14:textId="77A2ED78" w:rsidR="000D603A" w:rsidRPr="002E3990" w:rsidRDefault="00187CF2" w:rsidP="00246053">
      <w:pPr>
        <w:rPr>
          <w:lang w:val="es-ES"/>
        </w:rPr>
      </w:pPr>
      <w:r w:rsidRPr="002E3990">
        <w:rPr>
          <w:lang w:val="es-ES"/>
        </w:rPr>
        <w:t xml:space="preserve"> </w:t>
      </w:r>
    </w:p>
    <w:p w14:paraId="70CBABA7" w14:textId="078203AA" w:rsidR="007E6E68" w:rsidRPr="004A2A88" w:rsidRDefault="008B687A" w:rsidP="005E070D">
      <w:pPr>
        <w:pStyle w:val="Prrafodelista"/>
      </w:pPr>
      <w:r w:rsidRPr="004A2A88">
        <w:t xml:space="preserve">Por su parte, </w:t>
      </w:r>
      <w:r w:rsidRPr="004A2A88">
        <w:rPr>
          <w:b/>
          <w:bCs/>
          <w:i/>
          <w:iCs/>
        </w:rPr>
        <w:t>l</w:t>
      </w:r>
      <w:r w:rsidR="00562F83" w:rsidRPr="004A2A88">
        <w:rPr>
          <w:b/>
          <w:bCs/>
          <w:i/>
          <w:iCs/>
        </w:rPr>
        <w:t>a Comisión y el representante</w:t>
      </w:r>
      <w:r w:rsidR="00562F83" w:rsidRPr="004A2A88">
        <w:t xml:space="preserve"> </w:t>
      </w:r>
      <w:r w:rsidRPr="004A2A88">
        <w:t>alega</w:t>
      </w:r>
      <w:r w:rsidR="0093309B" w:rsidRPr="004A2A88">
        <w:t>ro</w:t>
      </w:r>
      <w:r w:rsidRPr="004A2A88">
        <w:t>n</w:t>
      </w:r>
      <w:r w:rsidR="00562F83" w:rsidRPr="004A2A88">
        <w:t xml:space="preserve"> que </w:t>
      </w:r>
      <w:r w:rsidR="000D603A" w:rsidRPr="004A2A88">
        <w:t>esta</w:t>
      </w:r>
      <w:r w:rsidR="00562F83" w:rsidRPr="004A2A88">
        <w:t xml:space="preserve"> excepción preliminar</w:t>
      </w:r>
      <w:r w:rsidR="000D603A" w:rsidRPr="004A2A88">
        <w:t xml:space="preserve"> debe ser dese</w:t>
      </w:r>
      <w:r w:rsidRPr="004A2A88">
        <w:t>stimada</w:t>
      </w:r>
      <w:r w:rsidR="0093309B" w:rsidRPr="004A2A88">
        <w:t>,</w:t>
      </w:r>
      <w:r w:rsidRPr="004A2A88">
        <w:t xml:space="preserve"> </w:t>
      </w:r>
      <w:r w:rsidR="000D603A" w:rsidRPr="004A2A88">
        <w:t xml:space="preserve">ya que la calificación de los hechos </w:t>
      </w:r>
      <w:r w:rsidRPr="004A2A88">
        <w:t>–</w:t>
      </w:r>
      <w:r w:rsidR="00E52EF3" w:rsidRPr="004A2A88">
        <w:t>ya</w:t>
      </w:r>
      <w:r w:rsidRPr="004A2A88">
        <w:t xml:space="preserve"> </w:t>
      </w:r>
      <w:r w:rsidR="00E52EF3" w:rsidRPr="004A2A88">
        <w:t xml:space="preserve">sea </w:t>
      </w:r>
      <w:r w:rsidR="000D603A" w:rsidRPr="004A2A88">
        <w:t xml:space="preserve">como desaparición forzada o </w:t>
      </w:r>
      <w:r w:rsidR="00E52EF3" w:rsidRPr="004A2A88">
        <w:t xml:space="preserve">como </w:t>
      </w:r>
      <w:r w:rsidR="000D603A" w:rsidRPr="004A2A88">
        <w:t>muerte ilícita</w:t>
      </w:r>
      <w:r w:rsidRPr="004A2A88">
        <w:t xml:space="preserve">— </w:t>
      </w:r>
      <w:r w:rsidR="00562F83" w:rsidRPr="004A2A88">
        <w:t xml:space="preserve">es una cuestión que atañe al </w:t>
      </w:r>
      <w:r w:rsidRPr="004A2A88">
        <w:t xml:space="preserve">análisis del </w:t>
      </w:r>
      <w:r w:rsidR="00562F83" w:rsidRPr="004A2A88">
        <w:t xml:space="preserve">fondo del asunto </w:t>
      </w:r>
      <w:r w:rsidR="00E52EF3" w:rsidRPr="004A2A88">
        <w:t>y no a la etapa de jurisdicción</w:t>
      </w:r>
      <w:r w:rsidR="00535614" w:rsidRPr="004A2A88">
        <w:t>.</w:t>
      </w:r>
      <w:r w:rsidR="00E52EF3" w:rsidRPr="004A2A88">
        <w:t xml:space="preserve"> </w:t>
      </w:r>
    </w:p>
    <w:p w14:paraId="316D145F" w14:textId="77777777" w:rsidR="00C30A85" w:rsidRPr="002E61E9" w:rsidRDefault="00C30A85" w:rsidP="00846D53">
      <w:pPr>
        <w:rPr>
          <w:lang w:val="es-ES"/>
        </w:rPr>
      </w:pPr>
    </w:p>
    <w:p w14:paraId="274D7D3A" w14:textId="1164FCFD" w:rsidR="00187CF2" w:rsidRPr="008464EA" w:rsidRDefault="00187CF2" w:rsidP="007B5FD8">
      <w:pPr>
        <w:pStyle w:val="Ttulo3"/>
        <w:spacing w:before="0"/>
        <w:ind w:left="709"/>
        <w:rPr>
          <w:rFonts w:ascii="Verdana" w:hAnsi="Verdana" w:cs="Arial"/>
          <w:b/>
          <w:bCs/>
          <w:color w:val="000000" w:themeColor="text1"/>
          <w:sz w:val="20"/>
          <w:szCs w:val="20"/>
          <w:lang w:val="es-ES"/>
        </w:rPr>
      </w:pPr>
      <w:bookmarkStart w:id="67" w:name="_Toc125037458"/>
      <w:r w:rsidRPr="008464EA">
        <w:rPr>
          <w:rFonts w:ascii="Verdana" w:hAnsi="Verdana" w:cs="Arial"/>
          <w:b/>
          <w:bCs/>
          <w:color w:val="000000" w:themeColor="text1"/>
          <w:sz w:val="20"/>
          <w:szCs w:val="20"/>
          <w:lang w:val="es-ES"/>
        </w:rPr>
        <w:t>A.2. Consideraciones de la Corte</w:t>
      </w:r>
      <w:bookmarkEnd w:id="67"/>
    </w:p>
    <w:p w14:paraId="2889AB6B" w14:textId="77777777" w:rsidR="0093560A" w:rsidRPr="00685917" w:rsidRDefault="0093560A" w:rsidP="009E4B73">
      <w:pPr>
        <w:autoSpaceDE w:val="0"/>
        <w:autoSpaceDN w:val="0"/>
        <w:adjustRightInd w:val="0"/>
        <w:jc w:val="both"/>
        <w:rPr>
          <w:rFonts w:ascii="Verdana" w:hAnsi="Verdana"/>
          <w:lang w:val="es-ES"/>
        </w:rPr>
      </w:pPr>
    </w:p>
    <w:p w14:paraId="7D8139DC" w14:textId="6F7CC25D" w:rsidR="00535614" w:rsidRPr="00685917" w:rsidRDefault="00187CF2" w:rsidP="005E070D">
      <w:pPr>
        <w:pStyle w:val="Prrafodelista"/>
      </w:pPr>
      <w:r w:rsidRPr="00685917">
        <w:t>E</w:t>
      </w:r>
      <w:r w:rsidR="00703C00" w:rsidRPr="00685917">
        <w:t>l Estado aleg</w:t>
      </w:r>
      <w:r w:rsidR="0093309B" w:rsidRPr="00685917">
        <w:t>ó</w:t>
      </w:r>
      <w:r w:rsidR="00703C00" w:rsidRPr="00685917">
        <w:t xml:space="preserve"> </w:t>
      </w:r>
      <w:r w:rsidR="007E46B9" w:rsidRPr="00685917">
        <w:t xml:space="preserve">que la Corte carece de </w:t>
      </w:r>
      <w:r w:rsidRPr="00685917">
        <w:t>competenci</w:t>
      </w:r>
      <w:r w:rsidR="007E46B9" w:rsidRPr="00685917">
        <w:t>a p</w:t>
      </w:r>
      <w:r w:rsidR="000D603A" w:rsidRPr="00685917">
        <w:t xml:space="preserve">ara aplicar la Convención Americana y la CIDFP </w:t>
      </w:r>
      <w:r w:rsidR="00C76CED" w:rsidRPr="00685917">
        <w:t>al</w:t>
      </w:r>
      <w:r w:rsidR="007E46B9" w:rsidRPr="00685917">
        <w:t xml:space="preserve"> presente caso </w:t>
      </w:r>
      <w:r w:rsidRPr="00685917">
        <w:t>debido a</w:t>
      </w:r>
      <w:r w:rsidR="001374E7" w:rsidRPr="00685917">
        <w:t xml:space="preserve"> que el señor Flores Bedregal habría sido asesinado el 17 de ju</w:t>
      </w:r>
      <w:r w:rsidR="00161480">
        <w:t>l</w:t>
      </w:r>
      <w:r w:rsidR="001374E7" w:rsidRPr="00685917">
        <w:t>io de 1980</w:t>
      </w:r>
      <w:r w:rsidR="00484DB7" w:rsidRPr="00685917">
        <w:t>,</w:t>
      </w:r>
      <w:r w:rsidR="001374E7" w:rsidRPr="00685917">
        <w:t xml:space="preserve"> </w:t>
      </w:r>
      <w:r w:rsidR="00857638" w:rsidRPr="00685917">
        <w:t xml:space="preserve">años </w:t>
      </w:r>
      <w:r w:rsidR="001374E7" w:rsidRPr="00685917">
        <w:t>antes de que Bolivia reconociera la competencia contenciosa</w:t>
      </w:r>
      <w:r w:rsidR="00484DB7" w:rsidRPr="00685917">
        <w:t xml:space="preserve"> de la Corte</w:t>
      </w:r>
      <w:r w:rsidR="000D603A" w:rsidRPr="00685917">
        <w:t xml:space="preserve"> y ratifica</w:t>
      </w:r>
      <w:r w:rsidR="00E52EF3" w:rsidRPr="00685917">
        <w:t>ra</w:t>
      </w:r>
      <w:r w:rsidR="000D603A" w:rsidRPr="00685917">
        <w:t xml:space="preserve"> la CIDFP, respectivamente</w:t>
      </w:r>
      <w:r w:rsidR="001311A7" w:rsidRPr="00685917">
        <w:t>.</w:t>
      </w:r>
      <w:r w:rsidR="00703C00" w:rsidRPr="00685917">
        <w:t xml:space="preserve"> </w:t>
      </w:r>
      <w:r w:rsidR="00E52EF3" w:rsidRPr="00685917">
        <w:t xml:space="preserve">Por su parte, la Comisión y </w:t>
      </w:r>
      <w:r w:rsidR="00857638" w:rsidRPr="00685917">
        <w:t xml:space="preserve">el </w:t>
      </w:r>
      <w:r w:rsidR="00A123AF">
        <w:t>r</w:t>
      </w:r>
      <w:r w:rsidR="00E52EF3" w:rsidRPr="00685917">
        <w:t>epresentante alega</w:t>
      </w:r>
      <w:r w:rsidR="0093309B" w:rsidRPr="00685917">
        <w:t>ro</w:t>
      </w:r>
      <w:r w:rsidR="00E52EF3" w:rsidRPr="00685917">
        <w:t xml:space="preserve">n que </w:t>
      </w:r>
      <w:r w:rsidR="002410AA" w:rsidRPr="00685917">
        <w:t xml:space="preserve">la Corte tiene competencia para examinar la </w:t>
      </w:r>
      <w:r w:rsidR="00857638" w:rsidRPr="00685917">
        <w:t>cuestión dado que los efectos de la falta de esclarecimiento del destino d</w:t>
      </w:r>
      <w:r w:rsidR="00E52EF3" w:rsidRPr="00685917">
        <w:t xml:space="preserve">el señor Flores Bedregal se extienden </w:t>
      </w:r>
      <w:r w:rsidR="00857638" w:rsidRPr="00685917">
        <w:t xml:space="preserve">en forma ininterrumpida </w:t>
      </w:r>
      <w:r w:rsidR="00E52EF3" w:rsidRPr="00685917">
        <w:t>hasta el presente</w:t>
      </w:r>
      <w:r w:rsidR="00535614" w:rsidRPr="00685917">
        <w:t>, por tratarse de una desaparición forzada</w:t>
      </w:r>
      <w:r w:rsidR="00E52EF3" w:rsidRPr="00685917">
        <w:t>.</w:t>
      </w:r>
    </w:p>
    <w:p w14:paraId="0F4E8F29" w14:textId="77777777" w:rsidR="00535614" w:rsidRPr="002E61E9" w:rsidRDefault="00535614" w:rsidP="00846D53">
      <w:pPr>
        <w:rPr>
          <w:lang w:val="es-ES"/>
        </w:rPr>
      </w:pPr>
    </w:p>
    <w:p w14:paraId="7EBBDD2A" w14:textId="0C92EB34" w:rsidR="00E56AFF" w:rsidRDefault="00857638" w:rsidP="005E070D">
      <w:pPr>
        <w:pStyle w:val="Prrafodelista"/>
      </w:pPr>
      <w:r w:rsidRPr="00685917">
        <w:t>La Corte nota que n</w:t>
      </w:r>
      <w:r w:rsidR="006054E4" w:rsidRPr="00685917">
        <w:t>o existe controversia entre las partes sobre la fecha en la cual se produj</w:t>
      </w:r>
      <w:r w:rsidR="00C13A1A" w:rsidRPr="00685917">
        <w:t>eron los hechos de violencia que inicialmente afectaron a la presunta víctima en el marco de</w:t>
      </w:r>
      <w:r w:rsidR="006054E4" w:rsidRPr="00685917">
        <w:t xml:space="preserve"> la toma de la Central Obrera Boliviana</w:t>
      </w:r>
      <w:r w:rsidR="00C13A1A" w:rsidRPr="00685917">
        <w:t xml:space="preserve"> durante </w:t>
      </w:r>
      <w:r w:rsidR="006054E4" w:rsidRPr="00685917">
        <w:t xml:space="preserve">el Golpe de Estado de 1980, ni sobre que estos hechos en particular ocurrieron con anterioridad al depósito de la cláusula opcional por parte de Bolivia, el </w:t>
      </w:r>
      <w:r w:rsidR="00C13A1A" w:rsidRPr="00685917">
        <w:lastRenderedPageBreak/>
        <w:t xml:space="preserve">27 de julio </w:t>
      </w:r>
      <w:r w:rsidR="006054E4" w:rsidRPr="00685917">
        <w:t>de 1993.  La controversia surge en cuanto a</w:t>
      </w:r>
      <w:r w:rsidRPr="00685917">
        <w:t xml:space="preserve"> la calificación y</w:t>
      </w:r>
      <w:r w:rsidR="006054E4" w:rsidRPr="00685917">
        <w:t xml:space="preserve"> alcance de los hechos de</w:t>
      </w:r>
      <w:r w:rsidRPr="00685917">
        <w:t>l 17 de</w:t>
      </w:r>
      <w:r w:rsidR="00C13A1A" w:rsidRPr="00685917">
        <w:t xml:space="preserve"> ju</w:t>
      </w:r>
      <w:r w:rsidR="00A123AF">
        <w:t>l</w:t>
      </w:r>
      <w:r w:rsidR="00C13A1A" w:rsidRPr="00685917">
        <w:t xml:space="preserve">io </w:t>
      </w:r>
      <w:r w:rsidR="006054E4" w:rsidRPr="00685917">
        <w:t>de 1980 y sus efectos a lo largo del tiempo</w:t>
      </w:r>
      <w:r w:rsidR="007676E5">
        <w:t>;</w:t>
      </w:r>
      <w:r w:rsidR="00DD42CE" w:rsidRPr="00685917">
        <w:t xml:space="preserve"> e</w:t>
      </w:r>
      <w:r w:rsidR="006054E4" w:rsidRPr="00685917">
        <w:t xml:space="preserve">l Estado considera que la muerte del señor Flores Bedregal se consumó en 1980, mientras que el </w:t>
      </w:r>
      <w:r w:rsidR="00A123AF">
        <w:t>r</w:t>
      </w:r>
      <w:r w:rsidR="006054E4" w:rsidRPr="00685917">
        <w:t>epresentante y la Comisión alega</w:t>
      </w:r>
      <w:r w:rsidR="00A123AF">
        <w:t>r</w:t>
      </w:r>
      <w:r w:rsidR="00A123AF" w:rsidRPr="00994D6E">
        <w:t>on</w:t>
      </w:r>
      <w:r w:rsidR="006054E4" w:rsidRPr="00A123AF">
        <w:rPr>
          <w:b/>
          <w:bCs/>
        </w:rPr>
        <w:t xml:space="preserve"> </w:t>
      </w:r>
      <w:r w:rsidR="006054E4" w:rsidRPr="00685917">
        <w:t xml:space="preserve">que ni las circunstancias de la muerte del señor Bedregal ni su paradero han sido </w:t>
      </w:r>
      <w:r w:rsidR="00DD42CE" w:rsidRPr="00685917">
        <w:t>aún esclarecidos,</w:t>
      </w:r>
      <w:r w:rsidR="006054E4" w:rsidRPr="00685917">
        <w:t xml:space="preserve"> por lo que éste sería víctima de desaparición forzada con efectos continuados a lo largo del tiempo.</w:t>
      </w:r>
    </w:p>
    <w:p w14:paraId="56B9FB57" w14:textId="77777777" w:rsidR="007D114F" w:rsidRPr="0052423B" w:rsidRDefault="007D114F" w:rsidP="00B50CD5">
      <w:pPr>
        <w:rPr>
          <w:lang w:val="es-ES"/>
        </w:rPr>
      </w:pPr>
    </w:p>
    <w:p w14:paraId="36EBE204" w14:textId="0C138798" w:rsidR="00535614" w:rsidRPr="00685917" w:rsidRDefault="002F5A19" w:rsidP="005E070D">
      <w:pPr>
        <w:pStyle w:val="Prrafodelista"/>
      </w:pPr>
      <w:r w:rsidRPr="00F31192">
        <w:t>Este Tribunal ha sostenido desde sus primeros casos</w:t>
      </w:r>
      <w:r w:rsidRPr="008464EA">
        <w:rPr>
          <w:vertAlign w:val="superscript"/>
        </w:rPr>
        <w:footnoteReference w:id="10"/>
      </w:r>
      <w:r w:rsidRPr="008464EA">
        <w:rPr>
          <w:vertAlign w:val="superscript"/>
        </w:rPr>
        <w:t xml:space="preserve"> </w:t>
      </w:r>
      <w:r w:rsidRPr="00F31192">
        <w:t>que la desaparición de personas involucra violaciones múltiples y continuadas de varios derechos reconocidos en la Convención y en el derecho internacional general, que los Estados están obligados a respetar y garantizar. Asimismo, la Declaración de las Naciones Unidas sobre la Protección de Todas las Personas contra las Desapariciones Forzadas (1992), recoge varios principios de derecho internacional sobre esta materia, que se pueden invocar con fundamento en el artículo 29.d) de la Convención Americana.  Concretamente, su artículo 17.1 sostiene que “[t]odo acto de desaparición forzada será considerado delito permanente mientras sus autores continúen ocultando la suerte y el paradero de la persona desaparecida y mientras no se hayan esclarecido los hechos”</w:t>
      </w:r>
      <w:r w:rsidRPr="008464EA">
        <w:rPr>
          <w:vertAlign w:val="superscript"/>
        </w:rPr>
        <w:footnoteReference w:id="11"/>
      </w:r>
      <w:r w:rsidRPr="00F31192">
        <w:t xml:space="preserve">. Lo anterior significa que la violación de los derechos afectados como resultado de la desaparición forzada puede prolongarse de manera </w:t>
      </w:r>
      <w:r w:rsidRPr="007B0BB4">
        <w:t>continua</w:t>
      </w:r>
      <w:r w:rsidR="007B0BB4" w:rsidRPr="007B0BB4">
        <w:t>da</w:t>
      </w:r>
      <w:r w:rsidRPr="00F31192">
        <w:t xml:space="preserve"> o permanente hasta el momento en que se establece el destino o paradero de la víctima. Estos principios fueron más tarde recogidos por tratados tales como la ya aludida Convención Interamericana </w:t>
      </w:r>
      <w:r w:rsidR="007676E5">
        <w:t>sobre</w:t>
      </w:r>
      <w:r w:rsidR="00B50CD5">
        <w:t xml:space="preserve"> </w:t>
      </w:r>
      <w:r w:rsidRPr="00F31192">
        <w:t xml:space="preserve">Desaparición Forzada de Personas, </w:t>
      </w:r>
      <w:r w:rsidRPr="00777115">
        <w:t xml:space="preserve">y la Convención Internacional </w:t>
      </w:r>
      <w:r w:rsidR="007676E5" w:rsidRPr="00777115">
        <w:t>para</w:t>
      </w:r>
      <w:r w:rsidR="00552A9E" w:rsidRPr="00777115">
        <w:t xml:space="preserve"> </w:t>
      </w:r>
      <w:r w:rsidRPr="00777115">
        <w:t>la Protección de Todas las Personas contra las Desapariciones Forzadas, adoptada en el ámbito de las Naciones Unidas. Ambos instrumentos, en su momento, ratificados por Bolivia.</w:t>
      </w:r>
    </w:p>
    <w:p w14:paraId="4AE8B6AB" w14:textId="77777777" w:rsidR="007E46B9" w:rsidRPr="002E61E9" w:rsidRDefault="007E46B9" w:rsidP="00846D53">
      <w:pPr>
        <w:rPr>
          <w:lang w:val="es-ES"/>
        </w:rPr>
      </w:pPr>
    </w:p>
    <w:p w14:paraId="758B0E74" w14:textId="22453402" w:rsidR="00947189" w:rsidRPr="00685917" w:rsidRDefault="00947189" w:rsidP="005E070D">
      <w:pPr>
        <w:pStyle w:val="Prrafodelista"/>
      </w:pPr>
      <w:r w:rsidRPr="00685917">
        <w:t>En el presente caso, l</w:t>
      </w:r>
      <w:r w:rsidR="007E46B9" w:rsidRPr="00685917">
        <w:t xml:space="preserve">a Corte nota que </w:t>
      </w:r>
      <w:r w:rsidR="00E52EF3" w:rsidRPr="00685917">
        <w:t xml:space="preserve">la calificación de las conductas </w:t>
      </w:r>
      <w:r w:rsidR="00D42947" w:rsidRPr="00685917">
        <w:t xml:space="preserve">perpetradas </w:t>
      </w:r>
      <w:r w:rsidR="00E52EF3" w:rsidRPr="00685917">
        <w:t>el 17 de ju</w:t>
      </w:r>
      <w:r w:rsidR="00A123AF">
        <w:t>l</w:t>
      </w:r>
      <w:r w:rsidR="00E52EF3" w:rsidRPr="00685917">
        <w:t>io de 1980 y sus efectos continu</w:t>
      </w:r>
      <w:r w:rsidR="006F232B" w:rsidRPr="00685917">
        <w:t>ados</w:t>
      </w:r>
      <w:r w:rsidR="00E52EF3" w:rsidRPr="00685917">
        <w:t xml:space="preserve"> </w:t>
      </w:r>
      <w:r w:rsidR="00723A18" w:rsidRPr="00685917">
        <w:t>son parte de la controversia en este proceso</w:t>
      </w:r>
      <w:r w:rsidR="00E52EF3" w:rsidRPr="00685917">
        <w:t xml:space="preserve">. Por lo tanto, antes de determinar cuáles son las fuentes de las obligaciones internacionales aplicables y desde cuándo están vigentes para Bolivia, </w:t>
      </w:r>
      <w:r w:rsidR="00C325F6" w:rsidRPr="00685917">
        <w:t>la Corte debe</w:t>
      </w:r>
      <w:r w:rsidR="00507202" w:rsidRPr="00685917">
        <w:t xml:space="preserve"> </w:t>
      </w:r>
      <w:r w:rsidR="00AF7A82" w:rsidRPr="00685917">
        <w:t>examinar</w:t>
      </w:r>
      <w:r w:rsidR="00507202" w:rsidRPr="00685917">
        <w:t xml:space="preserve"> los hechos</w:t>
      </w:r>
      <w:r w:rsidR="00AF7A82" w:rsidRPr="00685917">
        <w:t xml:space="preserve"> y </w:t>
      </w:r>
      <w:r w:rsidR="00507202" w:rsidRPr="00685917">
        <w:t xml:space="preserve">valorar </w:t>
      </w:r>
      <w:r w:rsidR="00AF7A82" w:rsidRPr="00685917">
        <w:t>las pruebas que reposan en el expediente</w:t>
      </w:r>
      <w:r w:rsidR="001311A7" w:rsidRPr="00685917">
        <w:t xml:space="preserve">. </w:t>
      </w:r>
    </w:p>
    <w:p w14:paraId="63131E1B" w14:textId="77777777" w:rsidR="00947189" w:rsidRPr="002E61E9" w:rsidRDefault="00947189" w:rsidP="00846D53">
      <w:pPr>
        <w:rPr>
          <w:lang w:val="es-ES"/>
        </w:rPr>
      </w:pPr>
    </w:p>
    <w:p w14:paraId="2849E015" w14:textId="20AED9F4" w:rsidR="003D5650" w:rsidRPr="00685917" w:rsidRDefault="00E52EF3" w:rsidP="005E070D">
      <w:pPr>
        <w:pStyle w:val="Prrafodelista"/>
      </w:pPr>
      <w:r w:rsidRPr="00685917">
        <w:t xml:space="preserve">En conclusión, la resolución de las excepciones preliminares </w:t>
      </w:r>
      <w:r w:rsidRPr="00F31192">
        <w:rPr>
          <w:i/>
          <w:iCs/>
        </w:rPr>
        <w:t>ratione temporis</w:t>
      </w:r>
      <w:r w:rsidRPr="00685917">
        <w:t xml:space="preserve"> y </w:t>
      </w:r>
      <w:r w:rsidRPr="00F31192">
        <w:rPr>
          <w:i/>
          <w:iCs/>
        </w:rPr>
        <w:t>ratione materiae</w:t>
      </w:r>
      <w:r w:rsidRPr="00685917">
        <w:t xml:space="preserve"> articuladas por el </w:t>
      </w:r>
      <w:r w:rsidR="00507202" w:rsidRPr="00685917">
        <w:t xml:space="preserve">Estado </w:t>
      </w:r>
      <w:r w:rsidRPr="00685917">
        <w:t>con relación a la</w:t>
      </w:r>
      <w:r w:rsidR="00947189" w:rsidRPr="00685917">
        <w:t xml:space="preserve"> competencia de la Corte</w:t>
      </w:r>
      <w:r w:rsidRPr="00685917">
        <w:t xml:space="preserve"> depende de la determinación de los hechos</w:t>
      </w:r>
      <w:r w:rsidR="00507202" w:rsidRPr="00685917">
        <w:t xml:space="preserve"> </w:t>
      </w:r>
      <w:r w:rsidR="00723A18" w:rsidRPr="00685917">
        <w:t xml:space="preserve">que hará parte del </w:t>
      </w:r>
      <w:r w:rsidR="00507202" w:rsidRPr="00685917">
        <w:t>análisis de fondo de la presente Sentencia</w:t>
      </w:r>
      <w:r w:rsidR="009E5BC5" w:rsidRPr="00685917">
        <w:t xml:space="preserve"> </w:t>
      </w:r>
      <w:r w:rsidRPr="00685917">
        <w:t>y</w:t>
      </w:r>
      <w:r w:rsidR="000052BC">
        <w:t>,</w:t>
      </w:r>
      <w:r w:rsidRPr="00685917">
        <w:t xml:space="preserve"> </w:t>
      </w:r>
      <w:r w:rsidR="00947189" w:rsidRPr="00685917">
        <w:t>por lo tanto</w:t>
      </w:r>
      <w:r w:rsidR="000052BC">
        <w:t>,</w:t>
      </w:r>
      <w:r w:rsidR="00947189" w:rsidRPr="00685917">
        <w:t xml:space="preserve"> </w:t>
      </w:r>
      <w:r w:rsidRPr="00685917">
        <w:t>no corresponde abordarla en la etapa de excepciones preliminares.</w:t>
      </w:r>
      <w:r w:rsidR="00FE1C33" w:rsidRPr="00685917">
        <w:t xml:space="preserve"> </w:t>
      </w:r>
    </w:p>
    <w:p w14:paraId="35264339" w14:textId="77777777" w:rsidR="00C47B92" w:rsidRPr="002E61E9" w:rsidRDefault="00187CF2" w:rsidP="00846D53">
      <w:pPr>
        <w:rPr>
          <w:lang w:val="es-ES"/>
        </w:rPr>
      </w:pPr>
      <w:r w:rsidRPr="002E61E9">
        <w:rPr>
          <w:lang w:val="es-ES"/>
        </w:rPr>
        <w:t xml:space="preserve"> </w:t>
      </w:r>
    </w:p>
    <w:p w14:paraId="3FFDA787" w14:textId="37BE307C" w:rsidR="0036164B" w:rsidRDefault="0082486E" w:rsidP="005E070D">
      <w:pPr>
        <w:pStyle w:val="Prrafodelista"/>
      </w:pPr>
      <w:r w:rsidRPr="00685917">
        <w:t xml:space="preserve">Respecto </w:t>
      </w:r>
      <w:r w:rsidR="00C47B92" w:rsidRPr="00685917">
        <w:t>a la</w:t>
      </w:r>
      <w:r w:rsidR="009123E5" w:rsidRPr="00685917">
        <w:t xml:space="preserve"> alegada</w:t>
      </w:r>
      <w:r w:rsidR="00C47B92" w:rsidRPr="00685917">
        <w:t xml:space="preserve"> incompetencia de la Corte por razón de</w:t>
      </w:r>
      <w:r w:rsidR="00466BD0" w:rsidRPr="00685917">
        <w:t>l</w:t>
      </w:r>
      <w:r w:rsidR="00C47B92" w:rsidRPr="00685917">
        <w:t xml:space="preserve"> tiempo con relación a la sentencia dictada </w:t>
      </w:r>
      <w:r w:rsidR="00C325F6" w:rsidRPr="00B83998">
        <w:t>e</w:t>
      </w:r>
      <w:r w:rsidR="00C325F6" w:rsidRPr="00E16922">
        <w:t xml:space="preserve">l </w:t>
      </w:r>
      <w:r w:rsidR="00686AF0" w:rsidRPr="00E16922">
        <w:t>15</w:t>
      </w:r>
      <w:r w:rsidR="00C325F6" w:rsidRPr="00E16922">
        <w:t xml:space="preserve"> de abril de 1993 </w:t>
      </w:r>
      <w:r w:rsidR="00C47B92" w:rsidRPr="00E16922">
        <w:t xml:space="preserve">en </w:t>
      </w:r>
      <w:r w:rsidR="00941E73" w:rsidRPr="00E16922">
        <w:t>los</w:t>
      </w:r>
      <w:r w:rsidR="00777115" w:rsidRPr="00E16922">
        <w:t xml:space="preserve"> </w:t>
      </w:r>
      <w:r w:rsidR="004A2A88" w:rsidRPr="00E16922">
        <w:t>Juicio</w:t>
      </w:r>
      <w:r w:rsidR="00941E73" w:rsidRPr="00E16922">
        <w:t>s</w:t>
      </w:r>
      <w:r w:rsidR="004A2A88" w:rsidRPr="00E16922">
        <w:t xml:space="preserve"> de Responsabilidad acumulados</w:t>
      </w:r>
      <w:r w:rsidR="00280E4D" w:rsidRPr="00E16922">
        <w:t xml:space="preserve"> seguidos por el Ministerio Público y sus coadyuvantes</w:t>
      </w:r>
      <w:r w:rsidR="004A2A88" w:rsidRPr="00E16922">
        <w:t xml:space="preserve"> contra Luis García Meza Tejada y sus colaboradores</w:t>
      </w:r>
      <w:r w:rsidR="00C47B92" w:rsidRPr="00E16922">
        <w:t>,</w:t>
      </w:r>
      <w:r w:rsidR="00C47B92" w:rsidRPr="00685917">
        <w:t xml:space="preserve"> </w:t>
      </w:r>
      <w:r w:rsidR="00B132B0" w:rsidRPr="00685917">
        <w:t>este Tribunal</w:t>
      </w:r>
      <w:r w:rsidR="00C47B92" w:rsidRPr="00685917">
        <w:t xml:space="preserve"> </w:t>
      </w:r>
      <w:r w:rsidR="00F37A4A" w:rsidRPr="00685917">
        <w:t>nota que ni la Comisión ni los representantes han solicitado pronunciamiento alguno sobre el proceso o la sentencia</w:t>
      </w:r>
      <w:r w:rsidR="0005110D" w:rsidRPr="00685917">
        <w:t xml:space="preserve"> referida</w:t>
      </w:r>
      <w:r w:rsidR="00E52EF3" w:rsidRPr="00685917">
        <w:t>.</w:t>
      </w:r>
      <w:r w:rsidR="0005110D" w:rsidRPr="00685917">
        <w:t xml:space="preserve"> </w:t>
      </w:r>
      <w:r w:rsidR="00E52EF3" w:rsidRPr="00685917">
        <w:t>P</w:t>
      </w:r>
      <w:r w:rsidR="0005110D" w:rsidRPr="00685917">
        <w:t xml:space="preserve">or lo </w:t>
      </w:r>
      <w:r w:rsidR="00E52EF3" w:rsidRPr="00685917">
        <w:t>tanto</w:t>
      </w:r>
      <w:r w:rsidR="00466BD0" w:rsidRPr="00685917">
        <w:t>,</w:t>
      </w:r>
      <w:r w:rsidR="0005110D" w:rsidRPr="00685917">
        <w:t xml:space="preserve"> considera </w:t>
      </w:r>
      <w:r w:rsidR="00E639E2" w:rsidRPr="00685917">
        <w:t xml:space="preserve">que </w:t>
      </w:r>
      <w:r w:rsidRPr="00685917">
        <w:t xml:space="preserve">la excepción </w:t>
      </w:r>
      <w:r w:rsidR="0005110D" w:rsidRPr="00685917">
        <w:t>no tiene fundamento</w:t>
      </w:r>
      <w:r w:rsidR="00C47B92" w:rsidRPr="00685917">
        <w:t xml:space="preserve">, sin perjuicio de lo cual </w:t>
      </w:r>
      <w:r w:rsidR="00E52EF3" w:rsidRPr="00685917">
        <w:t>–</w:t>
      </w:r>
      <w:r w:rsidR="00C47B92" w:rsidRPr="00685917">
        <w:t>como</w:t>
      </w:r>
      <w:r w:rsidR="00E52EF3" w:rsidRPr="00685917">
        <w:t xml:space="preserve"> </w:t>
      </w:r>
      <w:r w:rsidR="00C47B92" w:rsidRPr="00685917">
        <w:t>lo ha hecho anteriormente</w:t>
      </w:r>
      <w:r w:rsidR="00E52EF3" w:rsidRPr="00685917">
        <w:t xml:space="preserve">— </w:t>
      </w:r>
      <w:r w:rsidR="00466BD0" w:rsidRPr="00685917">
        <w:t xml:space="preserve">la Corte </w:t>
      </w:r>
      <w:r w:rsidR="00C47B92" w:rsidRPr="00685917">
        <w:t xml:space="preserve">pueda hacer referencia a </w:t>
      </w:r>
      <w:r w:rsidR="00E52EF3" w:rsidRPr="00685917">
        <w:t>dicha</w:t>
      </w:r>
      <w:r w:rsidR="00C47B92" w:rsidRPr="00685917">
        <w:t xml:space="preserve"> sentencia como un hecho “con el único propósito de contextualizar el análisis de las acciones y omisiones estatales que puedan sustentar las violaciones alegadas”</w:t>
      </w:r>
      <w:r w:rsidR="00C47B92" w:rsidRPr="001B6B0B">
        <w:rPr>
          <w:vertAlign w:val="superscript"/>
        </w:rPr>
        <w:footnoteReference w:id="12"/>
      </w:r>
      <w:r w:rsidR="00C47B92" w:rsidRPr="00685917">
        <w:t xml:space="preserve">. </w:t>
      </w:r>
    </w:p>
    <w:p w14:paraId="71272DCC" w14:textId="77777777" w:rsidR="00882669" w:rsidRPr="002E61E9" w:rsidRDefault="00882669" w:rsidP="00846D53">
      <w:pPr>
        <w:rPr>
          <w:lang w:val="es-ES"/>
        </w:rPr>
      </w:pPr>
    </w:p>
    <w:p w14:paraId="652C520A" w14:textId="6B06111D" w:rsidR="00187CF2" w:rsidRPr="008464EA" w:rsidRDefault="007B58C3" w:rsidP="007B5FD8">
      <w:pPr>
        <w:pStyle w:val="Ttulo2"/>
        <w:ind w:left="567"/>
        <w:rPr>
          <w:rFonts w:ascii="Verdana" w:hAnsi="Verdana" w:cs="Arial"/>
          <w:b/>
          <w:bCs/>
          <w:color w:val="000000" w:themeColor="text1"/>
          <w:sz w:val="20"/>
          <w:szCs w:val="20"/>
          <w:lang w:val="es-ES"/>
        </w:rPr>
      </w:pPr>
      <w:bookmarkStart w:id="68" w:name="_Toc125037459"/>
      <w:r w:rsidRPr="008464EA">
        <w:rPr>
          <w:rFonts w:ascii="Verdana" w:hAnsi="Verdana" w:cs="Arial"/>
          <w:b/>
          <w:bCs/>
          <w:color w:val="000000" w:themeColor="text1"/>
          <w:sz w:val="20"/>
          <w:szCs w:val="20"/>
          <w:lang w:val="es-ES"/>
        </w:rPr>
        <w:lastRenderedPageBreak/>
        <w:t xml:space="preserve">B. </w:t>
      </w:r>
      <w:r w:rsidR="00187CF2" w:rsidRPr="008464EA">
        <w:rPr>
          <w:rFonts w:ascii="Verdana" w:hAnsi="Verdana" w:cs="Arial"/>
          <w:b/>
          <w:bCs/>
          <w:color w:val="000000" w:themeColor="text1"/>
          <w:sz w:val="20"/>
          <w:szCs w:val="20"/>
          <w:lang w:val="es-ES"/>
        </w:rPr>
        <w:t>Excepción preliminar</w:t>
      </w:r>
      <w:r w:rsidR="00AE7ACE">
        <w:rPr>
          <w:rFonts w:ascii="Verdana" w:hAnsi="Verdana" w:cs="Arial"/>
          <w:b/>
          <w:bCs/>
          <w:color w:val="000000" w:themeColor="text1"/>
          <w:sz w:val="20"/>
          <w:szCs w:val="20"/>
          <w:lang w:val="es-ES"/>
        </w:rPr>
        <w:t xml:space="preserve"> sobre la falta </w:t>
      </w:r>
      <w:r w:rsidR="00FA2C57" w:rsidRPr="008464EA">
        <w:rPr>
          <w:rFonts w:ascii="Verdana" w:hAnsi="Verdana" w:cs="Arial"/>
          <w:b/>
          <w:bCs/>
          <w:color w:val="000000" w:themeColor="text1"/>
          <w:sz w:val="20"/>
          <w:szCs w:val="20"/>
          <w:lang w:val="es-ES"/>
        </w:rPr>
        <w:t xml:space="preserve">de </w:t>
      </w:r>
      <w:r w:rsidR="00187CF2" w:rsidRPr="008464EA">
        <w:rPr>
          <w:rFonts w:ascii="Verdana" w:hAnsi="Verdana" w:cs="Arial"/>
          <w:b/>
          <w:bCs/>
          <w:color w:val="000000" w:themeColor="text1"/>
          <w:sz w:val="20"/>
          <w:szCs w:val="20"/>
          <w:lang w:val="es-ES"/>
        </w:rPr>
        <w:t xml:space="preserve">agotamiento de recursos </w:t>
      </w:r>
      <w:r w:rsidR="00FA2C57" w:rsidRPr="008464EA">
        <w:rPr>
          <w:rFonts w:ascii="Verdana" w:hAnsi="Verdana" w:cs="Arial"/>
          <w:b/>
          <w:bCs/>
          <w:color w:val="000000" w:themeColor="text1"/>
          <w:sz w:val="20"/>
          <w:szCs w:val="20"/>
          <w:lang w:val="es-ES"/>
        </w:rPr>
        <w:t xml:space="preserve">internos </w:t>
      </w:r>
      <w:r w:rsidR="00AE7ACE">
        <w:rPr>
          <w:rFonts w:ascii="Verdana" w:hAnsi="Verdana" w:cs="Arial"/>
          <w:b/>
          <w:bCs/>
          <w:color w:val="000000" w:themeColor="text1"/>
          <w:sz w:val="20"/>
          <w:szCs w:val="20"/>
          <w:lang w:val="es-ES"/>
        </w:rPr>
        <w:t>en relación con</w:t>
      </w:r>
      <w:r w:rsidR="00FA2C57" w:rsidRPr="008464EA">
        <w:rPr>
          <w:rFonts w:ascii="Verdana" w:hAnsi="Verdana" w:cs="Arial"/>
          <w:b/>
          <w:bCs/>
          <w:color w:val="000000" w:themeColor="text1"/>
          <w:sz w:val="20"/>
          <w:szCs w:val="20"/>
          <w:lang w:val="es-ES"/>
        </w:rPr>
        <w:t xml:space="preserve"> </w:t>
      </w:r>
      <w:r w:rsidR="00187CF2" w:rsidRPr="008464EA">
        <w:rPr>
          <w:rFonts w:ascii="Verdana" w:hAnsi="Verdana" w:cs="Arial"/>
          <w:b/>
          <w:bCs/>
          <w:color w:val="000000" w:themeColor="text1"/>
          <w:sz w:val="20"/>
          <w:szCs w:val="20"/>
          <w:lang w:val="es-ES"/>
        </w:rPr>
        <w:t>la solicitud de reparación</w:t>
      </w:r>
      <w:bookmarkEnd w:id="68"/>
    </w:p>
    <w:p w14:paraId="705429EA" w14:textId="77777777" w:rsidR="00187CF2" w:rsidRPr="00685917" w:rsidRDefault="00187CF2" w:rsidP="00685917">
      <w:pPr>
        <w:jc w:val="both"/>
        <w:rPr>
          <w:rFonts w:ascii="Verdana" w:hAnsi="Verdana"/>
          <w:lang w:val="es-ES"/>
        </w:rPr>
      </w:pPr>
    </w:p>
    <w:p w14:paraId="06034E7B" w14:textId="654D3265" w:rsidR="00187CF2" w:rsidRPr="008464EA" w:rsidRDefault="004C05AE" w:rsidP="007B5FD8">
      <w:pPr>
        <w:pStyle w:val="Ttulo3"/>
        <w:spacing w:before="0"/>
        <w:ind w:left="709"/>
        <w:rPr>
          <w:rFonts w:ascii="Verdana" w:hAnsi="Verdana" w:cs="Arial"/>
          <w:b/>
          <w:bCs/>
          <w:color w:val="000000" w:themeColor="text1"/>
          <w:sz w:val="20"/>
          <w:szCs w:val="20"/>
          <w:lang w:val="es-ES"/>
        </w:rPr>
      </w:pPr>
      <w:bookmarkStart w:id="69" w:name="_Toc125037460"/>
      <w:r w:rsidRPr="008464EA">
        <w:rPr>
          <w:rFonts w:ascii="Verdana" w:hAnsi="Verdana" w:cs="Arial"/>
          <w:b/>
          <w:bCs/>
          <w:color w:val="000000" w:themeColor="text1"/>
          <w:sz w:val="20"/>
          <w:szCs w:val="20"/>
          <w:lang w:val="es-ES"/>
        </w:rPr>
        <w:t>B</w:t>
      </w:r>
      <w:r w:rsidR="00187CF2" w:rsidRPr="008464EA">
        <w:rPr>
          <w:rFonts w:ascii="Verdana" w:hAnsi="Verdana" w:cs="Arial"/>
          <w:b/>
          <w:bCs/>
          <w:color w:val="000000" w:themeColor="text1"/>
          <w:sz w:val="20"/>
          <w:szCs w:val="20"/>
          <w:lang w:val="es-ES"/>
        </w:rPr>
        <w:t>.1. A</w:t>
      </w:r>
      <w:r w:rsidR="00357DD8">
        <w:rPr>
          <w:rFonts w:ascii="Verdana" w:hAnsi="Verdana" w:cs="Arial"/>
          <w:b/>
          <w:bCs/>
          <w:color w:val="000000" w:themeColor="text1"/>
          <w:sz w:val="20"/>
          <w:szCs w:val="20"/>
          <w:lang w:val="es-ES"/>
        </w:rPr>
        <w:t>legatos</w:t>
      </w:r>
      <w:r w:rsidR="00187CF2" w:rsidRPr="008464EA">
        <w:rPr>
          <w:rFonts w:ascii="Verdana" w:hAnsi="Verdana" w:cs="Arial"/>
          <w:b/>
          <w:bCs/>
          <w:color w:val="000000" w:themeColor="text1"/>
          <w:sz w:val="20"/>
          <w:szCs w:val="20"/>
          <w:lang w:val="es-ES"/>
        </w:rPr>
        <w:t xml:space="preserve"> de las partes y la Comisión</w:t>
      </w:r>
      <w:bookmarkEnd w:id="69"/>
    </w:p>
    <w:p w14:paraId="00B9CE8A" w14:textId="77777777" w:rsidR="00D847B4" w:rsidRPr="00685917" w:rsidRDefault="00D847B4" w:rsidP="009E4B73">
      <w:pPr>
        <w:autoSpaceDE w:val="0"/>
        <w:autoSpaceDN w:val="0"/>
        <w:adjustRightInd w:val="0"/>
        <w:jc w:val="both"/>
        <w:rPr>
          <w:rFonts w:ascii="Verdana" w:hAnsi="Verdana"/>
          <w:u w:val="single"/>
          <w:lang w:val="es-ES"/>
        </w:rPr>
      </w:pPr>
    </w:p>
    <w:p w14:paraId="47E66667" w14:textId="33E26305" w:rsidR="00187CF2" w:rsidRPr="009075C5" w:rsidRDefault="00187CF2" w:rsidP="005E070D">
      <w:pPr>
        <w:pStyle w:val="Prrafodelista"/>
      </w:pPr>
      <w:r w:rsidRPr="00685917">
        <w:t xml:space="preserve">El </w:t>
      </w:r>
      <w:r w:rsidRPr="008464EA">
        <w:rPr>
          <w:b/>
          <w:bCs/>
          <w:i/>
          <w:iCs/>
        </w:rPr>
        <w:t>Estado</w:t>
      </w:r>
      <w:r w:rsidRPr="00685917">
        <w:t xml:space="preserve"> argumentó que </w:t>
      </w:r>
      <w:r w:rsidR="00466BD0" w:rsidRPr="00685917">
        <w:t>–en razón</w:t>
      </w:r>
      <w:r w:rsidR="00A123AF">
        <w:t xml:space="preserve"> </w:t>
      </w:r>
      <w:r w:rsidR="00466BD0" w:rsidRPr="00685917">
        <w:t>de</w:t>
      </w:r>
      <w:r w:rsidRPr="00685917">
        <w:t xml:space="preserve"> su carácter de víctimas en </w:t>
      </w:r>
      <w:r w:rsidR="00941E73">
        <w:t>los</w:t>
      </w:r>
      <w:r w:rsidRPr="00685917">
        <w:t xml:space="preserve"> Juicio</w:t>
      </w:r>
      <w:r w:rsidR="00941E73">
        <w:t>s</w:t>
      </w:r>
      <w:r w:rsidRPr="00685917">
        <w:t xml:space="preserve"> de Responsabilidad contra Luis García Meza</w:t>
      </w:r>
      <w:r w:rsidR="00D366D6">
        <w:t xml:space="preserve"> Tejada</w:t>
      </w:r>
      <w:r w:rsidRPr="00685917">
        <w:t xml:space="preserve"> y sus colaboradores, así como en el proceso penal ordinario </w:t>
      </w:r>
      <w:r w:rsidR="004B22E7">
        <w:t>del “Ministerio Público c/</w:t>
      </w:r>
      <w:r w:rsidRPr="00685917">
        <w:t xml:space="preserve"> Franz Pizarro Solano y otros</w:t>
      </w:r>
      <w:r w:rsidR="004B22E7">
        <w:t>”,</w:t>
      </w:r>
      <w:r w:rsidR="00466BD0" w:rsidRPr="00685917">
        <w:t xml:space="preserve"> los familiares de Juan Carlos Flores Bedregal</w:t>
      </w:r>
      <w:r w:rsidRPr="00685917">
        <w:t xml:space="preserve"> tuvieron a su disposición los </w:t>
      </w:r>
      <w:r w:rsidRPr="00E16922">
        <w:t xml:space="preserve">mecanismos legales de reparación internos que </w:t>
      </w:r>
      <w:r w:rsidR="00466BD0" w:rsidRPr="00E16922">
        <w:t xml:space="preserve">para el primer </w:t>
      </w:r>
      <w:r w:rsidR="00BB293E" w:rsidRPr="00E16922">
        <w:t xml:space="preserve">proceso </w:t>
      </w:r>
      <w:r w:rsidRPr="00E16922">
        <w:t xml:space="preserve">contemplaba el abrogado Código </w:t>
      </w:r>
      <w:r w:rsidR="00EA7C17" w:rsidRPr="00E16922">
        <w:t xml:space="preserve">de Procedimiento Penal </w:t>
      </w:r>
      <w:r w:rsidRPr="00E16922">
        <w:t>de 1972</w:t>
      </w:r>
      <w:r w:rsidR="00BB293E" w:rsidRPr="00E16922">
        <w:t>;</w:t>
      </w:r>
      <w:r w:rsidRPr="00E16922">
        <w:t xml:space="preserve"> y</w:t>
      </w:r>
      <w:r w:rsidR="00BB293E" w:rsidRPr="00E16922">
        <w:t xml:space="preserve"> para</w:t>
      </w:r>
      <w:r w:rsidRPr="00E16922">
        <w:t xml:space="preserve"> </w:t>
      </w:r>
      <w:r w:rsidR="00BB293E" w:rsidRPr="00E16922">
        <w:t xml:space="preserve">el </w:t>
      </w:r>
      <w:r w:rsidRPr="00E16922">
        <w:t xml:space="preserve">segundo </w:t>
      </w:r>
      <w:r w:rsidR="00BB293E" w:rsidRPr="00E16922">
        <w:t>proceso,</w:t>
      </w:r>
      <w:r w:rsidRPr="00E16922">
        <w:t xml:space="preserve"> la Ley N</w:t>
      </w:r>
      <w:r w:rsidR="00DF777A" w:rsidRPr="00E16922">
        <w:t>o.</w:t>
      </w:r>
      <w:r w:rsidRPr="00E16922">
        <w:t xml:space="preserve"> 1970 de </w:t>
      </w:r>
      <w:r w:rsidR="00EA7C17" w:rsidRPr="00E16922">
        <w:t xml:space="preserve">25 de marzo </w:t>
      </w:r>
      <w:r w:rsidRPr="00E16922">
        <w:t>1999</w:t>
      </w:r>
      <w:r w:rsidR="00BB293E" w:rsidRPr="00E16922">
        <w:t>. Aleg</w:t>
      </w:r>
      <w:r w:rsidR="006F232B" w:rsidRPr="00E16922">
        <w:t>ó</w:t>
      </w:r>
      <w:r w:rsidR="00BB293E" w:rsidRPr="00E16922">
        <w:t xml:space="preserve"> que dichos</w:t>
      </w:r>
      <w:r w:rsidR="00BB293E" w:rsidRPr="00685917">
        <w:t xml:space="preserve"> recursos no fueron agotados en forma oportuna.</w:t>
      </w:r>
      <w:r w:rsidRPr="00685917">
        <w:t xml:space="preserve">  </w:t>
      </w:r>
    </w:p>
    <w:p w14:paraId="6CF34D37" w14:textId="77777777" w:rsidR="00187CF2" w:rsidRPr="002E61E9" w:rsidRDefault="00187CF2" w:rsidP="00C11C9B">
      <w:pPr>
        <w:rPr>
          <w:lang w:val="es-ES"/>
        </w:rPr>
      </w:pPr>
    </w:p>
    <w:p w14:paraId="4CE621FA" w14:textId="71816201" w:rsidR="00187CF2" w:rsidRPr="00685917" w:rsidRDefault="00680B17" w:rsidP="005E070D">
      <w:pPr>
        <w:pStyle w:val="Prrafodelista"/>
      </w:pPr>
      <w:r w:rsidRPr="00685917">
        <w:t xml:space="preserve">La </w:t>
      </w:r>
      <w:r w:rsidRPr="008464EA">
        <w:rPr>
          <w:b/>
          <w:bCs/>
          <w:i/>
          <w:iCs/>
        </w:rPr>
        <w:t>Comisión</w:t>
      </w:r>
      <w:r w:rsidRPr="00685917">
        <w:t xml:space="preserve"> </w:t>
      </w:r>
      <w:r w:rsidR="00BB293E" w:rsidRPr="00685917">
        <w:t xml:space="preserve">señaló que </w:t>
      </w:r>
      <w:r w:rsidRPr="00685917">
        <w:t xml:space="preserve">el Estado alegó dicha excepción </w:t>
      </w:r>
      <w:r w:rsidR="00BB293E" w:rsidRPr="00685917">
        <w:t>por primera vez</w:t>
      </w:r>
      <w:r w:rsidRPr="00685917">
        <w:t xml:space="preserve"> en </w:t>
      </w:r>
      <w:r w:rsidR="002B2A1F" w:rsidRPr="00685917">
        <w:t>el</w:t>
      </w:r>
      <w:r w:rsidRPr="00685917">
        <w:t xml:space="preserve"> escrito </w:t>
      </w:r>
      <w:r w:rsidR="002B2A1F" w:rsidRPr="00685917">
        <w:t>presentado e</w:t>
      </w:r>
      <w:r w:rsidR="00EA7C17">
        <w:t xml:space="preserve">l </w:t>
      </w:r>
      <w:r w:rsidRPr="00685917">
        <w:t>1</w:t>
      </w:r>
      <w:r w:rsidR="002B2A1F" w:rsidRPr="00685917">
        <w:t>9</w:t>
      </w:r>
      <w:r w:rsidRPr="00685917">
        <w:t xml:space="preserve"> de enero de 2011</w:t>
      </w:r>
      <w:r w:rsidR="002B2A1F" w:rsidRPr="00685917">
        <w:t xml:space="preserve">, </w:t>
      </w:r>
      <w:r w:rsidR="009630B5" w:rsidRPr="00EA7C17">
        <w:t>casi</w:t>
      </w:r>
      <w:r w:rsidR="00B4052B" w:rsidRPr="00EA7C17">
        <w:t xml:space="preserve"> </w:t>
      </w:r>
      <w:r w:rsidR="00847D02" w:rsidRPr="00EA7C17">
        <w:t>un año y medio</w:t>
      </w:r>
      <w:r w:rsidR="00C11C9B" w:rsidRPr="00EA7C17">
        <w:t xml:space="preserve"> </w:t>
      </w:r>
      <w:r w:rsidR="002B2A1F" w:rsidRPr="00EA7C17">
        <w:t>desp</w:t>
      </w:r>
      <w:r w:rsidR="006F232B" w:rsidRPr="00EA7C17">
        <w:t>ué</w:t>
      </w:r>
      <w:r w:rsidR="002B2A1F" w:rsidRPr="00EA7C17">
        <w:t>s</w:t>
      </w:r>
      <w:r w:rsidR="002B2A1F" w:rsidRPr="00685917">
        <w:t xml:space="preserve"> de</w:t>
      </w:r>
      <w:r w:rsidR="00B4052B" w:rsidRPr="00685917">
        <w:t xml:space="preserve"> </w:t>
      </w:r>
      <w:r w:rsidR="00847D02">
        <w:t xml:space="preserve">haber </w:t>
      </w:r>
      <w:r w:rsidR="00B4052B" w:rsidRPr="00685917">
        <w:t>adoptado</w:t>
      </w:r>
      <w:r w:rsidRPr="00685917">
        <w:t xml:space="preserve"> </w:t>
      </w:r>
      <w:r w:rsidR="00B4052B" w:rsidRPr="00685917">
        <w:t xml:space="preserve">el </w:t>
      </w:r>
      <w:r w:rsidRPr="00685917">
        <w:t xml:space="preserve">Informe de Admisibilidad </w:t>
      </w:r>
      <w:r w:rsidR="00B4052B" w:rsidRPr="00685917">
        <w:t>N</w:t>
      </w:r>
      <w:r w:rsidR="00B4052B" w:rsidRPr="009075C5">
        <w:t>o</w:t>
      </w:r>
      <w:r w:rsidR="00DF777A">
        <w:t>.</w:t>
      </w:r>
      <w:r w:rsidR="00B4052B" w:rsidRPr="00685917">
        <w:t xml:space="preserve"> 65/09 de </w:t>
      </w:r>
      <w:r w:rsidRPr="00685917">
        <w:t xml:space="preserve">4 de agosto de 2009. Por lo </w:t>
      </w:r>
      <w:r w:rsidR="00BB293E" w:rsidRPr="00685917">
        <w:t>tanto</w:t>
      </w:r>
      <w:r w:rsidR="006F232B" w:rsidRPr="00685917">
        <w:t>,</w:t>
      </w:r>
      <w:r w:rsidR="00BB293E" w:rsidRPr="00685917">
        <w:t xml:space="preserve"> </w:t>
      </w:r>
      <w:r w:rsidR="00F325C1" w:rsidRPr="009075C5">
        <w:t>planteó</w:t>
      </w:r>
      <w:r w:rsidR="006F232B" w:rsidRPr="00685917">
        <w:t xml:space="preserve"> </w:t>
      </w:r>
      <w:r w:rsidR="00BB293E" w:rsidRPr="00685917">
        <w:t>que esta</w:t>
      </w:r>
      <w:r w:rsidR="006B1D53" w:rsidRPr="00685917">
        <w:t xml:space="preserve"> excepción preliminar no fue presentada </w:t>
      </w:r>
      <w:r w:rsidR="009630B5" w:rsidRPr="00685917">
        <w:t xml:space="preserve">por el Estado </w:t>
      </w:r>
      <w:r w:rsidR="006B1D53" w:rsidRPr="00685917">
        <w:t xml:space="preserve">en el </w:t>
      </w:r>
      <w:r w:rsidRPr="00685917">
        <w:t>momento procesal oportuno</w:t>
      </w:r>
      <w:r w:rsidR="00C11C9B">
        <w:t>.</w:t>
      </w:r>
      <w:r w:rsidRPr="00685917">
        <w:t xml:space="preserve">  Además, afirmó que la Convención </w:t>
      </w:r>
      <w:r w:rsidR="00E52EF3" w:rsidRPr="00685917">
        <w:t>no exige el agotamiento de recursos</w:t>
      </w:r>
      <w:r w:rsidRPr="00685917">
        <w:t xml:space="preserve"> adicionales </w:t>
      </w:r>
      <w:r w:rsidR="00E52EF3" w:rsidRPr="00685917">
        <w:t>en materia de reparación cuando ya se han agotado los recursos vinculados a la determinación de las violaciones</w:t>
      </w:r>
      <w:r w:rsidR="009630B5" w:rsidRPr="00685917">
        <w:t xml:space="preserve"> principales, dado que esto</w:t>
      </w:r>
      <w:r w:rsidRPr="00685917">
        <w:t xml:space="preserve"> impondría una carga desproporcionada </w:t>
      </w:r>
      <w:r w:rsidR="009630B5" w:rsidRPr="00685917">
        <w:t>sobre</w:t>
      </w:r>
      <w:r w:rsidRPr="00685917">
        <w:t xml:space="preserve"> las víctimas </w:t>
      </w:r>
      <w:r w:rsidR="009630B5" w:rsidRPr="00685917">
        <w:t xml:space="preserve">en busca de protección internacional. </w:t>
      </w:r>
    </w:p>
    <w:p w14:paraId="33B25C59" w14:textId="77777777" w:rsidR="00680B17" w:rsidRPr="002E61E9" w:rsidRDefault="00680B17" w:rsidP="00C11C9B">
      <w:pPr>
        <w:rPr>
          <w:lang w:val="es-ES"/>
        </w:rPr>
      </w:pPr>
    </w:p>
    <w:p w14:paraId="3C295E23" w14:textId="60F3399C" w:rsidR="00187CF2" w:rsidRDefault="00680B17" w:rsidP="005E070D">
      <w:pPr>
        <w:pStyle w:val="Prrafodelista"/>
      </w:pPr>
      <w:r w:rsidRPr="00685917">
        <w:t xml:space="preserve">El </w:t>
      </w:r>
      <w:r w:rsidRPr="008464EA">
        <w:rPr>
          <w:b/>
          <w:bCs/>
          <w:i/>
          <w:iCs/>
        </w:rPr>
        <w:t>representante</w:t>
      </w:r>
      <w:r w:rsidRPr="009075C5">
        <w:t xml:space="preserve"> </w:t>
      </w:r>
      <w:r w:rsidR="00E52EF3" w:rsidRPr="00685917">
        <w:t>argument</w:t>
      </w:r>
      <w:r w:rsidRPr="00685917">
        <w:t xml:space="preserve">ó </w:t>
      </w:r>
      <w:r w:rsidR="00E52EF3" w:rsidRPr="00685917">
        <w:t>–</w:t>
      </w:r>
      <w:r w:rsidRPr="00685917">
        <w:t>como</w:t>
      </w:r>
      <w:r w:rsidR="00E52EF3" w:rsidRPr="00685917">
        <w:t xml:space="preserve"> </w:t>
      </w:r>
      <w:r w:rsidRPr="00685917">
        <w:t xml:space="preserve">lo </w:t>
      </w:r>
      <w:r w:rsidR="00E52EF3" w:rsidRPr="00685917">
        <w:t>señal</w:t>
      </w:r>
      <w:r w:rsidRPr="00685917">
        <w:t>ó la Comisión en su Informe de Admisibilidad</w:t>
      </w:r>
      <w:r w:rsidR="00E52EF3" w:rsidRPr="00685917">
        <w:t xml:space="preserve">— </w:t>
      </w:r>
      <w:r w:rsidRPr="00685917">
        <w:t>que el hecho de que hayan transcurrido décadas sin</w:t>
      </w:r>
      <w:r w:rsidR="00E52EF3" w:rsidRPr="00685917">
        <w:t xml:space="preserve"> la </w:t>
      </w:r>
      <w:r w:rsidRPr="00685917">
        <w:t>determina</w:t>
      </w:r>
      <w:r w:rsidR="00E52EF3" w:rsidRPr="00685917">
        <w:t>ción</w:t>
      </w:r>
      <w:r w:rsidRPr="00685917">
        <w:t xml:space="preserve"> </w:t>
      </w:r>
      <w:r w:rsidR="00E52EF3" w:rsidRPr="00685917">
        <w:t>d</w:t>
      </w:r>
      <w:r w:rsidRPr="00685917">
        <w:t xml:space="preserve">el paradero de la presunta víctima </w:t>
      </w:r>
      <w:r w:rsidR="00E52EF3" w:rsidRPr="00685917">
        <w:t>n</w:t>
      </w:r>
      <w:r w:rsidR="009630B5" w:rsidRPr="00685917">
        <w:t>i</w:t>
      </w:r>
      <w:r w:rsidR="00E52EF3" w:rsidRPr="00685917">
        <w:t xml:space="preserve"> el </w:t>
      </w:r>
      <w:r w:rsidRPr="00685917">
        <w:t>esclarec</w:t>
      </w:r>
      <w:r w:rsidR="00E52EF3" w:rsidRPr="00685917">
        <w:t>imiento de</w:t>
      </w:r>
      <w:r w:rsidRPr="00685917">
        <w:t xml:space="preserve"> lo </w:t>
      </w:r>
      <w:r w:rsidR="00EF2DB7" w:rsidRPr="00685917">
        <w:t>sucedido</w:t>
      </w:r>
      <w:r w:rsidRPr="00685917">
        <w:t xml:space="preserve"> es suficiente para concluir </w:t>
      </w:r>
      <w:r w:rsidR="00E52EF3" w:rsidRPr="00685917">
        <w:t>que se produjo un</w:t>
      </w:r>
      <w:r w:rsidRPr="00685917">
        <w:t xml:space="preserve"> retardo injustificado que exime </w:t>
      </w:r>
      <w:r w:rsidR="009630B5" w:rsidRPr="00685917">
        <w:t xml:space="preserve">a la parte peticionaria </w:t>
      </w:r>
      <w:r w:rsidRPr="00685917">
        <w:t>del agotamiento de los recursos</w:t>
      </w:r>
      <w:r w:rsidR="00E52EF3" w:rsidRPr="00685917">
        <w:t xml:space="preserve"> internos</w:t>
      </w:r>
      <w:r w:rsidRPr="00685917">
        <w:t xml:space="preserve">. </w:t>
      </w:r>
      <w:r w:rsidR="006B1D53" w:rsidRPr="00685917">
        <w:t xml:space="preserve">Añadió </w:t>
      </w:r>
      <w:r w:rsidRPr="00685917">
        <w:t xml:space="preserve">que la excepción preliminar formulada por el Estado no cumple con los requisitos materiales ni formales </w:t>
      </w:r>
      <w:r w:rsidR="00E52EF3" w:rsidRPr="00685917">
        <w:t>exigidos</w:t>
      </w:r>
      <w:r w:rsidR="006B1D53" w:rsidRPr="00685917">
        <w:t xml:space="preserve"> por</w:t>
      </w:r>
      <w:r w:rsidRPr="00685917">
        <w:t xml:space="preserve"> la jurisprudencia de la Corte, </w:t>
      </w:r>
      <w:r w:rsidR="00E52EF3" w:rsidRPr="00685917">
        <w:t>en el sentido de demostrar que los</w:t>
      </w:r>
      <w:r w:rsidRPr="00685917">
        <w:t xml:space="preserve"> recursos</w:t>
      </w:r>
      <w:r w:rsidR="00E52EF3" w:rsidRPr="00685917">
        <w:t xml:space="preserve"> pendientes de agotamiento</w:t>
      </w:r>
      <w:r w:rsidRPr="00685917">
        <w:t xml:space="preserve"> </w:t>
      </w:r>
      <w:r w:rsidR="00E52EF3" w:rsidRPr="00685917">
        <w:t xml:space="preserve">eran </w:t>
      </w:r>
      <w:r w:rsidRPr="00685917">
        <w:t>adecuados, idóneos o efectivos</w:t>
      </w:r>
      <w:r w:rsidR="00E52EF3" w:rsidRPr="00685917">
        <w:t xml:space="preserve"> con relación al reclamo de las víctimas en el presente caso</w:t>
      </w:r>
      <w:r w:rsidRPr="00685917">
        <w:t xml:space="preserve">. </w:t>
      </w:r>
      <w:r w:rsidR="00CD730B" w:rsidRPr="00685917">
        <w:t>Asimismo,</w:t>
      </w:r>
      <w:r w:rsidR="00E52EF3" w:rsidRPr="00685917">
        <w:t xml:space="preserve"> señaló que ese alegato sobre admisibilidad </w:t>
      </w:r>
      <w:r w:rsidRPr="00685917">
        <w:t>no fue presentad</w:t>
      </w:r>
      <w:r w:rsidR="002A7159" w:rsidRPr="00685917">
        <w:t>o</w:t>
      </w:r>
      <w:r w:rsidRPr="00685917">
        <w:t xml:space="preserve"> en el momento procesal oportuno</w:t>
      </w:r>
      <w:r w:rsidR="002A7159" w:rsidRPr="00685917">
        <w:t>.</w:t>
      </w:r>
      <w:r w:rsidRPr="00685917">
        <w:t xml:space="preserve"> </w:t>
      </w:r>
    </w:p>
    <w:p w14:paraId="1124A40E" w14:textId="77777777" w:rsidR="008464EA" w:rsidRPr="002E61E9" w:rsidRDefault="008464EA" w:rsidP="00C11C9B">
      <w:pPr>
        <w:rPr>
          <w:lang w:val="es-ES"/>
        </w:rPr>
      </w:pPr>
    </w:p>
    <w:p w14:paraId="1A0D2FA5" w14:textId="0B2167AB" w:rsidR="00187CF2" w:rsidRPr="008464EA" w:rsidRDefault="004C05AE" w:rsidP="007B5FD8">
      <w:pPr>
        <w:pStyle w:val="Ttulo3"/>
        <w:spacing w:before="0"/>
        <w:ind w:left="709"/>
        <w:rPr>
          <w:rFonts w:ascii="Verdana" w:hAnsi="Verdana" w:cs="Arial"/>
          <w:b/>
          <w:bCs/>
          <w:color w:val="000000" w:themeColor="text1"/>
          <w:sz w:val="20"/>
          <w:szCs w:val="20"/>
          <w:lang w:val="es-ES"/>
        </w:rPr>
      </w:pPr>
      <w:bookmarkStart w:id="70" w:name="_Toc125037461"/>
      <w:r w:rsidRPr="008464EA">
        <w:rPr>
          <w:rFonts w:ascii="Verdana" w:hAnsi="Verdana" w:cs="Arial"/>
          <w:b/>
          <w:bCs/>
          <w:color w:val="000000" w:themeColor="text1"/>
          <w:sz w:val="20"/>
          <w:szCs w:val="20"/>
          <w:lang w:val="es-ES"/>
        </w:rPr>
        <w:t>B</w:t>
      </w:r>
      <w:r w:rsidR="00187CF2" w:rsidRPr="008464EA">
        <w:rPr>
          <w:rFonts w:ascii="Verdana" w:hAnsi="Verdana" w:cs="Arial"/>
          <w:b/>
          <w:bCs/>
          <w:color w:val="000000" w:themeColor="text1"/>
          <w:sz w:val="20"/>
          <w:szCs w:val="20"/>
          <w:lang w:val="es-ES"/>
        </w:rPr>
        <w:t>.2. Consideraciones de la Corte</w:t>
      </w:r>
      <w:bookmarkEnd w:id="70"/>
    </w:p>
    <w:p w14:paraId="06E998FF" w14:textId="77777777" w:rsidR="00187CF2" w:rsidRPr="00685917" w:rsidRDefault="00187CF2" w:rsidP="009E4B73">
      <w:pPr>
        <w:autoSpaceDE w:val="0"/>
        <w:autoSpaceDN w:val="0"/>
        <w:adjustRightInd w:val="0"/>
        <w:jc w:val="both"/>
        <w:rPr>
          <w:rFonts w:ascii="Verdana" w:hAnsi="Verdana"/>
          <w:b/>
          <w:lang w:val="es-ES"/>
        </w:rPr>
      </w:pPr>
    </w:p>
    <w:p w14:paraId="7F3C6334" w14:textId="0152F9AF" w:rsidR="007133ED" w:rsidRPr="00685917" w:rsidRDefault="00FD1ADC" w:rsidP="005E070D">
      <w:pPr>
        <w:pStyle w:val="Prrafodelista"/>
      </w:pPr>
      <w:r w:rsidRPr="00685917">
        <w:t>La Convención Americana establece que la Corte sólo podr</w:t>
      </w:r>
      <w:r w:rsidR="002F5A19" w:rsidRPr="00685917">
        <w:t>á</w:t>
      </w:r>
      <w:r w:rsidRPr="00685917">
        <w:t xml:space="preserve"> ejercer su competencia contenciosa en los casos en los cuales se haya cumplido </w:t>
      </w:r>
      <w:r w:rsidR="00BD5184" w:rsidRPr="00685917">
        <w:t xml:space="preserve">previamente </w:t>
      </w:r>
      <w:r w:rsidRPr="00685917">
        <w:t>con los procedimientos previstos en los artículo</w:t>
      </w:r>
      <w:r w:rsidR="002F5A19" w:rsidRPr="00685917">
        <w:t>s</w:t>
      </w:r>
      <w:r w:rsidRPr="00685917">
        <w:t xml:space="preserve"> 4</w:t>
      </w:r>
      <w:r w:rsidR="007133ED" w:rsidRPr="00685917">
        <w:t>4</w:t>
      </w:r>
      <w:r w:rsidRPr="00685917">
        <w:t xml:space="preserve"> a 50 de</w:t>
      </w:r>
      <w:r w:rsidR="00680758" w:rsidRPr="00685917">
        <w:t>l Tratado</w:t>
      </w:r>
      <w:r w:rsidRPr="00685917">
        <w:t xml:space="preserve"> que hacen referencia a</w:t>
      </w:r>
      <w:r w:rsidR="003C161E" w:rsidRPr="00685917">
        <w:t xml:space="preserve">l estudio de </w:t>
      </w:r>
      <w:r w:rsidR="00BD5184" w:rsidRPr="00685917">
        <w:t>peticiones individuales</w:t>
      </w:r>
      <w:r w:rsidRPr="00685917">
        <w:t xml:space="preserve"> </w:t>
      </w:r>
      <w:r w:rsidR="003C161E" w:rsidRPr="00685917">
        <w:t>por parte de</w:t>
      </w:r>
      <w:r w:rsidRPr="00685917">
        <w:t xml:space="preserve"> la Comisión. </w:t>
      </w:r>
      <w:r w:rsidR="007133ED" w:rsidRPr="00685917">
        <w:t xml:space="preserve">El Estado cuestiona </w:t>
      </w:r>
      <w:r w:rsidR="003C161E" w:rsidRPr="00685917">
        <w:t xml:space="preserve">el ejercicio de </w:t>
      </w:r>
      <w:r w:rsidR="007133ED" w:rsidRPr="00685917">
        <w:t xml:space="preserve">la jurisdicción contenciosa de la Corte </w:t>
      </w:r>
      <w:r w:rsidR="003C161E" w:rsidRPr="00685917">
        <w:t xml:space="preserve">en el presente caso </w:t>
      </w:r>
      <w:r w:rsidR="007133ED" w:rsidRPr="00685917">
        <w:t xml:space="preserve">con base en el presunto incumplimiento de </w:t>
      </w:r>
      <w:r w:rsidR="00770273" w:rsidRPr="00685917">
        <w:t>las</w:t>
      </w:r>
      <w:r w:rsidR="003C161E" w:rsidRPr="00685917">
        <w:t xml:space="preserve"> norma</w:t>
      </w:r>
      <w:r w:rsidR="00770273" w:rsidRPr="00685917">
        <w:t>s que rigen la admisibilidad de las peticiones individuales, c</w:t>
      </w:r>
      <w:r w:rsidR="00366330" w:rsidRPr="00685917">
        <w:t xml:space="preserve">oncretamente, </w:t>
      </w:r>
      <w:r w:rsidR="00770273" w:rsidRPr="00685917">
        <w:t xml:space="preserve">aquellas sobre la </w:t>
      </w:r>
      <w:r w:rsidR="00963AB1" w:rsidRPr="00685917">
        <w:t xml:space="preserve">previa </w:t>
      </w:r>
      <w:r w:rsidR="00366330" w:rsidRPr="00685917">
        <w:t>interp</w:t>
      </w:r>
      <w:r w:rsidR="00963AB1" w:rsidRPr="00685917">
        <w:t xml:space="preserve">osición y </w:t>
      </w:r>
      <w:r w:rsidR="00366330" w:rsidRPr="00685917">
        <w:t>agota</w:t>
      </w:r>
      <w:r w:rsidR="00963AB1" w:rsidRPr="00685917">
        <w:t>miento</w:t>
      </w:r>
      <w:r w:rsidR="00366330" w:rsidRPr="00685917">
        <w:t xml:space="preserve"> </w:t>
      </w:r>
      <w:r w:rsidR="00963AB1" w:rsidRPr="00685917">
        <w:t xml:space="preserve">de </w:t>
      </w:r>
      <w:r w:rsidR="00366330" w:rsidRPr="00685917">
        <w:t>los recursos de la jurisdicción interna.</w:t>
      </w:r>
    </w:p>
    <w:p w14:paraId="5ED6F7A4" w14:textId="77777777" w:rsidR="00963AB1" w:rsidRPr="002E61E9" w:rsidRDefault="00963AB1" w:rsidP="00C11C9B">
      <w:pPr>
        <w:rPr>
          <w:lang w:val="es-ES"/>
        </w:rPr>
      </w:pPr>
    </w:p>
    <w:p w14:paraId="4A9F3020" w14:textId="05CFE32A" w:rsidR="00187CF2" w:rsidRPr="00685917" w:rsidRDefault="00366330" w:rsidP="005E070D">
      <w:pPr>
        <w:pStyle w:val="Prrafodelista"/>
      </w:pPr>
      <w:r w:rsidRPr="00685917">
        <w:t xml:space="preserve">Ahora bien, el artículo 46 de la Convención Americana </w:t>
      </w:r>
      <w:r w:rsidR="00963AB1" w:rsidRPr="00685917">
        <w:t>señala que el examen del agotamiento de los recur</w:t>
      </w:r>
      <w:r w:rsidR="00BD5184" w:rsidRPr="00685917">
        <w:t>s</w:t>
      </w:r>
      <w:r w:rsidR="00963AB1" w:rsidRPr="00685917">
        <w:t xml:space="preserve">os internos </w:t>
      </w:r>
      <w:r w:rsidR="00BD5184" w:rsidRPr="00685917">
        <w:t xml:space="preserve">como requisito de admisibilidad de peticiones </w:t>
      </w:r>
      <w:r w:rsidR="00963AB1" w:rsidRPr="00685917">
        <w:t xml:space="preserve">está sujeto a los principios del Derecho Internacional generalmente reconocidos. </w:t>
      </w:r>
      <w:r w:rsidRPr="00685917">
        <w:t>L</w:t>
      </w:r>
      <w:r w:rsidR="00BD5184" w:rsidRPr="00685917">
        <w:t xml:space="preserve">os principios que </w:t>
      </w:r>
      <w:r w:rsidR="00915901" w:rsidRPr="00685917">
        <w:t>rigen los procesos contenciosos internacionales</w:t>
      </w:r>
      <w:r w:rsidR="00BD5184" w:rsidRPr="00685917">
        <w:t xml:space="preserve"> y</w:t>
      </w:r>
      <w:r w:rsidR="00915901" w:rsidRPr="00685917">
        <w:t xml:space="preserve"> los precedentes establecidos por la </w:t>
      </w:r>
      <w:r w:rsidR="00187CF2" w:rsidRPr="00685917">
        <w:t xml:space="preserve">Corte </w:t>
      </w:r>
      <w:r w:rsidR="00915901" w:rsidRPr="00685917">
        <w:t>en su jurisprudencia</w:t>
      </w:r>
      <w:r w:rsidR="00F52D7B">
        <w:t xml:space="preserve"> </w:t>
      </w:r>
      <w:r w:rsidR="00915901" w:rsidRPr="00685917">
        <w:t xml:space="preserve">y por </w:t>
      </w:r>
      <w:r w:rsidR="00BD5184" w:rsidRPr="00685917">
        <w:t xml:space="preserve">la </w:t>
      </w:r>
      <w:r w:rsidR="00915901" w:rsidRPr="00685917">
        <w:t>Comisión en sus informes</w:t>
      </w:r>
      <w:r w:rsidR="00BD5184" w:rsidRPr="00685917">
        <w:t xml:space="preserve"> señalan </w:t>
      </w:r>
      <w:r w:rsidR="00915901" w:rsidRPr="00685917">
        <w:t>que las</w:t>
      </w:r>
      <w:r w:rsidR="00187CF2" w:rsidRPr="00685917">
        <w:t xml:space="preserve"> objeci</w:t>
      </w:r>
      <w:r w:rsidR="00915901" w:rsidRPr="00685917">
        <w:t>ones relativas a</w:t>
      </w:r>
      <w:r w:rsidR="00863E5D" w:rsidRPr="00685917">
        <w:t xml:space="preserve"> si se han agotado o no</w:t>
      </w:r>
      <w:r w:rsidR="00187CF2" w:rsidRPr="00685917">
        <w:t xml:space="preserve"> los recursos </w:t>
      </w:r>
      <w:r w:rsidR="00915901" w:rsidRPr="00685917">
        <w:t xml:space="preserve">internos </w:t>
      </w:r>
      <w:r w:rsidRPr="00685917">
        <w:t xml:space="preserve">como requisito </w:t>
      </w:r>
      <w:r w:rsidR="008B6ADA" w:rsidRPr="00685917">
        <w:t xml:space="preserve">previo al </w:t>
      </w:r>
      <w:r w:rsidRPr="00685917">
        <w:t xml:space="preserve">acceso a la protección internacional </w:t>
      </w:r>
      <w:r w:rsidR="00915901" w:rsidRPr="00685917">
        <w:t>sólo son oponibles</w:t>
      </w:r>
      <w:r w:rsidR="00863E5D" w:rsidRPr="00685917">
        <w:t xml:space="preserve"> por los Estados</w:t>
      </w:r>
      <w:r w:rsidR="00187CF2" w:rsidRPr="00685917">
        <w:t xml:space="preserve"> </w:t>
      </w:r>
      <w:r w:rsidR="008B6ADA" w:rsidRPr="00685917">
        <w:t xml:space="preserve">en </w:t>
      </w:r>
      <w:r w:rsidR="008B6ADA" w:rsidRPr="00685917">
        <w:lastRenderedPageBreak/>
        <w:t xml:space="preserve">el </w:t>
      </w:r>
      <w:r w:rsidR="00187CF2" w:rsidRPr="00685917">
        <w:t xml:space="preserve">momento procesal oportuno, </w:t>
      </w:r>
      <w:r w:rsidR="008B6ADA" w:rsidRPr="00685917">
        <w:t>en este caso</w:t>
      </w:r>
      <w:r w:rsidR="00187CF2" w:rsidRPr="00685917">
        <w:t>, durante el procedimiento de admisibilidad ante la Comisión</w:t>
      </w:r>
      <w:r w:rsidR="00F52D7B" w:rsidRPr="001B6B0B">
        <w:rPr>
          <w:vertAlign w:val="superscript"/>
        </w:rPr>
        <w:footnoteReference w:id="13"/>
      </w:r>
      <w:r w:rsidR="00187CF2" w:rsidRPr="00685917">
        <w:t>.</w:t>
      </w:r>
    </w:p>
    <w:p w14:paraId="58060C06" w14:textId="77777777" w:rsidR="00187CF2" w:rsidRPr="002E61E9" w:rsidRDefault="00187CF2" w:rsidP="00C11C9B">
      <w:pPr>
        <w:rPr>
          <w:lang w:val="es-ES"/>
        </w:rPr>
      </w:pPr>
    </w:p>
    <w:p w14:paraId="00952417" w14:textId="1DC6AE63" w:rsidR="00187CF2" w:rsidRPr="00AE10AA" w:rsidRDefault="00AA3974" w:rsidP="005E070D">
      <w:pPr>
        <w:pStyle w:val="Prrafodelista"/>
      </w:pPr>
      <w:r w:rsidRPr="00AE10AA">
        <w:t>Según surge de las actuaciones d</w:t>
      </w:r>
      <w:r w:rsidR="00187CF2" w:rsidRPr="00AE10AA">
        <w:t>el presente caso</w:t>
      </w:r>
      <w:r w:rsidRPr="00AE10AA">
        <w:t>,</w:t>
      </w:r>
      <w:r w:rsidR="00187CF2" w:rsidRPr="00AE10AA">
        <w:t xml:space="preserve"> la </w:t>
      </w:r>
      <w:r w:rsidR="008B6ADA" w:rsidRPr="00AE10AA">
        <w:t>P</w:t>
      </w:r>
      <w:r w:rsidR="00187CF2" w:rsidRPr="00AE10AA">
        <w:t xml:space="preserve">etición </w:t>
      </w:r>
      <w:r w:rsidR="006F17B8" w:rsidRPr="00AE10AA">
        <w:t>N</w:t>
      </w:r>
      <w:r w:rsidR="00DF777A">
        <w:t>o.</w:t>
      </w:r>
      <w:r w:rsidR="006F17B8" w:rsidRPr="00AE10AA">
        <w:t xml:space="preserve"> </w:t>
      </w:r>
      <w:r w:rsidR="00187CF2" w:rsidRPr="00AE10AA">
        <w:t>616</w:t>
      </w:r>
      <w:r w:rsidR="008B6ADA" w:rsidRPr="00AE10AA">
        <w:t>/</w:t>
      </w:r>
      <w:r w:rsidR="00187CF2" w:rsidRPr="00AE10AA">
        <w:t xml:space="preserve">06 </w:t>
      </w:r>
      <w:r w:rsidR="008B6ADA" w:rsidRPr="00AE10AA">
        <w:t xml:space="preserve">sobre </w:t>
      </w:r>
      <w:r w:rsidR="00187CF2" w:rsidRPr="00AE10AA">
        <w:t>l</w:t>
      </w:r>
      <w:r w:rsidR="008B6ADA" w:rsidRPr="00AE10AA">
        <w:t>as presuntas</w:t>
      </w:r>
      <w:r w:rsidR="00187CF2" w:rsidRPr="00AE10AA">
        <w:t xml:space="preserve"> violaci</w:t>
      </w:r>
      <w:r w:rsidR="00770273" w:rsidRPr="00AE10AA">
        <w:t>ones a la Convención Americana</w:t>
      </w:r>
      <w:r w:rsidR="00187CF2" w:rsidRPr="00AE10AA">
        <w:t xml:space="preserve"> </w:t>
      </w:r>
      <w:r w:rsidR="008B6ADA" w:rsidRPr="00AE10AA">
        <w:t xml:space="preserve">perpetradas contra </w:t>
      </w:r>
      <w:r w:rsidR="00187CF2" w:rsidRPr="00AE10AA">
        <w:t xml:space="preserve">Juan Carlos Flores Bedregal y su familia fue declarada admisible mediante el Informe de </w:t>
      </w:r>
      <w:r w:rsidR="00504508" w:rsidRPr="00AE10AA">
        <w:t>A</w:t>
      </w:r>
      <w:r w:rsidR="00187CF2" w:rsidRPr="00AE10AA">
        <w:t xml:space="preserve">dmisibilidad </w:t>
      </w:r>
      <w:r w:rsidR="008B6ADA" w:rsidRPr="00AE10AA">
        <w:t>No</w:t>
      </w:r>
      <w:r w:rsidR="00DF777A">
        <w:t>.</w:t>
      </w:r>
      <w:r w:rsidR="008B6ADA" w:rsidRPr="00AE10AA">
        <w:t xml:space="preserve"> 65/09 </w:t>
      </w:r>
      <w:r w:rsidR="00187CF2" w:rsidRPr="00AE10AA">
        <w:t>de</w:t>
      </w:r>
      <w:r w:rsidR="00E52EF3" w:rsidRPr="00AE10AA">
        <w:t xml:space="preserve"> </w:t>
      </w:r>
      <w:r w:rsidR="00187CF2" w:rsidRPr="00AE10AA">
        <w:t>4 de agosto de 2009</w:t>
      </w:r>
      <w:r w:rsidR="00E52EF3" w:rsidRPr="00AE10AA">
        <w:t>,</w:t>
      </w:r>
      <w:r w:rsidR="00187CF2" w:rsidRPr="00AE10AA">
        <w:t xml:space="preserve"> transmitido al Estado el 14 de agosto </w:t>
      </w:r>
      <w:r w:rsidR="00E52EF3" w:rsidRPr="00AE10AA">
        <w:t>de 2009</w:t>
      </w:r>
      <w:r w:rsidRPr="00AE10AA">
        <w:t>.</w:t>
      </w:r>
      <w:r w:rsidR="00157EF7" w:rsidRPr="00AE10AA">
        <w:t xml:space="preserve"> </w:t>
      </w:r>
      <w:r w:rsidRPr="00AE10AA">
        <w:t xml:space="preserve">Sin embargo, el </w:t>
      </w:r>
      <w:r w:rsidR="00187CF2" w:rsidRPr="00AE10AA">
        <w:t xml:space="preserve">Estado </w:t>
      </w:r>
      <w:r w:rsidRPr="00AE10AA">
        <w:t xml:space="preserve">sólo </w:t>
      </w:r>
      <w:r w:rsidR="006B1D53" w:rsidRPr="00AE10AA">
        <w:t xml:space="preserve">alegó </w:t>
      </w:r>
      <w:r w:rsidR="00187CF2" w:rsidRPr="00AE10AA">
        <w:t xml:space="preserve">la falta de agotamiento de </w:t>
      </w:r>
      <w:r w:rsidR="00E52EF3" w:rsidRPr="00AE10AA">
        <w:t xml:space="preserve">los </w:t>
      </w:r>
      <w:r w:rsidR="00187CF2" w:rsidRPr="00AE10AA">
        <w:t>recursos</w:t>
      </w:r>
      <w:r w:rsidR="00E52EF3" w:rsidRPr="00AE10AA">
        <w:t xml:space="preserve"> internos</w:t>
      </w:r>
      <w:r w:rsidR="00187CF2" w:rsidRPr="00AE10AA">
        <w:t xml:space="preserve"> con relación a las reparaciones materiales</w:t>
      </w:r>
      <w:r w:rsidR="00504508" w:rsidRPr="00AE10AA">
        <w:t>,</w:t>
      </w:r>
      <w:r w:rsidR="00187CF2" w:rsidRPr="00AE10AA">
        <w:t xml:space="preserve"> mediante el escrito de “observaciones adicionales”</w:t>
      </w:r>
      <w:r w:rsidR="00157EF7" w:rsidRPr="00AE10AA">
        <w:t xml:space="preserve"> </w:t>
      </w:r>
      <w:r w:rsidR="00187CF2" w:rsidRPr="00AE10AA">
        <w:t>presentado</w:t>
      </w:r>
      <w:r w:rsidRPr="00AE10AA">
        <w:t xml:space="preserve"> </w:t>
      </w:r>
      <w:r w:rsidR="00187CF2" w:rsidRPr="00AE10AA">
        <w:t xml:space="preserve">el 19 de </w:t>
      </w:r>
      <w:r w:rsidR="00FE16C6" w:rsidRPr="00AE10AA">
        <w:t>enero</w:t>
      </w:r>
      <w:r w:rsidR="00187CF2" w:rsidRPr="00AE10AA">
        <w:t xml:space="preserve"> de 2011</w:t>
      </w:r>
      <w:r w:rsidR="00E52EF3" w:rsidRPr="00AE10AA">
        <w:t xml:space="preserve">, vale decir, casi dos años después del pronunciamiento </w:t>
      </w:r>
      <w:r w:rsidR="003A5DDA" w:rsidRPr="00AE10AA">
        <w:t>sobre</w:t>
      </w:r>
      <w:r w:rsidR="00E52EF3" w:rsidRPr="00AE10AA">
        <w:t xml:space="preserve"> </w:t>
      </w:r>
      <w:r w:rsidR="003A5DDA" w:rsidRPr="00AE10AA">
        <w:t xml:space="preserve">la </w:t>
      </w:r>
      <w:r w:rsidR="00E52EF3" w:rsidRPr="00AE10AA">
        <w:t xml:space="preserve">admisibilidad </w:t>
      </w:r>
      <w:r w:rsidR="003A5DDA" w:rsidRPr="00AE10AA">
        <w:t>de</w:t>
      </w:r>
      <w:r w:rsidR="00E52EF3" w:rsidRPr="00AE10AA">
        <w:t xml:space="preserve"> la </w:t>
      </w:r>
      <w:r w:rsidRPr="00AE10AA">
        <w:t>P</w:t>
      </w:r>
      <w:r w:rsidR="00E52EF3" w:rsidRPr="00AE10AA">
        <w:t>etición N</w:t>
      </w:r>
      <w:r w:rsidR="00DF777A">
        <w:t>o.</w:t>
      </w:r>
      <w:r w:rsidR="00E52EF3" w:rsidRPr="00AE10AA">
        <w:t xml:space="preserve"> 616</w:t>
      </w:r>
      <w:r w:rsidRPr="00AE10AA">
        <w:t>/</w:t>
      </w:r>
      <w:r w:rsidR="00E52EF3" w:rsidRPr="00AE10AA">
        <w:t>06 por parte de la Comisión</w:t>
      </w:r>
      <w:r w:rsidRPr="00AE10AA">
        <w:t>.</w:t>
      </w:r>
      <w:r w:rsidR="00157EF7" w:rsidRPr="00AE10AA">
        <w:t xml:space="preserve"> </w:t>
      </w:r>
    </w:p>
    <w:p w14:paraId="3341983B" w14:textId="77777777" w:rsidR="00E0476F" w:rsidRPr="002E61E9" w:rsidRDefault="00E0476F" w:rsidP="00C11C9B">
      <w:pPr>
        <w:rPr>
          <w:lang w:val="es-ES"/>
        </w:rPr>
      </w:pPr>
    </w:p>
    <w:p w14:paraId="3F27953B" w14:textId="23B17B23" w:rsidR="00187CF2" w:rsidRDefault="00E0476F" w:rsidP="005E070D">
      <w:pPr>
        <w:pStyle w:val="Prrafodelista"/>
      </w:pPr>
      <w:r w:rsidRPr="00685917">
        <w:t xml:space="preserve">Los alegatos destinados a cuestionar la competencia de la Comisión para examinar una petición sobre la base del </w:t>
      </w:r>
      <w:r w:rsidR="003A5DDA" w:rsidRPr="00E16922">
        <w:t xml:space="preserve">incumplimiento con el </w:t>
      </w:r>
      <w:r w:rsidRPr="00E16922">
        <w:t xml:space="preserve">requisito del agotamiento de los recursos internos previsto en el artículo 46 de la Convención Americana deben ser presentados en </w:t>
      </w:r>
      <w:r w:rsidR="002D760D" w:rsidRPr="00E16922">
        <w:t xml:space="preserve">el procedimiento </w:t>
      </w:r>
      <w:r w:rsidRPr="00E16922">
        <w:t>de admisibilidad</w:t>
      </w:r>
      <w:r w:rsidR="00DB6A24" w:rsidRPr="00E16922">
        <w:t xml:space="preserve"> ante la Comisión</w:t>
      </w:r>
      <w:r w:rsidR="00EF5E03" w:rsidRPr="00E16922">
        <w:rPr>
          <w:vertAlign w:val="superscript"/>
        </w:rPr>
        <w:footnoteReference w:id="14"/>
      </w:r>
      <w:r w:rsidRPr="00E16922">
        <w:t>.</w:t>
      </w:r>
      <w:r w:rsidRPr="00685917">
        <w:t xml:space="preserve"> </w:t>
      </w:r>
      <w:r w:rsidR="00EA5364" w:rsidRPr="00685917">
        <w:t xml:space="preserve">Cualquier alegato posterior referido a la falta de agotamiento de </w:t>
      </w:r>
      <w:r w:rsidR="003A5DDA" w:rsidRPr="00685917">
        <w:t xml:space="preserve">los </w:t>
      </w:r>
      <w:r w:rsidR="00EA5364" w:rsidRPr="00685917">
        <w:t xml:space="preserve">recursos internos debe ser considerado como extemporáneo. </w:t>
      </w:r>
      <w:r w:rsidRPr="00685917">
        <w:t xml:space="preserve">Dado </w:t>
      </w:r>
      <w:r w:rsidR="002A02B7" w:rsidRPr="00685917">
        <w:t>que el previo agotamiento de los recursos de la jurisdicción interna</w:t>
      </w:r>
      <w:r w:rsidRPr="00685917">
        <w:t xml:space="preserve"> </w:t>
      </w:r>
      <w:r w:rsidR="002A02B7" w:rsidRPr="00685917">
        <w:t xml:space="preserve">es considerado como </w:t>
      </w:r>
      <w:r w:rsidRPr="00685917">
        <w:t xml:space="preserve">un requisito </w:t>
      </w:r>
      <w:r w:rsidR="002A02B7" w:rsidRPr="00685917">
        <w:t xml:space="preserve">de admisibilidad </w:t>
      </w:r>
      <w:r w:rsidRPr="00685917">
        <w:t>renunciable por el Estado</w:t>
      </w:r>
      <w:r w:rsidR="002A02B7" w:rsidRPr="00685917">
        <w:t xml:space="preserve">, </w:t>
      </w:r>
      <w:r w:rsidR="00A31603" w:rsidRPr="00685917">
        <w:t xml:space="preserve">el </w:t>
      </w:r>
      <w:r w:rsidR="002A02B7" w:rsidRPr="00685917">
        <w:t xml:space="preserve">silencio </w:t>
      </w:r>
      <w:r w:rsidR="00EA5364" w:rsidRPr="00685917">
        <w:t xml:space="preserve">o </w:t>
      </w:r>
      <w:r w:rsidR="00A31603" w:rsidRPr="00685917">
        <w:t>las</w:t>
      </w:r>
      <w:r w:rsidR="002A02B7" w:rsidRPr="00685917">
        <w:t xml:space="preserve"> omisiones </w:t>
      </w:r>
      <w:r w:rsidR="00A31603" w:rsidRPr="00685917">
        <w:t xml:space="preserve">de éste </w:t>
      </w:r>
      <w:r w:rsidR="002A02B7" w:rsidRPr="00685917">
        <w:t xml:space="preserve">durante el procedimiento de admisibilidad </w:t>
      </w:r>
      <w:r w:rsidR="00EA5364" w:rsidRPr="00685917">
        <w:t>deben ser</w:t>
      </w:r>
      <w:r w:rsidR="002A02B7" w:rsidRPr="00685917">
        <w:t xml:space="preserve"> interpretado</w:t>
      </w:r>
      <w:r w:rsidR="00EA5364" w:rsidRPr="00685917">
        <w:t>s como una aceptación de la competencia de la Comisión para examinar la petición. Por lo tanto</w:t>
      </w:r>
      <w:r w:rsidR="00C17B68" w:rsidRPr="00685917">
        <w:t xml:space="preserve">, </w:t>
      </w:r>
      <w:r w:rsidR="00EA5364" w:rsidRPr="00685917">
        <w:t xml:space="preserve">la presentación extemporánea </w:t>
      </w:r>
      <w:r w:rsidR="001F72D6" w:rsidRPr="00685917">
        <w:t>de alegatos sobre falta de agotamiento de los recursos internos ante la Comisión no puede</w:t>
      </w:r>
      <w:r w:rsidR="00D040DE" w:rsidRPr="00685917">
        <w:t xml:space="preserve"> servir de base para cuestionar el cumplimiento </w:t>
      </w:r>
      <w:r w:rsidR="0062061D">
        <w:t>de</w:t>
      </w:r>
      <w:r w:rsidR="00D040DE" w:rsidRPr="00685917">
        <w:t xml:space="preserve"> los requisitos establecidos en el artículo 46 de la Convención y –consecuentemente— la competencia de la Corte para examinar el caso, una vez que es remitido a su jurisdicción. </w:t>
      </w:r>
      <w:r w:rsidR="002A02B7" w:rsidRPr="00685917">
        <w:t xml:space="preserve">   </w:t>
      </w:r>
    </w:p>
    <w:p w14:paraId="08D99F4A" w14:textId="77777777" w:rsidR="009E4B73" w:rsidRPr="002E61E9" w:rsidRDefault="009E4B73" w:rsidP="00C11C9B">
      <w:pPr>
        <w:rPr>
          <w:lang w:val="es-ES"/>
        </w:rPr>
      </w:pPr>
    </w:p>
    <w:p w14:paraId="59E76F2D" w14:textId="6518FA24" w:rsidR="00A610B9" w:rsidRDefault="004719C7" w:rsidP="005E070D">
      <w:pPr>
        <w:pStyle w:val="Prrafodelista"/>
      </w:pPr>
      <w:r w:rsidRPr="00685917">
        <w:t xml:space="preserve">En vista de lo anterior, </w:t>
      </w:r>
      <w:r w:rsidR="00E52EF3" w:rsidRPr="00685917">
        <w:t xml:space="preserve">la Corte concluye que </w:t>
      </w:r>
      <w:r w:rsidRPr="00685917">
        <w:t xml:space="preserve">la excepción preliminar </w:t>
      </w:r>
      <w:r w:rsidR="00AA3974" w:rsidRPr="00685917">
        <w:t>presentada</w:t>
      </w:r>
      <w:r w:rsidR="00E52EF3" w:rsidRPr="00685917">
        <w:t xml:space="preserve"> </w:t>
      </w:r>
      <w:r w:rsidR="00A31603" w:rsidRPr="00685917">
        <w:t xml:space="preserve">por el </w:t>
      </w:r>
      <w:r w:rsidR="00E52EF3" w:rsidRPr="00685917">
        <w:t>Estado</w:t>
      </w:r>
      <w:r w:rsidR="00A31603" w:rsidRPr="00685917">
        <w:t xml:space="preserve"> </w:t>
      </w:r>
      <w:r w:rsidR="00E52EF3" w:rsidRPr="00685917">
        <w:t>sobre</w:t>
      </w:r>
      <w:r w:rsidR="00ED14C9" w:rsidRPr="00685917">
        <w:t xml:space="preserve"> </w:t>
      </w:r>
      <w:r w:rsidR="00A31603" w:rsidRPr="00685917">
        <w:t xml:space="preserve">la </w:t>
      </w:r>
      <w:r w:rsidR="00ED14C9" w:rsidRPr="00685917">
        <w:t xml:space="preserve">falta de agotamiento de los recursos internos </w:t>
      </w:r>
      <w:r w:rsidR="00E52EF3" w:rsidRPr="00685917">
        <w:t xml:space="preserve">en el presente caso </w:t>
      </w:r>
      <w:r w:rsidR="00A31603" w:rsidRPr="00685917">
        <w:t>resulta</w:t>
      </w:r>
      <w:r w:rsidRPr="00685917">
        <w:t xml:space="preserve"> extemporánea, razón por la cual </w:t>
      </w:r>
      <w:r w:rsidR="00E52EF3" w:rsidRPr="00685917">
        <w:t>debe ser</w:t>
      </w:r>
      <w:r w:rsidRPr="00685917">
        <w:t xml:space="preserve"> desestima</w:t>
      </w:r>
      <w:r w:rsidR="00E52EF3" w:rsidRPr="00685917">
        <w:t>da</w:t>
      </w:r>
      <w:r w:rsidRPr="00685917">
        <w:t>.</w:t>
      </w:r>
    </w:p>
    <w:p w14:paraId="69AE97DC" w14:textId="77777777" w:rsidR="007E6E68" w:rsidRPr="002E61E9" w:rsidRDefault="007E6E68" w:rsidP="00C11C9B">
      <w:pPr>
        <w:rPr>
          <w:lang w:val="es-ES"/>
        </w:rPr>
      </w:pPr>
    </w:p>
    <w:p w14:paraId="7BCB8535" w14:textId="2C53F481" w:rsidR="007E6E68" w:rsidRDefault="007E6E68" w:rsidP="007E6E68">
      <w:pPr>
        <w:pStyle w:val="Ttulo1"/>
        <w:spacing w:before="0"/>
        <w:jc w:val="center"/>
        <w:rPr>
          <w:rFonts w:ascii="Verdana" w:hAnsi="Verdana"/>
          <w:b/>
          <w:bCs/>
          <w:color w:val="000000" w:themeColor="text1"/>
          <w:sz w:val="20"/>
          <w:szCs w:val="20"/>
          <w:lang w:val="es-ES"/>
        </w:rPr>
      </w:pPr>
      <w:bookmarkStart w:id="71" w:name="_Toc125037462"/>
      <w:bookmarkStart w:id="72" w:name="_Toc470105096"/>
      <w:bookmarkEnd w:id="42"/>
      <w:r>
        <w:rPr>
          <w:rFonts w:ascii="Verdana" w:hAnsi="Verdana"/>
          <w:b/>
          <w:bCs/>
          <w:color w:val="000000" w:themeColor="text1"/>
          <w:sz w:val="20"/>
          <w:szCs w:val="20"/>
          <w:lang w:val="es-ES"/>
        </w:rPr>
        <w:t>V</w:t>
      </w:r>
      <w:bookmarkEnd w:id="71"/>
    </w:p>
    <w:p w14:paraId="5CADABA1" w14:textId="503DB0F2" w:rsidR="001B6B0B" w:rsidRPr="001B6B0B" w:rsidRDefault="00296C50" w:rsidP="007E6E68">
      <w:pPr>
        <w:pStyle w:val="Ttulo1"/>
        <w:spacing w:before="0"/>
        <w:jc w:val="center"/>
        <w:rPr>
          <w:rFonts w:ascii="Verdana" w:hAnsi="Verdana"/>
          <w:b/>
          <w:bCs/>
          <w:color w:val="000000" w:themeColor="text1"/>
          <w:sz w:val="20"/>
          <w:szCs w:val="20"/>
          <w:lang w:val="es-ES"/>
        </w:rPr>
      </w:pPr>
      <w:bookmarkStart w:id="73" w:name="_Toc124157787"/>
      <w:bookmarkStart w:id="74" w:name="_Toc125037463"/>
      <w:r w:rsidRPr="001B6B0B">
        <w:rPr>
          <w:rFonts w:ascii="Verdana" w:hAnsi="Verdana"/>
          <w:b/>
          <w:bCs/>
          <w:color w:val="000000" w:themeColor="text1"/>
          <w:sz w:val="20"/>
          <w:szCs w:val="20"/>
          <w:lang w:val="es-ES"/>
        </w:rPr>
        <w:t>PRUEBA</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72"/>
      <w:bookmarkEnd w:id="73"/>
      <w:bookmarkEnd w:id="74"/>
    </w:p>
    <w:p w14:paraId="1FC28C85" w14:textId="77777777" w:rsidR="009075C5" w:rsidRDefault="009075C5" w:rsidP="007E6E68">
      <w:pPr>
        <w:jc w:val="both"/>
        <w:rPr>
          <w:rFonts w:ascii="Verdana" w:hAnsi="Verdana"/>
          <w:lang w:val="es-ES"/>
        </w:rPr>
      </w:pPr>
      <w:bookmarkStart w:id="75" w:name="_Toc460237946"/>
      <w:bookmarkStart w:id="76" w:name="_Toc460238243"/>
      <w:bookmarkStart w:id="77" w:name="_Toc470105097"/>
      <w:bookmarkStart w:id="78" w:name="_Toc460237947"/>
      <w:bookmarkStart w:id="79" w:name="_Toc460238244"/>
      <w:bookmarkStart w:id="80" w:name="_Toc460237948"/>
      <w:bookmarkStart w:id="81" w:name="_Toc460238245"/>
    </w:p>
    <w:p w14:paraId="10CA1D9A" w14:textId="0799A89E" w:rsidR="009075C5" w:rsidRPr="001B6B0B" w:rsidRDefault="00903995" w:rsidP="007B5FD8">
      <w:pPr>
        <w:pStyle w:val="Ttulo2"/>
        <w:numPr>
          <w:ilvl w:val="0"/>
          <w:numId w:val="37"/>
        </w:numPr>
        <w:spacing w:before="0"/>
        <w:ind w:left="567"/>
        <w:rPr>
          <w:rFonts w:ascii="Verdana" w:hAnsi="Verdana" w:cs="Arial"/>
          <w:b/>
          <w:bCs/>
          <w:color w:val="000000" w:themeColor="text1"/>
          <w:sz w:val="20"/>
          <w:szCs w:val="20"/>
          <w:lang w:val="es-ES"/>
        </w:rPr>
      </w:pPr>
      <w:bookmarkStart w:id="82" w:name="_Toc125037464"/>
      <w:r w:rsidRPr="001B6B0B">
        <w:rPr>
          <w:rFonts w:ascii="Verdana" w:hAnsi="Verdana" w:cs="Arial"/>
          <w:b/>
          <w:bCs/>
          <w:color w:val="000000" w:themeColor="text1"/>
          <w:sz w:val="20"/>
          <w:szCs w:val="20"/>
          <w:lang w:val="es-ES"/>
        </w:rPr>
        <w:t>Admisibilidad de la p</w:t>
      </w:r>
      <w:r w:rsidR="00296C50" w:rsidRPr="001B6B0B">
        <w:rPr>
          <w:rFonts w:ascii="Verdana" w:hAnsi="Verdana" w:cs="Arial"/>
          <w:b/>
          <w:bCs/>
          <w:color w:val="000000" w:themeColor="text1"/>
          <w:sz w:val="20"/>
          <w:szCs w:val="20"/>
          <w:lang w:val="es-ES"/>
        </w:rPr>
        <w:t>rueba documental</w:t>
      </w:r>
      <w:bookmarkEnd w:id="75"/>
      <w:bookmarkEnd w:id="76"/>
      <w:bookmarkEnd w:id="77"/>
      <w:bookmarkEnd w:id="82"/>
    </w:p>
    <w:p w14:paraId="09BC13D9" w14:textId="77777777" w:rsidR="009075C5" w:rsidRPr="009075C5" w:rsidRDefault="009075C5" w:rsidP="009075C5">
      <w:pPr>
        <w:rPr>
          <w:lang w:val="es-ES"/>
        </w:rPr>
      </w:pPr>
    </w:p>
    <w:p w14:paraId="164063EB" w14:textId="03ACBEA8" w:rsidR="00FE6E5A" w:rsidRPr="00685917" w:rsidRDefault="00FE6E5A" w:rsidP="005E070D">
      <w:pPr>
        <w:pStyle w:val="Prrafodelista"/>
      </w:pPr>
      <w:r w:rsidRPr="009075C5">
        <w:t>E</w:t>
      </w:r>
      <w:r w:rsidR="00E56AFF" w:rsidRPr="009075C5">
        <w:t>ste</w:t>
      </w:r>
      <w:r w:rsidRPr="009075C5">
        <w:t xml:space="preserve"> Tribunal recibió diversos documentos presentados como prueba por la Comisión y las partes, adjuntos a sus escritos principales. </w:t>
      </w:r>
      <w:r w:rsidR="00903995" w:rsidRPr="00685917">
        <w:t>En el presente caso, como en otros</w:t>
      </w:r>
      <w:r w:rsidR="00903995" w:rsidRPr="001B6B0B">
        <w:rPr>
          <w:vertAlign w:val="superscript"/>
        </w:rPr>
        <w:footnoteReference w:id="15"/>
      </w:r>
      <w:r w:rsidR="00903995" w:rsidRPr="00685917">
        <w:t xml:space="preserve">, este Tribunal admite el valor probatorio de aquellos documentos presentados por las partes y por la Comisión en la debida oportunidad procesal que no fueron controvertidos ni objetados, y cuya autenticidad no fue puesta en duda. </w:t>
      </w:r>
      <w:bookmarkEnd w:id="78"/>
      <w:bookmarkEnd w:id="79"/>
    </w:p>
    <w:p w14:paraId="139A1866" w14:textId="77777777" w:rsidR="00C7715E" w:rsidRPr="002E61E9" w:rsidRDefault="00C7715E" w:rsidP="00C11C9B">
      <w:pPr>
        <w:rPr>
          <w:lang w:val="es-ES"/>
        </w:rPr>
      </w:pPr>
    </w:p>
    <w:p w14:paraId="1487A7E9" w14:textId="4B795D52" w:rsidR="005F1A5B" w:rsidRPr="00A64289" w:rsidRDefault="00FC5E1B" w:rsidP="005E070D">
      <w:pPr>
        <w:pStyle w:val="Prrafodelista"/>
      </w:pPr>
      <w:r w:rsidRPr="009075C5">
        <w:t>E</w:t>
      </w:r>
      <w:r w:rsidR="004719C7" w:rsidRPr="009075C5">
        <w:t xml:space="preserve">l </w:t>
      </w:r>
      <w:r w:rsidR="004719C7" w:rsidRPr="001B6B0B">
        <w:rPr>
          <w:b/>
          <w:bCs/>
          <w:i/>
          <w:iCs/>
        </w:rPr>
        <w:t xml:space="preserve">representante </w:t>
      </w:r>
      <w:r w:rsidR="00C454BA" w:rsidRPr="009075C5">
        <w:t xml:space="preserve">en sus observaciones adujo </w:t>
      </w:r>
      <w:r w:rsidR="00066622" w:rsidRPr="009075C5">
        <w:t xml:space="preserve">que algunos </w:t>
      </w:r>
      <w:r w:rsidR="00C454BA" w:rsidRPr="009075C5">
        <w:t xml:space="preserve">de los anexos presentados por el Estado con sus alegatos finales escritos </w:t>
      </w:r>
      <w:r w:rsidR="00066622" w:rsidRPr="009075C5">
        <w:t>son nuevos</w:t>
      </w:r>
      <w:r w:rsidR="00D57AF6" w:rsidRPr="009075C5">
        <w:t>,</w:t>
      </w:r>
      <w:r w:rsidR="00066622" w:rsidRPr="009075C5">
        <w:t xml:space="preserve"> pero </w:t>
      </w:r>
      <w:r w:rsidR="00C454BA" w:rsidRPr="009075C5">
        <w:t xml:space="preserve">fueron </w:t>
      </w:r>
      <w:r w:rsidR="00066622" w:rsidRPr="009075C5">
        <w:t>presentados sin justificación y extemporáneamente</w:t>
      </w:r>
      <w:r w:rsidR="00E52EF3" w:rsidRPr="009075C5">
        <w:t>;</w:t>
      </w:r>
      <w:r w:rsidR="00066622" w:rsidRPr="009075C5">
        <w:t xml:space="preserve"> otros se encuentran </w:t>
      </w:r>
      <w:r w:rsidR="00E52EF3" w:rsidRPr="009075C5">
        <w:t xml:space="preserve">ya sea </w:t>
      </w:r>
      <w:r w:rsidR="00066622" w:rsidRPr="009075C5">
        <w:t>incompletos</w:t>
      </w:r>
      <w:r w:rsidR="00E52EF3" w:rsidRPr="009075C5">
        <w:t>,</w:t>
      </w:r>
      <w:r w:rsidR="000C573C" w:rsidRPr="009075C5">
        <w:t xml:space="preserve"> incoherentes</w:t>
      </w:r>
      <w:r w:rsidR="00513BD2" w:rsidRPr="009075C5">
        <w:t>, ilegibles</w:t>
      </w:r>
      <w:r w:rsidR="000C573C" w:rsidRPr="009075C5">
        <w:t xml:space="preserve"> </w:t>
      </w:r>
      <w:r w:rsidR="00E52EF3" w:rsidRPr="009075C5">
        <w:t>o</w:t>
      </w:r>
      <w:r w:rsidR="00513BD2" w:rsidRPr="009075C5">
        <w:t xml:space="preserve"> presentan irregularidades</w:t>
      </w:r>
      <w:r w:rsidR="00E52EF3" w:rsidRPr="009075C5">
        <w:t>;</w:t>
      </w:r>
      <w:r w:rsidR="00513BD2" w:rsidRPr="009075C5">
        <w:t xml:space="preserve"> </w:t>
      </w:r>
      <w:r w:rsidR="00C454BA" w:rsidRPr="009075C5">
        <w:t xml:space="preserve">mientras que </w:t>
      </w:r>
      <w:r w:rsidR="000C573C" w:rsidRPr="009075C5">
        <w:t>otros ya habían sido presentados por</w:t>
      </w:r>
      <w:r w:rsidR="00513BD2" w:rsidRPr="009075C5">
        <w:t xml:space="preserve"> </w:t>
      </w:r>
      <w:r w:rsidR="000C573C" w:rsidRPr="009075C5">
        <w:t xml:space="preserve">el Estado </w:t>
      </w:r>
      <w:r w:rsidR="00E52EF3" w:rsidRPr="009075C5">
        <w:t xml:space="preserve">anteriormente, </w:t>
      </w:r>
      <w:r w:rsidR="000C573C" w:rsidRPr="009075C5">
        <w:t>junto con la contestación</w:t>
      </w:r>
      <w:r w:rsidR="00E52EF3" w:rsidRPr="009075C5">
        <w:t>,</w:t>
      </w:r>
      <w:r w:rsidR="000C573C" w:rsidRPr="009075C5">
        <w:t xml:space="preserve"> por lo que resultan redundantes e innecesari</w:t>
      </w:r>
      <w:r w:rsidR="00513BD2" w:rsidRPr="009075C5">
        <w:t xml:space="preserve">os. </w:t>
      </w:r>
      <w:r w:rsidR="00B36124" w:rsidRPr="009075C5">
        <w:t>L</w:t>
      </w:r>
      <w:r w:rsidRPr="009075C5">
        <w:t xml:space="preserve">a </w:t>
      </w:r>
      <w:r w:rsidRPr="007C693A">
        <w:rPr>
          <w:b/>
          <w:bCs/>
          <w:i/>
          <w:iCs/>
        </w:rPr>
        <w:t>Corte</w:t>
      </w:r>
      <w:r w:rsidRPr="009075C5">
        <w:t xml:space="preserve"> </w:t>
      </w:r>
      <w:r w:rsidR="002D1832" w:rsidRPr="009075C5">
        <w:t>nota que</w:t>
      </w:r>
      <w:r w:rsidR="00C454BA" w:rsidRPr="009075C5">
        <w:t xml:space="preserve"> </w:t>
      </w:r>
      <w:r w:rsidR="00A52FF7" w:rsidRPr="009075C5">
        <w:t xml:space="preserve">el Estado </w:t>
      </w:r>
      <w:r w:rsidR="008B4A5E" w:rsidRPr="009075C5">
        <w:t xml:space="preserve">remitió </w:t>
      </w:r>
      <w:r w:rsidR="00C454BA" w:rsidRPr="009075C5">
        <w:t xml:space="preserve">con sus alegatos finales escritos </w:t>
      </w:r>
      <w:r w:rsidR="008B4A5E" w:rsidRPr="009075C5">
        <w:t xml:space="preserve">varios documentos </w:t>
      </w:r>
      <w:r w:rsidR="00E52EF3" w:rsidRPr="004A0914">
        <w:t xml:space="preserve">nuevos, </w:t>
      </w:r>
      <w:r w:rsidR="008B4A5E" w:rsidRPr="004A0914">
        <w:t>sin justificar su presentación</w:t>
      </w:r>
      <w:r w:rsidR="002309D5" w:rsidRPr="004A0914">
        <w:t xml:space="preserve"> </w:t>
      </w:r>
      <w:r w:rsidR="00C454BA" w:rsidRPr="004A0914">
        <w:t>de acuerdo con</w:t>
      </w:r>
      <w:r w:rsidR="002309D5" w:rsidRPr="004A0914">
        <w:t xml:space="preserve"> lo previsto en los artículos 57 y 58 del Reglamento. </w:t>
      </w:r>
      <w:r w:rsidR="001624E0" w:rsidRPr="004A0914">
        <w:t xml:space="preserve">Al respecto, </w:t>
      </w:r>
      <w:r w:rsidR="007C693A" w:rsidRPr="004A0914">
        <w:t>l</w:t>
      </w:r>
      <w:r w:rsidR="001624E0" w:rsidRPr="004A0914">
        <w:t xml:space="preserve">a Corte ha constatado </w:t>
      </w:r>
      <w:r w:rsidR="001624E0" w:rsidRPr="004A0914">
        <w:lastRenderedPageBreak/>
        <w:t xml:space="preserve">que los documentos contenidos en los anexos 6 y 8 fueron emitidos con posterioridad a la presentación de la contestación </w:t>
      </w:r>
      <w:r w:rsidR="001624E0" w:rsidRPr="00C47E3D">
        <w:t xml:space="preserve">el </w:t>
      </w:r>
      <w:r w:rsidR="0062061D" w:rsidRPr="00C47E3D">
        <w:t>13</w:t>
      </w:r>
      <w:r w:rsidR="001624E0" w:rsidRPr="00C47E3D">
        <w:t xml:space="preserve"> de </w:t>
      </w:r>
      <w:r w:rsidR="0062061D" w:rsidRPr="00C47E3D">
        <w:t>mayo</w:t>
      </w:r>
      <w:r w:rsidR="001624E0" w:rsidRPr="00C47E3D">
        <w:t xml:space="preserve"> de 20</w:t>
      </w:r>
      <w:r w:rsidR="0062061D" w:rsidRPr="00C47E3D">
        <w:t>19</w:t>
      </w:r>
      <w:r w:rsidR="001624E0" w:rsidRPr="00C47E3D">
        <w:t>. En razón</w:t>
      </w:r>
      <w:r w:rsidR="001624E0" w:rsidRPr="004A0914">
        <w:t xml:space="preserve"> de lo anterior, este Tribunal los admite conforme al artículo </w:t>
      </w:r>
      <w:r w:rsidR="00EA2FCA" w:rsidRPr="004A0914">
        <w:t xml:space="preserve">57 </w:t>
      </w:r>
      <w:r w:rsidR="001624E0" w:rsidRPr="004A0914">
        <w:t xml:space="preserve">del Reglamento de la Corte, en tanto </w:t>
      </w:r>
      <w:r w:rsidR="00EA2FCA" w:rsidRPr="004A0914">
        <w:t>se refieren a hechos ocurridos con posterioridad a la presentación del escrito de contestación</w:t>
      </w:r>
      <w:r w:rsidR="001624E0" w:rsidRPr="004A0914">
        <w:rPr>
          <w:vertAlign w:val="superscript"/>
        </w:rPr>
        <w:footnoteReference w:id="16"/>
      </w:r>
      <w:r w:rsidR="001624E0" w:rsidRPr="004A0914">
        <w:t>. En cuanto a los anexo</w:t>
      </w:r>
      <w:r w:rsidR="00CB305C" w:rsidRPr="004A0914">
        <w:t>s</w:t>
      </w:r>
      <w:r w:rsidR="001624E0" w:rsidRPr="004A0914">
        <w:t xml:space="preserve"> 3 y 11, </w:t>
      </w:r>
      <w:r w:rsidR="001624E0" w:rsidRPr="007B594B">
        <w:t xml:space="preserve">referentes a documentos relacionados a la Comisión de la Verdad, estos buscan responder aspectos señalados durante la audiencia pública, por lo que </w:t>
      </w:r>
      <w:r w:rsidR="00E52EF3" w:rsidRPr="007B594B">
        <w:t>deben ser</w:t>
      </w:r>
      <w:r w:rsidR="00CB305C" w:rsidRPr="007B594B">
        <w:t xml:space="preserve"> </w:t>
      </w:r>
      <w:r w:rsidR="001624E0" w:rsidRPr="007B594B">
        <w:t>incorpora</w:t>
      </w:r>
      <w:r w:rsidR="00E52EF3" w:rsidRPr="007B594B">
        <w:t>dos</w:t>
      </w:r>
      <w:r w:rsidR="001624E0" w:rsidRPr="007B594B">
        <w:t xml:space="preserve"> al expediente</w:t>
      </w:r>
      <w:r w:rsidR="001624E0" w:rsidRPr="007B594B">
        <w:rPr>
          <w:vertAlign w:val="superscript"/>
        </w:rPr>
        <w:footnoteReference w:id="17"/>
      </w:r>
      <w:r w:rsidR="001624E0" w:rsidRPr="007B594B">
        <w:t xml:space="preserve">. </w:t>
      </w:r>
      <w:r w:rsidR="00B6248A" w:rsidRPr="007B594B">
        <w:t>Además</w:t>
      </w:r>
      <w:r w:rsidR="00F769BE" w:rsidRPr="007B594B">
        <w:t>,</w:t>
      </w:r>
      <w:r w:rsidR="00C37B5F" w:rsidRPr="007B594B">
        <w:t xml:space="preserve"> </w:t>
      </w:r>
      <w:r w:rsidR="006C42E8" w:rsidRPr="007B594B">
        <w:t>el Estado presentó otro documento so</w:t>
      </w:r>
      <w:r w:rsidR="00FA5904" w:rsidRPr="007B594B">
        <w:t>bre el cual</w:t>
      </w:r>
      <w:r w:rsidR="006C42E8" w:rsidRPr="007B594B">
        <w:t xml:space="preserve">, como se indicó, no adujo justificación alguna y/o no se encuentra completo por lo que la Corte considera que </w:t>
      </w:r>
      <w:r w:rsidR="00FA5904" w:rsidRPr="007B594B">
        <w:t>es</w:t>
      </w:r>
      <w:r w:rsidR="006C42E8" w:rsidRPr="007B594B">
        <w:t xml:space="preserve"> inadmisible por haber sido presentado en forma extemporánea</w:t>
      </w:r>
      <w:r w:rsidR="00683DFA" w:rsidRPr="007B594B">
        <w:rPr>
          <w:vertAlign w:val="superscript"/>
        </w:rPr>
        <w:footnoteReference w:id="18"/>
      </w:r>
      <w:r w:rsidR="009100A8" w:rsidRPr="007B594B">
        <w:t>.</w:t>
      </w:r>
      <w:r w:rsidR="00CC6123" w:rsidRPr="007B594B">
        <w:t xml:space="preserve"> </w:t>
      </w:r>
      <w:r w:rsidR="000A1A94" w:rsidRPr="007B594B">
        <w:t xml:space="preserve">Por </w:t>
      </w:r>
      <w:r w:rsidR="00F769BE" w:rsidRPr="007B594B">
        <w:t>último</w:t>
      </w:r>
      <w:r w:rsidR="000A1A94" w:rsidRPr="007B594B">
        <w:t xml:space="preserve">, </w:t>
      </w:r>
      <w:r w:rsidR="00F769BE" w:rsidRPr="007B594B">
        <w:t xml:space="preserve">este Tribunal ha verificado que </w:t>
      </w:r>
      <w:r w:rsidR="00266CC2">
        <w:t xml:space="preserve">parte de </w:t>
      </w:r>
      <w:r w:rsidR="00F769BE" w:rsidRPr="007B594B">
        <w:t>la documentación</w:t>
      </w:r>
      <w:r w:rsidR="00F769BE" w:rsidRPr="007B594B">
        <w:rPr>
          <w:vertAlign w:val="superscript"/>
        </w:rPr>
        <w:footnoteReference w:id="19"/>
      </w:r>
      <w:r w:rsidR="00F769BE" w:rsidRPr="007B594B">
        <w:t xml:space="preserve"> aportada ya consta en el acervo probatorio del presente caso, </w:t>
      </w:r>
      <w:r w:rsidR="00F769BE" w:rsidRPr="00A64289">
        <w:t>por lo que se prescinde de la misma por estar ya incorporada</w:t>
      </w:r>
      <w:r w:rsidR="005F1A5B" w:rsidRPr="00A64289">
        <w:t>.</w:t>
      </w:r>
      <w:r w:rsidR="00284D32" w:rsidRPr="00A64289">
        <w:t xml:space="preserve"> </w:t>
      </w:r>
    </w:p>
    <w:p w14:paraId="6F97955D" w14:textId="77777777" w:rsidR="00C11C9B" w:rsidRPr="007B594B" w:rsidRDefault="00C11C9B" w:rsidP="00C11C9B">
      <w:pPr>
        <w:rPr>
          <w:lang w:val="es-ES"/>
        </w:rPr>
      </w:pPr>
    </w:p>
    <w:p w14:paraId="655F416A" w14:textId="0417A639" w:rsidR="00956605" w:rsidRPr="007B594B" w:rsidRDefault="00903995" w:rsidP="005E070D">
      <w:pPr>
        <w:pStyle w:val="Prrafodelista"/>
      </w:pPr>
      <w:r w:rsidRPr="007B594B">
        <w:t xml:space="preserve">Respecto a los documentos aportados por </w:t>
      </w:r>
      <w:r w:rsidR="00A460FC" w:rsidRPr="007B594B">
        <w:t>el</w:t>
      </w:r>
      <w:r w:rsidRPr="007B594B">
        <w:t xml:space="preserve"> representante en sus alegatos finales escritos, </w:t>
      </w:r>
      <w:r w:rsidR="002E2F56" w:rsidRPr="007B594B">
        <w:t xml:space="preserve">el Estado adujo </w:t>
      </w:r>
      <w:r w:rsidR="00B95611" w:rsidRPr="007B594B">
        <w:t>que</w:t>
      </w:r>
      <w:r w:rsidR="002E2F56" w:rsidRPr="007B594B">
        <w:t xml:space="preserve"> </w:t>
      </w:r>
      <w:r w:rsidR="00B95611" w:rsidRPr="007B594B">
        <w:t>el</w:t>
      </w:r>
      <w:r w:rsidR="002E2F56" w:rsidRPr="007B594B">
        <w:t xml:space="preserve"> anexo 1 </w:t>
      </w:r>
      <w:r w:rsidR="00B95611" w:rsidRPr="007B594B">
        <w:t>es</w:t>
      </w:r>
      <w:r w:rsidR="00474ADC" w:rsidRPr="007B594B">
        <w:t xml:space="preserve"> “más bien una carta suscrita por Olga Flores Bedregal a la Corte</w:t>
      </w:r>
      <w:r w:rsidR="007552DC" w:rsidRPr="007B594B">
        <w:t xml:space="preserve"> </w:t>
      </w:r>
      <w:r w:rsidR="00474ADC" w:rsidRPr="007B594B">
        <w:t xml:space="preserve">[…] en la cual se reiteran los mismos argumentos presentados en los </w:t>
      </w:r>
      <w:r w:rsidR="00740DBB" w:rsidRPr="007B594B">
        <w:t>[</w:t>
      </w:r>
      <w:r w:rsidR="00474ADC" w:rsidRPr="007B594B">
        <w:t>a</w:t>
      </w:r>
      <w:r w:rsidR="00740DBB" w:rsidRPr="007B594B">
        <w:t>]</w:t>
      </w:r>
      <w:r w:rsidR="00474ADC" w:rsidRPr="007B594B">
        <w:t xml:space="preserve">legatos </w:t>
      </w:r>
      <w:r w:rsidR="00740DBB" w:rsidRPr="007B594B">
        <w:t>[</w:t>
      </w:r>
      <w:r w:rsidR="00474ADC" w:rsidRPr="007B594B">
        <w:t>f</w:t>
      </w:r>
      <w:r w:rsidR="00740DBB" w:rsidRPr="007B594B">
        <w:t>]</w:t>
      </w:r>
      <w:r w:rsidR="00474ADC" w:rsidRPr="007B594B">
        <w:t>inales</w:t>
      </w:r>
      <w:r w:rsidR="00740DBB" w:rsidRPr="007B594B">
        <w:t xml:space="preserve"> [e]scritos</w:t>
      </w:r>
      <w:r w:rsidR="00474ADC" w:rsidRPr="007B594B">
        <w:t>”</w:t>
      </w:r>
      <w:r w:rsidR="00B95611" w:rsidRPr="007B594B">
        <w:t>;</w:t>
      </w:r>
      <w:r w:rsidR="00474ADC" w:rsidRPr="007B594B">
        <w:t xml:space="preserve"> </w:t>
      </w:r>
      <w:r w:rsidR="00B95611" w:rsidRPr="007B594B">
        <w:t>y que</w:t>
      </w:r>
      <w:r w:rsidR="00E639E2" w:rsidRPr="007B594B">
        <w:t xml:space="preserve"> </w:t>
      </w:r>
      <w:r w:rsidR="006B0B24" w:rsidRPr="007B594B">
        <w:t>los</w:t>
      </w:r>
      <w:r w:rsidR="00474ADC" w:rsidRPr="007B594B">
        <w:t xml:space="preserve"> anexo</w:t>
      </w:r>
      <w:r w:rsidR="006B0B24" w:rsidRPr="007B594B">
        <w:t>s</w:t>
      </w:r>
      <w:r w:rsidR="00474ADC" w:rsidRPr="007B594B">
        <w:t xml:space="preserve"> 7 </w:t>
      </w:r>
      <w:r w:rsidR="006B0B24" w:rsidRPr="007B594B">
        <w:t xml:space="preserve">y 8 </w:t>
      </w:r>
      <w:r w:rsidR="00B95611" w:rsidRPr="007B594B">
        <w:t>incluyen</w:t>
      </w:r>
      <w:r w:rsidR="00D77AF8" w:rsidRPr="007B594B">
        <w:t xml:space="preserve"> un presupuesto y</w:t>
      </w:r>
      <w:r w:rsidR="00E639E2" w:rsidRPr="007B594B">
        <w:t xml:space="preserve"> una</w:t>
      </w:r>
      <w:r w:rsidR="00D77AF8" w:rsidRPr="007B594B">
        <w:t xml:space="preserve"> sinopsis</w:t>
      </w:r>
      <w:r w:rsidR="007552DC" w:rsidRPr="007B594B">
        <w:t xml:space="preserve"> sin</w:t>
      </w:r>
      <w:r w:rsidR="00E639E2" w:rsidRPr="007B594B">
        <w:t xml:space="preserve"> firma,</w:t>
      </w:r>
      <w:r w:rsidR="00DF3836" w:rsidRPr="007B594B">
        <w:t xml:space="preserve"> y un presupuesto </w:t>
      </w:r>
      <w:r w:rsidR="00300045" w:rsidRPr="007B594B">
        <w:t>emitido</w:t>
      </w:r>
      <w:r w:rsidR="00DF3836" w:rsidRPr="007B594B">
        <w:t xml:space="preserve"> en idioma inglés</w:t>
      </w:r>
      <w:r w:rsidR="00E639E2" w:rsidRPr="007B594B">
        <w:t xml:space="preserve"> por lo que no se puede </w:t>
      </w:r>
      <w:r w:rsidR="00D77AF8" w:rsidRPr="007B594B">
        <w:t>inferir su credibilidad y considera</w:t>
      </w:r>
      <w:r w:rsidR="0064435B" w:rsidRPr="007B594B">
        <w:t xml:space="preserve"> </w:t>
      </w:r>
      <w:r w:rsidR="007552DC" w:rsidRPr="007B594B">
        <w:t>por lo tanto</w:t>
      </w:r>
      <w:r w:rsidR="00C27C7C" w:rsidRPr="007B594B">
        <w:t xml:space="preserve"> </w:t>
      </w:r>
      <w:r w:rsidR="0064435B" w:rsidRPr="007B594B">
        <w:t>que son</w:t>
      </w:r>
      <w:r w:rsidR="00D77AF8" w:rsidRPr="007B594B">
        <w:t xml:space="preserve"> innecesario</w:t>
      </w:r>
      <w:r w:rsidR="0064435B" w:rsidRPr="007B594B">
        <w:t>s</w:t>
      </w:r>
      <w:r w:rsidR="00DF3836" w:rsidRPr="007B594B">
        <w:t xml:space="preserve"> </w:t>
      </w:r>
      <w:r w:rsidR="00DF3836" w:rsidRPr="00E16922">
        <w:t>sin vinc</w:t>
      </w:r>
      <w:r w:rsidR="00C215E0" w:rsidRPr="00E16922">
        <w:t>ularse al ámbito espacial del caso.</w:t>
      </w:r>
      <w:r w:rsidR="00D77AF8" w:rsidRPr="00E16922">
        <w:t xml:space="preserve"> E</w:t>
      </w:r>
      <w:r w:rsidRPr="00E16922">
        <w:t>ste</w:t>
      </w:r>
      <w:r w:rsidRPr="007B594B">
        <w:t xml:space="preserve"> Tribunal constata, por un lado, que algunos </w:t>
      </w:r>
      <w:r w:rsidR="00047CF2" w:rsidRPr="007B594B">
        <w:t xml:space="preserve">documentos aportados </w:t>
      </w:r>
      <w:r w:rsidRPr="007B594B">
        <w:t>corresponden a comprobantes relacionados con las erogaciones incurridas en el trámite del presente caso con posterioridad a la presentación del escrito de solicitudes y argumentos</w:t>
      </w:r>
      <w:r w:rsidRPr="007B594B">
        <w:rPr>
          <w:vertAlign w:val="superscript"/>
        </w:rPr>
        <w:footnoteReference w:id="20"/>
      </w:r>
      <w:r w:rsidR="00407425" w:rsidRPr="007B594B">
        <w:t>, y por lo tanto corresponde</w:t>
      </w:r>
      <w:r w:rsidRPr="007B594B">
        <w:t xml:space="preserve"> admit</w:t>
      </w:r>
      <w:r w:rsidR="00407425" w:rsidRPr="007B594B">
        <w:t>irlos</w:t>
      </w:r>
      <w:r w:rsidRPr="007B594B">
        <w:t>.  En cuanto a los documentos contenidos en los anexos 3 y 4</w:t>
      </w:r>
      <w:r w:rsidRPr="007B594B">
        <w:rPr>
          <w:vertAlign w:val="superscript"/>
        </w:rPr>
        <w:footnoteReference w:id="21"/>
      </w:r>
      <w:r w:rsidRPr="007B594B">
        <w:t xml:space="preserve"> se trata de documentos relacionados </w:t>
      </w:r>
      <w:r w:rsidR="00ED14C9" w:rsidRPr="007B594B">
        <w:t>co</w:t>
      </w:r>
      <w:r w:rsidRPr="007B594B">
        <w:t xml:space="preserve">n hechos </w:t>
      </w:r>
      <w:r w:rsidR="007419AB" w:rsidRPr="007B594B">
        <w:t>posteriores a la presentación del escrito de solicitudes</w:t>
      </w:r>
      <w:r w:rsidR="00ED14C9" w:rsidRPr="007B594B">
        <w:t xml:space="preserve"> y argumentos</w:t>
      </w:r>
      <w:r w:rsidRPr="007B594B">
        <w:t xml:space="preserve">, </w:t>
      </w:r>
      <w:r w:rsidR="00ED14C9" w:rsidRPr="007B594B">
        <w:t xml:space="preserve">por ello </w:t>
      </w:r>
      <w:r w:rsidRPr="007B594B">
        <w:t xml:space="preserve">este Tribunal los admite conforme al artículo </w:t>
      </w:r>
      <w:r w:rsidR="007419AB" w:rsidRPr="007B594B">
        <w:t>57</w:t>
      </w:r>
      <w:r w:rsidRPr="007B594B">
        <w:t xml:space="preserve"> del Reglamento de la Corte</w:t>
      </w:r>
      <w:r w:rsidR="00047CF2" w:rsidRPr="007B594B">
        <w:t>.</w:t>
      </w:r>
      <w:r w:rsidRPr="007B594B">
        <w:t xml:space="preserve"> En cuanto al anexo 5, referente a la carta de uno de los sobrinos de la señora Olga Flores Bedregal, y el anexo 6 que corresponde a su traducción</w:t>
      </w:r>
      <w:r w:rsidRPr="007B594B">
        <w:rPr>
          <w:vertAlign w:val="superscript"/>
        </w:rPr>
        <w:footnoteReference w:id="22"/>
      </w:r>
      <w:r w:rsidRPr="007B594B">
        <w:t xml:space="preserve">, fue mencionado durante la audiencia pública por la señora Olga Flores Bedregal, por lo que lo incorpora al expediente. Por </w:t>
      </w:r>
      <w:r w:rsidRPr="007B594B">
        <w:lastRenderedPageBreak/>
        <w:t>último, no se admiten los documentos contenidos en los anexos 1, 2, 7, 8 y 9</w:t>
      </w:r>
      <w:r w:rsidRPr="007B594B">
        <w:rPr>
          <w:vertAlign w:val="superscript"/>
        </w:rPr>
        <w:footnoteReference w:id="23"/>
      </w:r>
      <w:r w:rsidRPr="007B594B">
        <w:t xml:space="preserve"> por no haber sido solicitados como prueba por este Tribunal</w:t>
      </w:r>
      <w:r w:rsidR="00AC7CBC" w:rsidRPr="007B594B">
        <w:t xml:space="preserve"> ni haber sido justificada su presentación</w:t>
      </w:r>
      <w:r w:rsidRPr="007B594B">
        <w:t>.</w:t>
      </w:r>
    </w:p>
    <w:p w14:paraId="0EBC9857" w14:textId="77777777" w:rsidR="007C693A" w:rsidRPr="002E61E9" w:rsidRDefault="007C693A" w:rsidP="00C11C9B">
      <w:pPr>
        <w:rPr>
          <w:lang w:val="es-ES"/>
        </w:rPr>
      </w:pPr>
    </w:p>
    <w:p w14:paraId="23954D5C" w14:textId="5EDD594B" w:rsidR="00956605" w:rsidRPr="007C693A" w:rsidRDefault="00956605" w:rsidP="007B5FD8">
      <w:pPr>
        <w:pStyle w:val="Ttulo2"/>
        <w:numPr>
          <w:ilvl w:val="0"/>
          <w:numId w:val="37"/>
        </w:numPr>
        <w:spacing w:before="0"/>
        <w:ind w:left="567"/>
        <w:rPr>
          <w:rFonts w:ascii="Verdana" w:hAnsi="Verdana" w:cs="Arial"/>
          <w:b/>
          <w:bCs/>
          <w:color w:val="000000" w:themeColor="text1"/>
          <w:sz w:val="20"/>
          <w:szCs w:val="20"/>
          <w:lang w:val="es-ES"/>
        </w:rPr>
      </w:pPr>
      <w:bookmarkStart w:id="83" w:name="_Toc9511441"/>
      <w:bookmarkStart w:id="84" w:name="_Toc4402949"/>
      <w:bookmarkStart w:id="85" w:name="_Toc4402710"/>
      <w:bookmarkStart w:id="86" w:name="_Toc27329756"/>
      <w:bookmarkStart w:id="87" w:name="_Toc86742181"/>
      <w:bookmarkStart w:id="88" w:name="_Toc125037465"/>
      <w:r w:rsidRPr="007C693A">
        <w:rPr>
          <w:rFonts w:ascii="Verdana" w:hAnsi="Verdana" w:cs="Arial"/>
          <w:b/>
          <w:bCs/>
          <w:color w:val="000000" w:themeColor="text1"/>
          <w:sz w:val="20"/>
          <w:szCs w:val="20"/>
          <w:lang w:val="es-ES"/>
        </w:rPr>
        <w:t>Admisibilidad de las declaraciones de las presuntas víctimas, la prueba testimonial y pericial</w:t>
      </w:r>
      <w:bookmarkEnd w:id="83"/>
      <w:bookmarkEnd w:id="84"/>
      <w:bookmarkEnd w:id="85"/>
      <w:bookmarkEnd w:id="86"/>
      <w:bookmarkEnd w:id="87"/>
      <w:bookmarkEnd w:id="88"/>
    </w:p>
    <w:p w14:paraId="5526AD7C" w14:textId="77777777" w:rsidR="009075C5" w:rsidRPr="00882669" w:rsidRDefault="009075C5" w:rsidP="00882669">
      <w:pPr>
        <w:rPr>
          <w:rFonts w:ascii="Verdana" w:hAnsi="Verdana"/>
          <w:lang w:val="es-ES"/>
        </w:rPr>
      </w:pPr>
    </w:p>
    <w:p w14:paraId="31C57586" w14:textId="3F2D4EC7" w:rsidR="00956605" w:rsidRPr="00685917" w:rsidRDefault="00956605" w:rsidP="005E070D">
      <w:pPr>
        <w:pStyle w:val="Prrafodelista"/>
      </w:pPr>
      <w:r w:rsidRPr="00882669">
        <w:t>Asimismo, la Corte estima pertinente admitir las declaraciones de la</w:t>
      </w:r>
      <w:r w:rsidR="00C90721" w:rsidRPr="00882669">
        <w:t>s</w:t>
      </w:r>
      <w:r w:rsidRPr="00882669">
        <w:t xml:space="preserve"> presunta</w:t>
      </w:r>
      <w:r w:rsidR="00C90721" w:rsidRPr="00882669">
        <w:t>s</w:t>
      </w:r>
      <w:r w:rsidRPr="00882669">
        <w:t xml:space="preserve"> víctima</w:t>
      </w:r>
      <w:r w:rsidR="00C90721" w:rsidRPr="00882669">
        <w:t>s</w:t>
      </w:r>
      <w:r w:rsidRPr="00882669">
        <w:t>, la declaración de</w:t>
      </w:r>
      <w:r w:rsidR="00C90721" w:rsidRPr="00882669">
        <w:t>l</w:t>
      </w:r>
      <w:r w:rsidRPr="00882669">
        <w:t xml:space="preserve"> testigo y </w:t>
      </w:r>
      <w:r w:rsidR="00C90721" w:rsidRPr="00882669">
        <w:t>los dictámenes</w:t>
      </w:r>
      <w:r w:rsidR="00C90721" w:rsidRPr="00685917">
        <w:t xml:space="preserve"> </w:t>
      </w:r>
      <w:r w:rsidRPr="00685917">
        <w:t>pericial</w:t>
      </w:r>
      <w:r w:rsidR="00C90721" w:rsidRPr="00685917">
        <w:t>es</w:t>
      </w:r>
      <w:r w:rsidRPr="00685917">
        <w:t xml:space="preserve"> rendidos en la audiencia pública </w:t>
      </w:r>
      <w:r w:rsidR="00AC7CBC" w:rsidRPr="00685917">
        <w:t>y</w:t>
      </w:r>
      <w:r w:rsidRPr="00685917">
        <w:t xml:space="preserve"> ante fedatario público, en el marco del </w:t>
      </w:r>
      <w:r w:rsidRPr="009075C5">
        <w:t>presente</w:t>
      </w:r>
      <w:r w:rsidRPr="00685917">
        <w:t xml:space="preserve"> caso</w:t>
      </w:r>
      <w:r w:rsidR="00AC7CBC" w:rsidRPr="00685917">
        <w:t>,</w:t>
      </w:r>
      <w:r w:rsidRPr="00685917">
        <w:t xml:space="preserve"> en la medida en que se ajusten al objeto definido por la Presiden</w:t>
      </w:r>
      <w:r w:rsidR="00B77B98" w:rsidRPr="00685917">
        <w:t>cia</w:t>
      </w:r>
      <w:r w:rsidRPr="00685917">
        <w:t xml:space="preserve"> en la</w:t>
      </w:r>
      <w:r w:rsidR="00B77B98" w:rsidRPr="00685917">
        <w:t>s</w:t>
      </w:r>
      <w:r w:rsidRPr="00685917">
        <w:t xml:space="preserve"> Resoluci</w:t>
      </w:r>
      <w:r w:rsidR="00B77B98" w:rsidRPr="00685917">
        <w:t>ones</w:t>
      </w:r>
      <w:r w:rsidRPr="00685917">
        <w:t xml:space="preserve"> </w:t>
      </w:r>
      <w:r w:rsidR="00AC7CBC" w:rsidRPr="00685917">
        <w:t>mediante las cuales se</w:t>
      </w:r>
      <w:r w:rsidRPr="00685917">
        <w:t xml:space="preserve"> ordenó </w:t>
      </w:r>
      <w:r w:rsidR="00AC7CBC" w:rsidRPr="00685917">
        <w:t xml:space="preserve">su </w:t>
      </w:r>
      <w:r w:rsidRPr="00685917">
        <w:t>rec</w:t>
      </w:r>
      <w:r w:rsidR="00AC7CBC" w:rsidRPr="00685917">
        <w:t>epción</w:t>
      </w:r>
      <w:r w:rsidRPr="001B6B0B">
        <w:rPr>
          <w:vertAlign w:val="superscript"/>
        </w:rPr>
        <w:footnoteReference w:id="24"/>
      </w:r>
      <w:r w:rsidRPr="00685917">
        <w:t>.</w:t>
      </w:r>
    </w:p>
    <w:p w14:paraId="5470E907" w14:textId="77777777" w:rsidR="00424187" w:rsidRPr="002E61E9" w:rsidRDefault="00424187" w:rsidP="00C11C9B">
      <w:pPr>
        <w:rPr>
          <w:lang w:val="es-ES"/>
        </w:rPr>
      </w:pPr>
    </w:p>
    <w:p w14:paraId="7331FC82" w14:textId="5EC23593" w:rsidR="009075C5" w:rsidRDefault="00424187" w:rsidP="005E070D">
      <w:pPr>
        <w:pStyle w:val="Prrafodelista"/>
      </w:pPr>
      <w:r w:rsidRPr="00685917">
        <w:t xml:space="preserve">En cuanto al dictamen pericial rendido por la </w:t>
      </w:r>
      <w:r w:rsidR="00325B33">
        <w:t xml:space="preserve">señora </w:t>
      </w:r>
      <w:r w:rsidRPr="00685917">
        <w:t>Kate Doyle</w:t>
      </w:r>
      <w:r w:rsidR="005C4063" w:rsidRPr="00685917">
        <w:t xml:space="preserve"> durante la audiencia pública de 10 de febrero de 2022,</w:t>
      </w:r>
      <w:r w:rsidRPr="00685917">
        <w:t xml:space="preserve"> </w:t>
      </w:r>
      <w:r w:rsidR="005C4063" w:rsidRPr="00685917">
        <w:t xml:space="preserve">el Estado solicitó que fuera eliminado del análisis del fondo del caso porque </w:t>
      </w:r>
      <w:r w:rsidR="00D76DAE" w:rsidRPr="00685917">
        <w:t>no fue puesto en conocimiento</w:t>
      </w:r>
      <w:r w:rsidR="00BE2DB4" w:rsidRPr="00685917">
        <w:t xml:space="preserve"> por escrito</w:t>
      </w:r>
      <w:r w:rsidR="00D76DAE" w:rsidRPr="00685917">
        <w:t xml:space="preserve"> </w:t>
      </w:r>
      <w:r w:rsidR="00BE2DB4" w:rsidRPr="00685917">
        <w:t>previamente</w:t>
      </w:r>
      <w:r w:rsidR="00D76DAE" w:rsidRPr="00685917">
        <w:t xml:space="preserve"> </w:t>
      </w:r>
      <w:r w:rsidR="00D02FCE" w:rsidRPr="00685917">
        <w:t>al Estado</w:t>
      </w:r>
      <w:r w:rsidR="00D76DAE" w:rsidRPr="00685917">
        <w:t xml:space="preserve">, </w:t>
      </w:r>
      <w:r w:rsidR="005C4063" w:rsidRPr="00685917">
        <w:t>y debido a “</w:t>
      </w:r>
      <w:r w:rsidR="00C05A31" w:rsidRPr="00685917">
        <w:t>la abierta parcialidad, incongruencia e impertinencia de la prueba pericial ofrecida</w:t>
      </w:r>
      <w:r w:rsidR="006B62FB" w:rsidRPr="00685917">
        <w:t>”</w:t>
      </w:r>
      <w:r w:rsidR="007D2E5A" w:rsidRPr="00685917">
        <w:t>.</w:t>
      </w:r>
      <w:r w:rsidR="006B62FB" w:rsidRPr="00685917">
        <w:t xml:space="preserve"> </w:t>
      </w:r>
      <w:r w:rsidR="00D76DAE" w:rsidRPr="00685917">
        <w:t>La Corte nota</w:t>
      </w:r>
      <w:r w:rsidR="00BE2DB4" w:rsidRPr="00685917">
        <w:t xml:space="preserve">, </w:t>
      </w:r>
      <w:r w:rsidR="007D2E5A" w:rsidRPr="00685917">
        <w:t xml:space="preserve">en primer lugar, </w:t>
      </w:r>
      <w:r w:rsidR="00BE2DB4" w:rsidRPr="00685917">
        <w:t xml:space="preserve">que </w:t>
      </w:r>
      <w:r w:rsidR="007D2E5A" w:rsidRPr="00685917">
        <w:t xml:space="preserve">la declaración </w:t>
      </w:r>
      <w:r w:rsidR="00BE2DB4" w:rsidRPr="00685917">
        <w:t xml:space="preserve">fue </w:t>
      </w:r>
      <w:r w:rsidR="007D2E5A" w:rsidRPr="00685917">
        <w:t xml:space="preserve">rendida </w:t>
      </w:r>
      <w:r w:rsidR="00BE2DB4" w:rsidRPr="00685917">
        <w:t xml:space="preserve">verbalmente </w:t>
      </w:r>
      <w:r w:rsidR="00AC7CBC" w:rsidRPr="00685917">
        <w:t>conforme</w:t>
      </w:r>
      <w:r w:rsidR="00BE2DB4" w:rsidRPr="00685917">
        <w:t xml:space="preserve"> a lo establecido en la Resolución de Convocatoria</w:t>
      </w:r>
      <w:r w:rsidR="007D2E5A" w:rsidRPr="00685917">
        <w:t>, por lo que no se cuenta con una versión escrita y</w:t>
      </w:r>
      <w:r w:rsidR="00CB305C" w:rsidRPr="00685917">
        <w:t>,</w:t>
      </w:r>
      <w:r w:rsidR="007D2E5A" w:rsidRPr="00685917">
        <w:t xml:space="preserve"> en segundo término, </w:t>
      </w:r>
      <w:r w:rsidR="00D76DAE" w:rsidRPr="00685917">
        <w:t xml:space="preserve">las consideraciones del Estado respecto al peritaje se refieren a su valor probatorio, no a </w:t>
      </w:r>
      <w:r w:rsidR="00AC7CBC" w:rsidRPr="00685917">
        <w:t>su</w:t>
      </w:r>
      <w:r w:rsidR="00D76DAE" w:rsidRPr="00685917">
        <w:t xml:space="preserve"> admisibilidad</w:t>
      </w:r>
      <w:r w:rsidR="00A27159" w:rsidRPr="00685917">
        <w:t xml:space="preserve"> </w:t>
      </w:r>
      <w:r w:rsidR="00A27159" w:rsidRPr="009075C5">
        <w:t>como</w:t>
      </w:r>
      <w:r w:rsidR="00D76DAE" w:rsidRPr="009075C5">
        <w:t xml:space="preserve"> </w:t>
      </w:r>
      <w:r w:rsidR="00D76DAE" w:rsidRPr="00685917">
        <w:t xml:space="preserve">prueba. En consecuencia, la Corte admite </w:t>
      </w:r>
      <w:r w:rsidR="004F0C41" w:rsidRPr="00685917">
        <w:t xml:space="preserve">el peritaje </w:t>
      </w:r>
      <w:r w:rsidR="00D76DAE" w:rsidRPr="00685917">
        <w:t xml:space="preserve">y </w:t>
      </w:r>
      <w:r w:rsidR="00703F7C" w:rsidRPr="00685917">
        <w:t xml:space="preserve">deja constancia de que </w:t>
      </w:r>
      <w:r w:rsidR="00D76DAE" w:rsidRPr="00685917">
        <w:t xml:space="preserve">las consideraciones efectuadas por </w:t>
      </w:r>
      <w:r w:rsidR="006B62FB" w:rsidRPr="00685917">
        <w:t xml:space="preserve">Bolivia, </w:t>
      </w:r>
      <w:r w:rsidR="00D76DAE" w:rsidRPr="00685917">
        <w:t xml:space="preserve">serán tenidas en consideración </w:t>
      </w:r>
      <w:r w:rsidR="00E52EF3" w:rsidRPr="00685917">
        <w:t>al momento de</w:t>
      </w:r>
      <w:r w:rsidR="00D76DAE" w:rsidRPr="00685917">
        <w:t xml:space="preserve"> la valoración de la prueba.</w:t>
      </w:r>
      <w:bookmarkStart w:id="89" w:name="_Toc470105100"/>
      <w:bookmarkEnd w:id="80"/>
      <w:bookmarkEnd w:id="81"/>
    </w:p>
    <w:p w14:paraId="77D9803E" w14:textId="77777777" w:rsidR="007E6E68" w:rsidRPr="002E61E9" w:rsidRDefault="007E6E68" w:rsidP="00C11C9B">
      <w:pPr>
        <w:rPr>
          <w:lang w:val="es-ES"/>
        </w:rPr>
      </w:pPr>
    </w:p>
    <w:p w14:paraId="37CABF9B" w14:textId="5EABB60C" w:rsidR="007E6E68" w:rsidRDefault="007E6E68" w:rsidP="009E4B73">
      <w:pPr>
        <w:pStyle w:val="Ttulo1"/>
        <w:spacing w:before="0"/>
        <w:jc w:val="center"/>
        <w:rPr>
          <w:rFonts w:ascii="Verdana" w:hAnsi="Verdana"/>
          <w:b/>
          <w:bCs/>
          <w:color w:val="000000" w:themeColor="text1"/>
          <w:sz w:val="20"/>
          <w:szCs w:val="20"/>
          <w:lang w:val="es-ES"/>
        </w:rPr>
      </w:pPr>
      <w:bookmarkStart w:id="90" w:name="_Toc125037466"/>
      <w:r>
        <w:rPr>
          <w:rFonts w:ascii="Verdana" w:hAnsi="Verdana"/>
          <w:b/>
          <w:bCs/>
          <w:color w:val="000000" w:themeColor="text1"/>
          <w:sz w:val="20"/>
          <w:szCs w:val="20"/>
          <w:lang w:val="es-ES"/>
        </w:rPr>
        <w:t>VI</w:t>
      </w:r>
      <w:bookmarkEnd w:id="90"/>
    </w:p>
    <w:p w14:paraId="28D25828" w14:textId="108AA98F" w:rsidR="00381DB5" w:rsidRPr="009075C5" w:rsidRDefault="00381DB5" w:rsidP="009E4B73">
      <w:pPr>
        <w:pStyle w:val="Ttulo1"/>
        <w:spacing w:before="0"/>
        <w:jc w:val="center"/>
        <w:rPr>
          <w:rFonts w:ascii="Verdana" w:hAnsi="Verdana"/>
          <w:b/>
          <w:bCs/>
          <w:color w:val="000000" w:themeColor="text1"/>
          <w:sz w:val="20"/>
          <w:szCs w:val="20"/>
          <w:lang w:val="es-ES"/>
        </w:rPr>
      </w:pPr>
      <w:bookmarkStart w:id="91" w:name="_Toc124157791"/>
      <w:bookmarkStart w:id="92" w:name="_Toc125037467"/>
      <w:r w:rsidRPr="009075C5">
        <w:rPr>
          <w:rFonts w:ascii="Verdana" w:hAnsi="Verdana"/>
          <w:b/>
          <w:bCs/>
          <w:color w:val="000000" w:themeColor="text1"/>
          <w:sz w:val="20"/>
          <w:szCs w:val="20"/>
          <w:lang w:val="es-ES"/>
        </w:rPr>
        <w:t>HECHOS</w:t>
      </w:r>
      <w:bookmarkEnd w:id="89"/>
      <w:bookmarkEnd w:id="91"/>
      <w:bookmarkEnd w:id="92"/>
    </w:p>
    <w:p w14:paraId="114EF189" w14:textId="77777777" w:rsidR="009075C5" w:rsidRPr="00685917" w:rsidRDefault="009075C5" w:rsidP="009E4B73">
      <w:pPr>
        <w:jc w:val="both"/>
        <w:rPr>
          <w:rFonts w:ascii="Verdana" w:hAnsi="Verdana"/>
          <w:lang w:val="es-ES"/>
        </w:rPr>
      </w:pPr>
    </w:p>
    <w:p w14:paraId="2F0AB416" w14:textId="439EAEFD" w:rsidR="00D902B1" w:rsidRPr="00685917" w:rsidRDefault="0064435B" w:rsidP="005E070D">
      <w:pPr>
        <w:pStyle w:val="Prrafodelista"/>
      </w:pPr>
      <w:bookmarkStart w:id="93" w:name="_Toc438132294"/>
      <w:bookmarkStart w:id="94" w:name="_Toc442082547"/>
      <w:bookmarkStart w:id="95" w:name="_Toc460237958"/>
      <w:bookmarkStart w:id="96" w:name="_Toc460238255"/>
      <w:bookmarkStart w:id="97" w:name="_Toc460409658"/>
      <w:bookmarkStart w:id="98" w:name="_Toc460612951"/>
      <w:bookmarkStart w:id="99" w:name="_Toc470105104"/>
      <w:bookmarkStart w:id="100" w:name="_Toc442082558"/>
      <w:bookmarkStart w:id="101" w:name="_Toc460237959"/>
      <w:bookmarkStart w:id="102" w:name="_Toc460238256"/>
      <w:bookmarkStart w:id="103" w:name="_Toc442082559"/>
      <w:bookmarkStart w:id="104" w:name="_Toc460237960"/>
      <w:bookmarkStart w:id="105" w:name="_Toc442082560"/>
      <w:bookmarkStart w:id="106" w:name="_Toc460237961"/>
      <w:bookmarkStart w:id="107" w:name="_Toc460238257"/>
      <w:r w:rsidRPr="00685917">
        <w:t>Los hechos del presente caso serán determinados por la Corte con base en el marco fáctico presentado por la Comisión, los alegatos de las partes y las pruebas aportadas</w:t>
      </w:r>
      <w:r w:rsidR="007A7CF9" w:rsidRPr="00685917">
        <w:t xml:space="preserve">, conforme al siguiente orden: A) </w:t>
      </w:r>
      <w:r w:rsidR="00751D5A">
        <w:t>S</w:t>
      </w:r>
      <w:r w:rsidR="007A7CF9" w:rsidRPr="00685917">
        <w:t>obre Juan Carlos Flores Bedregal; B)</w:t>
      </w:r>
      <w:r w:rsidR="00FC1026" w:rsidRPr="00685917">
        <w:t xml:space="preserve"> </w:t>
      </w:r>
      <w:r w:rsidR="003334DE">
        <w:t>Los h</w:t>
      </w:r>
      <w:r w:rsidR="007A7CF9" w:rsidRPr="00685917">
        <w:t xml:space="preserve">echos del </w:t>
      </w:r>
      <w:r w:rsidR="001B07A2" w:rsidRPr="00685917">
        <w:t>17 de julio de</w:t>
      </w:r>
      <w:r w:rsidR="006F232B" w:rsidRPr="00685917">
        <w:t xml:space="preserve"> </w:t>
      </w:r>
      <w:r w:rsidR="006F232B" w:rsidRPr="009075C5">
        <w:t>1980</w:t>
      </w:r>
      <w:r w:rsidR="0065718B" w:rsidRPr="00685917">
        <w:t xml:space="preserve"> y los intentos de dar con el </w:t>
      </w:r>
      <w:r w:rsidR="007A7CF9" w:rsidRPr="00E16922">
        <w:t>paradero</w:t>
      </w:r>
      <w:r w:rsidR="0065718B" w:rsidRPr="00E16922">
        <w:t xml:space="preserve"> </w:t>
      </w:r>
      <w:r w:rsidR="007A7CF9" w:rsidRPr="00E16922">
        <w:t xml:space="preserve">de Juan Carlos Flores Bedregal; </w:t>
      </w:r>
      <w:r w:rsidR="0065718B" w:rsidRPr="00E16922">
        <w:t>C</w:t>
      </w:r>
      <w:r w:rsidR="007A7CF9" w:rsidRPr="00E16922">
        <w:t xml:space="preserve">) </w:t>
      </w:r>
      <w:r w:rsidR="0086197B" w:rsidRPr="00E16922">
        <w:t>P</w:t>
      </w:r>
      <w:r w:rsidR="007A7CF9" w:rsidRPr="00E16922">
        <w:t xml:space="preserve">rocesos </w:t>
      </w:r>
      <w:r w:rsidR="003334DE" w:rsidRPr="00E16922">
        <w:t xml:space="preserve">judiciales </w:t>
      </w:r>
      <w:r w:rsidR="007A7CF9" w:rsidRPr="00E16922">
        <w:t>y administrativ</w:t>
      </w:r>
      <w:r w:rsidR="006B29C8" w:rsidRPr="00E16922">
        <w:t>o</w:t>
      </w:r>
      <w:r w:rsidR="003334DE" w:rsidRPr="00E16922">
        <w:t>, y D) Intentos de identificación de los restos como parte de la búsqueda de Juan Carlos Flores Bedregal</w:t>
      </w:r>
      <w:r w:rsidRPr="00E16922">
        <w:t xml:space="preserve">. </w:t>
      </w:r>
      <w:r w:rsidR="00BE364E" w:rsidRPr="00E16922">
        <w:t>Los hechos anteriores a la</w:t>
      </w:r>
      <w:r w:rsidR="008B6C38" w:rsidRPr="00E16922">
        <w:t xml:space="preserve"> aceptación de la</w:t>
      </w:r>
      <w:r w:rsidR="00E52EF3" w:rsidRPr="00E16922">
        <w:t xml:space="preserve"> </w:t>
      </w:r>
      <w:r w:rsidR="00BE364E" w:rsidRPr="00E16922">
        <w:t xml:space="preserve">competencia de la </w:t>
      </w:r>
      <w:r w:rsidR="00E560B6" w:rsidRPr="00E16922">
        <w:t>C</w:t>
      </w:r>
      <w:r w:rsidR="00BE364E" w:rsidRPr="00E16922">
        <w:t xml:space="preserve">orte </w:t>
      </w:r>
      <w:r w:rsidR="008B6C38" w:rsidRPr="00E16922">
        <w:t xml:space="preserve">por parte del Estados </w:t>
      </w:r>
      <w:r w:rsidR="00BE364E" w:rsidRPr="00E16922">
        <w:t>ser</w:t>
      </w:r>
      <w:r w:rsidRPr="00E16922">
        <w:t>án tenidos</w:t>
      </w:r>
      <w:r w:rsidRPr="00685917">
        <w:t xml:space="preserve"> en cuenta</w:t>
      </w:r>
      <w:r w:rsidR="00BE364E" w:rsidRPr="00685917">
        <w:t xml:space="preserve"> como antecedentes del caso</w:t>
      </w:r>
      <w:r w:rsidR="008B6C38" w:rsidRPr="00685917">
        <w:t xml:space="preserve">, </w:t>
      </w:r>
      <w:r w:rsidR="001B07A2" w:rsidRPr="00685917">
        <w:t xml:space="preserve">cuya consideración es </w:t>
      </w:r>
      <w:r w:rsidR="008B6C38" w:rsidRPr="00685917">
        <w:t>necesari</w:t>
      </w:r>
      <w:r w:rsidR="001B07A2" w:rsidRPr="00685917">
        <w:t xml:space="preserve">a a efectos de </w:t>
      </w:r>
      <w:r w:rsidR="008B6C38" w:rsidRPr="00685917">
        <w:t>establecer si se trata de conductas de tracto continuo</w:t>
      </w:r>
      <w:r w:rsidR="00BE364E" w:rsidRPr="00685917">
        <w:t xml:space="preserve">. </w:t>
      </w:r>
    </w:p>
    <w:p w14:paraId="5CD97B6E" w14:textId="77777777" w:rsidR="00D902B1" w:rsidRPr="00685917" w:rsidRDefault="00D902B1" w:rsidP="00882669">
      <w:pPr>
        <w:autoSpaceDE w:val="0"/>
        <w:autoSpaceDN w:val="0"/>
        <w:adjustRightInd w:val="0"/>
        <w:jc w:val="both"/>
        <w:rPr>
          <w:rFonts w:ascii="Verdana" w:hAnsi="Verdana"/>
          <w:lang w:val="es-ES"/>
        </w:rPr>
      </w:pPr>
    </w:p>
    <w:p w14:paraId="75114087" w14:textId="4F500456" w:rsidR="001B07A2" w:rsidRPr="001B6B0B" w:rsidRDefault="001B07A2" w:rsidP="007B5FD8">
      <w:pPr>
        <w:pStyle w:val="Ttulo2"/>
        <w:numPr>
          <w:ilvl w:val="0"/>
          <w:numId w:val="19"/>
        </w:numPr>
        <w:spacing w:before="0"/>
        <w:ind w:left="567"/>
        <w:rPr>
          <w:rFonts w:ascii="Verdana" w:hAnsi="Verdana" w:cs="Arial"/>
          <w:b/>
          <w:bCs/>
          <w:color w:val="000000" w:themeColor="text1"/>
          <w:sz w:val="20"/>
          <w:szCs w:val="20"/>
          <w:lang w:val="es-ES"/>
        </w:rPr>
      </w:pPr>
      <w:bookmarkStart w:id="108" w:name="_Toc125037468"/>
      <w:r w:rsidRPr="001B6B0B">
        <w:rPr>
          <w:rFonts w:ascii="Verdana" w:hAnsi="Verdana" w:cs="Arial"/>
          <w:b/>
          <w:bCs/>
          <w:color w:val="000000" w:themeColor="text1"/>
          <w:sz w:val="20"/>
          <w:szCs w:val="20"/>
          <w:lang w:val="es-ES"/>
        </w:rPr>
        <w:t>Sobre Juan Carlos Flores Bedregal</w:t>
      </w:r>
      <w:bookmarkEnd w:id="108"/>
      <w:r w:rsidRPr="001B6B0B">
        <w:rPr>
          <w:rFonts w:ascii="Verdana" w:hAnsi="Verdana" w:cs="Arial"/>
          <w:b/>
          <w:bCs/>
          <w:color w:val="000000" w:themeColor="text1"/>
          <w:sz w:val="20"/>
          <w:szCs w:val="20"/>
          <w:lang w:val="es-ES"/>
        </w:rPr>
        <w:t xml:space="preserve"> </w:t>
      </w:r>
    </w:p>
    <w:p w14:paraId="6129CC95" w14:textId="77777777" w:rsidR="00207469" w:rsidRPr="002E61E9" w:rsidRDefault="00207469" w:rsidP="00E55450">
      <w:pPr>
        <w:rPr>
          <w:lang w:val="es-ES"/>
        </w:rPr>
      </w:pPr>
    </w:p>
    <w:p w14:paraId="31E5740E" w14:textId="08B1EC1B" w:rsidR="001B07A2" w:rsidRPr="00ED1D67" w:rsidRDefault="001B07A2" w:rsidP="005E070D">
      <w:pPr>
        <w:pStyle w:val="Prrafodelista"/>
      </w:pPr>
      <w:r w:rsidRPr="00685917">
        <w:t>Juan Carlos Flores Bedregal nació el 4 de febrero de 1953 en la ciudad de La Paz, Provincia de Murillo</w:t>
      </w:r>
      <w:r w:rsidR="009241FE">
        <w:t xml:space="preserve">, </w:t>
      </w:r>
      <w:r w:rsidRPr="00685917">
        <w:t>Bolivia. Sus padres eran Fidel Flores Carrasco y Carmen Bedregal Iturri</w:t>
      </w:r>
      <w:r w:rsidRPr="00E562E4">
        <w:rPr>
          <w:vertAlign w:val="superscript"/>
        </w:rPr>
        <w:footnoteReference w:id="25"/>
      </w:r>
      <w:r w:rsidRPr="00685917">
        <w:t>; y sus hermanas son Verónica, Eliana Isbelia (fallecida)</w:t>
      </w:r>
      <w:r w:rsidRPr="00E562E4">
        <w:rPr>
          <w:vertAlign w:val="superscript"/>
        </w:rPr>
        <w:footnoteReference w:id="26"/>
      </w:r>
      <w:r w:rsidRPr="00685917">
        <w:t>, Lilian Teresa y Olga Beatriz, todas Flores Bedregal</w:t>
      </w:r>
      <w:r w:rsidRPr="00A477B9">
        <w:rPr>
          <w:vertAlign w:val="superscript"/>
        </w:rPr>
        <w:footnoteReference w:id="27"/>
      </w:r>
      <w:r w:rsidRPr="00685917">
        <w:t xml:space="preserve">. </w:t>
      </w:r>
      <w:r w:rsidR="00CB0F1B" w:rsidRPr="00685917">
        <w:t xml:space="preserve">Se </w:t>
      </w:r>
      <w:r w:rsidR="004315EE" w:rsidRPr="00685917">
        <w:t xml:space="preserve">ha </w:t>
      </w:r>
      <w:r w:rsidR="004315EE" w:rsidRPr="00685917">
        <w:lastRenderedPageBreak/>
        <w:t>señalado a la señora</w:t>
      </w:r>
      <w:r w:rsidR="00CB0F1B" w:rsidRPr="00685917">
        <w:t xml:space="preserve"> Adela Horte</w:t>
      </w:r>
      <w:r w:rsidR="000E1F8C" w:rsidRPr="00685917">
        <w:t>n</w:t>
      </w:r>
      <w:r w:rsidR="00CB0F1B" w:rsidRPr="00685917">
        <w:t xml:space="preserve">sia Villamil como </w:t>
      </w:r>
      <w:r w:rsidR="00CB0F1B" w:rsidRPr="00ED1D67">
        <w:t xml:space="preserve">su </w:t>
      </w:r>
      <w:r w:rsidR="00CB0F1B" w:rsidRPr="00B50CD5">
        <w:t>compañera de vida</w:t>
      </w:r>
      <w:r w:rsidR="00CB0F1B" w:rsidRPr="00ED1D67">
        <w:rPr>
          <w:vertAlign w:val="superscript"/>
        </w:rPr>
        <w:footnoteReference w:id="28"/>
      </w:r>
      <w:r w:rsidR="00CB0F1B" w:rsidRPr="00ED1D67">
        <w:t xml:space="preserve">. </w:t>
      </w:r>
      <w:r w:rsidRPr="00ED1D67">
        <w:t>En 1970, el señor Flores Bedregal ingresó a la Facultad de Medicina</w:t>
      </w:r>
      <w:r w:rsidRPr="00ED1D67">
        <w:rPr>
          <w:vertAlign w:val="superscript"/>
        </w:rPr>
        <w:footnoteReference w:id="29"/>
      </w:r>
      <w:r w:rsidRPr="00ED1D67">
        <w:t xml:space="preserve"> y posteriormente cambió su carrera a Economía</w:t>
      </w:r>
      <w:r w:rsidRPr="00ED1D67">
        <w:rPr>
          <w:vertAlign w:val="superscript"/>
        </w:rPr>
        <w:footnoteReference w:id="30"/>
      </w:r>
      <w:r w:rsidRPr="00ED1D67">
        <w:t xml:space="preserve">. En 1973 comenzó su </w:t>
      </w:r>
      <w:r w:rsidR="00005CF5">
        <w:t xml:space="preserve">militancia </w:t>
      </w:r>
      <w:r w:rsidRPr="00ED1D67">
        <w:t>en el Partido Obrero Revolucionario</w:t>
      </w:r>
      <w:r w:rsidR="0075216A">
        <w:t xml:space="preserve"> (“POR”)</w:t>
      </w:r>
      <w:r w:rsidRPr="00ED1D67">
        <w:rPr>
          <w:vertAlign w:val="superscript"/>
        </w:rPr>
        <w:footnoteReference w:id="31"/>
      </w:r>
      <w:r w:rsidRPr="00ED1D67">
        <w:t xml:space="preserve">. En 1979 </w:t>
      </w:r>
      <w:r w:rsidR="00F968F9" w:rsidRPr="00ED1D67">
        <w:t>fue</w:t>
      </w:r>
      <w:r w:rsidRPr="00ED1D67">
        <w:t xml:space="preserve"> elegido diputado suplente por el departamento de Chuquisaca, dentro de las listas de la Unidad Democrática y Popular, y asumió la titularidad del cargo en el Congreso </w:t>
      </w:r>
      <w:r w:rsidRPr="00B50CD5">
        <w:t>en noviembre de 1979</w:t>
      </w:r>
      <w:r w:rsidRPr="00ED1D67">
        <w:rPr>
          <w:vertAlign w:val="superscript"/>
        </w:rPr>
        <w:footnoteReference w:id="32"/>
      </w:r>
      <w:r w:rsidRPr="00ED1D67">
        <w:t xml:space="preserve">. </w:t>
      </w:r>
    </w:p>
    <w:p w14:paraId="4AA1FE0C" w14:textId="77777777" w:rsidR="001B07A2" w:rsidRPr="002E61E9" w:rsidRDefault="001B07A2" w:rsidP="00E55450">
      <w:pPr>
        <w:rPr>
          <w:lang w:val="es-ES"/>
        </w:rPr>
      </w:pPr>
    </w:p>
    <w:p w14:paraId="4B00CA77" w14:textId="78DB10DF" w:rsidR="001B07A2" w:rsidRPr="00685917" w:rsidRDefault="001B07A2" w:rsidP="005E070D">
      <w:pPr>
        <w:pStyle w:val="Prrafodelista"/>
      </w:pPr>
      <w:r w:rsidRPr="00685917">
        <w:t>En 1980, como dirigente de su partido y diputado en ejercicio, formó parte del Comité Nacional de Defensa de la Democracia (en adelante también “CONADE”)</w:t>
      </w:r>
      <w:r w:rsidR="00EC75AF">
        <w:t xml:space="preserve"> </w:t>
      </w:r>
      <w:r w:rsidRPr="00685917">
        <w:t>entidad integrada por la Central Obrera Boliviana (en adelante “COB”), partidos políticos, organizaciones religiosas, la Asamblea Permanente de Derechos Humanos y otras entidades de carácter cívico-popula</w:t>
      </w:r>
      <w:r w:rsidR="00EC75AF">
        <w:t>r</w:t>
      </w:r>
      <w:r w:rsidRPr="00685917">
        <w:t>.</w:t>
      </w:r>
    </w:p>
    <w:p w14:paraId="0C967398" w14:textId="77777777" w:rsidR="00C9546D" w:rsidRPr="00685917" w:rsidRDefault="00C9546D" w:rsidP="007C693A">
      <w:pPr>
        <w:jc w:val="both"/>
        <w:rPr>
          <w:rFonts w:ascii="Verdana" w:hAnsi="Verdana"/>
          <w:lang w:val="es-ES"/>
        </w:rPr>
      </w:pPr>
    </w:p>
    <w:p w14:paraId="19166049" w14:textId="57ED5023" w:rsidR="004B2A73" w:rsidRPr="001B6B0B" w:rsidRDefault="00B85AF7" w:rsidP="007B5FD8">
      <w:pPr>
        <w:pStyle w:val="Ttulo2"/>
        <w:numPr>
          <w:ilvl w:val="0"/>
          <w:numId w:val="19"/>
        </w:numPr>
        <w:spacing w:before="0"/>
        <w:ind w:left="567"/>
        <w:rPr>
          <w:rFonts w:ascii="Verdana" w:hAnsi="Verdana" w:cs="Arial"/>
          <w:b/>
          <w:bCs/>
          <w:color w:val="000000" w:themeColor="text1"/>
          <w:sz w:val="20"/>
          <w:szCs w:val="20"/>
          <w:lang w:val="es-ES"/>
        </w:rPr>
      </w:pPr>
      <w:bookmarkStart w:id="109" w:name="_Toc125037469"/>
      <w:r w:rsidRPr="001B6B0B">
        <w:rPr>
          <w:rFonts w:ascii="Verdana" w:hAnsi="Verdana" w:cs="Arial"/>
          <w:b/>
          <w:bCs/>
          <w:color w:val="000000" w:themeColor="text1"/>
          <w:sz w:val="20"/>
          <w:szCs w:val="20"/>
          <w:lang w:val="es-ES"/>
        </w:rPr>
        <w:t>L</w:t>
      </w:r>
      <w:r w:rsidR="00F968F9" w:rsidRPr="001B6B0B">
        <w:rPr>
          <w:rFonts w:ascii="Verdana" w:hAnsi="Verdana" w:cs="Arial"/>
          <w:b/>
          <w:bCs/>
          <w:color w:val="000000" w:themeColor="text1"/>
          <w:sz w:val="20"/>
          <w:szCs w:val="20"/>
          <w:lang w:val="es-ES"/>
        </w:rPr>
        <w:t>os hechos del 17 de julio de 1980</w:t>
      </w:r>
      <w:r w:rsidR="009325DF" w:rsidRPr="001B6B0B">
        <w:rPr>
          <w:rFonts w:ascii="Verdana" w:hAnsi="Verdana" w:cs="Arial"/>
          <w:b/>
          <w:bCs/>
          <w:color w:val="000000" w:themeColor="text1"/>
          <w:sz w:val="20"/>
          <w:szCs w:val="20"/>
          <w:lang w:val="es-ES"/>
        </w:rPr>
        <w:t xml:space="preserve"> y los intentos de dar con el paradero de Juan Carlos Flores Bedregal</w:t>
      </w:r>
      <w:bookmarkEnd w:id="109"/>
    </w:p>
    <w:p w14:paraId="1D77C05A" w14:textId="77777777" w:rsidR="00207469" w:rsidRPr="00207469" w:rsidRDefault="00207469" w:rsidP="009E4B73">
      <w:pPr>
        <w:rPr>
          <w:lang w:val="es-ES"/>
        </w:rPr>
      </w:pPr>
    </w:p>
    <w:p w14:paraId="49731C36" w14:textId="4DCF4703" w:rsidR="004B2A73" w:rsidRPr="00207469" w:rsidRDefault="00E52EF3" w:rsidP="005E070D">
      <w:pPr>
        <w:pStyle w:val="Prrafodelista"/>
      </w:pPr>
      <w:r w:rsidRPr="00685917">
        <w:t>Como</w:t>
      </w:r>
      <w:r w:rsidR="004B2A73" w:rsidRPr="00685917">
        <w:t xml:space="preserve"> </w:t>
      </w:r>
      <w:r w:rsidR="000F22FE" w:rsidRPr="00685917">
        <w:t xml:space="preserve">ha </w:t>
      </w:r>
      <w:r w:rsidR="004B2A73" w:rsidRPr="00685917">
        <w:t xml:space="preserve">sido reconocido por el Estado y </w:t>
      </w:r>
      <w:r w:rsidR="00D13A0D" w:rsidRPr="00685917">
        <w:t xml:space="preserve">establecido </w:t>
      </w:r>
      <w:r w:rsidR="004B2A73" w:rsidRPr="00685917">
        <w:t>por este Tribunal</w:t>
      </w:r>
      <w:r w:rsidR="004A12F4" w:rsidRPr="00685917">
        <w:t xml:space="preserve"> en un</w:t>
      </w:r>
      <w:r w:rsidR="00507465" w:rsidRPr="00685917">
        <w:t xml:space="preserve"> cas</w:t>
      </w:r>
      <w:r w:rsidR="00507465" w:rsidRPr="00ED1D67">
        <w:t>o previo</w:t>
      </w:r>
      <w:r w:rsidR="00CD730B" w:rsidRPr="00B50CD5">
        <w:rPr>
          <w:vertAlign w:val="superscript"/>
        </w:rPr>
        <w:footnoteReference w:id="33"/>
      </w:r>
      <w:r w:rsidRPr="00ED1D67">
        <w:t>,</w:t>
      </w:r>
      <w:r w:rsidR="00507465" w:rsidRPr="00685917">
        <w:t xml:space="preserve"> en </w:t>
      </w:r>
      <w:r w:rsidR="000F22FE" w:rsidRPr="00685917">
        <w:t xml:space="preserve">julio de </w:t>
      </w:r>
      <w:r w:rsidR="00507465" w:rsidRPr="00685917">
        <w:t xml:space="preserve">1980 </w:t>
      </w:r>
      <w:r w:rsidR="00FF7CFF" w:rsidRPr="00685917">
        <w:t xml:space="preserve">se produjo un golpe de estado en Bolivia, liderado por </w:t>
      </w:r>
      <w:r w:rsidR="004B2A73" w:rsidRPr="00685917">
        <w:t>el General Luis García Mez</w:t>
      </w:r>
      <w:r w:rsidR="00FF7CFF" w:rsidRPr="00685917">
        <w:t>a</w:t>
      </w:r>
      <w:r w:rsidR="00033C8F">
        <w:t xml:space="preserve"> Tejada</w:t>
      </w:r>
      <w:r w:rsidRPr="00685917">
        <w:t xml:space="preserve">.  </w:t>
      </w:r>
      <w:r w:rsidR="00FF7CFF" w:rsidRPr="00685917">
        <w:t>E</w:t>
      </w:r>
      <w:r w:rsidR="00465213" w:rsidRPr="00685917">
        <w:t>n ese marco, e</w:t>
      </w:r>
      <w:r w:rsidR="004B2A73" w:rsidRPr="00685917">
        <w:t>l 17 de julio de 1980 el Palacio Presidencial fue tomado</w:t>
      </w:r>
      <w:r w:rsidR="009E5B6E" w:rsidRPr="00685917">
        <w:t xml:space="preserve"> por las</w:t>
      </w:r>
      <w:r w:rsidR="0094168A">
        <w:t xml:space="preserve"> fuerzas militares</w:t>
      </w:r>
      <w:r w:rsidR="009E5B6E" w:rsidRPr="00685917">
        <w:t xml:space="preserve"> </w:t>
      </w:r>
      <w:r w:rsidR="004B2A73" w:rsidRPr="00685917">
        <w:t>y</w:t>
      </w:r>
      <w:r w:rsidR="009E5B6E" w:rsidRPr="00685917">
        <w:t xml:space="preserve"> </w:t>
      </w:r>
      <w:r w:rsidR="004B2A73" w:rsidRPr="00685917">
        <w:t xml:space="preserve">la Presidenta interina Constitucional, </w:t>
      </w:r>
      <w:r w:rsidRPr="00685917">
        <w:t xml:space="preserve">la </w:t>
      </w:r>
      <w:r w:rsidR="004B2A73" w:rsidRPr="00685917">
        <w:t>señora Lidia Gueiler,</w:t>
      </w:r>
      <w:r w:rsidR="00A0629C" w:rsidRPr="00685917">
        <w:t xml:space="preserve"> fue</w:t>
      </w:r>
      <w:r w:rsidR="004B2A73" w:rsidRPr="00685917">
        <w:t xml:space="preserve"> </w:t>
      </w:r>
      <w:r w:rsidR="009E5B6E" w:rsidRPr="00685917">
        <w:t>forz</w:t>
      </w:r>
      <w:r w:rsidR="004B2A73" w:rsidRPr="00685917">
        <w:t xml:space="preserve">ada a renunciar. </w:t>
      </w:r>
      <w:r w:rsidR="009E5B6E" w:rsidRPr="00685917">
        <w:t>U</w:t>
      </w:r>
      <w:r w:rsidRPr="00685917">
        <w:t>na</w:t>
      </w:r>
      <w:r w:rsidR="004B2A73" w:rsidRPr="00685917">
        <w:t xml:space="preserve"> Junta Militar asumi</w:t>
      </w:r>
      <w:r w:rsidR="009E5B6E" w:rsidRPr="00685917">
        <w:t>ó</w:t>
      </w:r>
      <w:r w:rsidR="004B2A73" w:rsidRPr="00685917">
        <w:t xml:space="preserve"> las funciones propias de los poderes ejecutivo, legislativo, judicial y constituyente</w:t>
      </w:r>
      <w:r w:rsidR="004B2A73" w:rsidRPr="00E562E4">
        <w:rPr>
          <w:vertAlign w:val="superscript"/>
        </w:rPr>
        <w:footnoteReference w:id="34"/>
      </w:r>
      <w:r w:rsidR="004B2A73" w:rsidRPr="00685917">
        <w:t xml:space="preserve">. </w:t>
      </w:r>
      <w:r w:rsidR="00F77EBA" w:rsidRPr="00207469">
        <w:t>En esa misma fecha, como parte del operativo “Avispón”, fuerzas militares y paramilitares atacaron y ocuparon el edificio de la COB donde estaba reunido el CONADE</w:t>
      </w:r>
      <w:r w:rsidR="00F77EBA" w:rsidRPr="001B6B0B">
        <w:rPr>
          <w:vertAlign w:val="superscript"/>
        </w:rPr>
        <w:footnoteReference w:id="35"/>
      </w:r>
      <w:r w:rsidR="00F77EBA" w:rsidRPr="00207469">
        <w:t xml:space="preserve">. </w:t>
      </w:r>
    </w:p>
    <w:p w14:paraId="20F1D518" w14:textId="77777777" w:rsidR="00F77EBA" w:rsidRPr="002E61E9" w:rsidRDefault="00F77EBA" w:rsidP="00E55450">
      <w:pPr>
        <w:rPr>
          <w:lang w:val="es-ES"/>
        </w:rPr>
      </w:pPr>
    </w:p>
    <w:p w14:paraId="1EE3897B" w14:textId="195F534B" w:rsidR="009171F6" w:rsidRPr="00685917" w:rsidRDefault="004B2A73" w:rsidP="005E070D">
      <w:pPr>
        <w:pStyle w:val="Prrafodelista"/>
      </w:pPr>
      <w:r w:rsidRPr="00685917">
        <w:t>Es un hecho no controvertid</w:t>
      </w:r>
      <w:r w:rsidR="000C0EE9" w:rsidRPr="00685917">
        <w:t xml:space="preserve">o </w:t>
      </w:r>
      <w:r w:rsidRPr="00685917">
        <w:t xml:space="preserve">que Juan Carlos Flores Bedregal se encontraba en la COB </w:t>
      </w:r>
      <w:r w:rsidR="000F22FE" w:rsidRPr="00685917">
        <w:t>al momento de la incursión</w:t>
      </w:r>
      <w:r w:rsidRPr="001B6B0B">
        <w:rPr>
          <w:vertAlign w:val="superscript"/>
        </w:rPr>
        <w:footnoteReference w:id="36"/>
      </w:r>
      <w:r w:rsidRPr="00685917">
        <w:t>.</w:t>
      </w:r>
      <w:r w:rsidR="000F22FE" w:rsidRPr="00685917">
        <w:t xml:space="preserve"> Los atacantes hicieron salir del edificio a los líderes de la CONADE –entre ellos a Juan Carlos Flores Bedregal— </w:t>
      </w:r>
      <w:r w:rsidRPr="00685917">
        <w:t>con</w:t>
      </w:r>
      <w:r w:rsidR="000F22FE" w:rsidRPr="00685917">
        <w:t xml:space="preserve"> </w:t>
      </w:r>
      <w:r w:rsidRPr="00685917">
        <w:t>las manos en la nuca</w:t>
      </w:r>
      <w:r w:rsidRPr="001B6B0B">
        <w:rPr>
          <w:vertAlign w:val="superscript"/>
        </w:rPr>
        <w:footnoteReference w:id="37"/>
      </w:r>
      <w:r w:rsidRPr="00685917">
        <w:t xml:space="preserve">. </w:t>
      </w:r>
      <w:r w:rsidR="00F77EBA" w:rsidRPr="00685917">
        <w:t>Se alega que</w:t>
      </w:r>
      <w:r w:rsidR="000F22FE" w:rsidRPr="00685917">
        <w:t xml:space="preserve"> en ese momento los atacantes</w:t>
      </w:r>
      <w:r w:rsidRPr="00685917">
        <w:t xml:space="preserve"> reconocieron al líder político y diputado Marcelo Quiroga Santa Cruz</w:t>
      </w:r>
      <w:r w:rsidR="00382A60" w:rsidRPr="00D94CE1">
        <w:rPr>
          <w:vertAlign w:val="superscript"/>
        </w:rPr>
        <w:footnoteReference w:id="38"/>
      </w:r>
      <w:r w:rsidRPr="00685917">
        <w:t>, a</w:t>
      </w:r>
      <w:r w:rsidR="000F22FE" w:rsidRPr="00685917">
        <w:t xml:space="preserve"> quien</w:t>
      </w:r>
      <w:r w:rsidRPr="00685917">
        <w:t xml:space="preserve"> apartar</w:t>
      </w:r>
      <w:r w:rsidR="000F22FE" w:rsidRPr="00685917">
        <w:t>on</w:t>
      </w:r>
      <w:r w:rsidRPr="00685917">
        <w:t xml:space="preserve"> </w:t>
      </w:r>
      <w:r w:rsidRPr="00685917">
        <w:lastRenderedPageBreak/>
        <w:t>del grupo</w:t>
      </w:r>
      <w:r w:rsidR="000F22FE" w:rsidRPr="00685917">
        <w:t xml:space="preserve"> a fin de</w:t>
      </w:r>
      <w:r w:rsidR="00F77EBA" w:rsidRPr="00685917">
        <w:t xml:space="preserve"> ejecutarlo</w:t>
      </w:r>
      <w:r w:rsidR="000F22FE" w:rsidRPr="00685917">
        <w:t>.</w:t>
      </w:r>
      <w:r w:rsidR="00F77EBA" w:rsidRPr="00685917">
        <w:t xml:space="preserve"> Conforme a</w:t>
      </w:r>
      <w:r w:rsidR="00E56AFF" w:rsidRPr="00685917">
        <w:t xml:space="preserve"> </w:t>
      </w:r>
      <w:r w:rsidR="00D60231" w:rsidRPr="00685917">
        <w:t>l</w:t>
      </w:r>
      <w:r w:rsidR="00F77EBA" w:rsidRPr="00685917">
        <w:t xml:space="preserve">a versión </w:t>
      </w:r>
      <w:r w:rsidR="00CC6123" w:rsidRPr="00207469">
        <w:t>del testigo Eduardo Domínguez Bohrt</w:t>
      </w:r>
      <w:r w:rsidR="005A484E" w:rsidRPr="00207469">
        <w:t>,</w:t>
      </w:r>
      <w:r w:rsidR="00CC6123" w:rsidRPr="00207469">
        <w:t xml:space="preserve"> </w:t>
      </w:r>
      <w:r w:rsidRPr="00685917">
        <w:t xml:space="preserve">Juan Carlos Flores Bedregal </w:t>
      </w:r>
      <w:r w:rsidR="00363EFA" w:rsidRPr="00E16922">
        <w:t>fue reconocido</w:t>
      </w:r>
      <w:r w:rsidR="00AC620F" w:rsidRPr="00E16922">
        <w:t xml:space="preserve"> por los atacantes</w:t>
      </w:r>
      <w:r w:rsidR="00363EFA" w:rsidRPr="00E16922">
        <w:t xml:space="preserve"> y </w:t>
      </w:r>
      <w:r w:rsidRPr="00E16922">
        <w:t>recibió una</w:t>
      </w:r>
      <w:r w:rsidRPr="00685917">
        <w:t xml:space="preserve"> ráfaga de disparos</w:t>
      </w:r>
      <w:bookmarkStart w:id="110" w:name="_Hlk102656980"/>
      <w:r w:rsidRPr="00D94CE1">
        <w:rPr>
          <w:vertAlign w:val="superscript"/>
        </w:rPr>
        <w:footnoteReference w:id="39"/>
      </w:r>
      <w:r w:rsidRPr="00685917">
        <w:t xml:space="preserve">. </w:t>
      </w:r>
      <w:r w:rsidR="006D1A19" w:rsidRPr="00685917">
        <w:t xml:space="preserve">El Estado sostiene que el señor Flores Bedregal falleció en ese momento. </w:t>
      </w:r>
    </w:p>
    <w:p w14:paraId="0A722E2A" w14:textId="77777777" w:rsidR="009171F6" w:rsidRPr="002E61E9" w:rsidRDefault="009171F6" w:rsidP="00E55450">
      <w:pPr>
        <w:rPr>
          <w:lang w:val="es-ES"/>
        </w:rPr>
      </w:pPr>
    </w:p>
    <w:p w14:paraId="00746805" w14:textId="60F56E58" w:rsidR="002060F6" w:rsidRPr="000665D5" w:rsidRDefault="00005CF5" w:rsidP="005E070D">
      <w:pPr>
        <w:pStyle w:val="Prrafodelista"/>
      </w:pPr>
      <w:r>
        <w:t xml:space="preserve">Según la versión del Estado, </w:t>
      </w:r>
      <w:r w:rsidR="007B10B3" w:rsidRPr="000665D5">
        <w:t>el</w:t>
      </w:r>
      <w:r w:rsidR="00F379E0" w:rsidRPr="000665D5">
        <w:t xml:space="preserve"> </w:t>
      </w:r>
      <w:r w:rsidR="003A7D49" w:rsidRPr="000665D5">
        <w:t>cuerpo</w:t>
      </w:r>
      <w:r w:rsidR="00F379E0" w:rsidRPr="000665D5">
        <w:t xml:space="preserve"> </w:t>
      </w:r>
      <w:r w:rsidR="007B10B3" w:rsidRPr="000665D5">
        <w:t>de Juan Carlos Flores Bedregal fue</w:t>
      </w:r>
      <w:r w:rsidR="00F379E0" w:rsidRPr="000665D5">
        <w:t xml:space="preserve"> </w:t>
      </w:r>
      <w:r w:rsidR="003A7D49" w:rsidRPr="000665D5">
        <w:t>encontrado</w:t>
      </w:r>
      <w:r w:rsidR="00F379E0" w:rsidRPr="000665D5">
        <w:t xml:space="preserve"> </w:t>
      </w:r>
      <w:r>
        <w:t xml:space="preserve">posteriormente </w:t>
      </w:r>
      <w:r w:rsidR="00F379E0" w:rsidRPr="000665D5">
        <w:t>en un barranco por agentes de la policía</w:t>
      </w:r>
      <w:r w:rsidR="00521740" w:rsidRPr="000665D5">
        <w:rPr>
          <w:vertAlign w:val="superscript"/>
        </w:rPr>
        <w:footnoteReference w:id="40"/>
      </w:r>
      <w:r w:rsidR="008803CE">
        <w:t>,</w:t>
      </w:r>
      <w:r w:rsidR="00FC4BE7" w:rsidRPr="000665D5">
        <w:t xml:space="preserve"> </w:t>
      </w:r>
      <w:r w:rsidR="00F379E0" w:rsidRPr="000665D5">
        <w:t>quienes</w:t>
      </w:r>
      <w:r w:rsidR="00C37B5F" w:rsidRPr="000665D5">
        <w:t xml:space="preserve"> </w:t>
      </w:r>
      <w:r w:rsidR="00387F0E" w:rsidRPr="000665D5">
        <w:t xml:space="preserve">habrían </w:t>
      </w:r>
      <w:r w:rsidR="006D1A19" w:rsidRPr="000665D5">
        <w:t>realiza</w:t>
      </w:r>
      <w:r w:rsidR="00387F0E" w:rsidRPr="000665D5">
        <w:t>do</w:t>
      </w:r>
      <w:r w:rsidR="006D1A19" w:rsidRPr="000665D5">
        <w:t xml:space="preserve"> el levantamiento</w:t>
      </w:r>
      <w:r w:rsidR="00226409" w:rsidRPr="000665D5">
        <w:t xml:space="preserve"> de cadáver</w:t>
      </w:r>
      <w:r w:rsidR="006D1A19" w:rsidRPr="000665D5">
        <w:t xml:space="preserve">, sin la participación de un médico forense y </w:t>
      </w:r>
      <w:r w:rsidR="00387F0E" w:rsidRPr="000665D5">
        <w:t>sin documentar la escena del crimen</w:t>
      </w:r>
      <w:r w:rsidR="002B6BBE" w:rsidRPr="000665D5">
        <w:rPr>
          <w:vertAlign w:val="superscript"/>
        </w:rPr>
        <w:footnoteReference w:id="41"/>
      </w:r>
      <w:r w:rsidR="00387F0E" w:rsidRPr="000665D5">
        <w:t>. Conforme a esta versión</w:t>
      </w:r>
      <w:r w:rsidR="008803CE">
        <w:t>,</w:t>
      </w:r>
      <w:r w:rsidR="00387F0E" w:rsidRPr="000665D5">
        <w:t xml:space="preserve"> el cu</w:t>
      </w:r>
      <w:r w:rsidR="000C0EE9" w:rsidRPr="000665D5">
        <w:t>e</w:t>
      </w:r>
      <w:r w:rsidR="00387F0E" w:rsidRPr="000665D5">
        <w:t xml:space="preserve">rpo fue </w:t>
      </w:r>
      <w:r w:rsidR="009171F6" w:rsidRPr="000665D5">
        <w:t>traslada</w:t>
      </w:r>
      <w:r w:rsidR="00387F0E" w:rsidRPr="000665D5">
        <w:t xml:space="preserve">do </w:t>
      </w:r>
      <w:r w:rsidR="00BB382A" w:rsidRPr="000665D5">
        <w:t>a</w:t>
      </w:r>
      <w:r w:rsidR="0066638E" w:rsidRPr="000665D5">
        <w:t xml:space="preserve"> </w:t>
      </w:r>
      <w:r w:rsidR="00BB382A" w:rsidRPr="000665D5">
        <w:t>l</w:t>
      </w:r>
      <w:r w:rsidR="0066638E" w:rsidRPr="000665D5">
        <w:t>a morgue del</w:t>
      </w:r>
      <w:r w:rsidR="00BB382A" w:rsidRPr="000665D5">
        <w:t xml:space="preserve"> Hospital de Clínicas</w:t>
      </w:r>
      <w:r w:rsidR="008803CE">
        <w:t>,</w:t>
      </w:r>
      <w:r w:rsidR="00BB382A" w:rsidRPr="000665D5">
        <w:t xml:space="preserve"> de donde</w:t>
      </w:r>
      <w:r w:rsidR="009171F6" w:rsidRPr="000665D5">
        <w:t xml:space="preserve"> </w:t>
      </w:r>
      <w:r w:rsidR="00BB382A" w:rsidRPr="000665D5">
        <w:t>habría sido sustraído</w:t>
      </w:r>
      <w:r w:rsidR="006D1A19" w:rsidRPr="000665D5">
        <w:rPr>
          <w:vertAlign w:val="superscript"/>
        </w:rPr>
        <w:footnoteReference w:id="42"/>
      </w:r>
      <w:r w:rsidR="001B0719" w:rsidRPr="000665D5">
        <w:t xml:space="preserve"> sin que</w:t>
      </w:r>
      <w:r w:rsidR="009171F6" w:rsidRPr="000665D5">
        <w:t xml:space="preserve"> </w:t>
      </w:r>
      <w:r w:rsidR="00446F01" w:rsidRPr="000665D5">
        <w:t xml:space="preserve">haya podido </w:t>
      </w:r>
      <w:r w:rsidR="009171F6" w:rsidRPr="000665D5">
        <w:t xml:space="preserve">ser </w:t>
      </w:r>
      <w:r w:rsidR="00446F01" w:rsidRPr="000665D5">
        <w:t>ubica</w:t>
      </w:r>
      <w:r w:rsidR="009171F6" w:rsidRPr="000665D5">
        <w:t>do e identificado</w:t>
      </w:r>
      <w:r w:rsidR="00446F01" w:rsidRPr="000665D5">
        <w:t xml:space="preserve"> hasta el presente</w:t>
      </w:r>
      <w:r w:rsidR="00BB382A" w:rsidRPr="000665D5">
        <w:t>.</w:t>
      </w:r>
      <w:bookmarkEnd w:id="110"/>
    </w:p>
    <w:p w14:paraId="7EA6B903" w14:textId="77777777" w:rsidR="009171F6" w:rsidRPr="000665D5" w:rsidRDefault="009171F6" w:rsidP="000665D5">
      <w:pPr>
        <w:rPr>
          <w:lang w:val="es-ES"/>
        </w:rPr>
      </w:pPr>
    </w:p>
    <w:p w14:paraId="6B368332" w14:textId="1EAC5CE5" w:rsidR="00116285" w:rsidRPr="00685917" w:rsidRDefault="00324A29" w:rsidP="005E070D">
      <w:pPr>
        <w:pStyle w:val="Prrafodelista"/>
      </w:pPr>
      <w:r w:rsidRPr="000665D5">
        <w:t>Los</w:t>
      </w:r>
      <w:r w:rsidR="009171F6" w:rsidRPr="000665D5">
        <w:t xml:space="preserve"> </w:t>
      </w:r>
      <w:r w:rsidRPr="000665D5">
        <w:t>r</w:t>
      </w:r>
      <w:r w:rsidR="009171F6" w:rsidRPr="000665D5">
        <w:t>epresentante</w:t>
      </w:r>
      <w:r w:rsidRPr="000665D5">
        <w:t>s</w:t>
      </w:r>
      <w:r w:rsidR="009171F6" w:rsidRPr="000665D5">
        <w:t xml:space="preserve"> aleg</w:t>
      </w:r>
      <w:r w:rsidRPr="000665D5">
        <w:t>aron</w:t>
      </w:r>
      <w:r w:rsidR="009171F6" w:rsidRPr="00685917">
        <w:t xml:space="preserve"> </w:t>
      </w:r>
      <w:r w:rsidR="008803CE" w:rsidRPr="00685917">
        <w:t>que,</w:t>
      </w:r>
      <w:r w:rsidR="009171F6" w:rsidRPr="00685917">
        <w:t xml:space="preserve"> tras su detención y los actos de violencia inmediatamente posteriores</w:t>
      </w:r>
      <w:r w:rsidR="006D1A19" w:rsidRPr="00685917">
        <w:t>,</w:t>
      </w:r>
      <w:r w:rsidR="009171F6" w:rsidRPr="00685917">
        <w:t xml:space="preserve"> Juan Carlos Flores Bedregal fue trasladado en ambulancia al Estado Mayor</w:t>
      </w:r>
      <w:r w:rsidR="006B2078" w:rsidRPr="008925A9">
        <w:rPr>
          <w:vertAlign w:val="superscript"/>
        </w:rPr>
        <w:footnoteReference w:id="43"/>
      </w:r>
      <w:r w:rsidR="009171F6" w:rsidRPr="00685917">
        <w:t>, sin que desde entonces se haya podido determinar su paradero o el destino de sus restos.</w:t>
      </w:r>
      <w:r w:rsidR="00C17B68" w:rsidRPr="00685917">
        <w:t xml:space="preserve"> </w:t>
      </w:r>
      <w:r w:rsidR="00810FCB" w:rsidRPr="00207469">
        <w:t xml:space="preserve">Desde el mismo 17 de julio de 1980, las hermanas Flores Bedregal emprendieron la búsqueda de su hermano. </w:t>
      </w:r>
      <w:r w:rsidR="0065718B" w:rsidRPr="00207469">
        <w:t>E</w:t>
      </w:r>
      <w:r w:rsidR="00810FCB" w:rsidRPr="00207469">
        <w:t xml:space="preserve">n la audiencia pública </w:t>
      </w:r>
      <w:r w:rsidR="0065718B" w:rsidRPr="00207469">
        <w:t xml:space="preserve">la señora Olga Flores Bedregal </w:t>
      </w:r>
      <w:r w:rsidR="00810FCB" w:rsidRPr="00207469">
        <w:t>manifestó que lo busc</w:t>
      </w:r>
      <w:r w:rsidR="0065718B" w:rsidRPr="00207469">
        <w:t>ó</w:t>
      </w:r>
      <w:r w:rsidR="00810FCB" w:rsidRPr="00207469">
        <w:t xml:space="preserve"> en el Estado Mayor</w:t>
      </w:r>
      <w:r w:rsidR="0065718B" w:rsidRPr="00207469">
        <w:t xml:space="preserve"> y en</w:t>
      </w:r>
      <w:r w:rsidR="00810FCB" w:rsidRPr="00207469">
        <w:t xml:space="preserve"> la morgue. Su tío, que era médico, fue a las clínicas a averiguar si habían llevado algún herido. Su hermana Eliana que, en ese momento estaba embarazada, fue a los centros de reclusión. Las hermanas</w:t>
      </w:r>
      <w:r w:rsidR="005C39BA" w:rsidRPr="00207469">
        <w:t xml:space="preserve"> iniciaron</w:t>
      </w:r>
      <w:r w:rsidR="00810FCB" w:rsidRPr="00207469">
        <w:t xml:space="preserve"> denuncias, investigaciones y procesos judiciales. En su declaración Verónica Flores, quien vivía en ese entonces en Belgrado, se dirigió a la Cruz Roja de esa ciudad</w:t>
      </w:r>
      <w:r w:rsidR="005C39BA" w:rsidRPr="00207469">
        <w:t xml:space="preserve"> para hacer una denuncia a través de </w:t>
      </w:r>
      <w:r w:rsidR="00810FCB" w:rsidRPr="00207469">
        <w:t xml:space="preserve">la Cruz Roja de Suiza. </w:t>
      </w:r>
      <w:r w:rsidR="005C39BA" w:rsidRPr="00207469">
        <w:t>En</w:t>
      </w:r>
      <w:r w:rsidR="00810FCB" w:rsidRPr="00207469">
        <w:t xml:space="preserve"> el año 1986 regres</w:t>
      </w:r>
      <w:r w:rsidR="005C39BA" w:rsidRPr="00207469">
        <w:t>ó</w:t>
      </w:r>
      <w:r w:rsidR="00810FCB" w:rsidRPr="00207469">
        <w:t xml:space="preserve"> a Bolivia y partici</w:t>
      </w:r>
      <w:r w:rsidR="005C39BA" w:rsidRPr="00207469">
        <w:t>pó</w:t>
      </w:r>
      <w:r w:rsidR="00810FCB" w:rsidRPr="00207469">
        <w:t xml:space="preserve"> </w:t>
      </w:r>
      <w:r w:rsidR="005C39BA" w:rsidRPr="00207469">
        <w:t>de</w:t>
      </w:r>
      <w:r w:rsidR="00810FCB" w:rsidRPr="00207469">
        <w:t xml:space="preserve"> la búsqueda de su hermano</w:t>
      </w:r>
      <w:r w:rsidR="009325DF" w:rsidRPr="00E562E4">
        <w:rPr>
          <w:vertAlign w:val="superscript"/>
        </w:rPr>
        <w:footnoteReference w:id="44"/>
      </w:r>
      <w:r w:rsidR="009325DF" w:rsidRPr="00207469">
        <w:t xml:space="preserve">. </w:t>
      </w:r>
    </w:p>
    <w:p w14:paraId="778AEE88" w14:textId="77777777" w:rsidR="00970C55" w:rsidRPr="002E61E9" w:rsidRDefault="00970C55" w:rsidP="00E55450">
      <w:pPr>
        <w:rPr>
          <w:lang w:val="es-ES"/>
        </w:rPr>
      </w:pPr>
    </w:p>
    <w:p w14:paraId="04F6600F" w14:textId="0A6B84D5" w:rsidR="009171F6" w:rsidRDefault="00AB76F2" w:rsidP="005E070D">
      <w:pPr>
        <w:pStyle w:val="Prrafodelista"/>
      </w:pPr>
      <w:r w:rsidRPr="00685917">
        <w:t>La búsqueda de Juan Carlos Flores Bedregal se</w:t>
      </w:r>
      <w:r w:rsidR="009325DF" w:rsidRPr="00685917">
        <w:t xml:space="preserve"> vio permeada por</w:t>
      </w:r>
      <w:r w:rsidRPr="00685917">
        <w:t xml:space="preserve"> el contexto </w:t>
      </w:r>
      <w:r w:rsidR="009325DF" w:rsidRPr="00685917">
        <w:t xml:space="preserve">del golpe de Estado de julio de 1980.  </w:t>
      </w:r>
      <w:r w:rsidR="008925A9">
        <w:t>A</w:t>
      </w:r>
      <w:r w:rsidR="009171F6" w:rsidRPr="00685917">
        <w:t xml:space="preserve"> partir de ese momento</w:t>
      </w:r>
      <w:r w:rsidR="00FB7D7C">
        <w:t>,</w:t>
      </w:r>
      <w:r w:rsidR="009171F6" w:rsidRPr="00685917">
        <w:t xml:space="preserve"> el gobierno de facto instauró un régimen de represión en el cual fuerzas de seguridad y grupos paramilitares perpetraron graves violaciones a los derechos humanos en un contexto de impunidad que favoreció la práctica sistemática de detenciones ilegales, torturas y desapariciones forzadas</w:t>
      </w:r>
      <w:r w:rsidR="009171F6" w:rsidRPr="00E562E4">
        <w:rPr>
          <w:vertAlign w:val="superscript"/>
        </w:rPr>
        <w:footnoteReference w:id="45"/>
      </w:r>
      <w:r w:rsidR="009171F6" w:rsidRPr="00685917">
        <w:t xml:space="preserve">. </w:t>
      </w:r>
      <w:r w:rsidR="009171F6" w:rsidRPr="00207469">
        <w:t xml:space="preserve"> </w:t>
      </w:r>
      <w:r w:rsidR="009171F6" w:rsidRPr="00685917">
        <w:t>Miles de personas fueron detenidas sin debido proceso conforme a una práctica sistemática de detenciones, apremios ilegales y torturas. Las modalidades más utilizadas durante los interrogatorios consistían en golpes, descargas eléctricas, abusos sexuales, simulacros de fusilamiento, quemadura con cigarrillos, presiones psicológicas y otros actos de intimidación contra personas detenidas o sus familiares</w:t>
      </w:r>
      <w:r w:rsidR="009171F6" w:rsidRPr="00E562E4">
        <w:rPr>
          <w:vertAlign w:val="superscript"/>
        </w:rPr>
        <w:footnoteReference w:id="46"/>
      </w:r>
      <w:r w:rsidR="009171F6" w:rsidRPr="00207469">
        <w:t>.</w:t>
      </w:r>
    </w:p>
    <w:p w14:paraId="50D6F019" w14:textId="77777777" w:rsidR="006B1CC6" w:rsidRPr="00BC5D78" w:rsidRDefault="006B1CC6" w:rsidP="00BC5D78">
      <w:pPr>
        <w:rPr>
          <w:lang w:val="es-CR"/>
        </w:rPr>
      </w:pPr>
    </w:p>
    <w:p w14:paraId="60A236FF" w14:textId="77777777" w:rsidR="0037631C" w:rsidRPr="00207469" w:rsidRDefault="0037631C" w:rsidP="001B6B0B">
      <w:pPr>
        <w:autoSpaceDE w:val="0"/>
        <w:autoSpaceDN w:val="0"/>
        <w:adjustRightInd w:val="0"/>
        <w:contextualSpacing/>
        <w:jc w:val="both"/>
        <w:rPr>
          <w:rFonts w:ascii="Verdana" w:hAnsi="Verdana"/>
          <w:color w:val="4F81BD" w:themeColor="accent1"/>
          <w:lang w:val="es-ES"/>
        </w:rPr>
      </w:pPr>
    </w:p>
    <w:p w14:paraId="4867ADA4" w14:textId="0D27A3ED" w:rsidR="004B2A73" w:rsidRPr="00207469" w:rsidRDefault="002E5F7F" w:rsidP="007B5FD8">
      <w:pPr>
        <w:pStyle w:val="Ttulo2"/>
        <w:numPr>
          <w:ilvl w:val="0"/>
          <w:numId w:val="19"/>
        </w:numPr>
        <w:spacing w:before="0"/>
        <w:ind w:left="567"/>
        <w:rPr>
          <w:rFonts w:ascii="Verdana" w:hAnsi="Verdana" w:cs="Arial"/>
          <w:b/>
          <w:bCs/>
          <w:color w:val="000000" w:themeColor="text1"/>
          <w:sz w:val="20"/>
          <w:szCs w:val="20"/>
          <w:lang w:val="es-ES"/>
        </w:rPr>
      </w:pPr>
      <w:bookmarkStart w:id="111" w:name="_Toc125037470"/>
      <w:r w:rsidRPr="00207469">
        <w:rPr>
          <w:rFonts w:ascii="Verdana" w:hAnsi="Verdana" w:cs="Arial"/>
          <w:b/>
          <w:bCs/>
          <w:color w:val="000000" w:themeColor="text1"/>
          <w:sz w:val="20"/>
          <w:szCs w:val="20"/>
          <w:lang w:val="es-ES"/>
        </w:rPr>
        <w:lastRenderedPageBreak/>
        <w:t xml:space="preserve">Procesos </w:t>
      </w:r>
      <w:r w:rsidR="00D0662E" w:rsidRPr="00207469">
        <w:rPr>
          <w:rFonts w:ascii="Verdana" w:hAnsi="Verdana" w:cs="Arial"/>
          <w:b/>
          <w:bCs/>
          <w:color w:val="000000" w:themeColor="text1"/>
          <w:sz w:val="20"/>
          <w:szCs w:val="20"/>
          <w:lang w:val="es-ES"/>
        </w:rPr>
        <w:t>judiciale</w:t>
      </w:r>
      <w:r w:rsidR="00E145C7" w:rsidRPr="00207469">
        <w:rPr>
          <w:rFonts w:ascii="Verdana" w:hAnsi="Verdana" w:cs="Arial"/>
          <w:b/>
          <w:bCs/>
          <w:color w:val="000000" w:themeColor="text1"/>
          <w:sz w:val="20"/>
          <w:szCs w:val="20"/>
          <w:lang w:val="es-ES"/>
        </w:rPr>
        <w:t>s</w:t>
      </w:r>
      <w:r w:rsidR="00CD79C4" w:rsidRPr="00207469">
        <w:rPr>
          <w:rFonts w:ascii="Verdana" w:hAnsi="Verdana" w:cs="Arial"/>
          <w:b/>
          <w:bCs/>
          <w:color w:val="000000" w:themeColor="text1"/>
          <w:sz w:val="20"/>
          <w:szCs w:val="20"/>
          <w:lang w:val="es-ES"/>
        </w:rPr>
        <w:t xml:space="preserve"> y administrativo</w:t>
      </w:r>
      <w:bookmarkEnd w:id="111"/>
    </w:p>
    <w:p w14:paraId="643878E0" w14:textId="131CB865" w:rsidR="001A12A0" w:rsidRPr="00685917" w:rsidRDefault="001A12A0" w:rsidP="001B6B0B">
      <w:pPr>
        <w:jc w:val="both"/>
        <w:rPr>
          <w:rFonts w:ascii="Verdana" w:hAnsi="Verdana"/>
          <w:lang w:val="es-ES"/>
        </w:rPr>
      </w:pPr>
    </w:p>
    <w:p w14:paraId="1E223D0F" w14:textId="2364F937" w:rsidR="003447EB" w:rsidRPr="00685917" w:rsidRDefault="001A12A0" w:rsidP="005E070D">
      <w:pPr>
        <w:pStyle w:val="Prrafodelista"/>
      </w:pPr>
      <w:r w:rsidRPr="00685917">
        <w:t>Tras la reinstauración de la democracia en Bolivia en 1982, se acordó por consenso, investigar los delitos cometidos por el gobierno de facto del General Luis García Meza</w:t>
      </w:r>
      <w:r w:rsidR="00776DDF">
        <w:t xml:space="preserve"> Tejada</w:t>
      </w:r>
      <w:r w:rsidRPr="00685917">
        <w:t>. Las investigaciones llevaron a que el 25 de febrero de 1986 el Congreso Nacional formulara una acusación ante la Corte Suprema de Justicia. La sentencia estableció la responsabilidad del General Luis García Meza, el Coronel Luis Arce Gómez y sus colaboradores por la comisión de ocho grupos de delitos: sedición y atribución de los derechos del pueblo, alzamiento armado, organización de grupos armados irregulares, resoluciones contrarias a la Constitución y a las leyes, privación de libertad, atentado contra la libertad de prensa, obtención de ventajas ilícitas y violación de la autonomía universitaria. En la sentencia condenatoria se estableció que las acciones del régimen de facto constituían actos “preparatorios [y] planeados</w:t>
      </w:r>
      <w:r w:rsidRPr="00E16922">
        <w:t>”</w:t>
      </w:r>
      <w:r w:rsidRPr="00E16922">
        <w:rPr>
          <w:vertAlign w:val="superscript"/>
        </w:rPr>
        <w:footnoteReference w:id="47"/>
      </w:r>
      <w:r w:rsidRPr="00E16922">
        <w:t xml:space="preserve">. En </w:t>
      </w:r>
      <w:r w:rsidR="003447EB" w:rsidRPr="00E16922">
        <w:t>estos</w:t>
      </w:r>
      <w:r w:rsidRPr="00E16922">
        <w:t xml:space="preserve"> </w:t>
      </w:r>
      <w:r w:rsidR="00280E4D" w:rsidRPr="00E16922">
        <w:t>J</w:t>
      </w:r>
      <w:r w:rsidRPr="00E16922">
        <w:t xml:space="preserve">uicios de </w:t>
      </w:r>
      <w:r w:rsidR="00280E4D" w:rsidRPr="00E16922">
        <w:t>R</w:t>
      </w:r>
      <w:r w:rsidRPr="00E16922">
        <w:t>esponsabilidad acumulados</w:t>
      </w:r>
      <w:r w:rsidR="00280E4D" w:rsidRPr="00E16922">
        <w:t>, seguidos por el Ministerio Público y sus coadyuvantes</w:t>
      </w:r>
      <w:r w:rsidRPr="00E16922">
        <w:t xml:space="preserve"> en contra de Luis García Meza Tej</w:t>
      </w:r>
      <w:r w:rsidR="00BF3D43" w:rsidRPr="00E16922">
        <w:t>a</w:t>
      </w:r>
      <w:r w:rsidRPr="00E16922">
        <w:t>da y sus colaboradores</w:t>
      </w:r>
      <w:r w:rsidR="00280E4D" w:rsidRPr="00E16922">
        <w:t>,</w:t>
      </w:r>
      <w:r w:rsidRPr="00E16922">
        <w:t xml:space="preserve"> se estableció</w:t>
      </w:r>
      <w:r w:rsidRPr="00685917">
        <w:t xml:space="preserve"> que de la toma del edificio de la COB “resulta[ron] muertos Carlos Flores Bedregal y Gualberto Vega Yapura y herido de muerte el líder político del Partido Socialista Marcelo Quiroga Santa Cruz”</w:t>
      </w:r>
      <w:r w:rsidRPr="00E562E4">
        <w:rPr>
          <w:vertAlign w:val="superscript"/>
        </w:rPr>
        <w:footnoteReference w:id="48"/>
      </w:r>
      <w:r w:rsidRPr="00685917">
        <w:t xml:space="preserve">. </w:t>
      </w:r>
    </w:p>
    <w:p w14:paraId="6B8978F6" w14:textId="77777777" w:rsidR="003447EB" w:rsidRPr="002E61E9" w:rsidRDefault="003447EB" w:rsidP="00E55450">
      <w:pPr>
        <w:rPr>
          <w:lang w:val="es-ES"/>
        </w:rPr>
      </w:pPr>
    </w:p>
    <w:p w14:paraId="1CCBB99D" w14:textId="46BF5E47" w:rsidR="001A12A0" w:rsidRPr="00685917" w:rsidRDefault="001A12A0" w:rsidP="005E070D">
      <w:pPr>
        <w:pStyle w:val="Prrafodelista"/>
      </w:pPr>
      <w:r w:rsidRPr="00685917">
        <w:t>Asimismo, en 1999 se inició proceso penal ordinario por los hechos sucedidos el 17 de julio de 1980, y en el mismo se tomó como base del juzgamiento “los pormenores del golpe de estado de fecha 17 de julio de 1980 […], a cuya consecuencia fueron asesinados Marcelo Quiroga Santa Cruz, Carlos Flores Bedregal y Gualberto Vega Yapura”</w:t>
      </w:r>
      <w:r w:rsidR="0038418B" w:rsidRPr="00A54DDB">
        <w:rPr>
          <w:vertAlign w:val="superscript"/>
        </w:rPr>
        <w:footnoteReference w:id="49"/>
      </w:r>
      <w:r w:rsidR="00D37B1C" w:rsidRPr="00685917">
        <w:t>,</w:t>
      </w:r>
      <w:r w:rsidR="00BB6459" w:rsidRPr="00685917">
        <w:t xml:space="preserve"> </w:t>
      </w:r>
      <w:r w:rsidR="00BB6459" w:rsidRPr="00A54DDB">
        <w:t>conforme a lo se</w:t>
      </w:r>
      <w:r w:rsidR="00BB6459" w:rsidRPr="00172791">
        <w:t>ñalado en</w:t>
      </w:r>
      <w:r w:rsidR="00D37B1C" w:rsidRPr="00172791">
        <w:t xml:space="preserve"> la Sentencia de la Corte Suprema de Justicia de la Nación de 15 de abril de 1993</w:t>
      </w:r>
      <w:r w:rsidRPr="00172791">
        <w:t>.</w:t>
      </w:r>
      <w:r w:rsidRPr="00685917">
        <w:t xml:space="preserve">  </w:t>
      </w:r>
    </w:p>
    <w:p w14:paraId="4FDAB523" w14:textId="77777777" w:rsidR="001A12A0" w:rsidRPr="00685917" w:rsidRDefault="001A12A0" w:rsidP="00882669">
      <w:pPr>
        <w:jc w:val="both"/>
        <w:rPr>
          <w:rFonts w:ascii="Verdana" w:hAnsi="Verdana"/>
          <w:lang w:val="es-ES"/>
        </w:rPr>
      </w:pPr>
    </w:p>
    <w:p w14:paraId="7DFD5D4A" w14:textId="5CCA8B4C" w:rsidR="004B2A73" w:rsidRPr="0057068F" w:rsidRDefault="009325DF" w:rsidP="00D62951">
      <w:pPr>
        <w:pStyle w:val="Ttulo3"/>
        <w:spacing w:before="0"/>
        <w:ind w:left="709"/>
        <w:rPr>
          <w:rFonts w:ascii="Verdana" w:hAnsi="Verdana" w:cs="Arial"/>
          <w:b/>
          <w:bCs/>
          <w:color w:val="000000" w:themeColor="text1"/>
          <w:sz w:val="20"/>
          <w:szCs w:val="20"/>
          <w:lang w:val="es-ES"/>
        </w:rPr>
      </w:pPr>
      <w:bookmarkStart w:id="112" w:name="_Toc125037471"/>
      <w:r w:rsidRPr="0057068F">
        <w:rPr>
          <w:rFonts w:ascii="Verdana" w:hAnsi="Verdana" w:cs="Arial"/>
          <w:b/>
          <w:bCs/>
          <w:color w:val="000000" w:themeColor="text1"/>
          <w:sz w:val="20"/>
          <w:szCs w:val="20"/>
          <w:lang w:val="es-ES"/>
        </w:rPr>
        <w:t>C</w:t>
      </w:r>
      <w:r w:rsidR="004B2A73" w:rsidRPr="0057068F">
        <w:rPr>
          <w:rFonts w:ascii="Verdana" w:hAnsi="Verdana" w:cs="Arial"/>
          <w:b/>
          <w:bCs/>
          <w:color w:val="000000" w:themeColor="text1"/>
          <w:sz w:val="20"/>
          <w:szCs w:val="20"/>
          <w:lang w:val="es-ES"/>
        </w:rPr>
        <w:t xml:space="preserve">.1. </w:t>
      </w:r>
      <w:r w:rsidR="00D10DF5" w:rsidRPr="0057068F">
        <w:rPr>
          <w:rFonts w:ascii="Verdana" w:hAnsi="Verdana" w:cs="Arial"/>
          <w:b/>
          <w:bCs/>
          <w:color w:val="000000" w:themeColor="text1"/>
          <w:sz w:val="20"/>
          <w:szCs w:val="20"/>
          <w:lang w:val="es-ES"/>
        </w:rPr>
        <w:t>Proceso penal ordinario “Ministerio Público c/</w:t>
      </w:r>
      <w:r w:rsidR="00422AA7">
        <w:rPr>
          <w:rFonts w:ascii="Verdana" w:hAnsi="Verdana" w:cs="Arial"/>
          <w:b/>
          <w:bCs/>
          <w:color w:val="000000" w:themeColor="text1"/>
          <w:sz w:val="20"/>
          <w:szCs w:val="20"/>
          <w:lang w:val="es-ES"/>
        </w:rPr>
        <w:t xml:space="preserve"> </w:t>
      </w:r>
      <w:r w:rsidR="00D10DF5" w:rsidRPr="0057068F">
        <w:rPr>
          <w:rFonts w:ascii="Verdana" w:hAnsi="Verdana" w:cs="Arial"/>
          <w:b/>
          <w:bCs/>
          <w:color w:val="000000" w:themeColor="text1"/>
          <w:sz w:val="20"/>
          <w:szCs w:val="20"/>
          <w:lang w:val="es-ES"/>
        </w:rPr>
        <w:t xml:space="preserve">Franz Pizarro Solano y </w:t>
      </w:r>
      <w:r w:rsidR="00E16922">
        <w:rPr>
          <w:rFonts w:ascii="Verdana" w:hAnsi="Verdana" w:cs="Arial"/>
          <w:b/>
          <w:bCs/>
          <w:color w:val="000000" w:themeColor="text1"/>
          <w:sz w:val="20"/>
          <w:szCs w:val="20"/>
          <w:lang w:val="es-ES"/>
        </w:rPr>
        <w:t>o</w:t>
      </w:r>
      <w:r w:rsidR="00D10DF5" w:rsidRPr="0057068F">
        <w:rPr>
          <w:rFonts w:ascii="Verdana" w:hAnsi="Verdana" w:cs="Arial"/>
          <w:b/>
          <w:bCs/>
          <w:color w:val="000000" w:themeColor="text1"/>
          <w:sz w:val="20"/>
          <w:szCs w:val="20"/>
          <w:lang w:val="es-ES"/>
        </w:rPr>
        <w:t>tros”</w:t>
      </w:r>
      <w:bookmarkEnd w:id="112"/>
    </w:p>
    <w:p w14:paraId="3C28D175" w14:textId="77777777" w:rsidR="001A12A0" w:rsidRPr="00685917" w:rsidRDefault="001A12A0" w:rsidP="00882669">
      <w:pPr>
        <w:autoSpaceDE w:val="0"/>
        <w:autoSpaceDN w:val="0"/>
        <w:adjustRightInd w:val="0"/>
        <w:jc w:val="both"/>
        <w:rPr>
          <w:rFonts w:ascii="Verdana" w:hAnsi="Verdana"/>
          <w:highlight w:val="cyan"/>
          <w:lang w:val="es-ES"/>
        </w:rPr>
      </w:pPr>
    </w:p>
    <w:p w14:paraId="60C37554" w14:textId="10A1C9AE" w:rsidR="004B2A73" w:rsidRPr="00E16922" w:rsidRDefault="004B2A73" w:rsidP="005E070D">
      <w:pPr>
        <w:pStyle w:val="Prrafodelista"/>
      </w:pPr>
      <w:r w:rsidRPr="00685917">
        <w:t xml:space="preserve">El 3 de septiembre de 1997 la Cámara de Diputados de Bolivia encomendó a su Comisión de Derechos Humanos “el seguimiento y fiscalización de la búsqueda de los restos de </w:t>
      </w:r>
      <w:r w:rsidR="007B10A0" w:rsidRPr="00685917">
        <w:t xml:space="preserve">[…] </w:t>
      </w:r>
      <w:r w:rsidRPr="00685917">
        <w:t>Marcelo Quiroga Santa Cruz”</w:t>
      </w:r>
      <w:r w:rsidRPr="00E562E4">
        <w:rPr>
          <w:vertAlign w:val="superscript"/>
        </w:rPr>
        <w:footnoteReference w:id="50"/>
      </w:r>
      <w:r w:rsidRPr="00685917">
        <w:t xml:space="preserve">. Efectuadas las investigaciones, el 17 de noviembre de 1998 la Cámara de Diputados requirió al Juez Instructor </w:t>
      </w:r>
      <w:r w:rsidR="00DD0147">
        <w:t>de</w:t>
      </w:r>
      <w:r w:rsidRPr="00685917">
        <w:t xml:space="preserve"> Turno en lo Penal del Distrito Judicial de la Paz, dictar Auto Inicial de Instrucción a diversos implicados</w:t>
      </w:r>
      <w:r w:rsidRPr="00E562E4">
        <w:rPr>
          <w:vertAlign w:val="superscript"/>
        </w:rPr>
        <w:footnoteReference w:id="51"/>
      </w:r>
      <w:r w:rsidRPr="00685917">
        <w:t xml:space="preserve">. El 18 de febrero de </w:t>
      </w:r>
      <w:r w:rsidRPr="00EF2DB7">
        <w:t>1999 el Ju</w:t>
      </w:r>
      <w:r w:rsidR="00DD0147" w:rsidRPr="00EF2DB7">
        <w:t>zgado</w:t>
      </w:r>
      <w:r w:rsidRPr="00EF2DB7">
        <w:t xml:space="preserve"> Tercero de Instrucción en lo Penal de La Paz</w:t>
      </w:r>
      <w:r w:rsidR="008667D4" w:rsidRPr="00EF2DB7">
        <w:t xml:space="preserve"> </w:t>
      </w:r>
      <w:r w:rsidR="008667D4" w:rsidRPr="00E16922">
        <w:t xml:space="preserve">(en adelante también </w:t>
      </w:r>
      <w:r w:rsidR="00FA61D8" w:rsidRPr="00E16922">
        <w:t>“Juzgado Tercero de Instrucción”)</w:t>
      </w:r>
      <w:r w:rsidRPr="00E16922">
        <w:t>, emitió</w:t>
      </w:r>
      <w:r w:rsidRPr="00685917">
        <w:t xml:space="preserve"> el </w:t>
      </w:r>
      <w:r w:rsidR="008667D4">
        <w:t>a</w:t>
      </w:r>
      <w:r w:rsidRPr="00685917">
        <w:t xml:space="preserve">uto </w:t>
      </w:r>
      <w:r w:rsidR="008667D4">
        <w:t>i</w:t>
      </w:r>
      <w:r w:rsidRPr="00685917">
        <w:t xml:space="preserve">nicial de </w:t>
      </w:r>
      <w:r w:rsidR="008667D4">
        <w:t>i</w:t>
      </w:r>
      <w:r w:rsidRPr="00685917">
        <w:t>nstrucción</w:t>
      </w:r>
      <w:r w:rsidRPr="00E562E4">
        <w:rPr>
          <w:vertAlign w:val="superscript"/>
        </w:rPr>
        <w:footnoteReference w:id="52"/>
      </w:r>
      <w:r w:rsidR="009241FE">
        <w:t xml:space="preserve"> en el proceso “Ministerio Público c/ Franz Pizarro Solano y otros”</w:t>
      </w:r>
      <w:r w:rsidRPr="00685917">
        <w:t xml:space="preserve">. Los días 20 de mayo y 9 de junio de 1999 se dictaron autos ampliatorios de </w:t>
      </w:r>
      <w:r w:rsidRPr="0086197B">
        <w:t>instrucción</w:t>
      </w:r>
      <w:r w:rsidRPr="0086197B">
        <w:rPr>
          <w:vertAlign w:val="superscript"/>
        </w:rPr>
        <w:footnoteReference w:id="53"/>
      </w:r>
      <w:r w:rsidRPr="0086197B">
        <w:t xml:space="preserve">. El 30 de marzo </w:t>
      </w:r>
      <w:r w:rsidRPr="0086197B">
        <w:lastRenderedPageBreak/>
        <w:t>de 2000 la</w:t>
      </w:r>
      <w:r w:rsidR="007B25DC" w:rsidRPr="0086197B">
        <w:t xml:space="preserve">s hermanas </w:t>
      </w:r>
      <w:r w:rsidRPr="0086197B">
        <w:t>de</w:t>
      </w:r>
      <w:r w:rsidR="00F154D7" w:rsidRPr="0086197B">
        <w:t>l señor</w:t>
      </w:r>
      <w:r w:rsidRPr="0086197B">
        <w:t xml:space="preserve"> Flore</w:t>
      </w:r>
      <w:r w:rsidRPr="00E16922">
        <w:t>s Bedregal se apersonaron ante el Ju</w:t>
      </w:r>
      <w:r w:rsidR="00FA61D8" w:rsidRPr="00E16922">
        <w:t>zgado</w:t>
      </w:r>
      <w:r w:rsidRPr="00E16922">
        <w:t xml:space="preserve"> Tercero de Instrucción, y solicitaron </w:t>
      </w:r>
      <w:r w:rsidR="003447EB" w:rsidRPr="00E16922">
        <w:t>información sobre lo</w:t>
      </w:r>
      <w:r w:rsidRPr="00E16922">
        <w:t xml:space="preserve"> actuado</w:t>
      </w:r>
      <w:r w:rsidR="003447EB" w:rsidRPr="00E16922">
        <w:t xml:space="preserve"> en </w:t>
      </w:r>
      <w:r w:rsidRPr="00E16922">
        <w:t>el proceso penal</w:t>
      </w:r>
      <w:r w:rsidRPr="00E16922">
        <w:rPr>
          <w:vertAlign w:val="superscript"/>
        </w:rPr>
        <w:footnoteReference w:id="54"/>
      </w:r>
      <w:r w:rsidRPr="00E16922">
        <w:t xml:space="preserve">. </w:t>
      </w:r>
    </w:p>
    <w:p w14:paraId="45790A3B" w14:textId="77777777" w:rsidR="004B2A73" w:rsidRPr="00E16922" w:rsidRDefault="004B2A73" w:rsidP="00E55450">
      <w:pPr>
        <w:rPr>
          <w:lang w:val="es-ES"/>
        </w:rPr>
      </w:pPr>
    </w:p>
    <w:p w14:paraId="18DA2BD1" w14:textId="64BDE93B" w:rsidR="001773E8" w:rsidRPr="00E16922" w:rsidRDefault="004B2A73" w:rsidP="005E070D">
      <w:pPr>
        <w:pStyle w:val="Prrafodelista"/>
      </w:pPr>
      <w:r w:rsidRPr="00E16922">
        <w:t>El 18 de abril de 2001 el Ju</w:t>
      </w:r>
      <w:r w:rsidR="00FA61D8" w:rsidRPr="00E16922">
        <w:t>zgado</w:t>
      </w:r>
      <w:r w:rsidRPr="00E16922">
        <w:t xml:space="preserve"> Tercero de Instrucción dictó el </w:t>
      </w:r>
      <w:r w:rsidR="00FA61D8" w:rsidRPr="00E16922">
        <w:t>a</w:t>
      </w:r>
      <w:r w:rsidRPr="00E16922">
        <w:t xml:space="preserve">uto </w:t>
      </w:r>
      <w:r w:rsidR="00FA61D8" w:rsidRPr="00E16922">
        <w:t>f</w:t>
      </w:r>
      <w:r w:rsidRPr="00E16922">
        <w:t xml:space="preserve">inal de </w:t>
      </w:r>
      <w:r w:rsidR="00FA61D8" w:rsidRPr="00E16922">
        <w:t>i</w:t>
      </w:r>
      <w:r w:rsidRPr="00E16922">
        <w:t xml:space="preserve">nstrucción, en el cual ordenó la detención de 17 inculpados. En esta decisión se incluyó </w:t>
      </w:r>
      <w:r w:rsidR="001C282F" w:rsidRPr="00E16922">
        <w:t xml:space="preserve">al proceso </w:t>
      </w:r>
      <w:r w:rsidRPr="00E16922">
        <w:t xml:space="preserve">el caso de Juan Carlos Flores Bedregal, indicando que se imputaba “la comisión de […] hechos delictuosos en razón de que en el mes de julio de 1980 se produjeron hechos de sangre en los </w:t>
      </w:r>
      <w:r w:rsidR="00A54DDB" w:rsidRPr="00E16922">
        <w:t>que perdieron</w:t>
      </w:r>
      <w:r w:rsidRPr="00E16922">
        <w:t xml:space="preserve"> la </w:t>
      </w:r>
      <w:r w:rsidR="00C62C1C" w:rsidRPr="00E16922">
        <w:t>vida Marcelo</w:t>
      </w:r>
      <w:r w:rsidRPr="00E16922">
        <w:t xml:space="preserve"> Quiroga Santa Cruz y Carlos Flores Bedregal”</w:t>
      </w:r>
      <w:r w:rsidRPr="00E16922">
        <w:rPr>
          <w:vertAlign w:val="superscript"/>
        </w:rPr>
        <w:footnoteReference w:id="55"/>
      </w:r>
      <w:r w:rsidRPr="00E16922">
        <w:t>.</w:t>
      </w:r>
    </w:p>
    <w:p w14:paraId="40F8A484" w14:textId="77777777" w:rsidR="00C30A85" w:rsidRPr="00E16922" w:rsidRDefault="00C30A85" w:rsidP="00E55450">
      <w:pPr>
        <w:rPr>
          <w:lang w:val="es-ES"/>
        </w:rPr>
      </w:pPr>
    </w:p>
    <w:p w14:paraId="1094B4DC" w14:textId="1B6D93D8" w:rsidR="00B56CF3" w:rsidRPr="00E16922" w:rsidRDefault="004B2A73" w:rsidP="005E070D">
      <w:pPr>
        <w:pStyle w:val="Prrafodelista"/>
      </w:pPr>
      <w:r w:rsidRPr="00E16922">
        <w:t xml:space="preserve">El 13 de septiembre de 2002 las hermanas Flores Bedregal se constituyeron en parte querellante </w:t>
      </w:r>
      <w:r w:rsidR="009C1FF6" w:rsidRPr="00E16922">
        <w:t xml:space="preserve">y civil </w:t>
      </w:r>
      <w:r w:rsidRPr="00E16922">
        <w:t>ante el Ju</w:t>
      </w:r>
      <w:r w:rsidR="00FA61D8" w:rsidRPr="00E16922">
        <w:t>zgado</w:t>
      </w:r>
      <w:r w:rsidRPr="00E16922">
        <w:t xml:space="preserve"> Sexto de Partido en lo Penal</w:t>
      </w:r>
      <w:r w:rsidR="00802029" w:rsidRPr="00E16922">
        <w:t xml:space="preserve"> </w:t>
      </w:r>
      <w:r w:rsidRPr="00E16922">
        <w:t xml:space="preserve">y solicitaron que los acusados fueran condenados por los delitos asesinato, alzamiento armado contra la soberanía y seguridad del Estado, </w:t>
      </w:r>
      <w:r w:rsidR="009F5C64" w:rsidRPr="00E16922">
        <w:t xml:space="preserve">organización criminal, terrorismo, lesiones gravísimas, </w:t>
      </w:r>
      <w:r w:rsidR="00DC240A" w:rsidRPr="00E16922">
        <w:t>encubrimiento</w:t>
      </w:r>
      <w:r w:rsidR="00910906" w:rsidRPr="00E16922">
        <w:t xml:space="preserve"> </w:t>
      </w:r>
      <w:r w:rsidR="00DC240A" w:rsidRPr="00E16922">
        <w:t>y falso testimonio</w:t>
      </w:r>
      <w:r w:rsidR="009D4541">
        <w:t xml:space="preserve"> </w:t>
      </w:r>
      <w:r w:rsidRPr="00E16922">
        <w:t xml:space="preserve">y </w:t>
      </w:r>
      <w:r w:rsidR="00AC620F" w:rsidRPr="00E16922">
        <w:t>aleg</w:t>
      </w:r>
      <w:r w:rsidR="009D4541">
        <w:t>aron</w:t>
      </w:r>
      <w:r w:rsidR="00AC620F" w:rsidRPr="00E16922">
        <w:t xml:space="preserve"> la </w:t>
      </w:r>
      <w:r w:rsidRPr="00E16922">
        <w:t>desaparición forzada de personas</w:t>
      </w:r>
      <w:r w:rsidR="00295488" w:rsidRPr="00E16922">
        <w:t>”</w:t>
      </w:r>
      <w:r w:rsidRPr="00E16922">
        <w:rPr>
          <w:vertAlign w:val="superscript"/>
        </w:rPr>
        <w:footnoteReference w:id="56"/>
      </w:r>
      <w:r w:rsidRPr="00E16922">
        <w:t>.</w:t>
      </w:r>
      <w:r w:rsidR="001773E8" w:rsidRPr="00E16922">
        <w:t xml:space="preserve"> </w:t>
      </w:r>
    </w:p>
    <w:p w14:paraId="0D692F52" w14:textId="77777777" w:rsidR="004B2A73" w:rsidRPr="002E61E9" w:rsidRDefault="004B2A73" w:rsidP="00E55450">
      <w:pPr>
        <w:rPr>
          <w:lang w:val="es-ES"/>
        </w:rPr>
      </w:pPr>
    </w:p>
    <w:p w14:paraId="015A013F" w14:textId="2608C886" w:rsidR="00082435" w:rsidRPr="00685917" w:rsidRDefault="004B2A73" w:rsidP="005E070D">
      <w:pPr>
        <w:pStyle w:val="Prrafodelista"/>
      </w:pPr>
      <w:r w:rsidRPr="00685917">
        <w:t>El 15 de mayo de 2006 las hermanas Olga</w:t>
      </w:r>
      <w:r w:rsidR="00345707" w:rsidRPr="00685917">
        <w:t xml:space="preserve"> </w:t>
      </w:r>
      <w:r w:rsidRPr="00685917">
        <w:t>y Verónica</w:t>
      </w:r>
      <w:r w:rsidR="00E75EE0" w:rsidRPr="00685917">
        <w:t xml:space="preserve"> </w:t>
      </w:r>
      <w:r w:rsidRPr="00685917">
        <w:t xml:space="preserve">Flores Bedregal presentaron un escrito ante los Ministros de Gobierno, Justicia y de Defensa Nacional, </w:t>
      </w:r>
      <w:r w:rsidR="001C282F" w:rsidRPr="00685917">
        <w:t>en el cual</w:t>
      </w:r>
      <w:r w:rsidR="00144050" w:rsidRPr="00685917">
        <w:t>, entre otros</w:t>
      </w:r>
      <w:r w:rsidR="00957247" w:rsidRPr="00685917">
        <w:t>,</w:t>
      </w:r>
      <w:r w:rsidR="00144050" w:rsidRPr="00685917">
        <w:t xml:space="preserve"> </w:t>
      </w:r>
      <w:r w:rsidR="001C282F" w:rsidRPr="00685917">
        <w:t>solicitaron</w:t>
      </w:r>
      <w:r w:rsidRPr="00685917">
        <w:t xml:space="preserve">: </w:t>
      </w:r>
      <w:r w:rsidR="001C282F" w:rsidRPr="00685917">
        <w:t>a)</w:t>
      </w:r>
      <w:r w:rsidR="00703BCE" w:rsidRPr="00685917">
        <w:t xml:space="preserve"> </w:t>
      </w:r>
      <w:r w:rsidRPr="00685917">
        <w:t>se acompañe el proceso que llevaba el Ministerio Público contra los involucrados en el proceso penal ordinario, en virtud de que las audiencias constantemente eran suspendidas por la inasistencia de los procesados y el fiscal, sin que el juzgador adoptase medidas para solucionar la situación</w:t>
      </w:r>
      <w:r w:rsidR="001C282F" w:rsidRPr="00685917">
        <w:t>,</w:t>
      </w:r>
      <w:r w:rsidRPr="00685917">
        <w:t xml:space="preserve"> </w:t>
      </w:r>
      <w:r w:rsidR="00B9109E" w:rsidRPr="00685917">
        <w:t xml:space="preserve">y </w:t>
      </w:r>
      <w:r w:rsidR="001C282F" w:rsidRPr="00685917">
        <w:t xml:space="preserve">b) </w:t>
      </w:r>
      <w:r w:rsidRPr="00685917">
        <w:t xml:space="preserve">que el Ministro de Defensa solicite </w:t>
      </w:r>
      <w:r w:rsidR="0083678D" w:rsidRPr="00685917">
        <w:t xml:space="preserve">información sobre lo sucedido </w:t>
      </w:r>
      <w:r w:rsidRPr="00685917">
        <w:t xml:space="preserve">a todos los militares involucrados </w:t>
      </w:r>
      <w:r w:rsidR="0083678D" w:rsidRPr="00685917">
        <w:t xml:space="preserve">y </w:t>
      </w:r>
      <w:r w:rsidRPr="00685917">
        <w:t>los archivos necesarios para aclarar los hechos</w:t>
      </w:r>
      <w:r w:rsidRPr="001B6B0B">
        <w:rPr>
          <w:vertAlign w:val="superscript"/>
        </w:rPr>
        <w:footnoteReference w:id="57"/>
      </w:r>
      <w:r w:rsidRPr="00685917">
        <w:t xml:space="preserve">. </w:t>
      </w:r>
    </w:p>
    <w:p w14:paraId="67BC43AD" w14:textId="77777777" w:rsidR="00082435" w:rsidRPr="002E61E9" w:rsidRDefault="00082435" w:rsidP="00E55450">
      <w:pPr>
        <w:rPr>
          <w:lang w:val="es-ES"/>
        </w:rPr>
      </w:pPr>
    </w:p>
    <w:p w14:paraId="58FE333D" w14:textId="7106993D" w:rsidR="00082435" w:rsidRPr="00EF2DB7" w:rsidRDefault="00082435" w:rsidP="005E070D">
      <w:pPr>
        <w:pStyle w:val="Prrafodelista"/>
      </w:pPr>
      <w:r w:rsidRPr="00685917">
        <w:t>El 22 de agosto de 2006 la abogada de la familia Flores Bedregal presentó una solicitud a</w:t>
      </w:r>
      <w:r w:rsidR="0083678D" w:rsidRPr="00685917">
        <w:t>l</w:t>
      </w:r>
      <w:r w:rsidRPr="00685917">
        <w:t xml:space="preserve"> </w:t>
      </w:r>
      <w:r w:rsidRPr="00E16922">
        <w:t>J</w:t>
      </w:r>
      <w:r w:rsidR="00121975" w:rsidRPr="00E16922">
        <w:t>uzgado Segundo de Partido en lo Penal Liquidador</w:t>
      </w:r>
      <w:r w:rsidR="008D6730" w:rsidRPr="00E16922">
        <w:t xml:space="preserve"> (en adelante también “Juzgado Segundo en lo Penal) </w:t>
      </w:r>
      <w:r w:rsidR="0083678D" w:rsidRPr="00E16922">
        <w:t xml:space="preserve">para que </w:t>
      </w:r>
      <w:r w:rsidRPr="00E16922">
        <w:t>ordenara al Ministerio de Defensa “la desclasificación y desarchivo de los documentos de los archivos de las Fuerzas</w:t>
      </w:r>
      <w:r w:rsidRPr="00EF2DB7">
        <w:t xml:space="preserve"> Armadas correspondientes al año 1980 referentes al caso del Golpe de Estado del 17 de julio de 1980” con el objeto de esclarecer el paradero del señor Flores Bedregal</w:t>
      </w:r>
      <w:r w:rsidRPr="00EF2DB7">
        <w:rPr>
          <w:vertAlign w:val="superscript"/>
        </w:rPr>
        <w:footnoteReference w:id="58"/>
      </w:r>
      <w:r w:rsidRPr="00EF2DB7">
        <w:t xml:space="preserve">. </w:t>
      </w:r>
      <w:r w:rsidRPr="00EF2DB7">
        <w:lastRenderedPageBreak/>
        <w:t xml:space="preserve">El 23 de agosto de 2006, se dictó </w:t>
      </w:r>
      <w:r w:rsidR="001C282F" w:rsidRPr="00EF2DB7">
        <w:t xml:space="preserve">una </w:t>
      </w:r>
      <w:r w:rsidRPr="00EF2DB7">
        <w:t xml:space="preserve">providencia </w:t>
      </w:r>
      <w:r w:rsidR="001C282F" w:rsidRPr="00EF2DB7">
        <w:t>en la cual se</w:t>
      </w:r>
      <w:r w:rsidR="0083678D" w:rsidRPr="00EF2DB7">
        <w:t xml:space="preserve"> solicitó</w:t>
      </w:r>
      <w:r w:rsidRPr="00EF2DB7">
        <w:t xml:space="preserve"> que </w:t>
      </w:r>
      <w:r w:rsidR="001C282F" w:rsidRPr="00EF2DB7">
        <w:t xml:space="preserve">se </w:t>
      </w:r>
      <w:r w:rsidRPr="00EF2DB7">
        <w:t>“adec</w:t>
      </w:r>
      <w:r w:rsidR="002557B1" w:rsidRPr="00EF2DB7">
        <w:rPr>
          <w:lang w:val="es-CO"/>
        </w:rPr>
        <w:t>ú</w:t>
      </w:r>
      <w:r w:rsidRPr="00EF2DB7">
        <w:t>e su solicitud al principio de pertinencia con relación a los delitos que se juzga”</w:t>
      </w:r>
      <w:r w:rsidRPr="00EF2DB7">
        <w:rPr>
          <w:vertAlign w:val="superscript"/>
        </w:rPr>
        <w:footnoteReference w:id="59"/>
      </w:r>
      <w:r w:rsidRPr="00EF2DB7">
        <w:t xml:space="preserve">. </w:t>
      </w:r>
      <w:r w:rsidR="001C282F" w:rsidRPr="00EF2DB7">
        <w:t>El 28 de agosto de 2006 l</w:t>
      </w:r>
      <w:r w:rsidRPr="00EF2DB7">
        <w:t xml:space="preserve">a </w:t>
      </w:r>
      <w:r w:rsidR="0083678D" w:rsidRPr="00EF2DB7">
        <w:t xml:space="preserve">familia Flores Bedregal reiteró la </w:t>
      </w:r>
      <w:r w:rsidRPr="00EF2DB7">
        <w:t>solicitud</w:t>
      </w:r>
      <w:r w:rsidRPr="00EF2DB7">
        <w:rPr>
          <w:vertAlign w:val="superscript"/>
        </w:rPr>
        <w:footnoteReference w:id="60"/>
      </w:r>
      <w:r w:rsidR="00703BCE" w:rsidRPr="00EF2DB7">
        <w:t xml:space="preserve">. </w:t>
      </w:r>
      <w:r w:rsidR="001C282F" w:rsidRPr="00EF2DB7">
        <w:t>L</w:t>
      </w:r>
      <w:r w:rsidRPr="00EF2DB7">
        <w:t>a respuest</w:t>
      </w:r>
      <w:r w:rsidR="0083678D" w:rsidRPr="00EF2DB7">
        <w:t>a</w:t>
      </w:r>
      <w:r w:rsidR="001C282F" w:rsidRPr="00EF2DB7">
        <w:t xml:space="preserve"> </w:t>
      </w:r>
      <w:r w:rsidRPr="00EF2DB7">
        <w:t>se limitó a</w:t>
      </w:r>
      <w:r w:rsidR="004B6E54" w:rsidRPr="00EF2DB7">
        <w:t xml:space="preserve"> hacer referencia</w:t>
      </w:r>
      <w:r w:rsidRPr="00EF2DB7">
        <w:t xml:space="preserve"> a </w:t>
      </w:r>
      <w:r w:rsidR="004B6E54" w:rsidRPr="00EF2DB7">
        <w:t xml:space="preserve">la </w:t>
      </w:r>
      <w:r w:rsidRPr="00EF2DB7">
        <w:t>“previa noticia contraria Vista Fiscal”</w:t>
      </w:r>
      <w:r w:rsidRPr="00EF2DB7">
        <w:rPr>
          <w:vertAlign w:val="superscript"/>
        </w:rPr>
        <w:footnoteReference w:id="61"/>
      </w:r>
      <w:r w:rsidRPr="00EF2DB7">
        <w:t xml:space="preserve">. El 23 de septiembre de 2006 </w:t>
      </w:r>
      <w:r w:rsidR="004B6E54" w:rsidRPr="00EF2DB7">
        <w:t xml:space="preserve">la Familia Flores Bedregal </w:t>
      </w:r>
      <w:r w:rsidRPr="00EF2DB7">
        <w:t xml:space="preserve">reiteró </w:t>
      </w:r>
      <w:r w:rsidR="004B6E54" w:rsidRPr="00EF2DB7">
        <w:t>su</w:t>
      </w:r>
      <w:r w:rsidRPr="00EF2DB7">
        <w:t xml:space="preserve"> solicitud de acceso a la información</w:t>
      </w:r>
      <w:r w:rsidRPr="00EF2DB7">
        <w:rPr>
          <w:vertAlign w:val="superscript"/>
        </w:rPr>
        <w:footnoteReference w:id="62"/>
      </w:r>
      <w:r w:rsidRPr="00EF2DB7">
        <w:t xml:space="preserve">. </w:t>
      </w:r>
    </w:p>
    <w:p w14:paraId="78954D49" w14:textId="77777777" w:rsidR="00335580" w:rsidRPr="00EF2DB7" w:rsidRDefault="00335580" w:rsidP="00E55450">
      <w:pPr>
        <w:rPr>
          <w:lang w:val="es-ES"/>
        </w:rPr>
      </w:pPr>
    </w:p>
    <w:p w14:paraId="05152199" w14:textId="48F94417" w:rsidR="00774CE7" w:rsidRPr="00685917" w:rsidRDefault="004B2A73" w:rsidP="005E070D">
      <w:pPr>
        <w:pStyle w:val="Prrafodelista"/>
      </w:pPr>
      <w:r w:rsidRPr="00EF2DB7">
        <w:t xml:space="preserve">El 12 de diciembre de 2007 </w:t>
      </w:r>
      <w:r w:rsidR="008D6730" w:rsidRPr="00EF2DB7">
        <w:t xml:space="preserve">el </w:t>
      </w:r>
      <w:r w:rsidRPr="00EF2DB7">
        <w:t xml:space="preserve">Juzgado Segundo en lo Penal </w:t>
      </w:r>
      <w:r w:rsidR="00973FC8" w:rsidRPr="00E16922">
        <w:t xml:space="preserve">mediante Resolución No. 129/2007 </w:t>
      </w:r>
      <w:r w:rsidR="008F7A8D" w:rsidRPr="00E16922">
        <w:t>(en adelante también Resolución No. 129/2007)</w:t>
      </w:r>
      <w:r w:rsidR="008F7A8D" w:rsidRPr="00EF2DB7">
        <w:t xml:space="preserve"> </w:t>
      </w:r>
      <w:r w:rsidRPr="00EF2DB7">
        <w:t>dictó</w:t>
      </w:r>
      <w:r w:rsidRPr="00685917">
        <w:t xml:space="preserve"> sentencia condenatoria dentro del proceso penal ordinario contra varios imputados. Se tuvo por acreditado que </w:t>
      </w:r>
      <w:r w:rsidR="00A94D21" w:rsidRPr="00685917">
        <w:t>Franz Pizarro Solano</w:t>
      </w:r>
      <w:r w:rsidR="00A94D21">
        <w:t xml:space="preserve">, </w:t>
      </w:r>
      <w:r w:rsidRPr="00685917">
        <w:t>Felipe Froilán Molina</w:t>
      </w:r>
      <w:r w:rsidR="00A94D21">
        <w:t xml:space="preserve"> y</w:t>
      </w:r>
      <w:r w:rsidRPr="00685917">
        <w:t xml:space="preserve"> José Luis Ormachea España participaron activamente del alzamiento armado de  17 de julio de 1980, y que si bien “no se ha podido determinar [...] al autor directo de la muerte de los dirigentes, </w:t>
      </w:r>
      <w:r w:rsidR="00B9109E" w:rsidRPr="00685917">
        <w:t>[…]</w:t>
      </w:r>
      <w:r w:rsidRPr="00685917">
        <w:t xml:space="preserve"> no es menos evidente que está acreditado el asesinato de Marcelo Quiroga Santa Cruz, Juan Carlos Flores Bedregal y Gualberto Vega Yapura [..., por lo que al] haber participado los tres encausados en la toma de la C</w:t>
      </w:r>
      <w:r w:rsidR="00AD0F64">
        <w:t>.</w:t>
      </w:r>
      <w:r w:rsidRPr="00685917">
        <w:t>O</w:t>
      </w:r>
      <w:r w:rsidR="00AD0F64">
        <w:t>.</w:t>
      </w:r>
      <w:r w:rsidRPr="00685917">
        <w:t xml:space="preserve">B, permitido la muerte de los dirigentes, haber participado en la tortura de los aprehendidos, directa e indirectamente y no prestar la cooperación debida </w:t>
      </w:r>
      <w:r w:rsidR="00AD0F64" w:rsidRPr="00E16922">
        <w:t>para el esclarecimiento de los hechos, la determinación de los verdaderos responsables de la muerte de los dirigentes y el lugar en que se encuentran sus cuerpos</w:t>
      </w:r>
      <w:r w:rsidR="00750B5E" w:rsidRPr="00685917">
        <w:t xml:space="preserve">, </w:t>
      </w:r>
      <w:r w:rsidRPr="00685917">
        <w:t xml:space="preserve">la conducta de los </w:t>
      </w:r>
      <w:r w:rsidR="00AD0F64" w:rsidRPr="00E16922">
        <w:t>tres</w:t>
      </w:r>
      <w:r w:rsidR="00AD0F64">
        <w:t xml:space="preserve"> </w:t>
      </w:r>
      <w:r w:rsidRPr="00685917">
        <w:t>encausados se adecua plenamente a los delitos por los que fueron acusados”. Se les condenó a una pena privativa de libertad de 30 años de presidio sin derecho a indulto por los delitos de alzamiento armado contra la seguridad y soberanía del Estado, terrorismo y encubrimiento, y asesinato en grado de complicidad</w:t>
      </w:r>
      <w:r w:rsidRPr="001B6B0B">
        <w:rPr>
          <w:vertAlign w:val="superscript"/>
        </w:rPr>
        <w:footnoteReference w:id="63"/>
      </w:r>
      <w:r w:rsidRPr="00685917">
        <w:t>.</w:t>
      </w:r>
    </w:p>
    <w:p w14:paraId="3A630AD1" w14:textId="43DDB559" w:rsidR="00446B07" w:rsidRPr="00B50CD5" w:rsidRDefault="00446B07" w:rsidP="00E55450">
      <w:pPr>
        <w:rPr>
          <w:color w:val="FF0000"/>
          <w:lang w:val="es-ES"/>
        </w:rPr>
      </w:pPr>
    </w:p>
    <w:p w14:paraId="3712688F" w14:textId="4FFFD6E3" w:rsidR="004B2A73" w:rsidRDefault="004B2A73" w:rsidP="005E070D">
      <w:pPr>
        <w:pStyle w:val="Prrafodelista"/>
      </w:pPr>
      <w:r w:rsidRPr="00685917">
        <w:t>En lo que respecta al levantamiento de los presuntos cadáveres de Marcelo Quiroga y Juan Carlos Flores Bedregal, se resolvió absolver a</w:t>
      </w:r>
      <w:r w:rsidR="00750B5E" w:rsidRPr="00685917">
        <w:t xml:space="preserve"> ciertos imputados</w:t>
      </w:r>
      <w:r w:rsidR="00750B5E" w:rsidRPr="00775428">
        <w:rPr>
          <w:vertAlign w:val="superscript"/>
        </w:rPr>
        <w:footnoteReference w:id="64"/>
      </w:r>
      <w:r w:rsidRPr="00685917">
        <w:t xml:space="preserve"> por insuficiencia probatoria para declararlos responsables por los delitos de falso </w:t>
      </w:r>
      <w:r w:rsidRPr="0086197B">
        <w:t>testimonio y encubrimiento. No obstante, respecto de Rogelio Gómez Espinoza</w:t>
      </w:r>
      <w:r w:rsidR="00A54966" w:rsidRPr="0086197B">
        <w:t>,</w:t>
      </w:r>
      <w:r w:rsidR="00B50CD5" w:rsidRPr="0086197B">
        <w:t xml:space="preserve"> </w:t>
      </w:r>
      <w:r w:rsidRPr="0086197B">
        <w:t>Joaquín Quisbert</w:t>
      </w:r>
      <w:r w:rsidR="00A54966" w:rsidRPr="0086197B">
        <w:t xml:space="preserve"> </w:t>
      </w:r>
      <w:r w:rsidR="00A54966" w:rsidRPr="00E16922">
        <w:t>Quiroga</w:t>
      </w:r>
      <w:r w:rsidR="00967539" w:rsidRPr="00E16922">
        <w:t xml:space="preserve">, Raúl </w:t>
      </w:r>
      <w:r w:rsidR="00E22443" w:rsidRPr="00E16922">
        <w:t>Solano Medina, Adolfo Ustare</w:t>
      </w:r>
      <w:r w:rsidR="00685E2E" w:rsidRPr="00E16922">
        <w:t>z</w:t>
      </w:r>
      <w:r w:rsidR="00E22443" w:rsidRPr="00E16922">
        <w:t xml:space="preserve"> Ferre</w:t>
      </w:r>
      <w:r w:rsidR="00685E2E" w:rsidRPr="00E16922">
        <w:t>i</w:t>
      </w:r>
      <w:r w:rsidR="00E22443" w:rsidRPr="00E16922">
        <w:t>ra, José Gr</w:t>
      </w:r>
      <w:r w:rsidR="00646490" w:rsidRPr="00E16922">
        <w:t>egorio</w:t>
      </w:r>
      <w:r w:rsidR="00E22443" w:rsidRPr="00E16922">
        <w:t xml:space="preserve"> Loza Balz</w:t>
      </w:r>
      <w:r w:rsidR="00524344" w:rsidRPr="00E16922">
        <w:t>a</w:t>
      </w:r>
      <w:r w:rsidR="00E22443" w:rsidRPr="00E16922">
        <w:t xml:space="preserve"> René Javier Hinojoza Valdéz</w:t>
      </w:r>
      <w:r w:rsidR="00646490" w:rsidRPr="00E16922">
        <w:t xml:space="preserve"> y José Faustino </w:t>
      </w:r>
      <w:r w:rsidR="00A54966" w:rsidRPr="00E16922">
        <w:t xml:space="preserve">Rico </w:t>
      </w:r>
      <w:r w:rsidR="00646490" w:rsidRPr="00E16922">
        <w:t>Toro</w:t>
      </w:r>
      <w:r w:rsidRPr="00E16922">
        <w:t>,</w:t>
      </w:r>
      <w:r w:rsidRPr="00A54966">
        <w:t xml:space="preserve"> el órgano judicial determinó resolver su culpabilidad respecto de los mencionados delitos, sobre la </w:t>
      </w:r>
      <w:r w:rsidRPr="004F3A20">
        <w:t xml:space="preserve">base de que a pesar de estar probado que tuvieron participación en los hechos del golpe de </w:t>
      </w:r>
      <w:r w:rsidR="008D6730" w:rsidRPr="004F3A20">
        <w:t>Estado,</w:t>
      </w:r>
      <w:r w:rsidR="008D6730" w:rsidRPr="00A54966">
        <w:t xml:space="preserve"> se</w:t>
      </w:r>
      <w:r w:rsidR="001C282F" w:rsidRPr="00A54966">
        <w:t xml:space="preserve"> </w:t>
      </w:r>
      <w:r w:rsidRPr="00A54966">
        <w:t>“rehúsa</w:t>
      </w:r>
      <w:r w:rsidR="001C282F" w:rsidRPr="00A54966">
        <w:t>[ro</w:t>
      </w:r>
      <w:r w:rsidRPr="00A54966">
        <w:t xml:space="preserve">n </w:t>
      </w:r>
      <w:r w:rsidR="001C282F" w:rsidRPr="00A54966">
        <w:t xml:space="preserve">a] </w:t>
      </w:r>
      <w:r w:rsidRPr="00A54966">
        <w:t>proporcionar mayor información sobre los otros participantes en los hechos, sobre los directos victimadores</w:t>
      </w:r>
      <w:r w:rsidR="001C282F" w:rsidRPr="00A54966">
        <w:t>[(sic)]</w:t>
      </w:r>
      <w:r w:rsidRPr="00A54966">
        <w:t xml:space="preserve"> y sobre el paradero de los restos de los dirigentes malogrados”, ya que en las declaraciones rendidas “ocultaron información” y</w:t>
      </w:r>
      <w:r w:rsidR="0056364F" w:rsidRPr="00A54966">
        <w:t xml:space="preserve"> en</w:t>
      </w:r>
      <w:r w:rsidRPr="00A54966">
        <w:t xml:space="preserve"> “las declaraciones que prestaron callaron la verdad en todo o en parte de lo que conocen”</w:t>
      </w:r>
      <w:r w:rsidR="0056364F" w:rsidRPr="00A54966">
        <w:t>. Además, indicó</w:t>
      </w:r>
      <w:r w:rsidRPr="00A54966">
        <w:t xml:space="preserve"> que</w:t>
      </w:r>
      <w:r w:rsidR="00646490" w:rsidRPr="00B50CD5">
        <w:t xml:space="preserve"> </w:t>
      </w:r>
      <w:r w:rsidR="00646490" w:rsidRPr="00E16922">
        <w:t xml:space="preserve">Rogelio Gómez Espinoza y Joaquín </w:t>
      </w:r>
      <w:r w:rsidR="00646490" w:rsidRPr="00E16922">
        <w:lastRenderedPageBreak/>
        <w:t>Quisbert Quiroga, implicados en el levantamiento de los cadáveres y su traslado a la morgue,</w:t>
      </w:r>
      <w:r w:rsidR="00646490" w:rsidRPr="00A54966">
        <w:rPr>
          <w:b/>
          <w:bCs/>
        </w:rPr>
        <w:t xml:space="preserve"> </w:t>
      </w:r>
      <w:r w:rsidRPr="00A54966">
        <w:t>“cometieron una serie de actos irregulares” en el caso del levantamiento de cadáveres</w:t>
      </w:r>
      <w:r w:rsidR="00BC71A0" w:rsidRPr="00A54966">
        <w:t>. En dicha sentencia, también se determinó entre los hechos base del juzgamiento, que los procesados “participaron […] en un pacto de silencio, no proporcionan ninguna información aclaratoria, encubriendo los hechos delictivos y muchos otros prestando declaraciones totalmente falsas”</w:t>
      </w:r>
      <w:r w:rsidR="00BC71A0" w:rsidRPr="00A54966">
        <w:rPr>
          <w:vertAlign w:val="superscript"/>
        </w:rPr>
        <w:footnoteReference w:id="65"/>
      </w:r>
      <w:r w:rsidR="00BC71A0" w:rsidRPr="00A54966">
        <w:t>.</w:t>
      </w:r>
      <w:r w:rsidR="00BC71A0" w:rsidRPr="00685917">
        <w:t xml:space="preserve"> </w:t>
      </w:r>
    </w:p>
    <w:p w14:paraId="7A3B5761" w14:textId="77777777" w:rsidR="00882669" w:rsidRPr="002E61E9" w:rsidRDefault="00882669" w:rsidP="00E55450">
      <w:pPr>
        <w:rPr>
          <w:lang w:val="es-ES"/>
        </w:rPr>
      </w:pPr>
    </w:p>
    <w:p w14:paraId="5841FA35" w14:textId="183E069D" w:rsidR="004B2A73" w:rsidRPr="00685917" w:rsidRDefault="004B2A73" w:rsidP="005E070D">
      <w:pPr>
        <w:pStyle w:val="Prrafodelista"/>
      </w:pPr>
      <w:r w:rsidRPr="00685917">
        <w:t>Con relación a los alegatos formulados por la parte querellante en el proceso penal</w:t>
      </w:r>
      <w:r w:rsidR="00B519EF" w:rsidRPr="00685917">
        <w:t xml:space="preserve"> para que </w:t>
      </w:r>
      <w:r w:rsidRPr="00685917">
        <w:t xml:space="preserve">se juzgase a los acusados por el delito de desaparición forzada, </w:t>
      </w:r>
      <w:r w:rsidRPr="0086197B">
        <w:t xml:space="preserve">el </w:t>
      </w:r>
      <w:r w:rsidRPr="00E16922">
        <w:t>Ju</w:t>
      </w:r>
      <w:r w:rsidR="00102431" w:rsidRPr="00E16922">
        <w:t>zgado</w:t>
      </w:r>
      <w:r w:rsidRPr="00E16922">
        <w:t xml:space="preserve"> Segundo </w:t>
      </w:r>
      <w:r w:rsidR="008F7A8D" w:rsidRPr="00E16922">
        <w:t>en lo Penal</w:t>
      </w:r>
      <w:r w:rsidR="0086197B" w:rsidRPr="0086197B">
        <w:rPr>
          <w:b/>
          <w:bCs/>
        </w:rPr>
        <w:t xml:space="preserve"> </w:t>
      </w:r>
      <w:r w:rsidRPr="0086197B">
        <w:t>consideró improcedente tal pe</w:t>
      </w:r>
      <w:r w:rsidR="0056364F" w:rsidRPr="0086197B">
        <w:t xml:space="preserve">tición, ya </w:t>
      </w:r>
      <w:r w:rsidRPr="0086197B">
        <w:t>que ese delito fue incorporado al sistema jurídico</w:t>
      </w:r>
      <w:r w:rsidRPr="00685917">
        <w:t xml:space="preserve"> boliviano “por mandato de la Ley No. 3326 de 18 de enero de 2006 […] en tal razón por el carácter irretroactivo de la Ley Penal, establecido por el Art. 33 Constitucional y la aplicación de la Ley Penal en el tiempo que habla el Art. 4 del Código Punitivo, no puede ser aplicable a los procesados dentro del presente caso, a quienes se juzgan hechos de 1980 y cuya causa se inició mucho antes de la vigencia de este delito; es más los propios Tratados y Convenios Internacionales fueron ratificados en data posterior a los hechos juzgados”. Agregó que “el delito de desaparición forzada de personas no forma parte del auto de procesamiento por lo que mal puede el juez referirse a dicho delito por el que los procesados no asumieron defensa”</w:t>
      </w:r>
      <w:r w:rsidRPr="001B6B0B">
        <w:rPr>
          <w:vertAlign w:val="superscript"/>
        </w:rPr>
        <w:footnoteReference w:id="66"/>
      </w:r>
      <w:r w:rsidRPr="00685917">
        <w:t xml:space="preserve">. </w:t>
      </w:r>
    </w:p>
    <w:p w14:paraId="7628AF4C" w14:textId="77777777" w:rsidR="004B2A73" w:rsidRPr="002E61E9" w:rsidRDefault="004B2A73" w:rsidP="00E55450">
      <w:pPr>
        <w:rPr>
          <w:lang w:val="es-ES"/>
        </w:rPr>
      </w:pPr>
    </w:p>
    <w:p w14:paraId="78744F76" w14:textId="3CA1349C" w:rsidR="00446B07" w:rsidRPr="008925A9" w:rsidRDefault="00F449C1" w:rsidP="005E070D">
      <w:pPr>
        <w:pStyle w:val="Prrafodelista"/>
      </w:pPr>
      <w:r>
        <w:t>C</w:t>
      </w:r>
      <w:r w:rsidR="004B2A73" w:rsidRPr="00685917">
        <w:t>ontra la resolución de p</w:t>
      </w:r>
      <w:r w:rsidR="004B2A73" w:rsidRPr="00E16922">
        <w:t>rimera instancia</w:t>
      </w:r>
      <w:r w:rsidR="008F7A8D" w:rsidRPr="00E16922">
        <w:t xml:space="preserve"> de 12 de diciembre de 2007</w:t>
      </w:r>
      <w:r w:rsidR="004B2A73" w:rsidRPr="00E16922">
        <w:t>, interpusieron recurso de apelación algunos de los procesados</w:t>
      </w:r>
      <w:r w:rsidR="004B2A73" w:rsidRPr="00E16922">
        <w:rPr>
          <w:vertAlign w:val="superscript"/>
        </w:rPr>
        <w:footnoteReference w:id="67"/>
      </w:r>
      <w:r w:rsidR="004B2A73" w:rsidRPr="00E16922">
        <w:rPr>
          <w:vertAlign w:val="superscript"/>
        </w:rPr>
        <w:t xml:space="preserve"> </w:t>
      </w:r>
      <w:r w:rsidR="004B2A73" w:rsidRPr="00E16922">
        <w:t>y la representación de las familias Flores Bedregal y Quiroga Santa Cruz, como partes civiles</w:t>
      </w:r>
      <w:r w:rsidR="004B2A73" w:rsidRPr="00E16922">
        <w:rPr>
          <w:vertAlign w:val="superscript"/>
        </w:rPr>
        <w:footnoteReference w:id="68"/>
      </w:r>
      <w:r w:rsidR="004B2A73" w:rsidRPr="00E16922">
        <w:t xml:space="preserve">. </w:t>
      </w:r>
      <w:r w:rsidR="0056364F" w:rsidRPr="00E16922">
        <w:t xml:space="preserve">El 22 de agosto de 2008 </w:t>
      </w:r>
      <w:r w:rsidR="004B2A73" w:rsidRPr="00E16922">
        <w:t xml:space="preserve">la Sala Penal Tercera de la Corte Superior del Distrito Judicial de La Paz, mediante Resolución No. 103/2008 </w:t>
      </w:r>
      <w:r w:rsidR="00685E2E" w:rsidRPr="00E16922">
        <w:t>(en adelante “Resolución No. 103/2008”)</w:t>
      </w:r>
      <w:r w:rsidR="00685E2E" w:rsidRPr="00EF2DB7">
        <w:rPr>
          <w:b/>
          <w:bCs/>
        </w:rPr>
        <w:t xml:space="preserve"> </w:t>
      </w:r>
      <w:r w:rsidR="004B2A73" w:rsidRPr="00EF2DB7">
        <w:t>confirmó</w:t>
      </w:r>
      <w:r w:rsidR="004B2A73" w:rsidRPr="00685917">
        <w:t xml:space="preserve"> el fallo de primera instancia en la porción que condenaba a los procesados, y lo revocó en </w:t>
      </w:r>
      <w:r w:rsidR="00CA41A3" w:rsidRPr="00685917">
        <w:t>la</w:t>
      </w:r>
      <w:r w:rsidR="004B2A73" w:rsidRPr="00685917">
        <w:t xml:space="preserve"> parte que absolvía </w:t>
      </w:r>
      <w:r w:rsidR="009416DC" w:rsidRPr="00685917">
        <w:t xml:space="preserve">a ciertos imputados </w:t>
      </w:r>
      <w:r w:rsidR="004B2A73" w:rsidRPr="00685917">
        <w:t>por el delito de encubrimiento</w:t>
      </w:r>
      <w:r w:rsidR="009416DC" w:rsidRPr="00775428">
        <w:rPr>
          <w:vertAlign w:val="superscript"/>
        </w:rPr>
        <w:footnoteReference w:id="69"/>
      </w:r>
      <w:r w:rsidR="004B2A73" w:rsidRPr="00685917">
        <w:t xml:space="preserve">. Lo anterior, al considerar que los acusados no denunciaron actos de los cuales tuvieron conocimiento, entre </w:t>
      </w:r>
      <w:r w:rsidR="009416DC" w:rsidRPr="00685917">
        <w:t xml:space="preserve">los cuales </w:t>
      </w:r>
      <w:r w:rsidR="004B2A73" w:rsidRPr="00685917">
        <w:t>se en</w:t>
      </w:r>
      <w:r w:rsidR="0056364F" w:rsidRPr="00685917">
        <w:t>contraba</w:t>
      </w:r>
      <w:r w:rsidR="004B2A73" w:rsidRPr="00685917">
        <w:t xml:space="preserve"> el supuesto levantamiento del cuerpo de Juan Carlos Flores Bedregal</w:t>
      </w:r>
      <w:r w:rsidR="004B2A73" w:rsidRPr="001B6B0B">
        <w:rPr>
          <w:vertAlign w:val="superscript"/>
        </w:rPr>
        <w:footnoteReference w:id="70"/>
      </w:r>
      <w:r w:rsidR="004B2A73" w:rsidRPr="00685917">
        <w:t xml:space="preserve">. </w:t>
      </w:r>
    </w:p>
    <w:p w14:paraId="51A49483" w14:textId="77777777" w:rsidR="00446B07" w:rsidRPr="002E61E9" w:rsidRDefault="00446B07" w:rsidP="00E55450">
      <w:pPr>
        <w:rPr>
          <w:lang w:val="es-ES"/>
        </w:rPr>
      </w:pPr>
    </w:p>
    <w:p w14:paraId="11D9F3F8" w14:textId="1DB60EF5" w:rsidR="004B2A73" w:rsidRDefault="00446B07" w:rsidP="005E070D">
      <w:pPr>
        <w:pStyle w:val="Prrafodelista"/>
      </w:pPr>
      <w:r w:rsidRPr="00685917">
        <w:t xml:space="preserve">La </w:t>
      </w:r>
      <w:r w:rsidRPr="00CF6D07">
        <w:t xml:space="preserve">Resolución No. 103/2008 también rechazó </w:t>
      </w:r>
      <w:r w:rsidRPr="006478DE">
        <w:t xml:space="preserve">una solicitud </w:t>
      </w:r>
      <w:r w:rsidR="00091545" w:rsidRPr="006478DE">
        <w:t>sobre la nulidad de todo lo obrado en el proces</w:t>
      </w:r>
      <w:r w:rsidR="00A912AC" w:rsidRPr="006478DE">
        <w:t>o</w:t>
      </w:r>
      <w:r w:rsidR="00CF6D07">
        <w:t xml:space="preserve"> presentada</w:t>
      </w:r>
      <w:r w:rsidRPr="00CF6D07">
        <w:t xml:space="preserve"> por la Fiscalía Superior de Distrito de la Paz el 9 de abril de 2008</w:t>
      </w:r>
      <w:r w:rsidRPr="001B6B0B">
        <w:rPr>
          <w:vertAlign w:val="superscript"/>
        </w:rPr>
        <w:footnoteReference w:id="71"/>
      </w:r>
      <w:r w:rsidR="009C3952">
        <w:t>.</w:t>
      </w:r>
      <w:r w:rsidR="00091545">
        <w:t xml:space="preserve"> </w:t>
      </w:r>
      <w:r w:rsidRPr="00685917">
        <w:t>Frente a dicha solicitud de nulidad, la señora Olga Flores interpuso denuncia ante el Ministerio Público contra la Fiscal que la presentó</w:t>
      </w:r>
      <w:r w:rsidRPr="001B6B0B">
        <w:rPr>
          <w:vertAlign w:val="superscript"/>
        </w:rPr>
        <w:footnoteReference w:id="72"/>
      </w:r>
      <w:r w:rsidRPr="00685917">
        <w:t xml:space="preserve">, y también solicitó a la Comisión de Derechos Humanos de la Cámara de </w:t>
      </w:r>
      <w:r w:rsidRPr="00685917">
        <w:lastRenderedPageBreak/>
        <w:t>Diputados se convocara a la Fiscal para que aclarase la situación</w:t>
      </w:r>
      <w:r w:rsidRPr="00B56729">
        <w:rPr>
          <w:vertAlign w:val="superscript"/>
        </w:rPr>
        <w:footnoteReference w:id="73"/>
      </w:r>
      <w:r w:rsidRPr="00685917">
        <w:t xml:space="preserve">. </w:t>
      </w:r>
      <w:r w:rsidR="0056364F" w:rsidRPr="00685917">
        <w:t xml:space="preserve">Como consecuencia de las </w:t>
      </w:r>
      <w:r w:rsidRPr="00685917">
        <w:t xml:space="preserve">denuncias </w:t>
      </w:r>
      <w:r w:rsidR="0056364F" w:rsidRPr="00685917">
        <w:t xml:space="preserve">se sancionó a la Fiscal por </w:t>
      </w:r>
      <w:r w:rsidRPr="00685917">
        <w:t>la comisión de faltas graves</w:t>
      </w:r>
      <w:r w:rsidRPr="001B6B0B">
        <w:rPr>
          <w:vertAlign w:val="superscript"/>
        </w:rPr>
        <w:footnoteReference w:id="74"/>
      </w:r>
      <w:r w:rsidRPr="00685917">
        <w:t xml:space="preserve">. </w:t>
      </w:r>
    </w:p>
    <w:p w14:paraId="0460D450" w14:textId="77777777" w:rsidR="008925A9" w:rsidRPr="002E61E9" w:rsidRDefault="008925A9" w:rsidP="00E55450">
      <w:pPr>
        <w:rPr>
          <w:lang w:val="es-ES"/>
        </w:rPr>
      </w:pPr>
    </w:p>
    <w:p w14:paraId="4EFA4D79" w14:textId="673BCE5A" w:rsidR="00057255" w:rsidRDefault="00697E70" w:rsidP="005E070D">
      <w:pPr>
        <w:pStyle w:val="Prrafodelista"/>
      </w:pPr>
      <w:r w:rsidRPr="008925A9">
        <w:t>E</w:t>
      </w:r>
      <w:r w:rsidR="00057255" w:rsidRPr="008925A9">
        <w:t xml:space="preserve">n la instancia de apelación, el 7 de febrero de 2008 la abogada de la familia Quiroga Santa Cruz reiteró la solicitud de acceso a la información y solicitó ordenar la </w:t>
      </w:r>
      <w:r w:rsidR="008205CA">
        <w:t>“</w:t>
      </w:r>
      <w:r w:rsidR="00057255" w:rsidRPr="008925A9">
        <w:t xml:space="preserve">desclasificación de documentos del Departamento Segundo del Estado Mayor desde junio de 1979 a </w:t>
      </w:r>
      <w:r w:rsidR="007F0EFA">
        <w:t xml:space="preserve">diciembre de </w:t>
      </w:r>
      <w:r w:rsidR="00057255" w:rsidRPr="008925A9">
        <w:t>1980”</w:t>
      </w:r>
      <w:r w:rsidR="00057255" w:rsidRPr="00B56729">
        <w:rPr>
          <w:vertAlign w:val="superscript"/>
        </w:rPr>
        <w:footnoteReference w:id="75"/>
      </w:r>
      <w:r w:rsidR="00057255" w:rsidRPr="008925A9">
        <w:t>. El 25 de julio de 2008 mediante Oficio 496/2008 la Presidenta de la Sala Penal Tercera de la Corte Superior de Justicia de la Paz, comunicó al Comandante en Jefe de las Fuerzas Armada</w:t>
      </w:r>
      <w:r w:rsidR="005816B1">
        <w:t>s</w:t>
      </w:r>
      <w:r w:rsidR="00057255" w:rsidRPr="008925A9">
        <w:t xml:space="preserve"> la orden de desclasificación de los documentos desde junio de 1979 a diciembre de 1980, y que remitiese fotocopias legalizadas de los ingresos y salidas al Estado Mayor del Ejército, del 10 al 20 de julio de 1980</w:t>
      </w:r>
      <w:r w:rsidR="00057255" w:rsidRPr="00B56729">
        <w:rPr>
          <w:vertAlign w:val="superscript"/>
        </w:rPr>
        <w:footnoteReference w:id="76"/>
      </w:r>
      <w:r w:rsidR="00057255" w:rsidRPr="008925A9">
        <w:t>.</w:t>
      </w:r>
    </w:p>
    <w:p w14:paraId="457BBEAF" w14:textId="77777777" w:rsidR="008925A9" w:rsidRPr="002E61E9" w:rsidRDefault="008925A9" w:rsidP="00E55450">
      <w:pPr>
        <w:rPr>
          <w:lang w:val="es-ES"/>
        </w:rPr>
      </w:pPr>
    </w:p>
    <w:p w14:paraId="1BEE0E37" w14:textId="54FE4C6C" w:rsidR="004B2A73" w:rsidRPr="008925A9" w:rsidRDefault="004B2A73" w:rsidP="005E070D">
      <w:pPr>
        <w:pStyle w:val="Prrafodelista"/>
      </w:pPr>
      <w:r w:rsidRPr="00291C7D">
        <w:t xml:space="preserve">La señora Olga Flores </w:t>
      </w:r>
      <w:r w:rsidR="003C0C7C" w:rsidRPr="00291C7D">
        <w:t xml:space="preserve">también </w:t>
      </w:r>
      <w:r w:rsidRPr="00291C7D">
        <w:t xml:space="preserve">promovió recurso de nulidad y </w:t>
      </w:r>
      <w:r w:rsidRPr="00E16922">
        <w:t xml:space="preserve">casación contra la Resolución No. 103/2008 de la Sala Penal Tercera de la Corte Superior de la Paz, al considerar </w:t>
      </w:r>
      <w:r w:rsidR="00DA198E" w:rsidRPr="00E16922">
        <w:t>“</w:t>
      </w:r>
      <w:r w:rsidR="009B1EC6" w:rsidRPr="00E16922">
        <w:t>en cuanto al</w:t>
      </w:r>
      <w:r w:rsidR="00DF24F5" w:rsidRPr="00E16922">
        <w:t xml:space="preserve"> </w:t>
      </w:r>
      <w:r w:rsidR="009B1EC6" w:rsidRPr="00E16922">
        <w:t xml:space="preserve">recurso de nulidad </w:t>
      </w:r>
      <w:r w:rsidRPr="00E16922">
        <w:t>que</w:t>
      </w:r>
      <w:r w:rsidR="00DF24F5" w:rsidRPr="00E16922">
        <w:t xml:space="preserve"> se</w:t>
      </w:r>
      <w:r w:rsidRPr="00E16922">
        <w:t xml:space="preserve"> </w:t>
      </w:r>
      <w:r w:rsidR="009B1EC6" w:rsidRPr="00E16922">
        <w:t>ha inobservado formas procesales dentro del […] proceso[</w:t>
      </w:r>
      <w:r w:rsidR="00DF24F5" w:rsidRPr="00E16922">
        <w:t>,</w:t>
      </w:r>
      <w:r w:rsidR="009B1EC6" w:rsidRPr="00E16922">
        <w:t xml:space="preserve">…] </w:t>
      </w:r>
      <w:r w:rsidR="00340857" w:rsidRPr="00E16922">
        <w:t>no se ha realizado una correcta apreciación de los medios de prueba</w:t>
      </w:r>
      <w:r w:rsidR="009B1EC6" w:rsidRPr="00E16922">
        <w:t xml:space="preserve"> […]</w:t>
      </w:r>
      <w:r w:rsidR="00340857" w:rsidRPr="00E16922">
        <w:t>, n</w:t>
      </w:r>
      <w:r w:rsidR="009B1EC6" w:rsidRPr="00E16922">
        <w:t>o se ha realizado</w:t>
      </w:r>
      <w:r w:rsidR="00340857" w:rsidRPr="00E16922">
        <w:t xml:space="preserve"> una correcta calificación de los delitos ni </w:t>
      </w:r>
      <w:r w:rsidR="00DF24F5" w:rsidRPr="00E16922">
        <w:t xml:space="preserve">se </w:t>
      </w:r>
      <w:r w:rsidR="00340857" w:rsidRPr="00E16922">
        <w:t>ha fijado la pena correspondien</w:t>
      </w:r>
      <w:r w:rsidR="009B1EC6" w:rsidRPr="00E16922">
        <w:t>tes [</w:t>
      </w:r>
      <w:r w:rsidR="00340857" w:rsidRPr="00E16922">
        <w:t>y tampoco</w:t>
      </w:r>
      <w:r w:rsidR="009B1EC6" w:rsidRPr="00E16922">
        <w:t>]</w:t>
      </w:r>
      <w:r w:rsidR="00340857" w:rsidRPr="00E16922">
        <w:t xml:space="preserve"> se ha aplicado </w:t>
      </w:r>
      <w:r w:rsidR="009B1EC6" w:rsidRPr="00E16922">
        <w:t>contra los condenados el concurso real de delitos</w:t>
      </w:r>
      <w:r w:rsidR="00DF24F5" w:rsidRPr="00E16922">
        <w:t>”</w:t>
      </w:r>
      <w:r w:rsidR="009B1EC6" w:rsidRPr="00E16922">
        <w:t>.</w:t>
      </w:r>
      <w:r w:rsidR="00DF24F5" w:rsidRPr="00E16922">
        <w:t xml:space="preserve"> Se fundó el </w:t>
      </w:r>
      <w:r w:rsidR="009B1EC6" w:rsidRPr="00E16922">
        <w:t xml:space="preserve">recurso de casación en que </w:t>
      </w:r>
      <w:r w:rsidR="00DF24F5" w:rsidRPr="00E16922">
        <w:t xml:space="preserve">se </w:t>
      </w:r>
      <w:r w:rsidRPr="00E16922">
        <w:t xml:space="preserve">había incurrido </w:t>
      </w:r>
      <w:r w:rsidR="009B1EC6" w:rsidRPr="00E16922">
        <w:t>“</w:t>
      </w:r>
      <w:r w:rsidRPr="00E16922">
        <w:t xml:space="preserve">en una interpretación errónea de la ley </w:t>
      </w:r>
      <w:r w:rsidR="009B1EC6" w:rsidRPr="00E16922">
        <w:t>[</w:t>
      </w:r>
      <w:r w:rsidRPr="00E16922">
        <w:t>y una</w:t>
      </w:r>
      <w:r w:rsidR="009B1EC6" w:rsidRPr="00E16922">
        <w:t>]</w:t>
      </w:r>
      <w:r w:rsidRPr="00E16922">
        <w:t xml:space="preserve"> infracción de ley sustantiva, en el tanto confirmó el fallo de primera instancia en lo relativo al delito de falso testimonio</w:t>
      </w:r>
      <w:r w:rsidR="00DA198E" w:rsidRPr="00E16922">
        <w:t>”</w:t>
      </w:r>
      <w:r w:rsidRPr="00E16922">
        <w:rPr>
          <w:vertAlign w:val="superscript"/>
        </w:rPr>
        <w:footnoteReference w:id="77"/>
      </w:r>
      <w:r w:rsidRPr="00E16922">
        <w:t>. Además</w:t>
      </w:r>
      <w:r w:rsidR="00D465F0" w:rsidRPr="00E16922">
        <w:t>,</w:t>
      </w:r>
      <w:r w:rsidRPr="00E16922">
        <w:t xml:space="preserve"> adujo que los crímenes </w:t>
      </w:r>
      <w:r w:rsidR="00905941" w:rsidRPr="00E16922">
        <w:t>que originaron</w:t>
      </w:r>
      <w:r w:rsidR="00905941">
        <w:t xml:space="preserve"> </w:t>
      </w:r>
      <w:r w:rsidRPr="008925A9">
        <w:t>el proceso</w:t>
      </w:r>
      <w:r w:rsidR="00C6412D">
        <w:t xml:space="preserve"> del “Ministerio Público c/</w:t>
      </w:r>
      <w:r w:rsidRPr="008925A9">
        <w:t xml:space="preserve"> </w:t>
      </w:r>
      <w:r w:rsidR="00C6412D">
        <w:t>Franz Pizarro Solano y otros”</w:t>
      </w:r>
      <w:r w:rsidR="00FB5A4F">
        <w:t xml:space="preserve"> </w:t>
      </w:r>
      <w:r w:rsidRPr="008925A9">
        <w:t>son de</w:t>
      </w:r>
      <w:r w:rsidRPr="008925A9">
        <w:rPr>
          <w:i/>
          <w:iCs/>
        </w:rPr>
        <w:t xml:space="preserve"> </w:t>
      </w:r>
      <w:r w:rsidRPr="008925A9">
        <w:t>lesa humanidad</w:t>
      </w:r>
      <w:r w:rsidR="00ED434B">
        <w:t xml:space="preserve"> </w:t>
      </w:r>
      <w:r w:rsidR="00191273" w:rsidRPr="008925A9">
        <w:t xml:space="preserve">y </w:t>
      </w:r>
      <w:r w:rsidRPr="008925A9">
        <w:t>alegó desproporción de las penas impuestas a los inculpados. Asimismo, algunos imputados presentaron recursos incidentales contra la referida Resolución,</w:t>
      </w:r>
      <w:r w:rsidR="00697E70" w:rsidRPr="008925A9">
        <w:t xml:space="preserve"> en los cuales </w:t>
      </w:r>
      <w:r w:rsidRPr="008925A9">
        <w:t>solicitaron el sobreseimiento o extinción de la acción penal, entre otros medios impugnatorios.</w:t>
      </w:r>
      <w:r w:rsidRPr="008925A9">
        <w:rPr>
          <w:color w:val="4F81BD" w:themeColor="accent1"/>
        </w:rPr>
        <w:t xml:space="preserve"> </w:t>
      </w:r>
    </w:p>
    <w:p w14:paraId="066AFD9D" w14:textId="77777777" w:rsidR="008925A9" w:rsidRPr="002E61E9" w:rsidRDefault="008925A9" w:rsidP="00E55450">
      <w:pPr>
        <w:rPr>
          <w:lang w:val="es-ES"/>
        </w:rPr>
      </w:pPr>
    </w:p>
    <w:p w14:paraId="23FA2621" w14:textId="245A43B1" w:rsidR="00DC0338" w:rsidRDefault="00697E70" w:rsidP="005E070D">
      <w:pPr>
        <w:pStyle w:val="Prrafodelista"/>
      </w:pPr>
      <w:r w:rsidRPr="008925A9">
        <w:t>En la etapa de casación,</w:t>
      </w:r>
      <w:r w:rsidR="00957247" w:rsidRPr="008925A9">
        <w:t xml:space="preserve"> </w:t>
      </w:r>
      <w:r w:rsidR="00DC0338" w:rsidRPr="008925A9">
        <w:t>el 15 de febrero de 2010, la señora Olga Flores</w:t>
      </w:r>
      <w:r w:rsidR="00AD2E62">
        <w:t xml:space="preserve"> Bedregal</w:t>
      </w:r>
      <w:r w:rsidR="00DC0338" w:rsidRPr="008925A9">
        <w:t xml:space="preserve"> reiteró su solicitud para que se llevase a cabo la desclasificación de los archivos de las Fuerzas </w:t>
      </w:r>
      <w:r w:rsidR="00DC0338" w:rsidRPr="00B56729">
        <w:t>Armadas</w:t>
      </w:r>
      <w:r w:rsidR="00DC0338" w:rsidRPr="00B56729">
        <w:rPr>
          <w:vertAlign w:val="superscript"/>
        </w:rPr>
        <w:footnoteReference w:id="78"/>
      </w:r>
      <w:r w:rsidR="00DC0338" w:rsidRPr="00B56729">
        <w:t xml:space="preserve">. </w:t>
      </w:r>
      <w:r w:rsidRPr="00B56729">
        <w:t>Asimismo, el 12 de marzo de 2010</w:t>
      </w:r>
      <w:r w:rsidR="00DC0338" w:rsidRPr="00B56729">
        <w:t>, el Fiscal de Recursos de la Fiscalía General del Estado</w:t>
      </w:r>
      <w:r w:rsidRPr="00B56729">
        <w:t xml:space="preserve"> </w:t>
      </w:r>
      <w:r w:rsidR="00DC0338" w:rsidRPr="00B56729">
        <w:t xml:space="preserve">solicitó a la Corte Suprema de Justicia diera lugar a la petición de desclasificación de </w:t>
      </w:r>
      <w:r w:rsidRPr="00B56729">
        <w:t xml:space="preserve">los </w:t>
      </w:r>
      <w:r w:rsidR="00DC0338" w:rsidRPr="00B56729">
        <w:t>archivos plantea</w:t>
      </w:r>
      <w:r w:rsidRPr="00B56729">
        <w:t>da</w:t>
      </w:r>
      <w:r w:rsidR="00DC0338" w:rsidRPr="00B56729">
        <w:t xml:space="preserve"> por la </w:t>
      </w:r>
      <w:r w:rsidR="00DC0338" w:rsidRPr="00EF2DB7">
        <w:t>señora Olga Flores</w:t>
      </w:r>
      <w:r w:rsidR="00DC0338" w:rsidRPr="00EF2DB7">
        <w:rPr>
          <w:vertAlign w:val="superscript"/>
        </w:rPr>
        <w:footnoteReference w:id="79"/>
      </w:r>
      <w:r w:rsidR="00DC0338" w:rsidRPr="00EF2DB7">
        <w:t xml:space="preserve">. </w:t>
      </w:r>
      <w:r w:rsidR="00DC0338" w:rsidRPr="004B5F3E">
        <w:t xml:space="preserve">Dicha solicitud fue acogida en </w:t>
      </w:r>
      <w:r w:rsidR="00E3208B" w:rsidRPr="004B5F3E">
        <w:t>el Auto Supremo</w:t>
      </w:r>
      <w:r w:rsidR="00DC0338" w:rsidRPr="004B5F3E">
        <w:t xml:space="preserve"> No. 125 de la Sala Penal Primera de la Corte Suprema </w:t>
      </w:r>
      <w:r w:rsidR="006478DE" w:rsidRPr="004B5F3E">
        <w:t>de Justicia (en adelante también “</w:t>
      </w:r>
      <w:r w:rsidR="00E3208B" w:rsidRPr="004B5F3E">
        <w:t xml:space="preserve">Auto Supremo </w:t>
      </w:r>
      <w:r w:rsidR="006478DE" w:rsidRPr="004B5F3E">
        <w:t xml:space="preserve">No. 125”) </w:t>
      </w:r>
      <w:r w:rsidR="00DC0338" w:rsidRPr="004B5F3E">
        <w:t>de 1 de abril de 2010, en la cual ordenó al Estado Mayor del Ejército “la desclasificación de los archivos existentes en el Departamento Segundo del Estado Mayor, desde junio de 1979 a diciembre de 1980 y del reporte de ingresos y salidas al Estado Mayor del Ejército del 10 al 20 de julio de 1980” y remitir fotocopias legalizadas al mismo tribunal</w:t>
      </w:r>
      <w:r w:rsidR="00DC0338" w:rsidRPr="004B5F3E">
        <w:rPr>
          <w:vertAlign w:val="superscript"/>
        </w:rPr>
        <w:footnoteReference w:id="80"/>
      </w:r>
      <w:r w:rsidR="00DC0338" w:rsidRPr="004B5F3E">
        <w:t xml:space="preserve">. El 16 de abril de 2010 mediante </w:t>
      </w:r>
      <w:r w:rsidR="00E3208B" w:rsidRPr="004B5F3E">
        <w:t>Auto Supremo</w:t>
      </w:r>
      <w:r w:rsidR="00DC0338" w:rsidRPr="004B5F3E">
        <w:t xml:space="preserve"> No. 167 la misma Sala Penal Primera</w:t>
      </w:r>
      <w:r w:rsidR="006478DE" w:rsidRPr="004B5F3E">
        <w:t xml:space="preserve"> de la Corte Suprema de Justicia (en adelante también </w:t>
      </w:r>
      <w:r w:rsidR="00C007C1" w:rsidRPr="004B5F3E">
        <w:t xml:space="preserve">“Auto Supremo No. 167”) </w:t>
      </w:r>
      <w:r w:rsidR="00DC0338" w:rsidRPr="004B5F3E">
        <w:t>a</w:t>
      </w:r>
      <w:r w:rsidR="00DC0338" w:rsidRPr="00EF2DB7">
        <w:t xml:space="preserve"> petición</w:t>
      </w:r>
      <w:r w:rsidR="00DC0338" w:rsidRPr="00B56729">
        <w:t xml:space="preserve"> de la señora Olga Flores adicionó la orden de desclasificación para que esta </w:t>
      </w:r>
      <w:r w:rsidR="00DC0338" w:rsidRPr="00B56729">
        <w:lastRenderedPageBreak/>
        <w:t>comprendiera también de los documentos</w:t>
      </w:r>
      <w:r w:rsidR="00DC0338" w:rsidRPr="008925A9">
        <w:t xml:space="preserve"> relativos al Escalafón de Person</w:t>
      </w:r>
      <w:r w:rsidR="00DC0338" w:rsidRPr="001E59F6">
        <w:t>al de las Fuerzas Armadas existentes en el Estado Mayor desde junio de 1979 a diciembre de 1980</w:t>
      </w:r>
      <w:r w:rsidR="00DC0338" w:rsidRPr="001E59F6">
        <w:rPr>
          <w:vertAlign w:val="superscript"/>
        </w:rPr>
        <w:footnoteReference w:id="81"/>
      </w:r>
      <w:r w:rsidR="00DC0338" w:rsidRPr="001E59F6">
        <w:t>.</w:t>
      </w:r>
    </w:p>
    <w:p w14:paraId="0EF4A8A1" w14:textId="77777777" w:rsidR="008925A9" w:rsidRPr="002E61E9" w:rsidRDefault="008925A9" w:rsidP="00E55450">
      <w:pPr>
        <w:rPr>
          <w:lang w:val="es-ES"/>
        </w:rPr>
      </w:pPr>
    </w:p>
    <w:p w14:paraId="0C64FC81" w14:textId="4E76FAE1" w:rsidR="00E609BE" w:rsidRPr="00B56729" w:rsidRDefault="00E609BE" w:rsidP="005E070D">
      <w:pPr>
        <w:pStyle w:val="Prrafodelista"/>
      </w:pPr>
      <w:r w:rsidRPr="008925A9">
        <w:t xml:space="preserve">El 24 de septiembre de 2010 </w:t>
      </w:r>
      <w:r w:rsidRPr="00BB7208">
        <w:t>el</w:t>
      </w:r>
      <w:r w:rsidR="009D4541" w:rsidRPr="00BB7208">
        <w:t xml:space="preserve"> Fiscal de Recursos </w:t>
      </w:r>
      <w:r w:rsidR="00CC6BF7" w:rsidRPr="00BB7208">
        <w:t>del Ministerio Público</w:t>
      </w:r>
      <w:r w:rsidR="009D4541" w:rsidRPr="00BB7208">
        <w:t xml:space="preserve"> del Estado</w:t>
      </w:r>
      <w:r w:rsidRPr="00BB7208">
        <w:t xml:space="preserve"> solicitó</w:t>
      </w:r>
      <w:r w:rsidRPr="008925A9">
        <w:t xml:space="preserve"> al Jefe de las Fuerzas Armadas del Estado que fueran puestos a disposición los documentos ya desclasificados que se encontraban en su recinto, </w:t>
      </w:r>
      <w:r w:rsidR="00ED46AE" w:rsidRPr="008925A9">
        <w:t>conforme</w:t>
      </w:r>
      <w:r w:rsidRPr="008925A9">
        <w:t xml:space="preserve"> con las órdenes de órgano jurisdiccional, así como </w:t>
      </w:r>
      <w:r w:rsidR="006478DE">
        <w:t xml:space="preserve">del </w:t>
      </w:r>
      <w:r w:rsidRPr="008925A9">
        <w:t xml:space="preserve">Auto Supremo de la Sala Penal Primera de la Corte Suprema de Justicia </w:t>
      </w:r>
      <w:r w:rsidR="00C007C1">
        <w:t xml:space="preserve">(en adelante también </w:t>
      </w:r>
      <w:r w:rsidR="00C007C1" w:rsidRPr="004B5F3E">
        <w:t>“Sala Penal Primera de la Corte”)</w:t>
      </w:r>
      <w:r w:rsidR="00C007C1" w:rsidRPr="00EF2DB7">
        <w:t xml:space="preserve"> </w:t>
      </w:r>
      <w:r w:rsidRPr="008925A9">
        <w:t>que establecía que los documentos debían ser desclasificados y ponerlos al conocimiento del Ministerio Público y los investigadores asignados para continuar con la investigación</w:t>
      </w:r>
      <w:r w:rsidRPr="00BA4885">
        <w:rPr>
          <w:vertAlign w:val="superscript"/>
        </w:rPr>
        <w:footnoteReference w:id="82"/>
      </w:r>
      <w:r w:rsidRPr="008925A9">
        <w:t xml:space="preserve">. El 28 de septiembre de 2010 se llevó a cabo por parte del fiscal </w:t>
      </w:r>
      <w:r w:rsidRPr="00B56729">
        <w:t>una diligencia de inspección ocular de la documentación requerida en las instalaciones del Estado Mayor.</w:t>
      </w:r>
      <w:r w:rsidR="00ED46AE" w:rsidRPr="00B56729">
        <w:t xml:space="preserve"> Por lo que</w:t>
      </w:r>
      <w:r w:rsidR="00957247" w:rsidRPr="00B56729">
        <w:t xml:space="preserve"> </w:t>
      </w:r>
      <w:r w:rsidRPr="00B56729">
        <w:t>se procedió a realizar un inventario de la documentación revisada</w:t>
      </w:r>
      <w:r w:rsidRPr="00B56729">
        <w:rPr>
          <w:vertAlign w:val="superscript"/>
        </w:rPr>
        <w:footnoteReference w:id="83"/>
      </w:r>
      <w:r w:rsidRPr="00B56729">
        <w:t>. El 19 de octubre de 2010 el Comando en Jefe de las Fuerzas Armadas remitió informe y documentación manifesta</w:t>
      </w:r>
      <w:r w:rsidR="00ED46AE" w:rsidRPr="00B56729">
        <w:t>ndo</w:t>
      </w:r>
      <w:r w:rsidRPr="00B56729">
        <w:t xml:space="preserve"> que daba cumplimiento a los requerimientos formulado</w:t>
      </w:r>
      <w:r w:rsidR="00ED46AE" w:rsidRPr="00B56729">
        <w:t xml:space="preserve">s en </w:t>
      </w:r>
      <w:r w:rsidRPr="0086197B">
        <w:t xml:space="preserve">los Autos Supremos de la Sala </w:t>
      </w:r>
      <w:r w:rsidRPr="00EF2DB7">
        <w:t>Penal Primera de la Corte Suprema de Justicia y resoluciones emitidas por el Ju</w:t>
      </w:r>
      <w:r w:rsidR="006478DE" w:rsidRPr="00EF2DB7">
        <w:t>zgado</w:t>
      </w:r>
      <w:r w:rsidRPr="00EF2DB7">
        <w:t xml:space="preserve"> Octavo de Instrucción </w:t>
      </w:r>
      <w:r w:rsidR="00D835F5" w:rsidRPr="00EF2DB7">
        <w:t>en</w:t>
      </w:r>
      <w:r w:rsidRPr="00EF2DB7">
        <w:t xml:space="preserve"> lo Penal</w:t>
      </w:r>
      <w:r w:rsidR="00EE6E5E" w:rsidRPr="00EF2DB7">
        <w:t xml:space="preserve"> Cautelar</w:t>
      </w:r>
      <w:r w:rsidR="00ED46AE" w:rsidRPr="00EF2DB7">
        <w:t xml:space="preserve">. Además, indicó </w:t>
      </w:r>
      <w:r w:rsidRPr="00EF2DB7">
        <w:t>que dicha documentación debía permanecer en reserva conforme la última parte del</w:t>
      </w:r>
      <w:r w:rsidRPr="00B56729">
        <w:t xml:space="preserve"> artículo 98 de la Ley Orgánica de las Fuerzas Armada</w:t>
      </w:r>
      <w:r w:rsidR="00CD79C4" w:rsidRPr="00B56729">
        <w:t>s</w:t>
      </w:r>
      <w:r w:rsidRPr="00B56729">
        <w:rPr>
          <w:vertAlign w:val="superscript"/>
        </w:rPr>
        <w:footnoteReference w:id="84"/>
      </w:r>
      <w:r w:rsidRPr="00B56729">
        <w:rPr>
          <w:rFonts w:cs="Segoe UI"/>
        </w:rPr>
        <w:t>.</w:t>
      </w:r>
      <w:r w:rsidRPr="008925A9">
        <w:t xml:space="preserve"> Las</w:t>
      </w:r>
      <w:r w:rsidR="007B25DC" w:rsidRPr="008925A9">
        <w:t xml:space="preserve"> hermanas </w:t>
      </w:r>
      <w:r w:rsidRPr="008925A9">
        <w:t xml:space="preserve">Flores Bedregal no tuvieron acceso a la información entregada, ni participaron de </w:t>
      </w:r>
      <w:r w:rsidRPr="00B56729">
        <w:t>la inspección de los archivos militares.</w:t>
      </w:r>
    </w:p>
    <w:p w14:paraId="5C1CD012" w14:textId="302BB650" w:rsidR="008925A9" w:rsidRPr="002E61E9" w:rsidRDefault="008925A9" w:rsidP="00E55450">
      <w:pPr>
        <w:rPr>
          <w:lang w:val="es-ES"/>
        </w:rPr>
      </w:pPr>
    </w:p>
    <w:p w14:paraId="2F00D6B1" w14:textId="2E1619D2" w:rsidR="004B2A73" w:rsidRPr="00B56729" w:rsidRDefault="004B2A73" w:rsidP="005E070D">
      <w:pPr>
        <w:pStyle w:val="Prrafodelista"/>
      </w:pPr>
      <w:r w:rsidRPr="0086197B">
        <w:t>El 25 de octubre de 2010 la Sala Penal Primera</w:t>
      </w:r>
      <w:r w:rsidR="0086197B" w:rsidRPr="0086197B">
        <w:t xml:space="preserve"> de la Corte</w:t>
      </w:r>
      <w:r w:rsidRPr="0086197B">
        <w:t xml:space="preserve"> resolvió conjuntamente el recurso de la señora Olga Flores,</w:t>
      </w:r>
      <w:r w:rsidR="00CF1FB2" w:rsidRPr="0086197B">
        <w:t xml:space="preserve"> y las impug</w:t>
      </w:r>
      <w:r w:rsidR="00957247" w:rsidRPr="0086197B">
        <w:t>na</w:t>
      </w:r>
      <w:r w:rsidR="00CF1FB2" w:rsidRPr="0086197B">
        <w:t>ciones</w:t>
      </w:r>
      <w:r w:rsidRPr="0086197B">
        <w:t xml:space="preserve"> interpuest</w:t>
      </w:r>
      <w:r w:rsidR="00CF1FB2" w:rsidRPr="0086197B">
        <w:t>a</w:t>
      </w:r>
      <w:r w:rsidRPr="0086197B">
        <w:t>s por los procesados</w:t>
      </w:r>
      <w:r w:rsidRPr="0086197B">
        <w:rPr>
          <w:vertAlign w:val="superscript"/>
        </w:rPr>
        <w:footnoteReference w:id="85"/>
      </w:r>
      <w:r w:rsidRPr="0086197B">
        <w:t xml:space="preserve">. </w:t>
      </w:r>
      <w:r w:rsidR="00CF1FB2" w:rsidRPr="0086197B">
        <w:t>Dicha</w:t>
      </w:r>
      <w:r w:rsidR="00CF1FB2" w:rsidRPr="004B5F3E">
        <w:t xml:space="preserve"> Sala</w:t>
      </w:r>
      <w:r w:rsidR="00957247" w:rsidRPr="004B5F3E">
        <w:t xml:space="preserve"> </w:t>
      </w:r>
      <w:r w:rsidR="00E3208B" w:rsidRPr="004B5F3E">
        <w:t>Penal Primera</w:t>
      </w:r>
      <w:r w:rsidR="0086197B" w:rsidRPr="004B5F3E">
        <w:t xml:space="preserve"> de la Corte</w:t>
      </w:r>
      <w:r w:rsidR="00E3208B" w:rsidRPr="004B5F3E">
        <w:t xml:space="preserve"> </w:t>
      </w:r>
      <w:r w:rsidRPr="004B5F3E">
        <w:t>declaró como infundados los recursos de los procesados</w:t>
      </w:r>
      <w:r w:rsidR="00DA198E" w:rsidRPr="004B5F3E">
        <w:t xml:space="preserve"> y los de las </w:t>
      </w:r>
      <w:r w:rsidR="002078F6" w:rsidRPr="004B5F3E">
        <w:t xml:space="preserve">querellantes confirmando la Resolución </w:t>
      </w:r>
      <w:r w:rsidR="00A742EE" w:rsidRPr="004B5F3E">
        <w:t xml:space="preserve">No. </w:t>
      </w:r>
      <w:r w:rsidR="002078F6" w:rsidRPr="004B5F3E">
        <w:t>103/20</w:t>
      </w:r>
      <w:r w:rsidR="00A742EE" w:rsidRPr="004B5F3E">
        <w:t>0</w:t>
      </w:r>
      <w:r w:rsidR="002078F6" w:rsidRPr="004B5F3E">
        <w:t>8</w:t>
      </w:r>
      <w:r w:rsidR="00DA198E" w:rsidRPr="004B5F3E">
        <w:t>. N</w:t>
      </w:r>
      <w:r w:rsidR="002078F6" w:rsidRPr="004B5F3E">
        <w:t>o obstante, declaró parcialmente fundadas las impugnaciones, respecto a la pena de algunos de los procesados</w:t>
      </w:r>
      <w:r w:rsidRPr="004B5F3E">
        <w:t xml:space="preserve">, </w:t>
      </w:r>
      <w:r w:rsidRPr="00B56729">
        <w:t xml:space="preserve">incrementando la pena impuesta por los delitos de falso testimonio de 2 a 3 años, </w:t>
      </w:r>
      <w:r w:rsidR="00082435" w:rsidRPr="00B56729">
        <w:t xml:space="preserve">y </w:t>
      </w:r>
      <w:r w:rsidRPr="00B56729">
        <w:t>añadi</w:t>
      </w:r>
      <w:r w:rsidR="00082435" w:rsidRPr="00B56729">
        <w:t>ó</w:t>
      </w:r>
      <w:r w:rsidRPr="00B56729">
        <w:t xml:space="preserve"> dos nombres </w:t>
      </w:r>
      <w:r w:rsidR="00082435" w:rsidRPr="00B56729">
        <w:t>que</w:t>
      </w:r>
      <w:r w:rsidR="00CA41A3" w:rsidRPr="00B56729">
        <w:t xml:space="preserve"> </w:t>
      </w:r>
      <w:r w:rsidRPr="00B56729">
        <w:t>fueron omitidos en el auto de vista</w:t>
      </w:r>
      <w:r w:rsidRPr="00B56729">
        <w:rPr>
          <w:vertAlign w:val="superscript"/>
        </w:rPr>
        <w:footnoteReference w:id="86"/>
      </w:r>
      <w:r w:rsidRPr="00B56729">
        <w:t xml:space="preserve">. </w:t>
      </w:r>
    </w:p>
    <w:p w14:paraId="69E66DDF" w14:textId="77777777" w:rsidR="008925A9" w:rsidRPr="002E61E9" w:rsidRDefault="008925A9" w:rsidP="00E55450">
      <w:pPr>
        <w:rPr>
          <w:lang w:val="es-ES"/>
        </w:rPr>
      </w:pPr>
    </w:p>
    <w:p w14:paraId="1F81442F" w14:textId="52AAA9E6" w:rsidR="00B37880" w:rsidRDefault="004B2A73" w:rsidP="005E070D">
      <w:pPr>
        <w:pStyle w:val="Prrafodelista"/>
      </w:pPr>
      <w:r w:rsidRPr="00B56729">
        <w:t xml:space="preserve">Terminada la etapa de impugnación del proceso penal ordinario, el 27 de noviembre de 2013, </w:t>
      </w:r>
      <w:r w:rsidRPr="004A4761">
        <w:t xml:space="preserve">el Juzgado Segundo de Ejecución Penal </w:t>
      </w:r>
      <w:r w:rsidR="004A4761" w:rsidRPr="004A4761">
        <w:rPr>
          <w:lang w:val="es-MX"/>
        </w:rPr>
        <w:t>del Tribunal Departamental de Justicia de la Paz</w:t>
      </w:r>
      <w:r w:rsidR="004A4761" w:rsidRPr="004A4761">
        <w:t xml:space="preserve"> </w:t>
      </w:r>
      <w:r w:rsidRPr="004A4761">
        <w:t>emitió</w:t>
      </w:r>
      <w:r w:rsidRPr="00B56729">
        <w:t xml:space="preserve"> mandamientos de captura contra Franz Pizarro Solano, José Luis Ormachea </w:t>
      </w:r>
      <w:r w:rsidRPr="00626E10">
        <w:t>España y Felipe Froilán Molina Bustamante</w:t>
      </w:r>
      <w:r w:rsidRPr="00626E10">
        <w:rPr>
          <w:vertAlign w:val="superscript"/>
        </w:rPr>
        <w:footnoteReference w:id="87"/>
      </w:r>
      <w:r w:rsidRPr="00626E10">
        <w:t>. El 3 de febrero de 2014 la Secretaría del Departamento de Análisis Criminal e Inteligencia</w:t>
      </w:r>
      <w:r w:rsidR="00CF1FB2" w:rsidRPr="00626E10">
        <w:t xml:space="preserve"> informó que</w:t>
      </w:r>
      <w:r w:rsidRPr="00626E10">
        <w:t xml:space="preserve"> después de las investigaciones efectuadas para ejecutar la orden de </w:t>
      </w:r>
      <w:r w:rsidRPr="00626E10">
        <w:lastRenderedPageBreak/>
        <w:t>captura</w:t>
      </w:r>
      <w:r w:rsidR="001E1A5F" w:rsidRPr="00626E10">
        <w:rPr>
          <w:vertAlign w:val="superscript"/>
        </w:rPr>
        <w:footnoteReference w:id="88"/>
      </w:r>
      <w:r w:rsidR="00CF1FB2" w:rsidRPr="00626E10">
        <w:t>:</w:t>
      </w:r>
      <w:r w:rsidRPr="00626E10">
        <w:t xml:space="preserve"> </w:t>
      </w:r>
      <w:r w:rsidR="00CF1FB2" w:rsidRPr="00626E10">
        <w:t xml:space="preserve">a) </w:t>
      </w:r>
      <w:r w:rsidR="00482E9E" w:rsidRPr="00626E10">
        <w:t>carecía de información sobre</w:t>
      </w:r>
      <w:r w:rsidRPr="00626E10">
        <w:t xml:space="preserve"> Franz Pizarro Solano</w:t>
      </w:r>
      <w:r w:rsidR="00CF1FB2" w:rsidRPr="00626E10">
        <w:t xml:space="preserve">; b) </w:t>
      </w:r>
      <w:r w:rsidRPr="00626E10">
        <w:t xml:space="preserve">José Luis Ormachea España </w:t>
      </w:r>
      <w:r w:rsidR="00482E9E" w:rsidRPr="00626E10">
        <w:t>aparec</w:t>
      </w:r>
      <w:r w:rsidR="00850714" w:rsidRPr="00626E10">
        <w:t>e</w:t>
      </w:r>
      <w:r w:rsidRPr="00626E10">
        <w:t xml:space="preserve"> registra</w:t>
      </w:r>
      <w:r w:rsidR="00482E9E" w:rsidRPr="00626E10">
        <w:t>do</w:t>
      </w:r>
      <w:r w:rsidRPr="00626E10">
        <w:t xml:space="preserve"> como fallecido</w:t>
      </w:r>
      <w:r w:rsidR="00CF1FB2" w:rsidRPr="00626E10">
        <w:t>,</w:t>
      </w:r>
      <w:r w:rsidRPr="00626E10">
        <w:t xml:space="preserve"> y</w:t>
      </w:r>
      <w:r w:rsidR="00CF1FB2" w:rsidRPr="00626E10">
        <w:t xml:space="preserve"> c)</w:t>
      </w:r>
      <w:r w:rsidR="00957247" w:rsidRPr="00626E10">
        <w:t xml:space="preserve"> </w:t>
      </w:r>
      <w:r w:rsidRPr="00626E10">
        <w:t>Felipe Froilán Molina Bustamante</w:t>
      </w:r>
      <w:r w:rsidR="00482E9E" w:rsidRPr="00626E10">
        <w:t xml:space="preserve"> </w:t>
      </w:r>
      <w:r w:rsidR="00482E9E" w:rsidRPr="004A4761">
        <w:t>habría sido finalmente</w:t>
      </w:r>
      <w:r w:rsidR="003A4BCD" w:rsidRPr="004A4761">
        <w:t xml:space="preserve"> detenido en 2016</w:t>
      </w:r>
      <w:r w:rsidR="00850714" w:rsidRPr="004A4761">
        <w:t xml:space="preserve">, casi </w:t>
      </w:r>
      <w:r w:rsidR="008925A9" w:rsidRPr="004A4761">
        <w:t>tres</w:t>
      </w:r>
      <w:r w:rsidR="00850714" w:rsidRPr="004A4761">
        <w:t xml:space="preserve"> años después de la emisión de su mandamiento de captura,</w:t>
      </w:r>
      <w:r w:rsidR="005434F7" w:rsidRPr="004A4761">
        <w:t xml:space="preserve"> y actualmente se en</w:t>
      </w:r>
      <w:r w:rsidR="00482E9E" w:rsidRPr="004A4761">
        <w:t>contraría cumpliendo la pena</w:t>
      </w:r>
      <w:r w:rsidR="005434F7" w:rsidRPr="004A4761">
        <w:t xml:space="preserve"> en el centro penitenciario de San Pedro de Chonchocoro</w:t>
      </w:r>
      <w:r w:rsidR="00094116" w:rsidRPr="004A4761">
        <w:t>.</w:t>
      </w:r>
      <w:r w:rsidR="00CC6123" w:rsidRPr="008925A9">
        <w:t xml:space="preserve"> </w:t>
      </w:r>
    </w:p>
    <w:p w14:paraId="24D7451C" w14:textId="77777777" w:rsidR="008E6945" w:rsidRPr="004E45BE" w:rsidRDefault="008E6945" w:rsidP="00E55450">
      <w:pPr>
        <w:rPr>
          <w:b/>
          <w:bCs/>
          <w:lang w:val="es-ES"/>
        </w:rPr>
      </w:pPr>
    </w:p>
    <w:p w14:paraId="7974014F" w14:textId="62FBC688" w:rsidR="008E6945" w:rsidRPr="003A4BE5" w:rsidRDefault="008E6945" w:rsidP="003A4BE5">
      <w:pPr>
        <w:pStyle w:val="Ttulo3"/>
        <w:ind w:left="709"/>
        <w:rPr>
          <w:rFonts w:ascii="Verdana" w:hAnsi="Verdana"/>
          <w:b/>
          <w:bCs/>
          <w:color w:val="auto"/>
          <w:sz w:val="20"/>
          <w:szCs w:val="20"/>
          <w:lang w:val="es-ES"/>
        </w:rPr>
      </w:pPr>
      <w:bookmarkStart w:id="115" w:name="_Toc125037472"/>
      <w:r w:rsidRPr="003A4BE5">
        <w:rPr>
          <w:rFonts w:ascii="Verdana" w:hAnsi="Verdana"/>
          <w:b/>
          <w:bCs/>
          <w:color w:val="auto"/>
          <w:sz w:val="20"/>
          <w:szCs w:val="20"/>
          <w:lang w:val="es-ES"/>
        </w:rPr>
        <w:t>C.2. Procedimiento administrativo conforme a la Resolución Ministerial N</w:t>
      </w:r>
      <w:r w:rsidR="00383CC9" w:rsidRPr="003A4BE5">
        <w:rPr>
          <w:rFonts w:ascii="Verdana" w:hAnsi="Verdana"/>
          <w:b/>
          <w:bCs/>
          <w:color w:val="auto"/>
          <w:sz w:val="20"/>
          <w:szCs w:val="20"/>
          <w:lang w:val="es-ES"/>
        </w:rPr>
        <w:t>o.</w:t>
      </w:r>
      <w:r w:rsidRPr="003A4BE5">
        <w:rPr>
          <w:rFonts w:ascii="Verdana" w:hAnsi="Verdana"/>
          <w:b/>
          <w:bCs/>
          <w:color w:val="auto"/>
          <w:sz w:val="20"/>
          <w:szCs w:val="20"/>
          <w:lang w:val="es-ES"/>
        </w:rPr>
        <w:t xml:space="preserve"> 316/09</w:t>
      </w:r>
      <w:bookmarkEnd w:id="115"/>
      <w:r w:rsidRPr="003A4BE5">
        <w:rPr>
          <w:rFonts w:ascii="Verdana" w:hAnsi="Verdana"/>
          <w:b/>
          <w:bCs/>
          <w:color w:val="auto"/>
          <w:sz w:val="20"/>
          <w:szCs w:val="20"/>
          <w:lang w:val="es-ES"/>
        </w:rPr>
        <w:t xml:space="preserve">   </w:t>
      </w:r>
    </w:p>
    <w:p w14:paraId="32F84F94" w14:textId="77777777" w:rsidR="00B56729" w:rsidRPr="002E61E9" w:rsidRDefault="00B56729" w:rsidP="00E55450">
      <w:pPr>
        <w:rPr>
          <w:lang w:val="es-ES"/>
        </w:rPr>
      </w:pPr>
    </w:p>
    <w:p w14:paraId="11264228" w14:textId="098ACE82" w:rsidR="004B2A73" w:rsidRPr="00B56729" w:rsidRDefault="004B2A73" w:rsidP="005E070D">
      <w:pPr>
        <w:pStyle w:val="Prrafodelista"/>
      </w:pPr>
      <w:r w:rsidRPr="00B56729">
        <w:t xml:space="preserve">El 19 de mayo de 2009 el Ministerio de Defensa dictó la Resolución </w:t>
      </w:r>
      <w:r w:rsidR="00723D53" w:rsidRPr="00B56729">
        <w:t xml:space="preserve">Ministerial </w:t>
      </w:r>
      <w:r w:rsidRPr="00B56729">
        <w:t>No. 316/09</w:t>
      </w:r>
      <w:r w:rsidR="009B6CD8" w:rsidRPr="00B56729">
        <w:t xml:space="preserve"> </w:t>
      </w:r>
      <w:r w:rsidR="004224C8" w:rsidRPr="00B56729">
        <w:t xml:space="preserve">mediante la cual se </w:t>
      </w:r>
      <w:r w:rsidRPr="00B56729">
        <w:t>autoriz</w:t>
      </w:r>
      <w:r w:rsidR="00BF5878">
        <w:t>ó</w:t>
      </w:r>
      <w:r w:rsidRPr="00B56729">
        <w:t xml:space="preserve"> </w:t>
      </w:r>
      <w:r w:rsidRPr="00626E10">
        <w:t>al Comand</w:t>
      </w:r>
      <w:r w:rsidR="00127B1A" w:rsidRPr="00626E10">
        <w:t>ante</w:t>
      </w:r>
      <w:r w:rsidRPr="00626E10">
        <w:t xml:space="preserve"> en Jefe de las FFAA </w:t>
      </w:r>
      <w:r w:rsidR="009B6CD8" w:rsidRPr="00626E10">
        <w:t>a</w:t>
      </w:r>
      <w:r w:rsidRPr="00626E10">
        <w:t xml:space="preserve"> facilitar el acceso </w:t>
      </w:r>
      <w:r w:rsidR="009B6CD8" w:rsidRPr="00626E10">
        <w:t>de</w:t>
      </w:r>
      <w:r w:rsidRPr="00626E10">
        <w:t xml:space="preserve"> familiares y víctimas de dictaduras militares </w:t>
      </w:r>
      <w:r w:rsidR="009B6CD8" w:rsidRPr="00626E10">
        <w:t xml:space="preserve">que así lo soliciten y demuestren interés legítimo, </w:t>
      </w:r>
      <w:r w:rsidRPr="00626E10">
        <w:t>a archivos, registros públicos y documentos existentes de las FFAA del Estado</w:t>
      </w:r>
      <w:r w:rsidRPr="00626E10">
        <w:rPr>
          <w:vertAlign w:val="superscript"/>
        </w:rPr>
        <w:footnoteReference w:id="89"/>
      </w:r>
      <w:r w:rsidRPr="00626E10">
        <w:t>. El 1 de junio de 2009</w:t>
      </w:r>
      <w:r w:rsidR="00BF5878">
        <w:t>,</w:t>
      </w:r>
      <w:r w:rsidRPr="00626E10">
        <w:t xml:space="preserve"> </w:t>
      </w:r>
      <w:r w:rsidR="00E75EE0" w:rsidRPr="00626E10">
        <w:t>con base</w:t>
      </w:r>
      <w:r w:rsidR="009B6CD8" w:rsidRPr="00626E10">
        <w:t xml:space="preserve"> en esta</w:t>
      </w:r>
      <w:r w:rsidRPr="00626E10">
        <w:t xml:space="preserve"> Resolución</w:t>
      </w:r>
      <w:r w:rsidR="00076577" w:rsidRPr="00626E10">
        <w:t>, Verónica Flores</w:t>
      </w:r>
      <w:r w:rsidRPr="00626E10">
        <w:t xml:space="preserve"> presentó una solicitud de acceso a la información al Comando en Jefe de las F</w:t>
      </w:r>
      <w:r w:rsidR="009B6CD8" w:rsidRPr="00626E10">
        <w:t>FAA</w:t>
      </w:r>
      <w:r w:rsidRPr="00626E10">
        <w:rPr>
          <w:vertAlign w:val="superscript"/>
        </w:rPr>
        <w:footnoteReference w:id="90"/>
      </w:r>
      <w:r w:rsidRPr="00626E10">
        <w:t xml:space="preserve">. El </w:t>
      </w:r>
      <w:r w:rsidR="00BA52A3">
        <w:t>22</w:t>
      </w:r>
      <w:r w:rsidRPr="00626E10">
        <w:t xml:space="preserve"> de junio de 2009, el Comandante en</w:t>
      </w:r>
      <w:r w:rsidRPr="00B56729">
        <w:t xml:space="preserve"> Jefe de las FFAA respondió </w:t>
      </w:r>
      <w:r w:rsidR="00E9691F">
        <w:t xml:space="preserve">a </w:t>
      </w:r>
      <w:r w:rsidRPr="00B56729">
        <w:t>la solicitud</w:t>
      </w:r>
      <w:r w:rsidR="00925B90" w:rsidRPr="00B56729">
        <w:t xml:space="preserve"> con la exigencia del cumplimiento de </w:t>
      </w:r>
      <w:r w:rsidRPr="00B56729">
        <w:t>los siguientes requisitos</w:t>
      </w:r>
      <w:r w:rsidR="00925B90" w:rsidRPr="00B56729">
        <w:t xml:space="preserve"> y procedimiento</w:t>
      </w:r>
      <w:r w:rsidRPr="00B56729">
        <w:t xml:space="preserve">: </w:t>
      </w:r>
      <w:r w:rsidR="00BF5878">
        <w:t>“</w:t>
      </w:r>
      <w:r w:rsidRPr="00B56729">
        <w:t xml:space="preserve">1. </w:t>
      </w:r>
      <w:r w:rsidR="00BA52A3">
        <w:t>D</w:t>
      </w:r>
      <w:r w:rsidRPr="00B56729">
        <w:t xml:space="preserve">emostrar el interés legítimo respecto a la información requerida; 2. </w:t>
      </w:r>
      <w:r w:rsidR="00BA52A3">
        <w:t>E</w:t>
      </w:r>
      <w:r w:rsidRPr="00B56729">
        <w:t xml:space="preserve">specificar fechas y datos de la información requerida; 3. </w:t>
      </w:r>
      <w:r w:rsidR="00BA52A3">
        <w:t>F</w:t>
      </w:r>
      <w:r w:rsidRPr="00B56729">
        <w:t xml:space="preserve">ormas en las que se garantizará el secreto de la información proporcionada; 4. </w:t>
      </w:r>
      <w:r w:rsidR="00BA52A3">
        <w:t>C</w:t>
      </w:r>
      <w:r w:rsidRPr="00B56729">
        <w:t xml:space="preserve">umplir con los requisitos y formalidades de ley ante autoridad competente; 5. </w:t>
      </w:r>
      <w:r w:rsidR="00BA52A3">
        <w:t>E</w:t>
      </w:r>
      <w:r w:rsidRPr="00B56729">
        <w:t>l auto motivado emitido por autoridad competente deb</w:t>
      </w:r>
      <w:r w:rsidR="00076577" w:rsidRPr="00B56729">
        <w:t>[ía]</w:t>
      </w:r>
      <w:r w:rsidRPr="00B56729">
        <w:t xml:space="preserve"> ser dirigido ante el Capitán General de las FF.AA; 6. </w:t>
      </w:r>
      <w:r w:rsidR="00BA52A3">
        <w:t>E</w:t>
      </w:r>
      <w:r w:rsidRPr="00B56729">
        <w:t>l Capitán General de las FF.AA. en uso de sus legítimas atribuciones y en coordinación con el Comando en Jefe de las FF.AA., considerarán si el caso amerita en concordancia con lo expuesto anteriormente, acceder a la petición del Juez competente</w:t>
      </w:r>
      <w:r w:rsidR="00BF5878">
        <w:t>”</w:t>
      </w:r>
      <w:r w:rsidRPr="00B56729">
        <w:rPr>
          <w:vertAlign w:val="superscript"/>
        </w:rPr>
        <w:footnoteReference w:id="91"/>
      </w:r>
      <w:r w:rsidRPr="00B56729">
        <w:t xml:space="preserve">. </w:t>
      </w:r>
    </w:p>
    <w:p w14:paraId="166A22E3" w14:textId="77777777" w:rsidR="008E6945" w:rsidRPr="002E61E9" w:rsidRDefault="008E6945" w:rsidP="00E55450">
      <w:pPr>
        <w:rPr>
          <w:lang w:val="es-ES"/>
        </w:rPr>
      </w:pPr>
    </w:p>
    <w:p w14:paraId="2A04E60A" w14:textId="1B734B40" w:rsidR="004B2A73" w:rsidRPr="00626E10" w:rsidRDefault="004B2A73" w:rsidP="005E070D">
      <w:pPr>
        <w:pStyle w:val="Prrafodelista"/>
      </w:pPr>
      <w:r w:rsidRPr="00B56729">
        <w:t>En razón de que dichos requerimientos no estaban contemplados en la Resolución Ministerial No. 316/09, el 29 de junio de 2009 las hermanas Verónica y Olga Flores Bedregal presentaron una solicitud de esclarecimiento de procedimientos para el acceso a la información</w:t>
      </w:r>
      <w:r w:rsidRPr="00B56729">
        <w:rPr>
          <w:vertAlign w:val="superscript"/>
        </w:rPr>
        <w:footnoteReference w:id="92"/>
      </w:r>
      <w:r w:rsidRPr="00B56729">
        <w:t xml:space="preserve">. </w:t>
      </w:r>
      <w:r w:rsidRPr="006B1CC6">
        <w:t>E</w:t>
      </w:r>
      <w:r w:rsidR="006F1824" w:rsidRPr="006B1CC6">
        <w:t xml:space="preserve">l </w:t>
      </w:r>
      <w:r w:rsidR="001E777C" w:rsidRPr="006B1CC6">
        <w:t>23</w:t>
      </w:r>
      <w:r w:rsidR="006F1824" w:rsidRPr="00B56729">
        <w:t xml:space="preserve"> de julio de 2009 </w:t>
      </w:r>
      <w:r w:rsidR="006F1824" w:rsidRPr="00626E10">
        <w:t>e</w:t>
      </w:r>
      <w:r w:rsidRPr="00626E10">
        <w:t>l Comand</w:t>
      </w:r>
      <w:r w:rsidR="00127B1A" w:rsidRPr="00626E10">
        <w:t>ante</w:t>
      </w:r>
      <w:r w:rsidRPr="00626E10">
        <w:t xml:space="preserve"> en Jefe de las Fuerzas Armadas acusó recibo de la solicitud anterior, y manifestó que “dar[ía] respuesta a la misma a la brevedad posible”</w:t>
      </w:r>
      <w:r w:rsidRPr="00626E10">
        <w:rPr>
          <w:vertAlign w:val="superscript"/>
        </w:rPr>
        <w:footnoteReference w:id="93"/>
      </w:r>
      <w:r w:rsidRPr="00626E10">
        <w:t xml:space="preserve">. </w:t>
      </w:r>
    </w:p>
    <w:p w14:paraId="3EE626BF" w14:textId="77777777" w:rsidR="008E6945" w:rsidRPr="00626E10" w:rsidRDefault="008E6945" w:rsidP="00E55450">
      <w:pPr>
        <w:rPr>
          <w:lang w:val="es-ES"/>
        </w:rPr>
      </w:pPr>
    </w:p>
    <w:p w14:paraId="31CDD31F" w14:textId="473635F7" w:rsidR="004B2A73" w:rsidRPr="00B56729" w:rsidRDefault="004B2A73" w:rsidP="005E070D">
      <w:pPr>
        <w:pStyle w:val="Prrafodelista"/>
      </w:pPr>
      <w:r w:rsidRPr="00626E10">
        <w:t xml:space="preserve">Ante </w:t>
      </w:r>
      <w:r w:rsidR="00925B90" w:rsidRPr="00626E10">
        <w:t>el silencio de las autoridades</w:t>
      </w:r>
      <w:r w:rsidRPr="00626E10">
        <w:t xml:space="preserve">, el 10 de diciembre de 2009 las hermanas Flores Bedregal presentaron </w:t>
      </w:r>
      <w:r w:rsidR="00925B90" w:rsidRPr="00626E10">
        <w:t xml:space="preserve">una </w:t>
      </w:r>
      <w:r w:rsidRPr="00626E10">
        <w:t xml:space="preserve">acción de amparo constitucional, </w:t>
      </w:r>
      <w:r w:rsidR="00925B90" w:rsidRPr="00626E10">
        <w:t xml:space="preserve">con fundamento en </w:t>
      </w:r>
      <w:r w:rsidR="00CE4C61" w:rsidRPr="00626E10">
        <w:t xml:space="preserve">que </w:t>
      </w:r>
      <w:r w:rsidR="00925B90" w:rsidRPr="00626E10">
        <w:t>las exigencias del</w:t>
      </w:r>
      <w:r w:rsidRPr="00626E10">
        <w:t xml:space="preserve"> Comand</w:t>
      </w:r>
      <w:r w:rsidR="00127B1A" w:rsidRPr="00626E10">
        <w:t>ante</w:t>
      </w:r>
      <w:r w:rsidRPr="00B56729">
        <w:t xml:space="preserve"> en Jefe de las F</w:t>
      </w:r>
      <w:r w:rsidR="00925B90" w:rsidRPr="00B56729">
        <w:t>FAA eran</w:t>
      </w:r>
      <w:r w:rsidRPr="00B56729">
        <w:t xml:space="preserve"> contrari</w:t>
      </w:r>
      <w:r w:rsidR="00CE4C61" w:rsidRPr="00B56729">
        <w:t>a</w:t>
      </w:r>
      <w:r w:rsidRPr="00B56729">
        <w:t>s al derecho de acceso a la información</w:t>
      </w:r>
      <w:r w:rsidR="00CE4C61" w:rsidRPr="00B56729">
        <w:t xml:space="preserve"> a la luz de</w:t>
      </w:r>
      <w:r w:rsidRPr="00B56729">
        <w:t xml:space="preserve"> la Resolución Ministerial N</w:t>
      </w:r>
      <w:r w:rsidR="00FC3D09">
        <w:t>o.</w:t>
      </w:r>
      <w:r w:rsidR="00057255" w:rsidRPr="00B56729">
        <w:t xml:space="preserve"> </w:t>
      </w:r>
      <w:r w:rsidRPr="00B56729">
        <w:t>316</w:t>
      </w:r>
      <w:r w:rsidR="00C007C1">
        <w:t>/09</w:t>
      </w:r>
      <w:r w:rsidR="00CE4C61" w:rsidRPr="00B56729">
        <w:t>; la violación</w:t>
      </w:r>
      <w:r w:rsidR="00E60993" w:rsidRPr="00B56729">
        <w:t xml:space="preserve"> </w:t>
      </w:r>
      <w:r w:rsidR="00CE4C61" w:rsidRPr="00B56729">
        <w:t>d</w:t>
      </w:r>
      <w:r w:rsidRPr="00B56729">
        <w:t>el derecho de petición</w:t>
      </w:r>
      <w:r w:rsidR="00E60993" w:rsidRPr="00B56729">
        <w:t xml:space="preserve"> </w:t>
      </w:r>
      <w:r w:rsidRPr="00B56729">
        <w:t>y</w:t>
      </w:r>
      <w:r w:rsidR="00E60993" w:rsidRPr="00B56729">
        <w:t xml:space="preserve"> </w:t>
      </w:r>
      <w:r w:rsidR="00CE4C61" w:rsidRPr="00B56729">
        <w:t>de</w:t>
      </w:r>
      <w:r w:rsidRPr="00B56729">
        <w:t xml:space="preserve"> seguridad jurídica</w:t>
      </w:r>
      <w:r w:rsidR="00CE4C61" w:rsidRPr="00B56729">
        <w:t xml:space="preserve"> por</w:t>
      </w:r>
      <w:r w:rsidRPr="00B56729">
        <w:t xml:space="preserve"> poner</w:t>
      </w:r>
      <w:r w:rsidR="00CE4C61" w:rsidRPr="00B56729">
        <w:t>se</w:t>
      </w:r>
      <w:r w:rsidRPr="00B56729">
        <w:t xml:space="preserve"> en duda la validez </w:t>
      </w:r>
      <w:r w:rsidR="00CE4C61" w:rsidRPr="00B56729">
        <w:t>y alcance</w:t>
      </w:r>
      <w:r w:rsidRPr="00B56729">
        <w:t xml:space="preserve"> de la Resolución </w:t>
      </w:r>
      <w:r w:rsidR="00CE4C61" w:rsidRPr="00B56729">
        <w:t xml:space="preserve">ministerial </w:t>
      </w:r>
      <w:r w:rsidRPr="00B56729">
        <w:t xml:space="preserve">y </w:t>
      </w:r>
      <w:r w:rsidR="00CE4C61" w:rsidRPr="00B56729">
        <w:t>otras</w:t>
      </w:r>
      <w:r w:rsidRPr="00B56729">
        <w:t xml:space="preserve"> normas </w:t>
      </w:r>
      <w:r w:rsidR="00CE4C61" w:rsidRPr="00B56729">
        <w:t>relevantes</w:t>
      </w:r>
      <w:r w:rsidRPr="00B56729">
        <w:rPr>
          <w:vertAlign w:val="superscript"/>
        </w:rPr>
        <w:footnoteReference w:id="94"/>
      </w:r>
      <w:r w:rsidRPr="00B56729">
        <w:t>. El 12 de diciembre de 2009, la Sala Penal Segunda de la Corte Superior del Distrito La Paz, declaró improcedente</w:t>
      </w:r>
      <w:r w:rsidRPr="004B5F3E">
        <w:t xml:space="preserve"> </w:t>
      </w:r>
      <w:r w:rsidR="00EE6E5E" w:rsidRPr="004B5F3E">
        <w:rPr>
          <w:i/>
          <w:iCs/>
        </w:rPr>
        <w:t>in limine</w:t>
      </w:r>
      <w:r w:rsidR="00EE6E5E">
        <w:t xml:space="preserve"> </w:t>
      </w:r>
      <w:r w:rsidRPr="00B56729">
        <w:t>la acción</w:t>
      </w:r>
      <w:r w:rsidR="00CE4C61" w:rsidRPr="00B56729">
        <w:t xml:space="preserve"> </w:t>
      </w:r>
      <w:r w:rsidRPr="00B56729">
        <w:t xml:space="preserve">al </w:t>
      </w:r>
      <w:r w:rsidR="00076577" w:rsidRPr="00B56729">
        <w:t>estimar</w:t>
      </w:r>
      <w:r w:rsidRPr="00B56729">
        <w:t xml:space="preserve"> que fue planteada directamente</w:t>
      </w:r>
      <w:r w:rsidR="00CE4C61" w:rsidRPr="00B56729">
        <w:t>,</w:t>
      </w:r>
      <w:r w:rsidRPr="00B56729">
        <w:t xml:space="preserve"> sin considerar el carácter subsidiario del amparo</w:t>
      </w:r>
      <w:r w:rsidR="00CE4C61" w:rsidRPr="00B56729">
        <w:t>, y estimó que las solicitantes</w:t>
      </w:r>
      <w:r w:rsidRPr="00B56729">
        <w:t xml:space="preserve"> debían “cumplir el procedimiento señalado por la nombrada autoridad”</w:t>
      </w:r>
      <w:r w:rsidR="00862B66" w:rsidRPr="00B56729">
        <w:t xml:space="preserve"> de las FFAA</w:t>
      </w:r>
      <w:r w:rsidRPr="00B56729">
        <w:rPr>
          <w:vertAlign w:val="superscript"/>
        </w:rPr>
        <w:footnoteReference w:id="95"/>
      </w:r>
      <w:r w:rsidRPr="00B56729">
        <w:t>.</w:t>
      </w:r>
    </w:p>
    <w:p w14:paraId="045546A8" w14:textId="77777777" w:rsidR="008E6945" w:rsidRPr="002E61E9" w:rsidRDefault="008E6945" w:rsidP="00E55450">
      <w:pPr>
        <w:rPr>
          <w:lang w:val="es-ES"/>
        </w:rPr>
      </w:pPr>
    </w:p>
    <w:p w14:paraId="37E5D7E1" w14:textId="03DBB79B" w:rsidR="004B2A73" w:rsidRDefault="00D21118" w:rsidP="005E070D">
      <w:pPr>
        <w:pStyle w:val="Prrafodelista"/>
      </w:pPr>
      <w:r w:rsidRPr="008E6945">
        <w:t xml:space="preserve">Por </w:t>
      </w:r>
      <w:r w:rsidR="00862B66" w:rsidRPr="008E6945">
        <w:t>su parte, el Defensor del Pueblo</w:t>
      </w:r>
      <w:r w:rsidR="00BF5878">
        <w:t>,</w:t>
      </w:r>
      <w:r w:rsidR="00862B66" w:rsidRPr="008E6945">
        <w:t xml:space="preserve"> mediante </w:t>
      </w:r>
      <w:r w:rsidR="004B2A73" w:rsidRPr="008E6945">
        <w:t>Resolución Defensorial N</w:t>
      </w:r>
      <w:r w:rsidR="00FC3D09">
        <w:t>o.</w:t>
      </w:r>
      <w:r w:rsidR="004B2A73" w:rsidRPr="008E6945">
        <w:t xml:space="preserve"> RD/00016/LPZ/2010</w:t>
      </w:r>
      <w:r w:rsidR="00862B66" w:rsidRPr="008E6945">
        <w:t xml:space="preserve"> de 22 de febrero de 2010 –dictada </w:t>
      </w:r>
      <w:r w:rsidR="004B2A73" w:rsidRPr="008E6945">
        <w:t>en respuesta a la queja N</w:t>
      </w:r>
      <w:r w:rsidR="00FC3D09">
        <w:t>o.</w:t>
      </w:r>
      <w:r w:rsidR="004B2A73" w:rsidRPr="008E6945">
        <w:t xml:space="preserve"> 2041-LPZ-2009 </w:t>
      </w:r>
      <w:r w:rsidR="00862B66" w:rsidRPr="008E6945">
        <w:t xml:space="preserve">de </w:t>
      </w:r>
      <w:r w:rsidR="004B2A73" w:rsidRPr="008E6945">
        <w:t>las señoras Olga y Verónica Flores Bedregal contra el Comando General de</w:t>
      </w:r>
      <w:r w:rsidR="00862B66" w:rsidRPr="008E6945">
        <w:t xml:space="preserve"> </w:t>
      </w:r>
      <w:r w:rsidR="004B2A73" w:rsidRPr="008E6945">
        <w:t>l</w:t>
      </w:r>
      <w:r w:rsidR="00862B66" w:rsidRPr="008E6945">
        <w:t>as FFAA—</w:t>
      </w:r>
      <w:r w:rsidR="00BF5878">
        <w:t>,</w:t>
      </w:r>
      <w:r w:rsidR="00862B66" w:rsidRPr="008E6945">
        <w:t xml:space="preserve"> </w:t>
      </w:r>
      <w:r w:rsidR="004B2A73" w:rsidRPr="008E6945">
        <w:t>decidió:</w:t>
      </w:r>
    </w:p>
    <w:p w14:paraId="19FAE686" w14:textId="77777777" w:rsidR="008E6945" w:rsidRPr="00685917" w:rsidRDefault="008E6945" w:rsidP="008E6945">
      <w:pPr>
        <w:autoSpaceDE w:val="0"/>
        <w:autoSpaceDN w:val="0"/>
        <w:adjustRightInd w:val="0"/>
        <w:jc w:val="both"/>
        <w:rPr>
          <w:rFonts w:ascii="Verdana" w:hAnsi="Verdana"/>
          <w:lang w:val="es-ES"/>
        </w:rPr>
      </w:pPr>
    </w:p>
    <w:p w14:paraId="496A734D" w14:textId="511F02AC" w:rsidR="008E6945" w:rsidRPr="00B56729" w:rsidRDefault="008E6945" w:rsidP="008E6945">
      <w:pPr>
        <w:autoSpaceDE w:val="0"/>
        <w:autoSpaceDN w:val="0"/>
        <w:adjustRightInd w:val="0"/>
        <w:ind w:left="567" w:right="918"/>
        <w:contextualSpacing/>
        <w:jc w:val="both"/>
        <w:rPr>
          <w:rFonts w:ascii="Verdana" w:hAnsi="Verdana"/>
          <w:sz w:val="16"/>
          <w:szCs w:val="16"/>
          <w:lang w:val="es-ES"/>
        </w:rPr>
      </w:pPr>
      <w:r w:rsidRPr="00B56729">
        <w:rPr>
          <w:rFonts w:ascii="Verdana" w:hAnsi="Verdana"/>
          <w:sz w:val="16"/>
          <w:szCs w:val="16"/>
          <w:lang w:val="es-ES"/>
        </w:rPr>
        <w:t xml:space="preserve">PRIMERO: Recomendar al Comandante en Jefe de las Fuerzas Armadas del Estado, disponga de manera inmediata el acceso a los archivos, registros públicos y documentos existentes en la institución a su cargo, a los familiares del señor Juan Carlos </w:t>
      </w:r>
      <w:r w:rsidR="0026777E">
        <w:rPr>
          <w:rFonts w:ascii="Verdana" w:hAnsi="Verdana"/>
          <w:sz w:val="16"/>
          <w:szCs w:val="16"/>
          <w:lang w:val="es-ES"/>
        </w:rPr>
        <w:t xml:space="preserve">Flores </w:t>
      </w:r>
      <w:r w:rsidRPr="00B56729">
        <w:rPr>
          <w:rFonts w:ascii="Verdana" w:hAnsi="Verdana"/>
          <w:sz w:val="16"/>
          <w:szCs w:val="16"/>
          <w:lang w:val="es-ES"/>
        </w:rPr>
        <w:t>Bedregal y otros desaparecidos, en cumplimiento de la Resolución Ministerial No. 0316 y otros instrumentos legales.</w:t>
      </w:r>
    </w:p>
    <w:p w14:paraId="13D63BE6" w14:textId="5FCCBB86" w:rsidR="008E6945" w:rsidRPr="00B56729" w:rsidRDefault="008E6945" w:rsidP="008E6945">
      <w:pPr>
        <w:autoSpaceDE w:val="0"/>
        <w:autoSpaceDN w:val="0"/>
        <w:adjustRightInd w:val="0"/>
        <w:ind w:left="567" w:right="918"/>
        <w:contextualSpacing/>
        <w:jc w:val="both"/>
        <w:rPr>
          <w:rFonts w:ascii="Verdana" w:hAnsi="Verdana"/>
          <w:sz w:val="16"/>
          <w:szCs w:val="16"/>
          <w:lang w:val="es-ES"/>
        </w:rPr>
      </w:pPr>
      <w:r w:rsidRPr="00B56729">
        <w:rPr>
          <w:rFonts w:ascii="Verdana" w:hAnsi="Verdana"/>
          <w:sz w:val="16"/>
          <w:szCs w:val="16"/>
          <w:lang w:val="es-ES"/>
        </w:rPr>
        <w:t xml:space="preserve">SEGUNDO: Recordar al Comandante en Jefe de las Fuerzas Armadas del Estado su deber legal de respetar el derecho de acceso a la información de los ciudadanos, derecho a la verdad y </w:t>
      </w:r>
      <w:r w:rsidR="0026777E">
        <w:rPr>
          <w:rFonts w:ascii="Verdana" w:hAnsi="Verdana"/>
          <w:sz w:val="16"/>
          <w:szCs w:val="16"/>
          <w:lang w:val="es-ES"/>
        </w:rPr>
        <w:t xml:space="preserve">no </w:t>
      </w:r>
      <w:r w:rsidRPr="00B56729">
        <w:rPr>
          <w:rFonts w:ascii="Verdana" w:hAnsi="Verdana"/>
          <w:sz w:val="16"/>
          <w:szCs w:val="16"/>
          <w:lang w:val="es-ES"/>
        </w:rPr>
        <w:t xml:space="preserve">impunidad, y cumplir la normativa señalada en la presente Resolución </w:t>
      </w:r>
      <w:r w:rsidR="0026777E">
        <w:rPr>
          <w:rFonts w:ascii="Verdana" w:hAnsi="Verdana"/>
          <w:sz w:val="16"/>
          <w:szCs w:val="16"/>
          <w:lang w:val="es-ES"/>
        </w:rPr>
        <w:t>Defensorial</w:t>
      </w:r>
      <w:r w:rsidRPr="00B56729">
        <w:rPr>
          <w:rFonts w:ascii="Verdana" w:hAnsi="Verdana"/>
          <w:sz w:val="16"/>
          <w:szCs w:val="16"/>
          <w:lang w:val="es-ES"/>
        </w:rPr>
        <w:t>.</w:t>
      </w:r>
    </w:p>
    <w:p w14:paraId="1CC4A1C0" w14:textId="4C42E589" w:rsidR="008E6945" w:rsidRPr="00B56729" w:rsidRDefault="008E6945" w:rsidP="008E6945">
      <w:pPr>
        <w:autoSpaceDE w:val="0"/>
        <w:autoSpaceDN w:val="0"/>
        <w:adjustRightInd w:val="0"/>
        <w:ind w:left="567" w:right="918"/>
        <w:contextualSpacing/>
        <w:jc w:val="both"/>
        <w:rPr>
          <w:rFonts w:ascii="Verdana" w:hAnsi="Verdana"/>
          <w:sz w:val="16"/>
          <w:szCs w:val="16"/>
          <w:lang w:val="es-ES"/>
        </w:rPr>
      </w:pPr>
      <w:r w:rsidRPr="00B56729">
        <w:rPr>
          <w:rFonts w:ascii="Verdana" w:hAnsi="Verdana"/>
          <w:sz w:val="16"/>
          <w:szCs w:val="16"/>
          <w:lang w:val="es-ES"/>
        </w:rPr>
        <w:t xml:space="preserve">TERCERO: Sugerir al Ministro de Defensa del Estado Plurinacional la adopción de las medidas concretas para lograr el cumplimiento de la Resolución Ministerial No. 0316 por parte de las Fuerzas Armadas del Estado y se permita el acceso </w:t>
      </w:r>
      <w:r w:rsidR="0026777E">
        <w:rPr>
          <w:rFonts w:ascii="Verdana" w:hAnsi="Verdana"/>
          <w:sz w:val="16"/>
          <w:szCs w:val="16"/>
          <w:lang w:val="es-ES"/>
        </w:rPr>
        <w:t>de</w:t>
      </w:r>
      <w:r w:rsidRPr="00B56729">
        <w:rPr>
          <w:rFonts w:ascii="Verdana" w:hAnsi="Verdana"/>
          <w:sz w:val="16"/>
          <w:szCs w:val="16"/>
          <w:lang w:val="es-ES"/>
        </w:rPr>
        <w:t xml:space="preserve"> las peticionarias a los archivos, registros públicos y documentos de la institución castrense de manera inmediata</w:t>
      </w:r>
      <w:r w:rsidRPr="00B56729">
        <w:rPr>
          <w:rFonts w:ascii="Verdana" w:hAnsi="Verdana"/>
          <w:sz w:val="16"/>
          <w:szCs w:val="16"/>
          <w:vertAlign w:val="superscript"/>
          <w:lang w:val="es-ES"/>
        </w:rPr>
        <w:footnoteReference w:id="96"/>
      </w:r>
      <w:r w:rsidRPr="00B56729">
        <w:rPr>
          <w:rFonts w:ascii="Verdana" w:hAnsi="Verdana"/>
          <w:sz w:val="16"/>
          <w:szCs w:val="16"/>
          <w:lang w:val="es-ES"/>
        </w:rPr>
        <w:t>.</w:t>
      </w:r>
    </w:p>
    <w:p w14:paraId="3E7E0942" w14:textId="77777777" w:rsidR="008E6945" w:rsidRPr="00685917" w:rsidRDefault="008E6945" w:rsidP="008E6945">
      <w:pPr>
        <w:autoSpaceDE w:val="0"/>
        <w:autoSpaceDN w:val="0"/>
        <w:adjustRightInd w:val="0"/>
        <w:jc w:val="both"/>
        <w:rPr>
          <w:rFonts w:ascii="Verdana" w:hAnsi="Verdana"/>
          <w:lang w:val="es-ES"/>
        </w:rPr>
      </w:pPr>
    </w:p>
    <w:p w14:paraId="0435FFE6" w14:textId="353EEF60" w:rsidR="008E6945" w:rsidRPr="00685917" w:rsidRDefault="008E6945" w:rsidP="005E070D">
      <w:pPr>
        <w:pStyle w:val="Prrafodelista"/>
      </w:pPr>
      <w:r w:rsidRPr="00685917">
        <w:t>No consta en el expediente el que se hayan adoptado acciones en cumplimiento de la Resolución Defensorial N</w:t>
      </w:r>
      <w:r w:rsidR="00FC3D09">
        <w:t>o.</w:t>
      </w:r>
      <w:r w:rsidRPr="00685917">
        <w:t xml:space="preserve"> RD/00016/LPZ/2010.</w:t>
      </w:r>
    </w:p>
    <w:p w14:paraId="53960027" w14:textId="77777777" w:rsidR="008E6945" w:rsidRPr="00685917" w:rsidRDefault="008E6945" w:rsidP="008E6945">
      <w:pPr>
        <w:autoSpaceDE w:val="0"/>
        <w:autoSpaceDN w:val="0"/>
        <w:adjustRightInd w:val="0"/>
        <w:jc w:val="both"/>
        <w:rPr>
          <w:rFonts w:ascii="Verdana" w:hAnsi="Verdana"/>
          <w:lang w:val="es-ES"/>
        </w:rPr>
      </w:pPr>
    </w:p>
    <w:p w14:paraId="5923978A" w14:textId="63E784F5" w:rsidR="008E6945" w:rsidRPr="008E6945" w:rsidRDefault="008E6945" w:rsidP="00D62951">
      <w:pPr>
        <w:pStyle w:val="Ttulo2"/>
        <w:numPr>
          <w:ilvl w:val="0"/>
          <w:numId w:val="19"/>
        </w:numPr>
        <w:ind w:left="567"/>
        <w:rPr>
          <w:rFonts w:ascii="Verdana" w:hAnsi="Verdana" w:cs="Arial"/>
          <w:b/>
          <w:bCs/>
          <w:color w:val="000000" w:themeColor="text1"/>
          <w:sz w:val="20"/>
          <w:szCs w:val="20"/>
          <w:lang w:val="es-ES"/>
        </w:rPr>
      </w:pPr>
      <w:bookmarkStart w:id="116" w:name="_Toc125037473"/>
      <w:r w:rsidRPr="008E6945">
        <w:rPr>
          <w:rFonts w:ascii="Verdana" w:hAnsi="Verdana" w:cs="Arial"/>
          <w:b/>
          <w:bCs/>
          <w:color w:val="000000" w:themeColor="text1"/>
          <w:sz w:val="20"/>
          <w:szCs w:val="20"/>
          <w:lang w:val="es-ES"/>
        </w:rPr>
        <w:t>Intentos de identificación de restos como parte de la búsqueda de Juan Carlos Flores Bedregal</w:t>
      </w:r>
      <w:bookmarkEnd w:id="116"/>
    </w:p>
    <w:p w14:paraId="18B4AA29" w14:textId="77777777" w:rsidR="008E6945" w:rsidRPr="00E52D1B" w:rsidRDefault="008E6945" w:rsidP="00E55450">
      <w:pPr>
        <w:rPr>
          <w:lang w:val="es-ES"/>
        </w:rPr>
      </w:pPr>
    </w:p>
    <w:p w14:paraId="5A82ED6E" w14:textId="18AE8817" w:rsidR="008E6945" w:rsidRPr="001E59F6" w:rsidRDefault="0037631C" w:rsidP="005E070D">
      <w:pPr>
        <w:pStyle w:val="Prrafodelista"/>
      </w:pPr>
      <w:r w:rsidRPr="001E59F6">
        <w:t>Tras los hechos de julio de 1980, las hermanas Flores Bedregal recibieron “</w:t>
      </w:r>
      <w:r w:rsidRPr="00551213">
        <w:t>muchas versiones de cuál habría sido el destino de Juan Carlos y de dónde podrían estar sus restos, la gran mayoría poco o nada creíbles</w:t>
      </w:r>
      <w:r w:rsidRPr="001E59F6">
        <w:t>”</w:t>
      </w:r>
      <w:r w:rsidRPr="001E59F6">
        <w:rPr>
          <w:vertAlign w:val="superscript"/>
        </w:rPr>
        <w:footnoteReference w:id="97"/>
      </w:r>
      <w:r w:rsidRPr="001E59F6">
        <w:t>.  Se realizaron tres exhumaciones en dos cuerpos enterrados en cementerios clandestinos</w:t>
      </w:r>
      <w:r w:rsidRPr="001E59F6">
        <w:rPr>
          <w:vertAlign w:val="superscript"/>
        </w:rPr>
        <w:footnoteReference w:id="98"/>
      </w:r>
      <w:r w:rsidRPr="001E59F6">
        <w:t>. La primera exhumación fue practicada en febrero de 1983 sobre un “cadáver casi momificado […] que ha debido tener una altura de 1,50 m” y el médico forense determinó que no se trataba de Juan Carlos Flores Bedregal. En marzo de 1983 se convocó a una segunda exhumación que finalmente no se realizó. En abril de 1983 se exhumó un cadáver sin pies ni manos en cuya certificación forense se consignaba que el sujeto “no era ni alto, ni bajo, ni gordo, ni flaco”. Dichos restos fueron exhumados nuevamente en 1992, a requerimiento de las hermanas Flores Bedregal, y examinados por miembros del Equipo Argentino de Antropología Forense que determinaron que no se trataba de Juan Carlos Flores Bedregal</w:t>
      </w:r>
      <w:r w:rsidRPr="001E59F6">
        <w:rPr>
          <w:vertAlign w:val="superscript"/>
        </w:rPr>
        <w:footnoteReference w:id="99"/>
      </w:r>
      <w:r w:rsidRPr="001E59F6">
        <w:t xml:space="preserve">. Las hermanas Flores Bedregal estuvieron presentes en todas estas diligencias. </w:t>
      </w:r>
    </w:p>
    <w:p w14:paraId="08E16C9F" w14:textId="77777777" w:rsidR="008E6945" w:rsidRPr="002E61E9" w:rsidRDefault="008E6945" w:rsidP="00E55450">
      <w:pPr>
        <w:rPr>
          <w:lang w:val="es-ES"/>
        </w:rPr>
      </w:pPr>
    </w:p>
    <w:p w14:paraId="18F4223C" w14:textId="48877296" w:rsidR="003018E1" w:rsidRDefault="00DD63A0" w:rsidP="005E070D">
      <w:pPr>
        <w:pStyle w:val="Prrafodelista"/>
      </w:pPr>
      <w:r w:rsidRPr="00626E10">
        <w:t xml:space="preserve">El 8 de </w:t>
      </w:r>
      <w:r w:rsidRPr="00D835F5">
        <w:t>septiembre de 2021</w:t>
      </w:r>
      <w:r w:rsidR="0037631C" w:rsidRPr="00D835F5">
        <w:t>,</w:t>
      </w:r>
      <w:r w:rsidR="00AC7CB9" w:rsidRPr="00D835F5">
        <w:t xml:space="preserve"> en el proceso penal </w:t>
      </w:r>
      <w:r w:rsidRPr="00D835F5">
        <w:t xml:space="preserve">No. 6441/09 </w:t>
      </w:r>
      <w:r w:rsidR="00AC7CB9" w:rsidRPr="00D835F5">
        <w:t xml:space="preserve">ante el Juzgado Octavo de Instrucción </w:t>
      </w:r>
      <w:r w:rsidR="00D835F5" w:rsidRPr="00D835F5">
        <w:t>en</w:t>
      </w:r>
      <w:r w:rsidR="00AC7CB9" w:rsidRPr="00D835F5">
        <w:t xml:space="preserve"> lo Penal Cautelar</w:t>
      </w:r>
      <w:r w:rsidRPr="00D835F5">
        <w:t xml:space="preserve"> –</w:t>
      </w:r>
      <w:r w:rsidRPr="00626E10">
        <w:t>impulsado por el Ministerio Público a instancias de las víctimas de la dictadura de Luis García Meza</w:t>
      </w:r>
      <w:r w:rsidR="00CF4B94" w:rsidRPr="00626E10">
        <w:t xml:space="preserve"> Tejada</w:t>
      </w:r>
      <w:r w:rsidRPr="00626E10">
        <w:t>—</w:t>
      </w:r>
      <w:r w:rsidR="00D77C74">
        <w:t>,</w:t>
      </w:r>
      <w:r w:rsidRPr="00626E10">
        <w:t xml:space="preserve"> </w:t>
      </w:r>
      <w:r w:rsidR="0037631C" w:rsidRPr="00626E10">
        <w:t>la</w:t>
      </w:r>
      <w:r w:rsidRPr="008E6945">
        <w:t xml:space="preserve"> F</w:t>
      </w:r>
      <w:r w:rsidR="0037631C" w:rsidRPr="008E6945">
        <w:t xml:space="preserve">iscal a cargo realizó “una declaración informática complementaria a [MFC] conocido como “el sepulturero” a </w:t>
      </w:r>
      <w:r w:rsidR="006B40A2" w:rsidRPr="008E6945">
        <w:t>objeto</w:t>
      </w:r>
      <w:r w:rsidR="0037631C" w:rsidRPr="008E6945">
        <w:t xml:space="preserve"> de contar con mayores elementos sobre el paradero de los restos de Flores Bedregal y otras víctimas de la dictadura militar”. Además, se realizaron dos inspecciones técnicas oculares los días 16 y 17 de diciembre de 2021 en la Terminal Provincial de la Ciudad de El Alto y Cementerio General de la Paz respectivamente, como posibles sitios de entierro de personas víctimas de la dictadura militar, incluyendo a aquellas que pudieron ser trasladas de otro Departamento</w:t>
      </w:r>
      <w:r w:rsidR="000D4A61" w:rsidRPr="001E59F6">
        <w:rPr>
          <w:vertAlign w:val="superscript"/>
        </w:rPr>
        <w:footnoteReference w:id="100"/>
      </w:r>
      <w:r w:rsidR="0037631C" w:rsidRPr="00773AE5">
        <w:t>.</w:t>
      </w:r>
      <w:r w:rsidR="0037631C" w:rsidRPr="008E6945">
        <w:t xml:space="preserve"> No se han llevado a cabo otras acciones destinadas a establecer la ubicación de los restos del señor Juan Carlos Flores Bedregal.</w:t>
      </w:r>
      <w:r w:rsidR="00A27159" w:rsidRPr="008E6945">
        <w:t xml:space="preserve"> </w:t>
      </w:r>
    </w:p>
    <w:p w14:paraId="002FF69A" w14:textId="76C9B8FF" w:rsidR="007E6E68" w:rsidRDefault="007E6E68" w:rsidP="000D4A61">
      <w:pPr>
        <w:pStyle w:val="Ttulo1"/>
        <w:spacing w:before="0"/>
        <w:ind w:left="1416" w:hanging="1416"/>
        <w:jc w:val="center"/>
        <w:rPr>
          <w:rFonts w:ascii="Verdana" w:hAnsi="Verdana"/>
          <w:b/>
          <w:bCs/>
          <w:color w:val="000000" w:themeColor="text1"/>
          <w:sz w:val="20"/>
          <w:szCs w:val="20"/>
          <w:lang w:val="es-ES"/>
        </w:rPr>
      </w:pPr>
      <w:bookmarkStart w:id="117" w:name="_Toc125037474"/>
      <w:r>
        <w:rPr>
          <w:rFonts w:ascii="Verdana" w:hAnsi="Verdana"/>
          <w:b/>
          <w:bCs/>
          <w:color w:val="000000" w:themeColor="text1"/>
          <w:sz w:val="20"/>
          <w:szCs w:val="20"/>
          <w:lang w:val="es-ES"/>
        </w:rPr>
        <w:lastRenderedPageBreak/>
        <w:t>VII</w:t>
      </w:r>
      <w:bookmarkEnd w:id="117"/>
    </w:p>
    <w:p w14:paraId="506274B1" w14:textId="4E1469E9" w:rsidR="008E6945" w:rsidRPr="003407B6" w:rsidRDefault="008E6945" w:rsidP="007E6E68">
      <w:pPr>
        <w:pStyle w:val="Ttulo1"/>
        <w:spacing w:before="0"/>
        <w:jc w:val="center"/>
        <w:rPr>
          <w:rFonts w:ascii="Verdana" w:hAnsi="Verdana"/>
          <w:b/>
          <w:bCs/>
          <w:color w:val="000000" w:themeColor="text1"/>
          <w:sz w:val="20"/>
          <w:szCs w:val="20"/>
          <w:lang w:val="es-ES"/>
        </w:rPr>
      </w:pPr>
      <w:bookmarkStart w:id="118" w:name="_Toc124157799"/>
      <w:bookmarkStart w:id="119" w:name="_Toc125037475"/>
      <w:r w:rsidRPr="003407B6">
        <w:rPr>
          <w:rFonts w:ascii="Verdana" w:hAnsi="Verdana"/>
          <w:b/>
          <w:bCs/>
          <w:color w:val="000000" w:themeColor="text1"/>
          <w:sz w:val="20"/>
          <w:szCs w:val="20"/>
          <w:lang w:val="es-ES"/>
        </w:rPr>
        <w:t>FONDO</w:t>
      </w:r>
      <w:bookmarkEnd w:id="118"/>
      <w:bookmarkEnd w:id="119"/>
    </w:p>
    <w:p w14:paraId="587CBDAF" w14:textId="77777777" w:rsidR="008E6945" w:rsidRPr="00847642" w:rsidRDefault="008E6945" w:rsidP="00847642">
      <w:pPr>
        <w:rPr>
          <w:rFonts w:ascii="Verdana" w:hAnsi="Verdana"/>
          <w:lang w:val="es-ES"/>
        </w:rPr>
      </w:pPr>
    </w:p>
    <w:bookmarkEnd w:id="93"/>
    <w:bookmarkEnd w:id="94"/>
    <w:bookmarkEnd w:id="95"/>
    <w:bookmarkEnd w:id="96"/>
    <w:bookmarkEnd w:id="97"/>
    <w:bookmarkEnd w:id="98"/>
    <w:bookmarkEnd w:id="99"/>
    <w:p w14:paraId="42EA85B3" w14:textId="3F841019" w:rsidR="007B25DC" w:rsidRDefault="00CD79C4" w:rsidP="005E070D">
      <w:pPr>
        <w:pStyle w:val="Prrafodelista"/>
      </w:pPr>
      <w:r w:rsidRPr="003407B6">
        <w:t xml:space="preserve">La Corte </w:t>
      </w:r>
      <w:r w:rsidR="00211539" w:rsidRPr="003407B6">
        <w:t xml:space="preserve">procederá </w:t>
      </w:r>
      <w:r w:rsidRPr="003407B6">
        <w:t>al</w:t>
      </w:r>
      <w:r w:rsidR="00211539" w:rsidRPr="003407B6">
        <w:t xml:space="preserve"> análisis de fondo en el orden siguiente:</w:t>
      </w:r>
      <w:r w:rsidR="00700D07" w:rsidRPr="003407B6">
        <w:t xml:space="preserve"> </w:t>
      </w:r>
      <w:r w:rsidR="002808FB" w:rsidRPr="003407B6">
        <w:t xml:space="preserve">la alegada </w:t>
      </w:r>
      <w:r w:rsidR="009E615B" w:rsidRPr="003407B6">
        <w:t>desaparición de Juan Carlos Flores Bedregal y</w:t>
      </w:r>
      <w:r w:rsidR="002808FB" w:rsidRPr="003407B6">
        <w:t xml:space="preserve"> los derechos al reconocimiento de la personalidad jurídica, a la vida, a la integridad personal y a la libertad personal </w:t>
      </w:r>
      <w:r w:rsidR="002E5F7F" w:rsidRPr="003407B6">
        <w:t>consagrados en</w:t>
      </w:r>
      <w:r w:rsidR="00FE5B82">
        <w:t xml:space="preserve"> los</w:t>
      </w:r>
      <w:r w:rsidR="002E5F7F" w:rsidRPr="003407B6">
        <w:t xml:space="preserve"> artículos 3, 4, 5 y </w:t>
      </w:r>
      <w:r w:rsidR="00C80F11" w:rsidRPr="003407B6">
        <w:t xml:space="preserve">7 </w:t>
      </w:r>
      <w:r w:rsidR="002808FB" w:rsidRPr="003407B6">
        <w:t xml:space="preserve">de la Convención Americana, en relación con </w:t>
      </w:r>
      <w:r w:rsidR="002159AB">
        <w:t xml:space="preserve">la obligación de respetar y garantizar los derechos y </w:t>
      </w:r>
      <w:r w:rsidR="002808FB" w:rsidRPr="003407B6">
        <w:t xml:space="preserve">los artículos </w:t>
      </w:r>
      <w:r w:rsidR="009E1A1B" w:rsidRPr="003407B6">
        <w:t>I</w:t>
      </w:r>
      <w:r w:rsidR="002808FB" w:rsidRPr="003407B6">
        <w:t>.a) y b</w:t>
      </w:r>
      <w:r w:rsidR="00900716" w:rsidRPr="003407B6">
        <w:t>)</w:t>
      </w:r>
      <w:r w:rsidR="002808FB" w:rsidRPr="003407B6">
        <w:t xml:space="preserve"> de la CIDFP</w:t>
      </w:r>
      <w:r w:rsidR="009E615B" w:rsidRPr="003407B6">
        <w:t xml:space="preserve">; </w:t>
      </w:r>
      <w:r w:rsidR="00900716" w:rsidRPr="003407B6">
        <w:t xml:space="preserve"> las alegadas violaciones a las garantías judiciales y </w:t>
      </w:r>
      <w:r w:rsidR="001E6788" w:rsidRPr="003407B6">
        <w:t xml:space="preserve">a la </w:t>
      </w:r>
      <w:r w:rsidR="00900716" w:rsidRPr="003407B6">
        <w:t>protección judicial</w:t>
      </w:r>
      <w:r w:rsidR="009E615B" w:rsidRPr="003407B6">
        <w:t xml:space="preserve"> consagrad</w:t>
      </w:r>
      <w:r w:rsidR="00127B1A" w:rsidRPr="003407B6">
        <w:t>a</w:t>
      </w:r>
      <w:r w:rsidR="009E615B" w:rsidRPr="003407B6">
        <w:t>s en los artículos 8.1, 25</w:t>
      </w:r>
      <w:r w:rsidR="00C007C1">
        <w:t>.1</w:t>
      </w:r>
      <w:r w:rsidR="009E615B" w:rsidRPr="003407B6">
        <w:t xml:space="preserve"> y 1.1 de la Convención</w:t>
      </w:r>
      <w:r w:rsidR="00163722" w:rsidRPr="003407B6">
        <w:t xml:space="preserve"> Americana</w:t>
      </w:r>
      <w:r w:rsidR="009E615B" w:rsidRPr="003407B6">
        <w:t xml:space="preserve">; la alegada violación al derecho de </w:t>
      </w:r>
      <w:r w:rsidR="00700D07" w:rsidRPr="003407B6">
        <w:t>acceso a la información</w:t>
      </w:r>
      <w:r w:rsidR="00C80F11" w:rsidRPr="003407B6">
        <w:t xml:space="preserve"> consagrad</w:t>
      </w:r>
      <w:r w:rsidR="00C007C1">
        <w:t xml:space="preserve">o </w:t>
      </w:r>
      <w:r w:rsidR="00C80F11" w:rsidRPr="003407B6">
        <w:t>en</w:t>
      </w:r>
      <w:r w:rsidR="00163722" w:rsidRPr="003407B6">
        <w:t xml:space="preserve"> el</w:t>
      </w:r>
      <w:r w:rsidR="00C80F11" w:rsidRPr="003407B6">
        <w:t xml:space="preserve"> artículo 13</w:t>
      </w:r>
      <w:r w:rsidR="00C007C1">
        <w:t>,</w:t>
      </w:r>
      <w:r w:rsidR="00163722" w:rsidRPr="003407B6">
        <w:t xml:space="preserve"> en </w:t>
      </w:r>
      <w:r w:rsidR="00C007C1">
        <w:t>relación</w:t>
      </w:r>
      <w:r w:rsidR="00163722" w:rsidRPr="003407B6">
        <w:t xml:space="preserve"> con los artículos</w:t>
      </w:r>
      <w:r w:rsidR="009E615B" w:rsidRPr="003407B6">
        <w:t xml:space="preserve"> 1.1 y 2</w:t>
      </w:r>
      <w:r w:rsidR="00C80F11" w:rsidRPr="003407B6">
        <w:t xml:space="preserve"> de la Convención Americana</w:t>
      </w:r>
      <w:r w:rsidR="009E615B" w:rsidRPr="003407B6">
        <w:t xml:space="preserve">; </w:t>
      </w:r>
      <w:r w:rsidR="00163722" w:rsidRPr="003407B6">
        <w:t xml:space="preserve">y </w:t>
      </w:r>
      <w:r w:rsidR="009E615B" w:rsidRPr="003407B6">
        <w:t>la</w:t>
      </w:r>
      <w:r w:rsidR="00900716" w:rsidRPr="003407B6">
        <w:t xml:space="preserve"> alegada violación a la integridad personal </w:t>
      </w:r>
      <w:r w:rsidR="003041BF" w:rsidRPr="003407B6">
        <w:t>de los familiares del señor Flores Bedregal</w:t>
      </w:r>
      <w:r w:rsidR="009E615B" w:rsidRPr="003407B6">
        <w:t>, consagrada en el artículo 5 de la Convención</w:t>
      </w:r>
      <w:r w:rsidR="00050097" w:rsidRPr="003407B6">
        <w:t>.</w:t>
      </w:r>
      <w:r w:rsidR="00900716" w:rsidRPr="003407B6">
        <w:t xml:space="preserve"> </w:t>
      </w:r>
    </w:p>
    <w:p w14:paraId="130B1FAF" w14:textId="77777777" w:rsidR="00847642" w:rsidRPr="002E61E9" w:rsidRDefault="00847642" w:rsidP="00E55450">
      <w:pPr>
        <w:rPr>
          <w:lang w:val="es-ES"/>
        </w:rPr>
      </w:pPr>
    </w:p>
    <w:p w14:paraId="028B43C7" w14:textId="0FD67A88" w:rsidR="00D34DAF" w:rsidRPr="007B594B" w:rsidRDefault="00DC64B6" w:rsidP="007B594B">
      <w:pPr>
        <w:pStyle w:val="Ttulo1"/>
        <w:spacing w:before="0"/>
        <w:jc w:val="center"/>
        <w:rPr>
          <w:rFonts w:ascii="Verdana" w:hAnsi="Verdana"/>
          <w:b/>
          <w:bCs/>
          <w:color w:val="000000" w:themeColor="text1"/>
          <w:sz w:val="20"/>
          <w:szCs w:val="20"/>
          <w:lang w:val="es-ES"/>
        </w:rPr>
      </w:pPr>
      <w:bookmarkStart w:id="120" w:name="_Toc100230477"/>
      <w:bookmarkStart w:id="121" w:name="_Toc101448222"/>
      <w:bookmarkStart w:id="122" w:name="_Toc107234583"/>
      <w:bookmarkStart w:id="123" w:name="_Toc115717812"/>
      <w:bookmarkStart w:id="124" w:name="_Toc1630862"/>
      <w:bookmarkStart w:id="125" w:name="_Toc124157800"/>
      <w:bookmarkStart w:id="126" w:name="_Toc125037476"/>
      <w:r w:rsidRPr="00DC64B6">
        <w:rPr>
          <w:rFonts w:ascii="Verdana" w:hAnsi="Verdana"/>
          <w:b/>
          <w:bCs/>
          <w:color w:val="000000" w:themeColor="text1"/>
          <w:sz w:val="20"/>
          <w:szCs w:val="20"/>
          <w:lang w:val="es-ES"/>
        </w:rPr>
        <w:t>V</w:t>
      </w:r>
      <w:r w:rsidR="007E6E68">
        <w:rPr>
          <w:rFonts w:ascii="Verdana" w:hAnsi="Verdana"/>
          <w:b/>
          <w:bCs/>
          <w:color w:val="000000" w:themeColor="text1"/>
          <w:sz w:val="20"/>
          <w:szCs w:val="20"/>
          <w:lang w:val="es-ES"/>
        </w:rPr>
        <w:t>I</w:t>
      </w:r>
      <w:r w:rsidRPr="00DC64B6">
        <w:rPr>
          <w:rFonts w:ascii="Verdana" w:hAnsi="Verdana"/>
          <w:b/>
          <w:bCs/>
          <w:color w:val="000000" w:themeColor="text1"/>
          <w:sz w:val="20"/>
          <w:szCs w:val="20"/>
          <w:lang w:val="es-ES"/>
        </w:rPr>
        <w:t>I-I</w:t>
      </w:r>
      <w:bookmarkEnd w:id="120"/>
      <w:bookmarkEnd w:id="121"/>
      <w:bookmarkEnd w:id="122"/>
      <w:bookmarkEnd w:id="123"/>
      <w:bookmarkEnd w:id="124"/>
      <w:bookmarkEnd w:id="125"/>
      <w:bookmarkEnd w:id="126"/>
      <w:r w:rsidR="00823121">
        <w:rPr>
          <w:rFonts w:ascii="Verdana" w:hAnsi="Verdana"/>
          <w:b/>
          <w:bCs/>
          <w:color w:val="000000" w:themeColor="text1"/>
          <w:sz w:val="20"/>
          <w:szCs w:val="20"/>
          <w:lang w:val="es-ES"/>
        </w:rPr>
        <w:t xml:space="preserve"> </w:t>
      </w:r>
    </w:p>
    <w:p w14:paraId="18DF2D1B" w14:textId="287813BB" w:rsidR="007B594B" w:rsidRPr="00DB0202" w:rsidRDefault="007B594B" w:rsidP="007B594B">
      <w:pPr>
        <w:pStyle w:val="Ttulo1"/>
        <w:spacing w:before="0"/>
        <w:jc w:val="center"/>
        <w:rPr>
          <w:rFonts w:ascii="Verdana" w:hAnsi="Verdana"/>
          <w:b/>
          <w:bCs/>
          <w:color w:val="000000" w:themeColor="text1"/>
          <w:sz w:val="20"/>
          <w:szCs w:val="20"/>
          <w:lang w:val="es-ES"/>
        </w:rPr>
      </w:pPr>
      <w:bookmarkStart w:id="127" w:name="_Toc125037477"/>
      <w:r w:rsidRPr="00DC64B6">
        <w:rPr>
          <w:rFonts w:ascii="Verdana" w:hAnsi="Verdana"/>
          <w:b/>
          <w:bCs/>
          <w:color w:val="000000" w:themeColor="text1"/>
          <w:sz w:val="20"/>
          <w:szCs w:val="20"/>
          <w:lang w:val="es-ES"/>
        </w:rPr>
        <w:t>DERECHOS AL RECONOCIMIENTO DE LA PERSONALIDAD JUR</w:t>
      </w:r>
      <w:r w:rsidR="00FE5B82">
        <w:rPr>
          <w:rFonts w:ascii="Verdana" w:hAnsi="Verdana"/>
          <w:b/>
          <w:bCs/>
          <w:color w:val="000000" w:themeColor="text1"/>
          <w:sz w:val="20"/>
          <w:szCs w:val="20"/>
          <w:lang w:val="es-ES"/>
        </w:rPr>
        <w:t>Í</w:t>
      </w:r>
      <w:r w:rsidRPr="00DC64B6">
        <w:rPr>
          <w:rFonts w:ascii="Verdana" w:hAnsi="Verdana"/>
          <w:b/>
          <w:bCs/>
          <w:color w:val="000000" w:themeColor="text1"/>
          <w:sz w:val="20"/>
          <w:szCs w:val="20"/>
          <w:lang w:val="es-ES"/>
        </w:rPr>
        <w:t>DICA, A LA VIDA, A LA INTEGRIDAD PERSONAL Y A LA LIBERTAD PERSONAL</w:t>
      </w:r>
      <w:r>
        <w:rPr>
          <w:rFonts w:ascii="Verdana" w:hAnsi="Verdana"/>
          <w:b/>
          <w:bCs/>
          <w:color w:val="000000" w:themeColor="text1"/>
          <w:sz w:val="20"/>
          <w:szCs w:val="20"/>
          <w:lang w:val="es-ES"/>
        </w:rPr>
        <w:t>,</w:t>
      </w:r>
      <w:r w:rsidRPr="00DC64B6">
        <w:rPr>
          <w:rFonts w:ascii="Verdana" w:hAnsi="Verdana"/>
          <w:b/>
          <w:bCs/>
          <w:color w:val="000000" w:themeColor="text1"/>
          <w:sz w:val="20"/>
          <w:szCs w:val="20"/>
          <w:lang w:val="es-ES"/>
        </w:rPr>
        <w:t xml:space="preserve"> EN RELACIÓN CON </w:t>
      </w:r>
      <w:r w:rsidR="00FE5B82">
        <w:rPr>
          <w:rFonts w:ascii="Verdana" w:hAnsi="Verdana"/>
          <w:b/>
          <w:bCs/>
          <w:color w:val="000000" w:themeColor="text1"/>
          <w:sz w:val="20"/>
          <w:szCs w:val="20"/>
          <w:lang w:val="es-ES"/>
        </w:rPr>
        <w:t xml:space="preserve">LA </w:t>
      </w:r>
      <w:r>
        <w:rPr>
          <w:rFonts w:ascii="Verdana" w:hAnsi="Verdana"/>
          <w:b/>
          <w:bCs/>
          <w:color w:val="000000" w:themeColor="text1"/>
          <w:sz w:val="20"/>
          <w:szCs w:val="20"/>
          <w:lang w:val="es-ES"/>
        </w:rPr>
        <w:t>OBLIGACIÓN DE RESPETAR Y GARANTIZAR LOS DERECHOS</w:t>
      </w:r>
      <w:r w:rsidRPr="00E03D2D">
        <w:rPr>
          <w:rFonts w:ascii="Verdana" w:hAnsi="Verdana"/>
          <w:b/>
          <w:bCs/>
          <w:color w:val="000000" w:themeColor="text1"/>
          <w:sz w:val="20"/>
          <w:szCs w:val="20"/>
          <w:vertAlign w:val="superscript"/>
          <w:lang w:val="es-ES"/>
        </w:rPr>
        <w:footnoteReference w:id="101"/>
      </w:r>
      <w:r w:rsidRPr="00E03D2D">
        <w:rPr>
          <w:rFonts w:ascii="Verdana" w:hAnsi="Verdana"/>
          <w:b/>
          <w:bCs/>
          <w:color w:val="000000" w:themeColor="text1"/>
          <w:sz w:val="20"/>
          <w:szCs w:val="20"/>
          <w:lang w:val="es-ES"/>
        </w:rPr>
        <w:t xml:space="preserve"> DE LA CONVENCIÓN AMERICANA Y </w:t>
      </w:r>
      <w:r w:rsidR="00EE6E5E">
        <w:rPr>
          <w:rFonts w:ascii="Verdana" w:hAnsi="Verdana"/>
          <w:b/>
          <w:bCs/>
          <w:color w:val="000000" w:themeColor="text1"/>
          <w:sz w:val="20"/>
          <w:szCs w:val="20"/>
          <w:lang w:val="es-ES"/>
        </w:rPr>
        <w:t>EL</w:t>
      </w:r>
      <w:r w:rsidRPr="00E03D2D">
        <w:rPr>
          <w:rFonts w:ascii="Verdana" w:hAnsi="Verdana"/>
          <w:b/>
          <w:bCs/>
          <w:color w:val="000000" w:themeColor="text1"/>
          <w:sz w:val="20"/>
          <w:szCs w:val="20"/>
          <w:lang w:val="es-ES"/>
        </w:rPr>
        <w:t xml:space="preserve"> ARTICULO I.a) </w:t>
      </w:r>
      <w:r w:rsidR="00FB5A4F">
        <w:rPr>
          <w:rFonts w:ascii="Verdana" w:hAnsi="Verdana"/>
          <w:b/>
          <w:bCs/>
          <w:color w:val="000000" w:themeColor="text1"/>
          <w:sz w:val="20"/>
          <w:szCs w:val="20"/>
          <w:lang w:val="es-ES"/>
        </w:rPr>
        <w:t>DE LA</w:t>
      </w:r>
      <w:r w:rsidRPr="00E03D2D">
        <w:rPr>
          <w:rFonts w:ascii="Verdana" w:hAnsi="Verdana"/>
          <w:b/>
          <w:bCs/>
          <w:color w:val="000000" w:themeColor="text1"/>
          <w:sz w:val="20"/>
          <w:szCs w:val="20"/>
          <w:lang w:val="es-ES"/>
        </w:rPr>
        <w:t xml:space="preserve"> CIDFP</w:t>
      </w:r>
      <w:bookmarkEnd w:id="127"/>
    </w:p>
    <w:p w14:paraId="44D22CAA" w14:textId="77777777" w:rsidR="007B594B" w:rsidRPr="00D34DAF" w:rsidRDefault="007B594B" w:rsidP="007B594B">
      <w:pPr>
        <w:rPr>
          <w:lang w:val="es-ES"/>
        </w:rPr>
      </w:pPr>
    </w:p>
    <w:p w14:paraId="4E085704" w14:textId="7D6053D4" w:rsidR="007B594B" w:rsidRPr="007B594B" w:rsidRDefault="007B594B" w:rsidP="005E070D">
      <w:pPr>
        <w:pStyle w:val="Prrafodelista"/>
      </w:pPr>
      <w:r w:rsidRPr="007B594B">
        <w:t xml:space="preserve">De conformidad con lo establecido en el </w:t>
      </w:r>
      <w:r w:rsidR="002159AB">
        <w:t>C</w:t>
      </w:r>
      <w:r w:rsidRPr="007B594B">
        <w:t xml:space="preserve">apítulo IV respecto a su competencia </w:t>
      </w:r>
      <w:r w:rsidRPr="007B594B">
        <w:rPr>
          <w:i/>
          <w:iCs/>
        </w:rPr>
        <w:t>ratione temporis</w:t>
      </w:r>
      <w:r w:rsidRPr="007B594B">
        <w:t xml:space="preserve"> en el presente caso, la Corte analizará si los hechos </w:t>
      </w:r>
      <w:r w:rsidRPr="00A32DBE">
        <w:t>ocurridos con</w:t>
      </w:r>
      <w:r w:rsidRPr="007B594B">
        <w:t xml:space="preserve"> anterioridad a la  aceptación de su competencia contenciosa</w:t>
      </w:r>
      <w:r w:rsidRPr="007B594B">
        <w:rPr>
          <w:i/>
        </w:rPr>
        <w:t xml:space="preserve"> </w:t>
      </w:r>
      <w:r w:rsidRPr="007B594B">
        <w:t>—</w:t>
      </w:r>
      <w:r w:rsidRPr="007B594B">
        <w:rPr>
          <w:iCs/>
        </w:rPr>
        <w:t xml:space="preserve">vale decir, </w:t>
      </w:r>
      <w:r w:rsidRPr="007B594B">
        <w:t>la detención ilegal y los hechos de violencia de 17 de julio de 1980 que afectaron al señor Juan Carlos Flores Bedregal— son de carácter continuado y constituyen</w:t>
      </w:r>
      <w:r w:rsidR="002159AB">
        <w:t>,</w:t>
      </w:r>
      <w:r w:rsidRPr="007B594B">
        <w:t xml:space="preserve"> por lo tanto</w:t>
      </w:r>
      <w:r w:rsidR="002159AB">
        <w:t>,</w:t>
      </w:r>
      <w:r w:rsidRPr="007B594B">
        <w:t xml:space="preserve"> violaciones de los derechos al reconocimiento de la personalidad jurídica, a la vida, a la integridad personal y a la libertad personal consagrados en los artículos 3, 4, 5 y 7</w:t>
      </w:r>
      <w:r w:rsidRPr="007B594B">
        <w:rPr>
          <w:i/>
        </w:rPr>
        <w:t xml:space="preserve"> </w:t>
      </w:r>
      <w:r w:rsidRPr="007B594B">
        <w:t xml:space="preserve">de la Convención Americana, en relación con </w:t>
      </w:r>
      <w:r w:rsidR="00A32DBE">
        <w:t>el</w:t>
      </w:r>
      <w:r w:rsidRPr="007B594B">
        <w:t xml:space="preserve"> artículo I.a)</w:t>
      </w:r>
      <w:r w:rsidRPr="009D4541">
        <w:t xml:space="preserve"> </w:t>
      </w:r>
      <w:r w:rsidRPr="00BB7208">
        <w:t xml:space="preserve">y </w:t>
      </w:r>
      <w:r w:rsidR="00777115" w:rsidRPr="00BB7208">
        <w:t>I.</w:t>
      </w:r>
      <w:r w:rsidRPr="00BB7208">
        <w:t>b)</w:t>
      </w:r>
      <w:r w:rsidRPr="007B594B">
        <w:t xml:space="preserve"> de la CIDFP</w:t>
      </w:r>
      <w:r w:rsidRPr="007B594B">
        <w:rPr>
          <w:lang w:val="es-ES_tradnl"/>
        </w:rPr>
        <w:t>.</w:t>
      </w:r>
    </w:p>
    <w:p w14:paraId="30FF0574" w14:textId="77777777" w:rsidR="007B594B" w:rsidRPr="00991C0C" w:rsidRDefault="007B594B" w:rsidP="007B594B">
      <w:pPr>
        <w:rPr>
          <w:lang w:val="es-ES"/>
        </w:rPr>
      </w:pPr>
    </w:p>
    <w:p w14:paraId="4280F42E" w14:textId="55D1DA89" w:rsidR="007B594B" w:rsidRDefault="00357DD8" w:rsidP="00D62951">
      <w:pPr>
        <w:pStyle w:val="Ttulo2"/>
        <w:numPr>
          <w:ilvl w:val="0"/>
          <w:numId w:val="28"/>
        </w:numPr>
        <w:spacing w:before="0"/>
        <w:ind w:left="567"/>
        <w:rPr>
          <w:rFonts w:ascii="Verdana" w:hAnsi="Verdana" w:cs="Arial"/>
          <w:b/>
          <w:bCs/>
          <w:color w:val="000000" w:themeColor="text1"/>
          <w:sz w:val="20"/>
          <w:szCs w:val="20"/>
          <w:lang w:val="es-ES"/>
        </w:rPr>
      </w:pPr>
      <w:bookmarkStart w:id="128" w:name="_Toc125037478"/>
      <w:r>
        <w:rPr>
          <w:rFonts w:ascii="Verdana" w:hAnsi="Verdana" w:cs="Arial"/>
          <w:b/>
          <w:bCs/>
          <w:color w:val="000000" w:themeColor="text1"/>
          <w:sz w:val="20"/>
          <w:szCs w:val="20"/>
          <w:lang w:val="es-ES"/>
        </w:rPr>
        <w:t>Alegatos</w:t>
      </w:r>
      <w:r w:rsidR="009B4CEC">
        <w:rPr>
          <w:rFonts w:ascii="Verdana" w:hAnsi="Verdana" w:cs="Arial"/>
          <w:b/>
          <w:bCs/>
          <w:color w:val="000000" w:themeColor="text1"/>
          <w:sz w:val="20"/>
          <w:szCs w:val="20"/>
          <w:lang w:val="es-ES"/>
        </w:rPr>
        <w:t xml:space="preserve"> de la Comisión </w:t>
      </w:r>
      <w:r w:rsidR="007B594B" w:rsidRPr="00DC64B6">
        <w:rPr>
          <w:rFonts w:ascii="Verdana" w:hAnsi="Verdana" w:cs="Arial"/>
          <w:b/>
          <w:bCs/>
          <w:color w:val="000000" w:themeColor="text1"/>
          <w:sz w:val="20"/>
          <w:szCs w:val="20"/>
          <w:lang w:val="es-ES"/>
        </w:rPr>
        <w:t>y</w:t>
      </w:r>
      <w:bookmarkEnd w:id="128"/>
      <w:r w:rsidR="009B4CEC">
        <w:rPr>
          <w:rFonts w:ascii="Verdana" w:hAnsi="Verdana" w:cs="Arial"/>
          <w:b/>
          <w:bCs/>
          <w:color w:val="000000" w:themeColor="text1"/>
          <w:sz w:val="20"/>
          <w:szCs w:val="20"/>
          <w:lang w:val="es-ES"/>
        </w:rPr>
        <w:t xml:space="preserve"> las partes</w:t>
      </w:r>
    </w:p>
    <w:p w14:paraId="682455A9" w14:textId="77777777" w:rsidR="007B594B" w:rsidRPr="00416108" w:rsidRDefault="007B594B" w:rsidP="007B594B">
      <w:pPr>
        <w:ind w:left="1080"/>
        <w:rPr>
          <w:lang w:val="es-ES"/>
        </w:rPr>
      </w:pPr>
    </w:p>
    <w:p w14:paraId="54F72323" w14:textId="44B477C7" w:rsidR="007B594B" w:rsidRPr="009B0B9D" w:rsidRDefault="007B594B" w:rsidP="005E070D">
      <w:pPr>
        <w:pStyle w:val="Prrafodelista"/>
      </w:pPr>
      <w:r w:rsidRPr="009B0B9D">
        <w:rPr>
          <w:rFonts w:eastAsia="Calibri"/>
        </w:rPr>
        <w:t xml:space="preserve">La </w:t>
      </w:r>
      <w:r w:rsidRPr="009B0B9D">
        <w:rPr>
          <w:rFonts w:eastAsia="Calibri"/>
          <w:b/>
          <w:i/>
        </w:rPr>
        <w:t xml:space="preserve">Comisión </w:t>
      </w:r>
      <w:r w:rsidRPr="009B0B9D">
        <w:rPr>
          <w:rFonts w:eastAsia="Calibri"/>
        </w:rPr>
        <w:t>alegó que el Estado violó los artículos 3, 4.1, 5.1 y 5.2, 7</w:t>
      </w:r>
      <w:r w:rsidRPr="004B5F3E">
        <w:rPr>
          <w:rFonts w:eastAsia="Calibri"/>
        </w:rPr>
        <w:t>.1, 8.1 y 25.1 de la Convención Americana, en relación con el artículo 1.1 del mismo instrumento, y los artículos I</w:t>
      </w:r>
      <w:r w:rsidR="00C007C1" w:rsidRPr="004B5F3E">
        <w:rPr>
          <w:rFonts w:eastAsia="Calibri"/>
        </w:rPr>
        <w:t>.</w:t>
      </w:r>
      <w:r w:rsidRPr="004B5F3E">
        <w:rPr>
          <w:rFonts w:eastAsia="Calibri"/>
        </w:rPr>
        <w:t xml:space="preserve">a) y </w:t>
      </w:r>
      <w:r w:rsidR="00777115" w:rsidRPr="004B5F3E">
        <w:rPr>
          <w:rFonts w:eastAsia="Calibri"/>
        </w:rPr>
        <w:t>I.</w:t>
      </w:r>
      <w:r w:rsidRPr="004B5F3E">
        <w:rPr>
          <w:rFonts w:eastAsia="Calibri"/>
        </w:rPr>
        <w:t xml:space="preserve">b) de la CIDFP, en perjuicio de Juan Carlos Flores Bedregal. Sostuvo que no existe controversia respecto a la participación de los agentes estatales en los hechos relativos a la toma de la COB, ni de que el señor Flores Bedregal fue una de las víctimas de </w:t>
      </w:r>
      <w:r w:rsidR="000D4F10" w:rsidRPr="004B5F3E">
        <w:rPr>
          <w:rFonts w:eastAsia="Calibri"/>
        </w:rPr>
        <w:t>los hechos</w:t>
      </w:r>
      <w:r w:rsidRPr="004B5F3E">
        <w:rPr>
          <w:rFonts w:eastAsia="Calibri"/>
        </w:rPr>
        <w:t xml:space="preserve">. Por tanto, la Comisión tuvo por comprobados los dos primeros elementos de la desaparición forzada. Respecto al tercer elemento, señaló que hasta la fecha no se ha esclarecido en forma integral lo sucedido al señor Flores Bedregal ni se han localizado sus restos. Señaló que la sentencia de condena emitida por el Juzgado Segundo </w:t>
      </w:r>
      <w:r w:rsidR="000D4F10" w:rsidRPr="004B5F3E">
        <w:rPr>
          <w:rFonts w:eastAsia="Calibri"/>
        </w:rPr>
        <w:t>en lo Penal</w:t>
      </w:r>
      <w:r w:rsidRPr="004B5F3E">
        <w:rPr>
          <w:rFonts w:eastAsia="Calibri"/>
        </w:rPr>
        <w:t xml:space="preserve"> reconoció los graves obstáculos que se presentaron para lograr el esclarecimiento de los hechos debido al “pacto de silencio” de los presuntos involucrados; y que en la misma providencia se evidencian las contradicciones existentes en las declaraciones de los acusados con relación al destino final de los cuerpos de Marcelo Quiroga y Juan Carlos Flores Bedregal. Todo lo anterior evidencia la intención de los agentes estatales de</w:t>
      </w:r>
      <w:r w:rsidRPr="009B0B9D">
        <w:rPr>
          <w:rFonts w:eastAsia="Calibri"/>
        </w:rPr>
        <w:t xml:space="preserve"> eliminar la prueba y ocultar lo sucedido.</w:t>
      </w:r>
      <w:r w:rsidRPr="009B0B9D">
        <w:rPr>
          <w:rFonts w:eastAsia="Calibri"/>
          <w:b/>
          <w:bCs/>
          <w:lang w:val="es-CR"/>
        </w:rPr>
        <w:t xml:space="preserve"> </w:t>
      </w:r>
    </w:p>
    <w:p w14:paraId="280BE163" w14:textId="77777777" w:rsidR="007B594B" w:rsidRPr="00991C0C" w:rsidRDefault="007B594B" w:rsidP="007B594B">
      <w:pPr>
        <w:rPr>
          <w:lang w:val="es-ES"/>
        </w:rPr>
      </w:pPr>
    </w:p>
    <w:p w14:paraId="6AD26D7A" w14:textId="286562E3" w:rsidR="007B594B" w:rsidRDefault="007B594B" w:rsidP="005E070D">
      <w:pPr>
        <w:pStyle w:val="Prrafodelista"/>
      </w:pPr>
      <w:r w:rsidRPr="00DC64B6">
        <w:t xml:space="preserve">El </w:t>
      </w:r>
      <w:r w:rsidRPr="00E03D2D">
        <w:rPr>
          <w:b/>
          <w:bCs/>
          <w:i/>
        </w:rPr>
        <w:t>representante</w:t>
      </w:r>
      <w:r w:rsidRPr="00DC64B6">
        <w:t xml:space="preserve"> </w:t>
      </w:r>
      <w:r w:rsidRPr="00DC64B6">
        <w:rPr>
          <w:rFonts w:eastAsia="Calibri"/>
        </w:rPr>
        <w:t>coincidió en general con lo expuesto por la Comisión. Sostuvo que</w:t>
      </w:r>
      <w:r w:rsidRPr="007373ED">
        <w:rPr>
          <w:rFonts w:eastAsia="Calibri"/>
        </w:rPr>
        <w:t xml:space="preserve"> el señor Flores Bedregal fue detenido y obligado a descender hacia la calle momento a partir del cual los agentes estatales tenían control efectivo </w:t>
      </w:r>
      <w:r w:rsidRPr="00E03D2D">
        <w:rPr>
          <w:rFonts w:eastAsia="Calibri"/>
        </w:rPr>
        <w:t>sobre la presunta</w:t>
      </w:r>
      <w:r>
        <w:rPr>
          <w:rFonts w:eastAsia="Calibri"/>
        </w:rPr>
        <w:t xml:space="preserve"> víctima</w:t>
      </w:r>
      <w:r w:rsidRPr="00DC64B6">
        <w:rPr>
          <w:rFonts w:eastAsia="Calibri"/>
        </w:rPr>
        <w:t xml:space="preserve">; que su fallecimiento nunca fue debidamente corroborado; y que el hecho de que días después del asalto hayan aparecido fotografías </w:t>
      </w:r>
      <w:r w:rsidRPr="00DC64B6">
        <w:rPr>
          <w:rFonts w:eastAsia="Calibri"/>
        </w:rPr>
        <w:lastRenderedPageBreak/>
        <w:t>del dirigente político Marcelo Quiroga con signos de tortura, hacen posible inferir que el señor Flores Bedregal pudo haber sido trasladado al Estado Mayor y sufrido una suerte similar.</w:t>
      </w:r>
      <w:r w:rsidRPr="00DC64B6">
        <w:t xml:space="preserve"> Adicionalmente, manifestó que persiste la negación de reconocer la desaparición forzada. Alegó que los involucrados siguen sin revelar lo ocurrido y las autoridades estatales se niegan a brindar información y critican a los familiares de la </w:t>
      </w:r>
      <w:r w:rsidR="000D4F10">
        <w:t xml:space="preserve">presunta </w:t>
      </w:r>
      <w:r w:rsidRPr="00DC64B6">
        <w:t xml:space="preserve">víctima por buscar la verdad, al acusarlos de actuar con sesgos políticos. </w:t>
      </w:r>
    </w:p>
    <w:p w14:paraId="25BECB59" w14:textId="77777777" w:rsidR="007B594B" w:rsidRPr="00991C0C" w:rsidRDefault="007B594B" w:rsidP="007B594B">
      <w:pPr>
        <w:rPr>
          <w:lang w:val="es-ES"/>
        </w:rPr>
      </w:pPr>
    </w:p>
    <w:p w14:paraId="386DE0B3" w14:textId="26B5B608" w:rsidR="0086197B" w:rsidRPr="002F6FEA" w:rsidRDefault="007B594B" w:rsidP="005E070D">
      <w:pPr>
        <w:pStyle w:val="Prrafodelista"/>
      </w:pPr>
      <w:r w:rsidRPr="00DC64B6">
        <w:t xml:space="preserve">El </w:t>
      </w:r>
      <w:r w:rsidRPr="00DC64B6">
        <w:rPr>
          <w:b/>
          <w:i/>
        </w:rPr>
        <w:t>Estado</w:t>
      </w:r>
      <w:r w:rsidRPr="00DC64B6">
        <w:t xml:space="preserve"> reiter</w:t>
      </w:r>
      <w:r>
        <w:t>ó</w:t>
      </w:r>
      <w:r w:rsidRPr="00DC64B6">
        <w:t xml:space="preserve"> los argumentos expuestos en la excepción </w:t>
      </w:r>
      <w:r w:rsidRPr="00DC64B6">
        <w:rPr>
          <w:i/>
        </w:rPr>
        <w:t>ratione temporis</w:t>
      </w:r>
      <w:r w:rsidRPr="00DC64B6">
        <w:t xml:space="preserve"> y s</w:t>
      </w:r>
      <w:r w:rsidRPr="004B5F3E">
        <w:t>ostuvo</w:t>
      </w:r>
      <w:r w:rsidRPr="00DC64B6">
        <w:t xml:space="preserve"> que en el presente caso se produjo la privación de la vida y no una desaparición forzada, por lo que no se configuran la violación a los derechos a</w:t>
      </w:r>
      <w:r>
        <w:t xml:space="preserve"> </w:t>
      </w:r>
      <w:r w:rsidRPr="004B5F3E">
        <w:t>la personalidad jurídica, la</w:t>
      </w:r>
      <w:r w:rsidRPr="00DC64B6">
        <w:t xml:space="preserve"> vida, la integridad y </w:t>
      </w:r>
      <w:r w:rsidR="00C007C1">
        <w:t xml:space="preserve">la </w:t>
      </w:r>
      <w:r w:rsidRPr="00DC64B6">
        <w:t>libertad personales previstos en los artículos</w:t>
      </w:r>
      <w:r w:rsidR="000D4F10">
        <w:t xml:space="preserve"> </w:t>
      </w:r>
      <w:r w:rsidR="00AE25CD">
        <w:t xml:space="preserve">3, </w:t>
      </w:r>
      <w:r>
        <w:t>4</w:t>
      </w:r>
      <w:r w:rsidRPr="00DC64B6">
        <w:t>, 5 y 7 de la Convención Americana</w:t>
      </w:r>
      <w:r w:rsidRPr="00FB5A4F">
        <w:t>.</w:t>
      </w:r>
      <w:r>
        <w:rPr>
          <w:b/>
          <w:bCs/>
        </w:rPr>
        <w:t xml:space="preserve"> </w:t>
      </w:r>
      <w:r w:rsidRPr="00DC64B6">
        <w:t>Para justificar su postura aleg</w:t>
      </w:r>
      <w:r w:rsidR="000D4F10">
        <w:t>ó</w:t>
      </w:r>
      <w:r w:rsidRPr="00DC64B6">
        <w:t xml:space="preserve"> que se tiene como plenamente probada la muerte inmediata del señor Juan Carlos Flores Bedregal, razón por la cual no puede considerarse que fue víctima de una desaparición forzada. En cuanto a la obligación de garantía, </w:t>
      </w:r>
      <w:r w:rsidRPr="007373ED">
        <w:t>manif</w:t>
      </w:r>
      <w:r w:rsidR="000D4F10">
        <w:t>estó</w:t>
      </w:r>
      <w:r w:rsidRPr="007373ED">
        <w:t xml:space="preserve"> que</w:t>
      </w:r>
      <w:r w:rsidRPr="00DC64B6">
        <w:t xml:space="preserve"> cumplió con el deber de investigar, ya que los hechos relativos a la desaparición de los restos de la presunta víctima del Hospital de Clínicas fueron incluidos en el proceso No. 6441/09</w:t>
      </w:r>
      <w:r>
        <w:t>.</w:t>
      </w:r>
      <w:r>
        <w:tab/>
      </w:r>
    </w:p>
    <w:p w14:paraId="1AB7C3E8" w14:textId="77777777" w:rsidR="0086197B" w:rsidRPr="009E2075" w:rsidRDefault="0086197B" w:rsidP="007B594B">
      <w:pPr>
        <w:rPr>
          <w:lang w:val="es-ES"/>
        </w:rPr>
      </w:pPr>
    </w:p>
    <w:p w14:paraId="7A940116" w14:textId="77777777" w:rsidR="007B594B" w:rsidRDefault="007B594B" w:rsidP="00D62951">
      <w:pPr>
        <w:pStyle w:val="Ttulo2"/>
        <w:ind w:left="567"/>
        <w:rPr>
          <w:rFonts w:ascii="Verdana" w:hAnsi="Verdana" w:cs="Arial"/>
          <w:b/>
          <w:bCs/>
          <w:color w:val="000000" w:themeColor="text1"/>
          <w:sz w:val="20"/>
          <w:szCs w:val="20"/>
          <w:lang w:val="es-ES"/>
        </w:rPr>
      </w:pPr>
      <w:bookmarkStart w:id="129" w:name="_Toc125037479"/>
      <w:r w:rsidRPr="005E03FA">
        <w:rPr>
          <w:rFonts w:ascii="Verdana" w:hAnsi="Verdana" w:cs="Arial"/>
          <w:b/>
          <w:bCs/>
          <w:color w:val="000000" w:themeColor="text1"/>
          <w:sz w:val="20"/>
          <w:szCs w:val="20"/>
          <w:lang w:val="es-ES"/>
        </w:rPr>
        <w:t>B. Consideraciones de la Corte</w:t>
      </w:r>
      <w:bookmarkEnd w:id="129"/>
    </w:p>
    <w:p w14:paraId="1AFAA214" w14:textId="77777777" w:rsidR="007B594B" w:rsidRPr="005E03FA" w:rsidRDefault="007B594B" w:rsidP="007B594B">
      <w:pPr>
        <w:rPr>
          <w:lang w:val="es-ES"/>
        </w:rPr>
      </w:pPr>
    </w:p>
    <w:p w14:paraId="1C28A120" w14:textId="77777777" w:rsidR="007B594B" w:rsidRDefault="007B594B" w:rsidP="00D62951">
      <w:pPr>
        <w:pStyle w:val="Ttulo3"/>
        <w:spacing w:before="0"/>
        <w:ind w:left="709"/>
        <w:rPr>
          <w:rFonts w:ascii="Verdana" w:hAnsi="Verdana" w:cs="Arial"/>
          <w:b/>
          <w:bCs/>
          <w:color w:val="000000" w:themeColor="text1"/>
          <w:sz w:val="20"/>
          <w:szCs w:val="20"/>
          <w:lang w:val="es-ES"/>
        </w:rPr>
      </w:pPr>
      <w:bookmarkStart w:id="130" w:name="_Toc125037480"/>
      <w:r w:rsidRPr="005E03FA">
        <w:rPr>
          <w:rFonts w:ascii="Verdana" w:hAnsi="Verdana" w:cs="Arial"/>
          <w:b/>
          <w:bCs/>
          <w:color w:val="000000" w:themeColor="text1"/>
          <w:sz w:val="20"/>
          <w:szCs w:val="20"/>
          <w:lang w:val="es-ES"/>
        </w:rPr>
        <w:t>B.1</w:t>
      </w:r>
      <w:r w:rsidRPr="00A506A2">
        <w:rPr>
          <w:rFonts w:ascii="Verdana" w:hAnsi="Verdana" w:cs="Arial"/>
          <w:b/>
          <w:bCs/>
          <w:color w:val="000000" w:themeColor="text1"/>
          <w:sz w:val="20"/>
          <w:szCs w:val="20"/>
          <w:lang w:val="es-ES"/>
        </w:rPr>
        <w:t xml:space="preserve">. </w:t>
      </w:r>
      <w:r w:rsidRPr="00C765C5">
        <w:rPr>
          <w:rFonts w:ascii="Verdana" w:hAnsi="Verdana" w:cs="Arial"/>
          <w:b/>
          <w:bCs/>
          <w:color w:val="000000" w:themeColor="text1"/>
          <w:sz w:val="20"/>
          <w:szCs w:val="20"/>
          <w:lang w:val="es-ES"/>
        </w:rPr>
        <w:t>La desaparición forzada de personas</w:t>
      </w:r>
      <w:bookmarkEnd w:id="130"/>
    </w:p>
    <w:p w14:paraId="5DBA0384" w14:textId="77777777" w:rsidR="007B594B" w:rsidRPr="00416108" w:rsidRDefault="007B594B" w:rsidP="007B594B">
      <w:pPr>
        <w:rPr>
          <w:lang w:val="es-ES"/>
        </w:rPr>
      </w:pPr>
    </w:p>
    <w:p w14:paraId="4425D650" w14:textId="77777777" w:rsidR="007B594B" w:rsidRDefault="007B594B" w:rsidP="005E070D">
      <w:pPr>
        <w:pStyle w:val="Prrafodelista"/>
      </w:pPr>
      <w:r w:rsidRPr="005E03FA">
        <w:t xml:space="preserve">Como surge de la jurisprudencia constante de la Corte, la desaparición </w:t>
      </w:r>
      <w:r w:rsidRPr="005E03FA">
        <w:rPr>
          <w:rFonts w:eastAsia="Calibri"/>
        </w:rPr>
        <w:t>forzada</w:t>
      </w:r>
      <w:r w:rsidRPr="005E03FA">
        <w:t xml:space="preserve"> de personas es una grave violación de derechos humanos</w:t>
      </w:r>
      <w:r w:rsidRPr="002B6B2D">
        <w:rPr>
          <w:vertAlign w:val="superscript"/>
        </w:rPr>
        <w:footnoteReference w:id="102"/>
      </w:r>
      <w:r w:rsidRPr="005E03FA">
        <w:t xml:space="preserve"> constituida por tres elementos concurrentes: a) la privación de la libertad; b) la intervención directa de agentes estatales o la aquiescencia de estos, y c) la negativa de reconocer la detención y de revelar la suerte o el paradero de la persona interesada</w:t>
      </w:r>
      <w:r w:rsidRPr="001E59F6">
        <w:rPr>
          <w:vertAlign w:val="superscript"/>
        </w:rPr>
        <w:footnoteReference w:id="103"/>
      </w:r>
      <w:r w:rsidRPr="005E03FA">
        <w:t>.</w:t>
      </w:r>
      <w:r w:rsidRPr="005E03FA">
        <w:rPr>
          <w:rFonts w:cs="Arial"/>
        </w:rPr>
        <w:t xml:space="preserve"> </w:t>
      </w:r>
      <w:r w:rsidRPr="005E03FA">
        <w:t>E</w:t>
      </w:r>
      <w:r>
        <w:t>ste</w:t>
      </w:r>
      <w:r w:rsidRPr="005E03FA">
        <w:t xml:space="preserve"> Tribunal ha reiterado el carácter permanente de los actos constitutivos de desaparición forzada mientras no se conozca el paradero de la víctima o se hallen sus restos, y la naturaleza pluriofensiva que sus consecuencias acarrean a los derechos reconocidos en la Convención Americana, por lo cual los Estados tienen el deber correlativo de investigar tales actos y, eventualmente, sancionar a los </w:t>
      </w:r>
      <w:r w:rsidRPr="001E59F6">
        <w:t>responsables</w:t>
      </w:r>
      <w:r w:rsidRPr="001E59F6">
        <w:rPr>
          <w:vertAlign w:val="superscript"/>
        </w:rPr>
        <w:footnoteReference w:id="104"/>
      </w:r>
      <w:r w:rsidRPr="001E59F6">
        <w:t xml:space="preserve">, </w:t>
      </w:r>
      <w:r w:rsidRPr="004867EA">
        <w:t xml:space="preserve">conforme a las obligaciones derivadas de la citada Convención y, en particular, </w:t>
      </w:r>
      <w:r w:rsidRPr="00354604">
        <w:t>de los artículos I, II y III de</w:t>
      </w:r>
      <w:r w:rsidRPr="004867EA">
        <w:t xml:space="preserve"> la CIDFP, </w:t>
      </w:r>
      <w:r w:rsidRPr="00354604">
        <w:t>el último de los cuales establece expresamente que el delito de desaparición forzada será considerado como continuado o permanente mientras no se establezca el destino o paradero de la víctima.</w:t>
      </w:r>
      <w:r w:rsidRPr="004867EA">
        <w:t xml:space="preserve"> La caracterización de la desaparición forzada, como violación permanente y pluriofensiva a los derechos humanos</w:t>
      </w:r>
      <w:r w:rsidRPr="002B6B2D">
        <w:rPr>
          <w:vertAlign w:val="superscript"/>
        </w:rPr>
        <w:footnoteReference w:id="105"/>
      </w:r>
      <w:r w:rsidRPr="001E59F6">
        <w:t xml:space="preserve"> es consistente con el </w:t>
      </w:r>
      <w:r w:rsidRPr="001E59F6">
        <w:lastRenderedPageBreak/>
        <w:t>criterio del Tribunal Europeo de Derechos Humanos</w:t>
      </w:r>
      <w:r w:rsidRPr="001E59F6">
        <w:rPr>
          <w:vertAlign w:val="superscript"/>
        </w:rPr>
        <w:footnoteReference w:id="106"/>
      </w:r>
      <w:r w:rsidRPr="001E59F6">
        <w:t>, así como con las decisiones de órganos internacionales</w:t>
      </w:r>
      <w:r w:rsidRPr="001E59F6">
        <w:rPr>
          <w:vertAlign w:val="superscript"/>
        </w:rPr>
        <w:footnoteReference w:id="107"/>
      </w:r>
      <w:r w:rsidRPr="001E59F6">
        <w:t xml:space="preserve"> y de altos tribunales de América Latina</w:t>
      </w:r>
      <w:r w:rsidRPr="001E59F6">
        <w:rPr>
          <w:vertAlign w:val="superscript"/>
        </w:rPr>
        <w:footnoteReference w:id="108"/>
      </w:r>
      <w:r w:rsidRPr="001E59F6">
        <w:t>.</w:t>
      </w:r>
    </w:p>
    <w:p w14:paraId="7A9BA276" w14:textId="77777777" w:rsidR="007B594B" w:rsidRPr="00991C0C" w:rsidRDefault="007B594B" w:rsidP="007B594B">
      <w:pPr>
        <w:rPr>
          <w:lang w:val="es-ES"/>
        </w:rPr>
      </w:pPr>
    </w:p>
    <w:p w14:paraId="3FB47C2F" w14:textId="1CF98E3F" w:rsidR="007B594B" w:rsidRPr="006665DA" w:rsidRDefault="007B594B" w:rsidP="005E070D">
      <w:pPr>
        <w:pStyle w:val="Prrafodelista"/>
      </w:pPr>
      <w:r w:rsidRPr="008B6395">
        <w:t>La comunidad internacional, en el marco de la Asamblea General de las Naciones Unidas, ha exhortado a los Estados a buscar a las personas desaparecidas desde sus primeras resoluciones en la materia en la década del 70</w:t>
      </w:r>
      <w:r w:rsidRPr="001E59F6">
        <w:rPr>
          <w:vertAlign w:val="superscript"/>
        </w:rPr>
        <w:footnoteReference w:id="109"/>
      </w:r>
      <w:r w:rsidRPr="008B6395">
        <w:t>. Lo mismo han hecho l</w:t>
      </w:r>
      <w:r w:rsidR="00903BD8">
        <w:t xml:space="preserve">a Asamblea General de </w:t>
      </w:r>
      <w:r w:rsidRPr="008B6395">
        <w:t>la Organización de los Estados Americanos en sus resoluciones</w:t>
      </w:r>
      <w:r w:rsidRPr="002B6B2D">
        <w:rPr>
          <w:vertAlign w:val="superscript"/>
        </w:rPr>
        <w:footnoteReference w:id="110"/>
      </w:r>
      <w:r w:rsidRPr="008B6395">
        <w:t xml:space="preserve">. Esta preocupación se ha visto plasmada en diversos instrumentos tales como la “Declaración sobre la </w:t>
      </w:r>
      <w:r w:rsidR="009D4541">
        <w:t>P</w:t>
      </w:r>
      <w:r w:rsidRPr="008B6395">
        <w:t xml:space="preserve">rotección de </w:t>
      </w:r>
      <w:r w:rsidR="009D4541">
        <w:t>T</w:t>
      </w:r>
      <w:r w:rsidRPr="008B6395">
        <w:t xml:space="preserve">odas las </w:t>
      </w:r>
      <w:r w:rsidR="009D4541">
        <w:t>P</w:t>
      </w:r>
      <w:r w:rsidRPr="008B6395">
        <w:t xml:space="preserve">ersonas contra las </w:t>
      </w:r>
      <w:r w:rsidR="009D4541">
        <w:t>D</w:t>
      </w:r>
      <w:r w:rsidRPr="008B6395">
        <w:t>esapariciones</w:t>
      </w:r>
      <w:r w:rsidRPr="001E59F6">
        <w:t xml:space="preserve"> </w:t>
      </w:r>
      <w:r w:rsidR="009D4541">
        <w:t>F</w:t>
      </w:r>
      <w:r w:rsidRPr="001E59F6">
        <w:t>orzadas”</w:t>
      </w:r>
      <w:r w:rsidRPr="001E59F6">
        <w:rPr>
          <w:vertAlign w:val="superscript"/>
        </w:rPr>
        <w:footnoteReference w:id="111"/>
      </w:r>
      <w:r w:rsidRPr="001E59F6">
        <w:t>; la “Convención Interamericana sobre Desaparición Forzada de Personas”</w:t>
      </w:r>
      <w:r w:rsidRPr="001E59F6">
        <w:rPr>
          <w:vertAlign w:val="superscript"/>
        </w:rPr>
        <w:footnoteReference w:id="112"/>
      </w:r>
      <w:r w:rsidRPr="001E59F6">
        <w:t xml:space="preserve">; la “Convención Internacional para la </w:t>
      </w:r>
      <w:r w:rsidR="00C007C1">
        <w:t>P</w:t>
      </w:r>
      <w:r w:rsidRPr="001E59F6">
        <w:t xml:space="preserve">rotección de </w:t>
      </w:r>
      <w:r w:rsidR="00C007C1">
        <w:t>T</w:t>
      </w:r>
      <w:r w:rsidRPr="001E59F6">
        <w:t xml:space="preserve">odas las </w:t>
      </w:r>
      <w:r w:rsidR="00C007C1">
        <w:t>P</w:t>
      </w:r>
      <w:r w:rsidRPr="001E59F6">
        <w:t xml:space="preserve">ersonas contra las </w:t>
      </w:r>
      <w:r w:rsidR="00C007C1">
        <w:t>D</w:t>
      </w:r>
      <w:r w:rsidRPr="001E59F6">
        <w:t xml:space="preserve">esapariciones </w:t>
      </w:r>
      <w:r w:rsidR="00C007C1">
        <w:t>F</w:t>
      </w:r>
      <w:r w:rsidRPr="001E59F6">
        <w:t>orzadas”</w:t>
      </w:r>
      <w:r w:rsidRPr="001E59F6">
        <w:rPr>
          <w:vertAlign w:val="superscript"/>
        </w:rPr>
        <w:footnoteReference w:id="113"/>
      </w:r>
      <w:r w:rsidRPr="001E59F6">
        <w:t>; el “Conjunto de principios actualizados para la protección y la promoción de los derechos humanos mediante la lucha contra la impunidad”</w:t>
      </w:r>
      <w:r w:rsidRPr="001E59F6">
        <w:rPr>
          <w:vertAlign w:val="superscript"/>
        </w:rPr>
        <w:footnoteReference w:id="114"/>
      </w:r>
      <w:r w:rsidRPr="001E59F6">
        <w:t xml:space="preserve">; los “Principios y directrices básicos sobre el derecho de las víctimas de violaciones manifiestas a las normas internacionales de derechos humanos y de violaciones graves del derecho internacional humanitario </w:t>
      </w:r>
      <w:r w:rsidRPr="001E59F6">
        <w:lastRenderedPageBreak/>
        <w:t>a interponer recursos y obtener reparaciones”</w:t>
      </w:r>
      <w:r w:rsidRPr="001E59F6">
        <w:rPr>
          <w:vertAlign w:val="superscript"/>
        </w:rPr>
        <w:footnoteReference w:id="115"/>
      </w:r>
      <w:r w:rsidRPr="001E59F6">
        <w:t>; el “Consenso mundial de principios y normas mínimas sobre trabajo psicosocial en procesos de búsqueda e investigaciones forenses para casos de desapariciones forzadas, ejecuciones  arbitrarias o extrajudiciales”</w:t>
      </w:r>
      <w:r w:rsidRPr="001E59F6">
        <w:rPr>
          <w:vertAlign w:val="superscript"/>
        </w:rPr>
        <w:footnoteReference w:id="116"/>
      </w:r>
      <w:r>
        <w:t>,</w:t>
      </w:r>
      <w:r w:rsidRPr="001E59F6">
        <w:t xml:space="preserve"> y el “Protocolo de Minnesota sobre la investigación de muertes potencialmente ilícitas”</w:t>
      </w:r>
      <w:r w:rsidRPr="001E59F6">
        <w:rPr>
          <w:vertAlign w:val="superscript"/>
        </w:rPr>
        <w:footnoteReference w:id="117"/>
      </w:r>
      <w:r w:rsidRPr="001E59F6">
        <w:t>.</w:t>
      </w:r>
    </w:p>
    <w:p w14:paraId="0A0CDF89" w14:textId="77777777" w:rsidR="007B594B" w:rsidRPr="00991C0C" w:rsidRDefault="007B594B" w:rsidP="007B594B">
      <w:pPr>
        <w:rPr>
          <w:lang w:val="es-ES"/>
        </w:rPr>
      </w:pPr>
    </w:p>
    <w:p w14:paraId="2AE830AF" w14:textId="77777777" w:rsidR="007B594B" w:rsidRDefault="007B594B" w:rsidP="005E070D">
      <w:pPr>
        <w:pStyle w:val="Prrafodelista"/>
      </w:pPr>
      <w:r w:rsidRPr="006665DA">
        <w:t xml:space="preserve">La obligación de buscar a personas desaparecidas no se limita a las situaciones de desaparición forzada. Aún bajo la hipótesis de la muerte de la persona desaparecida, el Estado tiene la obligación de adoptar las medidas necesarias para esclarecer y determinar su paradero. Esta obligación es independiente de que la desaparición de la persona sea consecuencia del ilícito de desaparición forzada o de otras circunstancias tales </w:t>
      </w:r>
      <w:r w:rsidRPr="001E59F6">
        <w:t>como su muerte en el marco de un operativo militar, errores en la entrega de los restos u otras razones</w:t>
      </w:r>
      <w:r w:rsidRPr="001E59F6">
        <w:rPr>
          <w:vertAlign w:val="superscript"/>
        </w:rPr>
        <w:footnoteReference w:id="118"/>
      </w:r>
      <w:r w:rsidRPr="001E59F6">
        <w:t xml:space="preserve">. </w:t>
      </w:r>
      <w:r w:rsidRPr="004B5F3E">
        <w:t>En</w:t>
      </w:r>
      <w:r w:rsidRPr="001E59F6">
        <w:t xml:space="preserve"> los casos en los que una persona ha sido privada de la vida </w:t>
      </w:r>
      <w:r>
        <w:t>y</w:t>
      </w:r>
      <w:r w:rsidRPr="001E59F6">
        <w:t xml:space="preserve"> sus familiares desconocen la circunstancia de su muerte y el lugar exacto donde se encuentran sus restos, el Estado tiene la obligación de esclarecer las circunstancias de la muerte y la localización del cuerpo</w:t>
      </w:r>
      <w:r w:rsidRPr="001E59F6">
        <w:rPr>
          <w:vertAlign w:val="superscript"/>
        </w:rPr>
        <w:footnoteReference w:id="119"/>
      </w:r>
      <w:r w:rsidRPr="001E59F6">
        <w:t>.</w:t>
      </w:r>
    </w:p>
    <w:p w14:paraId="28A07FF8" w14:textId="77777777" w:rsidR="007B594B" w:rsidRPr="00991C0C" w:rsidRDefault="007B594B" w:rsidP="007B594B">
      <w:pPr>
        <w:rPr>
          <w:lang w:val="es-ES"/>
        </w:rPr>
      </w:pPr>
    </w:p>
    <w:p w14:paraId="305A1121" w14:textId="77777777" w:rsidR="007B594B" w:rsidRPr="006665DA" w:rsidRDefault="007B594B" w:rsidP="005E070D">
      <w:pPr>
        <w:pStyle w:val="Prrafodelista"/>
      </w:pPr>
      <w:r w:rsidRPr="004B5F3E">
        <w:t>La</w:t>
      </w:r>
      <w:r w:rsidRPr="008B6395">
        <w:t xml:space="preserve"> obligación de buscar a las personas desaparecidas es autónoma y no está subordinada ni condicionada a la obligación de investigar el crimen de desaparición forzada y de juzgar y castigar a sus autores. Subsiste independientemente de los resultados de la investigación penal y la identificación y juzgamiento de los responsables. La lógica de los procesos penales se basa en la prueba de la materialidad del delito con miras al juzgamiento de los responsables. Por su naturaleza es distinta a la de la localización de restos de la persona desaparecida. Es por eso que los “Principios Rectores para la Búsqueda de Personas Desaparecidas” establecen que la investigación penal o la eventual sentencia condenatoria o absolutoria no debe ser obstáculo para continuar con las actividades de búsqueda ni pueden ser invocadas para</w:t>
      </w:r>
      <w:r w:rsidRPr="001E59F6">
        <w:t xml:space="preserve"> suspenderlas</w:t>
      </w:r>
      <w:r w:rsidRPr="001E59F6">
        <w:rPr>
          <w:vertAlign w:val="superscript"/>
        </w:rPr>
        <w:footnoteReference w:id="120"/>
      </w:r>
      <w:r w:rsidRPr="001E59F6">
        <w:t xml:space="preserve">. </w:t>
      </w:r>
      <w:r w:rsidRPr="004B5F3E">
        <w:t>En contraposición</w:t>
      </w:r>
      <w:r>
        <w:rPr>
          <w:b/>
          <w:bCs/>
        </w:rPr>
        <w:t xml:space="preserve"> </w:t>
      </w:r>
      <w:r w:rsidRPr="001E59F6">
        <w:t>la obligación de buscar a las personas desaparecidas no exonera al Estado de su obligación de investigar el crimen de desaparición forzada ni de juzgar y condenar a sus autores y partícipes. Dada la gravedad de este crimen</w:t>
      </w:r>
      <w:r>
        <w:t>,</w:t>
      </w:r>
      <w:r w:rsidRPr="001E59F6">
        <w:t xml:space="preserve"> la prohibición de la desaparición forzada y la obligación de juzgar a los responsables ha alcanzado el carácter de </w:t>
      </w:r>
      <w:r w:rsidRPr="001E59F6">
        <w:rPr>
          <w:i/>
          <w:iCs/>
        </w:rPr>
        <w:t>jus cogens</w:t>
      </w:r>
      <w:r w:rsidRPr="001E59F6">
        <w:rPr>
          <w:vertAlign w:val="superscript"/>
        </w:rPr>
        <w:footnoteReference w:id="121"/>
      </w:r>
      <w:r w:rsidRPr="001E59F6">
        <w:t>.</w:t>
      </w:r>
    </w:p>
    <w:p w14:paraId="0A4FF622" w14:textId="77777777" w:rsidR="007B594B" w:rsidRPr="00991C0C" w:rsidRDefault="007B594B" w:rsidP="007B594B">
      <w:pPr>
        <w:rPr>
          <w:lang w:val="es-ES"/>
        </w:rPr>
      </w:pPr>
    </w:p>
    <w:p w14:paraId="38A23358" w14:textId="77777777" w:rsidR="007B594B" w:rsidRPr="00886353" w:rsidRDefault="007B594B" w:rsidP="005E070D">
      <w:pPr>
        <w:pStyle w:val="Prrafodelista"/>
      </w:pPr>
      <w:r w:rsidRPr="00354604">
        <w:t xml:space="preserve">En coherencia con estos antecedentes, la Corte debe analizar la pluralidad de conductas que puedan cohesionarse en la comisión del delito de desaparición forzada con un enfoque integral que contemple la posible vulneración continua de bienes jurídicos protegidos por la Convención, en particular, los derechos al reconocimiento de la personalidad jurídica, a la vida, a la integridad </w:t>
      </w:r>
      <w:r w:rsidRPr="00354604">
        <w:lastRenderedPageBreak/>
        <w:t>personal y a la libertad personal, consagrados en sus artículos 3, 4, 5 y 7</w:t>
      </w:r>
      <w:r w:rsidRPr="00354604">
        <w:rPr>
          <w:vertAlign w:val="superscript"/>
        </w:rPr>
        <w:footnoteReference w:id="122"/>
      </w:r>
      <w:r w:rsidRPr="00354604">
        <w:t xml:space="preserve">. </w:t>
      </w:r>
      <w:r w:rsidRPr="00354604">
        <w:rPr>
          <w:rFonts w:eastAsia="Calibri"/>
        </w:rPr>
        <w:t>A la luz de lo anterior, el análisis debe abarcar el conjunto de hechos relevantes y el contexto en el que ocurrieron a lo largo del tiempo, a fin de ser consecuente con el carácter complejo y continuado del fenómeno examinado</w:t>
      </w:r>
      <w:r w:rsidRPr="00886353">
        <w:rPr>
          <w:vertAlign w:val="superscript"/>
        </w:rPr>
        <w:footnoteReference w:id="123"/>
      </w:r>
      <w:r w:rsidRPr="00886353">
        <w:rPr>
          <w:rFonts w:eastAsia="Calibri"/>
        </w:rPr>
        <w:t>.</w:t>
      </w:r>
    </w:p>
    <w:p w14:paraId="41988B43" w14:textId="77777777" w:rsidR="007B594B" w:rsidRPr="00991C0C" w:rsidRDefault="007B594B" w:rsidP="007B594B">
      <w:pPr>
        <w:rPr>
          <w:lang w:val="es-ES"/>
        </w:rPr>
      </w:pPr>
    </w:p>
    <w:p w14:paraId="14237072" w14:textId="77777777" w:rsidR="007B594B" w:rsidRPr="00354604" w:rsidRDefault="007B594B" w:rsidP="00D62951">
      <w:pPr>
        <w:pStyle w:val="Ttulo3"/>
        <w:spacing w:before="0"/>
        <w:ind w:left="709"/>
        <w:rPr>
          <w:rFonts w:ascii="Verdana" w:hAnsi="Verdana" w:cs="Arial"/>
          <w:b/>
          <w:bCs/>
          <w:color w:val="000000" w:themeColor="text1"/>
          <w:sz w:val="20"/>
          <w:szCs w:val="20"/>
          <w:lang w:val="es-ES"/>
        </w:rPr>
      </w:pPr>
      <w:bookmarkStart w:id="131" w:name="_Toc125037481"/>
      <w:r w:rsidRPr="00354604">
        <w:rPr>
          <w:rFonts w:ascii="Verdana" w:hAnsi="Verdana" w:cs="Arial"/>
          <w:b/>
          <w:bCs/>
          <w:color w:val="000000" w:themeColor="text1"/>
          <w:sz w:val="20"/>
          <w:szCs w:val="20"/>
          <w:lang w:val="es-ES"/>
        </w:rPr>
        <w:t>B.2</w:t>
      </w:r>
      <w:r>
        <w:rPr>
          <w:rFonts w:ascii="Verdana" w:hAnsi="Verdana" w:cs="Arial"/>
          <w:b/>
          <w:bCs/>
          <w:color w:val="000000" w:themeColor="text1"/>
          <w:sz w:val="20"/>
          <w:szCs w:val="20"/>
          <w:lang w:val="es-ES"/>
        </w:rPr>
        <w:t>.</w:t>
      </w:r>
      <w:r w:rsidRPr="00354604">
        <w:rPr>
          <w:rFonts w:ascii="Verdana" w:hAnsi="Verdana" w:cs="Arial"/>
          <w:b/>
          <w:bCs/>
          <w:color w:val="000000" w:themeColor="text1"/>
          <w:sz w:val="20"/>
          <w:szCs w:val="20"/>
          <w:lang w:val="es-ES"/>
        </w:rPr>
        <w:t xml:space="preserve"> Examen del caso</w:t>
      </w:r>
      <w:bookmarkEnd w:id="131"/>
      <w:r w:rsidRPr="00354604">
        <w:rPr>
          <w:rFonts w:ascii="Verdana" w:hAnsi="Verdana" w:cs="Arial"/>
          <w:b/>
          <w:bCs/>
          <w:color w:val="000000" w:themeColor="text1"/>
          <w:sz w:val="20"/>
          <w:szCs w:val="20"/>
          <w:lang w:val="es-ES"/>
        </w:rPr>
        <w:t xml:space="preserve"> </w:t>
      </w:r>
    </w:p>
    <w:p w14:paraId="2E9D767E" w14:textId="77777777" w:rsidR="007B594B" w:rsidRPr="00354604" w:rsidRDefault="007B594B" w:rsidP="007B594B">
      <w:pPr>
        <w:rPr>
          <w:highlight w:val="cyan"/>
          <w:lang w:val="es-ES"/>
        </w:rPr>
      </w:pPr>
    </w:p>
    <w:p w14:paraId="69D798A3" w14:textId="31801482" w:rsidR="007B594B" w:rsidRPr="003B7172" w:rsidRDefault="007B594B" w:rsidP="005E070D">
      <w:pPr>
        <w:pStyle w:val="Prrafodelista"/>
      </w:pPr>
      <w:r w:rsidRPr="000D54AD">
        <w:t xml:space="preserve">Son hechos no controvertidos </w:t>
      </w:r>
      <w:r w:rsidRPr="000D54AD">
        <w:rPr>
          <w:rFonts w:eastAsia="Verdana"/>
        </w:rPr>
        <w:t>que el 17 de ju</w:t>
      </w:r>
      <w:r w:rsidR="00206340">
        <w:rPr>
          <w:rFonts w:eastAsia="Verdana"/>
        </w:rPr>
        <w:t>l</w:t>
      </w:r>
      <w:r w:rsidRPr="000D54AD">
        <w:rPr>
          <w:rFonts w:eastAsia="Verdana"/>
        </w:rPr>
        <w:t>io de 1980, el señor Flores Bedregal se encontraba en las instalaciones de la COB en su calidad de diputado nacional, durante la reunión de la CONADE, con el objeto de planificar y preparar acciones para hacer frente a un posible golpe de Estado por parte de las Fuerzas Armadas</w:t>
      </w:r>
      <w:r w:rsidRPr="00C02FE7">
        <w:rPr>
          <w:vertAlign w:val="superscript"/>
        </w:rPr>
        <w:footnoteReference w:id="124"/>
      </w:r>
      <w:r w:rsidRPr="000D54AD">
        <w:rPr>
          <w:rFonts w:eastAsia="Verdana"/>
        </w:rPr>
        <w:t>. Asimismo, que el operativo militar denominado “Avispón”</w:t>
      </w:r>
      <w:r>
        <w:rPr>
          <w:rFonts w:eastAsia="Verdana"/>
        </w:rPr>
        <w:t>,</w:t>
      </w:r>
      <w:r w:rsidRPr="000D54AD">
        <w:rPr>
          <w:rFonts w:eastAsia="Verdana"/>
        </w:rPr>
        <w:t xml:space="preserve"> a partir del cual se instauró el golpe de Estado, incluyó la toma violenta de la COB. Los presentes en la reunión fueron obligados a bajar las escaleras y a salir del lugar con las manos hacia arriba, entre ellos Juan Carlos Flores Bedregal, quien fue alcanzado por una ráfaga de disparos</w:t>
      </w:r>
      <w:r w:rsidRPr="00C02FE7">
        <w:rPr>
          <w:rFonts w:eastAsia="Verdana"/>
          <w:vertAlign w:val="superscript"/>
        </w:rPr>
        <w:footnoteReference w:id="125"/>
      </w:r>
      <w:r w:rsidRPr="000D54AD">
        <w:rPr>
          <w:rFonts w:eastAsia="Verdana"/>
        </w:rPr>
        <w:t xml:space="preserve">. </w:t>
      </w:r>
      <w:r w:rsidRPr="00354604">
        <w:rPr>
          <w:rFonts w:eastAsia="Verdana"/>
        </w:rPr>
        <w:t xml:space="preserve">El representante </w:t>
      </w:r>
      <w:r w:rsidR="00A117BB" w:rsidRPr="004B5F3E">
        <w:rPr>
          <w:rFonts w:eastAsia="Verdana"/>
        </w:rPr>
        <w:t>adujo</w:t>
      </w:r>
      <w:r w:rsidRPr="00354604">
        <w:rPr>
          <w:rFonts w:eastAsia="Verdana"/>
        </w:rPr>
        <w:t xml:space="preserve"> que desde entonces no se tuvo noticia cierta del paradero del señor Flores Bedregal ni de la localización de sus restos.</w:t>
      </w:r>
      <w:r w:rsidRPr="00354604">
        <w:t xml:space="preserve"> El Estado, por su parte, aleg</w:t>
      </w:r>
      <w:r w:rsidR="00A117BB">
        <w:t>ó</w:t>
      </w:r>
      <w:r w:rsidRPr="00354604">
        <w:t xml:space="preserve"> que se verificó el fallecimiento de la presunta víctima.</w:t>
      </w:r>
    </w:p>
    <w:p w14:paraId="0F078F64" w14:textId="77777777" w:rsidR="007B594B" w:rsidRPr="00991C0C" w:rsidRDefault="007B594B" w:rsidP="007B594B">
      <w:pPr>
        <w:rPr>
          <w:lang w:val="es-ES"/>
        </w:rPr>
      </w:pPr>
    </w:p>
    <w:p w14:paraId="3014B191" w14:textId="3E9924DA" w:rsidR="007B594B" w:rsidRPr="00895676" w:rsidRDefault="007B594B" w:rsidP="005E070D">
      <w:pPr>
        <w:pStyle w:val="Prrafodelista"/>
      </w:pPr>
      <w:r w:rsidRPr="00354604">
        <w:t>La Corte constata que existe un documento consignado como acta de levantamiento del cadáver del señor Flores Bedregal</w:t>
      </w:r>
      <w:r w:rsidR="00013D7F">
        <w:rPr>
          <w:vertAlign w:val="superscript"/>
        </w:rPr>
        <w:t xml:space="preserve"> </w:t>
      </w:r>
      <w:r w:rsidR="00013D7F">
        <w:t>(</w:t>
      </w:r>
      <w:r w:rsidR="00013D7F" w:rsidRPr="00013D7F">
        <w:rPr>
          <w:i/>
          <w:iCs/>
        </w:rPr>
        <w:t>supra</w:t>
      </w:r>
      <w:r w:rsidR="00013D7F">
        <w:t xml:space="preserve"> cita a pie de página 41). </w:t>
      </w:r>
      <w:r w:rsidRPr="00354604">
        <w:t>Antes de pasar al análisis de este documento, la Corte hará referencia a los principios que deben observarse en la investigación de muertes potencialmente ilícitas.</w:t>
      </w:r>
      <w:r w:rsidRPr="000D54AD">
        <w:t xml:space="preserve"> Estos incluyen el deber de realizar diligencias mínimas e indispensables para la preservación </w:t>
      </w:r>
      <w:r w:rsidRPr="00C02FE7">
        <w:t>de la escena del crimen y la cadena de custodia de los elementos de prueba de los que depende el éxito de la investigación</w:t>
      </w:r>
      <w:r w:rsidRPr="00C02FE7">
        <w:rPr>
          <w:vertAlign w:val="superscript"/>
        </w:rPr>
        <w:footnoteReference w:id="126"/>
      </w:r>
      <w:r w:rsidRPr="00C02FE7">
        <w:t xml:space="preserve">. </w:t>
      </w:r>
      <w:r w:rsidRPr="00C02FE7">
        <w:rPr>
          <w:rFonts w:eastAsia="MS Mincho"/>
          <w:lang w:eastAsia="es-MX"/>
        </w:rPr>
        <w:t xml:space="preserve">En cuanto a las autopsias médico legales, </w:t>
      </w:r>
      <w:r w:rsidRPr="00C02FE7">
        <w:rPr>
          <w:rFonts w:eastAsia="MS Mincho" w:cs="Arial"/>
        </w:rPr>
        <w:t>el Tribunal recuerda que tienen como objetivo recolectar, como mínimo, información para identificar a la persona fallecida, la hora, fecha, causa y forma de la muerte</w:t>
      </w:r>
      <w:r w:rsidRPr="001D422A">
        <w:rPr>
          <w:vertAlign w:val="superscript"/>
        </w:rPr>
        <w:footnoteReference w:id="127"/>
      </w:r>
      <w:r w:rsidRPr="001D422A">
        <w:rPr>
          <w:rFonts w:eastAsia="MS Mincho" w:cs="Arial"/>
        </w:rPr>
        <w:t>. Asimismo, se debe fotografiar adecuadamente el cuerpo, tomar radiografías del cadáver, de su bolsa o envoltorio, y después de desvestirlo, documentar toda lesión</w:t>
      </w:r>
      <w:r w:rsidRPr="001D422A">
        <w:rPr>
          <w:vertAlign w:val="superscript"/>
        </w:rPr>
        <w:footnoteReference w:id="128"/>
      </w:r>
      <w:r w:rsidRPr="001D422A">
        <w:rPr>
          <w:rFonts w:eastAsia="MS Mincho" w:cs="Arial"/>
        </w:rPr>
        <w:t xml:space="preserve">. </w:t>
      </w:r>
      <w:r w:rsidRPr="00895676">
        <w:rPr>
          <w:rFonts w:eastAsia="MS Mincho" w:cs="Arial"/>
        </w:rPr>
        <w:t xml:space="preserve">Siguiendo ese criterio, la Corte específicamente ha señalado que las autoridades estatales que conducen una investigación </w:t>
      </w:r>
      <w:r w:rsidRPr="00895676">
        <w:rPr>
          <w:rFonts w:cs="Verdana"/>
          <w:lang w:eastAsia="es-MX"/>
        </w:rPr>
        <w:t xml:space="preserve">de este tipo deben intentar </w:t>
      </w:r>
      <w:r w:rsidRPr="00895676">
        <w:rPr>
          <w:rFonts w:cs="Verdana"/>
          <w:lang w:eastAsia="es-MX"/>
        </w:rPr>
        <w:lastRenderedPageBreak/>
        <w:t xml:space="preserve">como mínimo, </w:t>
      </w:r>
      <w:r w:rsidRPr="00895676">
        <w:rPr>
          <w:rFonts w:cs="Verdana"/>
          <w:i/>
          <w:iCs/>
          <w:lang w:eastAsia="es-MX"/>
        </w:rPr>
        <w:t>inter alia</w:t>
      </w:r>
      <w:r w:rsidRPr="00895676">
        <w:rPr>
          <w:rFonts w:cs="Verdana"/>
          <w:lang w:eastAsia="es-MX"/>
        </w:rPr>
        <w:t xml:space="preserve">: i) identificar a la víctima; ii) recuperar y preservar el material probatorio relacionado con la muerte, con el fin de ayudar en </w:t>
      </w:r>
      <w:r w:rsidRPr="00895676">
        <w:rPr>
          <w:lang w:eastAsia="es-MX"/>
        </w:rPr>
        <w:t>cualquier</w:t>
      </w:r>
      <w:r w:rsidRPr="00895676">
        <w:rPr>
          <w:rFonts w:cs="Verdana"/>
          <w:lang w:eastAsia="es-MX"/>
        </w:rPr>
        <w:t xml:space="preserve"> potencial investigación penal de los responsables; iii) identificar posibles testigos y obtener sus declaraciones en relación con la muerte que se investiga; iv) determinar la causa, forma, lugar y momento de la muerte, así como cualquier patrón o práctica que pueda haber causado la muerte, y v) distinguir entre muerte natural, muerte accidental, suicidio y homicidio. Además, es necesario investigar </w:t>
      </w:r>
      <w:r w:rsidRPr="00895676">
        <w:rPr>
          <w:lang w:eastAsia="es-MX"/>
        </w:rPr>
        <w:t>exhaustivamente</w:t>
      </w:r>
      <w:r w:rsidRPr="00895676">
        <w:rPr>
          <w:rFonts w:cs="Verdana"/>
          <w:lang w:eastAsia="es-MX"/>
        </w:rPr>
        <w:t xml:space="preserve"> la escena del crimen, se deben realizar autopsias y análisis de restos humanos, en forma </w:t>
      </w:r>
      <w:r w:rsidRPr="00895676">
        <w:rPr>
          <w:lang w:eastAsia="es-MX"/>
        </w:rPr>
        <w:t>rigurosa</w:t>
      </w:r>
      <w:r w:rsidRPr="00895676">
        <w:rPr>
          <w:rFonts w:cs="Verdana"/>
          <w:lang w:eastAsia="es-MX"/>
        </w:rPr>
        <w:t>, por profesionales competentes y empleando los procedimientos más apropiados</w:t>
      </w:r>
      <w:r w:rsidRPr="00895676">
        <w:rPr>
          <w:rFonts w:eastAsia="MS Mincho"/>
          <w:vertAlign w:val="superscript"/>
          <w:lang w:eastAsia="es-MX"/>
        </w:rPr>
        <w:footnoteReference w:id="129"/>
      </w:r>
      <w:r w:rsidRPr="00895676">
        <w:rPr>
          <w:rFonts w:cs="Verdana"/>
          <w:lang w:eastAsia="es-MX"/>
        </w:rPr>
        <w:t>.</w:t>
      </w:r>
    </w:p>
    <w:p w14:paraId="24ECD108" w14:textId="77777777" w:rsidR="007B594B" w:rsidRPr="00991C0C" w:rsidRDefault="007B594B" w:rsidP="007B594B">
      <w:pPr>
        <w:rPr>
          <w:lang w:val="es-ES"/>
        </w:rPr>
      </w:pPr>
    </w:p>
    <w:p w14:paraId="2C1BF314" w14:textId="306C2EB5" w:rsidR="007B594B" w:rsidRPr="00BF046C" w:rsidRDefault="007B594B" w:rsidP="005E070D">
      <w:pPr>
        <w:pStyle w:val="Prrafodelista"/>
      </w:pPr>
      <w:r w:rsidRPr="008B6395">
        <w:t>Del análisis del formulario de levantamiento del cadáver en el presente caso</w:t>
      </w:r>
      <w:r w:rsidRPr="000D54AD">
        <w:t xml:space="preserve"> </w:t>
      </w:r>
      <w:r w:rsidRPr="008B6395">
        <w:t xml:space="preserve">se desprende que: </w:t>
      </w:r>
      <w:r w:rsidR="00694B60">
        <w:t>i</w:t>
      </w:r>
      <w:r w:rsidRPr="008B6395">
        <w:t xml:space="preserve">) no intervino un investigador especial o fiscal; </w:t>
      </w:r>
      <w:r w:rsidR="00694B60">
        <w:t>ii</w:t>
      </w:r>
      <w:r w:rsidRPr="008B6395">
        <w:t>) el cuerpo fue removido por el personal policial presuntamente constituido en el lugar;</w:t>
      </w:r>
      <w:r w:rsidR="00694B60">
        <w:t xml:space="preserve"> iii</w:t>
      </w:r>
      <w:r w:rsidRPr="008B6395">
        <w:t xml:space="preserve">) no participó un médico forense ni personal de laboratorio; </w:t>
      </w:r>
      <w:r w:rsidR="00694B60">
        <w:t>iv</w:t>
      </w:r>
      <w:r w:rsidRPr="008B6395">
        <w:t>) no se realizó una secuencia fotográfica;</w:t>
      </w:r>
      <w:r w:rsidR="009D4541">
        <w:t xml:space="preserve"> y</w:t>
      </w:r>
      <w:r w:rsidRPr="008B6395">
        <w:t xml:space="preserve"> </w:t>
      </w:r>
      <w:r w:rsidR="00694B60">
        <w:t>v</w:t>
      </w:r>
      <w:r w:rsidRPr="008B6395">
        <w:t>) el acta se encuentra adulterada ya que se pueden apreciar tachaduras en los puntos relativos a “retorno a la ciudad” y “llegada a morgue”. Además, en las observaciones contenidas en la misma acta se señala que “no se procedió al levantamiento legal</w:t>
      </w:r>
      <w:r w:rsidRPr="00441A32">
        <w:t>”</w:t>
      </w:r>
      <w:r w:rsidRPr="00441A32">
        <w:rPr>
          <w:vertAlign w:val="superscript"/>
        </w:rPr>
        <w:footnoteReference w:id="130"/>
      </w:r>
      <w:r>
        <w:t>.</w:t>
      </w:r>
      <w:r w:rsidRPr="00441A32">
        <w:t xml:space="preserve"> </w:t>
      </w:r>
      <w:r w:rsidRPr="00113E46">
        <w:t>En suma, de este documento surge que el cuerpo no fue objeto de exámenes médico-forenses a fin de establecer las causas y circunstancias del fallecimiento; y que fue consignado como el cuerpo de la presunta víctima sin ser identificado por sus familiares, conocidos o testigos, y sin haber recurrido a otros métodos forenses de identificación (señas particulares, placas dentales, pruebas de ADN, etc.). Estas deficiencias no resultaron subsanables dado que el cuerpo al que hace referencia el documento habría sido sustraído de</w:t>
      </w:r>
      <w:r w:rsidRPr="00113E46">
        <w:rPr>
          <w:lang w:val="es-CR"/>
        </w:rPr>
        <w:t xml:space="preserve"> las instalaciones de la morgue donde fue depositado por la policía, lo cual pone en tela de juicio el cumplimiento con las obligaciones estatales en materia de cadena de custodia</w:t>
      </w:r>
      <w:r w:rsidRPr="00113E46">
        <w:rPr>
          <w:vertAlign w:val="superscript"/>
          <w:lang w:val="es-CR"/>
        </w:rPr>
        <w:footnoteReference w:id="131"/>
      </w:r>
      <w:r w:rsidRPr="00113E46">
        <w:rPr>
          <w:lang w:val="es-CR"/>
        </w:rPr>
        <w:t xml:space="preserve">. </w:t>
      </w:r>
      <w:r w:rsidRPr="00113E46">
        <w:t>Consecuentemente, la documentación presentada como presunta prueba de levantamiento de cadáver de Juan Carlos Flores Bedregal no satisface los estándares internacionales en materia de esclarecimiento de muertes potencialmente ilícitas</w:t>
      </w:r>
      <w:r w:rsidRPr="00113E46">
        <w:rPr>
          <w:vertAlign w:val="superscript"/>
        </w:rPr>
        <w:footnoteReference w:id="132"/>
      </w:r>
      <w:r w:rsidRPr="00113E46">
        <w:t xml:space="preserve">. En vista de lo anterior –dados los actos y omisiones de los agentes estatales— no existe certeza de que la diligencia </w:t>
      </w:r>
      <w:r w:rsidR="00903BD8">
        <w:t xml:space="preserve">de levantamiento del cadáver </w:t>
      </w:r>
      <w:r w:rsidRPr="00113E46">
        <w:t>se haya practicado sobre el cuerpo del señor Flores Bedregal</w:t>
      </w:r>
      <w:r>
        <w:t>.</w:t>
      </w:r>
    </w:p>
    <w:p w14:paraId="47491192" w14:textId="77777777" w:rsidR="007B594B" w:rsidRPr="00991C0C" w:rsidRDefault="007B594B" w:rsidP="007B594B">
      <w:pPr>
        <w:rPr>
          <w:lang w:val="es-ES"/>
        </w:rPr>
      </w:pPr>
    </w:p>
    <w:p w14:paraId="5933D692" w14:textId="61C642E0" w:rsidR="007B594B" w:rsidRPr="00354604" w:rsidRDefault="007B594B" w:rsidP="005E070D">
      <w:pPr>
        <w:pStyle w:val="Prrafodelista"/>
      </w:pPr>
      <w:r w:rsidRPr="00354604">
        <w:t xml:space="preserve"> En </w:t>
      </w:r>
      <w:r w:rsidR="00B440BF">
        <w:t>razón</w:t>
      </w:r>
      <w:r w:rsidRPr="00354604">
        <w:t xml:space="preserve"> de lo anterior, la Corte pasará a analizar los elementos a tener en cuenta en la determinación del principio de ejecución de la desaparición forzada, a saber: i) la participación o aquiescencia de agentes del Estado en los hechos; ii) la privación de la libertad</w:t>
      </w:r>
      <w:r w:rsidR="00B440BF">
        <w:t>,</w:t>
      </w:r>
      <w:r w:rsidRPr="00354604">
        <w:t xml:space="preserve"> y iii) la negativa de reconocer la detención, proporcionar información o revelar la suerte o paradero de la víctima.</w:t>
      </w:r>
    </w:p>
    <w:p w14:paraId="34BB7249" w14:textId="77777777" w:rsidR="007B594B" w:rsidRPr="00991C0C" w:rsidRDefault="007B594B" w:rsidP="007B594B">
      <w:pPr>
        <w:rPr>
          <w:lang w:val="es-ES"/>
        </w:rPr>
      </w:pPr>
    </w:p>
    <w:p w14:paraId="161C2CCB" w14:textId="4D4BDFD9" w:rsidR="007B594B" w:rsidRPr="00DA6A93" w:rsidRDefault="007B594B" w:rsidP="005E070D">
      <w:pPr>
        <w:pStyle w:val="Prrafodelista"/>
      </w:pPr>
      <w:r w:rsidRPr="00354604">
        <w:t xml:space="preserve">En cuanto a la participación de agentes estatales o de particulares actuando con la aquiescencia de agentes estatales, ya ha sido establecido que la toma de la COB durante la cual se produjo la detención de Juan Carlos </w:t>
      </w:r>
      <w:r w:rsidR="00B440BF">
        <w:t xml:space="preserve">Flores </w:t>
      </w:r>
      <w:r w:rsidRPr="00B25DFD">
        <w:t xml:space="preserve">Bedregal </w:t>
      </w:r>
      <w:r w:rsidRPr="004B5F3E">
        <w:t>fue</w:t>
      </w:r>
      <w:r w:rsidRPr="00B25DFD">
        <w:t xml:space="preserve"> parte de las acciones perpetradas en el contexto del golpe de Estado impulsado por Luis García Meza. Esto </w:t>
      </w:r>
      <w:r w:rsidRPr="00354604">
        <w:t>fue corroborado tanto en las sentencias de</w:t>
      </w:r>
      <w:r w:rsidR="00941E73">
        <w:t xml:space="preserve"> los</w:t>
      </w:r>
      <w:r w:rsidRPr="00354604">
        <w:t xml:space="preserve"> </w:t>
      </w:r>
      <w:r w:rsidR="00280E4D" w:rsidRPr="004B5F3E">
        <w:t>J</w:t>
      </w:r>
      <w:r w:rsidRPr="004B5F3E">
        <w:t>uicio</w:t>
      </w:r>
      <w:r w:rsidR="00941E73" w:rsidRPr="004B5F3E">
        <w:t>s</w:t>
      </w:r>
      <w:r w:rsidRPr="004B5F3E">
        <w:t xml:space="preserve"> de </w:t>
      </w:r>
      <w:r w:rsidR="00280E4D" w:rsidRPr="004B5F3E">
        <w:t>R</w:t>
      </w:r>
      <w:r w:rsidRPr="004B5F3E">
        <w:t>esponsabilidad</w:t>
      </w:r>
      <w:r w:rsidRPr="00DA6A93">
        <w:rPr>
          <w:vertAlign w:val="superscript"/>
        </w:rPr>
        <w:footnoteReference w:id="133"/>
      </w:r>
      <w:r w:rsidRPr="00354604">
        <w:t xml:space="preserve">, como en el proceso penal </w:t>
      </w:r>
      <w:r w:rsidR="008F1936" w:rsidRPr="004A4761">
        <w:t xml:space="preserve">“Ministerio Público </w:t>
      </w:r>
      <w:r w:rsidRPr="004A4761">
        <w:t>c</w:t>
      </w:r>
      <w:r w:rsidR="00FB5A4F" w:rsidRPr="004A4761">
        <w:t>/</w:t>
      </w:r>
      <w:r w:rsidRPr="004A4761">
        <w:t xml:space="preserve"> Franz </w:t>
      </w:r>
      <w:r w:rsidRPr="004A4761">
        <w:lastRenderedPageBreak/>
        <w:t xml:space="preserve">Pizarro </w:t>
      </w:r>
      <w:r w:rsidR="002A471B" w:rsidRPr="004A4761">
        <w:t xml:space="preserve">Solano </w:t>
      </w:r>
      <w:r w:rsidRPr="004A4761">
        <w:t>y otros</w:t>
      </w:r>
      <w:r w:rsidR="008F1936" w:rsidRPr="004A4761">
        <w:t>”</w:t>
      </w:r>
      <w:r w:rsidRPr="004A4761">
        <w:rPr>
          <w:vertAlign w:val="superscript"/>
        </w:rPr>
        <w:footnoteReference w:id="134"/>
      </w:r>
      <w:r w:rsidRPr="004A4761">
        <w:t>.</w:t>
      </w:r>
      <w:r w:rsidRPr="00354604">
        <w:t xml:space="preserve"> En consecuencia, se tiene por acreditada la participación de agentes estatales y de grupos paramilitares que actuaron con aquiescencia estatal en la toma de la COB y en los hechos del presente caso. </w:t>
      </w:r>
    </w:p>
    <w:p w14:paraId="51EF2C28" w14:textId="77777777" w:rsidR="007B594B" w:rsidRPr="00991C0C" w:rsidRDefault="007B594B" w:rsidP="007B594B">
      <w:pPr>
        <w:rPr>
          <w:lang w:val="es-ES"/>
        </w:rPr>
      </w:pPr>
    </w:p>
    <w:p w14:paraId="5F7DCE26" w14:textId="77777777" w:rsidR="007B594B" w:rsidRPr="00B21B99" w:rsidRDefault="007B594B" w:rsidP="005E070D">
      <w:pPr>
        <w:pStyle w:val="Prrafodelista"/>
      </w:pPr>
      <w:r w:rsidRPr="00354604">
        <w:rPr>
          <w:lang w:val="es-MX"/>
        </w:rPr>
        <w:t>En cuanto a la privación de la libertad,</w:t>
      </w:r>
      <w:r w:rsidRPr="00354604">
        <w:t xml:space="preserve"> en el presente caso, se ha probado que el señor Flores Bedregal fue detenido</w:t>
      </w:r>
      <w:r w:rsidRPr="00354604">
        <w:rPr>
          <w:bCs/>
          <w:vertAlign w:val="superscript"/>
        </w:rPr>
        <w:footnoteReference w:id="135"/>
      </w:r>
      <w:r w:rsidRPr="00354604">
        <w:t xml:space="preserve"> por agentes estatales o por personas que actuaron con la aquiescencia de agentes estatales al momento de la toma del edificio de la COB en el contexto del golpe de Estado. En consecuencia, se tiene por acreditada la privación de libertad.</w:t>
      </w:r>
    </w:p>
    <w:p w14:paraId="785A7CEA" w14:textId="77777777" w:rsidR="007B594B" w:rsidRPr="00991C0C" w:rsidRDefault="007B594B" w:rsidP="007B594B">
      <w:pPr>
        <w:rPr>
          <w:lang w:val="es-ES"/>
        </w:rPr>
      </w:pPr>
    </w:p>
    <w:p w14:paraId="4277198A" w14:textId="568E3FBE" w:rsidR="007B594B" w:rsidRPr="00BF046C" w:rsidRDefault="007B594B" w:rsidP="005E070D">
      <w:pPr>
        <w:pStyle w:val="Prrafodelista"/>
      </w:pPr>
      <w:r w:rsidRPr="00354604">
        <w:t xml:space="preserve">Respecto a la negativa de reconocer la detención, proporcionar información o revelar la suerte o paradero de la víctima, esta Corte observa que </w:t>
      </w:r>
      <w:r w:rsidRPr="00B21B99">
        <w:t>los</w:t>
      </w:r>
      <w:r w:rsidRPr="008B6395">
        <w:t xml:space="preserve"> agentes estatales implicados en el presunto levantamiento de cadáver se negaron a proporcionar información sobre el paradero del señor Flores Bedregal o sus restos. Lo anterior fue corroborado por la sentencia de </w:t>
      </w:r>
      <w:r w:rsidRPr="006B1CC6">
        <w:t>1</w:t>
      </w:r>
      <w:r w:rsidR="00B440BF" w:rsidRPr="006B1CC6">
        <w:t>2</w:t>
      </w:r>
      <w:r w:rsidRPr="008B6395">
        <w:t xml:space="preserve"> de diciembre de 2007 donde se determinó que los procesados habían rendido declaraciones falsas conforme a un pacto de silencio sobre el paradero de la presunta víctima </w:t>
      </w:r>
      <w:r w:rsidRPr="00917D2C">
        <w:t>(</w:t>
      </w:r>
      <w:r w:rsidRPr="00917D2C">
        <w:rPr>
          <w:i/>
          <w:iCs/>
        </w:rPr>
        <w:t>supra</w:t>
      </w:r>
      <w:r w:rsidRPr="00917D2C">
        <w:t xml:space="preserve"> párr. 53).</w:t>
      </w:r>
      <w:r w:rsidRPr="008B6395">
        <w:t xml:space="preserve"> </w:t>
      </w:r>
      <w:r w:rsidRPr="00354604">
        <w:t>En vista de estas determinaciones y de las prácticas de agentes estatales y grupos paramilitares en el contexto del golpe de Estado de 1980</w:t>
      </w:r>
      <w:r w:rsidR="00722F06">
        <w:t xml:space="preserve"> </w:t>
      </w:r>
      <w:r w:rsidR="00722F06" w:rsidRPr="00BB7208">
        <w:t>(</w:t>
      </w:r>
      <w:r w:rsidR="00722F06" w:rsidRPr="00BB7208">
        <w:rPr>
          <w:i/>
          <w:iCs/>
        </w:rPr>
        <w:t xml:space="preserve">supra </w:t>
      </w:r>
      <w:r w:rsidR="00722F06">
        <w:t>párr</w:t>
      </w:r>
      <w:r w:rsidR="00CC6BF7">
        <w:t>s</w:t>
      </w:r>
      <w:r w:rsidR="00722F06">
        <w:t xml:space="preserve">. </w:t>
      </w:r>
      <w:r w:rsidR="00CC6BF7">
        <w:t>40 y 44</w:t>
      </w:r>
      <w:r w:rsidR="00722F06">
        <w:t>)</w:t>
      </w:r>
      <w:r w:rsidRPr="00354604">
        <w:t xml:space="preserve">, esta Corte considera acreditado el último elemento constitutivo de la desaparición forzada. </w:t>
      </w:r>
    </w:p>
    <w:p w14:paraId="6E1B98C6" w14:textId="77777777" w:rsidR="007B594B" w:rsidRPr="00991C0C" w:rsidRDefault="007B594B" w:rsidP="007B594B">
      <w:pPr>
        <w:rPr>
          <w:lang w:val="es-ES"/>
        </w:rPr>
      </w:pPr>
    </w:p>
    <w:p w14:paraId="33C0D55F" w14:textId="77777777" w:rsidR="007B594B" w:rsidRDefault="007B594B" w:rsidP="005E070D">
      <w:pPr>
        <w:pStyle w:val="Prrafodelista"/>
      </w:pPr>
      <w:r w:rsidRPr="00354604">
        <w:t>En consecuencia, la Corte concluye que el señor Flores Bedregal fue privado de la libertad por acción y/o con la aquiescencia de agentes estatales sin que hasta la fecha se haya proporcionado información certera sobre su paradero o la ubicación de sus restos.</w:t>
      </w:r>
      <w:r w:rsidRPr="001D355F">
        <w:t xml:space="preserve"> Por lo tanto, el Estado es responsable por la desaparición forzada de </w:t>
      </w:r>
      <w:r w:rsidRPr="001D355F">
        <w:rPr>
          <w:rFonts w:eastAsia="Verdana" w:cs="Arial"/>
        </w:rPr>
        <w:t>Juan Carlos Flores Bedregal</w:t>
      </w:r>
      <w:r w:rsidRPr="001D355F">
        <w:t xml:space="preserve"> y por la violación continuada de los derechos al reconocimiento de la personalidad jurídica, a la vida,</w:t>
      </w:r>
      <w:r w:rsidRPr="001D355F">
        <w:rPr>
          <w:spacing w:val="-68"/>
        </w:rPr>
        <w:t xml:space="preserve">         </w:t>
      </w:r>
      <w:r w:rsidRPr="001D355F">
        <w:t>a</w:t>
      </w:r>
      <w:r w:rsidRPr="001D355F">
        <w:rPr>
          <w:spacing w:val="-16"/>
        </w:rPr>
        <w:t xml:space="preserve"> </w:t>
      </w:r>
      <w:r w:rsidRPr="001D355F">
        <w:t>la</w:t>
      </w:r>
      <w:r w:rsidRPr="001D355F">
        <w:rPr>
          <w:spacing w:val="-15"/>
        </w:rPr>
        <w:t xml:space="preserve"> </w:t>
      </w:r>
      <w:r w:rsidRPr="001D355F">
        <w:t>integridad</w:t>
      </w:r>
      <w:r w:rsidRPr="001D355F">
        <w:rPr>
          <w:spacing w:val="-15"/>
        </w:rPr>
        <w:t xml:space="preserve"> </w:t>
      </w:r>
      <w:r w:rsidRPr="001D355F">
        <w:t>personal</w:t>
      </w:r>
      <w:r w:rsidRPr="001D355F">
        <w:rPr>
          <w:spacing w:val="-13"/>
        </w:rPr>
        <w:t xml:space="preserve"> </w:t>
      </w:r>
      <w:r w:rsidRPr="001D355F">
        <w:t>y</w:t>
      </w:r>
      <w:r w:rsidRPr="001D355F">
        <w:rPr>
          <w:spacing w:val="-15"/>
        </w:rPr>
        <w:t xml:space="preserve"> </w:t>
      </w:r>
      <w:r w:rsidRPr="001D355F">
        <w:t>a</w:t>
      </w:r>
      <w:r w:rsidRPr="001D355F">
        <w:rPr>
          <w:spacing w:val="-16"/>
        </w:rPr>
        <w:t xml:space="preserve"> </w:t>
      </w:r>
      <w:r w:rsidRPr="001D355F">
        <w:t>la</w:t>
      </w:r>
      <w:r w:rsidRPr="001D355F">
        <w:rPr>
          <w:spacing w:val="-15"/>
        </w:rPr>
        <w:t xml:space="preserve"> </w:t>
      </w:r>
      <w:r w:rsidRPr="001D355F">
        <w:t>libertad</w:t>
      </w:r>
      <w:r w:rsidRPr="001D355F">
        <w:rPr>
          <w:spacing w:val="-15"/>
        </w:rPr>
        <w:t xml:space="preserve"> </w:t>
      </w:r>
      <w:r w:rsidRPr="001D355F">
        <w:t>personal</w:t>
      </w:r>
      <w:r w:rsidRPr="001D355F">
        <w:rPr>
          <w:spacing w:val="-13"/>
        </w:rPr>
        <w:t xml:space="preserve"> </w:t>
      </w:r>
      <w:r w:rsidRPr="001D355F">
        <w:t>consagrados,</w:t>
      </w:r>
      <w:r w:rsidRPr="001D355F">
        <w:rPr>
          <w:spacing w:val="-13"/>
        </w:rPr>
        <w:t xml:space="preserve"> </w:t>
      </w:r>
      <w:r w:rsidRPr="001D355F">
        <w:t>respectivamente,</w:t>
      </w:r>
      <w:r w:rsidRPr="001D355F">
        <w:rPr>
          <w:spacing w:val="-14"/>
        </w:rPr>
        <w:t xml:space="preserve"> </w:t>
      </w:r>
      <w:r w:rsidRPr="001D355F">
        <w:t>en</w:t>
      </w:r>
      <w:r w:rsidRPr="001D355F">
        <w:rPr>
          <w:spacing w:val="-14"/>
        </w:rPr>
        <w:t xml:space="preserve"> </w:t>
      </w:r>
      <w:r w:rsidRPr="001D355F">
        <w:t>los</w:t>
      </w:r>
      <w:r w:rsidRPr="001D355F">
        <w:rPr>
          <w:spacing w:val="-13"/>
        </w:rPr>
        <w:t xml:space="preserve"> </w:t>
      </w:r>
      <w:r w:rsidRPr="001D355F">
        <w:t xml:space="preserve">artículos </w:t>
      </w:r>
      <w:r w:rsidRPr="001D355F">
        <w:rPr>
          <w:spacing w:val="-68"/>
        </w:rPr>
        <w:t xml:space="preserve">  </w:t>
      </w:r>
      <w:r w:rsidRPr="001D355F">
        <w:t>3,</w:t>
      </w:r>
      <w:r w:rsidRPr="001D355F">
        <w:rPr>
          <w:spacing w:val="-1"/>
        </w:rPr>
        <w:t xml:space="preserve"> </w:t>
      </w:r>
      <w:r w:rsidRPr="001D355F">
        <w:t>4.1, 5.1,</w:t>
      </w:r>
      <w:r w:rsidRPr="001D355F">
        <w:rPr>
          <w:spacing w:val="-1"/>
        </w:rPr>
        <w:t xml:space="preserve"> </w:t>
      </w:r>
      <w:r w:rsidRPr="001D355F">
        <w:t>5.2 y 7.1 de</w:t>
      </w:r>
      <w:r w:rsidRPr="001D355F">
        <w:rPr>
          <w:spacing w:val="2"/>
        </w:rPr>
        <w:t xml:space="preserve"> </w:t>
      </w:r>
      <w:r w:rsidRPr="001D355F">
        <w:t>la</w:t>
      </w:r>
      <w:r w:rsidRPr="001D355F">
        <w:rPr>
          <w:spacing w:val="-1"/>
        </w:rPr>
        <w:t xml:space="preserve"> </w:t>
      </w:r>
      <w:r w:rsidRPr="001D355F">
        <w:t>Convención</w:t>
      </w:r>
      <w:r w:rsidRPr="001D355F">
        <w:rPr>
          <w:spacing w:val="1"/>
        </w:rPr>
        <w:t xml:space="preserve"> </w:t>
      </w:r>
      <w:r w:rsidRPr="001D355F">
        <w:t>Americana,</w:t>
      </w:r>
      <w:r w:rsidRPr="001D355F">
        <w:rPr>
          <w:spacing w:val="-1"/>
        </w:rPr>
        <w:t xml:space="preserve"> </w:t>
      </w:r>
      <w:r w:rsidRPr="001D355F">
        <w:t>en</w:t>
      </w:r>
      <w:r w:rsidRPr="001D355F">
        <w:rPr>
          <w:spacing w:val="4"/>
        </w:rPr>
        <w:t xml:space="preserve"> </w:t>
      </w:r>
      <w:r w:rsidRPr="001D355F">
        <w:t>relación con</w:t>
      </w:r>
      <w:r w:rsidRPr="001D355F">
        <w:rPr>
          <w:spacing w:val="1"/>
        </w:rPr>
        <w:t xml:space="preserve"> </w:t>
      </w:r>
      <w:r w:rsidRPr="001D355F">
        <w:t>lo</w:t>
      </w:r>
      <w:r w:rsidRPr="001D355F">
        <w:rPr>
          <w:spacing w:val="-2"/>
        </w:rPr>
        <w:t xml:space="preserve"> </w:t>
      </w:r>
      <w:r w:rsidRPr="001D355F">
        <w:t>dispuesto</w:t>
      </w:r>
      <w:r w:rsidRPr="001D355F">
        <w:rPr>
          <w:spacing w:val="-1"/>
        </w:rPr>
        <w:t xml:space="preserve"> </w:t>
      </w:r>
      <w:r w:rsidRPr="001D355F">
        <w:t>en</w:t>
      </w:r>
      <w:r w:rsidRPr="001D355F">
        <w:rPr>
          <w:spacing w:val="3"/>
        </w:rPr>
        <w:t xml:space="preserve"> </w:t>
      </w:r>
      <w:r w:rsidRPr="001D355F">
        <w:t>el</w:t>
      </w:r>
      <w:r w:rsidRPr="001D355F">
        <w:rPr>
          <w:spacing w:val="3"/>
        </w:rPr>
        <w:t xml:space="preserve"> </w:t>
      </w:r>
      <w:r w:rsidRPr="001D355F">
        <w:t>artículo 1.1 del mismo instrumento, así como el artículo I, inciso a) de la CIDFP, que prohíbe la</w:t>
      </w:r>
      <w:r w:rsidRPr="001D355F">
        <w:rPr>
          <w:spacing w:val="1"/>
        </w:rPr>
        <w:t xml:space="preserve"> </w:t>
      </w:r>
      <w:r w:rsidRPr="001D355F">
        <w:t>práctica,</w:t>
      </w:r>
      <w:r w:rsidRPr="001D355F">
        <w:rPr>
          <w:spacing w:val="-3"/>
        </w:rPr>
        <w:t xml:space="preserve"> </w:t>
      </w:r>
      <w:r w:rsidRPr="001D355F">
        <w:t>por</w:t>
      </w:r>
      <w:r w:rsidRPr="001D355F">
        <w:rPr>
          <w:spacing w:val="-2"/>
        </w:rPr>
        <w:t xml:space="preserve"> </w:t>
      </w:r>
      <w:r w:rsidRPr="001D355F">
        <w:t>parte</w:t>
      </w:r>
      <w:r w:rsidRPr="001D355F">
        <w:rPr>
          <w:spacing w:val="-2"/>
        </w:rPr>
        <w:t xml:space="preserve"> </w:t>
      </w:r>
      <w:r w:rsidRPr="001D355F">
        <w:t>de</w:t>
      </w:r>
      <w:r w:rsidRPr="001D355F">
        <w:rPr>
          <w:spacing w:val="-3"/>
        </w:rPr>
        <w:t xml:space="preserve"> </w:t>
      </w:r>
      <w:r w:rsidRPr="001D355F">
        <w:t>los</w:t>
      </w:r>
      <w:r w:rsidRPr="001D355F">
        <w:rPr>
          <w:spacing w:val="-2"/>
        </w:rPr>
        <w:t xml:space="preserve"> </w:t>
      </w:r>
      <w:r w:rsidRPr="001D355F">
        <w:t>Estados,</w:t>
      </w:r>
      <w:r w:rsidRPr="001D355F">
        <w:rPr>
          <w:spacing w:val="-2"/>
        </w:rPr>
        <w:t xml:space="preserve"> </w:t>
      </w:r>
      <w:r w:rsidRPr="001D355F">
        <w:t>de</w:t>
      </w:r>
      <w:r w:rsidRPr="001D355F">
        <w:rPr>
          <w:spacing w:val="-3"/>
        </w:rPr>
        <w:t xml:space="preserve"> </w:t>
      </w:r>
      <w:r w:rsidRPr="001D355F">
        <w:t>la</w:t>
      </w:r>
      <w:r w:rsidRPr="001D355F">
        <w:rPr>
          <w:spacing w:val="-1"/>
        </w:rPr>
        <w:t xml:space="preserve"> </w:t>
      </w:r>
      <w:r w:rsidRPr="001D355F">
        <w:t>desaparición forzada</w:t>
      </w:r>
      <w:r w:rsidRPr="001D355F">
        <w:rPr>
          <w:spacing w:val="-2"/>
        </w:rPr>
        <w:t xml:space="preserve"> </w:t>
      </w:r>
      <w:r w:rsidRPr="001D355F">
        <w:t>de</w:t>
      </w:r>
      <w:r w:rsidRPr="001D355F">
        <w:rPr>
          <w:spacing w:val="-2"/>
        </w:rPr>
        <w:t xml:space="preserve"> </w:t>
      </w:r>
      <w:r w:rsidRPr="001D355F">
        <w:t>personas.</w:t>
      </w:r>
    </w:p>
    <w:p w14:paraId="07C677A7" w14:textId="77777777" w:rsidR="007B594B" w:rsidRPr="00991C0C" w:rsidRDefault="007B594B" w:rsidP="007B594B">
      <w:pPr>
        <w:rPr>
          <w:lang w:val="es-ES"/>
        </w:rPr>
      </w:pPr>
    </w:p>
    <w:p w14:paraId="63E908D9" w14:textId="76D758FA" w:rsidR="007B594B" w:rsidRPr="00B21B99" w:rsidRDefault="007B594B" w:rsidP="005E070D">
      <w:pPr>
        <w:pStyle w:val="Prrafodelista"/>
      </w:pPr>
      <w:r w:rsidRPr="003F5F8E">
        <w:t xml:space="preserve">En cuanto a la presunta </w:t>
      </w:r>
      <w:r w:rsidRPr="003F5F8E">
        <w:rPr>
          <w:rFonts w:eastAsia="Calibri"/>
        </w:rPr>
        <w:t xml:space="preserve">violación de los artículos 16 y 23 de la Convención Americana, </w:t>
      </w:r>
      <w:r w:rsidRPr="00354604">
        <w:rPr>
          <w:rFonts w:eastAsia="Calibri"/>
        </w:rPr>
        <w:t xml:space="preserve">alegada por la Comisión y el </w:t>
      </w:r>
      <w:r w:rsidR="001C7D88">
        <w:rPr>
          <w:rFonts w:eastAsia="Calibri"/>
        </w:rPr>
        <w:t>r</w:t>
      </w:r>
      <w:r w:rsidRPr="00354604">
        <w:rPr>
          <w:rFonts w:eastAsia="Calibri"/>
        </w:rPr>
        <w:t>epresentante</w:t>
      </w:r>
      <w:r w:rsidRPr="00B21B99">
        <w:rPr>
          <w:rFonts w:eastAsia="Calibri"/>
        </w:rPr>
        <w:t>, en razón</w:t>
      </w:r>
      <w:r w:rsidRPr="003F5F8E">
        <w:rPr>
          <w:rFonts w:eastAsia="Calibri"/>
        </w:rPr>
        <w:t xml:space="preserve"> del rol d</w:t>
      </w:r>
      <w:r w:rsidRPr="003F5F8E">
        <w:t xml:space="preserve">el señor Flores Bedregal como </w:t>
      </w:r>
      <w:r w:rsidRPr="003F5F8E">
        <w:rPr>
          <w:rFonts w:eastAsia="Calibri"/>
        </w:rPr>
        <w:t>diputado suplente, este Tr</w:t>
      </w:r>
      <w:r w:rsidRPr="003F5F8E">
        <w:rPr>
          <w:color w:val="000000" w:themeColor="text1"/>
        </w:rPr>
        <w:t>ibunal ha señalado que “la circunstancia de que una desaparición forzada se haya llevado a cabo con el fin de impedir el ejercicio legítimo de un derecho no significa que la consiguiente violación de ese derecho tenga un carácter permanente”</w:t>
      </w:r>
      <w:r w:rsidRPr="00676DC0">
        <w:rPr>
          <w:vertAlign w:val="superscript"/>
        </w:rPr>
        <w:footnoteReference w:id="136"/>
      </w:r>
      <w:r w:rsidRPr="003F5F8E">
        <w:rPr>
          <w:color w:val="000000" w:themeColor="text1"/>
        </w:rPr>
        <w:t xml:space="preserve">. </w:t>
      </w:r>
      <w:r w:rsidRPr="00354604">
        <w:rPr>
          <w:color w:val="000000" w:themeColor="text1"/>
        </w:rPr>
        <w:t xml:space="preserve">En consecuencia, la Corte considera </w:t>
      </w:r>
      <w:r w:rsidR="000C6963">
        <w:rPr>
          <w:color w:val="000000" w:themeColor="text1"/>
        </w:rPr>
        <w:t xml:space="preserve">que </w:t>
      </w:r>
      <w:r w:rsidR="00694B60">
        <w:rPr>
          <w:color w:val="000000" w:themeColor="text1"/>
        </w:rPr>
        <w:t xml:space="preserve">el Estado </w:t>
      </w:r>
      <w:r w:rsidRPr="00354604">
        <w:rPr>
          <w:color w:val="000000" w:themeColor="text1"/>
        </w:rPr>
        <w:t>no es responsable de la violación del derecho de asociación y derechos políticos, consagrados en los artículos 16 y 23 de la Convención Americana, en perjuicio de Juan Carlos Flores Bedregal.</w:t>
      </w:r>
    </w:p>
    <w:p w14:paraId="7E055C19" w14:textId="77777777" w:rsidR="007B594B" w:rsidRPr="00991C0C" w:rsidRDefault="007B594B" w:rsidP="007B594B">
      <w:pPr>
        <w:rPr>
          <w:lang w:val="es-ES"/>
        </w:rPr>
      </w:pPr>
    </w:p>
    <w:p w14:paraId="5DAD67DF" w14:textId="463E0BEB" w:rsidR="00FB5A4F" w:rsidRDefault="007B594B" w:rsidP="007B594B">
      <w:pPr>
        <w:pStyle w:val="Ttulo1"/>
        <w:spacing w:before="0"/>
        <w:jc w:val="center"/>
        <w:rPr>
          <w:rFonts w:ascii="Verdana" w:hAnsi="Verdana"/>
          <w:b/>
          <w:bCs/>
          <w:color w:val="000000" w:themeColor="text1"/>
          <w:sz w:val="20"/>
          <w:szCs w:val="20"/>
          <w:lang w:val="es-ES"/>
        </w:rPr>
      </w:pPr>
      <w:bookmarkStart w:id="132" w:name="_Toc125037482"/>
      <w:r w:rsidRPr="00D51670">
        <w:rPr>
          <w:rFonts w:ascii="Verdana" w:hAnsi="Verdana"/>
          <w:b/>
          <w:bCs/>
          <w:color w:val="000000" w:themeColor="text1"/>
          <w:sz w:val="20"/>
          <w:szCs w:val="20"/>
          <w:lang w:val="es-ES"/>
        </w:rPr>
        <w:lastRenderedPageBreak/>
        <w:t>VI</w:t>
      </w:r>
      <w:r>
        <w:rPr>
          <w:rFonts w:ascii="Verdana" w:hAnsi="Verdana"/>
          <w:b/>
          <w:bCs/>
          <w:color w:val="000000" w:themeColor="text1"/>
          <w:sz w:val="20"/>
          <w:szCs w:val="20"/>
          <w:lang w:val="es-ES"/>
        </w:rPr>
        <w:t>I</w:t>
      </w:r>
      <w:r w:rsidRPr="00D51670">
        <w:rPr>
          <w:rFonts w:ascii="Verdana" w:hAnsi="Verdana"/>
          <w:b/>
          <w:bCs/>
          <w:color w:val="000000" w:themeColor="text1"/>
          <w:sz w:val="20"/>
          <w:szCs w:val="20"/>
          <w:lang w:val="es-ES"/>
        </w:rPr>
        <w:t>-II</w:t>
      </w:r>
      <w:r w:rsidRPr="00D51670">
        <w:rPr>
          <w:rFonts w:ascii="Verdana" w:hAnsi="Verdana"/>
          <w:b/>
          <w:bCs/>
          <w:color w:val="000000" w:themeColor="text1"/>
          <w:sz w:val="20"/>
          <w:szCs w:val="20"/>
          <w:lang w:val="es-ES"/>
        </w:rPr>
        <w:br/>
        <w:t>DERECHO</w:t>
      </w:r>
      <w:r w:rsidR="007003BA">
        <w:rPr>
          <w:rFonts w:ascii="Verdana" w:hAnsi="Verdana"/>
          <w:b/>
          <w:bCs/>
          <w:color w:val="000000" w:themeColor="text1"/>
          <w:sz w:val="20"/>
          <w:szCs w:val="20"/>
          <w:lang w:val="es-ES"/>
        </w:rPr>
        <w:t>S</w:t>
      </w:r>
      <w:r w:rsidRPr="00D51670">
        <w:rPr>
          <w:rFonts w:ascii="Verdana" w:hAnsi="Verdana"/>
          <w:b/>
          <w:bCs/>
          <w:color w:val="000000" w:themeColor="text1"/>
          <w:sz w:val="20"/>
          <w:szCs w:val="20"/>
          <w:lang w:val="es-ES"/>
        </w:rPr>
        <w:t xml:space="preserve"> A LAS GARANTÍAS JUDICIALES Y A LA PROTECCIÓN JUDICIAL EN RELACIÓN CON EL DEBER DE RESPETAR Y GARANTIZAR LOS DERECHOS</w:t>
      </w:r>
      <w:r w:rsidRPr="00D51670">
        <w:rPr>
          <w:rFonts w:ascii="Verdana" w:hAnsi="Verdana"/>
          <w:b/>
          <w:bCs/>
          <w:color w:val="000000" w:themeColor="text1"/>
          <w:sz w:val="20"/>
          <w:szCs w:val="20"/>
          <w:vertAlign w:val="superscript"/>
          <w:lang w:val="es-ES"/>
        </w:rPr>
        <w:footnoteReference w:id="137"/>
      </w:r>
      <w:bookmarkEnd w:id="132"/>
      <w:r w:rsidR="00FB5A4F">
        <w:rPr>
          <w:rFonts w:ascii="Verdana" w:hAnsi="Verdana"/>
          <w:b/>
          <w:bCs/>
          <w:color w:val="000000" w:themeColor="text1"/>
          <w:sz w:val="20"/>
          <w:szCs w:val="20"/>
          <w:lang w:val="es-ES"/>
        </w:rPr>
        <w:t xml:space="preserve"> </w:t>
      </w:r>
    </w:p>
    <w:p w14:paraId="2EAB212C" w14:textId="3F7E6F18" w:rsidR="007B594B" w:rsidRPr="00D51670" w:rsidRDefault="00FB5A4F" w:rsidP="007B594B">
      <w:pPr>
        <w:pStyle w:val="Ttulo1"/>
        <w:spacing w:before="0"/>
        <w:jc w:val="center"/>
        <w:rPr>
          <w:rFonts w:ascii="Verdana" w:hAnsi="Verdana"/>
          <w:b/>
          <w:bCs/>
          <w:color w:val="000000" w:themeColor="text1"/>
          <w:sz w:val="20"/>
          <w:szCs w:val="20"/>
          <w:lang w:val="es-ES"/>
        </w:rPr>
      </w:pPr>
      <w:bookmarkStart w:id="133" w:name="_Toc124157807"/>
      <w:bookmarkStart w:id="134" w:name="_Toc125037483"/>
      <w:r>
        <w:rPr>
          <w:rFonts w:ascii="Verdana" w:hAnsi="Verdana"/>
          <w:b/>
          <w:bCs/>
          <w:color w:val="000000" w:themeColor="text1"/>
          <w:sz w:val="20"/>
          <w:szCs w:val="20"/>
          <w:lang w:val="es-ES"/>
        </w:rPr>
        <w:t xml:space="preserve">Y </w:t>
      </w:r>
      <w:r w:rsidR="007003BA">
        <w:rPr>
          <w:rFonts w:ascii="Verdana" w:hAnsi="Verdana"/>
          <w:b/>
          <w:bCs/>
          <w:color w:val="000000" w:themeColor="text1"/>
          <w:sz w:val="20"/>
          <w:szCs w:val="20"/>
          <w:lang w:val="es-ES"/>
        </w:rPr>
        <w:t xml:space="preserve">LOS </w:t>
      </w:r>
      <w:r>
        <w:rPr>
          <w:rFonts w:ascii="Verdana" w:hAnsi="Verdana"/>
          <w:b/>
          <w:bCs/>
          <w:color w:val="000000" w:themeColor="text1"/>
          <w:sz w:val="20"/>
          <w:szCs w:val="20"/>
          <w:lang w:val="es-ES"/>
        </w:rPr>
        <w:t>ARTICULOS I.b) Y III DE LA CIDFP</w:t>
      </w:r>
      <w:bookmarkEnd w:id="133"/>
      <w:bookmarkEnd w:id="134"/>
    </w:p>
    <w:p w14:paraId="762452A6" w14:textId="77777777" w:rsidR="007B594B" w:rsidRPr="001D355F" w:rsidRDefault="007B594B" w:rsidP="007B594B">
      <w:pPr>
        <w:pStyle w:val="Ttulo1"/>
        <w:spacing w:before="0"/>
        <w:jc w:val="center"/>
        <w:rPr>
          <w:rFonts w:ascii="Verdana" w:hAnsi="Verdana"/>
          <w:b/>
          <w:bCs/>
          <w:color w:val="000000" w:themeColor="text1"/>
          <w:sz w:val="20"/>
          <w:szCs w:val="20"/>
          <w:lang w:val="es-ES"/>
        </w:rPr>
      </w:pPr>
    </w:p>
    <w:p w14:paraId="6A8396F3" w14:textId="1713F816" w:rsidR="007B594B" w:rsidRDefault="007B594B" w:rsidP="005E070D">
      <w:pPr>
        <w:pStyle w:val="Prrafodelista"/>
      </w:pPr>
      <w:r w:rsidRPr="00EA1EFB">
        <w:t xml:space="preserve">En el presente capítulo, la Corte examinará específicamente la alegada violación de los artículos </w:t>
      </w:r>
      <w:r w:rsidRPr="004B5F3E">
        <w:t>8</w:t>
      </w:r>
      <w:r w:rsidR="00777115" w:rsidRPr="004B5F3E">
        <w:t>.1</w:t>
      </w:r>
      <w:r w:rsidRPr="004B5F3E">
        <w:t xml:space="preserve"> y 25</w:t>
      </w:r>
      <w:r w:rsidR="00777115" w:rsidRPr="004B5F3E">
        <w:t xml:space="preserve">.1 </w:t>
      </w:r>
      <w:r w:rsidRPr="004B5F3E">
        <w:t xml:space="preserve">de la Convención Americana con motivo de las presuntas deficiencias del proceso penal denominado </w:t>
      </w:r>
      <w:r w:rsidR="008F1936" w:rsidRPr="004B5F3E">
        <w:t>“</w:t>
      </w:r>
      <w:r w:rsidRPr="004B5F3E">
        <w:t>Ministerio Público c</w:t>
      </w:r>
      <w:r w:rsidR="00823FE1" w:rsidRPr="004B5F3E">
        <w:t>/</w:t>
      </w:r>
      <w:r w:rsidRPr="004B5F3E">
        <w:t xml:space="preserve"> Franz Pizarro</w:t>
      </w:r>
      <w:r w:rsidR="00B440BF" w:rsidRPr="004B5F3E">
        <w:t xml:space="preserve"> Solano</w:t>
      </w:r>
      <w:r w:rsidRPr="004B5F3E">
        <w:t xml:space="preserve"> y otros</w:t>
      </w:r>
      <w:r w:rsidR="008F1936" w:rsidRPr="004B5F3E">
        <w:t>”</w:t>
      </w:r>
      <w:r w:rsidRPr="004B5F3E">
        <w:t xml:space="preserve">. La Corte realizará su análisis en el marco de su competencia temporal del presente caso. Cabe señalar que </w:t>
      </w:r>
      <w:r w:rsidRPr="004B5F3E">
        <w:rPr>
          <w:rFonts w:cs="Verdana"/>
        </w:rPr>
        <w:t xml:space="preserve">las alegaciones relacionadas con el acceso </w:t>
      </w:r>
      <w:r w:rsidRPr="004B5F3E">
        <w:t xml:space="preserve">de las hermanas Flores Bedregal </w:t>
      </w:r>
      <w:r w:rsidRPr="004B5F3E">
        <w:rPr>
          <w:rFonts w:cs="Verdana"/>
        </w:rPr>
        <w:t>a los documentos y archivos de las FFAA</w:t>
      </w:r>
      <w:r w:rsidRPr="004B5F3E">
        <w:t>, serán abordadas</w:t>
      </w:r>
      <w:r w:rsidRPr="00113E46">
        <w:t xml:space="preserve"> en un capítulo separado de la presente Sentencia.</w:t>
      </w:r>
    </w:p>
    <w:p w14:paraId="57847DFE" w14:textId="77777777" w:rsidR="004A0914" w:rsidRPr="007D114F" w:rsidRDefault="004A0914" w:rsidP="007D114F">
      <w:pPr>
        <w:rPr>
          <w:lang w:val="es-ES"/>
        </w:rPr>
      </w:pPr>
    </w:p>
    <w:p w14:paraId="7F513138" w14:textId="7FCA41C2" w:rsidR="007B594B" w:rsidRPr="004B5F3E" w:rsidRDefault="007B594B" w:rsidP="005E070D">
      <w:pPr>
        <w:pStyle w:val="Prrafodelista"/>
      </w:pPr>
      <w:r w:rsidRPr="004B5F3E">
        <w:t>Por otra parte, este Tribunal tiene conocimiento del proceso penal No. 6441/09</w:t>
      </w:r>
      <w:r w:rsidR="00BF3A96" w:rsidRPr="004B5F3E">
        <w:t>,</w:t>
      </w:r>
      <w:r w:rsidRPr="004B5F3E">
        <w:t xml:space="preserve"> iniciado por el Ministerio Público y seguido ante el Juzgado Octavo de Instrucción </w:t>
      </w:r>
      <w:r w:rsidR="00D835F5" w:rsidRPr="004B5F3E">
        <w:t>en</w:t>
      </w:r>
      <w:r w:rsidRPr="004B5F3E">
        <w:t xml:space="preserve"> lo Penal Cautelar, el cual se abrió por los hechos relativos a la desaparición forzada de Renato Ticona Estrada</w:t>
      </w:r>
      <w:r w:rsidR="0099343A" w:rsidRPr="004B5F3E">
        <w:rPr>
          <w:vertAlign w:val="superscript"/>
        </w:rPr>
        <w:footnoteReference w:id="138"/>
      </w:r>
      <w:r w:rsidRPr="004B5F3E">
        <w:t xml:space="preserve"> y donde se incluyó investigar la desaparición forzada del señor Juan Carlos Flores Bedregal. </w:t>
      </w:r>
      <w:r w:rsidR="00903BD8" w:rsidRPr="004B5F3E">
        <w:t>L</w:t>
      </w:r>
      <w:r w:rsidRPr="004B5F3E">
        <w:t>a Comisión y el representante mencionaron dicho proceso</w:t>
      </w:r>
      <w:r w:rsidR="005B4C09">
        <w:t>,</w:t>
      </w:r>
      <w:r w:rsidRPr="004B5F3E">
        <w:t xml:space="preserve"> </w:t>
      </w:r>
      <w:r w:rsidR="00903BD8" w:rsidRPr="004B5F3E">
        <w:t xml:space="preserve">pero no </w:t>
      </w:r>
      <w:r w:rsidRPr="004B5F3E">
        <w:t>presentaron alegaciones concretas en relación con presuntas violaciones a los artículos 8 y 25 de la Convención</w:t>
      </w:r>
      <w:r w:rsidR="00770EA6" w:rsidRPr="004B5F3E">
        <w:t xml:space="preserve"> </w:t>
      </w:r>
      <w:r w:rsidR="005B4C09">
        <w:t>A</w:t>
      </w:r>
      <w:r w:rsidR="005B4C09" w:rsidRPr="004B5F3E">
        <w:t>mericana</w:t>
      </w:r>
      <w:r w:rsidRPr="004B5F3E">
        <w:t>. Teniendo en cuenta lo indicado, la Corte no realizará pronunciamiento alguno sobre el referido proceso.</w:t>
      </w:r>
    </w:p>
    <w:p w14:paraId="5472C25E" w14:textId="77777777" w:rsidR="00480CEB" w:rsidRPr="00991C0C" w:rsidRDefault="00480CEB" w:rsidP="007B594B">
      <w:pPr>
        <w:jc w:val="both"/>
        <w:rPr>
          <w:lang w:val="es-ES"/>
        </w:rPr>
      </w:pPr>
    </w:p>
    <w:p w14:paraId="1549DE02" w14:textId="47444CE5" w:rsidR="007B594B" w:rsidRPr="00213494" w:rsidRDefault="007B594B" w:rsidP="00D62951">
      <w:pPr>
        <w:pStyle w:val="Ttulo2"/>
        <w:ind w:left="567"/>
        <w:rPr>
          <w:rFonts w:ascii="Verdana" w:hAnsi="Verdana" w:cs="Arial"/>
          <w:b/>
          <w:bCs/>
          <w:color w:val="000000" w:themeColor="text1"/>
          <w:sz w:val="20"/>
          <w:szCs w:val="20"/>
          <w:lang w:val="es-ES"/>
        </w:rPr>
      </w:pPr>
      <w:bookmarkStart w:id="135" w:name="_Toc125037484"/>
      <w:r w:rsidRPr="00213494">
        <w:rPr>
          <w:rFonts w:ascii="Verdana" w:hAnsi="Verdana" w:cs="Arial"/>
          <w:b/>
          <w:bCs/>
          <w:color w:val="000000" w:themeColor="text1"/>
          <w:sz w:val="20"/>
          <w:szCs w:val="20"/>
          <w:lang w:val="es-ES"/>
        </w:rPr>
        <w:t>A. A</w:t>
      </w:r>
      <w:r w:rsidR="00357DD8">
        <w:rPr>
          <w:rFonts w:ascii="Verdana" w:hAnsi="Verdana" w:cs="Arial"/>
          <w:b/>
          <w:bCs/>
          <w:color w:val="000000" w:themeColor="text1"/>
          <w:sz w:val="20"/>
          <w:szCs w:val="20"/>
          <w:lang w:val="es-ES"/>
        </w:rPr>
        <w:t>legatos</w:t>
      </w:r>
      <w:r w:rsidRPr="00213494">
        <w:rPr>
          <w:rFonts w:ascii="Verdana" w:hAnsi="Verdana" w:cs="Arial"/>
          <w:b/>
          <w:bCs/>
          <w:color w:val="000000" w:themeColor="text1"/>
          <w:sz w:val="20"/>
          <w:szCs w:val="20"/>
          <w:lang w:val="es-ES"/>
        </w:rPr>
        <w:t xml:space="preserve"> de la Comisión y las partes</w:t>
      </w:r>
      <w:bookmarkEnd w:id="135"/>
    </w:p>
    <w:p w14:paraId="4DD69F62" w14:textId="77777777" w:rsidR="007B594B" w:rsidRPr="00685917" w:rsidRDefault="007B594B" w:rsidP="007B59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Verdana" w:eastAsia="Verdana" w:hAnsi="Verdana" w:cs="Verdana"/>
          <w:lang w:val="es-ES"/>
        </w:rPr>
      </w:pPr>
    </w:p>
    <w:p w14:paraId="3DAD5655" w14:textId="77777777" w:rsidR="007B594B" w:rsidRDefault="007B594B" w:rsidP="00D62951">
      <w:pPr>
        <w:pStyle w:val="Ttulo3"/>
        <w:spacing w:before="0"/>
        <w:ind w:left="709"/>
        <w:rPr>
          <w:rFonts w:ascii="Verdana" w:hAnsi="Verdana" w:cs="Arial"/>
          <w:b/>
          <w:bCs/>
          <w:color w:val="000000" w:themeColor="text1"/>
          <w:sz w:val="20"/>
          <w:szCs w:val="20"/>
          <w:lang w:val="es-ES"/>
        </w:rPr>
      </w:pPr>
      <w:bookmarkStart w:id="136" w:name="_Toc125037485"/>
      <w:r w:rsidRPr="00213494">
        <w:rPr>
          <w:rFonts w:ascii="Verdana" w:hAnsi="Verdana" w:cs="Arial"/>
          <w:b/>
          <w:bCs/>
          <w:color w:val="000000" w:themeColor="text1"/>
          <w:sz w:val="20"/>
          <w:szCs w:val="20"/>
          <w:lang w:val="es-ES"/>
        </w:rPr>
        <w:t>A.1. Debida diligencia y plazo razonable</w:t>
      </w:r>
      <w:bookmarkEnd w:id="136"/>
    </w:p>
    <w:p w14:paraId="3DD5CBA7" w14:textId="77777777" w:rsidR="007B594B" w:rsidRPr="00416108" w:rsidRDefault="007B594B" w:rsidP="007B594B">
      <w:pPr>
        <w:rPr>
          <w:lang w:val="es-ES"/>
        </w:rPr>
      </w:pPr>
    </w:p>
    <w:p w14:paraId="4DF2982A" w14:textId="3454AADA" w:rsidR="007B594B" w:rsidRDefault="007B594B" w:rsidP="005E070D">
      <w:pPr>
        <w:pStyle w:val="Prrafodelista"/>
      </w:pPr>
      <w:r w:rsidRPr="00213494">
        <w:t xml:space="preserve">La </w:t>
      </w:r>
      <w:r w:rsidRPr="00213494">
        <w:rPr>
          <w:b/>
          <w:bCs/>
          <w:i/>
          <w:iCs/>
        </w:rPr>
        <w:t>Comisión</w:t>
      </w:r>
      <w:r w:rsidRPr="00213494">
        <w:t xml:space="preserve"> señaló que </w:t>
      </w:r>
      <w:r w:rsidRPr="004B5F3E">
        <w:t>el Estado se abstuvo de iniciar una investigación de oficio</w:t>
      </w:r>
      <w:r w:rsidRPr="004B5F3E">
        <w:rPr>
          <w:vertAlign w:val="superscript"/>
        </w:rPr>
        <w:footnoteReference w:id="139"/>
      </w:r>
      <w:r w:rsidRPr="004B5F3E">
        <w:t xml:space="preserve"> y</w:t>
      </w:r>
      <w:r w:rsidRPr="00113E46">
        <w:rPr>
          <w:b/>
          <w:bCs/>
        </w:rPr>
        <w:t xml:space="preserve"> </w:t>
      </w:r>
      <w:r w:rsidRPr="004B5F3E">
        <w:t>que</w:t>
      </w:r>
      <w:r>
        <w:t xml:space="preserve"> </w:t>
      </w:r>
      <w:r w:rsidRPr="00213494">
        <w:t>transcurrieron 19 años desde la toma de las instalaciones del COB hasta la instauración del proceso penal ordinario</w:t>
      </w:r>
      <w:r>
        <w:t xml:space="preserve"> bajo análisis</w:t>
      </w:r>
      <w:r w:rsidRPr="00213494">
        <w:t>, y que dicho proceso no esclareció lo sucedido a Juan Carlos Flores Bedregal. También indicó que se verificaron graves obstáculos en el proceso, incluyendo irregularidades, falsos testimonios sobre el presunto levantamiento de cadáver, encubrimientos y un “pacto de silencio” por parte de militares y policías los cuales configuran la violación del deber de debida diligencia del Estado. Respecto a la razonabilidad del plazo, argumentó que</w:t>
      </w:r>
      <w:r>
        <w:t xml:space="preserve">, </w:t>
      </w:r>
      <w:r w:rsidRPr="00213494">
        <w:t xml:space="preserve">si bien el contexto en que ocurrieron los hechos dificultó las investigaciones, las mismas autoridades nacionales han reconocido el retardo, especialmente en el proceso penal ordinario iniciado en 1999 y culminado en 2010. Para el momento del sometimiento del caso a la Corte habían transcurrido más de 38 años desde la desaparición, sin que se tenga noticia del paradero de la víctima. Además, la Comisión observó que de las tres personas condenadas en el proceso penal ordinario “a penas altas” (30 años de prisión por el delito de asesinato en grado de complicidad), sólo una de ellas cumplió pena de prisión efectiva, y los </w:t>
      </w:r>
      <w:r w:rsidRPr="001D0640">
        <w:t>otros imputados</w:t>
      </w:r>
      <w:r w:rsidRPr="00213494">
        <w:t xml:space="preserve"> fueron sentenciados a penas menores. Concluyó que el Estado violó los derechos a las garantías judiciales y a la protección judicial, establecidos en los artículos 8.1 y 25.1 de la Convención Americana, en relación con los artículos 1.1 y 2 del mismo instrumento, así como los artículos I</w:t>
      </w:r>
      <w:r w:rsidR="00B440BF">
        <w:t>.</w:t>
      </w:r>
      <w:r w:rsidRPr="00213494">
        <w:t>b) y III de la CIDFP, en perjuicio del señor Flores Bedregal y sus familiare</w:t>
      </w:r>
      <w:r>
        <w:t>s.</w:t>
      </w:r>
    </w:p>
    <w:p w14:paraId="6EC45C92" w14:textId="77777777" w:rsidR="007B594B" w:rsidRPr="00991C0C" w:rsidRDefault="007B594B" w:rsidP="007B594B">
      <w:pPr>
        <w:rPr>
          <w:lang w:val="es-ES"/>
        </w:rPr>
      </w:pPr>
    </w:p>
    <w:p w14:paraId="7E203AA8" w14:textId="68AF0365" w:rsidR="007B594B" w:rsidRPr="00D51670" w:rsidRDefault="007B594B" w:rsidP="005E070D">
      <w:pPr>
        <w:pStyle w:val="Prrafodelista"/>
      </w:pPr>
      <w:r w:rsidRPr="00D51670">
        <w:t xml:space="preserve">El </w:t>
      </w:r>
      <w:r w:rsidRPr="00D51670">
        <w:rPr>
          <w:b/>
          <w:bCs/>
          <w:i/>
          <w:iCs/>
        </w:rPr>
        <w:t>representante,</w:t>
      </w:r>
      <w:r w:rsidRPr="00D51670">
        <w:t xml:space="preserve"> al igual que la Comisión, alegó una serie de violaciones a deberes por parte del Estado relacionadas con las garantías judiciales y la protección judicial de las presuntas víctimas en el proceso penal ordinario, entre ellas: i) deber de iniciar una investigación </w:t>
      </w:r>
      <w:r w:rsidRPr="00D51670">
        <w:rPr>
          <w:i/>
        </w:rPr>
        <w:t>ex of</w:t>
      </w:r>
      <w:r w:rsidR="00FD3224">
        <w:rPr>
          <w:i/>
        </w:rPr>
        <w:t>f</w:t>
      </w:r>
      <w:r w:rsidRPr="00D51670">
        <w:rPr>
          <w:i/>
        </w:rPr>
        <w:t>icio</w:t>
      </w:r>
      <w:r w:rsidRPr="00D51670">
        <w:t xml:space="preserve"> de la desaparición forzada del señor Flores Bedregal; ii) deber de llevar a cabo una investigación seria, </w:t>
      </w:r>
      <w:r w:rsidRPr="00D51670">
        <w:lastRenderedPageBreak/>
        <w:t>diligente, y exhaustiva, ya que el proceso penal ordinario sufrió una serie de irregularidades; iii)</w:t>
      </w:r>
      <w:r>
        <w:t xml:space="preserve"> </w:t>
      </w:r>
      <w:r w:rsidRPr="004B5F3E">
        <w:t>proporcionalidad en las condenas impuestas y</w:t>
      </w:r>
      <w:r>
        <w:t xml:space="preserve"> </w:t>
      </w:r>
      <w:r w:rsidRPr="00D51670">
        <w:t xml:space="preserve">deber de ejecutar la sentencia condenatoria en razón de que Franz Pizarro Solano fue declarado rebelde y no existe información </w:t>
      </w:r>
      <w:r>
        <w:t>sobre</w:t>
      </w:r>
      <w:r w:rsidRPr="00D51670">
        <w:t xml:space="preserve"> esfuerzos estatales para llevarlo ante la justicia para que cumpla con su condena, José Luis Ormachea se encuentra registrado como fallecido “sin tener comprobación real de que esto sea cierto”, y Felipe Froilán Molina fue capturado 6 años después de quedar firme la sentencia, constituyendo el proceso en un mecanismo de impunidad, y iv) deber de garantizar un plazo razonable en las investigaciones pues la conducta del órgano judicial y falta de debida diligencia, </w:t>
      </w:r>
      <w:r>
        <w:t xml:space="preserve">la </w:t>
      </w:r>
      <w:r w:rsidRPr="00D51670">
        <w:t>inactividad procesal y falta de impulso, causaron la dilación excesiva del proceso penal</w:t>
      </w:r>
      <w:r>
        <w:t>.</w:t>
      </w:r>
      <w:r w:rsidRPr="00D51670">
        <w:t xml:space="preserve"> </w:t>
      </w:r>
    </w:p>
    <w:p w14:paraId="35773558" w14:textId="77777777" w:rsidR="007B594B" w:rsidRPr="00991C0C" w:rsidRDefault="007B594B" w:rsidP="007B594B">
      <w:pPr>
        <w:rPr>
          <w:lang w:val="es-ES"/>
        </w:rPr>
      </w:pPr>
    </w:p>
    <w:p w14:paraId="3946439E" w14:textId="30C9B523" w:rsidR="007B594B" w:rsidRPr="00D51670" w:rsidRDefault="007B594B" w:rsidP="005E070D">
      <w:pPr>
        <w:pStyle w:val="Prrafodelista"/>
      </w:pPr>
      <w:r w:rsidRPr="00D51670">
        <w:t xml:space="preserve">El </w:t>
      </w:r>
      <w:r w:rsidRPr="00D51670">
        <w:rPr>
          <w:b/>
          <w:bCs/>
          <w:i/>
          <w:iCs/>
        </w:rPr>
        <w:t>Estado</w:t>
      </w:r>
      <w:r w:rsidRPr="00D51670">
        <w:t xml:space="preserve"> argumentó que existió una investigación seria, exhaustiva y enfocada en la muerte de la presunta víctima, toda vez que la autoridad judicial contempló la necesidad de investigar y sancionar a los responsables del </w:t>
      </w:r>
      <w:r w:rsidRPr="004B5F3E">
        <w:t>“asesinato” de la presunta víctima, y destacó</w:t>
      </w:r>
      <w:r>
        <w:t xml:space="preserve"> </w:t>
      </w:r>
      <w:r w:rsidRPr="00D51670">
        <w:t xml:space="preserve">la actuación de las partes. Señaló que existió una investigación </w:t>
      </w:r>
      <w:r w:rsidRPr="00D51670">
        <w:rPr>
          <w:i/>
          <w:iCs/>
        </w:rPr>
        <w:t>ex of</w:t>
      </w:r>
      <w:r>
        <w:rPr>
          <w:i/>
          <w:iCs/>
        </w:rPr>
        <w:t>f</w:t>
      </w:r>
      <w:r w:rsidRPr="00D51670">
        <w:rPr>
          <w:i/>
          <w:iCs/>
        </w:rPr>
        <w:t>icio</w:t>
      </w:r>
      <w:r w:rsidRPr="00D51670">
        <w:t>, ya que el inicio del proceso penal ordinario fue consecuencia de la remisión del informe de la Cámara de Diputado al Poder Judicial</w:t>
      </w:r>
      <w:r>
        <w:t>.</w:t>
      </w:r>
      <w:r w:rsidRPr="00D51670">
        <w:t xml:space="preserve"> El Estado se refirió a los cuatro elementos que componen el plazo razonable y sostuvo que: i) existió una alta complejidad en el caso, la cual se sustenta en la cantidad considerable de sujetos procesales y el número de delitos que se investigaron, juzgaron y condenaron; ii) sobre la actividad procesal del interesado, </w:t>
      </w:r>
      <w:r w:rsidRPr="004B5F3E">
        <w:t>aseguró que</w:t>
      </w:r>
      <w:r>
        <w:t xml:space="preserve"> </w:t>
      </w:r>
      <w:r w:rsidRPr="00D51670">
        <w:t>las presuntas víctimas tuvieron una participación activa en el proceso, sin interrupciones, interponiendo recursos y planteando solicitudes; iii) las autoridades judiciales actuaron de manera diligente en el proceso, con el fin de esclarecer los hechos del caso, y iv) respecto a la afectación generada por la duración del procedimiento a las presuntas víctimas, estas no demostraron en qué medida la duración del proceso les causó un agravio, siendo que el Estado llevó a cabo una labor exhaustiva por esclarecer los hechos, así como sancionar a los responsables,</w:t>
      </w:r>
      <w:r w:rsidRPr="00D51670">
        <w:rPr>
          <w:b/>
          <w:bCs/>
        </w:rPr>
        <w:t xml:space="preserve"> </w:t>
      </w:r>
      <w:r w:rsidRPr="00D51670">
        <w:t>por lo tanto concluyó que no había vulnerado el plazo razonable. Aún más, sobre la alegada situación de impunidad, el Estado argumentó que se impidió la extinción de la acción penal, evitando que los hechos perpetrados en julio de 1980 queden impunes. Respecto a la falta de cumplimiento de la sentencia, indicó que de los condenados, José Luis Ormachea falleció</w:t>
      </w:r>
      <w:r>
        <w:t xml:space="preserve"> y</w:t>
      </w:r>
      <w:r w:rsidRPr="00D51670">
        <w:t xml:space="preserve"> Felipe Froilán Molina actualmente cumple su condena en el recinto penitenciario de San Pedro de Chonchocoro. Respecto de Franz Pizarro </w:t>
      </w:r>
      <w:r w:rsidR="00B440BF">
        <w:t xml:space="preserve">Solano </w:t>
      </w:r>
      <w:r w:rsidRPr="00D51670">
        <w:t>sostuvo que se estaban haciendo los esfuerzos necesarios para determinar su paradero</w:t>
      </w:r>
      <w:r>
        <w:t>. S</w:t>
      </w:r>
      <w:r w:rsidRPr="00D51670">
        <w:t xml:space="preserve">obre aquellos condenados a penas </w:t>
      </w:r>
      <w:r w:rsidRPr="004B5F3E">
        <w:t>menores a</w:t>
      </w:r>
      <w:r w:rsidRPr="00113E46">
        <w:rPr>
          <w:b/>
          <w:bCs/>
        </w:rPr>
        <w:t xml:space="preserve"> </w:t>
      </w:r>
      <w:r w:rsidRPr="00D51670">
        <w:t xml:space="preserve">3 años que no cumplieron la </w:t>
      </w:r>
      <w:r w:rsidR="00362766">
        <w:t xml:space="preserve">pena </w:t>
      </w:r>
      <w:r w:rsidRPr="00D51670">
        <w:t>priv</w:t>
      </w:r>
      <w:r w:rsidR="00362766">
        <w:t>ativa</w:t>
      </w:r>
      <w:r w:rsidRPr="00D51670">
        <w:t xml:space="preserve"> de libertad, el Estado sostuvo que no se puede restringir el acceso a determinado</w:t>
      </w:r>
      <w:r w:rsidR="009D4541">
        <w:t>s</w:t>
      </w:r>
      <w:r w:rsidRPr="00D51670">
        <w:t xml:space="preserve"> beneficios carcelarios en virtud de la legislación boliviana.</w:t>
      </w:r>
    </w:p>
    <w:p w14:paraId="579CC549" w14:textId="77777777" w:rsidR="007B594B" w:rsidRPr="00991C0C" w:rsidRDefault="007B594B" w:rsidP="007B594B">
      <w:pPr>
        <w:rPr>
          <w:lang w:val="es-ES"/>
        </w:rPr>
      </w:pPr>
    </w:p>
    <w:p w14:paraId="344966E6" w14:textId="77777777" w:rsidR="007B594B" w:rsidRDefault="007B594B" w:rsidP="00D62951">
      <w:pPr>
        <w:pStyle w:val="Ttulo3"/>
        <w:spacing w:before="0"/>
        <w:ind w:left="709"/>
        <w:rPr>
          <w:rFonts w:ascii="Verdana" w:hAnsi="Verdana" w:cs="Arial"/>
          <w:b/>
          <w:bCs/>
          <w:color w:val="000000" w:themeColor="text1"/>
          <w:sz w:val="20"/>
          <w:szCs w:val="20"/>
          <w:lang w:val="es-ES"/>
        </w:rPr>
      </w:pPr>
      <w:bookmarkStart w:id="137" w:name="_Toc125037486"/>
      <w:r w:rsidRPr="00D51670">
        <w:rPr>
          <w:rFonts w:ascii="Verdana" w:hAnsi="Verdana" w:cs="Arial"/>
          <w:b/>
          <w:bCs/>
          <w:color w:val="000000" w:themeColor="text1"/>
          <w:sz w:val="20"/>
          <w:szCs w:val="20"/>
          <w:lang w:val="es-ES"/>
        </w:rPr>
        <w:t>A.2. Tipificación del delito de Desaparición Forzada de Personas</w:t>
      </w:r>
      <w:bookmarkEnd w:id="137"/>
    </w:p>
    <w:p w14:paraId="7EFD562D" w14:textId="77777777" w:rsidR="007B594B" w:rsidRDefault="007B594B" w:rsidP="007B594B">
      <w:pPr>
        <w:rPr>
          <w:lang w:val="es-ES"/>
        </w:rPr>
      </w:pPr>
    </w:p>
    <w:p w14:paraId="57DFE745" w14:textId="18869F6B" w:rsidR="007B594B" w:rsidRDefault="007B594B" w:rsidP="005E070D">
      <w:pPr>
        <w:pStyle w:val="Prrafodelista"/>
      </w:pPr>
      <w:r>
        <w:t>A</w:t>
      </w:r>
      <w:r w:rsidRPr="00A3523A">
        <w:t xml:space="preserve"> La</w:t>
      </w:r>
      <w:r w:rsidRPr="00A3523A">
        <w:rPr>
          <w:b/>
          <w:bCs/>
          <w:i/>
          <w:iCs/>
        </w:rPr>
        <w:t xml:space="preserve"> Comisión</w:t>
      </w:r>
      <w:r w:rsidRPr="00A3523A">
        <w:t xml:space="preserve"> señaló que, </w:t>
      </w:r>
      <w:r w:rsidRPr="004B5F3E">
        <w:t>en aplicación del principio de irretroactividad,</w:t>
      </w:r>
      <w:r w:rsidRPr="00A3523A">
        <w:t xml:space="preserve"> el proceso penal ordinario concluido en 2007 no hizo referencia al delito de desaparición forzada </w:t>
      </w:r>
      <w:r w:rsidRPr="004B5F3E">
        <w:t>que fue tipificado en la legislación boliviana en el año 2006. Lo anterior, pese a que el Estado ratificó la CIDFP el 5 de mayo de 1999 y sólo a partir del 2006 entró en vigor la incorporación del delito de desaparición forzada en la legislación penal boliviana</w:t>
      </w:r>
      <w:r w:rsidR="001C7D88" w:rsidRPr="004B5F3E">
        <w:t>.</w:t>
      </w:r>
      <w:r w:rsidRPr="004B5F3E">
        <w:t xml:space="preserve"> Adujo que la investigación</w:t>
      </w:r>
      <w:r w:rsidRPr="00A3523A">
        <w:t xml:space="preserve"> tampoco estuvo orientada a la determinación de circunstancias fácticas que coincidieran con elementos propios de la desaparición forzada. Sobre ello, alegó que</w:t>
      </w:r>
      <w:r>
        <w:t>,</w:t>
      </w:r>
      <w:r w:rsidRPr="00A3523A">
        <w:t xml:space="preserve"> </w:t>
      </w:r>
      <w:r w:rsidRPr="004B5F3E">
        <w:t>debido al</w:t>
      </w:r>
      <w:r w:rsidRPr="00A3523A">
        <w:t xml:space="preserve"> carácter continuado o permanente de la desaparición forzada, si se mantiene la conducta delictiva, la nueva ley resulta aplicable.</w:t>
      </w:r>
    </w:p>
    <w:p w14:paraId="43B823B3" w14:textId="77777777" w:rsidR="007B594B" w:rsidRPr="00A3523A" w:rsidRDefault="007B594B" w:rsidP="007B594B">
      <w:pPr>
        <w:rPr>
          <w:lang w:val="es-ES"/>
        </w:rPr>
      </w:pPr>
    </w:p>
    <w:p w14:paraId="0A3E5782" w14:textId="3DA2F3C2" w:rsidR="007B594B" w:rsidRPr="00251CC8" w:rsidRDefault="007B594B" w:rsidP="005E070D">
      <w:pPr>
        <w:pStyle w:val="Prrafodelista"/>
      </w:pPr>
      <w:r w:rsidRPr="00D51670">
        <w:t xml:space="preserve">El </w:t>
      </w:r>
      <w:r w:rsidRPr="00D51670">
        <w:rPr>
          <w:b/>
          <w:bCs/>
          <w:i/>
          <w:iCs/>
        </w:rPr>
        <w:t>representante</w:t>
      </w:r>
      <w:r w:rsidRPr="00D51670">
        <w:t xml:space="preserve"> adujo </w:t>
      </w:r>
      <w:r w:rsidRPr="004B5F3E">
        <w:t xml:space="preserve">el incumplimiento </w:t>
      </w:r>
      <w:r w:rsidR="001C7D88">
        <w:t>de</w:t>
      </w:r>
      <w:r w:rsidRPr="00D51670">
        <w:t xml:space="preserve">l deber de adecuación de la normativa interna y su impacto en la investigación, debido al retardo en la tipificación del delito de desaparición forzada. Destacó </w:t>
      </w:r>
      <w:r>
        <w:t xml:space="preserve">el incumplimiento </w:t>
      </w:r>
      <w:r w:rsidR="001C7D88">
        <w:t>d</w:t>
      </w:r>
      <w:r w:rsidRPr="00D51670">
        <w:t xml:space="preserve">el deber de sancionar la desaparición forzada y argumentó que por no estar tipificada </w:t>
      </w:r>
      <w:r>
        <w:t xml:space="preserve">las </w:t>
      </w:r>
      <w:r w:rsidRPr="00D51670">
        <w:t xml:space="preserve">personas condenadas </w:t>
      </w:r>
      <w:r>
        <w:t xml:space="preserve">recibieron </w:t>
      </w:r>
      <w:r w:rsidRPr="00D51670">
        <w:t xml:space="preserve">penas de 2 </w:t>
      </w:r>
      <w:r>
        <w:t>ó</w:t>
      </w:r>
      <w:r w:rsidRPr="00D51670">
        <w:t xml:space="preserve"> 3 años en virtud de la legislación boliviana,</w:t>
      </w:r>
      <w:r w:rsidR="008D4192">
        <w:t xml:space="preserve"> </w:t>
      </w:r>
      <w:r w:rsidR="008D4192" w:rsidRPr="004B5F3E">
        <w:t>se beneficiaron con la suspensión condicional de la pena,</w:t>
      </w:r>
      <w:r w:rsidR="008D4192" w:rsidRPr="008D4192">
        <w:t xml:space="preserve"> y</w:t>
      </w:r>
      <w:r w:rsidRPr="008D4192">
        <w:t xml:space="preserve"> no debieron cumplir penas privativas de la libertad.</w:t>
      </w:r>
    </w:p>
    <w:p w14:paraId="14AFC2A9" w14:textId="77777777" w:rsidR="007B594B" w:rsidRPr="00991C0C" w:rsidRDefault="007B594B" w:rsidP="007B594B">
      <w:pPr>
        <w:rPr>
          <w:lang w:val="es-ES"/>
        </w:rPr>
      </w:pPr>
    </w:p>
    <w:p w14:paraId="35CB9C38" w14:textId="4AD9E31F" w:rsidR="007B594B" w:rsidRDefault="007B594B" w:rsidP="005E070D">
      <w:pPr>
        <w:pStyle w:val="Prrafodelista"/>
      </w:pPr>
      <w:r w:rsidRPr="00251CC8">
        <w:rPr>
          <w:rFonts w:eastAsia="Helvetica Neue"/>
        </w:rPr>
        <w:lastRenderedPageBreak/>
        <w:t xml:space="preserve">El </w:t>
      </w:r>
      <w:r w:rsidRPr="00251CC8">
        <w:rPr>
          <w:rFonts w:eastAsia="Helvetica Neue"/>
          <w:b/>
          <w:bCs/>
          <w:i/>
          <w:iCs/>
        </w:rPr>
        <w:t xml:space="preserve">Estado </w:t>
      </w:r>
      <w:r w:rsidRPr="00251CC8">
        <w:rPr>
          <w:rFonts w:eastAsia="Helvetica Neue"/>
        </w:rPr>
        <w:t>adujo que la resolución del proceso penal ordinario no incluyó el delito de desaparición forzada debido a que el objeto de la investigación era el asesinato del señor Flores Bedregal.  Además, que por aplicación del principio de irretroactividad no era posible, ya que el delito se incorporó en la legislación nacional en el año 2006, cuando el caso estaba avanzado en la etapa plenaria.</w:t>
      </w:r>
    </w:p>
    <w:p w14:paraId="5F34ED7A" w14:textId="77777777" w:rsidR="007B594B" w:rsidRPr="00991C0C" w:rsidRDefault="007B594B" w:rsidP="007B594B">
      <w:pPr>
        <w:rPr>
          <w:lang w:val="es-ES"/>
        </w:rPr>
      </w:pPr>
    </w:p>
    <w:p w14:paraId="0C87590F" w14:textId="77777777" w:rsidR="007B594B" w:rsidRPr="00251CC8" w:rsidRDefault="007B594B" w:rsidP="00D62951">
      <w:pPr>
        <w:pStyle w:val="Ttulo3"/>
        <w:spacing w:before="0"/>
        <w:ind w:left="709"/>
        <w:rPr>
          <w:rFonts w:ascii="Verdana" w:hAnsi="Verdana" w:cs="Arial"/>
          <w:b/>
          <w:bCs/>
          <w:color w:val="000000" w:themeColor="text1"/>
          <w:sz w:val="20"/>
          <w:szCs w:val="20"/>
          <w:lang w:val="es-ES"/>
        </w:rPr>
      </w:pPr>
      <w:bookmarkStart w:id="138" w:name="_Toc125037487"/>
      <w:r w:rsidRPr="00251CC8">
        <w:rPr>
          <w:rFonts w:ascii="Verdana" w:hAnsi="Verdana" w:cs="Arial"/>
          <w:b/>
          <w:bCs/>
          <w:color w:val="000000" w:themeColor="text1"/>
          <w:sz w:val="20"/>
          <w:szCs w:val="20"/>
          <w:lang w:val="es-ES"/>
        </w:rPr>
        <w:t>A.3. Búsqueda del paradero o los restos de Juan Carlos Flores Bedregal</w:t>
      </w:r>
      <w:bookmarkEnd w:id="138"/>
    </w:p>
    <w:p w14:paraId="3F7051F7" w14:textId="77777777" w:rsidR="007B594B" w:rsidRPr="0041715F" w:rsidRDefault="007B594B" w:rsidP="007B594B">
      <w:pPr>
        <w:rPr>
          <w:rFonts w:ascii="Verdana" w:hAnsi="Verdana"/>
          <w:lang w:val="es-ES"/>
        </w:rPr>
      </w:pPr>
    </w:p>
    <w:p w14:paraId="53054F70" w14:textId="77777777" w:rsidR="007B594B" w:rsidRPr="00023511" w:rsidRDefault="007B594B" w:rsidP="005E070D">
      <w:pPr>
        <w:pStyle w:val="Prrafodelista"/>
      </w:pPr>
      <w:r w:rsidRPr="007F35FB">
        <w:t>La</w:t>
      </w:r>
      <w:r w:rsidRPr="007F35FB">
        <w:rPr>
          <w:i/>
          <w:iCs/>
        </w:rPr>
        <w:t xml:space="preserve"> </w:t>
      </w:r>
      <w:r w:rsidRPr="00FB5A4F">
        <w:rPr>
          <w:b/>
          <w:bCs/>
          <w:i/>
          <w:iCs/>
        </w:rPr>
        <w:t>Comisión</w:t>
      </w:r>
      <w:r w:rsidRPr="007F35FB">
        <w:t xml:space="preserve"> alegó </w:t>
      </w:r>
      <w:r w:rsidRPr="00922737">
        <w:t>que, pese a los procesos iniciados y las acciones emprendidas por los familiares del señor Flores Bedregal, al momento de la emisión del Informe de Fondo no se había determinado el paradero de los restos del señor Flores Bedregal, ni se habían esclarecido las circunstancias de su desaparición o el lugar exacto donde habría sido llevado luego del asalto.</w:t>
      </w:r>
    </w:p>
    <w:p w14:paraId="0DC56C4F" w14:textId="77777777" w:rsidR="007B594B" w:rsidRPr="007F35FB" w:rsidRDefault="007B594B" w:rsidP="007B594B">
      <w:pPr>
        <w:rPr>
          <w:lang w:val="es-ES"/>
        </w:rPr>
      </w:pPr>
    </w:p>
    <w:p w14:paraId="69D8C666" w14:textId="77777777" w:rsidR="007B594B" w:rsidRPr="00537B4C" w:rsidRDefault="007B594B" w:rsidP="005E070D">
      <w:pPr>
        <w:pStyle w:val="Prrafodelista"/>
      </w:pPr>
      <w:r w:rsidRPr="00251CC8">
        <w:t xml:space="preserve">El </w:t>
      </w:r>
      <w:r w:rsidRPr="00251CC8">
        <w:rPr>
          <w:b/>
          <w:bCs/>
          <w:i/>
          <w:iCs/>
        </w:rPr>
        <w:t>representante</w:t>
      </w:r>
      <w:r w:rsidRPr="00251CC8">
        <w:t xml:space="preserve"> adujo que las primeras gestiones de investigación de las que se tiene registro son las exhumaciones realizadas en 1983, las cuales no se enmarcaron en ningún proceso penal</w:t>
      </w:r>
      <w:r>
        <w:t>.</w:t>
      </w:r>
      <w:r w:rsidRPr="00251CC8">
        <w:t xml:space="preserve"> Agregó el proceso penal ordinario no indagó sobre la desaparición forzada del señor Flores Bedregal. No se estableció concretamente los hechos del caso, ni los autores y tampoco se determinó el paradero de la presunta víctima</w:t>
      </w:r>
      <w:r w:rsidRPr="004424D7">
        <w:t>.</w:t>
      </w:r>
    </w:p>
    <w:p w14:paraId="3C401DA2" w14:textId="77777777" w:rsidR="007B594B" w:rsidRPr="00991C0C" w:rsidRDefault="007B594B" w:rsidP="007B594B">
      <w:pPr>
        <w:rPr>
          <w:lang w:val="es-ES"/>
        </w:rPr>
      </w:pPr>
    </w:p>
    <w:p w14:paraId="02BD9CE2" w14:textId="1D63645C" w:rsidR="007B594B" w:rsidRPr="007E6E68" w:rsidRDefault="007B594B" w:rsidP="005E070D">
      <w:pPr>
        <w:pStyle w:val="Prrafodelista"/>
      </w:pPr>
      <w:r w:rsidRPr="00537B4C">
        <w:t xml:space="preserve">Por su parte, el </w:t>
      </w:r>
      <w:r w:rsidRPr="00537B4C">
        <w:rPr>
          <w:b/>
          <w:bCs/>
          <w:i/>
          <w:iCs/>
        </w:rPr>
        <w:t>Estado</w:t>
      </w:r>
      <w:r w:rsidRPr="00537B4C">
        <w:t xml:space="preserve"> </w:t>
      </w:r>
      <w:r w:rsidR="00FD3224">
        <w:t>sostuvo</w:t>
      </w:r>
      <w:r w:rsidRPr="00537B4C">
        <w:t xml:space="preserve"> que se continúa con la búsqueda de los restos de Juan Carlos Flores Bedregal, </w:t>
      </w:r>
      <w:r w:rsidRPr="006B1CC6">
        <w:t>por lo</w:t>
      </w:r>
      <w:r>
        <w:t xml:space="preserve"> </w:t>
      </w:r>
      <w:r w:rsidRPr="00537B4C">
        <w:t xml:space="preserve">que se han realizado inspecciones técnicas oculares y exámenes periciales recientemente. </w:t>
      </w:r>
    </w:p>
    <w:p w14:paraId="3F383316" w14:textId="77777777" w:rsidR="007B594B" w:rsidRPr="00991C0C" w:rsidRDefault="007B594B" w:rsidP="007B594B">
      <w:pPr>
        <w:rPr>
          <w:lang w:val="es-ES"/>
        </w:rPr>
      </w:pPr>
    </w:p>
    <w:p w14:paraId="6A0CBA8B" w14:textId="77777777" w:rsidR="007B594B" w:rsidRDefault="007B594B" w:rsidP="00D62951">
      <w:pPr>
        <w:pStyle w:val="Ttulo2"/>
        <w:spacing w:before="0"/>
        <w:ind w:left="567"/>
        <w:rPr>
          <w:rFonts w:ascii="Verdana" w:hAnsi="Verdana" w:cs="Arial"/>
          <w:b/>
          <w:bCs/>
          <w:color w:val="000000" w:themeColor="text1"/>
          <w:sz w:val="20"/>
          <w:szCs w:val="20"/>
          <w:lang w:val="es-ES"/>
        </w:rPr>
      </w:pPr>
      <w:bookmarkStart w:id="139" w:name="_Toc125037488"/>
      <w:r w:rsidRPr="00773D3B">
        <w:rPr>
          <w:rFonts w:ascii="Verdana" w:hAnsi="Verdana" w:cs="Arial"/>
          <w:b/>
          <w:bCs/>
          <w:color w:val="000000" w:themeColor="text1"/>
          <w:sz w:val="20"/>
          <w:szCs w:val="20"/>
          <w:lang w:val="es-ES"/>
        </w:rPr>
        <w:t>B. Consideraciones de la Corte</w:t>
      </w:r>
      <w:bookmarkEnd w:id="139"/>
    </w:p>
    <w:p w14:paraId="055D5864" w14:textId="77777777" w:rsidR="007B594B" w:rsidRPr="0041715F" w:rsidRDefault="007B594B" w:rsidP="007B594B">
      <w:pPr>
        <w:rPr>
          <w:lang w:val="es-ES"/>
        </w:rPr>
      </w:pPr>
    </w:p>
    <w:p w14:paraId="6914AB66" w14:textId="7B678378" w:rsidR="007B594B" w:rsidRPr="00480CEB" w:rsidRDefault="007B594B" w:rsidP="005E070D">
      <w:pPr>
        <w:pStyle w:val="Prrafodelista"/>
      </w:pPr>
      <w:r w:rsidRPr="008B6395">
        <w:t>Este</w:t>
      </w:r>
      <w:r w:rsidRPr="008B6395">
        <w:rPr>
          <w:spacing w:val="-6"/>
        </w:rPr>
        <w:t xml:space="preserve"> </w:t>
      </w:r>
      <w:r w:rsidRPr="008B6395">
        <w:t>Tribunal</w:t>
      </w:r>
      <w:r w:rsidRPr="008B6395">
        <w:rPr>
          <w:spacing w:val="-6"/>
        </w:rPr>
        <w:t xml:space="preserve"> </w:t>
      </w:r>
      <w:r w:rsidRPr="008B6395">
        <w:t>recuerda</w:t>
      </w:r>
      <w:r w:rsidRPr="008B6395">
        <w:rPr>
          <w:spacing w:val="-9"/>
        </w:rPr>
        <w:t xml:space="preserve"> </w:t>
      </w:r>
      <w:r w:rsidRPr="008B6395">
        <w:t>que</w:t>
      </w:r>
      <w:r w:rsidRPr="008B6395">
        <w:rPr>
          <w:spacing w:val="-8"/>
        </w:rPr>
        <w:t xml:space="preserve"> </w:t>
      </w:r>
      <w:r w:rsidRPr="008B6395">
        <w:t>la</w:t>
      </w:r>
      <w:r w:rsidRPr="008B6395">
        <w:rPr>
          <w:spacing w:val="-9"/>
        </w:rPr>
        <w:t xml:space="preserve"> </w:t>
      </w:r>
      <w:r w:rsidRPr="008B6395">
        <w:t>obligación</w:t>
      </w:r>
      <w:r w:rsidRPr="008B6395">
        <w:rPr>
          <w:spacing w:val="-8"/>
        </w:rPr>
        <w:t xml:space="preserve"> </w:t>
      </w:r>
      <w:r w:rsidRPr="008B6395">
        <w:t>de</w:t>
      </w:r>
      <w:r w:rsidRPr="008B6395">
        <w:rPr>
          <w:spacing w:val="-10"/>
        </w:rPr>
        <w:t xml:space="preserve"> </w:t>
      </w:r>
      <w:r w:rsidRPr="008B6395">
        <w:t>investigar</w:t>
      </w:r>
      <w:r w:rsidRPr="008B6395">
        <w:rPr>
          <w:spacing w:val="-9"/>
        </w:rPr>
        <w:t xml:space="preserve"> </w:t>
      </w:r>
      <w:r w:rsidRPr="008B6395">
        <w:t>violaciones</w:t>
      </w:r>
      <w:r w:rsidRPr="008B6395">
        <w:rPr>
          <w:spacing w:val="-10"/>
        </w:rPr>
        <w:t xml:space="preserve"> </w:t>
      </w:r>
      <w:r w:rsidRPr="008B6395">
        <w:t>de</w:t>
      </w:r>
      <w:r w:rsidRPr="008B6395">
        <w:rPr>
          <w:spacing w:val="-10"/>
        </w:rPr>
        <w:t xml:space="preserve"> </w:t>
      </w:r>
      <w:r w:rsidRPr="008B6395">
        <w:t>derechos</w:t>
      </w:r>
      <w:r w:rsidRPr="008B6395">
        <w:rPr>
          <w:spacing w:val="-10"/>
        </w:rPr>
        <w:t xml:space="preserve"> </w:t>
      </w:r>
      <w:r w:rsidRPr="008B6395">
        <w:t>humanos</w:t>
      </w:r>
      <w:r w:rsidRPr="008B6395">
        <w:rPr>
          <w:spacing w:val="-7"/>
        </w:rPr>
        <w:t xml:space="preserve"> </w:t>
      </w:r>
      <w:r w:rsidRPr="008B6395">
        <w:t>es</w:t>
      </w:r>
      <w:r w:rsidRPr="008B6395">
        <w:rPr>
          <w:spacing w:val="-68"/>
        </w:rPr>
        <w:t xml:space="preserve">      </w:t>
      </w:r>
      <w:r w:rsidRPr="008B6395">
        <w:t xml:space="preserve"> una de las medidas positivas que deben adoptar los Estados para garantizar los derechos</w:t>
      </w:r>
      <w:r w:rsidRPr="008B6395">
        <w:rPr>
          <w:spacing w:val="1"/>
        </w:rPr>
        <w:t xml:space="preserve"> </w:t>
      </w:r>
      <w:r w:rsidRPr="008B6395">
        <w:t xml:space="preserve">reconocidos en la Convención </w:t>
      </w:r>
      <w:r w:rsidRPr="0041715F">
        <w:t>Americana</w:t>
      </w:r>
      <w:r w:rsidRPr="0041715F">
        <w:rPr>
          <w:vertAlign w:val="superscript"/>
        </w:rPr>
        <w:footnoteReference w:id="140"/>
      </w:r>
      <w:r w:rsidRPr="0041715F">
        <w:t>. Dicha obligación también se desprende de otros</w:t>
      </w:r>
      <w:r w:rsidRPr="0041715F">
        <w:rPr>
          <w:spacing w:val="1"/>
        </w:rPr>
        <w:t xml:space="preserve"> </w:t>
      </w:r>
      <w:r w:rsidRPr="0041715F">
        <w:t>instrumentos interamericanos. Así, en casos de desapariciones forzadas, tal obligación se ve</w:t>
      </w:r>
      <w:r w:rsidRPr="0041715F">
        <w:rPr>
          <w:spacing w:val="1"/>
        </w:rPr>
        <w:t xml:space="preserve"> </w:t>
      </w:r>
      <w:r w:rsidRPr="0041715F">
        <w:t>reforzada por el artículo I, inciso b), de la CIDFP. En congruencia con lo anterior, ante la</w:t>
      </w:r>
      <w:r w:rsidRPr="0041715F">
        <w:rPr>
          <w:spacing w:val="1"/>
        </w:rPr>
        <w:t xml:space="preserve"> </w:t>
      </w:r>
      <w:r w:rsidRPr="0041715F">
        <w:t>particular gravedad de la desaparición forzada de personas y la naturaleza de los derechos</w:t>
      </w:r>
      <w:r w:rsidRPr="0041715F">
        <w:rPr>
          <w:spacing w:val="1"/>
        </w:rPr>
        <w:t xml:space="preserve"> </w:t>
      </w:r>
      <w:r w:rsidRPr="0041715F">
        <w:t>lesionados, tanto</w:t>
      </w:r>
      <w:r w:rsidRPr="0041715F">
        <w:rPr>
          <w:spacing w:val="-7"/>
        </w:rPr>
        <w:t xml:space="preserve"> </w:t>
      </w:r>
      <w:r w:rsidRPr="0041715F">
        <w:t>la</w:t>
      </w:r>
      <w:r w:rsidRPr="0041715F">
        <w:rPr>
          <w:spacing w:val="-7"/>
        </w:rPr>
        <w:t xml:space="preserve"> </w:t>
      </w:r>
      <w:r w:rsidRPr="0041715F">
        <w:t>prohibición</w:t>
      </w:r>
      <w:r w:rsidRPr="0041715F">
        <w:rPr>
          <w:spacing w:val="-9"/>
        </w:rPr>
        <w:t xml:space="preserve"> </w:t>
      </w:r>
      <w:r w:rsidRPr="0041715F">
        <w:t>de</w:t>
      </w:r>
      <w:r w:rsidRPr="0041715F">
        <w:rPr>
          <w:spacing w:val="-9"/>
        </w:rPr>
        <w:t xml:space="preserve"> </w:t>
      </w:r>
      <w:r w:rsidRPr="0041715F">
        <w:t>su</w:t>
      </w:r>
      <w:r w:rsidRPr="0041715F">
        <w:rPr>
          <w:spacing w:val="-4"/>
        </w:rPr>
        <w:t xml:space="preserve"> </w:t>
      </w:r>
      <w:r w:rsidRPr="0041715F">
        <w:t>comisión,</w:t>
      </w:r>
      <w:r w:rsidRPr="0041715F">
        <w:rPr>
          <w:spacing w:val="-7"/>
        </w:rPr>
        <w:t xml:space="preserve"> </w:t>
      </w:r>
      <w:r w:rsidRPr="0041715F">
        <w:t xml:space="preserve">como </w:t>
      </w:r>
      <w:r w:rsidRPr="0041715F">
        <w:rPr>
          <w:spacing w:val="-68"/>
        </w:rPr>
        <w:t xml:space="preserve"> </w:t>
      </w:r>
      <w:r w:rsidRPr="0041715F">
        <w:t>el</w:t>
      </w:r>
      <w:r w:rsidRPr="0041715F">
        <w:rPr>
          <w:spacing w:val="1"/>
        </w:rPr>
        <w:t xml:space="preserve"> </w:t>
      </w:r>
      <w:r w:rsidRPr="0041715F">
        <w:t>correlativo</w:t>
      </w:r>
      <w:r w:rsidRPr="0041715F">
        <w:rPr>
          <w:spacing w:val="-2"/>
        </w:rPr>
        <w:t xml:space="preserve"> </w:t>
      </w:r>
      <w:r w:rsidRPr="0041715F">
        <w:t>deber</w:t>
      </w:r>
      <w:r w:rsidRPr="0041715F">
        <w:rPr>
          <w:spacing w:val="-2"/>
        </w:rPr>
        <w:t xml:space="preserve"> </w:t>
      </w:r>
      <w:r w:rsidRPr="0041715F">
        <w:t>de</w:t>
      </w:r>
      <w:r w:rsidRPr="0041715F">
        <w:rPr>
          <w:spacing w:val="-3"/>
        </w:rPr>
        <w:t xml:space="preserve"> </w:t>
      </w:r>
      <w:r w:rsidRPr="0041715F">
        <w:t>investigar</w:t>
      </w:r>
      <w:r w:rsidRPr="0041715F">
        <w:rPr>
          <w:spacing w:val="-2"/>
        </w:rPr>
        <w:t xml:space="preserve"> </w:t>
      </w:r>
      <w:r w:rsidRPr="0041715F">
        <w:t>y</w:t>
      </w:r>
      <w:r w:rsidRPr="0041715F">
        <w:rPr>
          <w:spacing w:val="1"/>
        </w:rPr>
        <w:t xml:space="preserve"> </w:t>
      </w:r>
      <w:r w:rsidRPr="0041715F">
        <w:t>sancionar</w:t>
      </w:r>
      <w:r w:rsidRPr="0041715F">
        <w:rPr>
          <w:spacing w:val="-2"/>
        </w:rPr>
        <w:t xml:space="preserve"> </w:t>
      </w:r>
      <w:r w:rsidRPr="0041715F">
        <w:t>a</w:t>
      </w:r>
      <w:r w:rsidRPr="0041715F">
        <w:rPr>
          <w:spacing w:val="1"/>
        </w:rPr>
        <w:t xml:space="preserve"> </w:t>
      </w:r>
      <w:r w:rsidRPr="0041715F">
        <w:t>los</w:t>
      </w:r>
      <w:r w:rsidRPr="0041715F">
        <w:rPr>
          <w:spacing w:val="-2"/>
        </w:rPr>
        <w:t xml:space="preserve"> </w:t>
      </w:r>
      <w:r w:rsidRPr="0041715F">
        <w:t>responsables</w:t>
      </w:r>
      <w:r w:rsidRPr="0041715F">
        <w:rPr>
          <w:spacing w:val="-8"/>
        </w:rPr>
        <w:t xml:space="preserve"> </w:t>
      </w:r>
      <w:r w:rsidRPr="0041715F">
        <w:t>han</w:t>
      </w:r>
      <w:r w:rsidRPr="0041715F">
        <w:rPr>
          <w:spacing w:val="-7"/>
        </w:rPr>
        <w:t xml:space="preserve"> </w:t>
      </w:r>
      <w:r w:rsidRPr="0041715F">
        <w:t>alcanzado</w:t>
      </w:r>
      <w:r w:rsidRPr="0041715F">
        <w:rPr>
          <w:spacing w:val="-9"/>
        </w:rPr>
        <w:t xml:space="preserve"> </w:t>
      </w:r>
      <w:r w:rsidRPr="0041715F">
        <w:t>el</w:t>
      </w:r>
      <w:r w:rsidRPr="0041715F">
        <w:rPr>
          <w:spacing w:val="-4"/>
        </w:rPr>
        <w:t xml:space="preserve"> </w:t>
      </w:r>
      <w:r w:rsidRPr="0041715F">
        <w:t>carácter</w:t>
      </w:r>
      <w:r w:rsidRPr="0041715F">
        <w:rPr>
          <w:spacing w:val="-7"/>
        </w:rPr>
        <w:t xml:space="preserve"> </w:t>
      </w:r>
      <w:r w:rsidRPr="00773D3B">
        <w:t>de</w:t>
      </w:r>
      <w:r w:rsidRPr="00773D3B">
        <w:rPr>
          <w:spacing w:val="-9"/>
        </w:rPr>
        <w:t xml:space="preserve"> </w:t>
      </w:r>
      <w:r w:rsidRPr="00354604">
        <w:rPr>
          <w:i/>
        </w:rPr>
        <w:t>ius</w:t>
      </w:r>
      <w:r w:rsidRPr="00354604">
        <w:rPr>
          <w:i/>
          <w:spacing w:val="-8"/>
        </w:rPr>
        <w:t xml:space="preserve"> </w:t>
      </w:r>
      <w:r w:rsidRPr="00013D7F">
        <w:rPr>
          <w:i/>
        </w:rPr>
        <w:t>cogens</w:t>
      </w:r>
      <w:r w:rsidRPr="00013D7F">
        <w:rPr>
          <w:color w:val="FF0000"/>
        </w:rPr>
        <w:t xml:space="preserve"> </w:t>
      </w:r>
      <w:r w:rsidR="001C7D88" w:rsidRPr="00013D7F">
        <w:t>(</w:t>
      </w:r>
      <w:r w:rsidR="001C7D88" w:rsidRPr="00013D7F">
        <w:rPr>
          <w:i/>
          <w:iCs/>
        </w:rPr>
        <w:t>supra</w:t>
      </w:r>
      <w:r w:rsidR="001C7D88" w:rsidRPr="00013D7F">
        <w:t xml:space="preserve"> párr. 78).</w:t>
      </w:r>
    </w:p>
    <w:p w14:paraId="5900554D" w14:textId="77777777" w:rsidR="007B594B" w:rsidRPr="00991C0C" w:rsidRDefault="007B594B" w:rsidP="007B594B">
      <w:pPr>
        <w:rPr>
          <w:lang w:val="es-ES"/>
        </w:rPr>
      </w:pPr>
    </w:p>
    <w:p w14:paraId="7CD53E5D" w14:textId="6AB63590" w:rsidR="007B594B" w:rsidRDefault="007B594B" w:rsidP="005E070D">
      <w:pPr>
        <w:pStyle w:val="Prrafodelista"/>
      </w:pPr>
      <w:r w:rsidRPr="00537B4C">
        <w:t>La Corte considera que el cumplimiento del deber de los Estados de investigar y</w:t>
      </w:r>
      <w:r w:rsidRPr="00537B4C">
        <w:rPr>
          <w:spacing w:val="1"/>
        </w:rPr>
        <w:t xml:space="preserve"> </w:t>
      </w:r>
      <w:r w:rsidRPr="00537B4C">
        <w:t>sancionar las graves violaciones a los derechos humanos, como las del presente caso,</w:t>
      </w:r>
      <w:r w:rsidRPr="00537B4C">
        <w:rPr>
          <w:spacing w:val="1"/>
        </w:rPr>
        <w:t xml:space="preserve"> </w:t>
      </w:r>
      <w:r w:rsidRPr="00537B4C">
        <w:t>configura no solo una obligación internacional, sino que provee elementos imprescindibles</w:t>
      </w:r>
      <w:r w:rsidRPr="00537B4C">
        <w:rPr>
          <w:spacing w:val="1"/>
        </w:rPr>
        <w:t xml:space="preserve"> </w:t>
      </w:r>
      <w:r w:rsidRPr="00537B4C">
        <w:t>para consolidar una política integral en materias de derecho a la verdad, acceso a la justicia,</w:t>
      </w:r>
      <w:r w:rsidRPr="00BB7208">
        <w:t xml:space="preserve"> </w:t>
      </w:r>
      <w:r w:rsidRPr="00537B4C">
        <w:t>medidas efectivas de reparación y garantías de no repetición. Así, los procesos judiciales</w:t>
      </w:r>
      <w:r w:rsidRPr="00BB7208">
        <w:t xml:space="preserve"> </w:t>
      </w:r>
      <w:r w:rsidRPr="00537B4C">
        <w:t>dirigidos a esclarecer lo sucedido en contextos de violaciones sistemáticas a los derechos</w:t>
      </w:r>
      <w:r w:rsidRPr="00537B4C">
        <w:rPr>
          <w:spacing w:val="1"/>
        </w:rPr>
        <w:t xml:space="preserve"> </w:t>
      </w:r>
      <w:r w:rsidRPr="00537B4C">
        <w:t>humanos pueden propiciar un espacio de denuncia pública y rendición de cuentas por las</w:t>
      </w:r>
      <w:r w:rsidRPr="00537B4C">
        <w:rPr>
          <w:spacing w:val="1"/>
        </w:rPr>
        <w:t xml:space="preserve"> </w:t>
      </w:r>
      <w:r w:rsidRPr="00537B4C">
        <w:t>arbitrariedades</w:t>
      </w:r>
      <w:r w:rsidRPr="00537B4C">
        <w:rPr>
          <w:spacing w:val="-5"/>
        </w:rPr>
        <w:t xml:space="preserve"> </w:t>
      </w:r>
      <w:r w:rsidRPr="00537B4C">
        <w:t>cometidas;</w:t>
      </w:r>
      <w:r w:rsidRPr="00537B4C">
        <w:rPr>
          <w:spacing w:val="-5"/>
        </w:rPr>
        <w:t xml:space="preserve"> </w:t>
      </w:r>
      <w:r w:rsidRPr="00537B4C">
        <w:t>fomentan</w:t>
      </w:r>
      <w:r w:rsidRPr="00537B4C">
        <w:rPr>
          <w:spacing w:val="-5"/>
        </w:rPr>
        <w:t xml:space="preserve"> </w:t>
      </w:r>
      <w:r w:rsidRPr="00537B4C">
        <w:t>la</w:t>
      </w:r>
      <w:r w:rsidRPr="00537B4C">
        <w:rPr>
          <w:spacing w:val="-5"/>
        </w:rPr>
        <w:t xml:space="preserve"> </w:t>
      </w:r>
      <w:r w:rsidRPr="00537B4C">
        <w:t>confianza</w:t>
      </w:r>
      <w:r w:rsidRPr="00537B4C">
        <w:rPr>
          <w:spacing w:val="-6"/>
        </w:rPr>
        <w:t xml:space="preserve"> </w:t>
      </w:r>
      <w:r w:rsidRPr="00537B4C">
        <w:t>de</w:t>
      </w:r>
      <w:r w:rsidRPr="00537B4C">
        <w:rPr>
          <w:spacing w:val="-4"/>
        </w:rPr>
        <w:t xml:space="preserve"> </w:t>
      </w:r>
      <w:r w:rsidRPr="00537B4C">
        <w:t>la</w:t>
      </w:r>
      <w:r w:rsidRPr="00537B4C">
        <w:rPr>
          <w:spacing w:val="-6"/>
        </w:rPr>
        <w:t xml:space="preserve"> </w:t>
      </w:r>
      <w:r w:rsidRPr="00537B4C">
        <w:t>sociedad</w:t>
      </w:r>
      <w:r w:rsidRPr="00537B4C">
        <w:rPr>
          <w:spacing w:val="-5"/>
        </w:rPr>
        <w:t xml:space="preserve"> </w:t>
      </w:r>
      <w:r w:rsidRPr="00537B4C">
        <w:t>en</w:t>
      </w:r>
      <w:r w:rsidRPr="00537B4C">
        <w:rPr>
          <w:spacing w:val="-3"/>
        </w:rPr>
        <w:t xml:space="preserve"> </w:t>
      </w:r>
      <w:r w:rsidRPr="00537B4C">
        <w:t>el</w:t>
      </w:r>
      <w:r w:rsidRPr="00537B4C">
        <w:rPr>
          <w:spacing w:val="-3"/>
        </w:rPr>
        <w:t xml:space="preserve"> </w:t>
      </w:r>
      <w:r w:rsidRPr="00537B4C">
        <w:t>régimen</w:t>
      </w:r>
      <w:r w:rsidRPr="00537B4C">
        <w:rPr>
          <w:spacing w:val="-5"/>
        </w:rPr>
        <w:t xml:space="preserve"> </w:t>
      </w:r>
      <w:r w:rsidRPr="00537B4C">
        <w:t>de</w:t>
      </w:r>
      <w:r w:rsidRPr="00537B4C">
        <w:rPr>
          <w:spacing w:val="-4"/>
        </w:rPr>
        <w:t xml:space="preserve"> </w:t>
      </w:r>
      <w:r w:rsidRPr="00537B4C">
        <w:t>legalidad</w:t>
      </w:r>
      <w:r w:rsidRPr="00537B4C">
        <w:rPr>
          <w:spacing w:val="-6"/>
        </w:rPr>
        <w:t xml:space="preserve"> </w:t>
      </w:r>
      <w:r w:rsidRPr="00537B4C">
        <w:t>y en la labor</w:t>
      </w:r>
      <w:r w:rsidRPr="00537B4C">
        <w:rPr>
          <w:spacing w:val="-7"/>
        </w:rPr>
        <w:t xml:space="preserve"> </w:t>
      </w:r>
      <w:r w:rsidRPr="00537B4C">
        <w:t>de</w:t>
      </w:r>
      <w:r w:rsidRPr="00537B4C">
        <w:rPr>
          <w:spacing w:val="-5"/>
        </w:rPr>
        <w:t xml:space="preserve"> </w:t>
      </w:r>
      <w:r w:rsidRPr="00537B4C">
        <w:t>sus</w:t>
      </w:r>
      <w:r w:rsidRPr="00537B4C">
        <w:rPr>
          <w:spacing w:val="-6"/>
        </w:rPr>
        <w:t xml:space="preserve"> </w:t>
      </w:r>
      <w:r w:rsidRPr="00537B4C">
        <w:t>autoridades,</w:t>
      </w:r>
      <w:r w:rsidRPr="00537B4C">
        <w:rPr>
          <w:spacing w:val="-7"/>
        </w:rPr>
        <w:t xml:space="preserve"> </w:t>
      </w:r>
      <w:r w:rsidRPr="00537B4C">
        <w:t>legitimando</w:t>
      </w:r>
      <w:r w:rsidRPr="00537B4C">
        <w:rPr>
          <w:spacing w:val="-7"/>
        </w:rPr>
        <w:t xml:space="preserve"> </w:t>
      </w:r>
      <w:r w:rsidRPr="00537B4C">
        <w:t>su</w:t>
      </w:r>
      <w:r w:rsidRPr="00537B4C">
        <w:rPr>
          <w:spacing w:val="-5"/>
        </w:rPr>
        <w:t xml:space="preserve"> </w:t>
      </w:r>
      <w:r w:rsidRPr="00537B4C">
        <w:t>actuación;</w:t>
      </w:r>
      <w:r w:rsidRPr="00537B4C">
        <w:rPr>
          <w:spacing w:val="-5"/>
        </w:rPr>
        <w:t xml:space="preserve"> </w:t>
      </w:r>
      <w:r w:rsidRPr="00537B4C">
        <w:t>permiten</w:t>
      </w:r>
      <w:r w:rsidRPr="00537B4C">
        <w:rPr>
          <w:spacing w:val="-5"/>
        </w:rPr>
        <w:t xml:space="preserve"> </w:t>
      </w:r>
      <w:r w:rsidRPr="00537B4C">
        <w:t>procesos</w:t>
      </w:r>
      <w:r w:rsidRPr="00537B4C">
        <w:rPr>
          <w:spacing w:val="-7"/>
        </w:rPr>
        <w:t xml:space="preserve"> </w:t>
      </w:r>
      <w:r w:rsidRPr="00537B4C">
        <w:t>de</w:t>
      </w:r>
      <w:r w:rsidRPr="00537B4C">
        <w:rPr>
          <w:spacing w:val="-7"/>
        </w:rPr>
        <w:t xml:space="preserve"> </w:t>
      </w:r>
      <w:r w:rsidRPr="00537B4C">
        <w:t xml:space="preserve">reconciliación </w:t>
      </w:r>
      <w:r w:rsidRPr="00537B4C">
        <w:rPr>
          <w:spacing w:val="-68"/>
        </w:rPr>
        <w:t xml:space="preserve"> </w:t>
      </w:r>
      <w:r w:rsidRPr="00537B4C">
        <w:t>social sobre la base del conocimiento de la verdad de lo sucedido y de la dignificación de las</w:t>
      </w:r>
      <w:r w:rsidRPr="00537B4C">
        <w:rPr>
          <w:spacing w:val="1"/>
        </w:rPr>
        <w:t xml:space="preserve"> </w:t>
      </w:r>
      <w:r w:rsidRPr="00537B4C">
        <w:t>víctimas y, en</w:t>
      </w:r>
      <w:r w:rsidRPr="00537B4C">
        <w:rPr>
          <w:spacing w:val="-1"/>
        </w:rPr>
        <w:t xml:space="preserve"> </w:t>
      </w:r>
      <w:r w:rsidRPr="00537B4C">
        <w:t>definitiva,</w:t>
      </w:r>
      <w:r w:rsidRPr="00537B4C">
        <w:rPr>
          <w:spacing w:val="-3"/>
        </w:rPr>
        <w:t xml:space="preserve"> </w:t>
      </w:r>
      <w:r w:rsidRPr="00537B4C">
        <w:t>fortalecen</w:t>
      </w:r>
      <w:r w:rsidRPr="00537B4C">
        <w:rPr>
          <w:spacing w:val="-1"/>
        </w:rPr>
        <w:t xml:space="preserve"> </w:t>
      </w:r>
      <w:r w:rsidRPr="00537B4C">
        <w:t>la</w:t>
      </w:r>
      <w:r w:rsidRPr="00537B4C">
        <w:rPr>
          <w:spacing w:val="-2"/>
        </w:rPr>
        <w:t xml:space="preserve"> </w:t>
      </w:r>
      <w:r w:rsidRPr="00537B4C">
        <w:t>cohesión</w:t>
      </w:r>
      <w:r w:rsidRPr="00537B4C">
        <w:rPr>
          <w:spacing w:val="-1"/>
        </w:rPr>
        <w:t xml:space="preserve"> </w:t>
      </w:r>
      <w:r w:rsidRPr="00537B4C">
        <w:t>colectiva</w:t>
      </w:r>
      <w:r w:rsidRPr="00537B4C">
        <w:rPr>
          <w:spacing w:val="-3"/>
        </w:rPr>
        <w:t xml:space="preserve"> </w:t>
      </w:r>
      <w:r w:rsidRPr="00537B4C">
        <w:t>y el</w:t>
      </w:r>
      <w:r w:rsidRPr="00537B4C">
        <w:rPr>
          <w:spacing w:val="1"/>
        </w:rPr>
        <w:t xml:space="preserve"> </w:t>
      </w:r>
      <w:r w:rsidRPr="00537B4C">
        <w:t>Estado</w:t>
      </w:r>
      <w:r w:rsidRPr="00537B4C">
        <w:rPr>
          <w:spacing w:val="-1"/>
        </w:rPr>
        <w:t xml:space="preserve"> </w:t>
      </w:r>
      <w:r w:rsidRPr="00537B4C">
        <w:t>de</w:t>
      </w:r>
      <w:r w:rsidRPr="00537B4C">
        <w:rPr>
          <w:spacing w:val="-3"/>
        </w:rPr>
        <w:t xml:space="preserve"> </w:t>
      </w:r>
      <w:r w:rsidRPr="00537B4C">
        <w:t>derecho</w:t>
      </w:r>
      <w:r w:rsidRPr="0041715F">
        <w:rPr>
          <w:vertAlign w:val="superscript"/>
        </w:rPr>
        <w:footnoteReference w:id="141"/>
      </w:r>
      <w:r w:rsidRPr="00537B4C">
        <w:t>.</w:t>
      </w:r>
    </w:p>
    <w:p w14:paraId="1BC67C5C" w14:textId="77777777" w:rsidR="007B594B" w:rsidRPr="00991C0C" w:rsidRDefault="007B594B" w:rsidP="007B594B">
      <w:pPr>
        <w:rPr>
          <w:lang w:val="es-ES"/>
        </w:rPr>
      </w:pPr>
    </w:p>
    <w:p w14:paraId="289D9197" w14:textId="280D4AD6" w:rsidR="007B594B" w:rsidRDefault="007B594B" w:rsidP="005E070D">
      <w:pPr>
        <w:pStyle w:val="Prrafodelista"/>
      </w:pPr>
      <w:r w:rsidRPr="00537B4C">
        <w:rPr>
          <w:rFonts w:eastAsia="Helvetica Neue" w:cs="Helvetica Neue"/>
        </w:rPr>
        <w:t xml:space="preserve">En consideración de las alegaciones </w:t>
      </w:r>
      <w:r w:rsidRPr="00013D7F">
        <w:rPr>
          <w:rFonts w:eastAsia="Helvetica Neue" w:cs="Helvetica Neue"/>
        </w:rPr>
        <w:t xml:space="preserve">de las partes y la Comisión, </w:t>
      </w:r>
      <w:r w:rsidRPr="00013D7F">
        <w:t>la Corte se pronunciará sobre algunos aspectos relevantes respecto a la investigación de los hechos en el proceso pena</w:t>
      </w:r>
      <w:r w:rsidRPr="00013D7F">
        <w:rPr>
          <w:rFonts w:cs="Verdana"/>
        </w:rPr>
        <w:t xml:space="preserve">l “Ministerio Público </w:t>
      </w:r>
      <w:r w:rsidR="00FB5A4F" w:rsidRPr="00013D7F">
        <w:t>c/</w:t>
      </w:r>
      <w:r w:rsidRPr="00013D7F">
        <w:t xml:space="preserve"> Franz Pizarro Solano y otros”, y se centrará </w:t>
      </w:r>
      <w:r w:rsidR="00F20363">
        <w:t xml:space="preserve">en </w:t>
      </w:r>
      <w:r w:rsidRPr="00013D7F">
        <w:t xml:space="preserve">el estudio de las violaciones alegadas en el </w:t>
      </w:r>
      <w:r w:rsidRPr="00013D7F">
        <w:lastRenderedPageBreak/>
        <w:t>siguiente orden: a) cumplimiento del deber</w:t>
      </w:r>
      <w:r w:rsidRPr="00537B4C">
        <w:t xml:space="preserve"> de investigar</w:t>
      </w:r>
      <w:r w:rsidR="002A471B" w:rsidRPr="004B5F3E">
        <w:t>,</w:t>
      </w:r>
      <w:r w:rsidR="002A471B" w:rsidRPr="00FB5A4F">
        <w:rPr>
          <w:b/>
          <w:bCs/>
        </w:rPr>
        <w:t xml:space="preserve"> </w:t>
      </w:r>
      <w:r w:rsidR="002A471B" w:rsidRPr="004B5F3E">
        <w:t>juzgar y, en su caso,</w:t>
      </w:r>
      <w:r w:rsidR="00FB5A4F">
        <w:t xml:space="preserve"> </w:t>
      </w:r>
      <w:r w:rsidRPr="00537B4C">
        <w:t>sancionar la desaparición forzada de personas</w:t>
      </w:r>
      <w:r>
        <w:t xml:space="preserve"> </w:t>
      </w:r>
      <w:r w:rsidRPr="004B5F3E">
        <w:t>en un plazo</w:t>
      </w:r>
      <w:r w:rsidRPr="004B5F3E">
        <w:rPr>
          <w:spacing w:val="1"/>
        </w:rPr>
        <w:t xml:space="preserve"> </w:t>
      </w:r>
      <w:r w:rsidRPr="004B5F3E">
        <w:t>razonable</w:t>
      </w:r>
      <w:r w:rsidRPr="00537B4C">
        <w:t>; b) tipificación del delito de desaparición</w:t>
      </w:r>
      <w:r w:rsidRPr="00537B4C">
        <w:rPr>
          <w:spacing w:val="1"/>
        </w:rPr>
        <w:t xml:space="preserve"> </w:t>
      </w:r>
      <w:r w:rsidRPr="00537B4C">
        <w:t>forzada</w:t>
      </w:r>
      <w:r w:rsidRPr="00537B4C">
        <w:rPr>
          <w:spacing w:val="-3"/>
        </w:rPr>
        <w:t xml:space="preserve"> </w:t>
      </w:r>
      <w:r w:rsidRPr="00537B4C">
        <w:t>de</w:t>
      </w:r>
      <w:r w:rsidRPr="00537B4C">
        <w:rPr>
          <w:spacing w:val="-7"/>
        </w:rPr>
        <w:t xml:space="preserve"> </w:t>
      </w:r>
      <w:r w:rsidRPr="00537B4C">
        <w:t>personas</w:t>
      </w:r>
      <w:r w:rsidRPr="00537B4C">
        <w:rPr>
          <w:spacing w:val="-4"/>
        </w:rPr>
        <w:t xml:space="preserve"> </w:t>
      </w:r>
      <w:r w:rsidRPr="00537B4C">
        <w:t>y</w:t>
      </w:r>
      <w:r w:rsidRPr="00537B4C">
        <w:rPr>
          <w:spacing w:val="-3"/>
        </w:rPr>
        <w:t xml:space="preserve"> </w:t>
      </w:r>
      <w:r w:rsidRPr="00537B4C">
        <w:t>su</w:t>
      </w:r>
      <w:r w:rsidRPr="00537B4C">
        <w:rPr>
          <w:spacing w:val="-2"/>
        </w:rPr>
        <w:t xml:space="preserve"> </w:t>
      </w:r>
      <w:r w:rsidRPr="00537B4C">
        <w:t>falta</w:t>
      </w:r>
      <w:r w:rsidRPr="00537B4C">
        <w:rPr>
          <w:spacing w:val="-4"/>
        </w:rPr>
        <w:t xml:space="preserve"> </w:t>
      </w:r>
      <w:r w:rsidRPr="00537B4C">
        <w:t>de</w:t>
      </w:r>
      <w:r w:rsidRPr="00537B4C">
        <w:rPr>
          <w:spacing w:val="-7"/>
        </w:rPr>
        <w:t xml:space="preserve"> </w:t>
      </w:r>
      <w:r w:rsidRPr="00537B4C">
        <w:t>aplicación</w:t>
      </w:r>
      <w:r w:rsidRPr="00537B4C">
        <w:rPr>
          <w:spacing w:val="-4"/>
        </w:rPr>
        <w:t xml:space="preserve"> </w:t>
      </w:r>
      <w:r w:rsidRPr="00537B4C">
        <w:t>al</w:t>
      </w:r>
      <w:r w:rsidRPr="00537B4C">
        <w:rPr>
          <w:spacing w:val="-3"/>
        </w:rPr>
        <w:t xml:space="preserve"> </w:t>
      </w:r>
      <w:r w:rsidRPr="00537B4C">
        <w:t>caso</w:t>
      </w:r>
      <w:r w:rsidRPr="00537B4C">
        <w:rPr>
          <w:spacing w:val="-2"/>
        </w:rPr>
        <w:t xml:space="preserve"> </w:t>
      </w:r>
      <w:r w:rsidRPr="00537B4C">
        <w:t>concreto, y c) búsqueda del paradero o de los restos de Juan Carlos Flores Bedregal, y</w:t>
      </w:r>
      <w:r w:rsidRPr="00537B4C">
        <w:rPr>
          <w:spacing w:val="1"/>
        </w:rPr>
        <w:t xml:space="preserve"> </w:t>
      </w:r>
      <w:r w:rsidRPr="00537B4C">
        <w:t>el</w:t>
      </w:r>
      <w:r w:rsidRPr="00537B4C">
        <w:rPr>
          <w:spacing w:val="1"/>
        </w:rPr>
        <w:t xml:space="preserve"> </w:t>
      </w:r>
      <w:r w:rsidRPr="00537B4C">
        <w:t>derecho</w:t>
      </w:r>
      <w:r w:rsidRPr="00537B4C">
        <w:rPr>
          <w:spacing w:val="-2"/>
        </w:rPr>
        <w:t xml:space="preserve"> </w:t>
      </w:r>
      <w:r w:rsidRPr="00537B4C">
        <w:t>de</w:t>
      </w:r>
      <w:r w:rsidRPr="00537B4C">
        <w:rPr>
          <w:spacing w:val="-3"/>
        </w:rPr>
        <w:t xml:space="preserve"> </w:t>
      </w:r>
      <w:r w:rsidRPr="00537B4C">
        <w:t>los</w:t>
      </w:r>
      <w:r w:rsidRPr="00537B4C">
        <w:rPr>
          <w:spacing w:val="-2"/>
        </w:rPr>
        <w:t xml:space="preserve"> </w:t>
      </w:r>
      <w:r w:rsidRPr="00537B4C">
        <w:t>familiares</w:t>
      </w:r>
      <w:r w:rsidRPr="00537B4C">
        <w:rPr>
          <w:spacing w:val="-2"/>
        </w:rPr>
        <w:t xml:space="preserve"> </w:t>
      </w:r>
      <w:r w:rsidRPr="00537B4C">
        <w:t>a</w:t>
      </w:r>
      <w:r w:rsidRPr="00537B4C">
        <w:rPr>
          <w:spacing w:val="1"/>
        </w:rPr>
        <w:t xml:space="preserve"> </w:t>
      </w:r>
      <w:r w:rsidRPr="00537B4C">
        <w:t>conocer la</w:t>
      </w:r>
      <w:r w:rsidRPr="00537B4C">
        <w:rPr>
          <w:spacing w:val="-2"/>
        </w:rPr>
        <w:t xml:space="preserve"> </w:t>
      </w:r>
      <w:r w:rsidRPr="00537B4C">
        <w:t>verdad.</w:t>
      </w:r>
    </w:p>
    <w:p w14:paraId="3FE7223A" w14:textId="77777777" w:rsidR="007B594B" w:rsidRPr="00991C0C" w:rsidRDefault="007B594B" w:rsidP="007B594B">
      <w:pPr>
        <w:rPr>
          <w:lang w:val="es-ES"/>
        </w:rPr>
      </w:pPr>
    </w:p>
    <w:p w14:paraId="2118D2C7" w14:textId="77777777" w:rsidR="007B594B" w:rsidRPr="00537B4C" w:rsidRDefault="007B594B" w:rsidP="007B594B">
      <w:pPr>
        <w:pStyle w:val="Ttulo3"/>
        <w:spacing w:before="0"/>
        <w:ind w:left="708"/>
        <w:rPr>
          <w:rFonts w:ascii="Verdana" w:hAnsi="Verdana" w:cs="Arial"/>
          <w:b/>
          <w:bCs/>
          <w:color w:val="000000" w:themeColor="text1"/>
          <w:sz w:val="20"/>
          <w:szCs w:val="20"/>
          <w:lang w:val="es-ES"/>
        </w:rPr>
      </w:pPr>
      <w:bookmarkStart w:id="140" w:name="_Toc125037489"/>
      <w:r w:rsidRPr="00537B4C">
        <w:rPr>
          <w:rFonts w:ascii="Verdana" w:hAnsi="Verdana" w:cs="Arial"/>
          <w:b/>
          <w:bCs/>
          <w:color w:val="000000" w:themeColor="text1"/>
          <w:sz w:val="20"/>
          <w:szCs w:val="20"/>
          <w:lang w:val="es-ES"/>
        </w:rPr>
        <w:t xml:space="preserve">B.1. </w:t>
      </w:r>
      <w:r w:rsidRPr="00C61AC7">
        <w:rPr>
          <w:rFonts w:ascii="Verdana" w:hAnsi="Verdana" w:cs="Arial"/>
          <w:b/>
          <w:bCs/>
          <w:color w:val="000000" w:themeColor="text1"/>
          <w:sz w:val="20"/>
          <w:szCs w:val="20"/>
          <w:lang w:val="es-ES"/>
        </w:rPr>
        <w:t xml:space="preserve">Deber de investigar, juzgar y, en su caso, sancionar la desaparición </w:t>
      </w:r>
      <w:r w:rsidRPr="00B77138">
        <w:rPr>
          <w:rFonts w:ascii="Verdana" w:hAnsi="Verdana" w:cs="Arial"/>
          <w:b/>
          <w:bCs/>
          <w:color w:val="000000" w:themeColor="text1"/>
          <w:sz w:val="20"/>
          <w:szCs w:val="20"/>
          <w:lang w:val="es-ES"/>
        </w:rPr>
        <w:t>forzada</w:t>
      </w:r>
      <w:r w:rsidRPr="00C61AC7">
        <w:rPr>
          <w:rFonts w:ascii="Verdana" w:hAnsi="Verdana" w:cs="Arial"/>
          <w:b/>
          <w:bCs/>
          <w:color w:val="000000" w:themeColor="text1"/>
          <w:sz w:val="20"/>
          <w:szCs w:val="20"/>
          <w:lang w:val="es-ES"/>
        </w:rPr>
        <w:t xml:space="preserve"> de personas en un plazo razonable</w:t>
      </w:r>
      <w:bookmarkEnd w:id="140"/>
    </w:p>
    <w:p w14:paraId="505AEF9D" w14:textId="77777777" w:rsidR="007B594B" w:rsidRPr="00991C0C" w:rsidRDefault="007B594B" w:rsidP="007B594B">
      <w:pPr>
        <w:rPr>
          <w:lang w:val="es-ES"/>
        </w:rPr>
      </w:pPr>
    </w:p>
    <w:p w14:paraId="4BA73346" w14:textId="77777777" w:rsidR="007B594B" w:rsidRPr="0041715F" w:rsidRDefault="007B594B" w:rsidP="005E070D">
      <w:pPr>
        <w:pStyle w:val="Prrafodelista"/>
      </w:pPr>
      <w:r w:rsidRPr="00537B4C">
        <w:t xml:space="preserve">La Corte ha señalado que toda persona, </w:t>
      </w:r>
      <w:r w:rsidRPr="0041715F">
        <w:t>incluyendo los familiares de las víctimas de</w:t>
      </w:r>
      <w:r w:rsidRPr="0041715F">
        <w:rPr>
          <w:spacing w:val="1"/>
        </w:rPr>
        <w:t xml:space="preserve"> </w:t>
      </w:r>
      <w:r w:rsidRPr="0041715F">
        <w:t>violaciones a derechos humanos, tiene el derecho a conocer la verdad de lo sucedido</w:t>
      </w:r>
      <w:r w:rsidRPr="0041715F">
        <w:rPr>
          <w:vertAlign w:val="superscript"/>
        </w:rPr>
        <w:footnoteReference w:id="142"/>
      </w:r>
      <w:r w:rsidRPr="0041715F">
        <w:t>. En definitiva, el</w:t>
      </w:r>
      <w:r w:rsidRPr="0041715F">
        <w:rPr>
          <w:spacing w:val="1"/>
        </w:rPr>
        <w:t xml:space="preserve"> </w:t>
      </w:r>
      <w:r w:rsidRPr="0041715F">
        <w:t>derecho de acceso a la justicia debe asegurar, en tiempo razonable, el derecho de las</w:t>
      </w:r>
      <w:r w:rsidRPr="0041715F">
        <w:rPr>
          <w:spacing w:val="1"/>
        </w:rPr>
        <w:t xml:space="preserve"> </w:t>
      </w:r>
      <w:r w:rsidRPr="0041715F">
        <w:t>presuntas</w:t>
      </w:r>
      <w:r w:rsidRPr="0041715F">
        <w:rPr>
          <w:spacing w:val="-10"/>
        </w:rPr>
        <w:t xml:space="preserve"> </w:t>
      </w:r>
      <w:r w:rsidRPr="0041715F">
        <w:t>víctimas</w:t>
      </w:r>
      <w:r w:rsidRPr="0041715F">
        <w:rPr>
          <w:spacing w:val="-10"/>
        </w:rPr>
        <w:t xml:space="preserve"> </w:t>
      </w:r>
      <w:r w:rsidRPr="0041715F">
        <w:t>o</w:t>
      </w:r>
      <w:r w:rsidRPr="0041715F">
        <w:rPr>
          <w:spacing w:val="-8"/>
        </w:rPr>
        <w:t xml:space="preserve"> </w:t>
      </w:r>
      <w:r w:rsidRPr="0041715F">
        <w:t>sus</w:t>
      </w:r>
      <w:r w:rsidRPr="0041715F">
        <w:rPr>
          <w:spacing w:val="-9"/>
        </w:rPr>
        <w:t xml:space="preserve"> </w:t>
      </w:r>
      <w:r w:rsidRPr="0041715F">
        <w:t>familiares</w:t>
      </w:r>
      <w:r w:rsidRPr="0041715F">
        <w:rPr>
          <w:spacing w:val="-8"/>
        </w:rPr>
        <w:t xml:space="preserve"> </w:t>
      </w:r>
      <w:r w:rsidRPr="0041715F">
        <w:t>a</w:t>
      </w:r>
      <w:r w:rsidRPr="0041715F">
        <w:rPr>
          <w:spacing w:val="-9"/>
        </w:rPr>
        <w:t xml:space="preserve"> </w:t>
      </w:r>
      <w:r w:rsidRPr="0041715F">
        <w:t>que</w:t>
      </w:r>
      <w:r w:rsidRPr="0041715F">
        <w:rPr>
          <w:spacing w:val="-5"/>
        </w:rPr>
        <w:t xml:space="preserve"> </w:t>
      </w:r>
      <w:r w:rsidRPr="0041715F">
        <w:t>se</w:t>
      </w:r>
      <w:r w:rsidRPr="0041715F">
        <w:rPr>
          <w:spacing w:val="-8"/>
        </w:rPr>
        <w:t xml:space="preserve"> adopten las medidas</w:t>
      </w:r>
      <w:r w:rsidRPr="0041715F">
        <w:rPr>
          <w:spacing w:val="-9"/>
        </w:rPr>
        <w:t xml:space="preserve"> </w:t>
      </w:r>
      <w:r w:rsidRPr="0041715F">
        <w:t>necesarias</w:t>
      </w:r>
      <w:r w:rsidRPr="0041715F">
        <w:rPr>
          <w:spacing w:val="-10"/>
        </w:rPr>
        <w:t xml:space="preserve"> </w:t>
      </w:r>
      <w:r w:rsidRPr="0041715F">
        <w:t>para</w:t>
      </w:r>
      <w:r w:rsidRPr="0041715F">
        <w:rPr>
          <w:spacing w:val="-8"/>
        </w:rPr>
        <w:t xml:space="preserve"> </w:t>
      </w:r>
      <w:r w:rsidRPr="0041715F">
        <w:t>conocer</w:t>
      </w:r>
      <w:r w:rsidRPr="0041715F">
        <w:rPr>
          <w:spacing w:val="-10"/>
        </w:rPr>
        <w:t xml:space="preserve"> </w:t>
      </w:r>
      <w:r w:rsidRPr="0041715F">
        <w:t>la</w:t>
      </w:r>
      <w:r w:rsidRPr="0041715F">
        <w:rPr>
          <w:spacing w:val="-9"/>
        </w:rPr>
        <w:t xml:space="preserve"> </w:t>
      </w:r>
      <w:r w:rsidRPr="0041715F">
        <w:t>verdad</w:t>
      </w:r>
      <w:r w:rsidRPr="0041715F">
        <w:rPr>
          <w:spacing w:val="-3"/>
        </w:rPr>
        <w:t xml:space="preserve"> </w:t>
      </w:r>
      <w:r w:rsidRPr="0041715F">
        <w:t>e</w:t>
      </w:r>
      <w:r w:rsidRPr="0041715F">
        <w:rPr>
          <w:spacing w:val="-1"/>
        </w:rPr>
        <w:t xml:space="preserve"> </w:t>
      </w:r>
      <w:r w:rsidRPr="0041715F">
        <w:t>investigar,</w:t>
      </w:r>
      <w:r w:rsidRPr="0041715F">
        <w:rPr>
          <w:spacing w:val="-3"/>
        </w:rPr>
        <w:t xml:space="preserve"> </w:t>
      </w:r>
      <w:r w:rsidRPr="0041715F">
        <w:t>juzgar</w:t>
      </w:r>
      <w:r w:rsidRPr="0041715F">
        <w:rPr>
          <w:spacing w:val="-3"/>
        </w:rPr>
        <w:t xml:space="preserve"> </w:t>
      </w:r>
      <w:r w:rsidRPr="0041715F">
        <w:t>y</w:t>
      </w:r>
      <w:r w:rsidRPr="0041715F">
        <w:rPr>
          <w:spacing w:val="-1"/>
        </w:rPr>
        <w:t xml:space="preserve"> </w:t>
      </w:r>
      <w:r w:rsidRPr="0041715F">
        <w:t>en</w:t>
      </w:r>
      <w:r w:rsidRPr="0041715F">
        <w:rPr>
          <w:spacing w:val="-1"/>
        </w:rPr>
        <w:t xml:space="preserve"> </w:t>
      </w:r>
      <w:r w:rsidRPr="0041715F">
        <w:t>su</w:t>
      </w:r>
      <w:r w:rsidRPr="0041715F">
        <w:rPr>
          <w:spacing w:val="1"/>
        </w:rPr>
        <w:t xml:space="preserve"> </w:t>
      </w:r>
      <w:r w:rsidRPr="0041715F">
        <w:t>caso sancionar</w:t>
      </w:r>
      <w:r w:rsidRPr="0041715F">
        <w:rPr>
          <w:spacing w:val="-3"/>
        </w:rPr>
        <w:t xml:space="preserve"> </w:t>
      </w:r>
      <w:r w:rsidRPr="0041715F">
        <w:t>a</w:t>
      </w:r>
      <w:r w:rsidRPr="0041715F">
        <w:rPr>
          <w:spacing w:val="-3"/>
        </w:rPr>
        <w:t xml:space="preserve"> </w:t>
      </w:r>
      <w:r w:rsidRPr="0041715F">
        <w:t>los</w:t>
      </w:r>
      <w:r w:rsidRPr="0041715F">
        <w:rPr>
          <w:spacing w:val="-3"/>
        </w:rPr>
        <w:t xml:space="preserve"> </w:t>
      </w:r>
      <w:r w:rsidRPr="0041715F">
        <w:t>responsables</w:t>
      </w:r>
      <w:r w:rsidRPr="0041715F">
        <w:rPr>
          <w:vertAlign w:val="superscript"/>
        </w:rPr>
        <w:footnoteReference w:id="143"/>
      </w:r>
      <w:r w:rsidRPr="0041715F">
        <w:t>.</w:t>
      </w:r>
    </w:p>
    <w:p w14:paraId="6866EB14" w14:textId="77777777" w:rsidR="007B594B" w:rsidRPr="00991C0C" w:rsidRDefault="007B594B" w:rsidP="007B594B">
      <w:pPr>
        <w:rPr>
          <w:lang w:val="es-ES"/>
        </w:rPr>
      </w:pPr>
    </w:p>
    <w:p w14:paraId="4F55589F" w14:textId="52355763" w:rsidR="007B594B" w:rsidRDefault="007B594B" w:rsidP="005E070D">
      <w:pPr>
        <w:pStyle w:val="Prrafodelista"/>
      </w:pPr>
      <w:r w:rsidRPr="00B77138">
        <w:t>La obligación de investigar, juzgar y sancionar graves violaciones ha sido reconocida por los órganos de tratados</w:t>
      </w:r>
      <w:r w:rsidRPr="00B77138">
        <w:rPr>
          <w:b/>
          <w:bCs/>
        </w:rPr>
        <w:t xml:space="preserve"> </w:t>
      </w:r>
      <w:r w:rsidRPr="004B5F3E">
        <w:t>internacionales</w:t>
      </w:r>
      <w:r w:rsidRPr="00967372">
        <w:t xml:space="preserve"> para la protección de derechos humanos. </w:t>
      </w:r>
      <w:r w:rsidRPr="00B77138">
        <w:t>Concretamente</w:t>
      </w:r>
      <w:r w:rsidRPr="00967372">
        <w:t xml:space="preserve">, el Comité de Derechos Humanos de las Naciones Unidas estableció </w:t>
      </w:r>
      <w:r w:rsidRPr="00B77138">
        <w:t>desde sus primeros casos</w:t>
      </w:r>
      <w:r w:rsidRPr="00967372">
        <w:t xml:space="preserve"> que los Estados tienen el deber de investigar de buena fe las violaciones al Pacto Internacional de Derechos Civiles y Políticos, </w:t>
      </w:r>
      <w:r w:rsidRPr="00B77138">
        <w:t xml:space="preserve">y que la investigación y el juzgamiento mediante el proceso penal </w:t>
      </w:r>
      <w:r w:rsidRPr="00B77138">
        <w:rPr>
          <w:rFonts w:cs="ArialMT"/>
          <w:lang w:bidi="en-US"/>
        </w:rPr>
        <w:t>constituyen la vía adecuada y necesaria para esclarecer violaciones a los derechos humanos</w:t>
      </w:r>
      <w:r w:rsidRPr="00B77138">
        <w:rPr>
          <w:vertAlign w:val="superscript"/>
        </w:rPr>
        <w:footnoteReference w:id="144"/>
      </w:r>
      <w:r w:rsidRPr="00B77138">
        <w:t>.</w:t>
      </w:r>
      <w:r w:rsidRPr="00967372">
        <w:t xml:space="preserve"> El</w:t>
      </w:r>
      <w:r w:rsidRPr="00537B4C">
        <w:t xml:space="preserve"> Comité concluyó asimismo que</w:t>
      </w:r>
      <w:r w:rsidR="00631C3E">
        <w:t>,</w:t>
      </w:r>
      <w:r w:rsidRPr="00537B4C">
        <w:t xml:space="preserve"> en los casos de desapari</w:t>
      </w:r>
      <w:r w:rsidRPr="0041715F">
        <w:t>ción forzada</w:t>
      </w:r>
      <w:r w:rsidR="00631C3E">
        <w:t>,</w:t>
      </w:r>
      <w:r w:rsidRPr="0041715F">
        <w:t xml:space="preserve"> los Estados deben establecer lo ocurrido a las víctimas y juzgar a los </w:t>
      </w:r>
      <w:r w:rsidRPr="00B656AA">
        <w:t>responsables</w:t>
      </w:r>
      <w:r w:rsidRPr="00B77138">
        <w:rPr>
          <w:rFonts w:cs="ArialMT"/>
          <w:vertAlign w:val="superscript"/>
          <w:lang w:bidi="en-US"/>
        </w:rPr>
        <w:footnoteReference w:id="145"/>
      </w:r>
      <w:r w:rsidRPr="00B77138">
        <w:t>.</w:t>
      </w:r>
    </w:p>
    <w:p w14:paraId="104D6422" w14:textId="77777777" w:rsidR="007B594B" w:rsidRPr="00991C0C" w:rsidRDefault="007B594B" w:rsidP="007B594B">
      <w:pPr>
        <w:rPr>
          <w:lang w:val="es-ES"/>
        </w:rPr>
      </w:pPr>
    </w:p>
    <w:p w14:paraId="040717E4" w14:textId="77777777" w:rsidR="007B594B" w:rsidRPr="00BF5404" w:rsidRDefault="007B594B" w:rsidP="005E070D">
      <w:pPr>
        <w:pStyle w:val="Prrafodelista"/>
      </w:pPr>
      <w:r w:rsidRPr="00354604">
        <w:t xml:space="preserve">En ejercicio de su competencia </w:t>
      </w:r>
      <w:r w:rsidRPr="002F0723">
        <w:t xml:space="preserve">coadyuvante y </w:t>
      </w:r>
      <w:r w:rsidRPr="002F0723">
        <w:rPr>
          <w:rFonts w:cs="Arial"/>
        </w:rPr>
        <w:t>complementaria</w:t>
      </w:r>
      <w:r w:rsidRPr="002F0723">
        <w:t>, la Corte puede examinar los procesos internos a fin de evaluar el cumplimiento con el deber de investigar, juzgar y sancionar</w:t>
      </w:r>
      <w:r w:rsidRPr="002F0723">
        <w:rPr>
          <w:vertAlign w:val="superscript"/>
          <w:lang w:eastAsia="x-none"/>
        </w:rPr>
        <w:footnoteReference w:id="146"/>
      </w:r>
      <w:r w:rsidRPr="002F0723">
        <w:t xml:space="preserve"> la comisión de la desaparición forzada de personas. Entre los aspectos </w:t>
      </w:r>
      <w:r w:rsidRPr="00B25DFD">
        <w:t>a examinar se encuentran la competencia de las autoridades intervinientes y las diligencias seguidas,</w:t>
      </w:r>
      <w:r w:rsidRPr="00B25DFD">
        <w:rPr>
          <w:b/>
          <w:bCs/>
        </w:rPr>
        <w:t xml:space="preserve"> </w:t>
      </w:r>
      <w:r w:rsidRPr="004B5F3E">
        <w:t>siempre</w:t>
      </w:r>
      <w:r w:rsidRPr="00B25DFD">
        <w:rPr>
          <w:b/>
          <w:bCs/>
        </w:rPr>
        <w:t xml:space="preserve"> </w:t>
      </w:r>
      <w:r w:rsidRPr="00B25DFD">
        <w:t xml:space="preserve">que se aleguen falencias que puedan haber menoscabado la posibilidad de obtener y presentar pruebas </w:t>
      </w:r>
      <w:r w:rsidRPr="00354604">
        <w:t>para esclarecer los hechos y determinar responsabilidades, y de esa forma afectar la investigación en su conjunto</w:t>
      </w:r>
      <w:r w:rsidRPr="00BF5404">
        <w:rPr>
          <w:vertAlign w:val="superscript"/>
          <w:lang w:eastAsia="x-none"/>
        </w:rPr>
        <w:footnoteReference w:id="147"/>
      </w:r>
      <w:r w:rsidRPr="00BF5404">
        <w:t>.</w:t>
      </w:r>
    </w:p>
    <w:p w14:paraId="1F2C2766" w14:textId="77777777" w:rsidR="007B594B" w:rsidRPr="00991C0C" w:rsidRDefault="007B594B" w:rsidP="007B594B">
      <w:pPr>
        <w:rPr>
          <w:lang w:val="es-ES"/>
        </w:rPr>
      </w:pPr>
    </w:p>
    <w:p w14:paraId="7BF035EA" w14:textId="3B7C064A" w:rsidR="007B594B" w:rsidRPr="0041715F" w:rsidRDefault="007B594B" w:rsidP="005E070D">
      <w:pPr>
        <w:pStyle w:val="Prrafodelista"/>
      </w:pPr>
      <w:r w:rsidRPr="00537B4C">
        <w:t xml:space="preserve">En cuanto a la celeridad del proceso en general, este Tribunal ha señalado que el “plazo razonable” al que se refiere el artículo 8.1 de la Convención se debe apreciar en relación con la </w:t>
      </w:r>
      <w:r w:rsidRPr="00537B4C">
        <w:rPr>
          <w:bCs/>
          <w:snapToGrid w:val="0"/>
          <w:kern w:val="32"/>
          <w:lang w:eastAsia="es-ES"/>
        </w:rPr>
        <w:t>duración</w:t>
      </w:r>
      <w:r w:rsidRPr="00537B4C">
        <w:t xml:space="preserve"> total del procedimiento que se desarrolla hasta que se dicta la sentencia definitiva. El derecho de acceso a la justicia requiere que se alcance la solución de la controversia en tiempo razonable ya que una demora prolongada puede llegar a constituir, por sí misma, una violación de las garantías judiciales</w:t>
      </w:r>
      <w:r w:rsidRPr="0041715F">
        <w:rPr>
          <w:vertAlign w:val="superscript"/>
        </w:rPr>
        <w:footnoteReference w:id="148"/>
      </w:r>
      <w:r w:rsidRPr="00537B4C">
        <w:t xml:space="preserve">. </w:t>
      </w:r>
      <w:r w:rsidRPr="00537B4C">
        <w:rPr>
          <w:rFonts w:cs="Verdana"/>
        </w:rPr>
        <w:t xml:space="preserve">En ese sentido, la Corte usualmente ha considerado los siguientes </w:t>
      </w:r>
      <w:r w:rsidRPr="00537B4C">
        <w:rPr>
          <w:rFonts w:cs="Verdana"/>
        </w:rPr>
        <w:lastRenderedPageBreak/>
        <w:t>elementos para determinar la razonabilidad del plazo: a) la complejidad del asunto; b) la actividad procesal del interesado; c) la conducta de las autoridades judiciales, y d) la afectación generada en la situación jurídica de la persona involucrada en el proces</w:t>
      </w:r>
      <w:r w:rsidRPr="0056643F">
        <w:rPr>
          <w:rFonts w:cs="Verdana"/>
        </w:rPr>
        <w:t>o</w:t>
      </w:r>
      <w:r w:rsidRPr="002F0723">
        <w:rPr>
          <w:rFonts w:cs="Verdana"/>
        </w:rPr>
        <w:t>.</w:t>
      </w:r>
      <w:r w:rsidRPr="002F0723">
        <w:t xml:space="preserve"> La Corte recuerda que corresponde al Estado justificar, con fundamento en los criterios señalados, la razón por la cual ha requerido del tiempo transcurrido para tratar el caso y, de no demostrarlo, </w:t>
      </w:r>
      <w:r w:rsidRPr="004B5F3E">
        <w:t>e</w:t>
      </w:r>
      <w:r w:rsidR="00770EA6" w:rsidRPr="004B5F3E">
        <w:t>ste</w:t>
      </w:r>
      <w:r w:rsidRPr="004B5F3E">
        <w:t xml:space="preserve"> Tribunal</w:t>
      </w:r>
      <w:r w:rsidRPr="002F0723">
        <w:t xml:space="preserve"> tiene amplias atribuciones para hacer su propia estimación al respecto</w:t>
      </w:r>
      <w:r w:rsidRPr="002F0723">
        <w:rPr>
          <w:vertAlign w:val="superscript"/>
        </w:rPr>
        <w:footnoteReference w:id="149"/>
      </w:r>
      <w:r w:rsidRPr="002F0723">
        <w:t>.</w:t>
      </w:r>
    </w:p>
    <w:p w14:paraId="4951453F" w14:textId="77777777" w:rsidR="007B594B" w:rsidRPr="00991C0C" w:rsidRDefault="007B594B" w:rsidP="007B594B">
      <w:pPr>
        <w:rPr>
          <w:lang w:val="es-ES"/>
        </w:rPr>
      </w:pPr>
    </w:p>
    <w:p w14:paraId="4DDA69D0" w14:textId="77777777" w:rsidR="007B594B" w:rsidRPr="00510359" w:rsidRDefault="007B594B" w:rsidP="005E070D">
      <w:pPr>
        <w:pStyle w:val="Prrafodelista"/>
      </w:pPr>
      <w:r w:rsidRPr="00510359">
        <w:t>Con relación a la actividad procesal de las presuntas víctimas, este Tribunal ha señalado “que la interposición de recursos constituye un factor objetivo, que no debe ser atribuido ni a la presunta víctima ni al Estado demandado, sino que debe ser tomado como un elemento objetivo al determinar si la duración del procedimiento excedió el plazo razonable”</w:t>
      </w:r>
      <w:r w:rsidRPr="00510359">
        <w:rPr>
          <w:vertAlign w:val="superscript"/>
        </w:rPr>
        <w:footnoteReference w:id="150"/>
      </w:r>
      <w:r w:rsidRPr="00510359">
        <w:t>.</w:t>
      </w:r>
    </w:p>
    <w:p w14:paraId="4F1A27EE" w14:textId="77777777" w:rsidR="007B594B" w:rsidRPr="00991C0C" w:rsidRDefault="007B594B" w:rsidP="007B594B">
      <w:pPr>
        <w:rPr>
          <w:lang w:val="es-ES"/>
        </w:rPr>
      </w:pPr>
    </w:p>
    <w:p w14:paraId="397AA75C" w14:textId="22CF953B" w:rsidR="007B594B" w:rsidRPr="0041715F" w:rsidRDefault="007B594B" w:rsidP="005E070D">
      <w:pPr>
        <w:pStyle w:val="Prrafodelista"/>
      </w:pPr>
      <w:r w:rsidRPr="002F0723">
        <w:t>A efectos de analizar el plazo razonable, la Corte suele</w:t>
      </w:r>
      <w:r w:rsidRPr="00510359">
        <w:t xml:space="preserve"> </w:t>
      </w:r>
      <w:r w:rsidRPr="00510359">
        <w:rPr>
          <w:rFonts w:cs="Arial"/>
          <w:lang w:eastAsia="es-MX"/>
        </w:rPr>
        <w:t>considerar</w:t>
      </w:r>
      <w:r w:rsidRPr="00510359">
        <w:t xml:space="preserve"> la duración global del proceso hasta la sentencia definitiva</w:t>
      </w:r>
      <w:r w:rsidRPr="00603523">
        <w:rPr>
          <w:vertAlign w:val="superscript"/>
        </w:rPr>
        <w:footnoteReference w:id="151"/>
      </w:r>
      <w:r w:rsidRPr="00603523">
        <w:t xml:space="preserve">. </w:t>
      </w:r>
      <w:r w:rsidRPr="002F0723">
        <w:t>Sin embargo, en ciertos casos puede ser pertinente valorar en forma específica cada una de las etapas del proceso</w:t>
      </w:r>
      <w:r w:rsidRPr="00603523">
        <w:rPr>
          <w:vertAlign w:val="superscript"/>
        </w:rPr>
        <w:footnoteReference w:id="152"/>
      </w:r>
      <w:r w:rsidRPr="00603523">
        <w:t xml:space="preserve">. </w:t>
      </w:r>
      <w:r w:rsidRPr="002F0723">
        <w:t xml:space="preserve">En el presente caso, dado el tiempo transcurrido </w:t>
      </w:r>
      <w:r w:rsidR="007B0BB4" w:rsidRPr="005E070D">
        <w:t>desde la ocurrencia de los hechos y el inicio de las investigaciones</w:t>
      </w:r>
      <w:r w:rsidRPr="00694B60">
        <w:t>,</w:t>
      </w:r>
      <w:r w:rsidRPr="002F0723">
        <w:t xml:space="preserve"> </w:t>
      </w:r>
      <w:r w:rsidRPr="002F0723">
        <w:rPr>
          <w:rFonts w:cs="Arial"/>
        </w:rPr>
        <w:t>no resulta pertinente efectuar un análisis exhaustivo de cada etapa procesal</w:t>
      </w:r>
      <w:r w:rsidRPr="00676DC0">
        <w:rPr>
          <w:vertAlign w:val="superscript"/>
        </w:rPr>
        <w:footnoteReference w:id="153"/>
      </w:r>
      <w:r w:rsidR="00BF3A96">
        <w:rPr>
          <w:rFonts w:cs="Verdana"/>
          <w:color w:val="000000"/>
        </w:rPr>
        <w:t>.</w:t>
      </w:r>
      <w:r w:rsidRPr="0041715F">
        <w:rPr>
          <w:rFonts w:cs="Verdana"/>
          <w:color w:val="000000"/>
        </w:rPr>
        <w:t xml:space="preserve"> </w:t>
      </w:r>
    </w:p>
    <w:p w14:paraId="31733C5B" w14:textId="77777777" w:rsidR="007B594B" w:rsidRPr="00991C0C" w:rsidRDefault="007B594B" w:rsidP="007B594B">
      <w:pPr>
        <w:rPr>
          <w:lang w:val="es-ES"/>
        </w:rPr>
      </w:pPr>
    </w:p>
    <w:p w14:paraId="2CDF30EC" w14:textId="09911394" w:rsidR="007B594B" w:rsidRPr="008D2185" w:rsidRDefault="007B594B" w:rsidP="005E070D">
      <w:pPr>
        <w:pStyle w:val="Prrafodelista"/>
      </w:pPr>
      <w:r w:rsidRPr="0041715F">
        <w:t xml:space="preserve">En el presente caso, </w:t>
      </w:r>
      <w:r w:rsidRPr="0041715F">
        <w:rPr>
          <w:rFonts w:cs="Verdana"/>
          <w:color w:val="000000"/>
        </w:rPr>
        <w:t xml:space="preserve">el Estado no inició investigación alguna de oficio tras ocurridos los hechos, sino que sólo lo hizo 19 años después, cuando el </w:t>
      </w:r>
      <w:r w:rsidRPr="0041715F">
        <w:t>17 de noviembre de 1998 la Cámara de Diputados instó al Juez Instructor en Turno en lo Penal del Distrito Judicial de la Paz a dictar auto inicial de instrucción, diligencia que se hizo efectiva el 18 de febrero de 1999 (</w:t>
      </w:r>
      <w:r w:rsidRPr="0041715F">
        <w:rPr>
          <w:i/>
          <w:iCs/>
        </w:rPr>
        <w:t>supra</w:t>
      </w:r>
      <w:r w:rsidRPr="0041715F">
        <w:t xml:space="preserve"> </w:t>
      </w:r>
      <w:r>
        <w:t>párr. 47</w:t>
      </w:r>
      <w:r w:rsidRPr="0041715F">
        <w:t>). Ocho años más tarde, el 12 de diciembre de 2007</w:t>
      </w:r>
      <w:r w:rsidRPr="00013D7F">
        <w:t>, el Juzgado Segundo de Partido en lo Penal Liquidador</w:t>
      </w:r>
      <w:r w:rsidRPr="0041715F">
        <w:t xml:space="preserve"> dictó la sentencia condenatoria</w:t>
      </w:r>
      <w:r w:rsidRPr="0041715F">
        <w:rPr>
          <w:rFonts w:cs="Verdana"/>
          <w:color w:val="000000"/>
        </w:rPr>
        <w:t xml:space="preserve"> No. 129/2007 en primera instancia, </w:t>
      </w:r>
      <w:r w:rsidRPr="0041715F">
        <w:t>la cual fue objeto de varios recursos. El 22 de agosto de 2008</w:t>
      </w:r>
      <w:r w:rsidR="008D4192" w:rsidRPr="008D4192">
        <w:t xml:space="preserve"> </w:t>
      </w:r>
      <w:r w:rsidR="008D4192" w:rsidRPr="00685917">
        <w:t>la Sala Penal Tercera de la Corte Superior del Distrito Judicial de La Paz</w:t>
      </w:r>
      <w:r w:rsidRPr="0041715F">
        <w:t xml:space="preserve"> confirmó en sus términos el fallo en la porción que condenaba a los procesados, y la revocó en parte (</w:t>
      </w:r>
      <w:r w:rsidRPr="0041715F">
        <w:rPr>
          <w:i/>
          <w:iCs/>
        </w:rPr>
        <w:t>supra</w:t>
      </w:r>
      <w:r w:rsidRPr="0041715F">
        <w:t xml:space="preserve"> párr. </w:t>
      </w:r>
      <w:r>
        <w:t>55</w:t>
      </w:r>
      <w:r w:rsidRPr="0041715F">
        <w:t xml:space="preserve">). </w:t>
      </w:r>
      <w:r w:rsidRPr="00354604">
        <w:t xml:space="preserve">Tras varios recursos, el </w:t>
      </w:r>
      <w:r w:rsidRPr="00354604">
        <w:rPr>
          <w:rFonts w:cs="Verdana"/>
          <w:color w:val="000000"/>
        </w:rPr>
        <w:t xml:space="preserve">25 de octubre de 2010 </w:t>
      </w:r>
      <w:r w:rsidRPr="00354604">
        <w:t xml:space="preserve">se dictó en forma definitiva el </w:t>
      </w:r>
      <w:r w:rsidR="0051369C">
        <w:t>A</w:t>
      </w:r>
      <w:r w:rsidRPr="00354604">
        <w:t xml:space="preserve">uto </w:t>
      </w:r>
      <w:r w:rsidR="0051369C">
        <w:t>S</w:t>
      </w:r>
      <w:r w:rsidRPr="00354604">
        <w:t xml:space="preserve">upremo No. 504 </w:t>
      </w:r>
      <w:r w:rsidR="008D4192">
        <w:t xml:space="preserve">de </w:t>
      </w:r>
      <w:r w:rsidR="008D4192" w:rsidRPr="0086197B">
        <w:t xml:space="preserve">la Sala Penal Primera de la </w:t>
      </w:r>
      <w:r w:rsidR="008D4192" w:rsidRPr="00BB0BD2">
        <w:t xml:space="preserve">Corte </w:t>
      </w:r>
      <w:r w:rsidRPr="00BB0BD2">
        <w:rPr>
          <w:rFonts w:cs="Verdana"/>
          <w:color w:val="000000"/>
        </w:rPr>
        <w:t>(</w:t>
      </w:r>
      <w:r w:rsidRPr="00BB0BD2">
        <w:rPr>
          <w:rFonts w:cs="Verdana"/>
          <w:i/>
          <w:iCs/>
          <w:color w:val="000000"/>
        </w:rPr>
        <w:t>supra</w:t>
      </w:r>
      <w:r w:rsidRPr="007368FD">
        <w:rPr>
          <w:rFonts w:cs="Verdana"/>
          <w:color w:val="000000"/>
        </w:rPr>
        <w:t xml:space="preserve"> párr. 61), decisión que no habría sido ejecutada en forma inmediata y completa: uno de los condenados fue capturado </w:t>
      </w:r>
      <w:r w:rsidRPr="007368FD">
        <w:t>seis años después, en 2016; y otro de los condenados se encuentra prófugo</w:t>
      </w:r>
      <w:r w:rsidRPr="008D2185">
        <w:rPr>
          <w:vertAlign w:val="superscript"/>
        </w:rPr>
        <w:footnoteReference w:id="154"/>
      </w:r>
      <w:r w:rsidRPr="007368FD">
        <w:t>.</w:t>
      </w:r>
      <w:r w:rsidRPr="008D2185">
        <w:rPr>
          <w:rFonts w:cs="Verdana"/>
          <w:color w:val="000000"/>
        </w:rPr>
        <w:t xml:space="preserve"> </w:t>
      </w:r>
    </w:p>
    <w:p w14:paraId="09649A9D" w14:textId="77777777" w:rsidR="007B594B" w:rsidRPr="00991C0C" w:rsidRDefault="007B594B" w:rsidP="007B594B">
      <w:pPr>
        <w:rPr>
          <w:lang w:val="es-ES"/>
        </w:rPr>
      </w:pPr>
    </w:p>
    <w:p w14:paraId="738C3A72" w14:textId="00CBD58C" w:rsidR="007B594B" w:rsidRPr="00C345E5" w:rsidRDefault="007B594B" w:rsidP="005E070D">
      <w:pPr>
        <w:pStyle w:val="Prrafodelista"/>
      </w:pPr>
      <w:r w:rsidRPr="007368FD">
        <w:t xml:space="preserve">Si bien el proceso penal </w:t>
      </w:r>
      <w:r w:rsidR="00B440BF">
        <w:t xml:space="preserve">“Ministerio Público </w:t>
      </w:r>
      <w:r w:rsidRPr="007368FD">
        <w:t>c</w:t>
      </w:r>
      <w:r w:rsidR="00B440BF">
        <w:t>/</w:t>
      </w:r>
      <w:r w:rsidRPr="007368FD">
        <w:t xml:space="preserve"> Franz Pizarro </w:t>
      </w:r>
      <w:r w:rsidR="00B440BF">
        <w:t xml:space="preserve">Solano </w:t>
      </w:r>
      <w:r w:rsidRPr="007368FD">
        <w:t>y otros</w:t>
      </w:r>
      <w:r w:rsidR="00B440BF">
        <w:t>”</w:t>
      </w:r>
      <w:r w:rsidRPr="007368FD">
        <w:t xml:space="preserve"> revestía cierto grado de complejidad por el número de implicados y por la naturaleza de los hechos investigados, la Corte observa que el retardo se vincula a irregularidades relacionadas con la suspensión de audiencias y otras acciones destinadas a dilatar el proceso, incluida la solicitud de nulidad del proceso </w:t>
      </w:r>
      <w:r w:rsidRPr="007368FD">
        <w:lastRenderedPageBreak/>
        <w:t>cuando se aproximaba el momento de dictar sentencia. La Corte nota asimismo que las demoras no resultaron atribuibles a la actuación procesal de l</w:t>
      </w:r>
      <w:r w:rsidR="005E4E2D">
        <w:t>a</w:t>
      </w:r>
      <w:r w:rsidRPr="007368FD">
        <w:t xml:space="preserve">s familiares </w:t>
      </w:r>
      <w:r w:rsidR="00B440BF">
        <w:t>del señor Flores Bedregal</w:t>
      </w:r>
      <w:r w:rsidRPr="007368FD">
        <w:t xml:space="preserve"> en su rol de querellantes</w:t>
      </w:r>
      <w:r w:rsidR="00654CA9">
        <w:t>;</w:t>
      </w:r>
      <w:r w:rsidRPr="007368FD">
        <w:t xml:space="preserve"> por el contrario</w:t>
      </w:r>
      <w:r w:rsidR="00654CA9">
        <w:t>,</w:t>
      </w:r>
      <w:r w:rsidRPr="007368FD">
        <w:t xml:space="preserve"> </w:t>
      </w:r>
      <w:r w:rsidRPr="004B5F3E">
        <w:t xml:space="preserve">estas actuaciones </w:t>
      </w:r>
      <w:r w:rsidRPr="007368FD">
        <w:t>habrían facilitado notificaciones judiciales y otras gestiones vinculadas con el avance del proceso</w:t>
      </w:r>
      <w:r w:rsidRPr="007368FD">
        <w:rPr>
          <w:vertAlign w:val="superscript"/>
        </w:rPr>
        <w:footnoteReference w:id="155"/>
      </w:r>
      <w:r w:rsidRPr="007368FD">
        <w:t>.</w:t>
      </w:r>
    </w:p>
    <w:p w14:paraId="65AB1735" w14:textId="77777777" w:rsidR="007B594B" w:rsidRPr="00991C0C" w:rsidRDefault="007B594B" w:rsidP="007B594B">
      <w:pPr>
        <w:rPr>
          <w:lang w:val="es-ES"/>
        </w:rPr>
      </w:pPr>
    </w:p>
    <w:p w14:paraId="6FA62664" w14:textId="4C1FF1A8" w:rsidR="007B594B" w:rsidRPr="00C345E5" w:rsidRDefault="007B594B" w:rsidP="005E070D">
      <w:pPr>
        <w:pStyle w:val="Prrafodelista"/>
      </w:pPr>
      <w:r w:rsidRPr="00354604">
        <w:t xml:space="preserve">En vista de lo anterior, el Estado es responsable por la falta de debida diligencia en el inicio e impulso de la investigación sobre la desaparición de Juan Carlos Flores Bedregal y por el retardo en </w:t>
      </w:r>
      <w:r w:rsidR="0051369C" w:rsidRPr="004B5F3E">
        <w:t>la investigación</w:t>
      </w:r>
      <w:r w:rsidR="0051369C">
        <w:t xml:space="preserve">, </w:t>
      </w:r>
      <w:r w:rsidRPr="00354604">
        <w:t>el juzgamiento y</w:t>
      </w:r>
      <w:r w:rsidR="0051369C">
        <w:t>,</w:t>
      </w:r>
      <w:r w:rsidR="0051369C" w:rsidRPr="004B5F3E">
        <w:t xml:space="preserve"> en su caso, la</w:t>
      </w:r>
      <w:r w:rsidRPr="004B5F3E">
        <w:t xml:space="preserve"> </w:t>
      </w:r>
      <w:r w:rsidRPr="00354604">
        <w:t xml:space="preserve">sanción de los responsables a la luz de la obligación consagrada en el artículo 8.1 de la Convención Americana, en relación con el artículo 1.1 del mismo instrumento, en perjuicio </w:t>
      </w:r>
      <w:r w:rsidR="00896A4E">
        <w:t xml:space="preserve">de </w:t>
      </w:r>
      <w:r w:rsidR="00896A4E" w:rsidRPr="00354604">
        <w:t>Olga Beatriz</w:t>
      </w:r>
      <w:r w:rsidR="00896A4E">
        <w:t xml:space="preserve">, </w:t>
      </w:r>
      <w:r w:rsidRPr="00354604">
        <w:t xml:space="preserve">Verónica, Eliana Isbelia, </w:t>
      </w:r>
      <w:r w:rsidR="00896A4E">
        <w:t xml:space="preserve">y </w:t>
      </w:r>
      <w:r w:rsidRPr="00354604">
        <w:t xml:space="preserve">Liliam Teresa Flores Bedregal. </w:t>
      </w:r>
    </w:p>
    <w:p w14:paraId="541BB7DF" w14:textId="77777777" w:rsidR="007B594B" w:rsidRPr="00991C0C" w:rsidRDefault="007B594B" w:rsidP="007B594B">
      <w:pPr>
        <w:rPr>
          <w:lang w:val="es-ES"/>
        </w:rPr>
      </w:pPr>
    </w:p>
    <w:p w14:paraId="4669D56E" w14:textId="77777777" w:rsidR="007B594B" w:rsidRPr="002972EC" w:rsidRDefault="007B594B" w:rsidP="007B594B">
      <w:pPr>
        <w:pStyle w:val="Ttulo3"/>
        <w:spacing w:before="0"/>
        <w:ind w:left="708"/>
        <w:rPr>
          <w:rFonts w:ascii="Verdana" w:hAnsi="Verdana" w:cs="Arial"/>
          <w:b/>
          <w:bCs/>
          <w:color w:val="000000" w:themeColor="text1"/>
          <w:sz w:val="20"/>
          <w:szCs w:val="20"/>
          <w:lang w:val="es-ES"/>
        </w:rPr>
      </w:pPr>
      <w:bookmarkStart w:id="141" w:name="_Toc125037490"/>
      <w:r w:rsidRPr="002972EC">
        <w:rPr>
          <w:rFonts w:ascii="Verdana" w:hAnsi="Verdana" w:cs="Arial"/>
          <w:b/>
          <w:bCs/>
          <w:color w:val="000000" w:themeColor="text1"/>
          <w:sz w:val="20"/>
          <w:szCs w:val="20"/>
          <w:lang w:val="es-ES"/>
        </w:rPr>
        <w:t>B.2. Tipificación del delito de desaparición forzada de personas y su falta de aplicación al caso concreto</w:t>
      </w:r>
      <w:bookmarkEnd w:id="141"/>
    </w:p>
    <w:p w14:paraId="652DBA9F" w14:textId="77777777" w:rsidR="007B594B" w:rsidRPr="0041715F" w:rsidRDefault="007B594B" w:rsidP="007B594B">
      <w:pPr>
        <w:rPr>
          <w:rFonts w:ascii="Verdana" w:hAnsi="Verdana"/>
          <w:lang w:val="es-ES"/>
        </w:rPr>
      </w:pPr>
    </w:p>
    <w:p w14:paraId="265D418D" w14:textId="06CD6D54" w:rsidR="007B594B" w:rsidRPr="0016116E" w:rsidRDefault="007B594B" w:rsidP="005E070D">
      <w:pPr>
        <w:pStyle w:val="Prrafodelista"/>
      </w:pPr>
      <w:r w:rsidRPr="007368FD">
        <w:t>El</w:t>
      </w:r>
      <w:r w:rsidRPr="007368FD">
        <w:rPr>
          <w:spacing w:val="-12"/>
        </w:rPr>
        <w:t xml:space="preserve"> </w:t>
      </w:r>
      <w:r w:rsidRPr="007368FD">
        <w:t>artículo</w:t>
      </w:r>
      <w:r w:rsidRPr="007368FD">
        <w:rPr>
          <w:spacing w:val="-17"/>
        </w:rPr>
        <w:t xml:space="preserve"> </w:t>
      </w:r>
      <w:r w:rsidRPr="007368FD">
        <w:t>2</w:t>
      </w:r>
      <w:r w:rsidRPr="007368FD">
        <w:rPr>
          <w:spacing w:val="-15"/>
        </w:rPr>
        <w:t xml:space="preserve"> </w:t>
      </w:r>
      <w:r w:rsidRPr="007368FD">
        <w:t>de</w:t>
      </w:r>
      <w:r w:rsidRPr="007368FD">
        <w:rPr>
          <w:spacing w:val="-17"/>
        </w:rPr>
        <w:t xml:space="preserve"> </w:t>
      </w:r>
      <w:r w:rsidRPr="007368FD">
        <w:t>la</w:t>
      </w:r>
      <w:r w:rsidRPr="007368FD">
        <w:rPr>
          <w:spacing w:val="-15"/>
        </w:rPr>
        <w:t xml:space="preserve"> </w:t>
      </w:r>
      <w:r w:rsidRPr="007368FD">
        <w:t>Convención</w:t>
      </w:r>
      <w:r w:rsidRPr="007368FD">
        <w:rPr>
          <w:spacing w:val="-15"/>
        </w:rPr>
        <w:t xml:space="preserve"> </w:t>
      </w:r>
      <w:r w:rsidRPr="007368FD">
        <w:t>Americana</w:t>
      </w:r>
      <w:r w:rsidRPr="007368FD">
        <w:rPr>
          <w:spacing w:val="-15"/>
        </w:rPr>
        <w:t xml:space="preserve"> </w:t>
      </w:r>
      <w:r w:rsidRPr="007368FD">
        <w:t>establece</w:t>
      </w:r>
      <w:r w:rsidRPr="007368FD">
        <w:rPr>
          <w:spacing w:val="-16"/>
        </w:rPr>
        <w:t xml:space="preserve"> </w:t>
      </w:r>
      <w:r w:rsidRPr="007368FD">
        <w:t>la</w:t>
      </w:r>
      <w:r w:rsidRPr="007368FD">
        <w:rPr>
          <w:spacing w:val="-16"/>
        </w:rPr>
        <w:t xml:space="preserve"> </w:t>
      </w:r>
      <w:r w:rsidRPr="007368FD">
        <w:t>obligación general de los Estados Parte de adecuar su derecho interno a las disposiciones del tratado a fin de garantizar los derechos allí consagrados</w:t>
      </w:r>
      <w:r w:rsidRPr="004B5F3E">
        <w:t>, lo que implica que las medidas de derecho interno han de ser</w:t>
      </w:r>
      <w:r w:rsidR="0051369C">
        <w:rPr>
          <w:b/>
          <w:bCs/>
        </w:rPr>
        <w:t xml:space="preserve"> </w:t>
      </w:r>
      <w:r w:rsidRPr="007368FD">
        <w:t>efectivas</w:t>
      </w:r>
      <w:r w:rsidRPr="00A9603A">
        <w:rPr>
          <w:spacing w:val="-6"/>
        </w:rPr>
        <w:t xml:space="preserve"> </w:t>
      </w:r>
      <w:r w:rsidRPr="00A9603A">
        <w:t>(principio</w:t>
      </w:r>
      <w:r w:rsidRPr="00A9603A">
        <w:rPr>
          <w:spacing w:val="-6"/>
        </w:rPr>
        <w:t xml:space="preserve"> </w:t>
      </w:r>
      <w:r w:rsidRPr="00A9603A">
        <w:t>del</w:t>
      </w:r>
      <w:r w:rsidRPr="00A9603A">
        <w:rPr>
          <w:spacing w:val="-3"/>
        </w:rPr>
        <w:t xml:space="preserve"> </w:t>
      </w:r>
      <w:r w:rsidRPr="00A9603A">
        <w:rPr>
          <w:i/>
        </w:rPr>
        <w:t>effet</w:t>
      </w:r>
      <w:r w:rsidRPr="00A9603A">
        <w:rPr>
          <w:i/>
          <w:spacing w:val="-2"/>
        </w:rPr>
        <w:t xml:space="preserve"> </w:t>
      </w:r>
      <w:r w:rsidRPr="00A9603A">
        <w:rPr>
          <w:i/>
        </w:rPr>
        <w:t>utile</w:t>
      </w:r>
      <w:r w:rsidRPr="00A9603A">
        <w:t>)</w:t>
      </w:r>
      <w:r w:rsidRPr="00A9603A">
        <w:rPr>
          <w:vertAlign w:val="superscript"/>
        </w:rPr>
        <w:footnoteReference w:id="156"/>
      </w:r>
      <w:r w:rsidRPr="00A9603A">
        <w:t>.</w:t>
      </w:r>
      <w:r w:rsidRPr="0041715F">
        <w:rPr>
          <w:spacing w:val="-5"/>
        </w:rPr>
        <w:t xml:space="preserve"> </w:t>
      </w:r>
      <w:r w:rsidRPr="007368FD">
        <w:t>En</w:t>
      </w:r>
      <w:r w:rsidRPr="007368FD">
        <w:rPr>
          <w:spacing w:val="-2"/>
        </w:rPr>
        <w:t xml:space="preserve"> </w:t>
      </w:r>
      <w:r w:rsidRPr="007368FD">
        <w:t>el</w:t>
      </w:r>
      <w:r w:rsidRPr="007368FD">
        <w:rPr>
          <w:spacing w:val="-3"/>
        </w:rPr>
        <w:t xml:space="preserve"> </w:t>
      </w:r>
      <w:r w:rsidRPr="007368FD">
        <w:t>caso</w:t>
      </w:r>
      <w:r w:rsidRPr="007368FD">
        <w:rPr>
          <w:spacing w:val="-7"/>
        </w:rPr>
        <w:t xml:space="preserve"> </w:t>
      </w:r>
      <w:r w:rsidRPr="007368FD">
        <w:t>de</w:t>
      </w:r>
      <w:r w:rsidRPr="007368FD">
        <w:rPr>
          <w:spacing w:val="-6"/>
        </w:rPr>
        <w:t xml:space="preserve"> </w:t>
      </w:r>
      <w:r w:rsidRPr="007368FD">
        <w:t>la</w:t>
      </w:r>
      <w:r w:rsidRPr="007368FD">
        <w:rPr>
          <w:spacing w:val="-5"/>
        </w:rPr>
        <w:t xml:space="preserve"> </w:t>
      </w:r>
      <w:r w:rsidRPr="007368FD">
        <w:t>desaparición</w:t>
      </w:r>
      <w:r w:rsidRPr="007368FD">
        <w:rPr>
          <w:spacing w:val="-4"/>
        </w:rPr>
        <w:t xml:space="preserve"> </w:t>
      </w:r>
      <w:r w:rsidRPr="007368FD">
        <w:t>forzada de personas, su tipificación penal autónoma y la definición de las</w:t>
      </w:r>
      <w:r w:rsidRPr="007368FD">
        <w:rPr>
          <w:spacing w:val="1"/>
        </w:rPr>
        <w:t xml:space="preserve"> </w:t>
      </w:r>
      <w:r w:rsidRPr="007368FD">
        <w:t>conductas punibles relacionadas es conducente a su debido esclarecimiento judicial y a su prevención</w:t>
      </w:r>
      <w:r w:rsidRPr="007368FD">
        <w:rPr>
          <w:vertAlign w:val="superscript"/>
        </w:rPr>
        <w:footnoteReference w:id="157"/>
      </w:r>
      <w:r w:rsidRPr="007368FD">
        <w:t>. Asimismo, la tipificación de la desaparición forzada de personas</w:t>
      </w:r>
      <w:r w:rsidRPr="007368FD">
        <w:rPr>
          <w:spacing w:val="-2"/>
        </w:rPr>
        <w:t xml:space="preserve"> constituye una obligación expresa de los Estados parte de la CIDFP, conforme a su</w:t>
      </w:r>
      <w:r w:rsidRPr="007368FD">
        <w:rPr>
          <w:spacing w:val="2"/>
        </w:rPr>
        <w:t xml:space="preserve"> </w:t>
      </w:r>
      <w:r w:rsidRPr="007368FD">
        <w:t>artículo</w:t>
      </w:r>
      <w:r w:rsidRPr="007368FD">
        <w:rPr>
          <w:spacing w:val="-2"/>
        </w:rPr>
        <w:t xml:space="preserve"> </w:t>
      </w:r>
      <w:r w:rsidRPr="007368FD">
        <w:t>III.</w:t>
      </w:r>
    </w:p>
    <w:p w14:paraId="62A88541" w14:textId="77777777" w:rsidR="007B594B" w:rsidRPr="00991C0C" w:rsidRDefault="007B594B" w:rsidP="007B594B">
      <w:pPr>
        <w:rPr>
          <w:lang w:val="es-ES"/>
        </w:rPr>
      </w:pPr>
    </w:p>
    <w:p w14:paraId="760CEFF1" w14:textId="77777777" w:rsidR="007B594B" w:rsidRPr="0041715F" w:rsidRDefault="007B594B" w:rsidP="005E070D">
      <w:pPr>
        <w:pStyle w:val="Prrafodelista"/>
      </w:pPr>
      <w:r w:rsidRPr="0041715F">
        <w:t xml:space="preserve">Según se indica </w:t>
      </w:r>
      <w:r w:rsidRPr="0041715F">
        <w:rPr>
          <w:i/>
          <w:iCs/>
        </w:rPr>
        <w:t>supra</w:t>
      </w:r>
      <w:r w:rsidRPr="0041715F">
        <w:t>, Bolivia depositó el instrumento de ratificación de</w:t>
      </w:r>
      <w:r w:rsidRPr="0041715F">
        <w:rPr>
          <w:spacing w:val="1"/>
        </w:rPr>
        <w:t xml:space="preserve"> </w:t>
      </w:r>
      <w:r w:rsidRPr="0041715F">
        <w:t xml:space="preserve">la CIDFP el 5 de mayo de 1999. El 18 de enero de 2006 el Estado incorporó la tipificación de la desaparición </w:t>
      </w:r>
      <w:r w:rsidRPr="004B5F3E">
        <w:t xml:space="preserve">forzada </w:t>
      </w:r>
      <w:r w:rsidRPr="0041715F">
        <w:t>de personas en su Código Penal</w:t>
      </w:r>
      <w:r w:rsidRPr="0041715F">
        <w:rPr>
          <w:vertAlign w:val="superscript"/>
        </w:rPr>
        <w:footnoteReference w:id="158"/>
      </w:r>
      <w:r w:rsidRPr="0041715F">
        <w:t xml:space="preserve">. </w:t>
      </w:r>
      <w:r w:rsidRPr="007368FD">
        <w:t xml:space="preserve">Al respecto, y en vista de la dimensión </w:t>
      </w:r>
      <w:r w:rsidRPr="007368FD">
        <w:rPr>
          <w:i/>
          <w:iCs/>
        </w:rPr>
        <w:t>ratione temporis</w:t>
      </w:r>
      <w:r w:rsidRPr="007368FD">
        <w:t xml:space="preserve"> del presente caso, vale aclarar que la tipificación penal de la conducta a nivel interno es relevante al </w:t>
      </w:r>
      <w:r w:rsidRPr="00354604">
        <w:t xml:space="preserve">presente </w:t>
      </w:r>
      <w:r w:rsidRPr="007368FD">
        <w:t>análisis sin que ello conlleve su aplicación retroactiva, dada la naturaleza de la desaparición forzada como violación continua de las obligaciones internacionales del Estado cuya consumación se extiende hasta esclarecer el destino de la víctima</w:t>
      </w:r>
      <w:r w:rsidRPr="0041715F">
        <w:rPr>
          <w:vertAlign w:val="superscript"/>
        </w:rPr>
        <w:footnoteReference w:id="159"/>
      </w:r>
      <w:r w:rsidRPr="0041715F">
        <w:t>. En este mismo sentido se han pronunciado la Corte Suprema de Justicia del Perú, el Tribunal Constitucional del Perú, la</w:t>
      </w:r>
      <w:r w:rsidRPr="002972EC">
        <w:t xml:space="preserve"> Suprema Corte de Justicia de México, el Tribunal Supremo de Justicia de Venezuela y la Corte C</w:t>
      </w:r>
      <w:r w:rsidRPr="0041715F">
        <w:t>onstitucional de Colombia</w:t>
      </w:r>
      <w:r w:rsidRPr="0041715F">
        <w:rPr>
          <w:vertAlign w:val="superscript"/>
        </w:rPr>
        <w:footnoteReference w:id="160"/>
      </w:r>
      <w:r w:rsidRPr="0041715F">
        <w:t xml:space="preserve">, tribunales de la más alta jerarquía en Estados que, al igual que Bolivia, han ratificado la CIDFP. </w:t>
      </w:r>
    </w:p>
    <w:p w14:paraId="695DEEE1" w14:textId="77777777" w:rsidR="007B594B" w:rsidRPr="00991C0C" w:rsidRDefault="007B594B" w:rsidP="007B594B">
      <w:pPr>
        <w:rPr>
          <w:lang w:val="es-ES"/>
        </w:rPr>
      </w:pPr>
    </w:p>
    <w:p w14:paraId="53A2112B" w14:textId="2EE607DE" w:rsidR="007B594B" w:rsidRPr="007368FD" w:rsidRDefault="007B594B" w:rsidP="005E070D">
      <w:pPr>
        <w:pStyle w:val="Prrafodelista"/>
      </w:pPr>
      <w:r w:rsidRPr="007368FD">
        <w:lastRenderedPageBreak/>
        <w:t xml:space="preserve">En el presente caso, las hermanas del señor Flores Bedregal en reiteradas ocasiones </w:t>
      </w:r>
      <w:r w:rsidRPr="004B5F3E">
        <w:t>solicitaron</w:t>
      </w:r>
      <w:r w:rsidRPr="007368FD">
        <w:rPr>
          <w:b/>
          <w:bCs/>
        </w:rPr>
        <w:t xml:space="preserve"> </w:t>
      </w:r>
      <w:r w:rsidRPr="007368FD">
        <w:t>a las autoridades nacionales que se iniciara una investigación por desaparición forzada</w:t>
      </w:r>
      <w:r w:rsidRPr="007368FD">
        <w:rPr>
          <w:vertAlign w:val="superscript"/>
        </w:rPr>
        <w:footnoteReference w:id="161"/>
      </w:r>
      <w:r w:rsidRPr="007368FD">
        <w:t xml:space="preserve">. Sin embargo, el tipo penal autónomo de desaparición forzada no fue aplicado en </w:t>
      </w:r>
      <w:r w:rsidR="00941E73">
        <w:t>los</w:t>
      </w:r>
      <w:r w:rsidRPr="007368FD">
        <w:t xml:space="preserve"> </w:t>
      </w:r>
      <w:r w:rsidR="00280E4D">
        <w:t>J</w:t>
      </w:r>
      <w:r w:rsidRPr="007368FD">
        <w:t>uicio</w:t>
      </w:r>
      <w:r w:rsidR="00941E73">
        <w:t>s</w:t>
      </w:r>
      <w:r w:rsidRPr="007368FD">
        <w:t xml:space="preserve"> de </w:t>
      </w:r>
      <w:r w:rsidR="00280E4D">
        <w:t>R</w:t>
      </w:r>
      <w:r w:rsidRPr="007368FD">
        <w:t xml:space="preserve">esponsabilidad ni en los procesos relacionados con la investigación de los hechos ocurridos al señor Flores Bedregal. Las figuras penales investigadas se refieren a los delitos de </w:t>
      </w:r>
      <w:r w:rsidRPr="007368FD">
        <w:rPr>
          <w:rFonts w:cs="Verdana"/>
        </w:rPr>
        <w:t>alzamiento armado contra la seguridad y soberanía del Estado o de encubrimiento y falso testimonio, que protegen otros bienes jurídicos relacionados con la seguridad y soberanía del Estado o con la actividad judicial.</w:t>
      </w:r>
      <w:r w:rsidRPr="007368FD">
        <w:t xml:space="preserve"> De hecho, a excepción del homicidio, no se tomaron en cuenta otras conductas concurrentes a la configuración de la desaparición forzada como delito complejo.</w:t>
      </w:r>
    </w:p>
    <w:p w14:paraId="0B7979E3" w14:textId="77777777" w:rsidR="007B594B" w:rsidRPr="007368FD" w:rsidRDefault="007B594B" w:rsidP="007B594B">
      <w:pPr>
        <w:rPr>
          <w:highlight w:val="cyan"/>
          <w:lang w:val="es-ES"/>
        </w:rPr>
      </w:pPr>
    </w:p>
    <w:p w14:paraId="4E45B615" w14:textId="77777777" w:rsidR="007B594B" w:rsidRPr="00354604" w:rsidRDefault="007B594B" w:rsidP="005E070D">
      <w:pPr>
        <w:pStyle w:val="Prrafodelista"/>
      </w:pPr>
      <w:r w:rsidRPr="007368FD">
        <w:t>De lo anterior se desprende que las investigaciones y los procesos judiciales no fueron consecuentes con la gravedad de las violaciones continuas perpetradas contra Juan Carlos Flores Bedregal; con el contexto histórico y político en el que se pusieron en marcha; con las características del pacto de silencio que obstaculizó el debido esclarecimiento de los hechos; con la complejidad de la violación múltiple de derechos que conlleva la desaparición forzada de personas; y con los desafíos en materia de esclarecimiento de la verdad y reparación de las consecuencias. En definitiva, la falta de aplicación del tipo penal autónomo de desaparición forzada existente en la legislación o de medidas de otro carácter para hacer efectivos los derechos protegidos por la Convención en casos de desaparición forzada, redundó en un enfoque fragmentado que estuvo lejos de reflejar la complejidad de los hechos y habilitar las líneas de investigación conducentes al esclarecimiento del caso</w:t>
      </w:r>
      <w:r w:rsidRPr="007368FD">
        <w:rPr>
          <w:vertAlign w:val="superscript"/>
        </w:rPr>
        <w:footnoteReference w:id="162"/>
      </w:r>
      <w:r w:rsidRPr="007368FD">
        <w:rPr>
          <w:w w:val="95"/>
        </w:rPr>
        <w:t>.</w:t>
      </w:r>
      <w:r w:rsidRPr="007368FD">
        <w:rPr>
          <w:rFonts w:eastAsia="Helvetica Neue" w:cs="Helvetica Neue"/>
        </w:rPr>
        <w:t xml:space="preserve"> </w:t>
      </w:r>
      <w:r w:rsidRPr="007368FD">
        <w:t xml:space="preserve">Esta omisión incumple los estándares que deben guiar la investigación de la desaparición </w:t>
      </w:r>
      <w:r w:rsidRPr="00354604">
        <w:t>forzada según han sido establecidos en la jurisprudencia</w:t>
      </w:r>
      <w:r w:rsidRPr="00354604">
        <w:rPr>
          <w:bCs/>
        </w:rPr>
        <w:t xml:space="preserve"> de este Tribunal y las decisiones de otros órganos de tratados; las disposiciones de la Declaración sobre la Protección de Todas las Personas contra las Desapariciones Forzadas; la Convención Interamericana sobre Desaparición Forzada de Personas; y la Convención Internacional para la Protección de Todas las Personas contra las Desapariciones Forzadas</w:t>
      </w:r>
      <w:r w:rsidRPr="00354604">
        <w:rPr>
          <w:bCs/>
          <w:vertAlign w:val="superscript"/>
        </w:rPr>
        <w:footnoteReference w:id="163"/>
      </w:r>
      <w:r w:rsidRPr="00354604">
        <w:rPr>
          <w:bCs/>
        </w:rPr>
        <w:t>.</w:t>
      </w:r>
    </w:p>
    <w:p w14:paraId="63671B71" w14:textId="77777777" w:rsidR="007B594B" w:rsidRPr="00354604" w:rsidRDefault="007B594B" w:rsidP="007B594B">
      <w:pPr>
        <w:rPr>
          <w:highlight w:val="cyan"/>
          <w:lang w:val="es-ES"/>
        </w:rPr>
      </w:pPr>
    </w:p>
    <w:p w14:paraId="0594B9C3" w14:textId="77777777" w:rsidR="007B594B" w:rsidRPr="00354604" w:rsidRDefault="007B594B" w:rsidP="005E070D">
      <w:pPr>
        <w:pStyle w:val="Prrafodelista"/>
      </w:pPr>
      <w:r w:rsidRPr="00354604">
        <w:t>Por lo tanto, este Tribunal considera que el Estado es responsable de incumplir la obligación prevista en el artículo 2 de la Convención Americana</w:t>
      </w:r>
      <w:r w:rsidRPr="00354604">
        <w:rPr>
          <w:vertAlign w:val="superscript"/>
        </w:rPr>
        <w:footnoteReference w:id="164"/>
      </w:r>
      <w:r w:rsidRPr="00354604">
        <w:t xml:space="preserve">, en vulneración de las garantías y protección </w:t>
      </w:r>
      <w:r w:rsidRPr="00354604">
        <w:lastRenderedPageBreak/>
        <w:t xml:space="preserve">judiciales consagradas en los artículos 8.1 y 25.1 de la Convención Americana, en relación con su artículo 1.1, y con lo dispuesto en el artículo III de la CIDFP. </w:t>
      </w:r>
    </w:p>
    <w:p w14:paraId="35A71D0C" w14:textId="77777777" w:rsidR="007B594B" w:rsidRPr="0041715F" w:rsidRDefault="007B594B" w:rsidP="007B594B">
      <w:pPr>
        <w:rPr>
          <w:rFonts w:ascii="Verdana" w:hAnsi="Verdana"/>
          <w:lang w:val="es-ES"/>
        </w:rPr>
      </w:pPr>
    </w:p>
    <w:p w14:paraId="67121978" w14:textId="77777777" w:rsidR="007B594B" w:rsidRPr="00773124" w:rsidRDefault="007B594B" w:rsidP="007B594B">
      <w:pPr>
        <w:pStyle w:val="Ttulo3"/>
        <w:spacing w:before="0"/>
        <w:ind w:left="708"/>
        <w:rPr>
          <w:rFonts w:ascii="Verdana" w:hAnsi="Verdana" w:cs="Arial"/>
          <w:b/>
          <w:bCs/>
          <w:color w:val="000000" w:themeColor="text1"/>
          <w:sz w:val="20"/>
          <w:szCs w:val="20"/>
          <w:lang w:val="es-ES"/>
        </w:rPr>
      </w:pPr>
      <w:bookmarkStart w:id="142" w:name="_Toc125037491"/>
      <w:r w:rsidRPr="00773124">
        <w:rPr>
          <w:rFonts w:ascii="Verdana" w:hAnsi="Verdana" w:cs="Arial"/>
          <w:b/>
          <w:bCs/>
          <w:color w:val="000000" w:themeColor="text1"/>
          <w:sz w:val="20"/>
          <w:szCs w:val="20"/>
          <w:lang w:val="es-ES"/>
        </w:rPr>
        <w:t>B.3. Búsqueda del paradero o de los restos de Juan Carlos Flores Bedregal, y el derecho de los familiares a conocer la verdad</w:t>
      </w:r>
      <w:bookmarkEnd w:id="142"/>
    </w:p>
    <w:p w14:paraId="3C67EEB4" w14:textId="77777777" w:rsidR="007B594B" w:rsidRPr="0041715F" w:rsidRDefault="007B594B" w:rsidP="007B594B">
      <w:pPr>
        <w:rPr>
          <w:rFonts w:ascii="Verdana" w:hAnsi="Verdana"/>
          <w:lang w:val="es-ES"/>
        </w:rPr>
      </w:pPr>
    </w:p>
    <w:p w14:paraId="7A3D4E9F" w14:textId="52383642" w:rsidR="007B594B" w:rsidRPr="0041715F" w:rsidRDefault="007B594B" w:rsidP="005E070D">
      <w:pPr>
        <w:pStyle w:val="Prrafodelista"/>
      </w:pPr>
      <w:r w:rsidRPr="0041715F">
        <w:t>En</w:t>
      </w:r>
      <w:r w:rsidRPr="0041715F">
        <w:rPr>
          <w:spacing w:val="-8"/>
        </w:rPr>
        <w:t xml:space="preserve"> </w:t>
      </w:r>
      <w:r w:rsidRPr="0041715F">
        <w:t>múltiples</w:t>
      </w:r>
      <w:r w:rsidRPr="0041715F">
        <w:rPr>
          <w:spacing w:val="-9"/>
        </w:rPr>
        <w:t xml:space="preserve"> </w:t>
      </w:r>
      <w:r w:rsidRPr="0041715F">
        <w:t>oportunidades</w:t>
      </w:r>
      <w:r w:rsidRPr="0041715F">
        <w:rPr>
          <w:spacing w:val="-10"/>
        </w:rPr>
        <w:t xml:space="preserve"> la Corte </w:t>
      </w:r>
      <w:r w:rsidRPr="0041715F">
        <w:t>se</w:t>
      </w:r>
      <w:r w:rsidRPr="0041715F">
        <w:rPr>
          <w:spacing w:val="-9"/>
        </w:rPr>
        <w:t xml:space="preserve"> </w:t>
      </w:r>
      <w:r w:rsidRPr="0041715F">
        <w:t>ha</w:t>
      </w:r>
      <w:r w:rsidRPr="0041715F">
        <w:rPr>
          <w:spacing w:val="-9"/>
        </w:rPr>
        <w:t xml:space="preserve"> </w:t>
      </w:r>
      <w:r w:rsidRPr="0041715F">
        <w:t>pronunciado</w:t>
      </w:r>
      <w:r w:rsidRPr="0041715F">
        <w:rPr>
          <w:spacing w:val="-9"/>
        </w:rPr>
        <w:t xml:space="preserve"> </w:t>
      </w:r>
      <w:r w:rsidRPr="0041715F">
        <w:t>sobre</w:t>
      </w:r>
      <w:r w:rsidRPr="0041715F">
        <w:rPr>
          <w:spacing w:val="-10"/>
        </w:rPr>
        <w:t xml:space="preserve"> </w:t>
      </w:r>
      <w:r w:rsidRPr="0041715F">
        <w:t>la</w:t>
      </w:r>
      <w:r w:rsidRPr="0041715F">
        <w:rPr>
          <w:spacing w:val="-8"/>
        </w:rPr>
        <w:t xml:space="preserve"> </w:t>
      </w:r>
      <w:r w:rsidR="000D4A61" w:rsidRPr="0041715F">
        <w:t>obligación</w:t>
      </w:r>
      <w:r w:rsidR="00770EA6">
        <w:t xml:space="preserve"> </w:t>
      </w:r>
      <w:r w:rsidR="00770EA6" w:rsidRPr="00C11CD1">
        <w:t>que tienen</w:t>
      </w:r>
      <w:r w:rsidRPr="0041715F">
        <w:rPr>
          <w:spacing w:val="-9"/>
        </w:rPr>
        <w:t xml:space="preserve"> </w:t>
      </w:r>
      <w:r w:rsidRPr="0041715F">
        <w:t>los</w:t>
      </w:r>
      <w:r w:rsidRPr="0041715F">
        <w:rPr>
          <w:spacing w:val="-6"/>
        </w:rPr>
        <w:t xml:space="preserve"> </w:t>
      </w:r>
      <w:r w:rsidRPr="0041715F">
        <w:t>Estados</w:t>
      </w:r>
      <w:r w:rsidRPr="0041715F">
        <w:rPr>
          <w:spacing w:val="-6"/>
        </w:rPr>
        <w:t xml:space="preserve"> </w:t>
      </w:r>
      <w:r w:rsidRPr="0041715F">
        <w:t>de</w:t>
      </w:r>
      <w:r w:rsidRPr="0041715F">
        <w:rPr>
          <w:spacing w:val="-7"/>
        </w:rPr>
        <w:t xml:space="preserve"> </w:t>
      </w:r>
      <w:r w:rsidRPr="0041715F">
        <w:t>realizar</w:t>
      </w:r>
      <w:r w:rsidRPr="0041715F">
        <w:rPr>
          <w:spacing w:val="-9"/>
        </w:rPr>
        <w:t xml:space="preserve"> </w:t>
      </w:r>
      <w:r w:rsidRPr="0041715F">
        <w:t>una</w:t>
      </w:r>
      <w:r w:rsidRPr="0041715F">
        <w:rPr>
          <w:spacing w:val="-8"/>
        </w:rPr>
        <w:t xml:space="preserve"> </w:t>
      </w:r>
      <w:r w:rsidRPr="0041715F">
        <w:t>búsqueda</w:t>
      </w:r>
      <w:r w:rsidRPr="0041715F">
        <w:rPr>
          <w:spacing w:val="-5"/>
        </w:rPr>
        <w:t xml:space="preserve"> </w:t>
      </w:r>
      <w:r w:rsidRPr="0041715F">
        <w:t>seria,</w:t>
      </w:r>
      <w:r w:rsidRPr="0041715F">
        <w:rPr>
          <w:spacing w:val="-9"/>
        </w:rPr>
        <w:t xml:space="preserve"> </w:t>
      </w:r>
      <w:r w:rsidRPr="0041715F">
        <w:t>sistemática</w:t>
      </w:r>
      <w:r w:rsidRPr="0041715F">
        <w:rPr>
          <w:spacing w:val="-5"/>
        </w:rPr>
        <w:t xml:space="preserve"> </w:t>
      </w:r>
      <w:r w:rsidRPr="0041715F">
        <w:t>y</w:t>
      </w:r>
      <w:r w:rsidRPr="0041715F">
        <w:rPr>
          <w:spacing w:val="-9"/>
        </w:rPr>
        <w:t xml:space="preserve"> </w:t>
      </w:r>
      <w:r w:rsidRPr="0041715F">
        <w:t>rigurosa para dar con el paradero de las personas desaparecidas o sus</w:t>
      </w:r>
      <w:r w:rsidRPr="0041715F">
        <w:rPr>
          <w:spacing w:val="1"/>
        </w:rPr>
        <w:t xml:space="preserve"> </w:t>
      </w:r>
      <w:r w:rsidRPr="0041715F">
        <w:t>restos, empleando</w:t>
      </w:r>
      <w:r w:rsidRPr="0041715F">
        <w:rPr>
          <w:spacing w:val="-10"/>
        </w:rPr>
        <w:t xml:space="preserve"> </w:t>
      </w:r>
      <w:r w:rsidRPr="0041715F">
        <w:t>recursos</w:t>
      </w:r>
      <w:r w:rsidRPr="0041715F">
        <w:rPr>
          <w:spacing w:val="-7"/>
        </w:rPr>
        <w:t xml:space="preserve"> </w:t>
      </w:r>
      <w:r w:rsidRPr="0041715F">
        <w:t>humanos,</w:t>
      </w:r>
      <w:r w:rsidRPr="0041715F">
        <w:rPr>
          <w:spacing w:val="-9"/>
        </w:rPr>
        <w:t xml:space="preserve"> </w:t>
      </w:r>
      <w:r w:rsidRPr="0041715F">
        <w:t>técnicos</w:t>
      </w:r>
      <w:r w:rsidRPr="0041715F">
        <w:rPr>
          <w:spacing w:val="-7"/>
        </w:rPr>
        <w:t xml:space="preserve"> </w:t>
      </w:r>
      <w:r w:rsidRPr="0041715F">
        <w:t>y</w:t>
      </w:r>
      <w:r w:rsidRPr="0041715F">
        <w:rPr>
          <w:spacing w:val="-7"/>
        </w:rPr>
        <w:t xml:space="preserve"> </w:t>
      </w:r>
      <w:r w:rsidRPr="0041715F">
        <w:t>científicos</w:t>
      </w:r>
      <w:r w:rsidRPr="0041715F">
        <w:rPr>
          <w:spacing w:val="-9"/>
        </w:rPr>
        <w:t xml:space="preserve"> </w:t>
      </w:r>
      <w:r w:rsidRPr="0041715F">
        <w:t>adecuados</w:t>
      </w:r>
      <w:r w:rsidRPr="0041715F">
        <w:rPr>
          <w:spacing w:val="-68"/>
        </w:rPr>
        <w:t xml:space="preserve"> </w:t>
      </w:r>
      <w:r w:rsidRPr="0041715F">
        <w:t>e idóneos</w:t>
      </w:r>
      <w:r w:rsidRPr="0041715F">
        <w:rPr>
          <w:vertAlign w:val="superscript"/>
        </w:rPr>
        <w:footnoteReference w:id="165"/>
      </w:r>
      <w:r w:rsidRPr="0041715F">
        <w:t>. Recibir el cuerpo de la persona desaparecida es de</w:t>
      </w:r>
      <w:r w:rsidRPr="0041715F">
        <w:rPr>
          <w:spacing w:val="1"/>
        </w:rPr>
        <w:t xml:space="preserve"> </w:t>
      </w:r>
      <w:r w:rsidRPr="0041715F">
        <w:t xml:space="preserve">suma importancia para sus familiares, ya que les permite sepultarlo de acuerdo </w:t>
      </w:r>
      <w:r>
        <w:t>con</w:t>
      </w:r>
      <w:r w:rsidRPr="0041715F">
        <w:t xml:space="preserve"> sus</w:t>
      </w:r>
      <w:r w:rsidRPr="0041715F">
        <w:rPr>
          <w:spacing w:val="1"/>
        </w:rPr>
        <w:t xml:space="preserve"> </w:t>
      </w:r>
      <w:r w:rsidRPr="0041715F">
        <w:t>creencias,</w:t>
      </w:r>
      <w:r w:rsidRPr="0041715F">
        <w:rPr>
          <w:spacing w:val="-3"/>
        </w:rPr>
        <w:t xml:space="preserve"> </w:t>
      </w:r>
      <w:r w:rsidRPr="0041715F">
        <w:t>así</w:t>
      </w:r>
      <w:r w:rsidRPr="0041715F">
        <w:rPr>
          <w:spacing w:val="2"/>
        </w:rPr>
        <w:t xml:space="preserve"> </w:t>
      </w:r>
      <w:r w:rsidRPr="0041715F">
        <w:t>como</w:t>
      </w:r>
      <w:r w:rsidRPr="0041715F">
        <w:rPr>
          <w:spacing w:val="-3"/>
        </w:rPr>
        <w:t xml:space="preserve"> </w:t>
      </w:r>
      <w:r w:rsidRPr="0041715F">
        <w:t>cerrar el</w:t>
      </w:r>
      <w:r w:rsidRPr="0041715F">
        <w:rPr>
          <w:spacing w:val="2"/>
        </w:rPr>
        <w:t xml:space="preserve"> </w:t>
      </w:r>
      <w:r w:rsidRPr="0041715F">
        <w:t>proceso</w:t>
      </w:r>
      <w:r w:rsidRPr="0041715F">
        <w:rPr>
          <w:spacing w:val="-3"/>
        </w:rPr>
        <w:t xml:space="preserve"> </w:t>
      </w:r>
      <w:r w:rsidRPr="0041715F">
        <w:t>de</w:t>
      </w:r>
      <w:r w:rsidRPr="0041715F">
        <w:rPr>
          <w:spacing w:val="-2"/>
        </w:rPr>
        <w:t xml:space="preserve"> </w:t>
      </w:r>
      <w:r w:rsidRPr="0041715F">
        <w:t>duelo</w:t>
      </w:r>
      <w:r w:rsidRPr="0041715F">
        <w:rPr>
          <w:spacing w:val="-2"/>
        </w:rPr>
        <w:t xml:space="preserve"> </w:t>
      </w:r>
      <w:r w:rsidRPr="0041715F">
        <w:t>que</w:t>
      </w:r>
      <w:r w:rsidRPr="0041715F">
        <w:rPr>
          <w:spacing w:val="-3"/>
        </w:rPr>
        <w:t xml:space="preserve"> </w:t>
      </w:r>
      <w:r w:rsidRPr="0041715F">
        <w:t>han vivido</w:t>
      </w:r>
      <w:r w:rsidRPr="0041715F">
        <w:rPr>
          <w:spacing w:val="-2"/>
        </w:rPr>
        <w:t xml:space="preserve"> </w:t>
      </w:r>
      <w:r w:rsidRPr="0041715F">
        <w:t>a</w:t>
      </w:r>
      <w:r w:rsidRPr="0041715F">
        <w:rPr>
          <w:spacing w:val="-2"/>
        </w:rPr>
        <w:t xml:space="preserve"> </w:t>
      </w:r>
      <w:r w:rsidRPr="0041715F">
        <w:t>lo</w:t>
      </w:r>
      <w:r w:rsidRPr="0041715F">
        <w:rPr>
          <w:spacing w:val="-2"/>
        </w:rPr>
        <w:t xml:space="preserve"> </w:t>
      </w:r>
      <w:r w:rsidRPr="0041715F">
        <w:t>largo</w:t>
      </w:r>
      <w:r w:rsidRPr="0041715F">
        <w:rPr>
          <w:spacing w:val="-3"/>
        </w:rPr>
        <w:t xml:space="preserve"> </w:t>
      </w:r>
      <w:r w:rsidRPr="0041715F">
        <w:t>de</w:t>
      </w:r>
      <w:r w:rsidRPr="0041715F">
        <w:rPr>
          <w:spacing w:val="-2"/>
        </w:rPr>
        <w:t>l tiempo</w:t>
      </w:r>
      <w:r w:rsidRPr="0041715F">
        <w:rPr>
          <w:vertAlign w:val="superscript"/>
        </w:rPr>
        <w:footnoteReference w:id="166"/>
      </w:r>
      <w:r w:rsidRPr="0041715F">
        <w:t>.</w:t>
      </w:r>
    </w:p>
    <w:p w14:paraId="1CFE24CC" w14:textId="77777777" w:rsidR="007B594B" w:rsidRPr="00991C0C" w:rsidRDefault="007B594B" w:rsidP="007B594B">
      <w:pPr>
        <w:rPr>
          <w:lang w:val="es-ES"/>
        </w:rPr>
      </w:pPr>
    </w:p>
    <w:p w14:paraId="5CD66379" w14:textId="749872F7" w:rsidR="007B594B" w:rsidRPr="007F395F" w:rsidRDefault="007B594B" w:rsidP="005E070D">
      <w:pPr>
        <w:pStyle w:val="Prrafodelista"/>
      </w:pPr>
      <w:r w:rsidRPr="0041715F">
        <w:t>Asimismo, la Corte ha señalado que l</w:t>
      </w:r>
      <w:r w:rsidRPr="0041715F">
        <w:rPr>
          <w:lang w:eastAsia="es-MX"/>
        </w:rPr>
        <w:t>os órganos estatales encargados de la investigación relacionada con la desaparición forzada de personas</w:t>
      </w:r>
      <w:r>
        <w:rPr>
          <w:lang w:eastAsia="es-MX"/>
        </w:rPr>
        <w:t>;</w:t>
      </w:r>
      <w:r w:rsidRPr="0041715F">
        <w:rPr>
          <w:lang w:eastAsia="es-MX"/>
        </w:rPr>
        <w:t xml:space="preserve"> cuyos objetivos son la determinación de su paradero y el esclarecimiento de lo sucedido, la identificación de los responsables y su posible sanción</w:t>
      </w:r>
      <w:r>
        <w:rPr>
          <w:lang w:eastAsia="es-MX"/>
        </w:rPr>
        <w:t>;</w:t>
      </w:r>
      <w:r w:rsidRPr="0041715F">
        <w:rPr>
          <w:lang w:eastAsia="es-MX"/>
        </w:rPr>
        <w:t xml:space="preserve"> deben llevar a cabo su tarea de manera diligente y exhaustiva</w:t>
      </w:r>
      <w:r w:rsidRPr="00676DC0">
        <w:rPr>
          <w:vertAlign w:val="superscript"/>
        </w:rPr>
        <w:footnoteReference w:id="167"/>
      </w:r>
      <w:r w:rsidRPr="0041715F">
        <w:rPr>
          <w:lang w:eastAsia="es-MX"/>
        </w:rPr>
        <w:t xml:space="preserve">. </w:t>
      </w:r>
      <w:r w:rsidRPr="0041715F">
        <w:rPr>
          <w:rFonts w:eastAsia="Calibri"/>
        </w:rPr>
        <w:t>En casos de desapariciones forzadas, la obligación de investigar se ve reforzada por las obligaciones establecidas en las normas respectivas de la Convención Interamericana sobre Desaparición Forzada</w:t>
      </w:r>
      <w:r w:rsidRPr="0041715F">
        <w:rPr>
          <w:vertAlign w:val="superscript"/>
        </w:rPr>
        <w:footnoteReference w:id="168"/>
      </w:r>
      <w:r w:rsidRPr="0041715F">
        <w:rPr>
          <w:rFonts w:eastAsia="Calibri"/>
        </w:rPr>
        <w:t xml:space="preserve">, entre las que cabe mencionar, por ser relevante en este caso, la prescrita en el artículo I, </w:t>
      </w:r>
      <w:r w:rsidR="005E4E2D">
        <w:rPr>
          <w:rFonts w:eastAsia="Calibri"/>
        </w:rPr>
        <w:t>inciso</w:t>
      </w:r>
      <w:r w:rsidRPr="0041715F">
        <w:rPr>
          <w:rFonts w:eastAsia="Calibri"/>
        </w:rPr>
        <w:t xml:space="preserve"> b), referida al deber de sancionar el delito de desaparición forzada o su tentativa.</w:t>
      </w:r>
    </w:p>
    <w:p w14:paraId="27B31018" w14:textId="77777777" w:rsidR="007B594B" w:rsidRPr="00991C0C" w:rsidRDefault="007B594B" w:rsidP="007B594B">
      <w:pPr>
        <w:rPr>
          <w:lang w:val="es-ES"/>
        </w:rPr>
      </w:pPr>
    </w:p>
    <w:p w14:paraId="1B7D3B38" w14:textId="40F07126" w:rsidR="007B594B" w:rsidRDefault="007B594B" w:rsidP="005E070D">
      <w:pPr>
        <w:pStyle w:val="Prrafodelista"/>
      </w:pPr>
      <w:r w:rsidRPr="00773124">
        <w:t xml:space="preserve">En el presente caso no existe información concluyente sobre el paradero o el destino de los restos de Juan Carlos Flores Bedregal. </w:t>
      </w:r>
      <w:r>
        <w:t xml:space="preserve">La información disponible indica que </w:t>
      </w:r>
      <w:r w:rsidRPr="00773124">
        <w:t xml:space="preserve">en los meses de febrero y abril de 1983 se realizaron dos exhumaciones </w:t>
      </w:r>
      <w:r>
        <w:t>de</w:t>
      </w:r>
      <w:r w:rsidRPr="00773124">
        <w:t xml:space="preserve"> restos</w:t>
      </w:r>
      <w:r>
        <w:t>,</w:t>
      </w:r>
      <w:r w:rsidRPr="00773124">
        <w:t xml:space="preserve"> </w:t>
      </w:r>
      <w:r>
        <w:t xml:space="preserve">que según se determinó </w:t>
      </w:r>
      <w:r w:rsidRPr="00773124">
        <w:t>no correspondían a Juan Carlos Flores Bedregal</w:t>
      </w:r>
      <w:r>
        <w:t>. Se programó</w:t>
      </w:r>
      <w:r w:rsidRPr="00773124">
        <w:t xml:space="preserve"> </w:t>
      </w:r>
      <w:r>
        <w:t>otra</w:t>
      </w:r>
      <w:r w:rsidRPr="00773124">
        <w:t xml:space="preserve"> </w:t>
      </w:r>
      <w:r>
        <w:t>exhumación</w:t>
      </w:r>
      <w:r w:rsidRPr="00773124">
        <w:t xml:space="preserve"> para marzo de ese mismo año que </w:t>
      </w:r>
      <w:r>
        <w:t xml:space="preserve">finalmente </w:t>
      </w:r>
      <w:r w:rsidRPr="00773124">
        <w:t xml:space="preserve">no se realizó. </w:t>
      </w:r>
      <w:r w:rsidR="003A6059">
        <w:t>E</w:t>
      </w:r>
      <w:r>
        <w:t>n</w:t>
      </w:r>
      <w:r w:rsidRPr="00773124">
        <w:t xml:space="preserve"> 1992</w:t>
      </w:r>
      <w:r w:rsidR="003A6059">
        <w:t>,</w:t>
      </w:r>
      <w:r w:rsidR="005E4E2D">
        <w:t xml:space="preserve"> </w:t>
      </w:r>
      <w:r w:rsidRPr="00773124">
        <w:t>los restos</w:t>
      </w:r>
      <w:r w:rsidR="005E4E2D">
        <w:t xml:space="preserve"> exhumados en 1983</w:t>
      </w:r>
      <w:r w:rsidRPr="00773124">
        <w:t xml:space="preserve"> fueron </w:t>
      </w:r>
      <w:r w:rsidR="003A6059" w:rsidRPr="00773124">
        <w:t xml:space="preserve">nuevamente </w:t>
      </w:r>
      <w:r w:rsidRPr="00773124">
        <w:t xml:space="preserve">exhumados a requerimiento de las hermanas Flores Bedregal para ser examinados por el Equipo Argentino de Antropología Forense, quienes determinaron que no pertenecían a la presunta víctima </w:t>
      </w:r>
      <w:r w:rsidRPr="00B25DFD">
        <w:t>(</w:t>
      </w:r>
      <w:r w:rsidRPr="00B25DFD">
        <w:rPr>
          <w:i/>
          <w:iCs/>
        </w:rPr>
        <w:t>supra</w:t>
      </w:r>
      <w:r w:rsidRPr="00B25DFD">
        <w:t xml:space="preserve"> </w:t>
      </w:r>
      <w:r>
        <w:t xml:space="preserve">párr. </w:t>
      </w:r>
      <w:r w:rsidRPr="00B25DFD">
        <w:t>6</w:t>
      </w:r>
      <w:r w:rsidR="0051369C">
        <w:t>8</w:t>
      </w:r>
      <w:r w:rsidRPr="00B25DFD">
        <w:t>).</w:t>
      </w:r>
      <w:r w:rsidRPr="00773124">
        <w:t xml:space="preserve"> Por otra parte, en 2003 se creó el Consejo Institucional para el Esclarecimiento de las Desapariciones Forzadas (CIEDEF), instancia creada para investigar las desapariciones forzadas durante el período de 1964 a 1982</w:t>
      </w:r>
      <w:r>
        <w:t>. N</w:t>
      </w:r>
      <w:r w:rsidRPr="00773124">
        <w:t xml:space="preserve">o se tiene información si </w:t>
      </w:r>
      <w:r w:rsidRPr="00C11CD1">
        <w:t>esta institución</w:t>
      </w:r>
      <w:r>
        <w:t xml:space="preserve"> </w:t>
      </w:r>
      <w:r w:rsidRPr="00773124">
        <w:t xml:space="preserve">realizó diligencia alguna a efectos de ubicar el paradero o los restos del señor Flores Bedregal. Posteriormente, el Estado informó que el 8 de septiembre de 2021 la fiscal a cargo realizó “una declaración informática complementaria a [MFC] conocido como “el sepulturero” a objeto de contar con mayores elementos sobre el paradero de los restos de Flores Bedregal y otras víctimas de la dictadura militar”, y que los días 16 y 17 de diciembre de 2021 se realizaron dos inspecciones técnicas oculares en la Terminal </w:t>
      </w:r>
      <w:r w:rsidRPr="00773124">
        <w:lastRenderedPageBreak/>
        <w:t>Provincial de la Ciudad de El Alto y</w:t>
      </w:r>
      <w:r w:rsidR="009966D5">
        <w:t xml:space="preserve"> en</w:t>
      </w:r>
      <w:r w:rsidRPr="00773124">
        <w:t xml:space="preserve"> </w:t>
      </w:r>
      <w:r w:rsidR="009966D5">
        <w:t xml:space="preserve">el </w:t>
      </w:r>
      <w:r w:rsidRPr="00773124">
        <w:t>Cementerio General de la Paz, respectivamente, como posibles sitios de entierro de personas víctimas de la dictadura militar. De estas diligencias no se obtuvo resultado alguno (</w:t>
      </w:r>
      <w:r w:rsidRPr="00773124">
        <w:rPr>
          <w:i/>
          <w:iCs/>
        </w:rPr>
        <w:t>supra</w:t>
      </w:r>
      <w:r w:rsidRPr="00773124">
        <w:t xml:space="preserve"> párr. </w:t>
      </w:r>
      <w:r>
        <w:t>6</w:t>
      </w:r>
      <w:r w:rsidR="0051369C">
        <w:t>9</w:t>
      </w:r>
      <w:r w:rsidRPr="00773124">
        <w:t>).</w:t>
      </w:r>
    </w:p>
    <w:p w14:paraId="2E55864C" w14:textId="77777777" w:rsidR="007B594B" w:rsidRPr="00991C0C" w:rsidRDefault="007B594B" w:rsidP="007B594B">
      <w:pPr>
        <w:rPr>
          <w:lang w:val="es-ES"/>
        </w:rPr>
      </w:pPr>
    </w:p>
    <w:p w14:paraId="220DD8DE" w14:textId="77777777" w:rsidR="007B594B" w:rsidRDefault="007B594B" w:rsidP="005E070D">
      <w:pPr>
        <w:pStyle w:val="Prrafodelista"/>
      </w:pPr>
      <w:r w:rsidRPr="00726F90">
        <w:t xml:space="preserve">A partir de lo anterior, sin desconocer la complejidad que conlleva la búsqueda de una persona desaparecida en contextos como el </w:t>
      </w:r>
      <w:r>
        <w:t>del presente caso</w:t>
      </w:r>
      <w:r w:rsidRPr="00726F90">
        <w:t xml:space="preserve">, la Corte considera que la obligación </w:t>
      </w:r>
      <w:r w:rsidRPr="00837C76">
        <w:t xml:space="preserve">del Estado de investigar el paradero y de ser el caso localizar los restos del señor Flores Bedregal, </w:t>
      </w:r>
      <w:r w:rsidRPr="00354604">
        <w:t>no puede agotarse en una formalidad ni en la determinación histórica de haberse tratado de una víctima del golpe de Estado de 1980</w:t>
      </w:r>
      <w:r w:rsidRPr="00726F90">
        <w:t xml:space="preserve">. </w:t>
      </w:r>
      <w:r>
        <w:t>P</w:t>
      </w:r>
      <w:r w:rsidRPr="00726F90">
        <w:t xml:space="preserve">ara </w:t>
      </w:r>
      <w:r>
        <w:t>actuar de manera</w:t>
      </w:r>
      <w:r w:rsidRPr="00726F90">
        <w:t xml:space="preserve"> compatible con</w:t>
      </w:r>
      <w:r>
        <w:t xml:space="preserve"> su deber de </w:t>
      </w:r>
      <w:r w:rsidRPr="00726F90">
        <w:t xml:space="preserve">debida diligencia, </w:t>
      </w:r>
      <w:r>
        <w:t xml:space="preserve">el Estado </w:t>
      </w:r>
      <w:r w:rsidRPr="00726F90">
        <w:t xml:space="preserve">debe </w:t>
      </w:r>
      <w:r>
        <w:t>realizar</w:t>
      </w:r>
      <w:r w:rsidRPr="00726F90">
        <w:t xml:space="preserve"> todos los esfuerzos posibles</w:t>
      </w:r>
      <w:r>
        <w:t xml:space="preserve"> en forma </w:t>
      </w:r>
      <w:r w:rsidRPr="00726F90">
        <w:t>sistemática, rigurosa y con los medios adecuados e idóneo</w:t>
      </w:r>
      <w:r w:rsidRPr="00B54D03">
        <w:t>s</w:t>
      </w:r>
      <w:r w:rsidRPr="00B54D03">
        <w:rPr>
          <w:vertAlign w:val="superscript"/>
        </w:rPr>
        <w:footnoteReference w:id="169"/>
      </w:r>
      <w:r w:rsidRPr="00B54D03">
        <w:t>,</w:t>
      </w:r>
      <w:r w:rsidRPr="00726F90">
        <w:t xml:space="preserve"> incluso mediante la solicitud de cooperación </w:t>
      </w:r>
      <w:r>
        <w:t>internaciona</w:t>
      </w:r>
      <w:r w:rsidRPr="0041715F">
        <w:t>l</w:t>
      </w:r>
      <w:r w:rsidRPr="0041715F">
        <w:rPr>
          <w:vertAlign w:val="superscript"/>
        </w:rPr>
        <w:footnoteReference w:id="170"/>
      </w:r>
      <w:r w:rsidRPr="0041715F">
        <w:t>.</w:t>
      </w:r>
    </w:p>
    <w:p w14:paraId="08458C87" w14:textId="77777777" w:rsidR="007B594B" w:rsidRPr="00991C0C" w:rsidRDefault="007B594B" w:rsidP="007B594B">
      <w:pPr>
        <w:rPr>
          <w:lang w:val="es-ES"/>
        </w:rPr>
      </w:pPr>
    </w:p>
    <w:p w14:paraId="77718E6C" w14:textId="5D2631DD" w:rsidR="00013D7F" w:rsidRDefault="007B594B" w:rsidP="005E070D">
      <w:pPr>
        <w:pStyle w:val="Prrafodelista"/>
      </w:pPr>
      <w:r w:rsidRPr="00822797">
        <w:t xml:space="preserve">La Corte destaca el carácter autónomo de la obligación de buscar y localizar a las personas </w:t>
      </w:r>
      <w:r w:rsidRPr="0041715F">
        <w:t>desaparecidas</w:t>
      </w:r>
      <w:r w:rsidRPr="0041715F">
        <w:rPr>
          <w:vertAlign w:val="superscript"/>
        </w:rPr>
        <w:footnoteReference w:id="171"/>
      </w:r>
      <w:r w:rsidRPr="0041715F">
        <w:t>, la que debe ser cumplida en forma eficiente, integral, adecuada y diligente</w:t>
      </w:r>
      <w:r w:rsidRPr="0041715F">
        <w:rPr>
          <w:vertAlign w:val="superscript"/>
        </w:rPr>
        <w:footnoteReference w:id="172"/>
      </w:r>
      <w:r w:rsidRPr="0041715F">
        <w:t>. Esta obligación autónoma se encuentra estrechamente relacio</w:t>
      </w:r>
      <w:r w:rsidRPr="00FA6FA2">
        <w:t>nada con el derecho de los familiares a conocer la verdad sobre la suerte de sus seres queridos</w:t>
      </w:r>
      <w:r w:rsidRPr="0041715F">
        <w:t>. En vista de lo anterior, e</w:t>
      </w:r>
      <w:r w:rsidR="005E4E2D">
        <w:t>ste</w:t>
      </w:r>
      <w:r w:rsidRPr="0041715F">
        <w:t xml:space="preserve"> Tribunal concluye que el Estado incumplió con su obligación de llevar adelante una búsqueda sistemática, rigurosa y con la debida diligencia del paradero del señor Flores Bedregal o de sus restos.</w:t>
      </w:r>
    </w:p>
    <w:p w14:paraId="43BF578B" w14:textId="0EFB5397" w:rsidR="00770EA6" w:rsidRPr="002E3990" w:rsidRDefault="00770EA6" w:rsidP="00BF3A96">
      <w:pPr>
        <w:rPr>
          <w:lang w:val="es-ES"/>
        </w:rPr>
      </w:pPr>
    </w:p>
    <w:p w14:paraId="0B7C2914" w14:textId="77777777" w:rsidR="007B594B" w:rsidRPr="00EC53C7" w:rsidRDefault="007B594B" w:rsidP="00D62951">
      <w:pPr>
        <w:pStyle w:val="Ttulo3"/>
        <w:ind w:left="709"/>
        <w:rPr>
          <w:rFonts w:ascii="Verdana" w:hAnsi="Verdana" w:cs="Arial"/>
          <w:b/>
          <w:bCs/>
          <w:color w:val="000000" w:themeColor="text1"/>
          <w:sz w:val="20"/>
          <w:szCs w:val="20"/>
          <w:lang w:val="es-ES"/>
        </w:rPr>
      </w:pPr>
      <w:bookmarkStart w:id="143" w:name="_Toc125037492"/>
      <w:r w:rsidRPr="00EC53C7">
        <w:rPr>
          <w:rFonts w:ascii="Verdana" w:hAnsi="Verdana" w:cs="Arial"/>
          <w:b/>
          <w:bCs/>
          <w:color w:val="000000" w:themeColor="text1"/>
          <w:sz w:val="20"/>
          <w:szCs w:val="20"/>
          <w:lang w:val="es-ES"/>
        </w:rPr>
        <w:t>B.4. Conclusión General</w:t>
      </w:r>
      <w:bookmarkEnd w:id="143"/>
    </w:p>
    <w:p w14:paraId="354091AC" w14:textId="77777777" w:rsidR="007B594B" w:rsidRPr="00EC53C7" w:rsidRDefault="007B594B" w:rsidP="007B594B">
      <w:pPr>
        <w:rPr>
          <w:lang w:val="es-ES"/>
        </w:rPr>
      </w:pPr>
    </w:p>
    <w:p w14:paraId="0921502D" w14:textId="569DE1DD" w:rsidR="007B594B" w:rsidRPr="00B25DFD" w:rsidRDefault="007B594B" w:rsidP="005E070D">
      <w:pPr>
        <w:pStyle w:val="Prrafodelista"/>
      </w:pPr>
      <w:r w:rsidRPr="00C11CD1">
        <w:t>En virtud de lo anterior, la</w:t>
      </w:r>
      <w:r w:rsidRPr="00EC53C7">
        <w:t xml:space="preserve"> Corte concluye lo siguiente: a) existió una falta de la observancia de la diligencia debida respecto al desarrollo de la investigación y proceso penal; b) existió una demora</w:t>
      </w:r>
      <w:r w:rsidRPr="00EC53C7">
        <w:rPr>
          <w:spacing w:val="1"/>
        </w:rPr>
        <w:t xml:space="preserve"> </w:t>
      </w:r>
      <w:r w:rsidRPr="00EC53C7">
        <w:t>excesiva</w:t>
      </w:r>
      <w:r w:rsidRPr="00EC53C7">
        <w:rPr>
          <w:spacing w:val="-5"/>
        </w:rPr>
        <w:t xml:space="preserve"> </w:t>
      </w:r>
      <w:r w:rsidRPr="00EC53C7">
        <w:t>e</w:t>
      </w:r>
      <w:r w:rsidRPr="00EC53C7">
        <w:rPr>
          <w:spacing w:val="-7"/>
        </w:rPr>
        <w:t xml:space="preserve"> </w:t>
      </w:r>
      <w:r w:rsidRPr="00EC53C7">
        <w:t>injustificada</w:t>
      </w:r>
      <w:r w:rsidRPr="00EC53C7">
        <w:rPr>
          <w:spacing w:val="-7"/>
        </w:rPr>
        <w:t xml:space="preserve"> </w:t>
      </w:r>
      <w:r w:rsidRPr="00EC53C7">
        <w:t>en</w:t>
      </w:r>
      <w:r w:rsidRPr="00EC53C7">
        <w:rPr>
          <w:spacing w:val="-7"/>
        </w:rPr>
        <w:t xml:space="preserve"> </w:t>
      </w:r>
      <w:r w:rsidRPr="00EC53C7">
        <w:t>la</w:t>
      </w:r>
      <w:r w:rsidRPr="00EC53C7">
        <w:rPr>
          <w:spacing w:val="-7"/>
        </w:rPr>
        <w:t xml:space="preserve"> </w:t>
      </w:r>
      <w:r w:rsidRPr="00EC53C7">
        <w:t>tramitación</w:t>
      </w:r>
      <w:r w:rsidRPr="00EC53C7">
        <w:rPr>
          <w:spacing w:val="-7"/>
        </w:rPr>
        <w:t xml:space="preserve"> </w:t>
      </w:r>
      <w:r w:rsidR="005E4E2D">
        <w:rPr>
          <w:spacing w:val="-7"/>
        </w:rPr>
        <w:t>d</w:t>
      </w:r>
      <w:r w:rsidRPr="00EC53C7">
        <w:rPr>
          <w:spacing w:val="-7"/>
        </w:rPr>
        <w:t>el proceso para investigar, juzgar y, en su caso, sancionar</w:t>
      </w:r>
      <w:r w:rsidRPr="00EC53C7">
        <w:t xml:space="preserve"> a los responsables de los hechos; </w:t>
      </w:r>
      <w:r w:rsidR="00694B60">
        <w:t>c</w:t>
      </w:r>
      <w:r w:rsidRPr="00EC53C7">
        <w:t>)</w:t>
      </w:r>
      <w:r w:rsidRPr="00EC53C7">
        <w:rPr>
          <w:spacing w:val="-11"/>
        </w:rPr>
        <w:t xml:space="preserve"> </w:t>
      </w:r>
      <w:r w:rsidRPr="00EC53C7">
        <w:t>después</w:t>
      </w:r>
      <w:r w:rsidRPr="00EC53C7">
        <w:rPr>
          <w:spacing w:val="-7"/>
        </w:rPr>
        <w:t xml:space="preserve"> </w:t>
      </w:r>
      <w:r w:rsidRPr="00EC53C7">
        <w:t>de</w:t>
      </w:r>
      <w:r w:rsidRPr="00EC53C7">
        <w:rPr>
          <w:spacing w:val="-10"/>
        </w:rPr>
        <w:t xml:space="preserve"> más de cuatro décadas </w:t>
      </w:r>
      <w:r w:rsidRPr="00EC53C7">
        <w:t>de</w:t>
      </w:r>
      <w:r w:rsidRPr="00EC53C7">
        <w:rPr>
          <w:spacing w:val="-9"/>
        </w:rPr>
        <w:t>sde el comienzo de la</w:t>
      </w:r>
      <w:r w:rsidRPr="00EC53C7">
        <w:rPr>
          <w:spacing w:val="-10"/>
        </w:rPr>
        <w:t xml:space="preserve"> </w:t>
      </w:r>
      <w:r w:rsidRPr="00EC53C7">
        <w:t>desaparición</w:t>
      </w:r>
      <w:r w:rsidRPr="00EC53C7">
        <w:rPr>
          <w:spacing w:val="-9"/>
        </w:rPr>
        <w:t xml:space="preserve"> </w:t>
      </w:r>
      <w:r w:rsidRPr="00EC53C7">
        <w:t>forzada de Juan Carlos Flores Bedregal,</w:t>
      </w:r>
      <w:r w:rsidRPr="00EC53C7">
        <w:rPr>
          <w:spacing w:val="-8"/>
        </w:rPr>
        <w:t xml:space="preserve"> </w:t>
      </w:r>
      <w:r w:rsidRPr="00EC53C7">
        <w:t>continúa</w:t>
      </w:r>
      <w:r w:rsidRPr="00EC53C7">
        <w:rPr>
          <w:spacing w:val="-10"/>
        </w:rPr>
        <w:t xml:space="preserve"> </w:t>
      </w:r>
      <w:r w:rsidRPr="00EC53C7">
        <w:t>pendiente</w:t>
      </w:r>
      <w:r w:rsidRPr="00EC53C7">
        <w:rPr>
          <w:spacing w:val="-11"/>
        </w:rPr>
        <w:t xml:space="preserve"> </w:t>
      </w:r>
      <w:r w:rsidRPr="00EC53C7">
        <w:t xml:space="preserve">el </w:t>
      </w:r>
      <w:r w:rsidRPr="00EC53C7">
        <w:rPr>
          <w:spacing w:val="-68"/>
        </w:rPr>
        <w:t xml:space="preserve"> </w:t>
      </w:r>
      <w:r w:rsidRPr="00EC53C7">
        <w:t xml:space="preserve">juzgamiento y eventual sanción de los responsables; </w:t>
      </w:r>
      <w:r w:rsidR="00694B60">
        <w:t>d</w:t>
      </w:r>
      <w:r w:rsidRPr="00B25DFD">
        <w:t>) el Estado incumplió con su deber de adoptar disposiciones o medidas en su ámbito interno a fin de proteger y asegurar la vigencia de los derechos violados como resultado de la desaparición forzada de la víctima</w:t>
      </w:r>
      <w:r w:rsidRPr="00EC53C7">
        <w:t>, y</w:t>
      </w:r>
      <w:r w:rsidRPr="00EC53C7">
        <w:rPr>
          <w:spacing w:val="-16"/>
        </w:rPr>
        <w:t xml:space="preserve"> </w:t>
      </w:r>
      <w:r w:rsidR="00694B60">
        <w:t>e</w:t>
      </w:r>
      <w:r w:rsidRPr="00EC53C7">
        <w:t>)</w:t>
      </w:r>
      <w:r w:rsidRPr="00EC53C7">
        <w:rPr>
          <w:spacing w:val="-12"/>
        </w:rPr>
        <w:t xml:space="preserve"> </w:t>
      </w:r>
      <w:r w:rsidRPr="00EC53C7">
        <w:t>no</w:t>
      </w:r>
      <w:r w:rsidRPr="00EC53C7">
        <w:rPr>
          <w:spacing w:val="-14"/>
        </w:rPr>
        <w:t xml:space="preserve"> se </w:t>
      </w:r>
      <w:r w:rsidRPr="00035F0B">
        <w:t xml:space="preserve">han llevado adelante </w:t>
      </w:r>
      <w:r w:rsidRPr="00EC53C7">
        <w:t>todos</w:t>
      </w:r>
      <w:r w:rsidRPr="00EC53C7">
        <w:rPr>
          <w:spacing w:val="-14"/>
        </w:rPr>
        <w:t xml:space="preserve"> </w:t>
      </w:r>
      <w:r w:rsidRPr="00EC53C7">
        <w:t>los</w:t>
      </w:r>
      <w:r w:rsidRPr="00EC53C7">
        <w:rPr>
          <w:spacing w:val="-14"/>
        </w:rPr>
        <w:t xml:space="preserve"> </w:t>
      </w:r>
      <w:r w:rsidRPr="00EC53C7">
        <w:t>esfuerzos</w:t>
      </w:r>
      <w:r w:rsidRPr="00EC53C7">
        <w:rPr>
          <w:spacing w:val="-15"/>
        </w:rPr>
        <w:t xml:space="preserve"> </w:t>
      </w:r>
      <w:r w:rsidRPr="00EC53C7">
        <w:t>necesarios</w:t>
      </w:r>
      <w:r w:rsidRPr="00EC53C7">
        <w:rPr>
          <w:spacing w:val="-68"/>
        </w:rPr>
        <w:t xml:space="preserve">   </w:t>
      </w:r>
      <w:r w:rsidRPr="00EC53C7">
        <w:t xml:space="preserve"> para esclarecer el paradero de la víctima o localizar sus restos, </w:t>
      </w:r>
      <w:r w:rsidRPr="00B25DFD">
        <w:t xml:space="preserve">en violación del derecho a la verdad de sus familiares. </w:t>
      </w:r>
    </w:p>
    <w:p w14:paraId="5E0D75E9" w14:textId="41B8C183" w:rsidR="007B594B" w:rsidRDefault="007B594B" w:rsidP="007B594B">
      <w:pPr>
        <w:rPr>
          <w:lang w:val="es-ES"/>
        </w:rPr>
      </w:pPr>
    </w:p>
    <w:p w14:paraId="0429F109" w14:textId="2A13D57D" w:rsidR="00C11CD1" w:rsidRDefault="007B594B" w:rsidP="005E070D">
      <w:pPr>
        <w:pStyle w:val="Prrafodelista"/>
      </w:pPr>
      <w:r w:rsidRPr="00EC53C7">
        <w:t>En consecuencia, este Tribunal considera que el Estado violó los artículos 8.1 y 25.1 de la Convención</w:t>
      </w:r>
      <w:r w:rsidRPr="00EC53C7">
        <w:rPr>
          <w:spacing w:val="1"/>
        </w:rPr>
        <w:t xml:space="preserve"> </w:t>
      </w:r>
      <w:r w:rsidRPr="00EC53C7">
        <w:t>Americana,</w:t>
      </w:r>
      <w:r w:rsidRPr="00EC53C7">
        <w:rPr>
          <w:spacing w:val="-13"/>
        </w:rPr>
        <w:t xml:space="preserve"> </w:t>
      </w:r>
      <w:r w:rsidRPr="00EC53C7">
        <w:t>en</w:t>
      </w:r>
      <w:r w:rsidRPr="00EC53C7">
        <w:rPr>
          <w:spacing w:val="-12"/>
        </w:rPr>
        <w:t xml:space="preserve"> </w:t>
      </w:r>
      <w:r w:rsidRPr="00EC53C7">
        <w:t>relación</w:t>
      </w:r>
      <w:r w:rsidRPr="00EC53C7">
        <w:rPr>
          <w:spacing w:val="-14"/>
        </w:rPr>
        <w:t xml:space="preserve"> </w:t>
      </w:r>
      <w:r w:rsidRPr="00EC53C7">
        <w:t>con</w:t>
      </w:r>
      <w:r w:rsidRPr="00EC53C7">
        <w:rPr>
          <w:spacing w:val="-14"/>
        </w:rPr>
        <w:t xml:space="preserve"> </w:t>
      </w:r>
      <w:r w:rsidRPr="00EC53C7">
        <w:t>los</w:t>
      </w:r>
      <w:r w:rsidRPr="00EC53C7">
        <w:rPr>
          <w:spacing w:val="-13"/>
        </w:rPr>
        <w:t xml:space="preserve"> </w:t>
      </w:r>
      <w:r w:rsidRPr="00EC53C7">
        <w:t>artículos</w:t>
      </w:r>
      <w:r w:rsidRPr="00EC53C7">
        <w:rPr>
          <w:spacing w:val="-16"/>
        </w:rPr>
        <w:t xml:space="preserve"> </w:t>
      </w:r>
      <w:r w:rsidRPr="00EC53C7">
        <w:t>1.1</w:t>
      </w:r>
      <w:r w:rsidRPr="00EC53C7">
        <w:rPr>
          <w:spacing w:val="-12"/>
        </w:rPr>
        <w:t xml:space="preserve"> </w:t>
      </w:r>
      <w:r w:rsidRPr="00EC53C7">
        <w:t>y</w:t>
      </w:r>
      <w:r w:rsidRPr="00EC53C7">
        <w:rPr>
          <w:spacing w:val="-13"/>
        </w:rPr>
        <w:t xml:space="preserve"> </w:t>
      </w:r>
      <w:r w:rsidRPr="00EC53C7">
        <w:t>2</w:t>
      </w:r>
      <w:r w:rsidRPr="00EC53C7">
        <w:rPr>
          <w:spacing w:val="-12"/>
        </w:rPr>
        <w:t xml:space="preserve"> </w:t>
      </w:r>
      <w:r w:rsidRPr="00EC53C7">
        <w:t>del</w:t>
      </w:r>
      <w:r w:rsidRPr="00EC53C7">
        <w:rPr>
          <w:spacing w:val="-12"/>
        </w:rPr>
        <w:t xml:space="preserve"> </w:t>
      </w:r>
      <w:r w:rsidRPr="00EC53C7">
        <w:t>mismo</w:t>
      </w:r>
      <w:r w:rsidRPr="00EC53C7">
        <w:rPr>
          <w:spacing w:val="-15"/>
        </w:rPr>
        <w:t xml:space="preserve"> </w:t>
      </w:r>
      <w:r w:rsidRPr="00EC53C7">
        <w:t>instrumento,</w:t>
      </w:r>
      <w:r w:rsidRPr="00EC53C7">
        <w:rPr>
          <w:spacing w:val="-11"/>
        </w:rPr>
        <w:t xml:space="preserve"> </w:t>
      </w:r>
      <w:r w:rsidRPr="005E070D">
        <w:rPr>
          <w:spacing w:val="-11"/>
        </w:rPr>
        <w:t>así como</w:t>
      </w:r>
      <w:r w:rsidR="00484BBC" w:rsidRPr="005E070D">
        <w:rPr>
          <w:spacing w:val="-11"/>
        </w:rPr>
        <w:t xml:space="preserve"> el derecho a conocer la verdad</w:t>
      </w:r>
      <w:r w:rsidR="00484BBC">
        <w:rPr>
          <w:spacing w:val="-11"/>
        </w:rPr>
        <w:t xml:space="preserve"> y</w:t>
      </w:r>
      <w:r w:rsidR="007B0BB4">
        <w:rPr>
          <w:spacing w:val="-11"/>
        </w:rPr>
        <w:t xml:space="preserve"> </w:t>
      </w:r>
      <w:r w:rsidRPr="00EC53C7">
        <w:t>los</w:t>
      </w:r>
      <w:r w:rsidRPr="00EC53C7">
        <w:rPr>
          <w:spacing w:val="-13"/>
        </w:rPr>
        <w:t xml:space="preserve"> </w:t>
      </w:r>
      <w:r w:rsidRPr="00EC53C7">
        <w:t>artículos</w:t>
      </w:r>
      <w:r w:rsidRPr="00EC53C7">
        <w:rPr>
          <w:spacing w:val="-13"/>
        </w:rPr>
        <w:t xml:space="preserve"> </w:t>
      </w:r>
      <w:r w:rsidRPr="00EC53C7">
        <w:t>I</w:t>
      </w:r>
      <w:r w:rsidR="00A32DBE">
        <w:t>.</w:t>
      </w:r>
      <w:r w:rsidRPr="00EC53C7">
        <w:t>b)</w:t>
      </w:r>
      <w:r w:rsidR="00BE48C7">
        <w:t xml:space="preserve"> </w:t>
      </w:r>
      <w:r w:rsidRPr="00EC53C7">
        <w:t>y III de la Convención Interamericana sobre Desaparición Forzada de Personas, en</w:t>
      </w:r>
      <w:r w:rsidRPr="00EC53C7">
        <w:rPr>
          <w:spacing w:val="1"/>
        </w:rPr>
        <w:t xml:space="preserve"> </w:t>
      </w:r>
      <w:r w:rsidRPr="00EC53C7">
        <w:t>perjuicio de Verónica, Eliana Isbelia, Liliam Teresa y Olga Beatriz Flores Bedregal.</w:t>
      </w:r>
    </w:p>
    <w:p w14:paraId="43A0F750" w14:textId="77777777" w:rsidR="00BE48C7" w:rsidRPr="00BC5D78" w:rsidRDefault="00BE48C7" w:rsidP="00BC5D78">
      <w:pPr>
        <w:rPr>
          <w:lang w:val="es-CR"/>
        </w:rPr>
      </w:pPr>
    </w:p>
    <w:p w14:paraId="31648C8E" w14:textId="77777777" w:rsidR="00480CEB" w:rsidRPr="002E61E9" w:rsidRDefault="00480CEB" w:rsidP="00E55450">
      <w:pPr>
        <w:rPr>
          <w:lang w:val="es-ES"/>
        </w:rPr>
      </w:pPr>
      <w:bookmarkStart w:id="144" w:name="_Toc470105105"/>
    </w:p>
    <w:p w14:paraId="78FC0736" w14:textId="6002D42B" w:rsidR="00F6573C" w:rsidRPr="00F6573C" w:rsidRDefault="00F6573C" w:rsidP="007E6E68">
      <w:pPr>
        <w:pStyle w:val="Ttulo1"/>
        <w:spacing w:before="0"/>
        <w:jc w:val="center"/>
        <w:rPr>
          <w:rFonts w:ascii="Verdana" w:hAnsi="Verdana"/>
          <w:b/>
          <w:bCs/>
          <w:color w:val="000000" w:themeColor="text1"/>
          <w:sz w:val="20"/>
          <w:szCs w:val="20"/>
          <w:lang w:val="es-ES"/>
        </w:rPr>
      </w:pPr>
      <w:bookmarkStart w:id="145" w:name="_Toc100230493"/>
      <w:bookmarkStart w:id="146" w:name="_Toc101448238"/>
      <w:bookmarkStart w:id="147" w:name="_Toc107234599"/>
      <w:bookmarkStart w:id="148" w:name="_Toc115717828"/>
      <w:bookmarkStart w:id="149" w:name="_Toc124157817"/>
      <w:bookmarkStart w:id="150" w:name="_Toc125037493"/>
      <w:r w:rsidRPr="00F6573C">
        <w:rPr>
          <w:rFonts w:ascii="Verdana" w:hAnsi="Verdana"/>
          <w:b/>
          <w:bCs/>
          <w:color w:val="000000" w:themeColor="text1"/>
          <w:sz w:val="20"/>
          <w:szCs w:val="20"/>
          <w:lang w:val="es-ES"/>
        </w:rPr>
        <w:lastRenderedPageBreak/>
        <w:t>VI</w:t>
      </w:r>
      <w:r w:rsidR="007E6E68">
        <w:rPr>
          <w:rFonts w:ascii="Verdana" w:hAnsi="Verdana"/>
          <w:b/>
          <w:bCs/>
          <w:color w:val="000000" w:themeColor="text1"/>
          <w:sz w:val="20"/>
          <w:szCs w:val="20"/>
          <w:lang w:val="es-ES"/>
        </w:rPr>
        <w:t>I</w:t>
      </w:r>
      <w:bookmarkEnd w:id="145"/>
      <w:r w:rsidRPr="00F6573C">
        <w:rPr>
          <w:rFonts w:ascii="Verdana" w:hAnsi="Verdana"/>
          <w:b/>
          <w:bCs/>
          <w:color w:val="000000" w:themeColor="text1"/>
          <w:sz w:val="20"/>
          <w:szCs w:val="20"/>
          <w:lang w:val="es-ES"/>
        </w:rPr>
        <w:t>-III</w:t>
      </w:r>
      <w:bookmarkEnd w:id="146"/>
      <w:bookmarkEnd w:id="147"/>
      <w:bookmarkEnd w:id="148"/>
      <w:bookmarkEnd w:id="149"/>
      <w:bookmarkEnd w:id="150"/>
    </w:p>
    <w:p w14:paraId="77AD8DE9" w14:textId="5ABBAFF2" w:rsidR="00F6573C" w:rsidRDefault="00F6573C" w:rsidP="007E6E68">
      <w:pPr>
        <w:pStyle w:val="Ttulo1"/>
        <w:spacing w:before="0"/>
        <w:jc w:val="center"/>
        <w:rPr>
          <w:rFonts w:ascii="Verdana" w:hAnsi="Verdana"/>
          <w:b/>
          <w:bCs/>
          <w:color w:val="000000" w:themeColor="text1"/>
          <w:sz w:val="20"/>
          <w:szCs w:val="20"/>
          <w:vertAlign w:val="superscript"/>
          <w:lang w:val="es-ES"/>
        </w:rPr>
      </w:pPr>
      <w:bookmarkStart w:id="151" w:name="_Toc100230494"/>
      <w:bookmarkStart w:id="152" w:name="_Toc101448239"/>
      <w:bookmarkStart w:id="153" w:name="_Toc125037494"/>
      <w:r w:rsidRPr="00F6573C">
        <w:rPr>
          <w:rFonts w:ascii="Verdana" w:hAnsi="Verdana"/>
          <w:b/>
          <w:bCs/>
          <w:color w:val="000000" w:themeColor="text1"/>
          <w:sz w:val="20"/>
          <w:szCs w:val="20"/>
          <w:lang w:val="es-ES"/>
        </w:rPr>
        <w:t xml:space="preserve">DERECHO A </w:t>
      </w:r>
      <w:bookmarkStart w:id="154" w:name="_Toc100230495"/>
      <w:bookmarkEnd w:id="151"/>
      <w:bookmarkEnd w:id="152"/>
      <w:r w:rsidRPr="00F6573C">
        <w:rPr>
          <w:rFonts w:ascii="Verdana" w:hAnsi="Verdana"/>
          <w:b/>
          <w:bCs/>
          <w:color w:val="000000" w:themeColor="text1"/>
          <w:sz w:val="20"/>
          <w:szCs w:val="20"/>
          <w:lang w:val="es-ES"/>
        </w:rPr>
        <w:t xml:space="preserve">BUSCAR Y RECIBIR INFORMACIÓN </w:t>
      </w:r>
      <w:r w:rsidR="0051369C">
        <w:rPr>
          <w:rFonts w:ascii="Verdana" w:hAnsi="Verdana"/>
          <w:b/>
          <w:bCs/>
          <w:color w:val="000000" w:themeColor="text1"/>
          <w:sz w:val="20"/>
          <w:szCs w:val="20"/>
          <w:lang w:val="es-ES"/>
        </w:rPr>
        <w:t xml:space="preserve">Y GARANTÍAS JUDICIALES, </w:t>
      </w:r>
      <w:r w:rsidRPr="00F6573C">
        <w:rPr>
          <w:rFonts w:ascii="Verdana" w:hAnsi="Verdana"/>
          <w:b/>
          <w:bCs/>
          <w:color w:val="000000" w:themeColor="text1"/>
          <w:sz w:val="20"/>
          <w:szCs w:val="20"/>
          <w:lang w:val="es-ES"/>
        </w:rPr>
        <w:t>EN RELACIÓN CON EL DEBER DE RESPETAR Y GARANTIZAR LOS DERECHOS Y EL DEBER DE ADOPTAR DISPOSICIONES DE DERECHO INTERNO</w:t>
      </w:r>
      <w:bookmarkEnd w:id="154"/>
      <w:r w:rsidRPr="00F6573C">
        <w:rPr>
          <w:rFonts w:ascii="Verdana" w:hAnsi="Verdana"/>
          <w:b/>
          <w:bCs/>
          <w:color w:val="000000" w:themeColor="text1"/>
          <w:sz w:val="20"/>
          <w:szCs w:val="20"/>
          <w:lang w:val="es-ES"/>
        </w:rPr>
        <w:t>, ESTABLECIDOS EN LA CONVENCIÓN AMERICANA</w:t>
      </w:r>
      <w:r w:rsidRPr="00F6573C">
        <w:rPr>
          <w:rFonts w:ascii="Verdana" w:hAnsi="Verdana"/>
          <w:b/>
          <w:bCs/>
          <w:color w:val="000000" w:themeColor="text1"/>
          <w:sz w:val="20"/>
          <w:szCs w:val="20"/>
          <w:vertAlign w:val="superscript"/>
          <w:lang w:val="es-ES"/>
        </w:rPr>
        <w:footnoteReference w:id="173"/>
      </w:r>
      <w:bookmarkEnd w:id="153"/>
      <w:r w:rsidRPr="00F6573C">
        <w:rPr>
          <w:rFonts w:ascii="Verdana" w:hAnsi="Verdana"/>
          <w:b/>
          <w:bCs/>
          <w:color w:val="000000" w:themeColor="text1"/>
          <w:sz w:val="20"/>
          <w:szCs w:val="20"/>
          <w:vertAlign w:val="superscript"/>
          <w:lang w:val="es-ES"/>
        </w:rPr>
        <w:t xml:space="preserve"> </w:t>
      </w:r>
    </w:p>
    <w:p w14:paraId="750E9E6A" w14:textId="6B5CC179" w:rsidR="00F6573C" w:rsidRPr="00B54D03" w:rsidRDefault="00F6573C" w:rsidP="006850CC">
      <w:pPr>
        <w:rPr>
          <w:rFonts w:ascii="Verdana" w:hAnsi="Verdana"/>
          <w:lang w:val="es-ES"/>
        </w:rPr>
      </w:pPr>
    </w:p>
    <w:p w14:paraId="26FB6C43" w14:textId="3E84699B" w:rsidR="004A0914" w:rsidRDefault="004A0914" w:rsidP="005E070D">
      <w:pPr>
        <w:pStyle w:val="Prrafodelista"/>
      </w:pPr>
      <w:bookmarkStart w:id="155" w:name="_Hlk101436574"/>
      <w:bookmarkEnd w:id="144"/>
      <w:r>
        <w:t>Con</w:t>
      </w:r>
      <w:r w:rsidRPr="00F6573C">
        <w:t xml:space="preserve"> el fin de determinar si el Estado es responsable </w:t>
      </w:r>
      <w:r>
        <w:t>por</w:t>
      </w:r>
      <w:r w:rsidRPr="00F6573C">
        <w:t xml:space="preserve"> las alegadas violaciones a los artículos </w:t>
      </w:r>
      <w:r w:rsidRPr="005E070D">
        <w:t>13</w:t>
      </w:r>
      <w:r w:rsidR="00484BBC" w:rsidRPr="005E070D">
        <w:t xml:space="preserve"> y </w:t>
      </w:r>
      <w:r w:rsidRPr="005E070D">
        <w:t>8.1</w:t>
      </w:r>
      <w:r w:rsidR="00694B60" w:rsidRPr="005E070D">
        <w:t>,</w:t>
      </w:r>
      <w:r w:rsidRPr="007B0BB4">
        <w:t xml:space="preserve"> en</w:t>
      </w:r>
      <w:r w:rsidRPr="00F6573C">
        <w:t xml:space="preserve"> relación con los artículos 1.1 y 2, todos</w:t>
      </w:r>
      <w:r w:rsidRPr="00F6573C">
        <w:rPr>
          <w:caps/>
          <w:smallCaps/>
        </w:rPr>
        <w:t xml:space="preserve"> </w:t>
      </w:r>
      <w:r w:rsidRPr="00F6573C">
        <w:t xml:space="preserve">de la Convención Americana, la </w:t>
      </w:r>
      <w:r w:rsidRPr="00CA2144">
        <w:t>Corte sintetizará los argumentos de las partes, y hará las consideraciones pertinentes sobre los procesos judiciales y el marco normativo relacionados con el derecho a buscar y a recibir información.</w:t>
      </w:r>
    </w:p>
    <w:p w14:paraId="16750CED" w14:textId="77777777" w:rsidR="004A0914" w:rsidRPr="00CA2144" w:rsidRDefault="004A0914" w:rsidP="004A0914">
      <w:pPr>
        <w:rPr>
          <w:lang w:val="es-ES"/>
        </w:rPr>
      </w:pPr>
    </w:p>
    <w:p w14:paraId="237D979F" w14:textId="7D9A91CF" w:rsidR="004A0914" w:rsidRPr="00CA2144" w:rsidRDefault="004A0914" w:rsidP="005E070D">
      <w:pPr>
        <w:pStyle w:val="Prrafodelista"/>
      </w:pPr>
      <w:r w:rsidRPr="00CA2144">
        <w:t xml:space="preserve"> Según consta en el expediente, las solicitudes de desclasificación y acceso a la información contenida en archivos militares “que pudieran esclarecer el paradero de Juan Carlos Flores Bedregal y posibles autores de su desaparición forzada” fueron iniciadas e impulsadas en el contexto del proceso penal “Ministerio Público c/Franz Pizarro Solano y </w:t>
      </w:r>
      <w:r w:rsidR="005E4E2D">
        <w:t>o</w:t>
      </w:r>
      <w:r w:rsidRPr="00CA2144">
        <w:t>tros” y el procedimiento administrativo ante las FFAA derivado de la Resolución Ministerial No. 316. Al procedimiento No. 6441/</w:t>
      </w:r>
      <w:r w:rsidR="0099343A">
        <w:t>0</w:t>
      </w:r>
      <w:r w:rsidRPr="00CA2144">
        <w:t>9, se hará referencia únicamente en lo que concierne con el proceso</w:t>
      </w:r>
      <w:r w:rsidR="0099343A">
        <w:t xml:space="preserve"> del “Ministerio Público </w:t>
      </w:r>
      <w:r w:rsidRPr="00CA2144">
        <w:t>c/Franz Pizarro</w:t>
      </w:r>
      <w:r w:rsidR="0099343A">
        <w:t xml:space="preserve"> Solano</w:t>
      </w:r>
      <w:r w:rsidR="004E45BE">
        <w:t xml:space="preserve"> </w:t>
      </w:r>
      <w:r w:rsidRPr="00CA2144">
        <w:t>y otros</w:t>
      </w:r>
      <w:r w:rsidR="004E45BE">
        <w:t>”</w:t>
      </w:r>
      <w:r w:rsidRPr="00CA2144">
        <w:t>.</w:t>
      </w:r>
    </w:p>
    <w:p w14:paraId="242E7918" w14:textId="77777777" w:rsidR="004A0914" w:rsidRPr="002E61E9" w:rsidRDefault="004A0914" w:rsidP="004A0914">
      <w:pPr>
        <w:rPr>
          <w:lang w:val="es-ES"/>
        </w:rPr>
      </w:pPr>
    </w:p>
    <w:p w14:paraId="25E84864" w14:textId="77777777" w:rsidR="004A0914" w:rsidRPr="00E87E0B" w:rsidRDefault="004A0914" w:rsidP="00D62951">
      <w:pPr>
        <w:pStyle w:val="Ttulo2"/>
        <w:ind w:left="567"/>
        <w:rPr>
          <w:rFonts w:ascii="Verdana" w:hAnsi="Verdana" w:cs="Arial"/>
          <w:b/>
          <w:bCs/>
          <w:color w:val="000000" w:themeColor="text1"/>
          <w:sz w:val="20"/>
          <w:szCs w:val="20"/>
          <w:lang w:val="es-ES"/>
        </w:rPr>
      </w:pPr>
      <w:bookmarkStart w:id="156" w:name="_Toc125037495"/>
      <w:r w:rsidRPr="00E87E0B">
        <w:rPr>
          <w:rFonts w:ascii="Verdana" w:hAnsi="Verdana" w:cs="Arial"/>
          <w:b/>
          <w:bCs/>
          <w:color w:val="000000" w:themeColor="text1"/>
          <w:sz w:val="20"/>
          <w:szCs w:val="20"/>
          <w:lang w:val="es-ES"/>
        </w:rPr>
        <w:t>A. Proceso penal y administrativo</w:t>
      </w:r>
      <w:bookmarkEnd w:id="156"/>
    </w:p>
    <w:p w14:paraId="5B2DE06B" w14:textId="77777777" w:rsidR="004A0914" w:rsidRDefault="004A0914" w:rsidP="00D62951">
      <w:pPr>
        <w:pStyle w:val="PrrafodeSentencia"/>
      </w:pPr>
    </w:p>
    <w:p w14:paraId="0A075CA4" w14:textId="77777777" w:rsidR="004A0914" w:rsidRPr="00E87E0B" w:rsidRDefault="004A0914" w:rsidP="00D62951">
      <w:pPr>
        <w:pStyle w:val="Ttulo3"/>
        <w:ind w:left="709"/>
        <w:rPr>
          <w:rFonts w:ascii="Verdana" w:hAnsi="Verdana" w:cs="Arial"/>
          <w:b/>
          <w:bCs/>
          <w:color w:val="000000" w:themeColor="text1"/>
          <w:sz w:val="20"/>
          <w:szCs w:val="20"/>
          <w:lang w:val="es-ES"/>
        </w:rPr>
      </w:pPr>
      <w:bookmarkStart w:id="157" w:name="_Toc125037496"/>
      <w:r w:rsidRPr="00E87E0B">
        <w:rPr>
          <w:rFonts w:ascii="Verdana" w:hAnsi="Verdana" w:cs="Arial"/>
          <w:b/>
          <w:bCs/>
          <w:color w:val="000000" w:themeColor="text1"/>
          <w:sz w:val="20"/>
          <w:szCs w:val="20"/>
          <w:lang w:val="es-ES"/>
        </w:rPr>
        <w:t>A.1. Proceso Penal “Ministerio Público c/Franz Pizarro Solano y otros”</w:t>
      </w:r>
      <w:bookmarkEnd w:id="157"/>
    </w:p>
    <w:p w14:paraId="5779A50B" w14:textId="77777777" w:rsidR="004A0914" w:rsidRPr="00685917" w:rsidRDefault="004A0914" w:rsidP="004A0914">
      <w:pPr>
        <w:contextualSpacing/>
        <w:jc w:val="both"/>
        <w:rPr>
          <w:rFonts w:ascii="Verdana" w:hAnsi="Verdana"/>
          <w:lang w:val="es-ES"/>
        </w:rPr>
      </w:pPr>
    </w:p>
    <w:p w14:paraId="70BD69F0" w14:textId="722270FB" w:rsidR="004A0914" w:rsidRPr="00F72413" w:rsidRDefault="004A0914" w:rsidP="00D62951">
      <w:pPr>
        <w:pStyle w:val="Ttulo3"/>
        <w:spacing w:before="0"/>
        <w:ind w:left="851"/>
        <w:rPr>
          <w:rFonts w:ascii="Verdana" w:hAnsi="Verdana" w:cs="Arial"/>
          <w:b/>
          <w:bCs/>
          <w:color w:val="000000" w:themeColor="text1"/>
          <w:sz w:val="20"/>
          <w:szCs w:val="20"/>
          <w:lang w:val="es-ES"/>
        </w:rPr>
      </w:pPr>
      <w:bookmarkStart w:id="158" w:name="_Toc125037497"/>
      <w:r w:rsidRPr="00F72413">
        <w:rPr>
          <w:rFonts w:ascii="Verdana" w:hAnsi="Verdana" w:cs="Arial"/>
          <w:b/>
          <w:bCs/>
          <w:color w:val="000000" w:themeColor="text1"/>
          <w:sz w:val="20"/>
          <w:szCs w:val="20"/>
          <w:lang w:val="es-ES"/>
        </w:rPr>
        <w:t>A.1.</w:t>
      </w:r>
      <w:r w:rsidR="009029E2">
        <w:rPr>
          <w:rFonts w:ascii="Verdana" w:hAnsi="Verdana" w:cs="Arial"/>
          <w:b/>
          <w:bCs/>
          <w:color w:val="000000" w:themeColor="text1"/>
          <w:sz w:val="20"/>
          <w:szCs w:val="20"/>
          <w:lang w:val="es-ES"/>
        </w:rPr>
        <w:t>1</w:t>
      </w:r>
      <w:r w:rsidRPr="00F72413">
        <w:rPr>
          <w:rFonts w:ascii="Verdana" w:hAnsi="Verdana" w:cs="Arial"/>
          <w:b/>
          <w:bCs/>
          <w:color w:val="000000" w:themeColor="text1"/>
          <w:sz w:val="20"/>
          <w:szCs w:val="20"/>
          <w:lang w:val="es-ES"/>
        </w:rPr>
        <w:t>. A</w:t>
      </w:r>
      <w:r w:rsidR="009B4CEC">
        <w:rPr>
          <w:rFonts w:ascii="Verdana" w:hAnsi="Verdana" w:cs="Arial"/>
          <w:b/>
          <w:bCs/>
          <w:color w:val="000000" w:themeColor="text1"/>
          <w:sz w:val="20"/>
          <w:szCs w:val="20"/>
          <w:lang w:val="es-ES"/>
        </w:rPr>
        <w:t xml:space="preserve">legatos </w:t>
      </w:r>
      <w:r w:rsidRPr="00F72413">
        <w:rPr>
          <w:rFonts w:ascii="Verdana" w:hAnsi="Verdana" w:cs="Arial"/>
          <w:b/>
          <w:bCs/>
          <w:color w:val="000000" w:themeColor="text1"/>
          <w:sz w:val="20"/>
          <w:szCs w:val="20"/>
          <w:lang w:val="es-ES"/>
        </w:rPr>
        <w:t>de la Comisión</w:t>
      </w:r>
      <w:bookmarkEnd w:id="158"/>
      <w:r w:rsidR="009B4CEC">
        <w:rPr>
          <w:rFonts w:ascii="Verdana" w:hAnsi="Verdana" w:cs="Arial"/>
          <w:b/>
          <w:bCs/>
          <w:color w:val="000000" w:themeColor="text1"/>
          <w:sz w:val="20"/>
          <w:szCs w:val="20"/>
          <w:lang w:val="es-ES"/>
        </w:rPr>
        <w:t xml:space="preserve"> y las partes</w:t>
      </w:r>
    </w:p>
    <w:p w14:paraId="2D961F50" w14:textId="77777777" w:rsidR="004A0914" w:rsidRPr="00F72413" w:rsidRDefault="004A0914" w:rsidP="004A0914">
      <w:pPr>
        <w:rPr>
          <w:rFonts w:ascii="Verdana" w:hAnsi="Verdana"/>
          <w:lang w:val="es-ES"/>
        </w:rPr>
      </w:pPr>
    </w:p>
    <w:p w14:paraId="733C151A" w14:textId="112B0E1E" w:rsidR="004A0914" w:rsidRPr="00F72413" w:rsidRDefault="004A0914" w:rsidP="005E070D">
      <w:pPr>
        <w:pStyle w:val="Prrafodelista"/>
      </w:pPr>
      <w:r w:rsidRPr="00F72413">
        <w:t xml:space="preserve">La </w:t>
      </w:r>
      <w:r w:rsidRPr="00F72413">
        <w:rPr>
          <w:b/>
          <w:bCs/>
          <w:i/>
          <w:iCs/>
        </w:rPr>
        <w:t>C</w:t>
      </w:r>
      <w:r w:rsidRPr="00013D7F">
        <w:rPr>
          <w:b/>
          <w:bCs/>
          <w:i/>
          <w:iCs/>
        </w:rPr>
        <w:t>omisión</w:t>
      </w:r>
      <w:r w:rsidRPr="00013D7F">
        <w:t xml:space="preserve"> refirió que en el proceso</w:t>
      </w:r>
      <w:r w:rsidR="00491B7C" w:rsidRPr="00013D7F">
        <w:t xml:space="preserve"> penal</w:t>
      </w:r>
      <w:r w:rsidRPr="00013D7F">
        <w:t xml:space="preserve"> </w:t>
      </w:r>
      <w:r w:rsidR="00491B7C" w:rsidRPr="00013D7F">
        <w:t xml:space="preserve">“Ministerio Público </w:t>
      </w:r>
      <w:r w:rsidRPr="00013D7F">
        <w:t xml:space="preserve">c/Franz Pizarro </w:t>
      </w:r>
      <w:r w:rsidR="00491B7C" w:rsidRPr="00013D7F">
        <w:t xml:space="preserve">Solano </w:t>
      </w:r>
      <w:r w:rsidRPr="00013D7F">
        <w:t>y otros</w:t>
      </w:r>
      <w:r w:rsidR="00480CEB" w:rsidRPr="00013D7F">
        <w:t>”</w:t>
      </w:r>
      <w:r w:rsidRPr="00013D7F">
        <w:t xml:space="preserve">, </w:t>
      </w:r>
      <w:r w:rsidRPr="00013D7F">
        <w:rPr>
          <w:lang w:eastAsia="zh-CN"/>
        </w:rPr>
        <w:t>las autoridades</w:t>
      </w:r>
      <w:r w:rsidRPr="00F72413">
        <w:rPr>
          <w:lang w:eastAsia="zh-CN"/>
        </w:rPr>
        <w:t xml:space="preserve"> judiciales emitieron órdenes de desclasificación de archivos militares en forma tardía, que no fueron acatadas oportunamente por las FFAA. Señaló que el Estado se encontraba obligado a responder de forma oportuna las solicitudes de </w:t>
      </w:r>
      <w:r w:rsidRPr="00C11CD1">
        <w:rPr>
          <w:lang w:eastAsia="zh-CN"/>
        </w:rPr>
        <w:t>acceso a la información y garantizar que las FFAA facilitaran la información a las autoridades judiciales y a las familiares del señor Flores Bedregal</w:t>
      </w:r>
      <w:r w:rsidRPr="00F72413">
        <w:rPr>
          <w:lang w:eastAsia="zh-CN"/>
        </w:rPr>
        <w:t>;</w:t>
      </w:r>
      <w:r w:rsidR="0069098E">
        <w:rPr>
          <w:lang w:eastAsia="zh-CN"/>
        </w:rPr>
        <w:t xml:space="preserve"> </w:t>
      </w:r>
      <w:r w:rsidRPr="00F72413">
        <w:rPr>
          <w:lang w:eastAsia="zh-CN"/>
        </w:rPr>
        <w:t>por lo tanto</w:t>
      </w:r>
      <w:r w:rsidRPr="005E070D">
        <w:rPr>
          <w:lang w:eastAsia="zh-CN"/>
        </w:rPr>
        <w:t>,</w:t>
      </w:r>
      <w:r w:rsidRPr="00F72413">
        <w:rPr>
          <w:lang w:eastAsia="zh-CN"/>
        </w:rPr>
        <w:t xml:space="preserve"> incumplió con sus obligaciones positivas en esta materia. </w:t>
      </w:r>
      <w:r w:rsidRPr="00F72413">
        <w:t xml:space="preserve">Además, señaló que las órdenes judiciales no garantizaron el acceso directo a la información a las familiares del señor Flores Bedregal. Alegó que las víctimas de graves violaciones de derechos humanos y sus familiares tienen derecho a acceder de manera directa y oportuna a </w:t>
      </w:r>
      <w:r w:rsidRPr="00C11CD1">
        <w:t xml:space="preserve">la información necesaria para conocer la verdad de lo sucedido, incluso aquella </w:t>
      </w:r>
      <w:r w:rsidRPr="00F72413">
        <w:t>contenida en archivos militares; que los Estados no pueden invocar razones de seguridad nacional para impedir este acceso; y que la invocación del artículo 98 de la Ley Orgánica de las FFAA es incompatible con las obligaciones del Estado en esta materia.</w:t>
      </w:r>
      <w:r w:rsidRPr="00F72413">
        <w:rPr>
          <w:lang w:eastAsia="zh-CN"/>
        </w:rPr>
        <w:t xml:space="preserve"> Concluyó que el Estado vulneró los artículos 13 y 25 de la Convención, en relación con los artículos 1.1 y 2 del mismo instrumento.</w:t>
      </w:r>
    </w:p>
    <w:p w14:paraId="63028CDD" w14:textId="77777777" w:rsidR="004A0914" w:rsidRPr="002E61E9" w:rsidRDefault="004A0914" w:rsidP="004A0914">
      <w:pPr>
        <w:rPr>
          <w:lang w:val="es-ES"/>
        </w:rPr>
      </w:pPr>
    </w:p>
    <w:p w14:paraId="73E2F564" w14:textId="2DD8ABBC" w:rsidR="004A0914" w:rsidRDefault="004A0914" w:rsidP="005E070D">
      <w:pPr>
        <w:pStyle w:val="Prrafodelista"/>
      </w:pPr>
      <w:r w:rsidRPr="00E87E0B">
        <w:rPr>
          <w:lang w:eastAsia="zh-CN"/>
        </w:rPr>
        <w:t xml:space="preserve">El </w:t>
      </w:r>
      <w:r w:rsidRPr="00E87E0B">
        <w:rPr>
          <w:b/>
          <w:bCs/>
          <w:i/>
          <w:iCs/>
          <w:lang w:eastAsia="zh-CN"/>
        </w:rPr>
        <w:t xml:space="preserve">representante </w:t>
      </w:r>
      <w:r w:rsidRPr="00E87E0B">
        <w:t>alegó que, al</w:t>
      </w:r>
      <w:r w:rsidRPr="00E87E0B">
        <w:rPr>
          <w:lang w:eastAsia="zh-CN"/>
        </w:rPr>
        <w:t xml:space="preserve"> no atender oportunamente las solicitudes de acceso a la información, el Estado obstaculizó el ejercicio del derecho a la verdad e impidió la obtención de pruebas esenciales para el esclarecimiento de lo sucedido.</w:t>
      </w:r>
      <w:r w:rsidRPr="00E87E0B">
        <w:t xml:space="preserve"> </w:t>
      </w:r>
      <w:r w:rsidRPr="00595665">
        <w:t>Indicó que las autoridades judiciales emitieron la sentencia condenatoria sin que se hubiera respondido a las solicitudes de desclasificación y acceso a los archivos militares presentadas en 2006</w:t>
      </w:r>
      <w:r>
        <w:t>;</w:t>
      </w:r>
      <w:r w:rsidRPr="00595665">
        <w:rPr>
          <w:lang w:eastAsia="zh-CN"/>
        </w:rPr>
        <w:t xml:space="preserve"> </w:t>
      </w:r>
      <w:r w:rsidRPr="00266BDB">
        <w:rPr>
          <w:lang w:eastAsia="zh-CN"/>
        </w:rPr>
        <w:t xml:space="preserve">y </w:t>
      </w:r>
      <w:r w:rsidRPr="00C11CD1">
        <w:rPr>
          <w:lang w:eastAsia="zh-CN"/>
        </w:rPr>
        <w:t>que</w:t>
      </w:r>
      <w:r w:rsidRPr="00266BDB">
        <w:rPr>
          <w:lang w:eastAsia="zh-CN"/>
        </w:rPr>
        <w:t xml:space="preserve"> </w:t>
      </w:r>
      <w:r w:rsidR="00BD6D64">
        <w:rPr>
          <w:lang w:eastAsia="zh-CN"/>
        </w:rPr>
        <w:t xml:space="preserve">en la apelación las autoridades judiciales ordenaron el acceso a los archivos militares, pero </w:t>
      </w:r>
      <w:r w:rsidR="00BD6D64" w:rsidRPr="00C11CD1">
        <w:rPr>
          <w:lang w:eastAsia="zh-CN"/>
        </w:rPr>
        <w:t xml:space="preserve">no aseguraron su cumplimiento ni tomaron medidas para asegurar la efectividad, así como no se impusieron sanciones por desobediencia a las órdenes, por lo que </w:t>
      </w:r>
      <w:r w:rsidRPr="00C11CD1">
        <w:rPr>
          <w:lang w:eastAsia="zh-CN"/>
        </w:rPr>
        <w:t xml:space="preserve">se vació de contenido el derecho a la verdad y el derecho de acceso a la </w:t>
      </w:r>
      <w:r w:rsidRPr="00C11CD1">
        <w:rPr>
          <w:lang w:eastAsia="zh-CN"/>
        </w:rPr>
        <w:lastRenderedPageBreak/>
        <w:t xml:space="preserve">información. Alegó que el Estado violó los artículos 8, 13 </w:t>
      </w:r>
      <w:r w:rsidRPr="007B0BB4">
        <w:rPr>
          <w:lang w:eastAsia="zh-CN"/>
        </w:rPr>
        <w:t>y 25 de</w:t>
      </w:r>
      <w:r w:rsidRPr="00C11CD1">
        <w:rPr>
          <w:lang w:eastAsia="zh-CN"/>
        </w:rPr>
        <w:t xml:space="preserve"> la Convención, en relación con los artículos 1.1 y 2 del mismo instrumento.</w:t>
      </w:r>
    </w:p>
    <w:p w14:paraId="64ECE7E0" w14:textId="77777777" w:rsidR="004A0914" w:rsidRPr="002E61E9" w:rsidRDefault="004A0914" w:rsidP="004A0914">
      <w:pPr>
        <w:rPr>
          <w:lang w:val="es-ES"/>
        </w:rPr>
      </w:pPr>
    </w:p>
    <w:p w14:paraId="6F88619A" w14:textId="2822C99E" w:rsidR="004A0914" w:rsidRDefault="004A0914" w:rsidP="005E070D">
      <w:pPr>
        <w:pStyle w:val="Prrafodelista"/>
      </w:pPr>
      <w:r w:rsidRPr="00E87E0B">
        <w:t xml:space="preserve">El </w:t>
      </w:r>
      <w:r w:rsidRPr="00E87E0B">
        <w:rPr>
          <w:b/>
          <w:bCs/>
          <w:i/>
          <w:iCs/>
        </w:rPr>
        <w:t>Estado</w:t>
      </w:r>
      <w:r w:rsidRPr="00E87E0B">
        <w:t xml:space="preserve"> alegó que </w:t>
      </w:r>
      <w:r w:rsidRPr="00E87E0B">
        <w:rPr>
          <w:lang w:eastAsia="zh-CN"/>
        </w:rPr>
        <w:t>las hermanas Flores Bedregal solicitaron la desclasificación de documentos de las FFAA por primera vez en 200</w:t>
      </w:r>
      <w:r>
        <w:rPr>
          <w:lang w:eastAsia="zh-CN"/>
        </w:rPr>
        <w:t>6</w:t>
      </w:r>
      <w:r w:rsidRPr="00E87E0B">
        <w:rPr>
          <w:lang w:eastAsia="zh-CN"/>
        </w:rPr>
        <w:t xml:space="preserve">; que el </w:t>
      </w:r>
      <w:r w:rsidRPr="00BB0BD2">
        <w:rPr>
          <w:lang w:eastAsia="zh-CN"/>
        </w:rPr>
        <w:t>Ju</w:t>
      </w:r>
      <w:r w:rsidR="00491B7C" w:rsidRPr="00BB0BD2">
        <w:rPr>
          <w:lang w:eastAsia="zh-CN"/>
        </w:rPr>
        <w:t>zgado</w:t>
      </w:r>
      <w:r w:rsidRPr="00BB0BD2">
        <w:rPr>
          <w:lang w:eastAsia="zh-CN"/>
        </w:rPr>
        <w:t xml:space="preserve"> Tercero de Instrucción en lo Penal</w:t>
      </w:r>
      <w:r w:rsidRPr="00E87E0B">
        <w:rPr>
          <w:lang w:eastAsia="zh-CN"/>
        </w:rPr>
        <w:t xml:space="preserve"> tuvo acceso a dicha información en 1999, ya que las FFAA proporcionaron documentación al Departamento II del Estado Mayor</w:t>
      </w:r>
      <w:r w:rsidRPr="00E87E0B">
        <w:rPr>
          <w:bCs/>
          <w:lang w:eastAsia="zh-CN"/>
        </w:rPr>
        <w:t xml:space="preserve">; </w:t>
      </w:r>
      <w:r w:rsidRPr="00E40732">
        <w:rPr>
          <w:bCs/>
          <w:lang w:eastAsia="zh-CN"/>
        </w:rPr>
        <w:t>que</w:t>
      </w:r>
      <w:r w:rsidRPr="00E40732">
        <w:t xml:space="preserve"> la solicitud del 22 de agosto de 2006 fue respondida</w:t>
      </w:r>
      <w:r>
        <w:t xml:space="preserve">; </w:t>
      </w:r>
      <w:r w:rsidRPr="00B30385">
        <w:t xml:space="preserve">que el </w:t>
      </w:r>
      <w:r w:rsidRPr="00B70141">
        <w:t xml:space="preserve">Oficio </w:t>
      </w:r>
      <w:r w:rsidRPr="00B30385">
        <w:t>No. 496/2008 de 25 de julio de 2008 no se cumplió porque un mes después, el 22 de agosto de 2008, se resolvió en apelación la sentencia de pri</w:t>
      </w:r>
      <w:r w:rsidRPr="00AF4E94">
        <w:t xml:space="preserve">mera instancia; y que las decisiones </w:t>
      </w:r>
      <w:r w:rsidRPr="00B00C4E">
        <w:t>de la Corte Suprema se cumplieron efectivamente el 23</w:t>
      </w:r>
      <w:r w:rsidRPr="00B00C4E">
        <w:rPr>
          <w:vertAlign w:val="subscript"/>
        </w:rPr>
        <w:t xml:space="preserve"> </w:t>
      </w:r>
      <w:r w:rsidRPr="00B00C4E">
        <w:t>de septiembre de 2010, en virtud de los Autos Supremos</w:t>
      </w:r>
      <w:r w:rsidRPr="00AF4E94">
        <w:t xml:space="preserve"> No. 125 y No. 167, cuando se realizó la primera inspección judicial al Estado Mayor.</w:t>
      </w:r>
      <w:r w:rsidRPr="00E87E0B">
        <w:t xml:space="preserve"> </w:t>
      </w:r>
    </w:p>
    <w:p w14:paraId="5E1539FE" w14:textId="77777777" w:rsidR="004A0914" w:rsidRPr="002E61E9" w:rsidRDefault="004A0914" w:rsidP="004A0914">
      <w:pPr>
        <w:rPr>
          <w:lang w:val="es-ES"/>
        </w:rPr>
      </w:pPr>
    </w:p>
    <w:p w14:paraId="6F5EB896" w14:textId="77777777" w:rsidR="004A0914" w:rsidRDefault="004A0914" w:rsidP="00D62951">
      <w:pPr>
        <w:pStyle w:val="Ttulo3"/>
        <w:spacing w:before="0"/>
        <w:ind w:left="709"/>
        <w:rPr>
          <w:rFonts w:ascii="Verdana" w:hAnsi="Verdana" w:cs="Arial"/>
          <w:b/>
          <w:bCs/>
          <w:color w:val="000000" w:themeColor="text1"/>
          <w:sz w:val="20"/>
          <w:szCs w:val="20"/>
          <w:lang w:val="es-ES"/>
        </w:rPr>
      </w:pPr>
      <w:bookmarkStart w:id="159" w:name="_Toc125037498"/>
      <w:r w:rsidRPr="00BD0615">
        <w:rPr>
          <w:rFonts w:ascii="Verdana" w:hAnsi="Verdana" w:cs="Arial"/>
          <w:b/>
          <w:bCs/>
          <w:color w:val="000000" w:themeColor="text1"/>
          <w:sz w:val="20"/>
          <w:szCs w:val="20"/>
          <w:lang w:val="es-ES"/>
        </w:rPr>
        <w:t>A.2. Procedimiento administrativo ante las Fuerzas Armadas derivado de la Resolución Ministerial No. 316/09</w:t>
      </w:r>
      <w:bookmarkEnd w:id="159"/>
    </w:p>
    <w:p w14:paraId="1FDC413D" w14:textId="77777777" w:rsidR="004A0914" w:rsidRPr="00021F8A" w:rsidRDefault="004A0914" w:rsidP="004A0914">
      <w:pPr>
        <w:rPr>
          <w:lang w:val="es-ES"/>
        </w:rPr>
      </w:pPr>
    </w:p>
    <w:p w14:paraId="5FBF869E" w14:textId="6C1F6623" w:rsidR="004A0914" w:rsidRPr="00BD0615" w:rsidRDefault="004A0914" w:rsidP="00D62951">
      <w:pPr>
        <w:pStyle w:val="Ttulo3"/>
        <w:spacing w:before="0"/>
        <w:ind w:left="851"/>
        <w:rPr>
          <w:rFonts w:ascii="Verdana" w:hAnsi="Verdana" w:cs="Arial"/>
          <w:b/>
          <w:bCs/>
          <w:color w:val="000000" w:themeColor="text1"/>
          <w:sz w:val="20"/>
          <w:szCs w:val="20"/>
          <w:lang w:val="es-ES"/>
        </w:rPr>
      </w:pPr>
      <w:bookmarkStart w:id="160" w:name="_Toc125037499"/>
      <w:r w:rsidRPr="00BD0615">
        <w:rPr>
          <w:rFonts w:ascii="Verdana" w:hAnsi="Verdana" w:cs="Arial"/>
          <w:b/>
          <w:bCs/>
          <w:color w:val="000000" w:themeColor="text1"/>
          <w:sz w:val="20"/>
          <w:szCs w:val="20"/>
          <w:lang w:val="es-ES"/>
        </w:rPr>
        <w:t>A.2.1. A</w:t>
      </w:r>
      <w:r w:rsidR="009B4CEC">
        <w:rPr>
          <w:rFonts w:ascii="Verdana" w:hAnsi="Verdana" w:cs="Arial"/>
          <w:b/>
          <w:bCs/>
          <w:color w:val="000000" w:themeColor="text1"/>
          <w:sz w:val="20"/>
          <w:szCs w:val="20"/>
          <w:lang w:val="es-ES"/>
        </w:rPr>
        <w:t xml:space="preserve">legatos </w:t>
      </w:r>
      <w:r w:rsidRPr="00BD0615">
        <w:rPr>
          <w:rFonts w:ascii="Verdana" w:hAnsi="Verdana" w:cs="Arial"/>
          <w:b/>
          <w:bCs/>
          <w:color w:val="000000" w:themeColor="text1"/>
          <w:sz w:val="20"/>
          <w:szCs w:val="20"/>
          <w:lang w:val="es-ES"/>
        </w:rPr>
        <w:t>de la Comisión</w:t>
      </w:r>
      <w:bookmarkEnd w:id="160"/>
      <w:r w:rsidR="009B4CEC">
        <w:rPr>
          <w:rFonts w:ascii="Verdana" w:hAnsi="Verdana" w:cs="Arial"/>
          <w:b/>
          <w:bCs/>
          <w:color w:val="000000" w:themeColor="text1"/>
          <w:sz w:val="20"/>
          <w:szCs w:val="20"/>
          <w:lang w:val="es-ES"/>
        </w:rPr>
        <w:t xml:space="preserve"> y las partes</w:t>
      </w:r>
    </w:p>
    <w:p w14:paraId="519C43D9" w14:textId="77777777" w:rsidR="004A0914" w:rsidRPr="00B54D03" w:rsidRDefault="004A0914" w:rsidP="004A0914">
      <w:pPr>
        <w:rPr>
          <w:rFonts w:ascii="Verdana" w:hAnsi="Verdana"/>
          <w:lang w:val="es-ES"/>
        </w:rPr>
      </w:pPr>
    </w:p>
    <w:p w14:paraId="72E3BD9C" w14:textId="4748DADB" w:rsidR="004A0914" w:rsidRPr="0090086A" w:rsidRDefault="004A0914" w:rsidP="005E070D">
      <w:pPr>
        <w:pStyle w:val="Prrafodelista"/>
      </w:pPr>
      <w:r w:rsidRPr="00BD0615">
        <w:t xml:space="preserve">La </w:t>
      </w:r>
      <w:r w:rsidRPr="00D54981">
        <w:rPr>
          <w:b/>
          <w:bCs/>
          <w:i/>
          <w:iCs/>
        </w:rPr>
        <w:t>Comisión</w:t>
      </w:r>
      <w:r w:rsidRPr="00D54981">
        <w:rPr>
          <w:b/>
          <w:bCs/>
        </w:rPr>
        <w:t xml:space="preserve"> </w:t>
      </w:r>
      <w:r w:rsidRPr="00D54981">
        <w:rPr>
          <w:color w:val="000000"/>
        </w:rPr>
        <w:t>señaló que</w:t>
      </w:r>
      <w:r w:rsidRPr="00D54981">
        <w:t xml:space="preserve"> e</w:t>
      </w:r>
      <w:r w:rsidRPr="00D54981">
        <w:rPr>
          <w:lang w:eastAsia="zh-CN"/>
        </w:rPr>
        <w:t xml:space="preserve">l Estado no garantizó un procedimiento sencillo para realizar solicitudes de acceso a la información contenida en archivos militares, </w:t>
      </w:r>
      <w:r w:rsidRPr="00C11CD1">
        <w:rPr>
          <w:lang w:eastAsia="zh-CN"/>
        </w:rPr>
        <w:t>sino</w:t>
      </w:r>
      <w:r w:rsidRPr="00D54981">
        <w:rPr>
          <w:lang w:eastAsia="zh-CN"/>
        </w:rPr>
        <w:t xml:space="preserve"> que se impuso a l</w:t>
      </w:r>
      <w:r w:rsidR="005E4E2D">
        <w:rPr>
          <w:lang w:eastAsia="zh-CN"/>
        </w:rPr>
        <w:t>a</w:t>
      </w:r>
      <w:r w:rsidRPr="00D54981">
        <w:rPr>
          <w:lang w:eastAsia="zh-CN"/>
        </w:rPr>
        <w:t>s familiares de la víctima requisitos onerosos y exorbitantes para acceder a los archivos militares</w:t>
      </w:r>
      <w:r w:rsidRPr="00F16EE7">
        <w:rPr>
          <w:lang w:eastAsia="zh-CN"/>
        </w:rPr>
        <w:t>. Además,</w:t>
      </w:r>
      <w:r>
        <w:rPr>
          <w:lang w:eastAsia="zh-CN"/>
        </w:rPr>
        <w:t xml:space="preserve"> </w:t>
      </w:r>
      <w:r w:rsidRPr="00C11CD1">
        <w:rPr>
          <w:lang w:eastAsia="zh-CN"/>
        </w:rPr>
        <w:t>indicó que</w:t>
      </w:r>
      <w:r>
        <w:rPr>
          <w:lang w:eastAsia="zh-CN"/>
        </w:rPr>
        <w:t xml:space="preserve"> </w:t>
      </w:r>
      <w:r w:rsidRPr="00F16EE7">
        <w:t>l</w:t>
      </w:r>
      <w:r w:rsidRPr="00F16EE7">
        <w:rPr>
          <w:lang w:eastAsia="zh-CN"/>
        </w:rPr>
        <w:t xml:space="preserve">as familiares no contaron con un recurso judicial efectivo que permitiera controvertir la decisión del Ministerio de Defensa, ya que la acción de amparo mediante la cual impugnaron la decisión fue rechazada </w:t>
      </w:r>
      <w:r w:rsidRPr="00F16EE7">
        <w:rPr>
          <w:i/>
          <w:iCs/>
          <w:lang w:eastAsia="zh-CN"/>
        </w:rPr>
        <w:t xml:space="preserve">in </w:t>
      </w:r>
      <w:r w:rsidRPr="0090086A">
        <w:rPr>
          <w:i/>
          <w:iCs/>
          <w:lang w:eastAsia="zh-CN"/>
        </w:rPr>
        <w:t>l</w:t>
      </w:r>
      <w:r w:rsidR="005E4E2D">
        <w:rPr>
          <w:i/>
          <w:iCs/>
          <w:lang w:eastAsia="zh-CN"/>
        </w:rPr>
        <w:t>i</w:t>
      </w:r>
      <w:r w:rsidRPr="0090086A">
        <w:rPr>
          <w:i/>
          <w:iCs/>
          <w:lang w:eastAsia="zh-CN"/>
        </w:rPr>
        <w:t xml:space="preserve">mine. </w:t>
      </w:r>
      <w:r w:rsidRPr="0090086A">
        <w:rPr>
          <w:lang w:eastAsia="zh-CN"/>
        </w:rPr>
        <w:t>Agregó, que más allá de las inspecciones judiciales</w:t>
      </w:r>
      <w:r w:rsidRPr="0090086A">
        <w:t>, e</w:t>
      </w:r>
      <w:r w:rsidRPr="0090086A">
        <w:rPr>
          <w:lang w:eastAsia="zh-CN"/>
        </w:rPr>
        <w:t xml:space="preserve">l Estado no demostró </w:t>
      </w:r>
      <w:r w:rsidRPr="00C11CD1">
        <w:rPr>
          <w:lang w:eastAsia="zh-CN"/>
        </w:rPr>
        <w:t>haber realizado</w:t>
      </w:r>
      <w:r w:rsidRPr="0090086A">
        <w:rPr>
          <w:lang w:eastAsia="zh-CN"/>
        </w:rPr>
        <w:t xml:space="preserve"> un esfuerzo significativo para localizar y/o reconstruir información bajo control de las Fuerzas Armadas que permitiera determinar el paradero del señor Flores Bedregal e identificar a los agentes responsables por la alegada desaparición forzada.</w:t>
      </w:r>
    </w:p>
    <w:p w14:paraId="25EE0B73" w14:textId="77777777" w:rsidR="004A0914" w:rsidRPr="002E61E9" w:rsidRDefault="004A0914" w:rsidP="004A0914">
      <w:pPr>
        <w:rPr>
          <w:lang w:val="es-ES"/>
        </w:rPr>
      </w:pPr>
    </w:p>
    <w:p w14:paraId="383A0555" w14:textId="77777777" w:rsidR="004A0914" w:rsidRPr="000C1A91" w:rsidRDefault="004A0914" w:rsidP="005E070D">
      <w:pPr>
        <w:pStyle w:val="Prrafodelista"/>
      </w:pPr>
      <w:r w:rsidRPr="007E2DC2">
        <w:t xml:space="preserve">El </w:t>
      </w:r>
      <w:r w:rsidRPr="007E2DC2">
        <w:rPr>
          <w:b/>
          <w:bCs/>
          <w:i/>
          <w:iCs/>
        </w:rPr>
        <w:t xml:space="preserve">representante </w:t>
      </w:r>
      <w:r w:rsidRPr="007E2DC2">
        <w:t xml:space="preserve">reiteró los argumentos de la Comisión sobre la necesidad de un procedimiento sencillo y un recurso judicial efectivo para el acceso a la información. Añadió que el rechazo </w:t>
      </w:r>
      <w:r w:rsidRPr="007E2DC2">
        <w:rPr>
          <w:i/>
          <w:iCs/>
        </w:rPr>
        <w:t>in limine</w:t>
      </w:r>
      <w:r w:rsidRPr="007E2DC2">
        <w:t xml:space="preserve"> de la acción de amparo constitucional interpuesta por las hermanas </w:t>
      </w:r>
      <w:r w:rsidRPr="000C1A91">
        <w:t xml:space="preserve">Flores Bedregal </w:t>
      </w:r>
      <w:r w:rsidRPr="000C1A91">
        <w:rPr>
          <w:lang w:eastAsia="zh-CN"/>
        </w:rPr>
        <w:t xml:space="preserve">convirtió a este recurso en ilusorio y solicitó se declare la vulneración de los artículos 1.1, </w:t>
      </w:r>
      <w:r w:rsidRPr="00266BDB">
        <w:rPr>
          <w:lang w:eastAsia="zh-CN"/>
        </w:rPr>
        <w:t>2,</w:t>
      </w:r>
      <w:r w:rsidRPr="000C1A91">
        <w:rPr>
          <w:lang w:eastAsia="zh-CN"/>
        </w:rPr>
        <w:t xml:space="preserve"> 8, 13 y 25 de la Convención Americana.</w:t>
      </w:r>
    </w:p>
    <w:p w14:paraId="24EB5D74" w14:textId="77777777" w:rsidR="004A0914" w:rsidRPr="000C1A91" w:rsidRDefault="004A0914" w:rsidP="004A0914">
      <w:pPr>
        <w:rPr>
          <w:lang w:val="es-ES"/>
        </w:rPr>
      </w:pPr>
    </w:p>
    <w:p w14:paraId="746D013B" w14:textId="38D8FB03" w:rsidR="004A0914" w:rsidRPr="000C1A91" w:rsidRDefault="004A0914" w:rsidP="005E070D">
      <w:pPr>
        <w:pStyle w:val="Prrafodelista"/>
      </w:pPr>
      <w:r w:rsidRPr="000C1A91">
        <w:rPr>
          <w:color w:val="000000"/>
        </w:rPr>
        <w:t xml:space="preserve">Por su parte, el </w:t>
      </w:r>
      <w:r w:rsidRPr="000C1A91">
        <w:rPr>
          <w:b/>
          <w:bCs/>
          <w:i/>
          <w:iCs/>
          <w:color w:val="000000"/>
        </w:rPr>
        <w:t>Estado</w:t>
      </w:r>
      <w:r w:rsidRPr="000C1A91">
        <w:rPr>
          <w:color w:val="000000"/>
        </w:rPr>
        <w:t xml:space="preserve"> alegó que</w:t>
      </w:r>
      <w:r w:rsidRPr="000C1A91">
        <w:rPr>
          <w:b/>
          <w:bCs/>
        </w:rPr>
        <w:t xml:space="preserve"> </w:t>
      </w:r>
      <w:r w:rsidRPr="000C1A91">
        <w:t>la respuesta inicial de las autoridades tuvo el objeto de regular el acceso a la información conforme a la Ley Orgánica de las FFAA, y que la solicitud nunca fue denegada</w:t>
      </w:r>
      <w:r w:rsidR="00BD6D64" w:rsidRPr="00BD6D64">
        <w:t xml:space="preserve">, </w:t>
      </w:r>
      <w:r w:rsidR="00BD6D64" w:rsidRPr="00C11CD1">
        <w:t>ya que las hermanas Flores Bedregal pidieron aclaraciones y se les dijo que se les daría “respuesta a la brevedad posible”.</w:t>
      </w:r>
      <w:r w:rsidRPr="000C1A91">
        <w:rPr>
          <w:b/>
          <w:bCs/>
        </w:rPr>
        <w:t xml:space="preserve"> </w:t>
      </w:r>
      <w:r w:rsidRPr="000C1A91">
        <w:t>Señaló que</w:t>
      </w:r>
      <w:r w:rsidRPr="000C1A91">
        <w:rPr>
          <w:b/>
          <w:bCs/>
        </w:rPr>
        <w:t xml:space="preserve"> </w:t>
      </w:r>
      <w:r w:rsidRPr="000C1A91">
        <w:t>la acción de amparo constitucional es el recurso adecuado para garantizar el derecho de acceso a la información contemplado en la Constitución. Alegó que en este caso las hermanas Flores Bedregal plantearon el recurso en forma errónea, ya que incumplieron con el requisito de subsidiariedad al no agotar la jurisdicción administrativa.</w:t>
      </w:r>
    </w:p>
    <w:p w14:paraId="14D52953" w14:textId="77777777" w:rsidR="004A0914" w:rsidRPr="002E61E9" w:rsidRDefault="004A0914" w:rsidP="004A0914">
      <w:pPr>
        <w:rPr>
          <w:lang w:val="es-ES"/>
        </w:rPr>
      </w:pPr>
    </w:p>
    <w:p w14:paraId="509F166A" w14:textId="1CAB6A89" w:rsidR="004A0914" w:rsidRPr="007D09FB" w:rsidRDefault="004A0914" w:rsidP="00D62951">
      <w:pPr>
        <w:pStyle w:val="Ttulo2"/>
        <w:numPr>
          <w:ilvl w:val="0"/>
          <w:numId w:val="28"/>
        </w:numPr>
        <w:ind w:left="567"/>
        <w:rPr>
          <w:rFonts w:ascii="Verdana" w:hAnsi="Verdana"/>
          <w:b/>
          <w:bCs/>
          <w:color w:val="auto"/>
          <w:sz w:val="20"/>
          <w:szCs w:val="20"/>
          <w:lang w:val="es-ES"/>
        </w:rPr>
      </w:pPr>
      <w:bookmarkStart w:id="161" w:name="_Toc125037500"/>
      <w:r w:rsidRPr="007D09FB">
        <w:rPr>
          <w:rFonts w:ascii="Verdana" w:hAnsi="Verdana"/>
          <w:b/>
          <w:bCs/>
          <w:color w:val="auto"/>
          <w:sz w:val="20"/>
          <w:szCs w:val="20"/>
          <w:lang w:val="es-ES"/>
        </w:rPr>
        <w:t>Consideraciones de la Corte</w:t>
      </w:r>
      <w:bookmarkEnd w:id="161"/>
    </w:p>
    <w:p w14:paraId="022BC25E" w14:textId="77777777" w:rsidR="004A0914" w:rsidRPr="00021F8A" w:rsidRDefault="004A0914" w:rsidP="004A0914">
      <w:pPr>
        <w:rPr>
          <w:lang w:val="es-ES"/>
        </w:rPr>
      </w:pPr>
    </w:p>
    <w:p w14:paraId="63CC4C2A" w14:textId="77777777" w:rsidR="004A0914" w:rsidRPr="00880449" w:rsidRDefault="004A0914" w:rsidP="00D62951">
      <w:pPr>
        <w:pStyle w:val="Ttulo3"/>
        <w:spacing w:before="0"/>
        <w:ind w:left="709"/>
        <w:rPr>
          <w:rFonts w:ascii="Verdana" w:hAnsi="Verdana" w:cs="Arial"/>
          <w:b/>
          <w:bCs/>
          <w:color w:val="000000" w:themeColor="text1"/>
          <w:sz w:val="20"/>
          <w:szCs w:val="20"/>
          <w:lang w:val="es-ES"/>
        </w:rPr>
      </w:pPr>
      <w:bookmarkStart w:id="162" w:name="_Toc125037501"/>
      <w:r w:rsidRPr="00880449">
        <w:rPr>
          <w:rFonts w:ascii="Verdana" w:hAnsi="Verdana" w:cs="Arial"/>
          <w:b/>
          <w:bCs/>
          <w:color w:val="000000" w:themeColor="text1"/>
          <w:sz w:val="20"/>
          <w:szCs w:val="20"/>
          <w:lang w:val="es-ES"/>
        </w:rPr>
        <w:t>B.1. El acceso a la información en casos de desaparición forzada de personas</w:t>
      </w:r>
      <w:bookmarkEnd w:id="162"/>
      <w:r w:rsidRPr="00880449">
        <w:rPr>
          <w:rFonts w:ascii="Verdana" w:hAnsi="Verdana" w:cs="Arial"/>
          <w:b/>
          <w:bCs/>
          <w:color w:val="000000" w:themeColor="text1"/>
          <w:sz w:val="20"/>
          <w:szCs w:val="20"/>
          <w:lang w:val="es-ES"/>
        </w:rPr>
        <w:t xml:space="preserve"> </w:t>
      </w:r>
    </w:p>
    <w:p w14:paraId="2F92D40F" w14:textId="77777777" w:rsidR="004A0914" w:rsidRPr="00B54D03" w:rsidRDefault="004A0914" w:rsidP="004A0914">
      <w:pPr>
        <w:rPr>
          <w:rFonts w:ascii="Verdana" w:hAnsi="Verdana"/>
          <w:lang w:val="es-ES"/>
        </w:rPr>
      </w:pPr>
    </w:p>
    <w:p w14:paraId="2EDE040A" w14:textId="77777777" w:rsidR="004A0914" w:rsidRDefault="004A0914" w:rsidP="005E070D">
      <w:pPr>
        <w:pStyle w:val="Prrafodelista"/>
      </w:pPr>
      <w:r w:rsidRPr="00880449">
        <w:t xml:space="preserve">Al estipular expresamente el derecho a buscar y a recibir </w:t>
      </w:r>
      <w:r w:rsidRPr="00B54D03">
        <w:t xml:space="preserve">información, el artículo 13 de la Convención protege </w:t>
      </w:r>
      <w:r w:rsidRPr="00B54D03">
        <w:rPr>
          <w:bCs/>
        </w:rPr>
        <w:t>el derecho que tiene toda persona a solicitar el acceso a la información bajo el control del Estado</w:t>
      </w:r>
      <w:r w:rsidRPr="00B54D03">
        <w:t xml:space="preserve">, con las salvedades permitidas bajo el régimen de restricciones de la </w:t>
      </w:r>
      <w:r w:rsidRPr="00B54D03">
        <w:lastRenderedPageBreak/>
        <w:t>Convención</w:t>
      </w:r>
      <w:r w:rsidRPr="00B54D03">
        <w:rPr>
          <w:vertAlign w:val="superscript"/>
        </w:rPr>
        <w:footnoteReference w:id="174"/>
      </w:r>
      <w:r w:rsidRPr="00B54D03">
        <w:t xml:space="preserve">. </w:t>
      </w:r>
      <w:r w:rsidRPr="00B82D1D">
        <w:t>Consecuentemente, dicho artículo ampara el derecho de las personas a recibir dicha información y la obligación positiva del Estado de suministrarla, de forma tal que la persona pueda tener acceso y conocer esa información o reciba una respuesta fundamentada cuando, por algún motivo permitido por la Convención, el Estado pueda limitar el acceso para el caso concreto</w:t>
      </w:r>
      <w:r w:rsidRPr="00B82D1D">
        <w:rPr>
          <w:vertAlign w:val="superscript"/>
        </w:rPr>
        <w:footnoteReference w:id="175"/>
      </w:r>
      <w:r w:rsidRPr="00B82D1D">
        <w:t xml:space="preserve">. </w:t>
      </w:r>
      <w:r w:rsidRPr="0008101B">
        <w:t>La norma también protege las dos dimensiones, individual y social, del derecho a la libertad de pensamiento y de expresión, las cuales deben ser garantizadas por el Estado de forma simultánea</w:t>
      </w:r>
      <w:r w:rsidRPr="0008101B">
        <w:rPr>
          <w:vertAlign w:val="superscript"/>
        </w:rPr>
        <w:footnoteReference w:id="176"/>
      </w:r>
      <w:r w:rsidRPr="0008101B">
        <w:t>.</w:t>
      </w:r>
      <w:r w:rsidRPr="00880449">
        <w:t xml:space="preserve"> </w:t>
      </w:r>
    </w:p>
    <w:p w14:paraId="164DBD24" w14:textId="77777777" w:rsidR="004A0914" w:rsidRPr="002E61E9" w:rsidRDefault="004A0914" w:rsidP="004A0914">
      <w:pPr>
        <w:rPr>
          <w:lang w:val="es-ES"/>
        </w:rPr>
      </w:pPr>
    </w:p>
    <w:p w14:paraId="3F5DC8D3" w14:textId="77777777" w:rsidR="004A0914" w:rsidRDefault="004A0914" w:rsidP="005E070D">
      <w:pPr>
        <w:pStyle w:val="Prrafodelista"/>
      </w:pPr>
      <w:r w:rsidRPr="00880449">
        <w:t>La Corte ha destacado el consenso regional de los Estados que integran la Organización de los Estados Americanos sobre la importancia del acceso a la información pública. La protección del derecho de acceso a la información pública ha sido objeto de resoluciones de la Asamblea General de la OEA</w:t>
      </w:r>
      <w:r w:rsidRPr="00BA4885">
        <w:rPr>
          <w:vertAlign w:val="superscript"/>
        </w:rPr>
        <w:footnoteReference w:id="177"/>
      </w:r>
      <w:r w:rsidRPr="00880449">
        <w:t xml:space="preserve"> </w:t>
      </w:r>
      <w:r w:rsidRPr="00E005DE">
        <w:t>en las que se “[i]nst[ó] a los Estados Miembros a que respeten y hagan respetar el acceso de todas las personas a la información pública y [a promover] la adopción de las disposiciones legislativas o de otro carácter que fueren necesarias para asegurar su reconocimiento y aplicación efectiva</w:t>
      </w:r>
      <w:r w:rsidRPr="00AD4080">
        <w:t>”</w:t>
      </w:r>
      <w:r w:rsidRPr="00AD4080">
        <w:rPr>
          <w:vertAlign w:val="superscript"/>
        </w:rPr>
        <w:footnoteReference w:id="178"/>
      </w:r>
      <w:r w:rsidRPr="00AD4080">
        <w:t xml:space="preserve">. Asimismo, la Asamblea General </w:t>
      </w:r>
      <w:r w:rsidRPr="00C11CD1">
        <w:t>ha reconocido</w:t>
      </w:r>
      <w:r w:rsidRPr="00AD4080">
        <w:t xml:space="preserve"> que el acceso a la información pública es un requisito indispensable para el funcionamiento mismo de la democracia, una mayor transparencia y una buena gestión pública, y que en un sistema democrático representativo y participativo, la ciudadanía ejerce sus derechos constitucionales a través de una amplia libertad de expresión y de un libre acceso a la información</w:t>
      </w:r>
      <w:r w:rsidRPr="00AD4080">
        <w:rPr>
          <w:vertAlign w:val="superscript"/>
        </w:rPr>
        <w:footnoteReference w:id="179"/>
      </w:r>
      <w:r w:rsidRPr="00AD4080">
        <w:t>.</w:t>
      </w:r>
    </w:p>
    <w:p w14:paraId="0BEE09B7" w14:textId="77777777" w:rsidR="004A0914" w:rsidRPr="002E61E9" w:rsidRDefault="004A0914" w:rsidP="004A0914">
      <w:pPr>
        <w:rPr>
          <w:lang w:val="es-ES"/>
        </w:rPr>
      </w:pPr>
    </w:p>
    <w:p w14:paraId="45F77AC3" w14:textId="77777777" w:rsidR="004A0914" w:rsidRPr="00880449" w:rsidRDefault="004A0914" w:rsidP="005E070D">
      <w:pPr>
        <w:pStyle w:val="Prrafodelista"/>
      </w:pPr>
      <w:r w:rsidRPr="008B6395">
        <w:t xml:space="preserve">La Corte ha identificado como requisitos para cualquier restricción al derecho al acceso a la información la tipificación legal, el objetivo legítimo, y la necesidad para una sociedad democrática. Respecto al primer requisito, es necesario que la limitación se encuentre establecida en una norma a fin de garantizar que no quede al arbitrio del poder público. En el caso del segundo requisito, los </w:t>
      </w:r>
      <w:r w:rsidRPr="008B6395">
        <w:lastRenderedPageBreak/>
        <w:t>objetivos legítimos de la restricción deben basarse en el artículo 13.2 de la Convención, vale decir “el respeto a los derechos o a la reputación de los demás”, “la protección de la seguridad nacional, el orden público o la salud o la moral públicas”. Finalmente, la restricción debe ser necesaria para una sociedad democrática, es decir que debe ser una medida proporcional a la satisfacción del interés que pretende alcanzar</w:t>
      </w:r>
      <w:r w:rsidRPr="000A704C">
        <w:rPr>
          <w:vertAlign w:val="superscript"/>
        </w:rPr>
        <w:footnoteReference w:id="180"/>
      </w:r>
      <w:r w:rsidRPr="008B6395">
        <w:t>.</w:t>
      </w:r>
    </w:p>
    <w:p w14:paraId="422D570B" w14:textId="77777777" w:rsidR="004A0914" w:rsidRPr="002E61E9" w:rsidRDefault="004A0914" w:rsidP="004A0914">
      <w:pPr>
        <w:rPr>
          <w:lang w:val="es-ES"/>
        </w:rPr>
      </w:pPr>
      <w:bookmarkStart w:id="163" w:name="_Hlk115881247"/>
    </w:p>
    <w:p w14:paraId="6071106B" w14:textId="2EF60C79" w:rsidR="004A0914" w:rsidRDefault="004A0914" w:rsidP="005E070D">
      <w:pPr>
        <w:pStyle w:val="Prrafodelista"/>
      </w:pPr>
      <w:r w:rsidRPr="004E6072">
        <w:t xml:space="preserve">Si bien existe un interés general en resguardar la información vinculada a la seguridad nacional, el Estado debe arbitrar los medios para suministrar información relevante al esclarecimiento de la desaparición forzada de </w:t>
      </w:r>
      <w:r w:rsidRPr="00BB0BD2">
        <w:t>personas (</w:t>
      </w:r>
      <w:r w:rsidRPr="00BB0BD2">
        <w:rPr>
          <w:i/>
          <w:iCs/>
        </w:rPr>
        <w:t xml:space="preserve">infra </w:t>
      </w:r>
      <w:r w:rsidRPr="00BB0BD2">
        <w:t>párr</w:t>
      </w:r>
      <w:r w:rsidR="0071519F">
        <w:t>.</w:t>
      </w:r>
      <w:r w:rsidRPr="00BB0BD2">
        <w:t xml:space="preserve"> </w:t>
      </w:r>
      <w:r w:rsidR="00BB0BD2" w:rsidRPr="00BB0BD2">
        <w:t>138</w:t>
      </w:r>
      <w:r w:rsidRPr="00BB0BD2">
        <w:t>).</w:t>
      </w:r>
      <w:r w:rsidRPr="006975EB">
        <w:t xml:space="preserve"> </w:t>
      </w:r>
      <w:r w:rsidRPr="008772EF">
        <w:t xml:space="preserve">Asimismo, las restricciones al acceso a la información en el marco de la investigación de una desaparición forzada </w:t>
      </w:r>
      <w:r w:rsidR="003B0C26" w:rsidRPr="00C11CD1">
        <w:t>son contrarias al</w:t>
      </w:r>
      <w:r w:rsidR="003B0C26" w:rsidRPr="00BB0BD2">
        <w:rPr>
          <w:b/>
          <w:bCs/>
        </w:rPr>
        <w:t xml:space="preserve"> </w:t>
      </w:r>
      <w:r w:rsidRPr="008772EF">
        <w:t xml:space="preserve">derecho a la verdad. </w:t>
      </w:r>
      <w:r w:rsidRPr="00E30378">
        <w:t>Como ha señalado el Consejo de Derechos Humanos de la ONU</w:t>
      </w:r>
      <w:r w:rsidRPr="00E30378">
        <w:rPr>
          <w:vertAlign w:val="superscript"/>
        </w:rPr>
        <w:footnoteReference w:id="181"/>
      </w:r>
      <w:r w:rsidRPr="00E30378">
        <w:t xml:space="preserve"> el derecho a conocer la verdad sobre el paradero de la persona desaparecida no debe estar condicionado a limitación o suspensión</w:t>
      </w:r>
      <w:r>
        <w:t>,</w:t>
      </w:r>
      <w:r w:rsidRPr="00E30378">
        <w:t xml:space="preserve"> </w:t>
      </w:r>
      <w:r w:rsidRPr="00685BA4">
        <w:t xml:space="preserve">ni ceder frente a la invocación de fines legítimos o circunstancias excepcionales. </w:t>
      </w:r>
      <w:r w:rsidRPr="00B76BA8">
        <w:t>Asimismo, la desaparición forzada causa angustia y dolor a la familia de la persona desaparecida, lo cual la sitúa en el umbral del trato cruel y la tortura.</w:t>
      </w:r>
      <w:r w:rsidRPr="004E6072">
        <w:t xml:space="preserve"> </w:t>
      </w:r>
    </w:p>
    <w:p w14:paraId="40FD5176" w14:textId="77777777" w:rsidR="00480CEB" w:rsidRPr="002E3990" w:rsidRDefault="00480CEB" w:rsidP="00BF3A96">
      <w:pPr>
        <w:rPr>
          <w:lang w:val="es-ES"/>
        </w:rPr>
      </w:pPr>
    </w:p>
    <w:bookmarkEnd w:id="163"/>
    <w:p w14:paraId="62E11E18" w14:textId="77777777" w:rsidR="004A0914" w:rsidRPr="00F776C0" w:rsidRDefault="004A0914" w:rsidP="005E070D">
      <w:pPr>
        <w:pStyle w:val="Prrafodelista"/>
      </w:pPr>
      <w:r w:rsidRPr="008B6395">
        <w:t>En estos contextos, el derecho al acceso a la información requiere de la participación activa de todas las autoridades involucradas. No basta con que se facilite o se alegue la inexistencia de información para garantizar el derecho de acceso a la información, sino que deben agotarse los esfuerzos para establecer el paradero de la víctima. En ese sentido resulta esencial la desclasificación y acceso a documentos de las fuerzas de seguridad, a fin de asegurar una investigación transparente.</w:t>
      </w:r>
    </w:p>
    <w:p w14:paraId="714C65BE" w14:textId="77777777" w:rsidR="004A0914" w:rsidRPr="002E61E9" w:rsidRDefault="004A0914" w:rsidP="004A0914">
      <w:pPr>
        <w:rPr>
          <w:lang w:val="es-ES"/>
        </w:rPr>
      </w:pPr>
    </w:p>
    <w:p w14:paraId="16C92F73" w14:textId="308A65E6" w:rsidR="00345BCB" w:rsidRPr="00DA509A" w:rsidRDefault="004A0914" w:rsidP="005E070D">
      <w:pPr>
        <w:pStyle w:val="Prrafodelista"/>
      </w:pPr>
      <w:r w:rsidRPr="008B6395">
        <w:t xml:space="preserve"> </w:t>
      </w:r>
      <w:r w:rsidRPr="00F776C0">
        <w:t xml:space="preserve">Asimismo, la Corte Interamericana ha desarrollado el contenido del derecho a conocer la verdad en casos de desaparición forzada. Desde el </w:t>
      </w:r>
      <w:r w:rsidRPr="00F776C0">
        <w:rPr>
          <w:i/>
        </w:rPr>
        <w:t>Caso Velásquez Rodríguez</w:t>
      </w:r>
      <w:r>
        <w:rPr>
          <w:i/>
        </w:rPr>
        <w:t xml:space="preserve"> </w:t>
      </w:r>
      <w:r w:rsidRPr="00C11CD1">
        <w:rPr>
          <w:i/>
        </w:rPr>
        <w:t>Vs. Honduras</w:t>
      </w:r>
      <w:r w:rsidRPr="00C11CD1">
        <w:rPr>
          <w:iCs/>
        </w:rPr>
        <w:t>,</w:t>
      </w:r>
      <w:r w:rsidRPr="00F776C0">
        <w:t xml:space="preserve"> y a lo largo de su jurisprudencia</w:t>
      </w:r>
      <w:r>
        <w:t>,</w:t>
      </w:r>
      <w:r w:rsidRPr="00F776C0">
        <w:t xml:space="preserve"> el Tribunal ha reconocido el</w:t>
      </w:r>
      <w:r w:rsidRPr="00F776C0">
        <w:rPr>
          <w:rFonts w:cs="Verdana"/>
          <w:lang w:bidi="en-US"/>
        </w:rPr>
        <w:t xml:space="preserve"> “derecho de los fa</w:t>
      </w:r>
      <w:r w:rsidRPr="00B54D03">
        <w:rPr>
          <w:rFonts w:cs="Verdana"/>
          <w:lang w:bidi="en-US"/>
        </w:rPr>
        <w:t>miliares de la víctima de conocer cuál fue el destino de ésta y, en su caso, dónde se encuentran sus restos”</w:t>
      </w:r>
      <w:r w:rsidRPr="00B54D03">
        <w:rPr>
          <w:rFonts w:cs="Verdana"/>
          <w:vertAlign w:val="superscript"/>
          <w:lang w:bidi="en-US"/>
        </w:rPr>
        <w:footnoteReference w:id="182"/>
      </w:r>
      <w:r w:rsidRPr="00B54D03">
        <w:rPr>
          <w:rFonts w:cs="Verdana"/>
          <w:lang w:bidi="en-US"/>
        </w:rPr>
        <w:t>.</w:t>
      </w:r>
      <w:r w:rsidRPr="00F776C0">
        <w:rPr>
          <w:rFonts w:cs="Verdana"/>
          <w:lang w:bidi="en-US"/>
        </w:rPr>
        <w:t xml:space="preserve"> </w:t>
      </w:r>
      <w:r w:rsidRPr="00F776C0">
        <w:t>Conforme ha señalado este Tribunal,</w:t>
      </w:r>
      <w:r>
        <w:t xml:space="preserve"> </w:t>
      </w:r>
      <w:r w:rsidRPr="00C11CD1">
        <w:t>“toda persona, incluyendo los familiares de las víctimas de graves violaciones a derechos humanos, tiene el derecho a conocer la verdad [sobre las mismas]”, lo que implica que “deben ser informados de todo lo sucedido con relación a dichas violaciones”</w:t>
      </w:r>
      <w:r w:rsidRPr="00C11CD1">
        <w:rPr>
          <w:vertAlign w:val="superscript"/>
        </w:rPr>
        <w:footnoteReference w:id="183"/>
      </w:r>
      <w:r w:rsidRPr="00C11CD1">
        <w:rPr>
          <w:rFonts w:eastAsia="Calibri"/>
        </w:rPr>
        <w:t>.</w:t>
      </w:r>
      <w:r w:rsidRPr="00B54D03">
        <w:rPr>
          <w:rFonts w:eastAsia="Calibri"/>
        </w:rPr>
        <w:t xml:space="preserve"> </w:t>
      </w:r>
      <w:r w:rsidRPr="00E77DBF">
        <w:rPr>
          <w:rFonts w:eastAsia="Calibri"/>
        </w:rPr>
        <w:t xml:space="preserve">El derecho </w:t>
      </w:r>
      <w:r w:rsidRPr="00E77DBF">
        <w:t>a la verdad tiene autonomía y una naturaleza amplia.</w:t>
      </w:r>
      <w:r w:rsidRPr="00B54D03">
        <w:t xml:space="preserve"> </w:t>
      </w:r>
      <w:r w:rsidRPr="00B54D03">
        <w:rPr>
          <w:rFonts w:eastAsia="Calibri"/>
        </w:rPr>
        <w:t>Dependiendo del contexto y circunstancias del caso, puede relacionarse con diversos derechos reconocidos en la Convención Americana</w:t>
      </w:r>
      <w:r w:rsidRPr="00B54D03">
        <w:rPr>
          <w:vertAlign w:val="superscript"/>
        </w:rPr>
        <w:footnoteReference w:id="184"/>
      </w:r>
      <w:r w:rsidRPr="00B54D03">
        <w:rPr>
          <w:rFonts w:eastAsia="Calibri"/>
        </w:rPr>
        <w:t>, tales como los derechos a las garantías judiciales y a la protección judicial, reconocidos por sus artículos 8 y 25</w:t>
      </w:r>
      <w:r w:rsidRPr="00B54D03">
        <w:rPr>
          <w:vertAlign w:val="superscript"/>
        </w:rPr>
        <w:footnoteReference w:id="185"/>
      </w:r>
      <w:r w:rsidRPr="00B54D03">
        <w:rPr>
          <w:rFonts w:eastAsia="Calibri"/>
        </w:rPr>
        <w:t xml:space="preserve"> o el derecho de acceso a información, tutelado por su artículo 13</w:t>
      </w:r>
      <w:r w:rsidRPr="00B54D03">
        <w:rPr>
          <w:vertAlign w:val="superscript"/>
        </w:rPr>
        <w:footnoteReference w:id="186"/>
      </w:r>
      <w:r w:rsidRPr="00B54D03">
        <w:rPr>
          <w:rFonts w:eastAsia="Calibri"/>
        </w:rPr>
        <w:t>.</w:t>
      </w:r>
      <w:r w:rsidR="00DA509A">
        <w:t xml:space="preserve"> </w:t>
      </w:r>
    </w:p>
    <w:p w14:paraId="36AB78E0" w14:textId="5815F755" w:rsidR="008B73FE" w:rsidRPr="002E61E9" w:rsidRDefault="008B73FE" w:rsidP="004A0914">
      <w:pPr>
        <w:rPr>
          <w:rFonts w:eastAsia="Calibri"/>
          <w:lang w:val="es-ES"/>
        </w:rPr>
      </w:pPr>
    </w:p>
    <w:p w14:paraId="283491D3" w14:textId="6F3FD867" w:rsidR="004A0914" w:rsidRPr="00021F8A" w:rsidRDefault="004A0914" w:rsidP="005E070D">
      <w:pPr>
        <w:pStyle w:val="Prrafodelista"/>
      </w:pPr>
      <w:r w:rsidRPr="00F776C0">
        <w:rPr>
          <w:rFonts w:eastAsia="Times"/>
        </w:rPr>
        <w:t>Esta Corte también ha establecido que</w:t>
      </w:r>
      <w:r w:rsidR="00A46638">
        <w:rPr>
          <w:rFonts w:eastAsia="Times"/>
        </w:rPr>
        <w:t>,</w:t>
      </w:r>
      <w:r w:rsidRPr="00F776C0">
        <w:rPr>
          <w:rFonts w:eastAsia="Times"/>
        </w:rPr>
        <w:t xml:space="preserve"> en casos de violaciones de derechos humanos, las autoridades estatales no se pueden amparar en mecanismos como el secreto de Estado o la confidencialidad de la información, o en razones de interés público o seguridad nacional, para dejar </w:t>
      </w:r>
      <w:r w:rsidRPr="00F776C0">
        <w:rPr>
          <w:rFonts w:eastAsia="Times"/>
        </w:rPr>
        <w:lastRenderedPageBreak/>
        <w:t>de aportar la información requerida por las autoridades judiciales o administrativas encargadas de la investigación o proceso</w:t>
      </w:r>
      <w:r w:rsidR="00D221C5">
        <w:rPr>
          <w:rFonts w:eastAsia="Times"/>
        </w:rPr>
        <w:t>s</w:t>
      </w:r>
      <w:r w:rsidRPr="00F776C0">
        <w:rPr>
          <w:rFonts w:eastAsia="Times"/>
        </w:rPr>
        <w:t xml:space="preserve"> </w:t>
      </w:r>
      <w:r w:rsidRPr="00B54D03">
        <w:rPr>
          <w:rFonts w:eastAsia="Times"/>
        </w:rPr>
        <w:t>pendient</w:t>
      </w:r>
      <w:r w:rsidRPr="00E057B2">
        <w:rPr>
          <w:rFonts w:eastAsia="Times"/>
        </w:rPr>
        <w:t>es</w:t>
      </w:r>
      <w:r w:rsidRPr="00E057B2">
        <w:rPr>
          <w:rFonts w:eastAsia="Times"/>
          <w:vertAlign w:val="superscript"/>
        </w:rPr>
        <w:footnoteReference w:id="187"/>
      </w:r>
      <w:r w:rsidRPr="00E057B2">
        <w:rPr>
          <w:rFonts w:eastAsia="Times"/>
        </w:rPr>
        <w:t>,</w:t>
      </w:r>
      <w:r w:rsidR="00D221C5" w:rsidRPr="00D221C5">
        <w:rPr>
          <w:rFonts w:eastAsia="Times"/>
          <w:b/>
          <w:bCs/>
        </w:rPr>
        <w:t xml:space="preserve"> </w:t>
      </w:r>
      <w:r w:rsidR="00D221C5" w:rsidRPr="00C11CD1">
        <w:rPr>
          <w:rFonts w:eastAsia="Times"/>
        </w:rPr>
        <w:t>y se debe</w:t>
      </w:r>
      <w:r w:rsidR="00D221C5">
        <w:rPr>
          <w:rFonts w:eastAsia="Times"/>
        </w:rPr>
        <w:t xml:space="preserve"> </w:t>
      </w:r>
      <w:r w:rsidRPr="008B73FE">
        <w:rPr>
          <w:rFonts w:eastAsia="Times"/>
        </w:rPr>
        <w:t>inclu</w:t>
      </w:r>
      <w:r w:rsidRPr="00BF3A96">
        <w:rPr>
          <w:rFonts w:eastAsia="Times"/>
        </w:rPr>
        <w:t>ir a las parte</w:t>
      </w:r>
      <w:r w:rsidR="00686185" w:rsidRPr="00BF3A96">
        <w:rPr>
          <w:rFonts w:eastAsia="Times"/>
        </w:rPr>
        <w:t xml:space="preserve">s </w:t>
      </w:r>
      <w:r w:rsidRPr="008B73FE">
        <w:rPr>
          <w:rFonts w:eastAsia="Times"/>
        </w:rPr>
        <w:t>en el marco de estos procesos judiciales y administrativos.</w:t>
      </w:r>
      <w:r w:rsidRPr="00B54D03">
        <w:rPr>
          <w:rFonts w:eastAsia="Times"/>
        </w:rPr>
        <w:t xml:space="preserve"> Las autoridades estatales están obligadas a colaborar en la recaudación de la prueba para alcanzar los objetivos de la investigación y abstenerse de realizar actos que impliquen obstrucciones para la marcha del proceso investigativo</w:t>
      </w:r>
      <w:r w:rsidRPr="00B54D03">
        <w:rPr>
          <w:rFonts w:eastAsia="Times"/>
          <w:vertAlign w:val="superscript"/>
        </w:rPr>
        <w:footnoteReference w:id="188"/>
      </w:r>
      <w:r w:rsidRPr="00B54D03">
        <w:rPr>
          <w:rFonts w:eastAsia="Times"/>
        </w:rPr>
        <w:t>.</w:t>
      </w:r>
    </w:p>
    <w:p w14:paraId="03CB092C" w14:textId="77777777" w:rsidR="004A0914" w:rsidRPr="00BF6C70" w:rsidRDefault="004A0914" w:rsidP="004A0914">
      <w:pPr>
        <w:rPr>
          <w:lang w:val="es-ES"/>
        </w:rPr>
      </w:pPr>
    </w:p>
    <w:p w14:paraId="1F2B9555" w14:textId="77777777" w:rsidR="004A0914" w:rsidRPr="00F776C0" w:rsidRDefault="004A0914" w:rsidP="005E070D">
      <w:pPr>
        <w:pStyle w:val="Prrafodelista"/>
      </w:pPr>
      <w:r w:rsidRPr="00F776C0">
        <w:t xml:space="preserve">Asimismo, cuando se trata de la investigación de un hecho punible, la decisión de calificar como secreta la información y de </w:t>
      </w:r>
      <w:r w:rsidRPr="00B54D03">
        <w:t>negar su entrega jamás puede depender exclusivamente de un órgano estatal a cuyos miembros se les atribuye la comisión del hecho ilícito</w:t>
      </w:r>
      <w:r w:rsidRPr="00B54D03">
        <w:rPr>
          <w:vertAlign w:val="superscript"/>
        </w:rPr>
        <w:footnoteReference w:id="189"/>
      </w:r>
      <w:r w:rsidRPr="00B54D03">
        <w:t xml:space="preserve">. </w:t>
      </w:r>
      <w:r w:rsidRPr="00E23830">
        <w:t xml:space="preserve">De igual modo, tampoco puede quedar a su discreción la decisión final sobre la existencia de la documentación </w:t>
      </w:r>
      <w:r w:rsidRPr="002945DD">
        <w:t>solicitad</w:t>
      </w:r>
      <w:r w:rsidRPr="00A76209">
        <w:t>a</w:t>
      </w:r>
      <w:r w:rsidRPr="00A76209">
        <w:rPr>
          <w:rStyle w:val="Refdenotaalpie"/>
          <w:sz w:val="20"/>
        </w:rPr>
        <w:footnoteReference w:id="190"/>
      </w:r>
      <w:r w:rsidRPr="00A76209">
        <w:t>. Aunado</w:t>
      </w:r>
      <w:r w:rsidRPr="00E031C4">
        <w:t xml:space="preserve"> a ello, </w:t>
      </w:r>
      <w:r w:rsidRPr="00E031C4">
        <w:rPr>
          <w:iCs/>
        </w:rPr>
        <w:t>el Estado no puede liberarse de sus obligaciones positivas de garantizar el derecho a la verdad y el acceso a archivos alegando simplemente que la información requerida por el juez a cargo de la investigación de los hechos del presente caso es inexistente o fue destruida, sino que tiene la obligación de buscar esa información por todos los medios posibles, y realizar los esfuerzos necesarios para reconstruir esa información, lo cual puede incluir la realización de diligencias de investigación en archivos militares</w:t>
      </w:r>
      <w:r w:rsidRPr="00B54D03">
        <w:rPr>
          <w:iCs/>
          <w:vertAlign w:val="superscript"/>
        </w:rPr>
        <w:footnoteReference w:id="191"/>
      </w:r>
      <w:r w:rsidRPr="00B54D03">
        <w:rPr>
          <w:iCs/>
        </w:rPr>
        <w:t>.</w:t>
      </w:r>
    </w:p>
    <w:p w14:paraId="660CA821" w14:textId="77777777" w:rsidR="004A0914" w:rsidRPr="002E61E9" w:rsidRDefault="004A0914" w:rsidP="004A0914">
      <w:pPr>
        <w:rPr>
          <w:lang w:val="es-ES"/>
        </w:rPr>
      </w:pPr>
    </w:p>
    <w:p w14:paraId="0E9AFA6B" w14:textId="77777777" w:rsidR="004A0914" w:rsidRDefault="004A0914" w:rsidP="005E070D">
      <w:pPr>
        <w:pStyle w:val="Prrafodelista"/>
      </w:pPr>
      <w:r>
        <w:t>Los Estados tienen l</w:t>
      </w:r>
      <w:r w:rsidRPr="00F776C0">
        <w:t xml:space="preserve">a obligación de garantizar un procedimiento adecuado </w:t>
      </w:r>
      <w:r>
        <w:t xml:space="preserve">y efectivo </w:t>
      </w:r>
      <w:r w:rsidRPr="00F776C0">
        <w:t>para la tramitación y resolución de las solicitudes de información</w:t>
      </w:r>
      <w:r>
        <w:t>. Dicho procedimiento debe</w:t>
      </w:r>
      <w:r w:rsidRPr="00F776C0">
        <w:t xml:space="preserve"> fij</w:t>
      </w:r>
      <w:r>
        <w:t>ar</w:t>
      </w:r>
      <w:r w:rsidRPr="00F776C0">
        <w:t xml:space="preserve"> plazos para resolver y entregar la información, y</w:t>
      </w:r>
      <w:r>
        <w:t xml:space="preserve"> debe ser administrado</w:t>
      </w:r>
      <w:r w:rsidRPr="00F776C0">
        <w:t xml:space="preserve"> </w:t>
      </w:r>
      <w:r>
        <w:t>por</w:t>
      </w:r>
      <w:r w:rsidRPr="00F776C0">
        <w:t xml:space="preserve"> funcionarios debidamente capacitados. Finalmente, ante la denegación de acceso a determinada información bajo su control, el Estado debe garantizar que exista un recurso judicial sencillo, rápido y efectivo que permita determinar si se produjo una vulneración del derecho de acceso a la información y, en su caso, ordenar al órgano correspondiente la entrega de esta</w:t>
      </w:r>
      <w:r w:rsidRPr="006850CC">
        <w:rPr>
          <w:vertAlign w:val="superscript"/>
        </w:rPr>
        <w:footnoteReference w:id="192"/>
      </w:r>
      <w:r w:rsidRPr="00F776C0">
        <w:t>.</w:t>
      </w:r>
    </w:p>
    <w:p w14:paraId="6A859B15" w14:textId="77777777" w:rsidR="004A0914" w:rsidRPr="006850CC" w:rsidRDefault="004A0914" w:rsidP="004A0914">
      <w:pPr>
        <w:rPr>
          <w:rFonts w:ascii="Verdana" w:hAnsi="Verdana"/>
          <w:lang w:val="es-ES"/>
        </w:rPr>
      </w:pPr>
    </w:p>
    <w:p w14:paraId="229B6805" w14:textId="77777777" w:rsidR="004A0914" w:rsidRPr="007D09FB" w:rsidRDefault="004A0914" w:rsidP="00D62951">
      <w:pPr>
        <w:pStyle w:val="Ttulo3"/>
        <w:ind w:left="709"/>
        <w:rPr>
          <w:rFonts w:ascii="Verdana" w:hAnsi="Verdana"/>
          <w:b/>
          <w:bCs/>
          <w:color w:val="auto"/>
          <w:sz w:val="20"/>
          <w:szCs w:val="20"/>
          <w:lang w:val="es-ES"/>
        </w:rPr>
      </w:pPr>
      <w:bookmarkStart w:id="165" w:name="_Toc125037502"/>
      <w:r w:rsidRPr="007D09FB">
        <w:rPr>
          <w:rFonts w:ascii="Verdana" w:hAnsi="Verdana"/>
          <w:b/>
          <w:bCs/>
          <w:color w:val="auto"/>
          <w:sz w:val="20"/>
          <w:szCs w:val="20"/>
          <w:lang w:val="es-ES"/>
        </w:rPr>
        <w:t>B.2. Análisis del caso concreto</w:t>
      </w:r>
      <w:bookmarkEnd w:id="165"/>
    </w:p>
    <w:p w14:paraId="3EF2572A" w14:textId="77777777" w:rsidR="004A0914" w:rsidRPr="002E61E9" w:rsidRDefault="004A0914" w:rsidP="004A0914">
      <w:pPr>
        <w:rPr>
          <w:lang w:val="es-ES"/>
        </w:rPr>
      </w:pPr>
    </w:p>
    <w:p w14:paraId="77E21116" w14:textId="3CCF6FD3" w:rsidR="00BE48C7" w:rsidRDefault="004A0914" w:rsidP="005E070D">
      <w:pPr>
        <w:pStyle w:val="Prrafodelista"/>
      </w:pPr>
      <w:r w:rsidRPr="00F776C0">
        <w:t>La Corte se pronunciará respecto a la actuación estatal relativa a las solicitudes de información posteriores al 27 de julio de 1993</w:t>
      </w:r>
      <w:r w:rsidRPr="00F776C0">
        <w:rPr>
          <w:spacing w:val="-3"/>
        </w:rPr>
        <w:t xml:space="preserve">, </w:t>
      </w:r>
      <w:r w:rsidRPr="00F776C0">
        <w:t xml:space="preserve">fecha desde la cual este Tribunal tiene competencia </w:t>
      </w:r>
      <w:r w:rsidRPr="006B1CC6">
        <w:t>para conocer</w:t>
      </w:r>
      <w:r>
        <w:t xml:space="preserve"> </w:t>
      </w:r>
      <w:r w:rsidRPr="00F776C0">
        <w:t xml:space="preserve">sobre alegadas violaciones a la Convención atribuidas a </w:t>
      </w:r>
      <w:r w:rsidRPr="003B0C26">
        <w:t xml:space="preserve">Bolivia </w:t>
      </w:r>
      <w:r w:rsidRPr="003B0C26">
        <w:rPr>
          <w:spacing w:val="-3"/>
        </w:rPr>
        <w:t>(</w:t>
      </w:r>
      <w:r w:rsidRPr="00C47E3D">
        <w:rPr>
          <w:i/>
          <w:spacing w:val="-3"/>
        </w:rPr>
        <w:t>supra</w:t>
      </w:r>
      <w:r w:rsidRPr="00C47E3D">
        <w:rPr>
          <w:spacing w:val="-3"/>
        </w:rPr>
        <w:t xml:space="preserve"> párr. 14</w:t>
      </w:r>
      <w:r w:rsidRPr="003B0C26">
        <w:rPr>
          <w:spacing w:val="-3"/>
        </w:rPr>
        <w:t>). Tras hacer</w:t>
      </w:r>
      <w:r w:rsidRPr="00F776C0">
        <w:rPr>
          <w:spacing w:val="-3"/>
        </w:rPr>
        <w:t xml:space="preserve"> referencia al marco normativo interno</w:t>
      </w:r>
      <w:r w:rsidR="005E4E2D">
        <w:rPr>
          <w:spacing w:val="-3"/>
        </w:rPr>
        <w:t xml:space="preserve"> sobre el derecho de acceso a la información</w:t>
      </w:r>
      <w:r w:rsidRPr="00F776C0">
        <w:rPr>
          <w:spacing w:val="-3"/>
        </w:rPr>
        <w:t>, l</w:t>
      </w:r>
      <w:r w:rsidRPr="00F776C0">
        <w:rPr>
          <w:rFonts w:cs="Arial"/>
        </w:rPr>
        <w:t>a Corte examinará las solicitudes formuladas en el marco de: a)</w:t>
      </w:r>
      <w:r w:rsidRPr="00F776C0">
        <w:t xml:space="preserve"> </w:t>
      </w:r>
      <w:r>
        <w:t xml:space="preserve">el </w:t>
      </w:r>
      <w:r>
        <w:rPr>
          <w:color w:val="000000"/>
        </w:rPr>
        <w:t>p</w:t>
      </w:r>
      <w:r w:rsidRPr="00F776C0">
        <w:rPr>
          <w:color w:val="000000"/>
        </w:rPr>
        <w:t>roces</w:t>
      </w:r>
      <w:r w:rsidRPr="00816674">
        <w:rPr>
          <w:color w:val="000000"/>
        </w:rPr>
        <w:t xml:space="preserve">o penal del </w:t>
      </w:r>
      <w:r w:rsidR="003B0C26" w:rsidRPr="00816674">
        <w:rPr>
          <w:color w:val="000000"/>
        </w:rPr>
        <w:t>“</w:t>
      </w:r>
      <w:r w:rsidRPr="00816674">
        <w:rPr>
          <w:color w:val="000000"/>
        </w:rPr>
        <w:t>Ministerio</w:t>
      </w:r>
      <w:r w:rsidRPr="00A93879">
        <w:rPr>
          <w:color w:val="000000"/>
        </w:rPr>
        <w:t xml:space="preserve"> Público c</w:t>
      </w:r>
      <w:r w:rsidR="003B0C26" w:rsidRPr="00A93879">
        <w:rPr>
          <w:color w:val="000000"/>
        </w:rPr>
        <w:t>/</w:t>
      </w:r>
      <w:r w:rsidRPr="00A93879">
        <w:rPr>
          <w:color w:val="000000"/>
        </w:rPr>
        <w:t xml:space="preserve"> Franz Pizarro Solano y otros</w:t>
      </w:r>
      <w:r w:rsidR="003B0C26" w:rsidRPr="00A93879">
        <w:rPr>
          <w:color w:val="000000"/>
        </w:rPr>
        <w:t>”</w:t>
      </w:r>
      <w:r w:rsidRPr="00A93879">
        <w:t>, y b)</w:t>
      </w:r>
      <w:r w:rsidRPr="00A93879">
        <w:rPr>
          <w:color w:val="000000"/>
        </w:rPr>
        <w:t xml:space="preserve"> el procedimiento administrativo </w:t>
      </w:r>
      <w:r w:rsidR="005E4E2D">
        <w:rPr>
          <w:color w:val="000000"/>
        </w:rPr>
        <w:t xml:space="preserve">por </w:t>
      </w:r>
      <w:r w:rsidRPr="00A93879">
        <w:rPr>
          <w:color w:val="000000"/>
        </w:rPr>
        <w:t>la Resolución Ministerial No. 316/09</w:t>
      </w:r>
      <w:r w:rsidRPr="00A93879">
        <w:t>.</w:t>
      </w:r>
    </w:p>
    <w:p w14:paraId="0A125917" w14:textId="77777777" w:rsidR="004A0914" w:rsidRPr="002E61E9" w:rsidRDefault="004A0914" w:rsidP="004A0914">
      <w:pPr>
        <w:rPr>
          <w:lang w:val="es-ES"/>
        </w:rPr>
      </w:pPr>
    </w:p>
    <w:p w14:paraId="7CF08791" w14:textId="77777777" w:rsidR="004A0914" w:rsidRPr="007D09FB" w:rsidRDefault="004A0914" w:rsidP="00D62951">
      <w:pPr>
        <w:pStyle w:val="Ttulo3"/>
        <w:ind w:left="851"/>
        <w:rPr>
          <w:rFonts w:ascii="Verdana" w:hAnsi="Verdana"/>
          <w:b/>
          <w:bCs/>
          <w:color w:val="auto"/>
          <w:sz w:val="20"/>
          <w:szCs w:val="20"/>
          <w:lang w:val="es-ES"/>
        </w:rPr>
      </w:pPr>
      <w:bookmarkStart w:id="166" w:name="_Toc125037503"/>
      <w:r w:rsidRPr="007D09FB">
        <w:rPr>
          <w:rFonts w:ascii="Verdana" w:hAnsi="Verdana"/>
          <w:b/>
          <w:bCs/>
          <w:color w:val="auto"/>
          <w:sz w:val="20"/>
          <w:szCs w:val="20"/>
          <w:lang w:val="es-ES"/>
        </w:rPr>
        <w:t>B.2.1 Marco normativo interno sobre el derecho de acceso a la información</w:t>
      </w:r>
      <w:bookmarkEnd w:id="166"/>
    </w:p>
    <w:p w14:paraId="328DB911" w14:textId="77777777" w:rsidR="004A0914" w:rsidRPr="002E61E9" w:rsidRDefault="004A0914" w:rsidP="004A0914">
      <w:pPr>
        <w:rPr>
          <w:lang w:val="es-ES"/>
        </w:rPr>
      </w:pPr>
    </w:p>
    <w:p w14:paraId="02019087" w14:textId="77777777" w:rsidR="004A0914" w:rsidRDefault="004A0914" w:rsidP="005E070D">
      <w:pPr>
        <w:pStyle w:val="Prrafodelista"/>
      </w:pPr>
      <w:r w:rsidRPr="00F776C0">
        <w:rPr>
          <w:lang w:eastAsia="zh-CN"/>
        </w:rPr>
        <w:t xml:space="preserve">El artículo 21.6 de la Constitución Política del Estado Plurinacional de Bolivia dispone que las bolivianas y los bolivianos tienen derecho a acceder a la información, interpretarla, analizarla y </w:t>
      </w:r>
      <w:r w:rsidRPr="00F776C0">
        <w:rPr>
          <w:lang w:eastAsia="zh-CN"/>
        </w:rPr>
        <w:lastRenderedPageBreak/>
        <w:t xml:space="preserve">comunicarla libremente de manera individual </w:t>
      </w:r>
      <w:r w:rsidRPr="006B1CC6">
        <w:rPr>
          <w:lang w:eastAsia="zh-CN"/>
        </w:rPr>
        <w:t>o colectiva</w:t>
      </w:r>
      <w:r w:rsidRPr="00F776C0">
        <w:rPr>
          <w:lang w:eastAsia="zh-CN"/>
        </w:rPr>
        <w:t>. Asimismo, el artículo 106.I y II determina que el Estado debe garantizar el derecho a la información</w:t>
      </w:r>
      <w:r w:rsidRPr="00B54D03">
        <w:rPr>
          <w:vertAlign w:val="superscript"/>
          <w:lang w:eastAsia="zh-CN"/>
        </w:rPr>
        <w:footnoteReference w:id="193"/>
      </w:r>
      <w:r w:rsidRPr="00F776C0">
        <w:rPr>
          <w:lang w:eastAsia="zh-CN"/>
        </w:rPr>
        <w:t xml:space="preserve">. </w:t>
      </w:r>
    </w:p>
    <w:p w14:paraId="11124C3C" w14:textId="77777777" w:rsidR="004A0914" w:rsidRPr="002E61E9" w:rsidRDefault="004A0914" w:rsidP="004A0914">
      <w:pPr>
        <w:rPr>
          <w:lang w:val="es-ES"/>
        </w:rPr>
      </w:pPr>
    </w:p>
    <w:p w14:paraId="06034E54" w14:textId="77777777" w:rsidR="004A0914" w:rsidRPr="00F776C0" w:rsidRDefault="004A0914" w:rsidP="005E070D">
      <w:pPr>
        <w:pStyle w:val="Prrafodelista"/>
      </w:pPr>
      <w:r w:rsidRPr="00F776C0">
        <w:rPr>
          <w:lang w:eastAsia="zh-CN"/>
        </w:rPr>
        <w:t xml:space="preserve">El artículo 98 de la Ley Orgánica de las Fuerzas Armadas establece que “[l]a documentación clasificada del </w:t>
      </w:r>
      <w:r>
        <w:rPr>
          <w:lang w:eastAsia="zh-CN"/>
        </w:rPr>
        <w:t>E</w:t>
      </w:r>
      <w:r w:rsidRPr="00F776C0">
        <w:rPr>
          <w:lang w:eastAsia="zh-CN"/>
        </w:rPr>
        <w:t>scalón de</w:t>
      </w:r>
      <w:r>
        <w:rPr>
          <w:lang w:eastAsia="zh-CN"/>
        </w:rPr>
        <w:t>l personal de</w:t>
      </w:r>
      <w:r w:rsidRPr="00F776C0">
        <w:rPr>
          <w:lang w:eastAsia="zh-CN"/>
        </w:rPr>
        <w:t xml:space="preserve"> las Fuerzas Armadas</w:t>
      </w:r>
      <w:r>
        <w:rPr>
          <w:lang w:eastAsia="zh-CN"/>
        </w:rPr>
        <w:t>,</w:t>
      </w:r>
      <w:r w:rsidRPr="00F776C0">
        <w:rPr>
          <w:lang w:eastAsia="zh-CN"/>
        </w:rPr>
        <w:t xml:space="preserve"> tiene carácter secreto e inviolable. </w:t>
      </w:r>
      <w:r w:rsidRPr="00F776C0">
        <w:rPr>
          <w:rFonts w:cs="Segoe UI"/>
        </w:rPr>
        <w:t xml:space="preserve">Esta condición podrá únicamente </w:t>
      </w:r>
      <w:r>
        <w:rPr>
          <w:rFonts w:cs="Segoe UI"/>
        </w:rPr>
        <w:t xml:space="preserve">ser </w:t>
      </w:r>
      <w:r w:rsidRPr="00F776C0">
        <w:rPr>
          <w:rFonts w:cs="Segoe UI"/>
        </w:rPr>
        <w:t xml:space="preserve">levantada: </w:t>
      </w:r>
      <w:r w:rsidRPr="00F776C0">
        <w:t xml:space="preserve">a. Por petición motivada del Poder Legislativo. b. Por </w:t>
      </w:r>
      <w:r>
        <w:t>[</w:t>
      </w:r>
      <w:r w:rsidRPr="00F776C0">
        <w:t>o</w:t>
      </w:r>
      <w:r>
        <w:t>]</w:t>
      </w:r>
      <w:r w:rsidRPr="00F776C0">
        <w:t>rden judicial del Juez competente, mediante auto motivado en proceso formal. En ambos casos la información será remitida al requir</w:t>
      </w:r>
      <w:r>
        <w:t>i</w:t>
      </w:r>
      <w:r w:rsidRPr="00F776C0">
        <w:t xml:space="preserve">ente por conducto del </w:t>
      </w:r>
      <w:r>
        <w:t>c</w:t>
      </w:r>
      <w:r w:rsidRPr="00F776C0">
        <w:t>omandante en Jefe y será mantenida en reserva”</w:t>
      </w:r>
      <w:r w:rsidRPr="00B54D03">
        <w:rPr>
          <w:vertAlign w:val="superscript"/>
        </w:rPr>
        <w:footnoteReference w:id="194"/>
      </w:r>
      <w:r w:rsidRPr="00F776C0">
        <w:rPr>
          <w:rFonts w:cs="Segoe UI"/>
        </w:rPr>
        <w:t xml:space="preserve">. </w:t>
      </w:r>
    </w:p>
    <w:p w14:paraId="47E09D4B" w14:textId="77777777" w:rsidR="004A0914" w:rsidRPr="002E61E9" w:rsidRDefault="004A0914" w:rsidP="004A0914">
      <w:pPr>
        <w:rPr>
          <w:lang w:val="es-ES"/>
        </w:rPr>
      </w:pPr>
    </w:p>
    <w:p w14:paraId="0EFF299B" w14:textId="7179B880" w:rsidR="004A0914" w:rsidRDefault="004A0914" w:rsidP="005E070D">
      <w:pPr>
        <w:pStyle w:val="Prrafodelista"/>
      </w:pPr>
      <w:r w:rsidRPr="00F776C0">
        <w:t xml:space="preserve">La </w:t>
      </w:r>
      <w:r w:rsidRPr="00A93879">
        <w:t>Resolución Ministerial No. 316/09 autoriza</w:t>
      </w:r>
      <w:r w:rsidRPr="00F776C0">
        <w:t xml:space="preserve"> al Comando en Jefe de las FFAA a facilitar el acceso </w:t>
      </w:r>
      <w:r w:rsidRPr="00C11CD1">
        <w:t>a familiares y víctimas de regímenes sujetos a dictaduras militares, a archivos, registros públicos y documentos existentes de las FFAA,</w:t>
      </w:r>
      <w:r>
        <w:t xml:space="preserve"> </w:t>
      </w:r>
      <w:r w:rsidRPr="00F776C0">
        <w:t>que así lo soliciten y demuestren interés legítimo</w:t>
      </w:r>
      <w:r w:rsidR="00027C53">
        <w:t xml:space="preserve"> (</w:t>
      </w:r>
      <w:r w:rsidR="00027C53" w:rsidRPr="00C47E3D">
        <w:rPr>
          <w:i/>
          <w:iCs/>
        </w:rPr>
        <w:t xml:space="preserve">supra </w:t>
      </w:r>
      <w:r w:rsidR="00027C53">
        <w:t xml:space="preserve">párr. </w:t>
      </w:r>
      <w:r w:rsidR="005410B2">
        <w:t>63</w:t>
      </w:r>
      <w:r w:rsidR="00027C53">
        <w:t>).</w:t>
      </w:r>
    </w:p>
    <w:p w14:paraId="6DEBCD3D" w14:textId="77777777" w:rsidR="004A0914" w:rsidRPr="002E61E9" w:rsidRDefault="004A0914" w:rsidP="004A0914">
      <w:pPr>
        <w:rPr>
          <w:lang w:val="es-ES"/>
        </w:rPr>
      </w:pPr>
    </w:p>
    <w:p w14:paraId="0A2D8444" w14:textId="1017BFF1" w:rsidR="004A0914" w:rsidRPr="007D09FB" w:rsidRDefault="004A0914" w:rsidP="00D62951">
      <w:pPr>
        <w:pStyle w:val="Ttulo3"/>
        <w:ind w:left="851"/>
        <w:rPr>
          <w:rFonts w:ascii="Verdana" w:hAnsi="Verdana"/>
          <w:b/>
          <w:bCs/>
          <w:color w:val="auto"/>
          <w:sz w:val="20"/>
          <w:szCs w:val="20"/>
          <w:lang w:val="es-ES"/>
        </w:rPr>
      </w:pPr>
      <w:bookmarkStart w:id="167" w:name="_Toc125037504"/>
      <w:r w:rsidRPr="007D09FB">
        <w:rPr>
          <w:rFonts w:ascii="Verdana" w:hAnsi="Verdana"/>
          <w:b/>
          <w:bCs/>
          <w:color w:val="auto"/>
          <w:sz w:val="20"/>
          <w:szCs w:val="20"/>
          <w:lang w:val="es-ES"/>
        </w:rPr>
        <w:t xml:space="preserve">B.2.2 </w:t>
      </w:r>
      <w:bookmarkStart w:id="168" w:name="_Hlk115881665"/>
      <w:r w:rsidRPr="007D09FB">
        <w:rPr>
          <w:rFonts w:ascii="Verdana" w:hAnsi="Verdana"/>
          <w:b/>
          <w:bCs/>
          <w:color w:val="auto"/>
          <w:sz w:val="20"/>
          <w:szCs w:val="20"/>
          <w:lang w:val="es-ES"/>
        </w:rPr>
        <w:t xml:space="preserve">Proceso penal </w:t>
      </w:r>
      <w:r w:rsidR="00A0332A">
        <w:rPr>
          <w:rFonts w:ascii="Verdana" w:hAnsi="Verdana"/>
          <w:b/>
          <w:bCs/>
          <w:color w:val="auto"/>
          <w:sz w:val="20"/>
          <w:szCs w:val="20"/>
          <w:lang w:val="es-ES"/>
        </w:rPr>
        <w:t>“</w:t>
      </w:r>
      <w:r w:rsidRPr="007D09FB">
        <w:rPr>
          <w:rFonts w:ascii="Verdana" w:hAnsi="Verdana"/>
          <w:b/>
          <w:bCs/>
          <w:color w:val="auto"/>
          <w:sz w:val="20"/>
          <w:szCs w:val="20"/>
          <w:lang w:val="es-ES"/>
        </w:rPr>
        <w:t>Ministerio Público c</w:t>
      </w:r>
      <w:r w:rsidR="003B0C26" w:rsidRPr="007D09FB">
        <w:rPr>
          <w:rFonts w:ascii="Verdana" w:hAnsi="Verdana"/>
          <w:b/>
          <w:bCs/>
          <w:color w:val="auto"/>
          <w:sz w:val="20"/>
          <w:szCs w:val="20"/>
          <w:lang w:val="es-ES"/>
        </w:rPr>
        <w:t>/</w:t>
      </w:r>
      <w:r w:rsidRPr="007D09FB">
        <w:rPr>
          <w:rFonts w:ascii="Verdana" w:hAnsi="Verdana"/>
          <w:b/>
          <w:bCs/>
          <w:color w:val="auto"/>
          <w:sz w:val="20"/>
          <w:szCs w:val="20"/>
          <w:lang w:val="es-ES"/>
        </w:rPr>
        <w:t xml:space="preserve">Franz Pizarro Solano y </w:t>
      </w:r>
      <w:r w:rsidR="007F7BEE">
        <w:rPr>
          <w:rFonts w:ascii="Verdana" w:hAnsi="Verdana"/>
          <w:b/>
          <w:bCs/>
          <w:color w:val="auto"/>
          <w:sz w:val="20"/>
          <w:szCs w:val="20"/>
          <w:lang w:val="es-ES"/>
        </w:rPr>
        <w:t>o</w:t>
      </w:r>
      <w:r w:rsidRPr="007D09FB">
        <w:rPr>
          <w:rFonts w:ascii="Verdana" w:hAnsi="Verdana"/>
          <w:b/>
          <w:bCs/>
          <w:color w:val="auto"/>
          <w:sz w:val="20"/>
          <w:szCs w:val="20"/>
          <w:lang w:val="es-ES"/>
        </w:rPr>
        <w:t>tros</w:t>
      </w:r>
      <w:bookmarkEnd w:id="168"/>
      <w:r w:rsidR="00A0332A">
        <w:rPr>
          <w:rFonts w:ascii="Verdana" w:hAnsi="Verdana"/>
          <w:b/>
          <w:bCs/>
          <w:color w:val="auto"/>
          <w:sz w:val="20"/>
          <w:szCs w:val="20"/>
          <w:lang w:val="es-ES"/>
        </w:rPr>
        <w:t>”</w:t>
      </w:r>
      <w:bookmarkEnd w:id="167"/>
    </w:p>
    <w:p w14:paraId="0F37D5C9" w14:textId="77777777" w:rsidR="004A0914" w:rsidRPr="002E61E9" w:rsidRDefault="004A0914" w:rsidP="004A0914">
      <w:pPr>
        <w:rPr>
          <w:lang w:val="es-ES"/>
        </w:rPr>
      </w:pPr>
    </w:p>
    <w:p w14:paraId="6C113285" w14:textId="142798D0" w:rsidR="004A0914" w:rsidRPr="003B0C26" w:rsidRDefault="004A0914" w:rsidP="005E070D">
      <w:pPr>
        <w:pStyle w:val="Prrafodelista"/>
      </w:pPr>
      <w:r w:rsidRPr="00F776C0">
        <w:t xml:space="preserve">Según surge del expediente, las hermanas Flores Bedregal solicitaron </w:t>
      </w:r>
      <w:r w:rsidRPr="003B0C26">
        <w:t xml:space="preserve">la desclasificación de los archivos de las </w:t>
      </w:r>
      <w:r w:rsidRPr="00C11CD1">
        <w:t>Fuerzas Armadas</w:t>
      </w:r>
      <w:r w:rsidRPr="003B0C26">
        <w:t xml:space="preserve"> en el proceso</w:t>
      </w:r>
      <w:r w:rsidR="005E4E2D">
        <w:t xml:space="preserve"> del “Ministerio Público c/ </w:t>
      </w:r>
      <w:r w:rsidRPr="003B0C26">
        <w:t>Franz Pizarro</w:t>
      </w:r>
      <w:r w:rsidR="005E4E2D">
        <w:t xml:space="preserve"> Solano</w:t>
      </w:r>
      <w:r w:rsidRPr="003B0C26">
        <w:t xml:space="preserve"> y otros</w:t>
      </w:r>
      <w:r w:rsidR="005E4E2D">
        <w:t>”</w:t>
      </w:r>
      <w:r w:rsidRPr="003B0C26">
        <w:rPr>
          <w:i/>
          <w:iCs/>
        </w:rPr>
        <w:t xml:space="preserve"> </w:t>
      </w:r>
      <w:r w:rsidRPr="005E4E2D">
        <w:t>(</w:t>
      </w:r>
      <w:r w:rsidRPr="00480CEB">
        <w:rPr>
          <w:i/>
          <w:iCs/>
        </w:rPr>
        <w:t>supra</w:t>
      </w:r>
      <w:r w:rsidRPr="00480CEB">
        <w:t xml:space="preserve"> párr. </w:t>
      </w:r>
      <w:r w:rsidR="009D4541">
        <w:t>51</w:t>
      </w:r>
      <w:r w:rsidRPr="003B0C26">
        <w:t>). No obstante, este proceso se resolvió en instancia de apelación el 22 de agosto de 2008, sin que se hiciera efectivo el derecho de acceso a la información de las hermanas Flores Bedregal</w:t>
      </w:r>
      <w:r w:rsidR="005E4E2D">
        <w:t xml:space="preserve"> </w:t>
      </w:r>
      <w:r w:rsidR="005E4E2D" w:rsidRPr="005E4E2D">
        <w:t>(</w:t>
      </w:r>
      <w:r w:rsidR="005E4E2D" w:rsidRPr="00480CEB">
        <w:rPr>
          <w:i/>
          <w:iCs/>
        </w:rPr>
        <w:t>supra</w:t>
      </w:r>
      <w:r w:rsidR="005E4E2D" w:rsidRPr="00480CEB">
        <w:t xml:space="preserve"> párr. </w:t>
      </w:r>
      <w:r w:rsidR="005E4E2D">
        <w:t>55</w:t>
      </w:r>
      <w:r w:rsidR="005E4E2D" w:rsidRPr="003B0C26">
        <w:t>)</w:t>
      </w:r>
      <w:r w:rsidRPr="003B0C26">
        <w:t>.</w:t>
      </w:r>
    </w:p>
    <w:p w14:paraId="72DA934E" w14:textId="77777777" w:rsidR="00773AE5" w:rsidRPr="003B0C26" w:rsidRDefault="00773AE5" w:rsidP="000D4A61">
      <w:pPr>
        <w:rPr>
          <w:lang w:val="es-ES"/>
        </w:rPr>
      </w:pPr>
    </w:p>
    <w:p w14:paraId="6ACC027D" w14:textId="4C136587" w:rsidR="004A0914" w:rsidRDefault="004A0914" w:rsidP="005E070D">
      <w:pPr>
        <w:pStyle w:val="Prrafodelista"/>
      </w:pPr>
      <w:r w:rsidRPr="003B0C26">
        <w:t>El 15 de febrero de 2010, en la instancia de casación, las hermanas Flores Bedregal reiteraron ante la Sala Penal Primera de la Corte Suprema de Justicia de la Nación su solicitud de desclasificación de los documentos archivados en el Departamento Segundo del Estado Mayor, el reporte de ingresos y salidas al Estado Mayor, y el acceso a los archivos militares</w:t>
      </w:r>
      <w:r w:rsidR="003C0113">
        <w:t xml:space="preserve"> </w:t>
      </w:r>
      <w:r w:rsidR="003C0113" w:rsidRPr="003B0C26">
        <w:t>(</w:t>
      </w:r>
      <w:r w:rsidR="003C0113" w:rsidRPr="002F45F9">
        <w:rPr>
          <w:i/>
          <w:iCs/>
        </w:rPr>
        <w:t>supra</w:t>
      </w:r>
      <w:r w:rsidR="003C0113" w:rsidRPr="002F45F9">
        <w:t xml:space="preserve"> párr. 59</w:t>
      </w:r>
      <w:r w:rsidR="003C0113" w:rsidRPr="003B0C26">
        <w:t>)</w:t>
      </w:r>
      <w:r w:rsidRPr="003B0C26">
        <w:t>.  El 12 de marzo de 2010 el Fiscal de Recursos de la Fiscalía General del Estado también solicitó a la Corte Suprema de Justicia que hiciera lugar a la petición de desclasificación de archivos de las FFAA (</w:t>
      </w:r>
      <w:r w:rsidRPr="00C47E3D">
        <w:rPr>
          <w:i/>
          <w:iCs/>
        </w:rPr>
        <w:t>supra</w:t>
      </w:r>
      <w:r w:rsidRPr="00C47E3D">
        <w:t xml:space="preserve"> párr. 59</w:t>
      </w:r>
      <w:r w:rsidRPr="003B0C26">
        <w:t>).</w:t>
      </w:r>
      <w:r w:rsidRPr="00B54D03">
        <w:t xml:space="preserve"> Dichas solicitudes fueron acogidas en el Auto Supremo No. 125</w:t>
      </w:r>
      <w:r>
        <w:t xml:space="preserve"> </w:t>
      </w:r>
      <w:r w:rsidRPr="00B54D03">
        <w:t xml:space="preserve">de la Sala Penal Primera de la Corte Suprema de Justicia, la cual el 1 de abril de 2010 ordenó al </w:t>
      </w:r>
      <w:r w:rsidRPr="00C11CD1">
        <w:t>Comandante General de las FFAA que procediera “a la desclasificación de los archivos existentes en el Departamento Segundo del</w:t>
      </w:r>
      <w:r w:rsidRPr="00B54D03">
        <w:t xml:space="preserve"> </w:t>
      </w:r>
      <w:r w:rsidRPr="00EC1DBD">
        <w:t>Estado</w:t>
      </w:r>
      <w:r w:rsidRPr="00B54D03">
        <w:t xml:space="preserve"> Mayor, desde junio de 1979 a diciembre de 1980 y del reporte de ingresos y salidas al Estado Mayor del Ejército del 10 al 20 de julio de 1980</w:t>
      </w:r>
      <w:r>
        <w:t>, debiendo remitirse</w:t>
      </w:r>
      <w:r w:rsidRPr="00B54D03">
        <w:t xml:space="preserve"> fotocopias legalizadas</w:t>
      </w:r>
      <w:r>
        <w:t>”</w:t>
      </w:r>
      <w:r w:rsidRPr="00B54D03">
        <w:t xml:space="preserve"> a dicho órgano jurisdiccional</w:t>
      </w:r>
      <w:r w:rsidR="003C0113">
        <w:t xml:space="preserve"> </w:t>
      </w:r>
      <w:r w:rsidR="003C0113" w:rsidRPr="003B0C26">
        <w:t>(</w:t>
      </w:r>
      <w:r w:rsidR="003C0113" w:rsidRPr="002F45F9">
        <w:rPr>
          <w:i/>
          <w:iCs/>
        </w:rPr>
        <w:t>supra</w:t>
      </w:r>
      <w:r w:rsidR="003C0113" w:rsidRPr="002F45F9">
        <w:t xml:space="preserve"> párr. 59</w:t>
      </w:r>
      <w:r w:rsidR="003C0113" w:rsidRPr="003B0C26">
        <w:t>)</w:t>
      </w:r>
      <w:r w:rsidRPr="00B54D03">
        <w:t>. El 16 de abril de 2010</w:t>
      </w:r>
      <w:r>
        <w:t>,</w:t>
      </w:r>
      <w:r w:rsidRPr="00B54D03">
        <w:t xml:space="preserve"> la misma Sala, a petición de la señora Olga Flores Bedregal, complementó el auto anterior y mediante el Auto Supremo No. 167 adicionó</w:t>
      </w:r>
      <w:r w:rsidRPr="0003689D">
        <w:rPr>
          <w:b/>
          <w:bCs/>
        </w:rPr>
        <w:t xml:space="preserve"> </w:t>
      </w:r>
      <w:r w:rsidRPr="00C11CD1">
        <w:t>a</w:t>
      </w:r>
      <w:r w:rsidRPr="00B54D03">
        <w:t xml:space="preserve"> la orden de desclasificación</w:t>
      </w:r>
      <w:r>
        <w:t>,</w:t>
      </w:r>
      <w:r w:rsidRPr="00B54D03">
        <w:t xml:space="preserve"> los documentos relativos al Escalafón de Personal de las Fuerzas Armadas existentes en el Estado Mayor desde junio de 1979 a diciembre de 1980</w:t>
      </w:r>
      <w:r w:rsidR="003C0113">
        <w:t xml:space="preserve"> </w:t>
      </w:r>
      <w:r w:rsidR="003C0113" w:rsidRPr="003B0C26">
        <w:t>(</w:t>
      </w:r>
      <w:r w:rsidR="003C0113" w:rsidRPr="002F45F9">
        <w:rPr>
          <w:i/>
          <w:iCs/>
        </w:rPr>
        <w:t>supra</w:t>
      </w:r>
      <w:r w:rsidR="003C0113" w:rsidRPr="002F45F9">
        <w:t xml:space="preserve"> párr. 59</w:t>
      </w:r>
      <w:r w:rsidR="003C0113" w:rsidRPr="003B0C26">
        <w:t>)</w:t>
      </w:r>
      <w:r w:rsidRPr="00B54D03">
        <w:t xml:space="preserve">. El 25 de octubre de 2010 la Corte Suprema de Justicia dictó sentencia de casación que confirmó la condena penal de los imputados sin que se hubiese presentado en el proceso la información </w:t>
      </w:r>
      <w:r w:rsidRPr="00027C53">
        <w:t>(</w:t>
      </w:r>
      <w:r w:rsidRPr="00C47E3D">
        <w:rPr>
          <w:i/>
          <w:iCs/>
        </w:rPr>
        <w:t xml:space="preserve">supra </w:t>
      </w:r>
      <w:r w:rsidRPr="00C47E3D">
        <w:t>párr. 61</w:t>
      </w:r>
      <w:r w:rsidRPr="00027C53">
        <w:t>).</w:t>
      </w:r>
      <w:r w:rsidRPr="00F776C0">
        <w:t xml:space="preserve"> </w:t>
      </w:r>
    </w:p>
    <w:p w14:paraId="2F885E16" w14:textId="77777777" w:rsidR="004A0914" w:rsidRPr="002E61E9" w:rsidRDefault="004A0914" w:rsidP="004A0914">
      <w:pPr>
        <w:rPr>
          <w:lang w:val="es-ES"/>
        </w:rPr>
      </w:pPr>
    </w:p>
    <w:p w14:paraId="1D8E4265" w14:textId="06B9009C" w:rsidR="004A0914" w:rsidRDefault="004A0914" w:rsidP="005E070D">
      <w:pPr>
        <w:pStyle w:val="Prrafodelista"/>
      </w:pPr>
      <w:r w:rsidRPr="000B2854">
        <w:t xml:space="preserve">El 28 de septiembre de </w:t>
      </w:r>
      <w:r w:rsidRPr="00B00C4E">
        <w:t xml:space="preserve">2010, en el marco del proceso penal del Ministerio Público a instancias de las víctimas de la dictadura de Luis García Meza Tejada contra autores (No. 6441/09) seguido ante el Juzgado Octavo de Instrucción </w:t>
      </w:r>
      <w:r w:rsidR="00D835F5" w:rsidRPr="00B00C4E">
        <w:t>en</w:t>
      </w:r>
      <w:r w:rsidRPr="00B00C4E">
        <w:t xml:space="preserve"> lo Penal Cautelar</w:t>
      </w:r>
      <w:r w:rsidRPr="000B2854">
        <w:t xml:space="preserve"> se habría realizado una inspección ocular por una comisión de fiscales en las instalaciones del Estado Mayor (</w:t>
      </w:r>
      <w:r w:rsidRPr="00C47E3D">
        <w:rPr>
          <w:i/>
          <w:iCs/>
        </w:rPr>
        <w:t xml:space="preserve">supra </w:t>
      </w:r>
      <w:r w:rsidRPr="00C47E3D">
        <w:t>párr. 60</w:t>
      </w:r>
      <w:r w:rsidRPr="003C0113">
        <w:t>)</w:t>
      </w:r>
      <w:r w:rsidRPr="000B2854">
        <w:t xml:space="preserve"> y mediante oficio de 19 de octubre de 2010 dentro del referido proceso penal N</w:t>
      </w:r>
      <w:r w:rsidR="00383CC9">
        <w:t>o.</w:t>
      </w:r>
      <w:r w:rsidRPr="000B2854">
        <w:t xml:space="preserve"> 6441/09, el Comandante en Jefe de las FFAA habría dado cumplimiento a los Autos Supremos de la Sala Penal Primera de la Corte </w:t>
      </w:r>
      <w:r w:rsidRPr="000B2854">
        <w:lastRenderedPageBreak/>
        <w:t xml:space="preserve">Suprema de Justicia y a las resoluciones del </w:t>
      </w:r>
      <w:r w:rsidRPr="00BB0BD2">
        <w:t>J</w:t>
      </w:r>
      <w:r w:rsidR="00DF4F35" w:rsidRPr="00BB0BD2">
        <w:t>uzgado</w:t>
      </w:r>
      <w:r w:rsidRPr="00BB0BD2">
        <w:t xml:space="preserve"> Octavo de Instrucción </w:t>
      </w:r>
      <w:r w:rsidR="00D835F5" w:rsidRPr="00BB0BD2">
        <w:t>en</w:t>
      </w:r>
      <w:r w:rsidRPr="00BB0BD2">
        <w:t xml:space="preserve"> lo Penal</w:t>
      </w:r>
      <w:r w:rsidR="00DF4F35" w:rsidRPr="00BB0BD2">
        <w:t xml:space="preserve"> Cautelar</w:t>
      </w:r>
      <w:r w:rsidRPr="000B2854">
        <w:rPr>
          <w:vertAlign w:val="superscript"/>
        </w:rPr>
        <w:footnoteReference w:id="195"/>
      </w:r>
      <w:r w:rsidRPr="000B2854">
        <w:t xml:space="preserve"> remitiendo fotocopias legalizadas en tres sobres cerrados. </w:t>
      </w:r>
      <w:r w:rsidR="009D4541">
        <w:t>L</w:t>
      </w:r>
      <w:r w:rsidRPr="000B2854">
        <w:t xml:space="preserve">a Corte destaca que las mismas autoridades objeto de la investigación fueron las que seleccionaron, clasificaron y entregaron la información solicitada. Este Tribunal nota asimismo que las órdenes expedidas </w:t>
      </w:r>
      <w:r>
        <w:t xml:space="preserve">en </w:t>
      </w:r>
      <w:r w:rsidR="003C0113">
        <w:t xml:space="preserve">los </w:t>
      </w:r>
      <w:r w:rsidR="003C0113" w:rsidRPr="00C11CD1">
        <w:t>Autos Supremos</w:t>
      </w:r>
      <w:r w:rsidR="003C0113" w:rsidRPr="00B00C4E">
        <w:t xml:space="preserve"> </w:t>
      </w:r>
      <w:r w:rsidRPr="00B00C4E">
        <w:t>de la Sala Penal Primera de la Corte Suprema No. 125 y No. 167 fueron dictad</w:t>
      </w:r>
      <w:r w:rsidR="00C47E3D" w:rsidRPr="00B00C4E">
        <w:t>o</w:t>
      </w:r>
      <w:r w:rsidRPr="00B00C4E">
        <w:t xml:space="preserve">s dentro del proceso </w:t>
      </w:r>
      <w:r w:rsidR="003C0113" w:rsidRPr="00B00C4E">
        <w:t>“Ministerio Público c/</w:t>
      </w:r>
      <w:r w:rsidRPr="00B00C4E">
        <w:t xml:space="preserve"> Franz Pizarro</w:t>
      </w:r>
      <w:r w:rsidR="003C0113" w:rsidRPr="00B00C4E">
        <w:t xml:space="preserve"> Solano</w:t>
      </w:r>
      <w:r w:rsidRPr="00B00C4E">
        <w:t xml:space="preserve"> y otros</w:t>
      </w:r>
      <w:r w:rsidR="003C0113" w:rsidRPr="00B00C4E">
        <w:t>”</w:t>
      </w:r>
      <w:r w:rsidRPr="00B00C4E">
        <w:t>. No obstante, dichas resoluciones fueron cumplidas de forma tardía, en el proceso penal No. 6441/</w:t>
      </w:r>
      <w:r w:rsidR="0099343A">
        <w:t>0</w:t>
      </w:r>
      <w:r w:rsidRPr="00B00C4E">
        <w:t xml:space="preserve">9. Tampoco consta que la información que daba cumplimiento a dichas órdenes fuera remitidas al </w:t>
      </w:r>
      <w:r w:rsidR="003C0113" w:rsidRPr="00C11CD1">
        <w:t xml:space="preserve">referido </w:t>
      </w:r>
      <w:r w:rsidRPr="00B00C4E">
        <w:t>proceso penal</w:t>
      </w:r>
      <w:r w:rsidR="00C47E3D" w:rsidRPr="00B00C4E">
        <w:t xml:space="preserve"> “Ministerio Público c/ </w:t>
      </w:r>
      <w:r w:rsidRPr="00B00C4E">
        <w:t xml:space="preserve">Franz Pizarro </w:t>
      </w:r>
      <w:r w:rsidR="003C0113" w:rsidRPr="00B00C4E">
        <w:t xml:space="preserve">Solano </w:t>
      </w:r>
      <w:r w:rsidRPr="00B00C4E">
        <w:t>y otros</w:t>
      </w:r>
      <w:r w:rsidR="00C47E3D" w:rsidRPr="00B00C4E">
        <w:t>”</w:t>
      </w:r>
      <w:r w:rsidRPr="00B00C4E">
        <w:t>, por lo que s</w:t>
      </w:r>
      <w:r w:rsidR="007B21CA">
        <w:t>e infiere</w:t>
      </w:r>
      <w:r w:rsidRPr="00B00C4E">
        <w:t xml:space="preserve"> que la sentencia de 25 de octubre de 2010 en dicho proceso se emitió sin conocer la referida información.</w:t>
      </w:r>
      <w:r w:rsidRPr="008B6395">
        <w:t xml:space="preserve"> Además, en el oficio remitido por el Comando de las FFAA se indicó que la referida documentación debía permanecer en reserva conforme al artículo 98 de la Ley Orgánica de las FFAA.</w:t>
      </w:r>
    </w:p>
    <w:p w14:paraId="7595CC58" w14:textId="6BB11863" w:rsidR="004A0914" w:rsidRPr="002E61E9" w:rsidRDefault="004A0914" w:rsidP="004A0914">
      <w:pPr>
        <w:rPr>
          <w:lang w:val="es-ES"/>
        </w:rPr>
      </w:pPr>
    </w:p>
    <w:p w14:paraId="62020F70" w14:textId="2DA1DDD5" w:rsidR="00BE48C7" w:rsidRPr="00D34DAF" w:rsidRDefault="003A1B02" w:rsidP="005E070D">
      <w:pPr>
        <w:pStyle w:val="Prrafodelista"/>
      </w:pPr>
      <w:r>
        <w:rPr>
          <w:lang w:eastAsia="zh-CN"/>
        </w:rPr>
        <w:t xml:space="preserve">Entonces, </w:t>
      </w:r>
      <w:r w:rsidR="00087B1A">
        <w:rPr>
          <w:lang w:eastAsia="zh-CN"/>
        </w:rPr>
        <w:t>a pesar de que</w:t>
      </w:r>
      <w:r>
        <w:rPr>
          <w:lang w:eastAsia="zh-CN"/>
        </w:rPr>
        <w:t xml:space="preserve"> se habría dado cumplimiento a las órdenes judiciales de desclasificación de la información, la documentación no fue proporcionada de manera oportuna de tal forma que las autoridades judiciales no tuvieron acceso a ella al momento de expedir la sentencia de casación en el marco del proceso penal </w:t>
      </w:r>
      <w:r w:rsidRPr="00B00C4E">
        <w:t>“Ministerio Público c/ Franz Pizarro Solano y otros”</w:t>
      </w:r>
      <w:r>
        <w:t xml:space="preserve">. Por otra parte, la información proporcionada en el marco del proceso penal </w:t>
      </w:r>
      <w:r w:rsidRPr="00B00C4E">
        <w:t>No. 6441/</w:t>
      </w:r>
      <w:r>
        <w:t>0</w:t>
      </w:r>
      <w:r w:rsidRPr="00B00C4E">
        <w:t>9</w:t>
      </w:r>
      <w:r>
        <w:t xml:space="preserve"> fue remitida a</w:t>
      </w:r>
      <w:r w:rsidR="00087B1A">
        <w:t xml:space="preserve">l </w:t>
      </w:r>
      <w:r w:rsidR="00087B1A" w:rsidRPr="00087B1A">
        <w:t>Fiscal de Recursos de la Fiscalía General del Estado,</w:t>
      </w:r>
      <w:r w:rsidR="00087B1A">
        <w:t xml:space="preserve"> </w:t>
      </w:r>
      <w:r>
        <w:t xml:space="preserve">bajo la advertencia de que la </w:t>
      </w:r>
      <w:r w:rsidR="004A0914" w:rsidRPr="00EA4353">
        <w:rPr>
          <w:color w:val="000000" w:themeColor="text1"/>
        </w:rPr>
        <w:t>“documentación es de carácter SECRETO e INVIOLABLE”</w:t>
      </w:r>
      <w:r w:rsidR="00C348D8">
        <w:rPr>
          <w:color w:val="000000" w:themeColor="text1"/>
        </w:rPr>
        <w:t>,</w:t>
      </w:r>
      <w:r w:rsidR="00C348D8" w:rsidRPr="00C11CD1">
        <w:rPr>
          <w:color w:val="000000" w:themeColor="text1"/>
        </w:rPr>
        <w:t xml:space="preserve"> </w:t>
      </w:r>
      <w:r w:rsidR="00316530" w:rsidRPr="00C11CD1">
        <w:rPr>
          <w:color w:val="000000" w:themeColor="text1"/>
        </w:rPr>
        <w:t xml:space="preserve">restringiendo </w:t>
      </w:r>
      <w:r>
        <w:rPr>
          <w:color w:val="000000" w:themeColor="text1"/>
        </w:rPr>
        <w:t xml:space="preserve">de esta manera </w:t>
      </w:r>
      <w:r w:rsidR="004A0914" w:rsidRPr="00EA4353">
        <w:rPr>
          <w:color w:val="000000" w:themeColor="text1"/>
        </w:rPr>
        <w:t>el uso que le podrían dar las autoridades judiciales</w:t>
      </w:r>
      <w:r w:rsidR="004A0914" w:rsidRPr="00C11CD1">
        <w:rPr>
          <w:vertAlign w:val="superscript"/>
        </w:rPr>
        <w:footnoteReference w:id="196"/>
      </w:r>
      <w:r w:rsidR="008E5A21" w:rsidRPr="00C11CD1">
        <w:t>.</w:t>
      </w:r>
      <w:r w:rsidR="004A0914" w:rsidRPr="00C11CD1">
        <w:rPr>
          <w:color w:val="000000" w:themeColor="text1"/>
        </w:rPr>
        <w:t xml:space="preserve"> </w:t>
      </w:r>
      <w:r w:rsidRPr="00C11CD1">
        <w:rPr>
          <w:lang w:eastAsia="zh-CN"/>
        </w:rPr>
        <w:t xml:space="preserve">Si bien la restricción en el acceso a la información </w:t>
      </w:r>
      <w:r w:rsidRPr="00C11CD1">
        <w:t>estaba contemplada en la Ley Orgánica de las FFAA</w:t>
      </w:r>
      <w:r w:rsidRPr="00C11CD1">
        <w:rPr>
          <w:vertAlign w:val="superscript"/>
        </w:rPr>
        <w:footnoteReference w:id="197"/>
      </w:r>
      <w:r w:rsidRPr="00C11CD1">
        <w:t xml:space="preserve">; los agentes estatales no señalaron cuál objetivo permitido por la Convención Americana se buscaba proteger, por lo tanto, la </w:t>
      </w:r>
      <w:r w:rsidR="004A0914" w:rsidRPr="00C11CD1">
        <w:t>restricción no puede considerarse necesaria ni proporcional en una sociedad democrática, por cuanto t</w:t>
      </w:r>
      <w:r w:rsidR="00087B1A" w:rsidRPr="00C11CD1">
        <w:t>uvo</w:t>
      </w:r>
      <w:r w:rsidR="004A0914" w:rsidRPr="00C11CD1">
        <w:t xml:space="preserve"> el efecto de afectar excesivamente el derecho al acceso a la información de los familiares de las personas desaparecidas, dificultando la búsqueda de sus seres queridos y prolongando así su sufrimiento. </w:t>
      </w:r>
      <w:r w:rsidR="00087B1A" w:rsidRPr="00C11CD1">
        <w:t>De forma tal que</w:t>
      </w:r>
      <w:r w:rsidR="004A0914" w:rsidRPr="00C11CD1">
        <w:t xml:space="preserve"> la restricción al acceso a la información no cumpl</w:t>
      </w:r>
      <w:r w:rsidR="00087B1A" w:rsidRPr="00C11CD1">
        <w:t>ió</w:t>
      </w:r>
      <w:r w:rsidR="004A0914" w:rsidRPr="00C11CD1">
        <w:t xml:space="preserve"> con los parámetros convencionales.</w:t>
      </w:r>
      <w:r w:rsidR="00316530" w:rsidRPr="00C11CD1">
        <w:t xml:space="preserve"> </w:t>
      </w:r>
      <w:r w:rsidR="00316530" w:rsidRPr="00C11CD1">
        <w:rPr>
          <w:lang w:eastAsia="zh-CN"/>
        </w:rPr>
        <w:t>Además</w:t>
      </w:r>
      <w:r w:rsidR="004A0914" w:rsidRPr="00C11CD1">
        <w:rPr>
          <w:lang w:eastAsia="zh-CN"/>
        </w:rPr>
        <w:t xml:space="preserve">, las autoridades militares seleccionaron la información suministrada, siendo que los estándares vigentes exigen que la </w:t>
      </w:r>
      <w:r w:rsidR="004A0914" w:rsidRPr="00C11CD1">
        <w:rPr>
          <w:color w:val="000000"/>
        </w:rPr>
        <w:t>decisión de calificar información como secreta no puede depender exclusivamente del órgano estatal a cuyos miembros se les atribuye la comisión del hecho ilícito</w:t>
      </w:r>
      <w:r w:rsidR="004A0914" w:rsidRPr="00C11CD1">
        <w:rPr>
          <w:vertAlign w:val="superscript"/>
        </w:rPr>
        <w:footnoteReference w:id="198"/>
      </w:r>
      <w:r w:rsidR="004A0914" w:rsidRPr="00C11CD1">
        <w:rPr>
          <w:color w:val="000000"/>
        </w:rPr>
        <w:t>.</w:t>
      </w:r>
      <w:r w:rsidR="00316530" w:rsidRPr="00C11CD1">
        <w:rPr>
          <w:color w:val="000000"/>
        </w:rPr>
        <w:t xml:space="preserve"> Finalmente</w:t>
      </w:r>
      <w:r w:rsidR="004A0914" w:rsidRPr="00B00C4E">
        <w:rPr>
          <w:color w:val="000000"/>
        </w:rPr>
        <w:t xml:space="preserve">, se negó a las víctimas en un caso de desaparición forzada de personas </w:t>
      </w:r>
      <w:r w:rsidR="004A0914" w:rsidRPr="00B00C4E">
        <w:rPr>
          <w:lang w:val="es-CR"/>
        </w:rPr>
        <w:t>–</w:t>
      </w:r>
      <w:r w:rsidR="004A0914" w:rsidRPr="00B00C4E">
        <w:rPr>
          <w:color w:val="000000"/>
        </w:rPr>
        <w:t>en este caso las hermanas Flores Bedregal– acceso a la información necesaria para el esclarecimiento del paradero de su familiar desaparecido.</w:t>
      </w:r>
    </w:p>
    <w:p w14:paraId="7232A549" w14:textId="77777777" w:rsidR="004A0914" w:rsidRPr="002E61E9" w:rsidRDefault="004A0914" w:rsidP="004A0914">
      <w:pPr>
        <w:rPr>
          <w:lang w:val="es-ES"/>
        </w:rPr>
      </w:pPr>
    </w:p>
    <w:p w14:paraId="1BFBC9F9" w14:textId="77777777" w:rsidR="004A0914" w:rsidRPr="007D09FB" w:rsidRDefault="004A0914" w:rsidP="00D62951">
      <w:pPr>
        <w:pStyle w:val="Ttulo3"/>
        <w:ind w:left="851"/>
        <w:rPr>
          <w:rFonts w:ascii="Verdana" w:hAnsi="Verdana"/>
          <w:b/>
          <w:bCs/>
          <w:color w:val="auto"/>
          <w:sz w:val="20"/>
          <w:szCs w:val="20"/>
          <w:lang w:val="es-ES"/>
        </w:rPr>
      </w:pPr>
      <w:bookmarkStart w:id="169" w:name="_Toc125037505"/>
      <w:r w:rsidRPr="007D09FB">
        <w:rPr>
          <w:rFonts w:ascii="Verdana" w:hAnsi="Verdana"/>
          <w:b/>
          <w:bCs/>
          <w:color w:val="auto"/>
          <w:sz w:val="20"/>
          <w:szCs w:val="20"/>
          <w:lang w:val="es-ES"/>
        </w:rPr>
        <w:t xml:space="preserve">B.2.3 </w:t>
      </w:r>
      <w:bookmarkStart w:id="170" w:name="_Hlk115881677"/>
      <w:r w:rsidRPr="007D09FB">
        <w:rPr>
          <w:rFonts w:ascii="Verdana" w:hAnsi="Verdana"/>
          <w:b/>
          <w:bCs/>
          <w:color w:val="auto"/>
          <w:sz w:val="20"/>
          <w:szCs w:val="20"/>
          <w:lang w:val="es-ES"/>
        </w:rPr>
        <w:t>Procedimiento administrativo por Resolución Ministerial No. 316/09</w:t>
      </w:r>
      <w:bookmarkEnd w:id="169"/>
      <w:bookmarkEnd w:id="170"/>
    </w:p>
    <w:p w14:paraId="25801107" w14:textId="77777777" w:rsidR="004A0914" w:rsidRPr="00C60A49" w:rsidRDefault="004A0914" w:rsidP="004A0914">
      <w:pPr>
        <w:rPr>
          <w:lang w:val="es-ES"/>
        </w:rPr>
      </w:pPr>
    </w:p>
    <w:p w14:paraId="3D19FC88" w14:textId="6183A047" w:rsidR="004A0914" w:rsidRPr="00C47E3D" w:rsidRDefault="004A0914" w:rsidP="005E070D">
      <w:pPr>
        <w:pStyle w:val="Prrafodelista"/>
      </w:pPr>
      <w:r w:rsidRPr="00C60A49">
        <w:rPr>
          <w:lang w:eastAsia="fr-FR"/>
        </w:rPr>
        <w:t xml:space="preserve">El 1 de junio de 2009 Verónica Flores Bedregal presentó una solicitud de acceso a la información ante el Comando en Jefe de las FFAA con base </w:t>
      </w:r>
      <w:r w:rsidR="00383BDE">
        <w:rPr>
          <w:lang w:eastAsia="fr-FR"/>
        </w:rPr>
        <w:t>en</w:t>
      </w:r>
      <w:r w:rsidRPr="00C60A49">
        <w:rPr>
          <w:lang w:eastAsia="fr-FR"/>
        </w:rPr>
        <w:t xml:space="preserve"> la Resolución Ministerial No. 316/09. En respuesta a la solicitud, el Comandante en Jefe de las FFAA supeditó la solicitud al cumplimiento </w:t>
      </w:r>
      <w:r w:rsidR="00383BDE">
        <w:rPr>
          <w:lang w:eastAsia="fr-FR"/>
        </w:rPr>
        <w:t>de</w:t>
      </w:r>
      <w:r w:rsidR="00383BDE" w:rsidRPr="00C60A49">
        <w:rPr>
          <w:lang w:eastAsia="fr-FR"/>
        </w:rPr>
        <w:t xml:space="preserve"> </w:t>
      </w:r>
      <w:r w:rsidRPr="00C60A49">
        <w:rPr>
          <w:lang w:eastAsia="fr-FR"/>
        </w:rPr>
        <w:t xml:space="preserve">los siguientes requisitos: 1) demostrar interés legítimo en la solicitud de información; 2) especificar las fechas y datos de la información requerida; 3) establecer las formas en las que se </w:t>
      </w:r>
      <w:r w:rsidRPr="00C60A49">
        <w:rPr>
          <w:lang w:eastAsia="fr-FR"/>
        </w:rPr>
        <w:lastRenderedPageBreak/>
        <w:t xml:space="preserve">“garantizará el secreto de la </w:t>
      </w:r>
      <w:r w:rsidRPr="003C0113">
        <w:rPr>
          <w:lang w:eastAsia="fr-FR"/>
        </w:rPr>
        <w:t xml:space="preserve">información proporcionada”, y 4) cumplir con los requisitos y formalidades de ley ante la autoridad competente </w:t>
      </w:r>
      <w:r w:rsidRPr="00C47E3D">
        <w:rPr>
          <w:lang w:eastAsia="fr-FR"/>
        </w:rPr>
        <w:t>(</w:t>
      </w:r>
      <w:r w:rsidRPr="00C47E3D">
        <w:rPr>
          <w:i/>
          <w:iCs/>
          <w:lang w:eastAsia="fr-FR"/>
        </w:rPr>
        <w:t>supra</w:t>
      </w:r>
      <w:r w:rsidRPr="00C47E3D">
        <w:rPr>
          <w:lang w:eastAsia="fr-FR"/>
        </w:rPr>
        <w:t xml:space="preserve"> párr. 63).</w:t>
      </w:r>
    </w:p>
    <w:p w14:paraId="28F9AFB8" w14:textId="77777777" w:rsidR="004A0914" w:rsidRPr="003C0113" w:rsidRDefault="004A0914" w:rsidP="004A0914">
      <w:pPr>
        <w:rPr>
          <w:lang w:val="es-ES"/>
        </w:rPr>
      </w:pPr>
    </w:p>
    <w:p w14:paraId="4CAF8FC0" w14:textId="4873EA91" w:rsidR="004970B4" w:rsidRDefault="004A0914" w:rsidP="005E070D">
      <w:pPr>
        <w:pStyle w:val="Prrafodelista"/>
      </w:pPr>
      <w:r w:rsidRPr="003C0113">
        <w:rPr>
          <w:lang w:eastAsia="zh-CN"/>
        </w:rPr>
        <w:t xml:space="preserve">La Corte </w:t>
      </w:r>
      <w:r w:rsidRPr="003C0113">
        <w:t xml:space="preserve">advierte que el Estado requirió, a través del Comando de las FFAA, el cumplimiento de requisitos adicionales a los expresamente contemplados en la </w:t>
      </w:r>
      <w:r w:rsidRPr="003C0113">
        <w:rPr>
          <w:lang w:eastAsia="fr-FR"/>
        </w:rPr>
        <w:t>Resolución Ministerial No. 316/09</w:t>
      </w:r>
      <w:r w:rsidRPr="003C0113">
        <w:t xml:space="preserve"> sin indicar por qué resultaban necesarios antes de facilitar la información solicitada. La autoridad castrense tampoco respondió las aclaraciones solicitadas por las hermanas Flores Bedregal sobre los requisitos exigidos </w:t>
      </w:r>
      <w:r w:rsidRPr="00C47E3D">
        <w:t>(</w:t>
      </w:r>
      <w:r w:rsidRPr="00C47E3D">
        <w:rPr>
          <w:i/>
          <w:iCs/>
        </w:rPr>
        <w:t>supra</w:t>
      </w:r>
      <w:r w:rsidRPr="00C47E3D">
        <w:t xml:space="preserve"> párr. 6</w:t>
      </w:r>
      <w:r w:rsidR="003C0113">
        <w:t>4</w:t>
      </w:r>
      <w:r w:rsidRPr="00C47E3D">
        <w:t xml:space="preserve">). </w:t>
      </w:r>
      <w:r w:rsidRPr="003C0113">
        <w:t>En respuesta, la hermanas Flores Bedregal presentaron una acción de amparo constitucional que fue</w:t>
      </w:r>
      <w:r w:rsidRPr="00F61BBD">
        <w:t xml:space="preserve"> declarada improcedente </w:t>
      </w:r>
      <w:r w:rsidRPr="00F61BBD">
        <w:rPr>
          <w:i/>
          <w:iCs/>
        </w:rPr>
        <w:t>in limine,</w:t>
      </w:r>
      <w:r w:rsidRPr="00F61BBD">
        <w:t xml:space="preserve"> por los tribunales internos. </w:t>
      </w:r>
    </w:p>
    <w:p w14:paraId="0AAE9EAD" w14:textId="77777777" w:rsidR="004A0914" w:rsidRPr="002E61E9" w:rsidRDefault="004A0914" w:rsidP="004A0914">
      <w:pPr>
        <w:rPr>
          <w:lang w:val="es-ES"/>
        </w:rPr>
      </w:pPr>
    </w:p>
    <w:p w14:paraId="6809F829" w14:textId="77777777" w:rsidR="004A0914" w:rsidRPr="007E6E68" w:rsidRDefault="004A0914" w:rsidP="005E070D">
      <w:pPr>
        <w:pStyle w:val="Prrafodelista"/>
      </w:pPr>
      <w:r w:rsidRPr="00F61BBD">
        <w:t xml:space="preserve">En consecuencia, la Corte estima que el Estado no garantizó a las hermanas Flores Bedregal el acceso a la información </w:t>
      </w:r>
      <w:r w:rsidRPr="00A93879">
        <w:t>conforme a la Resolución Ministerial No. 316/09 que</w:t>
      </w:r>
      <w:r w:rsidRPr="00F61BBD">
        <w:t xml:space="preserve"> autorizaba el acceso de víctimas de dictaduras militares y a sus familiares a los archivos, registros públicos y documentos de las FFAA, y obstaculizó el acceso a información relevante para la determinación de la verdad de lo sucedido a Juan Carlos Flores Bedregal.</w:t>
      </w:r>
    </w:p>
    <w:p w14:paraId="77E7E166" w14:textId="77777777" w:rsidR="00A93879" w:rsidRPr="002E61E9" w:rsidRDefault="00A93879" w:rsidP="004A0914">
      <w:pPr>
        <w:rPr>
          <w:lang w:val="es-ES"/>
        </w:rPr>
      </w:pPr>
    </w:p>
    <w:p w14:paraId="594F9DB5" w14:textId="77777777" w:rsidR="004A0914" w:rsidRPr="00F61BBD" w:rsidRDefault="004A0914" w:rsidP="00D62951">
      <w:pPr>
        <w:ind w:left="567"/>
        <w:jc w:val="both"/>
        <w:rPr>
          <w:rFonts w:ascii="Verdana" w:hAnsi="Verdana"/>
          <w:b/>
          <w:bCs/>
          <w:lang w:val="es-ES"/>
        </w:rPr>
      </w:pPr>
      <w:r w:rsidRPr="00F61BBD">
        <w:rPr>
          <w:rFonts w:ascii="Verdana" w:hAnsi="Verdana"/>
          <w:b/>
          <w:bCs/>
          <w:lang w:val="es-ES"/>
        </w:rPr>
        <w:t>C.</w:t>
      </w:r>
      <w:r w:rsidRPr="007D09FB">
        <w:rPr>
          <w:rStyle w:val="Ttulo2Car"/>
          <w:rFonts w:ascii="Verdana" w:hAnsi="Verdana"/>
          <w:b/>
          <w:bCs/>
          <w:color w:val="auto"/>
          <w:sz w:val="20"/>
          <w:szCs w:val="20"/>
        </w:rPr>
        <w:t xml:space="preserve"> </w:t>
      </w:r>
      <w:bookmarkStart w:id="171" w:name="_Hlk115881689"/>
      <w:r w:rsidRPr="007D09FB">
        <w:rPr>
          <w:rStyle w:val="Ttulo2Car"/>
          <w:rFonts w:ascii="Verdana" w:hAnsi="Verdana"/>
          <w:b/>
          <w:bCs/>
          <w:color w:val="auto"/>
          <w:sz w:val="20"/>
          <w:szCs w:val="20"/>
        </w:rPr>
        <w:t>Conclusión General</w:t>
      </w:r>
      <w:bookmarkEnd w:id="171"/>
    </w:p>
    <w:p w14:paraId="3B157A6E" w14:textId="77777777" w:rsidR="00480CEB" w:rsidRPr="00480CEB" w:rsidRDefault="00480CEB" w:rsidP="004A0914">
      <w:pPr>
        <w:rPr>
          <w:rFonts w:ascii="Verdana" w:hAnsi="Verdana"/>
          <w:b/>
          <w:bCs/>
          <w:color w:val="00B050"/>
          <w:lang w:val="es-ES"/>
        </w:rPr>
      </w:pPr>
    </w:p>
    <w:p w14:paraId="702FDCB7" w14:textId="2E5E1BE2" w:rsidR="004A0914" w:rsidRPr="000B2854" w:rsidRDefault="004A0914" w:rsidP="005E070D">
      <w:pPr>
        <w:pStyle w:val="Prrafodelista"/>
      </w:pPr>
      <w:r w:rsidRPr="008B6395">
        <w:t xml:space="preserve">La Corte </w:t>
      </w:r>
      <w:r w:rsidRPr="000B2854">
        <w:t>considera que</w:t>
      </w:r>
      <w:r w:rsidR="00E327AC">
        <w:t>,</w:t>
      </w:r>
      <w:r w:rsidRPr="000B2854">
        <w:t xml:space="preserve"> en casos de desaparición forzada de personas como la que fue perpetrada en el marco de la interrupción de la democracia por un golpe militar, el acceso a la información que consta en los archivos de las FFAA, resulta indispensable para esclarecer la responsabilidad estatal y satisfacer el derecho a la verdad. A ese efecto, las autoridades deben desclasificar archivos y documentos de las fuerzas de seguridad a fin de obtener pruebas o indicios relevantes para la investigación y esclarecimiento de violaciones a los derechos humanos.  Asimismo, las autoridades deben garantizar el acceso a la información a los familiares de las víctimas de desaparición forzada de personas, así como a la sociedad en su conjunto, a fin de asegurar el derecho a la verdad. En el presente caso, los obstáculos judiciales y administrativos enfrentados por las hermanas Flores Bedregal en sus solicitudes de acceso a la información sobre el paradero de Juan Carlos Flores Bedregal, constituyen violaciones al artículo 13.1 y 13.2 de la Convención Americana en conjunción con el artículo 1.1 del mismo instrumento.</w:t>
      </w:r>
    </w:p>
    <w:p w14:paraId="77335E86" w14:textId="77777777" w:rsidR="004A0914" w:rsidRPr="000B2854" w:rsidRDefault="004A0914" w:rsidP="004A0914">
      <w:pPr>
        <w:rPr>
          <w:lang w:val="es-ES"/>
        </w:rPr>
      </w:pPr>
    </w:p>
    <w:p w14:paraId="08BE393D" w14:textId="51150D46" w:rsidR="004A0914" w:rsidRPr="00015E76" w:rsidRDefault="004A0914" w:rsidP="005E070D">
      <w:pPr>
        <w:pStyle w:val="Prrafodelista"/>
      </w:pPr>
      <w:r w:rsidRPr="000B2854">
        <w:t xml:space="preserve">En relación con el alegato de la Comisión sobre la incompatibilidad del artículo 98 de la Ley Orgánica de las FFAA con la obligación de adecuar el ordenamiento interno a las normas de la Convención, la Corte encuentra que el precepto sobre la reserva de la información suministrada por el Comandante en Jefe restringe el derecho de acceso a la información en casos en los cuales se busca esclarecer </w:t>
      </w:r>
      <w:r>
        <w:t xml:space="preserve">la </w:t>
      </w:r>
      <w:r w:rsidRPr="000B2854">
        <w:t>desaparición forzada de personas.  Por lo</w:t>
      </w:r>
      <w:r w:rsidRPr="00F61BBD">
        <w:t xml:space="preserve"> tanto, dicha norma resulta contraria a los estándares establecidos por la jurisprudencia de este Tribunal en materia de acceso a la información por parte de las víctimas de graves violaciones a los derechos humanos y</w:t>
      </w:r>
      <w:r w:rsidR="009D4133">
        <w:t>,</w:t>
      </w:r>
      <w:r w:rsidRPr="00F61BBD">
        <w:t xml:space="preserve"> en consecuencia</w:t>
      </w:r>
      <w:r w:rsidR="003B3E61">
        <w:t>,</w:t>
      </w:r>
      <w:r w:rsidRPr="00F61BBD">
        <w:t xml:space="preserve"> el Estado es responsable de la violación del artículo 13 de la Convención</w:t>
      </w:r>
      <w:r w:rsidR="009D4133">
        <w:t>,</w:t>
      </w:r>
      <w:r w:rsidRPr="00F61BBD">
        <w:t xml:space="preserve"> en relación con la obligación de adecuar su ordenamiento interno establecida en el artículo 2 del mismo instrumento.</w:t>
      </w:r>
    </w:p>
    <w:p w14:paraId="65E27771" w14:textId="77777777" w:rsidR="004A0914" w:rsidRPr="000B2854" w:rsidRDefault="004A0914" w:rsidP="004A0914">
      <w:pPr>
        <w:rPr>
          <w:lang w:val="es-ES"/>
        </w:rPr>
      </w:pPr>
    </w:p>
    <w:p w14:paraId="3C0D1D4B" w14:textId="6BBFE8FA" w:rsidR="004A0914" w:rsidRPr="000B2854" w:rsidRDefault="004A0914" w:rsidP="005E070D">
      <w:pPr>
        <w:pStyle w:val="Prrafodelista"/>
      </w:pPr>
      <w:bookmarkStart w:id="172" w:name="_Hlk115881339"/>
      <w:r w:rsidRPr="000B2854">
        <w:t xml:space="preserve">Adicionalmente, la Corte encuentra que la obligación de mantener la reserva de la información suministrada por el Comandante en Jefe </w:t>
      </w:r>
      <w:r w:rsidR="008A2652">
        <w:t xml:space="preserve">de las FFAA </w:t>
      </w:r>
      <w:r w:rsidRPr="000B2854">
        <w:t>afecta el ejercicio independiente de la función judicial, pues constituye un obstáculo para que dicha información sea utilizada por las autoridades judiciales en el marco de los procesos sometidos a su conocimiento.</w:t>
      </w:r>
      <w:r w:rsidRPr="000B2854">
        <w:rPr>
          <w:lang w:val="es-ES_tradnl"/>
        </w:rPr>
        <w:t xml:space="preserve"> Si bien conforme al artículo 98 de la L</w:t>
      </w:r>
      <w:r>
        <w:rPr>
          <w:lang w:val="es-ES_tradnl"/>
        </w:rPr>
        <w:t xml:space="preserve">ey </w:t>
      </w:r>
      <w:r w:rsidRPr="000B2854">
        <w:rPr>
          <w:lang w:val="es-ES_tradnl"/>
        </w:rPr>
        <w:t>O</w:t>
      </w:r>
      <w:r>
        <w:rPr>
          <w:lang w:val="es-ES_tradnl"/>
        </w:rPr>
        <w:t xml:space="preserve">rgánica de las </w:t>
      </w:r>
      <w:r w:rsidRPr="000B2854">
        <w:rPr>
          <w:lang w:val="es-ES_tradnl"/>
        </w:rPr>
        <w:t>FFAA –y como ocurrió en este caso— las autoridades militares deben hacer entrega de la información solicitada por las autoridades judiciales, la información clasificada como “secreto inviolable” se mantiene en reserva y</w:t>
      </w:r>
      <w:r w:rsidR="00C712F3">
        <w:rPr>
          <w:lang w:val="es-ES_tradnl"/>
        </w:rPr>
        <w:t>,</w:t>
      </w:r>
      <w:r w:rsidRPr="000B2854">
        <w:rPr>
          <w:lang w:val="es-ES_tradnl"/>
        </w:rPr>
        <w:t xml:space="preserve"> por lo tanto</w:t>
      </w:r>
      <w:r w:rsidR="00C712F3">
        <w:rPr>
          <w:lang w:val="es-ES_tradnl"/>
        </w:rPr>
        <w:t>,</w:t>
      </w:r>
      <w:r w:rsidRPr="000B2854">
        <w:rPr>
          <w:lang w:val="es-ES_tradnl"/>
        </w:rPr>
        <w:t xml:space="preserve"> la autoridad judicial se ve impedida de trasladarla a las partes en el proceso y utilizarla como parte de la argumentación. En vista de lo </w:t>
      </w:r>
      <w:r w:rsidRPr="000B2854">
        <w:rPr>
          <w:lang w:val="es-ES_tradnl"/>
        </w:rPr>
        <w:lastRenderedPageBreak/>
        <w:t>anterior</w:t>
      </w:r>
      <w:r w:rsidRPr="000B2854">
        <w:t xml:space="preserve">, en virtud del principio </w:t>
      </w:r>
      <w:r w:rsidRPr="000B2854">
        <w:rPr>
          <w:i/>
          <w:iCs/>
        </w:rPr>
        <w:t>iura novit curia</w:t>
      </w:r>
      <w:r w:rsidRPr="000B2854">
        <w:rPr>
          <w:vertAlign w:val="superscript"/>
        </w:rPr>
        <w:footnoteReference w:id="199"/>
      </w:r>
      <w:r w:rsidRPr="000B2854">
        <w:t xml:space="preserve">, </w:t>
      </w:r>
      <w:r w:rsidRPr="000B2854">
        <w:rPr>
          <w:lang w:val="es-ES_tradnl"/>
        </w:rPr>
        <w:t>este</w:t>
      </w:r>
      <w:r w:rsidRPr="000B2854">
        <w:t xml:space="preserve"> Tribunal considera que la norma </w:t>
      </w:r>
      <w:r w:rsidRPr="000B2854">
        <w:rPr>
          <w:lang w:val="es-ES_tradnl"/>
        </w:rPr>
        <w:t>es incompatible con el principio de independencia judicial reconocido</w:t>
      </w:r>
      <w:r w:rsidRPr="000B2854">
        <w:t xml:space="preserve"> </w:t>
      </w:r>
      <w:r w:rsidRPr="000B2854">
        <w:rPr>
          <w:lang w:val="es-ES_tradnl"/>
        </w:rPr>
        <w:t xml:space="preserve">en </w:t>
      </w:r>
      <w:r w:rsidRPr="000B2854">
        <w:t xml:space="preserve">el artículo 8.1 de la Convención Americana.  </w:t>
      </w:r>
    </w:p>
    <w:bookmarkEnd w:id="172"/>
    <w:p w14:paraId="16163921" w14:textId="77777777" w:rsidR="002B4667" w:rsidRPr="002E61E9" w:rsidRDefault="002B4667" w:rsidP="004A0914">
      <w:pPr>
        <w:rPr>
          <w:lang w:val="es-ES"/>
        </w:rPr>
      </w:pPr>
    </w:p>
    <w:p w14:paraId="7DB8A01E" w14:textId="63DE60DD" w:rsidR="004A0914" w:rsidRDefault="004A0914" w:rsidP="005E070D">
      <w:pPr>
        <w:pStyle w:val="Prrafodelista"/>
      </w:pPr>
      <w:r w:rsidRPr="00F61BBD">
        <w:t xml:space="preserve"> </w:t>
      </w:r>
      <w:r w:rsidRPr="00F61BBD">
        <w:rPr>
          <w:lang w:eastAsia="fr-FR"/>
        </w:rPr>
        <w:t>En razón de lo anterior, este Tribunal concluye que</w:t>
      </w:r>
      <w:r w:rsidR="00C712F3">
        <w:rPr>
          <w:lang w:eastAsia="fr-FR"/>
        </w:rPr>
        <w:t>,</w:t>
      </w:r>
      <w:r w:rsidRPr="00F61BBD">
        <w:rPr>
          <w:lang w:eastAsia="fr-FR"/>
        </w:rPr>
        <w:t xml:space="preserve"> a lo largo de varias décadas</w:t>
      </w:r>
      <w:r w:rsidR="00C712F3">
        <w:rPr>
          <w:lang w:eastAsia="fr-FR"/>
        </w:rPr>
        <w:t>,</w:t>
      </w:r>
      <w:r w:rsidRPr="00F61BBD">
        <w:rPr>
          <w:lang w:eastAsia="fr-FR"/>
        </w:rPr>
        <w:t xml:space="preserve"> el Estado impidió a los familiares de</w:t>
      </w:r>
      <w:r w:rsidR="003B3E61">
        <w:rPr>
          <w:lang w:eastAsia="fr-FR"/>
        </w:rPr>
        <w:t xml:space="preserve"> </w:t>
      </w:r>
      <w:r w:rsidR="003B3E61" w:rsidRPr="00F61BBD">
        <w:rPr>
          <w:lang w:eastAsia="fr-FR"/>
        </w:rPr>
        <w:t xml:space="preserve">Juan Carlos Flores Bedregal </w:t>
      </w:r>
      <w:r w:rsidRPr="00F61BBD">
        <w:rPr>
          <w:lang w:eastAsia="fr-FR"/>
        </w:rPr>
        <w:t xml:space="preserve">el acceso a información relevante para el esclarecimiento de </w:t>
      </w:r>
      <w:r w:rsidR="003B3E61">
        <w:rPr>
          <w:lang w:eastAsia="fr-FR"/>
        </w:rPr>
        <w:t>su</w:t>
      </w:r>
      <w:r w:rsidRPr="00F61BBD">
        <w:rPr>
          <w:lang w:eastAsia="fr-FR"/>
        </w:rPr>
        <w:t xml:space="preserve"> desaparición</w:t>
      </w:r>
      <w:r w:rsidR="00C47E3D">
        <w:rPr>
          <w:lang w:eastAsia="fr-FR"/>
        </w:rPr>
        <w:t xml:space="preserve"> </w:t>
      </w:r>
      <w:r w:rsidR="00C47E3D" w:rsidRPr="00C11CD1">
        <w:rPr>
          <w:lang w:eastAsia="fr-FR"/>
        </w:rPr>
        <w:t>forzada</w:t>
      </w:r>
      <w:r w:rsidRPr="00C11CD1">
        <w:rPr>
          <w:lang w:eastAsia="fr-FR"/>
        </w:rPr>
        <w:t xml:space="preserve"> en el marco del golpe de Estado de </w:t>
      </w:r>
      <w:r w:rsidR="00C47E3D" w:rsidRPr="00C11CD1">
        <w:rPr>
          <w:lang w:eastAsia="fr-FR"/>
        </w:rPr>
        <w:t>17 de</w:t>
      </w:r>
      <w:r w:rsidR="00C47E3D">
        <w:rPr>
          <w:lang w:eastAsia="fr-FR"/>
        </w:rPr>
        <w:t xml:space="preserve"> </w:t>
      </w:r>
      <w:r w:rsidRPr="00F61BBD">
        <w:rPr>
          <w:lang w:eastAsia="fr-FR"/>
        </w:rPr>
        <w:t xml:space="preserve">julio de </w:t>
      </w:r>
      <w:r w:rsidRPr="00B122EA">
        <w:rPr>
          <w:lang w:eastAsia="fr-FR"/>
        </w:rPr>
        <w:t>1980 y restringió</w:t>
      </w:r>
      <w:r w:rsidRPr="000B2854">
        <w:rPr>
          <w:lang w:eastAsia="fr-FR"/>
        </w:rPr>
        <w:t xml:space="preserve"> las actuaciones judiciales relacionadas con dicha información, por lo tanto violó los derechos a buscar y recibir información</w:t>
      </w:r>
      <w:r w:rsidR="00D60818">
        <w:rPr>
          <w:lang w:eastAsia="fr-FR"/>
        </w:rPr>
        <w:t>,</w:t>
      </w:r>
      <w:r w:rsidRPr="000B2854">
        <w:rPr>
          <w:lang w:eastAsia="fr-FR"/>
        </w:rPr>
        <w:t xml:space="preserve"> </w:t>
      </w:r>
      <w:r w:rsidR="00484BBC">
        <w:rPr>
          <w:lang w:eastAsia="fr-FR"/>
        </w:rPr>
        <w:t xml:space="preserve">y </w:t>
      </w:r>
      <w:r w:rsidRPr="000B2854">
        <w:rPr>
          <w:lang w:eastAsia="fr-FR"/>
        </w:rPr>
        <w:t>a la independencia judicial consagrados en los artículos 13.1, 13.2</w:t>
      </w:r>
      <w:r w:rsidR="00484BBC">
        <w:rPr>
          <w:lang w:eastAsia="fr-FR"/>
        </w:rPr>
        <w:t xml:space="preserve"> y</w:t>
      </w:r>
      <w:r w:rsidR="005E4E2D">
        <w:rPr>
          <w:lang w:eastAsia="fr-FR"/>
        </w:rPr>
        <w:t xml:space="preserve"> </w:t>
      </w:r>
      <w:r w:rsidRPr="000B2854">
        <w:rPr>
          <w:lang w:eastAsia="fr-FR"/>
        </w:rPr>
        <w:t>8.1 de la Convención Americana, en relación con los artículos 1.1 y</w:t>
      </w:r>
      <w:r w:rsidRPr="000B2854">
        <w:t xml:space="preserve"> 2 </w:t>
      </w:r>
      <w:r w:rsidRPr="000B2854">
        <w:rPr>
          <w:lang w:eastAsia="fr-FR"/>
        </w:rPr>
        <w:t>de dicho instrumento, así como el derecho a conocer la verdad, en</w:t>
      </w:r>
      <w:r w:rsidRPr="00F61BBD">
        <w:rPr>
          <w:lang w:eastAsia="fr-FR"/>
        </w:rPr>
        <w:t xml:space="preserve"> perjuicio de </w:t>
      </w:r>
      <w:r w:rsidRPr="00F61BBD">
        <w:rPr>
          <w:rFonts w:cs="Verdana"/>
          <w:lang w:eastAsia="fr-FR"/>
        </w:rPr>
        <w:t>Olga Beatriz, Eliana Isbelia, Verónica y Lilian Teresa Flores Bedregal</w:t>
      </w:r>
      <w:r w:rsidRPr="00F61BBD">
        <w:t>.</w:t>
      </w:r>
    </w:p>
    <w:p w14:paraId="1E554B41" w14:textId="77777777" w:rsidR="002B4667" w:rsidRPr="002E3990" w:rsidRDefault="002B4667" w:rsidP="00BF3A96">
      <w:pPr>
        <w:rPr>
          <w:lang w:val="es-ES"/>
        </w:rPr>
      </w:pPr>
    </w:p>
    <w:p w14:paraId="6769AFD5" w14:textId="77777777" w:rsidR="00F61BBD" w:rsidRPr="002E61E9" w:rsidRDefault="00F61BBD" w:rsidP="00E55450">
      <w:pPr>
        <w:rPr>
          <w:lang w:val="es-ES"/>
        </w:rPr>
      </w:pPr>
    </w:p>
    <w:p w14:paraId="4954EE6E" w14:textId="24128FDA" w:rsidR="00F61BBD" w:rsidRPr="00EA6638" w:rsidRDefault="00F61BBD" w:rsidP="00EA6638">
      <w:pPr>
        <w:pStyle w:val="Ttulo1"/>
        <w:spacing w:before="0"/>
        <w:jc w:val="center"/>
        <w:rPr>
          <w:rFonts w:ascii="Verdana" w:hAnsi="Verdana"/>
          <w:b/>
          <w:bCs/>
          <w:color w:val="000000" w:themeColor="text1"/>
          <w:sz w:val="20"/>
          <w:szCs w:val="20"/>
          <w:lang w:val="es-ES"/>
        </w:rPr>
      </w:pPr>
      <w:bookmarkStart w:id="173" w:name="_Toc100230507"/>
      <w:bookmarkStart w:id="174" w:name="_Toc101448252"/>
      <w:bookmarkStart w:id="175" w:name="_Toc107234608"/>
      <w:bookmarkStart w:id="176" w:name="_Toc115717837"/>
      <w:bookmarkStart w:id="177" w:name="_Toc125037506"/>
      <w:r w:rsidRPr="00EA6638">
        <w:rPr>
          <w:rFonts w:ascii="Verdana" w:hAnsi="Verdana"/>
          <w:b/>
          <w:bCs/>
          <w:color w:val="000000" w:themeColor="text1"/>
          <w:sz w:val="20"/>
          <w:szCs w:val="20"/>
          <w:lang w:val="es-ES"/>
        </w:rPr>
        <w:t>V</w:t>
      </w:r>
      <w:r w:rsidR="007E6E68">
        <w:rPr>
          <w:rFonts w:ascii="Verdana" w:hAnsi="Verdana"/>
          <w:b/>
          <w:bCs/>
          <w:color w:val="000000" w:themeColor="text1"/>
          <w:sz w:val="20"/>
          <w:szCs w:val="20"/>
          <w:lang w:val="es-ES"/>
        </w:rPr>
        <w:t>I</w:t>
      </w:r>
      <w:r w:rsidRPr="00EA6638">
        <w:rPr>
          <w:rFonts w:ascii="Verdana" w:hAnsi="Verdana"/>
          <w:b/>
          <w:bCs/>
          <w:color w:val="000000" w:themeColor="text1"/>
          <w:sz w:val="20"/>
          <w:szCs w:val="20"/>
          <w:lang w:val="es-ES"/>
        </w:rPr>
        <w:t>I-IV</w:t>
      </w:r>
      <w:bookmarkEnd w:id="173"/>
      <w:bookmarkEnd w:id="174"/>
      <w:bookmarkEnd w:id="175"/>
      <w:bookmarkEnd w:id="176"/>
      <w:bookmarkEnd w:id="177"/>
    </w:p>
    <w:p w14:paraId="5A4BC80D" w14:textId="77777777" w:rsidR="00F61BBD" w:rsidRPr="00EA6638" w:rsidRDefault="00F61BBD" w:rsidP="00EA6638">
      <w:pPr>
        <w:pStyle w:val="Ttulo1"/>
        <w:spacing w:before="0"/>
        <w:jc w:val="center"/>
        <w:rPr>
          <w:rFonts w:ascii="Verdana" w:hAnsi="Verdana"/>
          <w:b/>
          <w:bCs/>
          <w:color w:val="000000" w:themeColor="text1"/>
          <w:sz w:val="20"/>
          <w:szCs w:val="20"/>
          <w:lang w:val="es-ES"/>
        </w:rPr>
      </w:pPr>
      <w:bookmarkStart w:id="178" w:name="_Toc100230508"/>
      <w:bookmarkStart w:id="179" w:name="_Toc101448253"/>
      <w:bookmarkStart w:id="180" w:name="_Toc124157831"/>
      <w:bookmarkStart w:id="181" w:name="_Toc125037507"/>
      <w:r w:rsidRPr="00EA6638">
        <w:rPr>
          <w:rFonts w:ascii="Verdana" w:hAnsi="Verdana"/>
          <w:b/>
          <w:bCs/>
          <w:color w:val="000000" w:themeColor="text1"/>
          <w:sz w:val="20"/>
          <w:szCs w:val="20"/>
          <w:lang w:val="es-ES"/>
        </w:rPr>
        <w:t>DERECHO A LA INTEGRIDAD PERSONAL,</w:t>
      </w:r>
      <w:bookmarkEnd w:id="178"/>
      <w:bookmarkEnd w:id="179"/>
      <w:bookmarkEnd w:id="180"/>
      <w:bookmarkEnd w:id="181"/>
    </w:p>
    <w:p w14:paraId="28468F9D" w14:textId="77777777" w:rsidR="00F61BBD" w:rsidRPr="00EA6638" w:rsidRDefault="00F61BBD" w:rsidP="00021F8A">
      <w:pPr>
        <w:pStyle w:val="Ttulo1"/>
        <w:spacing w:before="0"/>
        <w:jc w:val="center"/>
        <w:rPr>
          <w:rFonts w:ascii="Verdana" w:hAnsi="Verdana"/>
          <w:b/>
          <w:bCs/>
          <w:color w:val="000000" w:themeColor="text1"/>
          <w:sz w:val="20"/>
          <w:szCs w:val="20"/>
          <w:lang w:val="es-ES"/>
        </w:rPr>
      </w:pPr>
      <w:bookmarkStart w:id="182" w:name="_Toc107234610"/>
      <w:bookmarkStart w:id="183" w:name="_Toc115717839"/>
      <w:bookmarkStart w:id="184" w:name="_Toc124157832"/>
      <w:bookmarkStart w:id="185" w:name="_Toc125037508"/>
      <w:r w:rsidRPr="00EA6638">
        <w:rPr>
          <w:rFonts w:ascii="Verdana" w:hAnsi="Verdana"/>
          <w:b/>
          <w:bCs/>
          <w:color w:val="000000" w:themeColor="text1"/>
          <w:sz w:val="20"/>
          <w:szCs w:val="20"/>
          <w:lang w:val="es-ES"/>
        </w:rPr>
        <w:t>EN RELACIÓN CON EL DEBER DE RESPETAR Y GARANTIZAR LOS DERECHOS</w:t>
      </w:r>
      <w:r w:rsidRPr="00EA6638">
        <w:rPr>
          <w:rFonts w:ascii="Verdana" w:hAnsi="Verdana"/>
          <w:b/>
          <w:bCs/>
          <w:color w:val="000000" w:themeColor="text1"/>
          <w:sz w:val="20"/>
          <w:szCs w:val="20"/>
          <w:vertAlign w:val="superscript"/>
          <w:lang w:val="es-ES"/>
        </w:rPr>
        <w:footnoteReference w:id="200"/>
      </w:r>
      <w:bookmarkEnd w:id="182"/>
      <w:bookmarkEnd w:id="183"/>
      <w:bookmarkEnd w:id="184"/>
      <w:bookmarkEnd w:id="185"/>
    </w:p>
    <w:p w14:paraId="36003B4C" w14:textId="77777777" w:rsidR="00F61BBD" w:rsidRPr="00685917" w:rsidRDefault="00F61BBD" w:rsidP="00021F8A">
      <w:pPr>
        <w:autoSpaceDE w:val="0"/>
        <w:autoSpaceDN w:val="0"/>
        <w:adjustRightInd w:val="0"/>
        <w:jc w:val="both"/>
        <w:rPr>
          <w:rFonts w:ascii="Verdana" w:hAnsi="Verdana"/>
          <w:lang w:val="es-ES"/>
        </w:rPr>
      </w:pPr>
    </w:p>
    <w:p w14:paraId="410999AC" w14:textId="4E79D228" w:rsidR="00F61BBD" w:rsidRPr="00B54D03" w:rsidRDefault="00F61BBD" w:rsidP="00D62951">
      <w:pPr>
        <w:pStyle w:val="Ttulo2"/>
        <w:numPr>
          <w:ilvl w:val="0"/>
          <w:numId w:val="22"/>
        </w:numPr>
        <w:spacing w:before="0"/>
        <w:ind w:left="567"/>
        <w:rPr>
          <w:rFonts w:ascii="Verdana" w:hAnsi="Verdana"/>
          <w:b/>
          <w:bCs/>
          <w:color w:val="000000" w:themeColor="text1"/>
          <w:sz w:val="20"/>
          <w:szCs w:val="20"/>
          <w:lang w:val="es-ES"/>
        </w:rPr>
      </w:pPr>
      <w:bookmarkStart w:id="186" w:name="_Toc125037509"/>
      <w:r w:rsidRPr="00EA6638">
        <w:rPr>
          <w:rFonts w:ascii="Verdana" w:hAnsi="Verdana"/>
          <w:b/>
          <w:bCs/>
          <w:color w:val="000000" w:themeColor="text1"/>
          <w:sz w:val="20"/>
          <w:szCs w:val="20"/>
          <w:lang w:val="es-ES"/>
        </w:rPr>
        <w:t>Alegatos de la Comisión y las partes</w:t>
      </w:r>
      <w:bookmarkEnd w:id="186"/>
    </w:p>
    <w:p w14:paraId="06B96558" w14:textId="77777777" w:rsidR="00F61BBD" w:rsidRPr="002E61E9" w:rsidRDefault="00F61BBD" w:rsidP="00E55450">
      <w:pPr>
        <w:rPr>
          <w:lang w:val="es-ES"/>
        </w:rPr>
      </w:pPr>
    </w:p>
    <w:p w14:paraId="57DD4ECB" w14:textId="5B7E292B" w:rsidR="00B56A94" w:rsidRPr="00F61BBD" w:rsidRDefault="00B56A94" w:rsidP="005E070D">
      <w:pPr>
        <w:pStyle w:val="Prrafodelista"/>
      </w:pPr>
      <w:bookmarkStart w:id="187" w:name="_Toc33524819"/>
      <w:bookmarkEnd w:id="155"/>
      <w:r w:rsidRPr="00F61BBD">
        <w:t xml:space="preserve">La </w:t>
      </w:r>
      <w:r w:rsidRPr="00F61BBD">
        <w:rPr>
          <w:rFonts w:eastAsia="Calibri"/>
          <w:b/>
          <w:i/>
          <w:lang w:eastAsia="es-CR"/>
        </w:rPr>
        <w:t>Comisión</w:t>
      </w:r>
      <w:r w:rsidRPr="00F61BBD">
        <w:rPr>
          <w:rFonts w:eastAsia="Calibri"/>
          <w:lang w:eastAsia="es-CR"/>
        </w:rPr>
        <w:t xml:space="preserve"> señaló </w:t>
      </w:r>
      <w:r w:rsidR="008F6A38" w:rsidRPr="00F61BBD">
        <w:rPr>
          <w:rFonts w:eastAsia="Calibri"/>
          <w:lang w:eastAsia="es-CR"/>
        </w:rPr>
        <w:t xml:space="preserve">que </w:t>
      </w:r>
      <w:r w:rsidRPr="00F61BBD">
        <w:rPr>
          <w:rFonts w:eastAsia="Calibri"/>
          <w:lang w:eastAsia="es-CR"/>
        </w:rPr>
        <w:t>la desaparición forzada</w:t>
      </w:r>
      <w:r w:rsidR="008C741E" w:rsidRPr="00F61BBD">
        <w:rPr>
          <w:rFonts w:eastAsia="Calibri"/>
          <w:lang w:eastAsia="es-CR"/>
        </w:rPr>
        <w:t xml:space="preserve"> del señor Flores Bedregal</w:t>
      </w:r>
      <w:r w:rsidRPr="00F61BBD">
        <w:rPr>
          <w:rFonts w:eastAsia="Calibri"/>
          <w:lang w:eastAsia="es-CR"/>
        </w:rPr>
        <w:t xml:space="preserve"> </w:t>
      </w:r>
      <w:r w:rsidR="008F6A38" w:rsidRPr="00F61BBD">
        <w:rPr>
          <w:rFonts w:eastAsia="Calibri"/>
          <w:lang w:eastAsia="es-CR"/>
        </w:rPr>
        <w:t xml:space="preserve">y su falta de esclarecimiento </w:t>
      </w:r>
      <w:r w:rsidRPr="00F61BBD">
        <w:rPr>
          <w:rFonts w:eastAsia="Calibri"/>
          <w:lang w:eastAsia="es-CR"/>
        </w:rPr>
        <w:t>ha</w:t>
      </w:r>
      <w:r w:rsidR="008F6A38" w:rsidRPr="00F61BBD">
        <w:rPr>
          <w:rFonts w:eastAsia="Calibri"/>
          <w:lang w:eastAsia="es-CR"/>
        </w:rPr>
        <w:t>n</w:t>
      </w:r>
      <w:r w:rsidRPr="00F61BBD">
        <w:rPr>
          <w:rFonts w:eastAsia="Calibri"/>
          <w:lang w:eastAsia="es-CR"/>
        </w:rPr>
        <w:t xml:space="preserve"> ocasionado un profundo sentimiento de dolor, angustia e incertidumbre en </w:t>
      </w:r>
      <w:r w:rsidR="008C741E" w:rsidRPr="00F61BBD">
        <w:rPr>
          <w:rFonts w:eastAsia="Calibri"/>
          <w:lang w:eastAsia="es-CR"/>
        </w:rPr>
        <w:t>sus familiares</w:t>
      </w:r>
      <w:r w:rsidR="009A0F54">
        <w:rPr>
          <w:rFonts w:eastAsia="Calibri"/>
          <w:lang w:eastAsia="es-CR"/>
        </w:rPr>
        <w:t xml:space="preserve">, </w:t>
      </w:r>
      <w:r w:rsidR="009A0F54" w:rsidRPr="00C11CD1">
        <w:rPr>
          <w:rFonts w:eastAsia="Calibri"/>
          <w:lang w:eastAsia="es-CR"/>
        </w:rPr>
        <w:t>el cual se ha profundizado por la larga búsqueda de justicia y la falta de esclarecimiento de lo ocurrido a su familiar</w:t>
      </w:r>
      <w:r w:rsidRPr="00C11CD1">
        <w:rPr>
          <w:rFonts w:eastAsia="Calibri"/>
          <w:lang w:eastAsia="es-CR"/>
        </w:rPr>
        <w:t>.</w:t>
      </w:r>
      <w:r w:rsidRPr="00F61BBD">
        <w:rPr>
          <w:rFonts w:eastAsia="Calibri"/>
          <w:lang w:eastAsia="es-CR"/>
        </w:rPr>
        <w:t xml:space="preserve"> En consecuencia, </w:t>
      </w:r>
      <w:r w:rsidR="008F6A38" w:rsidRPr="00F61BBD">
        <w:rPr>
          <w:rFonts w:eastAsia="Calibri"/>
          <w:lang w:eastAsia="es-CR"/>
        </w:rPr>
        <w:t>solicit</w:t>
      </w:r>
      <w:r w:rsidR="003B3E61">
        <w:rPr>
          <w:rFonts w:eastAsia="Calibri"/>
          <w:lang w:eastAsia="es-CR"/>
        </w:rPr>
        <w:t>ó</w:t>
      </w:r>
      <w:r w:rsidR="008F6A38" w:rsidRPr="00F61BBD">
        <w:rPr>
          <w:rFonts w:eastAsia="Calibri"/>
          <w:lang w:eastAsia="es-CR"/>
        </w:rPr>
        <w:t xml:space="preserve"> que el </w:t>
      </w:r>
      <w:r w:rsidRPr="00F61BBD">
        <w:rPr>
          <w:rFonts w:eastAsia="Calibri"/>
          <w:lang w:eastAsia="es-CR"/>
        </w:rPr>
        <w:t xml:space="preserve">Estado </w:t>
      </w:r>
      <w:r w:rsidR="008F6A38" w:rsidRPr="00F61BBD">
        <w:rPr>
          <w:rFonts w:eastAsia="Calibri"/>
          <w:lang w:eastAsia="es-CR"/>
        </w:rPr>
        <w:t>sea declarado</w:t>
      </w:r>
      <w:r w:rsidRPr="00F61BBD">
        <w:rPr>
          <w:rFonts w:eastAsia="Calibri"/>
          <w:lang w:eastAsia="es-CR"/>
        </w:rPr>
        <w:t xml:space="preserve"> responsable por la violación al artículo 5.1 de la Convención</w:t>
      </w:r>
      <w:r w:rsidR="00E51785" w:rsidRPr="00F61BBD">
        <w:rPr>
          <w:rFonts w:eastAsia="Calibri"/>
          <w:lang w:eastAsia="es-CR"/>
        </w:rPr>
        <w:t>,</w:t>
      </w:r>
      <w:r w:rsidRPr="00F61BBD">
        <w:rPr>
          <w:rFonts w:eastAsia="Calibri"/>
          <w:lang w:eastAsia="es-CR"/>
        </w:rPr>
        <w:t xml:space="preserve"> en relación con el artículo 1.1 del mismo instrumento, en perjuicio de las hermanas del señor Flores Bedregal.</w:t>
      </w:r>
    </w:p>
    <w:p w14:paraId="21A3B3B6" w14:textId="77777777" w:rsidR="00F61BBD" w:rsidRPr="002E61E9" w:rsidRDefault="00F61BBD" w:rsidP="00E55450">
      <w:pPr>
        <w:rPr>
          <w:lang w:val="es-ES"/>
        </w:rPr>
      </w:pPr>
    </w:p>
    <w:p w14:paraId="783AD21C" w14:textId="53CC959C" w:rsidR="00B56A94" w:rsidRPr="006437CB" w:rsidRDefault="00AE6920" w:rsidP="005E070D">
      <w:pPr>
        <w:pStyle w:val="Prrafodelista"/>
      </w:pPr>
      <w:r w:rsidRPr="00F61BBD">
        <w:t xml:space="preserve">El </w:t>
      </w:r>
      <w:r w:rsidR="00B56A94" w:rsidRPr="00F61BBD">
        <w:rPr>
          <w:b/>
          <w:i/>
        </w:rPr>
        <w:t>representante</w:t>
      </w:r>
      <w:r w:rsidR="00B56A94" w:rsidRPr="00F61BBD">
        <w:rPr>
          <w:rFonts w:eastAsia="Calibri"/>
          <w:b/>
          <w:i/>
        </w:rPr>
        <w:t xml:space="preserve"> </w:t>
      </w:r>
      <w:r w:rsidR="008F6A38" w:rsidRPr="00F61BBD">
        <w:rPr>
          <w:rFonts w:eastAsia="Calibri"/>
          <w:bCs/>
          <w:iCs/>
        </w:rPr>
        <w:t>coincidi</w:t>
      </w:r>
      <w:r w:rsidRPr="00F61BBD">
        <w:rPr>
          <w:rFonts w:eastAsia="Calibri"/>
          <w:bCs/>
          <w:iCs/>
        </w:rPr>
        <w:t>ó</w:t>
      </w:r>
      <w:r w:rsidR="008C741E" w:rsidRPr="00F61BBD">
        <w:rPr>
          <w:rFonts w:eastAsia="Calibri"/>
          <w:bCs/>
          <w:iCs/>
        </w:rPr>
        <w:t xml:space="preserve"> </w:t>
      </w:r>
      <w:r w:rsidR="008F6A38" w:rsidRPr="00F61BBD">
        <w:rPr>
          <w:rFonts w:eastAsia="Calibri"/>
          <w:bCs/>
          <w:iCs/>
        </w:rPr>
        <w:t xml:space="preserve">con los alegatos </w:t>
      </w:r>
      <w:r w:rsidR="008C741E" w:rsidRPr="00F61BBD">
        <w:rPr>
          <w:rFonts w:eastAsia="Calibri"/>
          <w:bCs/>
          <w:iCs/>
        </w:rPr>
        <w:t>de la Comisión</w:t>
      </w:r>
      <w:r w:rsidR="00E51785" w:rsidRPr="00F61BBD">
        <w:rPr>
          <w:rFonts w:eastAsia="Calibri"/>
        </w:rPr>
        <w:t xml:space="preserve"> </w:t>
      </w:r>
      <w:r w:rsidR="008F6A38" w:rsidRPr="00F61BBD">
        <w:rPr>
          <w:rFonts w:eastAsia="Calibri"/>
        </w:rPr>
        <w:t>y a</w:t>
      </w:r>
      <w:r w:rsidR="00E51785" w:rsidRPr="00F61BBD">
        <w:rPr>
          <w:rFonts w:eastAsia="Calibri"/>
        </w:rPr>
        <w:t>legó que</w:t>
      </w:r>
      <w:r w:rsidR="00B56A94" w:rsidRPr="00F61BBD">
        <w:rPr>
          <w:rFonts w:eastAsia="Calibri"/>
        </w:rPr>
        <w:t xml:space="preserve"> el sufrimiento producto de la falta de </w:t>
      </w:r>
      <w:r w:rsidR="008F6A38" w:rsidRPr="00F61BBD">
        <w:rPr>
          <w:rFonts w:eastAsia="Calibri"/>
        </w:rPr>
        <w:t xml:space="preserve">información sobre </w:t>
      </w:r>
      <w:r w:rsidR="00B56A94" w:rsidRPr="00F61BBD">
        <w:rPr>
          <w:rFonts w:eastAsia="Calibri"/>
        </w:rPr>
        <w:t xml:space="preserve">el paradero del señor Flores Bedregal </w:t>
      </w:r>
      <w:r w:rsidR="009C46D3" w:rsidRPr="00F61BBD">
        <w:rPr>
          <w:rFonts w:eastAsia="Calibri"/>
        </w:rPr>
        <w:t xml:space="preserve">y la impunidad del crimen </w:t>
      </w:r>
      <w:r w:rsidR="00B56A94" w:rsidRPr="00F61BBD">
        <w:rPr>
          <w:rFonts w:eastAsia="Calibri"/>
        </w:rPr>
        <w:t xml:space="preserve">imposibilitó </w:t>
      </w:r>
      <w:r w:rsidR="008F6A38" w:rsidRPr="00F61BBD">
        <w:rPr>
          <w:rFonts w:eastAsia="Calibri"/>
        </w:rPr>
        <w:t xml:space="preserve">que sus familiares </w:t>
      </w:r>
      <w:r w:rsidR="00B56A94" w:rsidRPr="00F61BBD">
        <w:rPr>
          <w:rFonts w:eastAsia="Calibri"/>
        </w:rPr>
        <w:t>cerrar</w:t>
      </w:r>
      <w:r w:rsidR="008F6A38" w:rsidRPr="00F61BBD">
        <w:rPr>
          <w:rFonts w:eastAsia="Calibri"/>
        </w:rPr>
        <w:t>an su</w:t>
      </w:r>
      <w:r w:rsidR="00B56A94" w:rsidRPr="00F61BBD">
        <w:rPr>
          <w:rFonts w:eastAsia="Calibri"/>
        </w:rPr>
        <w:t xml:space="preserve"> duelo</w:t>
      </w:r>
      <w:r w:rsidR="008F6A38" w:rsidRPr="00F61BBD">
        <w:rPr>
          <w:rFonts w:eastAsia="Calibri"/>
        </w:rPr>
        <w:t xml:space="preserve">. Asimismo, </w:t>
      </w:r>
      <w:r w:rsidR="008A2652">
        <w:rPr>
          <w:rFonts w:eastAsia="Calibri"/>
        </w:rPr>
        <w:t xml:space="preserve">adujo que </w:t>
      </w:r>
      <w:r w:rsidR="008F6A38" w:rsidRPr="00F61BBD">
        <w:rPr>
          <w:rFonts w:eastAsia="Calibri"/>
        </w:rPr>
        <w:t xml:space="preserve">han sido objeto de </w:t>
      </w:r>
      <w:r w:rsidR="00B56A94" w:rsidRPr="00F61BBD">
        <w:rPr>
          <w:rFonts w:eastAsia="Calibri"/>
        </w:rPr>
        <w:t>estigmatización y amenazas</w:t>
      </w:r>
      <w:r w:rsidR="008F6A38" w:rsidRPr="00F61BBD">
        <w:rPr>
          <w:rFonts w:eastAsia="Calibri"/>
        </w:rPr>
        <w:t xml:space="preserve"> como resultado de su búsqueda de </w:t>
      </w:r>
      <w:r w:rsidR="009C46D3" w:rsidRPr="00F61BBD">
        <w:rPr>
          <w:rFonts w:eastAsia="Calibri"/>
        </w:rPr>
        <w:t xml:space="preserve">justicia, lo cual ha afectado su </w:t>
      </w:r>
      <w:r w:rsidR="00B56A94" w:rsidRPr="00F61BBD">
        <w:rPr>
          <w:rFonts w:eastAsia="Calibri"/>
        </w:rPr>
        <w:t xml:space="preserve">salud mental en </w:t>
      </w:r>
      <w:r w:rsidR="00D42662" w:rsidRPr="00F61BBD">
        <w:rPr>
          <w:rFonts w:eastAsia="Calibri"/>
        </w:rPr>
        <w:t>todo su potencial</w:t>
      </w:r>
      <w:r w:rsidR="00B56A94" w:rsidRPr="00F61BBD">
        <w:rPr>
          <w:rFonts w:eastAsia="Calibri"/>
        </w:rPr>
        <w:t xml:space="preserve">. </w:t>
      </w:r>
      <w:r w:rsidR="009C46D3" w:rsidRPr="00F61BBD">
        <w:rPr>
          <w:rFonts w:eastAsia="Calibri"/>
        </w:rPr>
        <w:t>Aleg</w:t>
      </w:r>
      <w:r w:rsidR="009A0F54">
        <w:rPr>
          <w:rFonts w:eastAsia="Calibri"/>
        </w:rPr>
        <w:t>ó</w:t>
      </w:r>
      <w:r w:rsidR="009C46D3" w:rsidRPr="00F61BBD">
        <w:rPr>
          <w:rFonts w:eastAsia="Calibri"/>
        </w:rPr>
        <w:t xml:space="preserve"> que como parte de la búsqueda de justicia </w:t>
      </w:r>
      <w:r w:rsidR="00B56A94" w:rsidRPr="00F61BBD">
        <w:rPr>
          <w:rFonts w:eastAsia="Calibri"/>
        </w:rPr>
        <w:t>participar</w:t>
      </w:r>
      <w:r w:rsidR="009C46D3" w:rsidRPr="00F61BBD">
        <w:rPr>
          <w:rFonts w:eastAsia="Calibri"/>
        </w:rPr>
        <w:t>on</w:t>
      </w:r>
      <w:r w:rsidR="00B56A94" w:rsidRPr="00F61BBD">
        <w:rPr>
          <w:rFonts w:eastAsia="Calibri"/>
        </w:rPr>
        <w:t xml:space="preserve"> en actos de protesta en l</w:t>
      </w:r>
      <w:r w:rsidR="00961775" w:rsidRPr="00F61BBD">
        <w:rPr>
          <w:rFonts w:eastAsia="Calibri"/>
        </w:rPr>
        <w:t>o</w:t>
      </w:r>
      <w:r w:rsidR="00B56A94" w:rsidRPr="00F61BBD">
        <w:rPr>
          <w:rFonts w:eastAsia="Calibri"/>
        </w:rPr>
        <w:t>s que sufrieron una serie de violaciones a sus derechos</w:t>
      </w:r>
      <w:r w:rsidR="00961775" w:rsidRPr="00F61BBD">
        <w:rPr>
          <w:rFonts w:eastAsia="Calibri"/>
        </w:rPr>
        <w:t xml:space="preserve">. En primer lugar, </w:t>
      </w:r>
      <w:r w:rsidR="00B56A94" w:rsidRPr="00F61BBD">
        <w:rPr>
          <w:rFonts w:eastAsia="Calibri"/>
        </w:rPr>
        <w:t>en</w:t>
      </w:r>
      <w:r w:rsidR="00961775" w:rsidRPr="00F61BBD">
        <w:rPr>
          <w:rFonts w:eastAsia="Calibri"/>
        </w:rPr>
        <w:t xml:space="preserve"> </w:t>
      </w:r>
      <w:r w:rsidR="00B56A94" w:rsidRPr="00F61BBD">
        <w:rPr>
          <w:rFonts w:eastAsia="Calibri"/>
        </w:rPr>
        <w:t>2009</w:t>
      </w:r>
      <w:r w:rsidR="00961775" w:rsidRPr="00F61BBD">
        <w:rPr>
          <w:rFonts w:eastAsia="Calibri"/>
        </w:rPr>
        <w:t xml:space="preserve"> </w:t>
      </w:r>
      <w:r w:rsidR="00B56A94" w:rsidRPr="00F61BBD">
        <w:rPr>
          <w:rFonts w:eastAsia="Calibri"/>
        </w:rPr>
        <w:t xml:space="preserve">la señora Olga Flores Bedregal </w:t>
      </w:r>
      <w:r w:rsidR="00961775" w:rsidRPr="00F61BBD">
        <w:rPr>
          <w:rFonts w:eastAsia="Calibri"/>
        </w:rPr>
        <w:t xml:space="preserve">fue detenida </w:t>
      </w:r>
      <w:r w:rsidR="007F1C97" w:rsidRPr="00F61BBD">
        <w:rPr>
          <w:rFonts w:eastAsia="Calibri"/>
        </w:rPr>
        <w:t xml:space="preserve">por la Policía de la Fiscalía durante una protesta sin orden judicial y retenida en </w:t>
      </w:r>
      <w:r w:rsidR="00B56A94" w:rsidRPr="00F61BBD">
        <w:rPr>
          <w:rFonts w:eastAsia="Calibri"/>
        </w:rPr>
        <w:t>un garaje de la Fiscalía donde pe</w:t>
      </w:r>
      <w:r w:rsidR="007F1C97" w:rsidRPr="00F61BBD">
        <w:rPr>
          <w:rFonts w:eastAsia="Calibri"/>
        </w:rPr>
        <w:t>rmanec</w:t>
      </w:r>
      <w:r w:rsidR="00713EE3" w:rsidRPr="00F61BBD">
        <w:rPr>
          <w:rFonts w:eastAsia="Calibri"/>
        </w:rPr>
        <w:t>ió</w:t>
      </w:r>
      <w:r w:rsidR="007F1C97" w:rsidRPr="00F61BBD">
        <w:rPr>
          <w:rFonts w:eastAsia="Calibri"/>
        </w:rPr>
        <w:t xml:space="preserve"> incomunicada</w:t>
      </w:r>
      <w:r w:rsidR="0098500C" w:rsidRPr="00F61BBD">
        <w:rPr>
          <w:rFonts w:eastAsia="Calibri"/>
        </w:rPr>
        <w:t xml:space="preserve">. </w:t>
      </w:r>
      <w:r w:rsidR="007F1C97" w:rsidRPr="00F61BBD">
        <w:rPr>
          <w:rFonts w:eastAsia="Calibri"/>
        </w:rPr>
        <w:t>Se interpuso</w:t>
      </w:r>
      <w:r w:rsidR="0098500C" w:rsidRPr="00F61BBD">
        <w:rPr>
          <w:rFonts w:eastAsia="Calibri"/>
        </w:rPr>
        <w:t xml:space="preserve"> un </w:t>
      </w:r>
      <w:r w:rsidR="00DA57A6" w:rsidRPr="00F61BBD">
        <w:rPr>
          <w:rFonts w:eastAsia="Calibri"/>
        </w:rPr>
        <w:t>recurso de hábeas corpu</w:t>
      </w:r>
      <w:r w:rsidR="0098500C" w:rsidRPr="00F61BBD">
        <w:rPr>
          <w:rFonts w:eastAsia="Calibri"/>
        </w:rPr>
        <w:t>s</w:t>
      </w:r>
      <w:r w:rsidRPr="00F61BBD">
        <w:rPr>
          <w:rFonts w:eastAsia="Calibri"/>
        </w:rPr>
        <w:t>,</w:t>
      </w:r>
      <w:r w:rsidR="00DA57A6" w:rsidRPr="00F61BBD">
        <w:rPr>
          <w:rFonts w:eastAsia="Calibri"/>
        </w:rPr>
        <w:t xml:space="preserve"> el cual fue denegado por la autoridad judicial</w:t>
      </w:r>
      <w:r w:rsidR="003E3A0C" w:rsidRPr="00F61BBD">
        <w:rPr>
          <w:rFonts w:eastAsia="Calibri"/>
        </w:rPr>
        <w:t>.</w:t>
      </w:r>
      <w:r w:rsidR="003E3A0C" w:rsidRPr="00F61BBD">
        <w:rPr>
          <w:rFonts w:eastAsia="Calibri"/>
          <w:b/>
          <w:bCs/>
        </w:rPr>
        <w:t xml:space="preserve"> </w:t>
      </w:r>
      <w:r w:rsidR="003E3A0C" w:rsidRPr="00F61BBD">
        <w:rPr>
          <w:rFonts w:eastAsia="Calibri"/>
        </w:rPr>
        <w:t>En segundo lugar,</w:t>
      </w:r>
      <w:r w:rsidR="003E3A0C" w:rsidRPr="00F61BBD">
        <w:rPr>
          <w:rFonts w:eastAsia="Calibri"/>
          <w:b/>
          <w:bCs/>
        </w:rPr>
        <w:t xml:space="preserve"> </w:t>
      </w:r>
      <w:r w:rsidR="003E3A0C" w:rsidRPr="00F61BBD">
        <w:rPr>
          <w:rFonts w:eastAsia="Calibri"/>
        </w:rPr>
        <w:t>los fami</w:t>
      </w:r>
      <w:r w:rsidR="0094653A" w:rsidRPr="00F61BBD">
        <w:rPr>
          <w:rFonts w:eastAsia="Calibri"/>
        </w:rPr>
        <w:t>li</w:t>
      </w:r>
      <w:r w:rsidR="003E3A0C" w:rsidRPr="00F61BBD">
        <w:rPr>
          <w:rFonts w:eastAsia="Calibri"/>
        </w:rPr>
        <w:t xml:space="preserve">ares de la víctima y su abogada </w:t>
      </w:r>
      <w:r w:rsidR="00B56A94" w:rsidRPr="00F61BBD">
        <w:rPr>
          <w:rFonts w:eastAsia="Calibri"/>
        </w:rPr>
        <w:t>fueron objeto de seguimiento</w:t>
      </w:r>
      <w:r w:rsidR="003E3A0C" w:rsidRPr="00F61BBD">
        <w:rPr>
          <w:rFonts w:eastAsia="Calibri"/>
        </w:rPr>
        <w:t>s</w:t>
      </w:r>
      <w:r w:rsidR="00B56A94" w:rsidRPr="00F61BBD">
        <w:rPr>
          <w:rFonts w:eastAsia="Calibri"/>
        </w:rPr>
        <w:t xml:space="preserve"> por lo que la Defensoría del Pueblo solicitó se adoptara</w:t>
      </w:r>
      <w:r w:rsidR="003E3A0C" w:rsidRPr="00F61BBD">
        <w:rPr>
          <w:rFonts w:eastAsia="Calibri"/>
        </w:rPr>
        <w:t>n</w:t>
      </w:r>
      <w:r w:rsidR="00B56A94" w:rsidRPr="00F61BBD">
        <w:rPr>
          <w:rFonts w:eastAsia="Calibri"/>
        </w:rPr>
        <w:t xml:space="preserve"> medida</w:t>
      </w:r>
      <w:r w:rsidR="003E3A0C" w:rsidRPr="00F61BBD">
        <w:rPr>
          <w:rFonts w:eastAsia="Calibri"/>
        </w:rPr>
        <w:t>s</w:t>
      </w:r>
      <w:r w:rsidR="00B56A94" w:rsidRPr="00F61BBD">
        <w:rPr>
          <w:rFonts w:eastAsia="Calibri"/>
        </w:rPr>
        <w:t xml:space="preserve"> de protección</w:t>
      </w:r>
      <w:r w:rsidR="003E3A0C" w:rsidRPr="00F61BBD">
        <w:rPr>
          <w:rFonts w:eastAsia="Calibri"/>
        </w:rPr>
        <w:t xml:space="preserve"> que nunca se</w:t>
      </w:r>
      <w:r w:rsidR="008609AE" w:rsidRPr="00F61BBD">
        <w:rPr>
          <w:rFonts w:eastAsia="Calibri"/>
        </w:rPr>
        <w:t xml:space="preserve"> </w:t>
      </w:r>
      <w:r w:rsidR="00DA57A6" w:rsidRPr="00F61BBD">
        <w:rPr>
          <w:rFonts w:eastAsia="Calibri"/>
        </w:rPr>
        <w:t>concreta</w:t>
      </w:r>
      <w:r w:rsidR="003E3A0C" w:rsidRPr="00F61BBD">
        <w:rPr>
          <w:rFonts w:eastAsia="Calibri"/>
        </w:rPr>
        <w:t xml:space="preserve">ron. En tercer lugar, </w:t>
      </w:r>
      <w:r w:rsidR="00B56A94" w:rsidRPr="00F61BBD">
        <w:rPr>
          <w:rFonts w:eastAsia="Calibri"/>
        </w:rPr>
        <w:t xml:space="preserve">en el año 2010 tanto familiares de la presunta víctima como </w:t>
      </w:r>
      <w:r w:rsidR="003E3A0C" w:rsidRPr="00F61BBD">
        <w:rPr>
          <w:rFonts w:eastAsia="Calibri"/>
        </w:rPr>
        <w:t>de otras</w:t>
      </w:r>
      <w:r w:rsidR="00B56A94" w:rsidRPr="00F61BBD">
        <w:rPr>
          <w:rFonts w:eastAsia="Calibri"/>
        </w:rPr>
        <w:t xml:space="preserve"> víctimas de la dictadura fueron brutalmente reprimidas por la policía cuando salían de una misa organizada por activistas de derechos humanos. </w:t>
      </w:r>
      <w:r w:rsidR="00DA57A6" w:rsidRPr="00F61BBD">
        <w:rPr>
          <w:rFonts w:eastAsia="Calibri"/>
        </w:rPr>
        <w:t>Otros actos de protesta incluye</w:t>
      </w:r>
      <w:r w:rsidR="007814D9" w:rsidRPr="00F61BBD">
        <w:rPr>
          <w:rFonts w:eastAsia="Calibri"/>
        </w:rPr>
        <w:t>ron</w:t>
      </w:r>
      <w:r w:rsidR="00DA57A6" w:rsidRPr="00F61BBD">
        <w:rPr>
          <w:rFonts w:eastAsia="Calibri"/>
        </w:rPr>
        <w:t xml:space="preserve"> huelgas de hambre realizadas por la señora Olga Flores </w:t>
      </w:r>
      <w:r w:rsidR="007814D9" w:rsidRPr="00F61BBD">
        <w:rPr>
          <w:rFonts w:eastAsia="Calibri"/>
        </w:rPr>
        <w:t xml:space="preserve">Bedregal </w:t>
      </w:r>
      <w:r w:rsidR="00DA57A6" w:rsidRPr="00F61BBD">
        <w:rPr>
          <w:rFonts w:eastAsia="Calibri"/>
        </w:rPr>
        <w:t xml:space="preserve">a fin de </w:t>
      </w:r>
      <w:r w:rsidR="007814D9" w:rsidRPr="00F61BBD">
        <w:rPr>
          <w:rFonts w:eastAsia="Calibri"/>
        </w:rPr>
        <w:t xml:space="preserve">lograr la apertura de </w:t>
      </w:r>
      <w:r w:rsidR="00DA57A6" w:rsidRPr="00F61BBD">
        <w:rPr>
          <w:rFonts w:eastAsia="Calibri"/>
        </w:rPr>
        <w:t>archivos militares.</w:t>
      </w:r>
    </w:p>
    <w:p w14:paraId="484C52DD" w14:textId="77777777" w:rsidR="006437CB" w:rsidRPr="002E61E9" w:rsidRDefault="006437CB" w:rsidP="00E55450">
      <w:pPr>
        <w:rPr>
          <w:lang w:val="es-ES"/>
        </w:rPr>
      </w:pPr>
    </w:p>
    <w:p w14:paraId="7D6FE561" w14:textId="31B94D7C" w:rsidR="004873D0" w:rsidRPr="00556ADC" w:rsidRDefault="00B56A94" w:rsidP="005E070D">
      <w:pPr>
        <w:pStyle w:val="Prrafodelista"/>
      </w:pPr>
      <w:r w:rsidRPr="006437CB">
        <w:t xml:space="preserve">El </w:t>
      </w:r>
      <w:r w:rsidRPr="006437CB">
        <w:rPr>
          <w:rFonts w:eastAsia="Calibri" w:cs="Arial"/>
          <w:b/>
          <w:i/>
          <w:lang w:eastAsia="es-CR"/>
        </w:rPr>
        <w:t>Estado</w:t>
      </w:r>
      <w:r w:rsidR="007A375C" w:rsidRPr="006437CB">
        <w:rPr>
          <w:rFonts w:eastAsia="Calibri" w:cs="Arial"/>
          <w:b/>
          <w:i/>
          <w:lang w:eastAsia="es-CR"/>
        </w:rPr>
        <w:t xml:space="preserve"> </w:t>
      </w:r>
      <w:r w:rsidR="007A375C" w:rsidRPr="006437CB">
        <w:rPr>
          <w:rFonts w:eastAsia="Calibri" w:cs="Arial"/>
          <w:bCs/>
          <w:iCs/>
          <w:lang w:eastAsia="es-CR"/>
        </w:rPr>
        <w:t>alegó que</w:t>
      </w:r>
      <w:r w:rsidR="007A375C" w:rsidRPr="006437CB">
        <w:t xml:space="preserve"> </w:t>
      </w:r>
      <w:r w:rsidR="007814D9" w:rsidRPr="006437CB">
        <w:t xml:space="preserve">si bien </w:t>
      </w:r>
      <w:r w:rsidR="007A375C" w:rsidRPr="006437CB">
        <w:t xml:space="preserve">las hermanas Flores Bedregal </w:t>
      </w:r>
      <w:r w:rsidR="0098500C" w:rsidRPr="006437CB">
        <w:t xml:space="preserve">son </w:t>
      </w:r>
      <w:r w:rsidR="007A375C" w:rsidRPr="006437CB">
        <w:t>familiares de Juan Carlos Flores Bedregal</w:t>
      </w:r>
      <w:r w:rsidR="009B048F" w:rsidRPr="006437CB">
        <w:t xml:space="preserve">, </w:t>
      </w:r>
      <w:r w:rsidR="007A375C" w:rsidRPr="006437CB">
        <w:t xml:space="preserve">no </w:t>
      </w:r>
      <w:r w:rsidR="009B048F" w:rsidRPr="006437CB">
        <w:t>constituyen</w:t>
      </w:r>
      <w:r w:rsidR="007A375C" w:rsidRPr="006437CB">
        <w:t xml:space="preserve"> </w:t>
      </w:r>
      <w:r w:rsidR="007814D9" w:rsidRPr="006437CB">
        <w:t>“</w:t>
      </w:r>
      <w:r w:rsidR="007A375C" w:rsidRPr="006437CB">
        <w:t>parte lesionada</w:t>
      </w:r>
      <w:r w:rsidR="009B048F" w:rsidRPr="006437CB">
        <w:rPr>
          <w:rFonts w:ascii="Sylfaen" w:hAnsi="Sylfaen" w:cs="Sylfaen"/>
        </w:rPr>
        <w:t>՚</w:t>
      </w:r>
      <w:r w:rsidR="007814D9" w:rsidRPr="006437CB">
        <w:t xml:space="preserve">” </w:t>
      </w:r>
      <w:r w:rsidR="007A375C" w:rsidRPr="006437CB">
        <w:t xml:space="preserve">o </w:t>
      </w:r>
      <w:r w:rsidR="007814D9" w:rsidRPr="006437CB">
        <w:t>“</w:t>
      </w:r>
      <w:r w:rsidR="007A375C" w:rsidRPr="006437CB">
        <w:t>víctimas</w:t>
      </w:r>
      <w:r w:rsidR="009B048F" w:rsidRPr="006437CB">
        <w:rPr>
          <w:rFonts w:ascii="Sylfaen" w:hAnsi="Sylfaen" w:cs="Sylfaen"/>
        </w:rPr>
        <w:t>՚</w:t>
      </w:r>
      <w:r w:rsidR="007814D9" w:rsidRPr="006437CB">
        <w:t>”</w:t>
      </w:r>
      <w:r w:rsidR="006437CB">
        <w:t xml:space="preserve"> y cuestionó su </w:t>
      </w:r>
      <w:r w:rsidR="00442187" w:rsidRPr="006437CB">
        <w:t>“vínculo afectivo”</w:t>
      </w:r>
      <w:r w:rsidRPr="006437CB">
        <w:t>.</w:t>
      </w:r>
      <w:r w:rsidRPr="006437CB">
        <w:rPr>
          <w:rFonts w:eastAsia="Calibri" w:cs="Arial"/>
          <w:b/>
          <w:i/>
          <w:lang w:eastAsia="es-CR"/>
        </w:rPr>
        <w:t xml:space="preserve"> </w:t>
      </w:r>
      <w:r w:rsidR="008E499C" w:rsidRPr="006437CB">
        <w:rPr>
          <w:rFonts w:eastAsia="Calibri" w:cs="Arial"/>
          <w:bCs/>
          <w:iCs/>
          <w:lang w:eastAsia="es-CR"/>
        </w:rPr>
        <w:t>E</w:t>
      </w:r>
      <w:r w:rsidRPr="006437CB">
        <w:t xml:space="preserve">n cuanto a las </w:t>
      </w:r>
      <w:r w:rsidR="006437CB">
        <w:t>alegadas</w:t>
      </w:r>
      <w:r w:rsidRPr="006437CB">
        <w:t xml:space="preserve"> amenazas </w:t>
      </w:r>
      <w:r w:rsidR="006437CB">
        <w:t xml:space="preserve">contra </w:t>
      </w:r>
      <w:r w:rsidRPr="006437CB">
        <w:t>la señora Olga Flores y la solicitud efectuada para obtener medidas de protección,</w:t>
      </w:r>
      <w:r w:rsidR="000D1F6B" w:rsidRPr="006437CB">
        <w:t xml:space="preserve"> </w:t>
      </w:r>
      <w:r w:rsidR="008E499C" w:rsidRPr="006437CB">
        <w:t xml:space="preserve">el Estado alegó que </w:t>
      </w:r>
      <w:r w:rsidR="0098500C" w:rsidRPr="006437CB">
        <w:t xml:space="preserve">no </w:t>
      </w:r>
      <w:r w:rsidR="008E499C" w:rsidRPr="006437CB">
        <w:t xml:space="preserve">se </w:t>
      </w:r>
      <w:r w:rsidR="0098500C" w:rsidRPr="006437CB">
        <w:t>pus</w:t>
      </w:r>
      <w:r w:rsidR="008E499C" w:rsidRPr="006437CB">
        <w:t>o</w:t>
      </w:r>
      <w:r w:rsidR="0098500C" w:rsidRPr="006437CB">
        <w:t xml:space="preserve"> en </w:t>
      </w:r>
      <w:r w:rsidR="000D1F6B" w:rsidRPr="006437CB">
        <w:t>conocimiento de la autoridad jurisdicciona</w:t>
      </w:r>
      <w:r w:rsidR="00556ADC">
        <w:t>l</w:t>
      </w:r>
      <w:r w:rsidRPr="006437CB">
        <w:t xml:space="preserve"> </w:t>
      </w:r>
      <w:r w:rsidR="008E499C" w:rsidRPr="006437CB">
        <w:t xml:space="preserve">ni de la </w:t>
      </w:r>
      <w:r w:rsidR="008E499C" w:rsidRPr="006437CB">
        <w:lastRenderedPageBreak/>
        <w:t>Policía Nacional antecedente alguno sobre amenazas.</w:t>
      </w:r>
      <w:r w:rsidRPr="006437CB">
        <w:t xml:space="preserve"> Por otra parte, manifestó que la Comisión incurre en una contradicción al señalar que l</w:t>
      </w:r>
      <w:r w:rsidR="00C23F32" w:rsidRPr="006437CB">
        <w:t>a</w:t>
      </w:r>
      <w:r w:rsidRPr="006437CB">
        <w:t xml:space="preserve">s familiares de la presunta víctima realizaron diversas gestiones ante instituciones públicas </w:t>
      </w:r>
      <w:r w:rsidR="00FF094C" w:rsidRPr="006437CB">
        <w:t xml:space="preserve">ya que no hay </w:t>
      </w:r>
      <w:r w:rsidRPr="006437CB">
        <w:t xml:space="preserve">prueba que </w:t>
      </w:r>
      <w:r w:rsidR="00FF094C" w:rsidRPr="006437CB">
        <w:t xml:space="preserve">lo </w:t>
      </w:r>
      <w:r w:rsidRPr="006437CB">
        <w:t>acredite.</w:t>
      </w:r>
      <w:r w:rsidR="009C020C" w:rsidRPr="006437CB">
        <w:t xml:space="preserve"> </w:t>
      </w:r>
      <w:r w:rsidR="00FF094C" w:rsidRPr="006437CB">
        <w:t>Consider</w:t>
      </w:r>
      <w:r w:rsidR="003B3E61">
        <w:t>ó</w:t>
      </w:r>
      <w:r w:rsidR="00FF094C" w:rsidRPr="006437CB">
        <w:t xml:space="preserve"> que </w:t>
      </w:r>
      <w:r w:rsidR="009C020C" w:rsidRPr="006437CB">
        <w:t xml:space="preserve">los hechos </w:t>
      </w:r>
      <w:r w:rsidR="00FF094C" w:rsidRPr="006437CB">
        <w:t xml:space="preserve">del caso </w:t>
      </w:r>
      <w:r w:rsidR="009C020C" w:rsidRPr="006437CB">
        <w:t xml:space="preserve">“han sido esclarecidos” en </w:t>
      </w:r>
      <w:r w:rsidR="00941E73" w:rsidRPr="006B1CC6">
        <w:t>los</w:t>
      </w:r>
      <w:r w:rsidR="009C020C" w:rsidRPr="006B1CC6">
        <w:t xml:space="preserve"> </w:t>
      </w:r>
      <w:r w:rsidR="00280E4D" w:rsidRPr="006B1CC6">
        <w:t>J</w:t>
      </w:r>
      <w:r w:rsidR="009C020C" w:rsidRPr="006B1CC6">
        <w:t>uicio</w:t>
      </w:r>
      <w:r w:rsidR="00941E73" w:rsidRPr="006B1CC6">
        <w:t>s</w:t>
      </w:r>
      <w:r w:rsidR="009C020C" w:rsidRPr="006437CB">
        <w:t xml:space="preserve"> de </w:t>
      </w:r>
      <w:r w:rsidR="00280E4D">
        <w:t>R</w:t>
      </w:r>
      <w:r w:rsidR="009C020C" w:rsidRPr="006437CB">
        <w:t xml:space="preserve">esponsabilidad y el proceso penal ordinario, así como también se publicó </w:t>
      </w:r>
      <w:r w:rsidR="00C91B76" w:rsidRPr="006437CB">
        <w:t xml:space="preserve">en </w:t>
      </w:r>
      <w:r w:rsidR="009C020C" w:rsidRPr="006437CB">
        <w:t xml:space="preserve">los hechos por la Comisión de la Verdad. </w:t>
      </w:r>
    </w:p>
    <w:p w14:paraId="3BFD71AC" w14:textId="77777777" w:rsidR="004873D0" w:rsidRPr="002E61E9" w:rsidRDefault="004873D0" w:rsidP="00E55450">
      <w:pPr>
        <w:rPr>
          <w:lang w:val="es-ES"/>
        </w:rPr>
      </w:pPr>
    </w:p>
    <w:p w14:paraId="6EBC21AA" w14:textId="0A77E233" w:rsidR="006437CB" w:rsidRPr="00EA6638" w:rsidRDefault="006437CB" w:rsidP="00D62951">
      <w:pPr>
        <w:pStyle w:val="Ttulo2"/>
        <w:numPr>
          <w:ilvl w:val="0"/>
          <w:numId w:val="22"/>
        </w:numPr>
        <w:ind w:left="567"/>
        <w:rPr>
          <w:rFonts w:ascii="Verdana" w:hAnsi="Verdana"/>
          <w:b/>
          <w:bCs/>
          <w:color w:val="000000" w:themeColor="text1"/>
          <w:sz w:val="20"/>
          <w:szCs w:val="20"/>
          <w:lang w:val="es-ES"/>
        </w:rPr>
      </w:pPr>
      <w:bookmarkStart w:id="188" w:name="_Toc125037510"/>
      <w:r w:rsidRPr="00EA6638">
        <w:rPr>
          <w:rFonts w:ascii="Verdana" w:hAnsi="Verdana"/>
          <w:b/>
          <w:bCs/>
          <w:color w:val="000000" w:themeColor="text1"/>
          <w:sz w:val="20"/>
          <w:szCs w:val="20"/>
          <w:lang w:val="es-ES"/>
        </w:rPr>
        <w:t>Consideraciones de la Corte</w:t>
      </w:r>
      <w:bookmarkEnd w:id="188"/>
    </w:p>
    <w:p w14:paraId="15610108" w14:textId="77777777" w:rsidR="006437CB" w:rsidRPr="002E61E9" w:rsidRDefault="006437CB" w:rsidP="00E55450">
      <w:pPr>
        <w:rPr>
          <w:lang w:val="es-ES"/>
        </w:rPr>
      </w:pPr>
    </w:p>
    <w:p w14:paraId="3127590F" w14:textId="2025D1FD" w:rsidR="006647C2" w:rsidRPr="00D3008E" w:rsidRDefault="006647C2" w:rsidP="005E070D">
      <w:pPr>
        <w:pStyle w:val="Prrafodelista"/>
      </w:pPr>
      <w:r w:rsidRPr="00D3008E">
        <w:t>L</w:t>
      </w:r>
      <w:r w:rsidR="00E65BEF" w:rsidRPr="00D3008E">
        <w:t>a Corte ha sostenido, en reiteradas ocasiones</w:t>
      </w:r>
      <w:r w:rsidR="00E65BEF" w:rsidRPr="00D3008E">
        <w:rPr>
          <w:vertAlign w:val="superscript"/>
        </w:rPr>
        <w:footnoteReference w:id="201"/>
      </w:r>
      <w:r w:rsidR="00E65BEF" w:rsidRPr="00D3008E">
        <w:rPr>
          <w:vertAlign w:val="superscript"/>
        </w:rPr>
        <w:t xml:space="preserve"> </w:t>
      </w:r>
      <w:r w:rsidR="00E65BEF" w:rsidRPr="00D3008E">
        <w:t>que</w:t>
      </w:r>
      <w:r w:rsidR="00E65BEF" w:rsidRPr="00D3008E">
        <w:rPr>
          <w:color w:val="1A1A1A"/>
        </w:rPr>
        <w:t xml:space="preserve"> lo</w:t>
      </w:r>
      <w:r w:rsidR="00E65BEF" w:rsidRPr="00D3008E">
        <w:rPr>
          <w:color w:val="3C3C3C"/>
        </w:rPr>
        <w:t xml:space="preserve">s </w:t>
      </w:r>
      <w:r w:rsidR="00E65BEF" w:rsidRPr="00D3008E">
        <w:t xml:space="preserve">familiares </w:t>
      </w:r>
      <w:r w:rsidR="00E65BEF" w:rsidRPr="00D3008E">
        <w:rPr>
          <w:color w:val="1A1A1A"/>
        </w:rPr>
        <w:t xml:space="preserve">de </w:t>
      </w:r>
      <w:r w:rsidR="00FF094C" w:rsidRPr="00D3008E">
        <w:rPr>
          <w:color w:val="1A1A1A"/>
        </w:rPr>
        <w:t xml:space="preserve">las </w:t>
      </w:r>
      <w:r w:rsidR="00E65BEF" w:rsidRPr="00D3008E">
        <w:t xml:space="preserve">víctimas </w:t>
      </w:r>
      <w:r w:rsidR="00E65BEF" w:rsidRPr="00D3008E">
        <w:rPr>
          <w:color w:val="1A1A1A"/>
        </w:rPr>
        <w:t xml:space="preserve">de </w:t>
      </w:r>
      <w:r w:rsidR="00E65BEF" w:rsidRPr="00D3008E">
        <w:t xml:space="preserve">ciertas violaciones </w:t>
      </w:r>
      <w:r w:rsidR="00FF094C" w:rsidRPr="00D3008E">
        <w:rPr>
          <w:color w:val="1A1A1A"/>
        </w:rPr>
        <w:t>a los</w:t>
      </w:r>
      <w:r w:rsidR="00E65BEF" w:rsidRPr="00D3008E">
        <w:rPr>
          <w:color w:val="1A1A1A"/>
        </w:rPr>
        <w:t xml:space="preserve"> derechos humanos</w:t>
      </w:r>
      <w:r w:rsidR="00E65BEF" w:rsidRPr="00D3008E">
        <w:rPr>
          <w:color w:val="3C3C3C"/>
        </w:rPr>
        <w:t xml:space="preserve"> </w:t>
      </w:r>
      <w:r w:rsidR="00E65BEF" w:rsidRPr="00D3008E">
        <w:rPr>
          <w:color w:val="1A1A1A"/>
        </w:rPr>
        <w:t xml:space="preserve">pueden </w:t>
      </w:r>
      <w:r w:rsidR="00FF094C" w:rsidRPr="00D3008E">
        <w:rPr>
          <w:color w:val="1A1A1A"/>
        </w:rPr>
        <w:t xml:space="preserve">a su vez </w:t>
      </w:r>
      <w:r w:rsidR="00E65BEF" w:rsidRPr="00D3008E">
        <w:rPr>
          <w:color w:val="1A1A1A"/>
        </w:rPr>
        <w:t xml:space="preserve">ser </w:t>
      </w:r>
      <w:r w:rsidR="00E65BEF" w:rsidRPr="00D3008E">
        <w:t>considerados</w:t>
      </w:r>
      <w:r w:rsidR="00FF094C" w:rsidRPr="00D3008E">
        <w:rPr>
          <w:color w:val="4E4E4E"/>
        </w:rPr>
        <w:t xml:space="preserve"> </w:t>
      </w:r>
      <w:r w:rsidR="00E65BEF" w:rsidRPr="00D3008E">
        <w:t>como víctimas</w:t>
      </w:r>
      <w:r w:rsidR="00E65BEF" w:rsidRPr="00D3008E">
        <w:rPr>
          <w:vertAlign w:val="superscript"/>
        </w:rPr>
        <w:footnoteReference w:id="202"/>
      </w:r>
      <w:r w:rsidR="00E65BEF" w:rsidRPr="00D3008E">
        <w:t>. Del mismo modo</w:t>
      </w:r>
      <w:r w:rsidR="00306C37" w:rsidRPr="00D3008E">
        <w:t>, la Corte ha</w:t>
      </w:r>
      <w:r w:rsidR="00E65BEF" w:rsidRPr="00D3008E">
        <w:t xml:space="preserve"> declara</w:t>
      </w:r>
      <w:r w:rsidR="00306C37" w:rsidRPr="00D3008E">
        <w:t>do</w:t>
      </w:r>
      <w:r w:rsidR="00E65BEF" w:rsidRPr="00D3008E">
        <w:t xml:space="preserve"> la violación del derecho a la integridad </w:t>
      </w:r>
      <w:r w:rsidR="00306C37" w:rsidRPr="00D3008E">
        <w:t>personal en perjuicio de los</w:t>
      </w:r>
      <w:r w:rsidR="00E65BEF" w:rsidRPr="00D3008E">
        <w:t xml:space="preserve"> familiares de víctimas de ciert</w:t>
      </w:r>
      <w:r w:rsidR="00306C37" w:rsidRPr="00D3008E">
        <w:t xml:space="preserve">os tipos de </w:t>
      </w:r>
      <w:r w:rsidR="00E65BEF" w:rsidRPr="00D3008E">
        <w:t>violaci</w:t>
      </w:r>
      <w:r w:rsidR="00306C37" w:rsidRPr="00D3008E">
        <w:t>ón</w:t>
      </w:r>
      <w:r w:rsidR="00E65BEF" w:rsidRPr="00D3008E">
        <w:t xml:space="preserve"> de derechos humanos</w:t>
      </w:r>
      <w:r w:rsidR="00306C37" w:rsidRPr="00D3008E">
        <w:t>. En ese sentido ha</w:t>
      </w:r>
      <w:r w:rsidR="00E65BEF" w:rsidRPr="00D3008E">
        <w:t xml:space="preserve"> aplicado una presunción </w:t>
      </w:r>
      <w:r w:rsidR="00E65BEF" w:rsidRPr="00D3008E">
        <w:rPr>
          <w:i/>
        </w:rPr>
        <w:t>iuris tantum</w:t>
      </w:r>
      <w:r w:rsidR="00E65BEF" w:rsidRPr="00D3008E">
        <w:t xml:space="preserve"> respecto familiares tales como madres y padres, hijas e hijos, esposos y esposas y compañeros y compañeras permanentes, siempre que ello responda a las circunstancias particulares en el caso</w:t>
      </w:r>
      <w:r w:rsidR="00E65BEF" w:rsidRPr="00D3008E">
        <w:rPr>
          <w:vertAlign w:val="superscript"/>
        </w:rPr>
        <w:footnoteReference w:id="203"/>
      </w:r>
      <w:r w:rsidR="00E65BEF" w:rsidRPr="00D3008E">
        <w:t xml:space="preserve">. </w:t>
      </w:r>
      <w:r w:rsidR="003A437B" w:rsidRPr="00D3008E">
        <w:rPr>
          <w:rFonts w:eastAsia="Calibri"/>
          <w:spacing w:val="-2"/>
        </w:rPr>
        <w:t>Además, en su jurisprudencia más reciente, esta Corte ha considerado que en el marco de una desaparición forzada dicha presunción también es aplicable a las hermanas y hermanos de la víctima desaparecida, salvo que se demuestre lo contrario por las circunstancias específicas del caso</w:t>
      </w:r>
      <w:r w:rsidR="003A437B" w:rsidRPr="00D3008E">
        <w:rPr>
          <w:vertAlign w:val="superscript"/>
        </w:rPr>
        <w:footnoteReference w:id="204"/>
      </w:r>
      <w:r w:rsidR="003A437B" w:rsidRPr="00D3008E">
        <w:rPr>
          <w:rFonts w:eastAsia="Calibri"/>
          <w:spacing w:val="-2"/>
        </w:rPr>
        <w:t>.</w:t>
      </w:r>
      <w:r w:rsidR="003A437B" w:rsidRPr="00D3008E">
        <w:t xml:space="preserve"> </w:t>
      </w:r>
    </w:p>
    <w:p w14:paraId="65F59001" w14:textId="77777777" w:rsidR="006437CB" w:rsidRPr="002E61E9" w:rsidRDefault="006437CB" w:rsidP="00E55450">
      <w:pPr>
        <w:rPr>
          <w:lang w:val="es-ES"/>
        </w:rPr>
      </w:pPr>
    </w:p>
    <w:p w14:paraId="1B3882E8" w14:textId="2CEEAEAB" w:rsidR="00E65BEF" w:rsidRDefault="006647C2" w:rsidP="005E070D">
      <w:pPr>
        <w:pStyle w:val="Prrafodelista"/>
      </w:pPr>
      <w:r w:rsidRPr="006437CB">
        <w:rPr>
          <w:rFonts w:eastAsiaTheme="minorHAnsi"/>
        </w:rPr>
        <w:t>A</w:t>
      </w:r>
      <w:r w:rsidR="00E65BEF" w:rsidRPr="006437CB">
        <w:rPr>
          <w:rFonts w:eastAsiaTheme="minorHAnsi"/>
        </w:rPr>
        <w:t>dicionalmente, en casos que involucraban la desaparición forzada de personas, e</w:t>
      </w:r>
      <w:r w:rsidR="00C91B76" w:rsidRPr="006437CB">
        <w:rPr>
          <w:rFonts w:eastAsiaTheme="minorHAnsi"/>
        </w:rPr>
        <w:t>ste</w:t>
      </w:r>
      <w:r w:rsidR="00E65BEF" w:rsidRPr="006437CB">
        <w:rPr>
          <w:rFonts w:eastAsiaTheme="minorHAnsi"/>
        </w:rPr>
        <w:t xml:space="preserve"> Tribunal ha afirmado que la violación del derecho a la integridad psíquica y moral de los familiares de la víctima es una </w:t>
      </w:r>
      <w:r w:rsidR="00E65BEF" w:rsidRPr="006437CB">
        <w:t>consecuencia</w:t>
      </w:r>
      <w:r w:rsidR="00E65BEF" w:rsidRPr="006437CB">
        <w:rPr>
          <w:rFonts w:eastAsiaTheme="minorHAnsi"/>
        </w:rPr>
        <w:t xml:space="preserve"> directa</w:t>
      </w:r>
      <w:r w:rsidR="00306C37" w:rsidRPr="006437CB">
        <w:rPr>
          <w:rFonts w:eastAsiaTheme="minorHAnsi"/>
        </w:rPr>
        <w:t xml:space="preserve"> del</w:t>
      </w:r>
      <w:r w:rsidR="00E65BEF" w:rsidRPr="006437CB">
        <w:rPr>
          <w:rFonts w:eastAsiaTheme="minorHAnsi"/>
        </w:rPr>
        <w:t xml:space="preserve"> fenómeno</w:t>
      </w:r>
      <w:r w:rsidR="00306C37" w:rsidRPr="006437CB">
        <w:rPr>
          <w:rFonts w:eastAsiaTheme="minorHAnsi"/>
        </w:rPr>
        <w:t xml:space="preserve">. El </w:t>
      </w:r>
      <w:r w:rsidR="00E65BEF" w:rsidRPr="006437CB">
        <w:rPr>
          <w:rFonts w:eastAsiaTheme="minorHAnsi"/>
        </w:rPr>
        <w:t>sufrimient</w:t>
      </w:r>
      <w:r w:rsidR="00306C37" w:rsidRPr="006437CB">
        <w:rPr>
          <w:rFonts w:eastAsiaTheme="minorHAnsi"/>
        </w:rPr>
        <w:t>o</w:t>
      </w:r>
      <w:r w:rsidR="00E65BEF" w:rsidRPr="006437CB">
        <w:rPr>
          <w:rFonts w:eastAsiaTheme="minorHAnsi"/>
        </w:rPr>
        <w:t xml:space="preserve"> se acrecienta </w:t>
      </w:r>
      <w:r w:rsidR="00306C37" w:rsidRPr="006437CB">
        <w:rPr>
          <w:rFonts w:eastAsiaTheme="minorHAnsi"/>
        </w:rPr>
        <w:t>debido a la</w:t>
      </w:r>
      <w:r w:rsidR="00E65BEF" w:rsidRPr="006437CB">
        <w:rPr>
          <w:rFonts w:eastAsiaTheme="minorHAnsi"/>
        </w:rPr>
        <w:t xml:space="preserve"> constante negativa de las autoridades de proporcionar información </w:t>
      </w:r>
      <w:r w:rsidR="0024371F" w:rsidRPr="006437CB">
        <w:rPr>
          <w:rFonts w:eastAsiaTheme="minorHAnsi"/>
        </w:rPr>
        <w:t xml:space="preserve">sobre </w:t>
      </w:r>
      <w:r w:rsidR="00E65BEF" w:rsidRPr="006437CB">
        <w:rPr>
          <w:rFonts w:eastAsiaTheme="minorHAnsi"/>
        </w:rPr>
        <w:t>el paradero de la víctima, o de iniciar una investigación eficaz para lograr el esclarecimiento de lo sucedido</w:t>
      </w:r>
      <w:r w:rsidR="00E65BEF" w:rsidRPr="00B54D03">
        <w:rPr>
          <w:rFonts w:eastAsiaTheme="minorHAnsi"/>
          <w:vertAlign w:val="superscript"/>
        </w:rPr>
        <w:footnoteReference w:id="205"/>
      </w:r>
      <w:r w:rsidR="00E65BEF" w:rsidRPr="006437CB">
        <w:rPr>
          <w:rFonts w:eastAsiaTheme="minorHAnsi"/>
        </w:rPr>
        <w:t xml:space="preserve">. </w:t>
      </w:r>
      <w:r w:rsidR="006F3C5D" w:rsidRPr="006437CB">
        <w:t>Estas afectaciones, comprendidas integralmente en la complejidad de la desaparición forzada, se proyectarán en el tiempo mientras subsista la falta de esclarecimiento del paradero final de la víctima desaparecida</w:t>
      </w:r>
      <w:r w:rsidR="006F3C5D" w:rsidRPr="00B54D03">
        <w:rPr>
          <w:vertAlign w:val="superscript"/>
        </w:rPr>
        <w:footnoteReference w:id="206"/>
      </w:r>
      <w:r w:rsidR="006F3C5D" w:rsidRPr="006437CB">
        <w:t>.</w:t>
      </w:r>
    </w:p>
    <w:p w14:paraId="27B31211" w14:textId="77777777" w:rsidR="006437CB" w:rsidRPr="00B54D03" w:rsidRDefault="006437CB" w:rsidP="004873D0">
      <w:pPr>
        <w:rPr>
          <w:rFonts w:ascii="Verdana" w:hAnsi="Verdana"/>
          <w:lang w:val="es-ES"/>
        </w:rPr>
      </w:pPr>
    </w:p>
    <w:p w14:paraId="3A476401" w14:textId="47DA903B" w:rsidR="006437CB" w:rsidRDefault="00A20F4E" w:rsidP="005E070D">
      <w:pPr>
        <w:pStyle w:val="Prrafodelista"/>
      </w:pPr>
      <w:r w:rsidRPr="006437CB">
        <w:t>Al respecto</w:t>
      </w:r>
      <w:r w:rsidR="00CC0032" w:rsidRPr="006437CB">
        <w:t>,</w:t>
      </w:r>
      <w:r w:rsidRPr="006437CB">
        <w:t xml:space="preserve"> la Corte recuerda su jurisprudencia</w:t>
      </w:r>
      <w:r w:rsidR="00E90E57" w:rsidRPr="006437CB">
        <w:t xml:space="preserve"> en el sentido que </w:t>
      </w:r>
      <w:r w:rsidR="00A74508" w:rsidRPr="006437CB">
        <w:t>los obstáculos al acceso a la información sobre la verdad respecto del destino de una persona desaparecid</w:t>
      </w:r>
      <w:r w:rsidR="003B3E61">
        <w:t>a</w:t>
      </w:r>
      <w:r w:rsidR="00A74508" w:rsidRPr="006437CB">
        <w:t xml:space="preserve"> constituyen</w:t>
      </w:r>
      <w:r w:rsidRPr="006437CB">
        <w:t xml:space="preserve"> una forma de trato cruel e inhumano para los familiares cercanos</w:t>
      </w:r>
      <w:r w:rsidRPr="00FA3CBD">
        <w:rPr>
          <w:vertAlign w:val="superscript"/>
        </w:rPr>
        <w:footnoteReference w:id="207"/>
      </w:r>
      <w:r w:rsidRPr="006437CB">
        <w:t>. Asimismo, e</w:t>
      </w:r>
      <w:r w:rsidR="00C91B76" w:rsidRPr="006437CB">
        <w:t>ste</w:t>
      </w:r>
      <w:r w:rsidR="001C0503" w:rsidRPr="006437CB">
        <w:t xml:space="preserve"> </w:t>
      </w:r>
      <w:r w:rsidRPr="006437CB">
        <w:t xml:space="preserve">Tribunal ha establecido que el esclarecimiento del paradero final de la víctima desaparecida permite a los familiares aliviar la angustia y </w:t>
      </w:r>
      <w:r w:rsidR="00E90E57" w:rsidRPr="006437CB">
        <w:t>el s</w:t>
      </w:r>
      <w:r w:rsidRPr="006437CB">
        <w:t>ufrimiento causados por la incertidumbre respecto del destino de su familiar desaparecido</w:t>
      </w:r>
      <w:r w:rsidRPr="00B54D03">
        <w:rPr>
          <w:vertAlign w:val="superscript"/>
        </w:rPr>
        <w:footnoteReference w:id="208"/>
      </w:r>
      <w:r w:rsidRPr="006437CB">
        <w:t>.</w:t>
      </w:r>
    </w:p>
    <w:p w14:paraId="794DEE05" w14:textId="77777777" w:rsidR="009D6A50" w:rsidRPr="002D50BC" w:rsidRDefault="009D6A50" w:rsidP="002D50BC">
      <w:pPr>
        <w:rPr>
          <w:lang w:val="es-ES"/>
        </w:rPr>
      </w:pPr>
    </w:p>
    <w:p w14:paraId="13C43F9D" w14:textId="2BBF7CE0" w:rsidR="00F83204" w:rsidRPr="006437CB" w:rsidRDefault="00E90E57" w:rsidP="005E070D">
      <w:pPr>
        <w:pStyle w:val="Prrafodelista"/>
      </w:pPr>
      <w:r w:rsidRPr="006437CB">
        <w:t xml:space="preserve">En este caso en particular, la </w:t>
      </w:r>
      <w:r w:rsidR="00564838" w:rsidRPr="006437CB">
        <w:t xml:space="preserve">Corte nota que </w:t>
      </w:r>
      <w:r w:rsidR="007C40E7" w:rsidRPr="006437CB">
        <w:t xml:space="preserve">el peritaje rendido mediante affidávit </w:t>
      </w:r>
      <w:r w:rsidR="00AC0D4F" w:rsidRPr="006437CB">
        <w:t>por</w:t>
      </w:r>
      <w:r w:rsidR="007C40E7" w:rsidRPr="006437CB">
        <w:t xml:space="preserve"> la señora Guiomar Hylea Bejarano Gerke</w:t>
      </w:r>
      <w:r w:rsidR="00564838" w:rsidRPr="006437CB">
        <w:t xml:space="preserve"> </w:t>
      </w:r>
      <w:r w:rsidR="00AC0D4F" w:rsidRPr="006437CB">
        <w:rPr>
          <w:rFonts w:cs="Verdana"/>
        </w:rPr>
        <w:t xml:space="preserve">hizo referencia a las afectaciones psicológicas causadas a las hermanas Verónica, Teresa y Olga Flores Bedregal por la desaparición forzada de </w:t>
      </w:r>
      <w:r w:rsidR="00C91B76" w:rsidRPr="006437CB">
        <w:rPr>
          <w:rFonts w:cs="Verdana"/>
        </w:rPr>
        <w:t xml:space="preserve">su </w:t>
      </w:r>
      <w:r w:rsidR="00AC0D4F" w:rsidRPr="006437CB">
        <w:rPr>
          <w:rFonts w:cs="Verdana"/>
        </w:rPr>
        <w:t>hermano</w:t>
      </w:r>
      <w:r w:rsidR="008879C7" w:rsidRPr="006437CB">
        <w:rPr>
          <w:rFonts w:cs="Verdana"/>
        </w:rPr>
        <w:t xml:space="preserve">.  El </w:t>
      </w:r>
      <w:r w:rsidR="008879C7" w:rsidRPr="006437CB">
        <w:rPr>
          <w:rFonts w:cs="Verdana"/>
        </w:rPr>
        <w:lastRenderedPageBreak/>
        <w:t xml:space="preserve">peritaje confirma que Verónica y </w:t>
      </w:r>
      <w:r w:rsidR="008D1047">
        <w:rPr>
          <w:rFonts w:cs="Verdana"/>
        </w:rPr>
        <w:t xml:space="preserve">Lilian </w:t>
      </w:r>
      <w:r w:rsidR="008879C7" w:rsidRPr="006437CB">
        <w:rPr>
          <w:rFonts w:cs="Verdana"/>
        </w:rPr>
        <w:t xml:space="preserve">Teresa Flores Bedregal </w:t>
      </w:r>
      <w:r w:rsidR="00AC0D4F" w:rsidRPr="006437CB">
        <w:rPr>
          <w:rFonts w:cs="Verdana"/>
        </w:rPr>
        <w:t>pa</w:t>
      </w:r>
      <w:r w:rsidR="008879C7" w:rsidRPr="006437CB">
        <w:rPr>
          <w:rFonts w:cs="Verdana"/>
        </w:rPr>
        <w:t xml:space="preserve">decen </w:t>
      </w:r>
      <w:r w:rsidR="00AC0D4F" w:rsidRPr="006437CB">
        <w:rPr>
          <w:rFonts w:cs="Verdana"/>
        </w:rPr>
        <w:t>un profundo sentimiento de sufrimiento, angustia y depresión</w:t>
      </w:r>
      <w:r w:rsidR="008879C7" w:rsidRPr="006437CB">
        <w:rPr>
          <w:rFonts w:cs="Verdana"/>
        </w:rPr>
        <w:t xml:space="preserve"> y </w:t>
      </w:r>
      <w:r w:rsidR="00AC0D4F" w:rsidRPr="006437CB">
        <w:t>d</w:t>
      </w:r>
      <w:r w:rsidR="007C40E7" w:rsidRPr="006437CB">
        <w:t>etermin</w:t>
      </w:r>
      <w:r w:rsidR="008879C7" w:rsidRPr="006437CB">
        <w:t>a</w:t>
      </w:r>
      <w:r w:rsidR="007C40E7" w:rsidRPr="006437CB">
        <w:t xml:space="preserve"> la existencia de daño psicológico crónico que </w:t>
      </w:r>
      <w:r w:rsidR="008879C7" w:rsidRPr="006437CB">
        <w:t xml:space="preserve">tuvo impacto sobre </w:t>
      </w:r>
      <w:r w:rsidR="007C40E7" w:rsidRPr="006437CB">
        <w:t>la calidad de vida de las víctimas</w:t>
      </w:r>
      <w:r w:rsidR="008879C7" w:rsidRPr="006437CB">
        <w:t xml:space="preserve">. </w:t>
      </w:r>
      <w:r w:rsidR="007C40E7" w:rsidRPr="006437CB">
        <w:t xml:space="preserve"> </w:t>
      </w:r>
      <w:r w:rsidR="008879C7" w:rsidRPr="006437CB">
        <w:t>En el caso de Verónica Flores Bedregal</w:t>
      </w:r>
      <w:r w:rsidR="00BE6E93">
        <w:t>,</w:t>
      </w:r>
      <w:r w:rsidR="008879C7" w:rsidRPr="006437CB">
        <w:t xml:space="preserve"> esto se vio</w:t>
      </w:r>
      <w:r w:rsidR="007C40E7" w:rsidRPr="006437CB">
        <w:t xml:space="preserve"> incrementado por </w:t>
      </w:r>
      <w:r w:rsidR="007C40E7" w:rsidRPr="00A5164C">
        <w:t xml:space="preserve">la pérdida del </w:t>
      </w:r>
      <w:r w:rsidR="008879C7" w:rsidRPr="00A5164C">
        <w:t>“</w:t>
      </w:r>
      <w:r w:rsidR="007C40E7" w:rsidRPr="00A5164C">
        <w:t>padre simbólico</w:t>
      </w:r>
      <w:r w:rsidR="007C40E7" w:rsidRPr="00A5164C">
        <w:rPr>
          <w:rFonts w:ascii="Sylfaen" w:hAnsi="Sylfaen" w:cs="Sylfaen"/>
        </w:rPr>
        <w:t>՚</w:t>
      </w:r>
      <w:r w:rsidR="008879C7" w:rsidRPr="00A5164C">
        <w:t xml:space="preserve">”. En el caso de </w:t>
      </w:r>
      <w:r w:rsidR="00CB08F0" w:rsidRPr="00A5164C">
        <w:t xml:space="preserve">Lilian </w:t>
      </w:r>
      <w:r w:rsidR="008879C7" w:rsidRPr="00A5164C">
        <w:t xml:space="preserve">Teresa Flores Bedregal, </w:t>
      </w:r>
      <w:r w:rsidR="007C40E7" w:rsidRPr="00A5164C">
        <w:t>en la pérdida</w:t>
      </w:r>
      <w:r w:rsidR="008A2652">
        <w:t xml:space="preserve"> del</w:t>
      </w:r>
      <w:r w:rsidR="007C40E7" w:rsidRPr="00A5164C">
        <w:t xml:space="preserve"> </w:t>
      </w:r>
      <w:r w:rsidR="002D50BC" w:rsidRPr="00A5164C">
        <w:t>“tutor</w:t>
      </w:r>
      <w:r w:rsidR="002D50BC" w:rsidRPr="00A5164C">
        <w:rPr>
          <w:b/>
          <w:bCs/>
        </w:rPr>
        <w:t xml:space="preserve"> </w:t>
      </w:r>
      <w:r w:rsidR="002D50BC" w:rsidRPr="00C11CD1">
        <w:t>y guía de vida</w:t>
      </w:r>
      <w:r w:rsidR="008879C7" w:rsidRPr="00C11CD1">
        <w:t>”.</w:t>
      </w:r>
      <w:r w:rsidR="008879C7" w:rsidRPr="00A5164C">
        <w:t xml:space="preserve"> En el caso de Olga Flores Bedregal,</w:t>
      </w:r>
      <w:r w:rsidR="007C40E7" w:rsidRPr="00A5164C">
        <w:t xml:space="preserve"> la </w:t>
      </w:r>
      <w:r w:rsidR="002D50BC" w:rsidRPr="00C11CD1">
        <w:t>“</w:t>
      </w:r>
      <w:r w:rsidR="007C40E7" w:rsidRPr="00C11CD1">
        <w:t>pérdida</w:t>
      </w:r>
      <w:r w:rsidR="002D50BC" w:rsidRPr="00C11CD1">
        <w:t xml:space="preserve"> de su compañero ideológico”,</w:t>
      </w:r>
      <w:r w:rsidR="007C40E7" w:rsidRPr="00A5164C">
        <w:t xml:space="preserve"> del </w:t>
      </w:r>
      <w:r w:rsidR="008879C7" w:rsidRPr="00A5164C">
        <w:t>“</w:t>
      </w:r>
      <w:r w:rsidR="007C40E7" w:rsidRPr="00A5164C">
        <w:t>camarada</w:t>
      </w:r>
      <w:r w:rsidR="002D50BC" w:rsidRPr="00C11CD1">
        <w:t xml:space="preserve"> guía</w:t>
      </w:r>
      <w:r w:rsidR="008879C7" w:rsidRPr="00A5164C">
        <w:t>”. Vale decir que</w:t>
      </w:r>
      <w:r w:rsidR="007C40E7" w:rsidRPr="00A5164C">
        <w:t xml:space="preserve"> ellas perdieron </w:t>
      </w:r>
      <w:r w:rsidR="006C6509" w:rsidRPr="00A5164C">
        <w:t xml:space="preserve">tanto a su </w:t>
      </w:r>
      <w:r w:rsidR="007C40E7" w:rsidRPr="00A5164C">
        <w:t xml:space="preserve">hermano </w:t>
      </w:r>
      <w:r w:rsidR="006C6509" w:rsidRPr="00A5164C">
        <w:t>como a una persona con un</w:t>
      </w:r>
      <w:r w:rsidR="007C40E7" w:rsidRPr="00A5164C">
        <w:t xml:space="preserve"> rol y/o vínculo </w:t>
      </w:r>
      <w:r w:rsidR="006C6509" w:rsidRPr="00A5164C">
        <w:t xml:space="preserve">adicional, </w:t>
      </w:r>
      <w:r w:rsidR="007C40E7" w:rsidRPr="00A5164C">
        <w:t xml:space="preserve">que llegaron a tener con él durante su desarrollo y madurez. </w:t>
      </w:r>
      <w:r w:rsidR="00BE6E93">
        <w:t>El peritaje</w:t>
      </w:r>
      <w:r w:rsidR="007C40E7" w:rsidRPr="00A5164C">
        <w:t xml:space="preserve"> también señaló “la presencia de daño psicológico colectivo</w:t>
      </w:r>
      <w:r w:rsidR="002D50BC" w:rsidRPr="00C11CD1">
        <w:t xml:space="preserve"> crónico</w:t>
      </w:r>
      <w:r w:rsidR="007C40E7" w:rsidRPr="002D50BC">
        <w:rPr>
          <w:b/>
          <w:bCs/>
        </w:rPr>
        <w:t xml:space="preserve"> </w:t>
      </w:r>
      <w:r w:rsidR="007C40E7" w:rsidRPr="006437CB">
        <w:t>elevado</w:t>
      </w:r>
      <w:r w:rsidR="007C40E7" w:rsidRPr="002D50BC">
        <w:rPr>
          <w:b/>
          <w:bCs/>
        </w:rPr>
        <w:t xml:space="preserve"> </w:t>
      </w:r>
      <w:r w:rsidR="002D50BC" w:rsidRPr="00C11CD1">
        <w:t>y</w:t>
      </w:r>
      <w:r w:rsidR="002D50BC">
        <w:t xml:space="preserve"> </w:t>
      </w:r>
      <w:r w:rsidR="007C40E7" w:rsidRPr="006437CB">
        <w:t>manifiesto en las hermanas Flores Bedregal”</w:t>
      </w:r>
      <w:r w:rsidR="006C6509" w:rsidRPr="006437CB">
        <w:t xml:space="preserve">. </w:t>
      </w:r>
      <w:r w:rsidR="007C40E7" w:rsidRPr="006437CB">
        <w:t xml:space="preserve"> </w:t>
      </w:r>
      <w:r w:rsidR="006C6509" w:rsidRPr="006437CB">
        <w:t>C</w:t>
      </w:r>
      <w:r w:rsidR="007C40E7" w:rsidRPr="006437CB">
        <w:t>oncluye</w:t>
      </w:r>
      <w:r w:rsidR="006C6509" w:rsidRPr="006437CB">
        <w:t xml:space="preserve"> </w:t>
      </w:r>
      <w:r w:rsidR="007C40E7" w:rsidRPr="006437CB">
        <w:t xml:space="preserve">que </w:t>
      </w:r>
      <w:r w:rsidR="006C6509" w:rsidRPr="006437CB">
        <w:t>en todas ellas –</w:t>
      </w:r>
      <w:r w:rsidR="007C40E7" w:rsidRPr="006437CB">
        <w:t>pero</w:t>
      </w:r>
      <w:r w:rsidR="006C6509" w:rsidRPr="006437CB">
        <w:t xml:space="preserve"> en</w:t>
      </w:r>
      <w:r w:rsidR="007C40E7" w:rsidRPr="006437CB">
        <w:t xml:space="preserve"> forma más reducida en la señora Olga Flores Bedregal</w:t>
      </w:r>
      <w:r w:rsidR="006C6509" w:rsidRPr="006437CB">
        <w:t>— se observa</w:t>
      </w:r>
      <w:r w:rsidR="007C40E7" w:rsidRPr="006437CB">
        <w:t xml:space="preserve"> trastorno persistente de duelo complicado, trastorno de estrés postraumático, trastorno de ansiedad generalizada y trastorno depresivo persistente (este último presente sólo en las hermanas Verónica y </w:t>
      </w:r>
      <w:r w:rsidR="00CB08F0">
        <w:t xml:space="preserve">Lilian </w:t>
      </w:r>
      <w:r w:rsidR="007C40E7" w:rsidRPr="00A5164C">
        <w:t>Teresa Flores Bedregal)</w:t>
      </w:r>
      <w:r w:rsidR="00564838" w:rsidRPr="00A5164C">
        <w:rPr>
          <w:vertAlign w:val="superscript"/>
        </w:rPr>
        <w:footnoteReference w:id="209"/>
      </w:r>
      <w:r w:rsidR="00A5164C" w:rsidRPr="00A5164C">
        <w:t>,</w:t>
      </w:r>
      <w:r w:rsidR="00A5164C" w:rsidRPr="00C11CD1">
        <w:t xml:space="preserve"> </w:t>
      </w:r>
      <w:r w:rsidR="00752871" w:rsidRPr="00C11CD1">
        <w:t xml:space="preserve">situación </w:t>
      </w:r>
      <w:r w:rsidR="00A5164C" w:rsidRPr="00A5164C">
        <w:t xml:space="preserve">que </w:t>
      </w:r>
      <w:r w:rsidR="00752871" w:rsidRPr="00A5164C">
        <w:t xml:space="preserve">fue expresada por las hermanas </w:t>
      </w:r>
      <w:r w:rsidR="00752871" w:rsidRPr="00A5164C">
        <w:rPr>
          <w:rFonts w:cs="Verdana"/>
        </w:rPr>
        <w:t xml:space="preserve">Verónica, </w:t>
      </w:r>
      <w:r w:rsidR="008D1047" w:rsidRPr="00A5164C">
        <w:rPr>
          <w:rFonts w:cs="Verdana"/>
        </w:rPr>
        <w:t xml:space="preserve">Lilian </w:t>
      </w:r>
      <w:r w:rsidR="00752871" w:rsidRPr="00A5164C">
        <w:rPr>
          <w:rFonts w:cs="Verdana"/>
        </w:rPr>
        <w:t>Teresa, y Olga Flores Bedregal</w:t>
      </w:r>
      <w:r w:rsidR="00752871" w:rsidRPr="006437CB">
        <w:rPr>
          <w:rFonts w:cs="Verdana"/>
        </w:rPr>
        <w:t>.</w:t>
      </w:r>
      <w:r w:rsidR="00752871" w:rsidRPr="006437CB">
        <w:t xml:space="preserve"> Además, </w:t>
      </w:r>
      <w:r w:rsidR="007C40E7" w:rsidRPr="006437CB">
        <w:t xml:space="preserve">el representante </w:t>
      </w:r>
      <w:r w:rsidR="00752871" w:rsidRPr="006437CB">
        <w:t xml:space="preserve">adujo que </w:t>
      </w:r>
      <w:r w:rsidR="007C40E7" w:rsidRPr="006437CB">
        <w:t>el daño generado fue transgeneracional</w:t>
      </w:r>
      <w:r w:rsidR="00A5164C">
        <w:t>.</w:t>
      </w:r>
    </w:p>
    <w:p w14:paraId="3BA1BEF7" w14:textId="77777777" w:rsidR="006437CB" w:rsidRPr="002E61E9" w:rsidRDefault="006437CB" w:rsidP="00E55450">
      <w:pPr>
        <w:rPr>
          <w:lang w:val="es-ES"/>
        </w:rPr>
      </w:pPr>
    </w:p>
    <w:p w14:paraId="1D6091E1" w14:textId="0CAB4E43" w:rsidR="00B72F01" w:rsidRDefault="00B72F01" w:rsidP="005E070D">
      <w:pPr>
        <w:pStyle w:val="Prrafodelista"/>
      </w:pPr>
      <w:r w:rsidRPr="006437CB">
        <w:t xml:space="preserve">La señora Verónica Flores Bedregal </w:t>
      </w:r>
      <w:r w:rsidR="005339E0" w:rsidRPr="006437CB">
        <w:t xml:space="preserve">manifestó </w:t>
      </w:r>
      <w:r w:rsidR="00366D96" w:rsidRPr="006437CB">
        <w:t>en su affid</w:t>
      </w:r>
      <w:r w:rsidR="003B3E61">
        <w:t>á</w:t>
      </w:r>
      <w:r w:rsidR="00366D96" w:rsidRPr="006437CB">
        <w:t>vit</w:t>
      </w:r>
      <w:r w:rsidR="00754116" w:rsidRPr="006437CB">
        <w:t xml:space="preserve"> </w:t>
      </w:r>
      <w:r w:rsidR="00C91B76" w:rsidRPr="006437CB">
        <w:t>que</w:t>
      </w:r>
      <w:r w:rsidR="00BE6E93">
        <w:t>,</w:t>
      </w:r>
      <w:r w:rsidR="00C91B76" w:rsidRPr="006437CB">
        <w:t xml:space="preserve"> </w:t>
      </w:r>
      <w:r w:rsidR="00596D69" w:rsidRPr="006437CB">
        <w:t>si bien ella vivía en Belgrado al momento de los hechos</w:t>
      </w:r>
      <w:r w:rsidR="00366D96" w:rsidRPr="006437CB">
        <w:t xml:space="preserve">, </w:t>
      </w:r>
      <w:r w:rsidR="004E6E95" w:rsidRPr="006437CB">
        <w:t xml:space="preserve">realizó </w:t>
      </w:r>
      <w:r w:rsidR="00366D96" w:rsidRPr="006437CB">
        <w:t xml:space="preserve">varias diligencias ante el representante de la Cruz Roja en Belgrado </w:t>
      </w:r>
      <w:r w:rsidR="005339E0" w:rsidRPr="006437CB">
        <w:t>que fueron re</w:t>
      </w:r>
      <w:r w:rsidR="00DF22FD" w:rsidRPr="006437CB">
        <w:t xml:space="preserve">feridos a Bolivia a través de </w:t>
      </w:r>
      <w:r w:rsidR="00366D96" w:rsidRPr="006437CB">
        <w:t>la Cruz Roja en Suiza</w:t>
      </w:r>
      <w:r w:rsidR="00DF22FD" w:rsidRPr="006437CB">
        <w:t xml:space="preserve">. </w:t>
      </w:r>
      <w:r w:rsidR="00366D96" w:rsidRPr="006437CB">
        <w:t>Además</w:t>
      </w:r>
      <w:r w:rsidR="006B06CA">
        <w:t>,</w:t>
      </w:r>
      <w:r w:rsidR="00366D96" w:rsidRPr="006437CB">
        <w:t xml:space="preserve"> </w:t>
      </w:r>
      <w:r w:rsidRPr="006437CB">
        <w:t>expres</w:t>
      </w:r>
      <w:r w:rsidR="00596D69" w:rsidRPr="006437CB">
        <w:t>ó</w:t>
      </w:r>
      <w:r w:rsidRPr="006437CB">
        <w:t xml:space="preserve"> que</w:t>
      </w:r>
      <w:r w:rsidR="004C07C7">
        <w:t>,</w:t>
      </w:r>
      <w:r w:rsidRPr="006437CB">
        <w:t xml:space="preserve"> durante los años </w:t>
      </w:r>
      <w:r w:rsidR="00386020">
        <w:t xml:space="preserve">que transcurrieron hasta su regreso a </w:t>
      </w:r>
      <w:r w:rsidR="00596D69" w:rsidRPr="006437CB">
        <w:t>Bolivia</w:t>
      </w:r>
      <w:r w:rsidR="00366D96" w:rsidRPr="006437CB">
        <w:t>,</w:t>
      </w:r>
      <w:r w:rsidR="00596D69" w:rsidRPr="006437CB">
        <w:t xml:space="preserve"> sus hermanas Olga y Eliana “le informaron permanentemente de todo lo que sucedía y de lo que ellas hacían para conocer el paradero</w:t>
      </w:r>
      <w:r w:rsidR="00366D96" w:rsidRPr="006437CB">
        <w:t xml:space="preserve"> </w:t>
      </w:r>
      <w:r w:rsidR="00386020">
        <w:t xml:space="preserve">de Juan Carlos </w:t>
      </w:r>
      <w:r w:rsidR="00366D96" w:rsidRPr="006437CB">
        <w:t xml:space="preserve">y que se </w:t>
      </w:r>
      <w:r w:rsidR="00C91B76" w:rsidRPr="006437CB">
        <w:t>[hiciera]</w:t>
      </w:r>
      <w:r w:rsidR="00366D96" w:rsidRPr="006437CB">
        <w:t xml:space="preserve"> justicia”. A finales de 1986 regresó a Bolivia </w:t>
      </w:r>
      <w:r w:rsidR="005D61C2" w:rsidRPr="006437CB">
        <w:t xml:space="preserve">y de inmediato se incorporó </w:t>
      </w:r>
      <w:r w:rsidR="007D6829">
        <w:t xml:space="preserve">a la </w:t>
      </w:r>
      <w:r w:rsidR="007D6829" w:rsidRPr="00C11CD1">
        <w:t>Asociación de familiares Detenidos Desaparecidos y Mártires por la Liberación Nacional</w:t>
      </w:r>
      <w:r w:rsidR="007D6829">
        <w:t xml:space="preserve"> (</w:t>
      </w:r>
      <w:r w:rsidR="005D61C2" w:rsidRPr="006437CB">
        <w:t>ASOFAMD</w:t>
      </w:r>
      <w:r w:rsidR="007D6829">
        <w:t>)</w:t>
      </w:r>
      <w:r w:rsidR="005D61C2" w:rsidRPr="006437CB">
        <w:t xml:space="preserve">. Manifestó que </w:t>
      </w:r>
      <w:r w:rsidR="00B11E0B">
        <w:t>“</w:t>
      </w:r>
      <w:r w:rsidR="005D61C2" w:rsidRPr="006437CB">
        <w:t xml:space="preserve">[s]i bien hacía años que vivía el dolor, la angustia, la incertidumbre, la impotencia y la frustración de no saber </w:t>
      </w:r>
      <w:r w:rsidR="00360405" w:rsidRPr="006437CB">
        <w:t>dónde</w:t>
      </w:r>
      <w:r w:rsidR="005D61C2" w:rsidRPr="006437CB">
        <w:t xml:space="preserve"> estaba Juan Carlos, fue en ASOFAMD que poco a poco fu</w:t>
      </w:r>
      <w:r w:rsidR="00C91B76" w:rsidRPr="006437CB">
        <w:t>[e]</w:t>
      </w:r>
      <w:r w:rsidR="005D61C2" w:rsidRPr="006437CB">
        <w:t xml:space="preserve"> entendiendo y asimilando el hondo significado que tiene la desaparición forzada</w:t>
      </w:r>
      <w:r w:rsidR="00F83204" w:rsidRPr="006437CB">
        <w:t xml:space="preserve"> de personas y la tragedia que este horroroso y despiadado crimen representa para los familiares, más aún cuando queda impune, como en nuestro caso</w:t>
      </w:r>
      <w:r w:rsidR="00DF22FD" w:rsidRPr="006437CB">
        <w:t>”</w:t>
      </w:r>
      <w:r w:rsidR="00436F50" w:rsidRPr="00B54D03">
        <w:rPr>
          <w:vertAlign w:val="superscript"/>
        </w:rPr>
        <w:footnoteReference w:id="210"/>
      </w:r>
      <w:r w:rsidR="00FE4D9E" w:rsidRPr="006437CB">
        <w:t>.</w:t>
      </w:r>
      <w:r w:rsidR="00596D69" w:rsidRPr="006437CB">
        <w:t xml:space="preserve"> </w:t>
      </w:r>
    </w:p>
    <w:p w14:paraId="005942F1" w14:textId="77777777" w:rsidR="006437CB" w:rsidRPr="002E61E9" w:rsidRDefault="006437CB" w:rsidP="00E55450">
      <w:pPr>
        <w:rPr>
          <w:lang w:val="es-ES"/>
        </w:rPr>
      </w:pPr>
    </w:p>
    <w:p w14:paraId="7C888CF5" w14:textId="29207010" w:rsidR="0098447E" w:rsidRPr="006437CB" w:rsidRDefault="00DF22FD" w:rsidP="005E070D">
      <w:pPr>
        <w:pStyle w:val="Prrafodelista"/>
      </w:pPr>
      <w:r w:rsidRPr="006437CB">
        <w:t>Por su parte</w:t>
      </w:r>
      <w:r w:rsidR="006B06CA">
        <w:t>,</w:t>
      </w:r>
      <w:r w:rsidRPr="006437CB">
        <w:t xml:space="preserve"> </w:t>
      </w:r>
      <w:r w:rsidR="006B06CA" w:rsidRPr="006437CB">
        <w:t xml:space="preserve">en su affidavit </w:t>
      </w:r>
      <w:r w:rsidRPr="006437CB">
        <w:t>la señora Lilian Teresa Flores Bedregal manifestó que para “Olga y para [ella], Juan Carlos no solamente era nuestro hermano mayor sino también nuestro amigo y líder por eso le seguimos todos los pasos y acompañamos sus luchas”</w:t>
      </w:r>
      <w:r w:rsidRPr="00B54D03">
        <w:rPr>
          <w:vertAlign w:val="superscript"/>
        </w:rPr>
        <w:footnoteReference w:id="211"/>
      </w:r>
      <w:r w:rsidRPr="006437CB">
        <w:t xml:space="preserve">. </w:t>
      </w:r>
      <w:r w:rsidRPr="006437CB">
        <w:rPr>
          <w:bCs/>
        </w:rPr>
        <w:t>E</w:t>
      </w:r>
      <w:r w:rsidR="00E74D72" w:rsidRPr="006437CB">
        <w:rPr>
          <w:bCs/>
        </w:rPr>
        <w:t xml:space="preserve">n su declaración ante la Corte, </w:t>
      </w:r>
      <w:r w:rsidRPr="006437CB">
        <w:rPr>
          <w:bCs/>
        </w:rPr>
        <w:t xml:space="preserve">la señora Olga Flores Bedregal </w:t>
      </w:r>
      <w:r w:rsidR="00E74D72" w:rsidRPr="006437CB">
        <w:rPr>
          <w:bCs/>
        </w:rPr>
        <w:t>manifestó “era muy difícil vivir así, primero saber lo que pasó con Carlos y para nosotros es bien difícil vivir el duelo cuando una persona está más presente que otros, porque Carlos está todos los días</w:t>
      </w:r>
      <w:r w:rsidRPr="006437CB">
        <w:rPr>
          <w:bCs/>
        </w:rPr>
        <w:t>;</w:t>
      </w:r>
      <w:r w:rsidR="00E74D72" w:rsidRPr="006437CB">
        <w:rPr>
          <w:bCs/>
        </w:rPr>
        <w:t xml:space="preserve"> nos tenemos que ver, porque vamos a venir a esta Corte, porque vamos a ir el día de mañana porque tenemos que ir cada 17 de julio, religiosamente</w:t>
      </w:r>
      <w:r w:rsidRPr="006437CB">
        <w:rPr>
          <w:bCs/>
        </w:rPr>
        <w:t>,</w:t>
      </w:r>
      <w:r w:rsidR="00E74D72" w:rsidRPr="006437CB">
        <w:rPr>
          <w:bCs/>
        </w:rPr>
        <w:t xml:space="preserve"> a hacer esos homenajes que son lacerantes porque no es tanto el tema de victimizar porque nos daría mucho placer hablar de nuestro hermano que todos sabemos que el proceso de muerte va a ser inevitable pero es doloroso porque detrás de eso se esconden intereses y detrás de eso nunca hay transparencia”</w:t>
      </w:r>
      <w:r w:rsidR="00E74D72" w:rsidRPr="00B54D03">
        <w:rPr>
          <w:bCs/>
          <w:vertAlign w:val="superscript"/>
        </w:rPr>
        <w:footnoteReference w:id="212"/>
      </w:r>
      <w:r w:rsidR="00E74D72" w:rsidRPr="006437CB">
        <w:rPr>
          <w:bCs/>
        </w:rPr>
        <w:t>.</w:t>
      </w:r>
      <w:r w:rsidR="0098447E" w:rsidRPr="006437CB">
        <w:rPr>
          <w:bCs/>
        </w:rPr>
        <w:t xml:space="preserve"> </w:t>
      </w:r>
    </w:p>
    <w:p w14:paraId="63C91E36" w14:textId="77777777" w:rsidR="006437CB" w:rsidRPr="002E61E9" w:rsidRDefault="006437CB" w:rsidP="00E55450">
      <w:pPr>
        <w:rPr>
          <w:lang w:val="es-ES"/>
        </w:rPr>
      </w:pPr>
    </w:p>
    <w:p w14:paraId="3E27E6D0" w14:textId="32AAE77C" w:rsidR="006437CB" w:rsidRDefault="0005134D" w:rsidP="005E070D">
      <w:pPr>
        <w:pStyle w:val="Prrafodelista"/>
      </w:pPr>
      <w:r w:rsidRPr="006437CB">
        <w:t xml:space="preserve">Los sentimientos que a lo largo de los años guiaron los esfuerzos de búsqueda de </w:t>
      </w:r>
      <w:r w:rsidR="00DD3917" w:rsidRPr="006437CB">
        <w:t>Juan Carlos Flores Bedregal</w:t>
      </w:r>
      <w:r w:rsidRPr="006437CB">
        <w:t xml:space="preserve"> por parte de Olga Flores Bedregal se encuentran reflejados en la publicación de un epistolario </w:t>
      </w:r>
      <w:r w:rsidR="00DD3917" w:rsidRPr="006437CB">
        <w:t>de</w:t>
      </w:r>
      <w:r w:rsidRPr="006437CB">
        <w:t xml:space="preserve"> cartas a su hermano</w:t>
      </w:r>
      <w:r w:rsidR="00DD3917" w:rsidRPr="006437CB">
        <w:t xml:space="preserve"> desaparecido:</w:t>
      </w:r>
      <w:r w:rsidRPr="006437CB">
        <w:t xml:space="preserve"> </w:t>
      </w:r>
      <w:r w:rsidR="00DD3917" w:rsidRPr="006437CB">
        <w:t xml:space="preserve">“te sigo escribiendo porque </w:t>
      </w:r>
      <w:r w:rsidR="00C016AB" w:rsidRPr="006437CB">
        <w:t>[</w:t>
      </w:r>
      <w:r w:rsidR="00DD3917" w:rsidRPr="006437CB">
        <w:t>…</w:t>
      </w:r>
      <w:r w:rsidR="00C016AB" w:rsidRPr="006437CB">
        <w:t>]</w:t>
      </w:r>
      <w:r w:rsidR="00DD3917" w:rsidRPr="006437CB">
        <w:t xml:space="preserve"> en la psiquis human</w:t>
      </w:r>
      <w:r w:rsidR="00AB65D3">
        <w:t>a</w:t>
      </w:r>
      <w:r w:rsidR="00DD3917" w:rsidRPr="006437CB">
        <w:t xml:space="preserve"> una está preparada para la muerte, así como nacemos, morimos</w:t>
      </w:r>
      <w:r w:rsidR="00752A32" w:rsidRPr="006437CB">
        <w:t>; pero esa categoría inventada por los militares de DES</w:t>
      </w:r>
      <w:r w:rsidR="00C016AB" w:rsidRPr="006437CB">
        <w:t>A</w:t>
      </w:r>
      <w:r w:rsidR="00752A32" w:rsidRPr="006437CB">
        <w:t>PARECIDO, es contra natura.</w:t>
      </w:r>
      <w:r w:rsidR="00AB65D3">
        <w:t xml:space="preserve"> […]</w:t>
      </w:r>
      <w:r w:rsidR="00752A32" w:rsidRPr="006437CB">
        <w:t xml:space="preserve"> Nos han privado hasta de llorar </w:t>
      </w:r>
      <w:r w:rsidR="00752A32" w:rsidRPr="006437CB">
        <w:lastRenderedPageBreak/>
        <w:t xml:space="preserve">tu muerte </w:t>
      </w:r>
      <w:r w:rsidR="00C016AB" w:rsidRPr="006437CB">
        <w:t>[</w:t>
      </w:r>
      <w:r w:rsidR="00752A32" w:rsidRPr="006437CB">
        <w:t>…</w:t>
      </w:r>
      <w:r w:rsidR="00C016AB" w:rsidRPr="006437CB">
        <w:t>]</w:t>
      </w:r>
      <w:r w:rsidR="00752A32" w:rsidRPr="006437CB">
        <w:t xml:space="preserve"> negando tu muerte, es negar tu presencia, que algún día exististe, con tu mirada limpia y esos tus ideales a los que amabas más que a una novia”</w:t>
      </w:r>
      <w:r w:rsidR="00752A32" w:rsidRPr="00B54D03">
        <w:rPr>
          <w:vertAlign w:val="superscript"/>
        </w:rPr>
        <w:footnoteReference w:id="213"/>
      </w:r>
      <w:r w:rsidR="002B4667">
        <w:t xml:space="preserve"> (mayúscula del original)</w:t>
      </w:r>
      <w:r w:rsidR="00752A32" w:rsidRPr="006437CB">
        <w:t>.</w:t>
      </w:r>
      <w:r w:rsidR="00DD3917" w:rsidRPr="006437CB">
        <w:t xml:space="preserve"> </w:t>
      </w:r>
    </w:p>
    <w:p w14:paraId="0ACB4F6A" w14:textId="77777777" w:rsidR="006437CB" w:rsidRPr="002E61E9" w:rsidRDefault="006437CB" w:rsidP="00E55450">
      <w:pPr>
        <w:rPr>
          <w:lang w:val="es-ES"/>
        </w:rPr>
      </w:pPr>
    </w:p>
    <w:p w14:paraId="637BB634" w14:textId="366FB2E5" w:rsidR="00932F9D" w:rsidRPr="006437CB" w:rsidRDefault="00DD3917" w:rsidP="005E070D">
      <w:pPr>
        <w:pStyle w:val="Prrafodelista"/>
      </w:pPr>
      <w:r w:rsidRPr="006437CB">
        <w:t xml:space="preserve"> </w:t>
      </w:r>
      <w:r w:rsidR="00B71A19" w:rsidRPr="006437CB">
        <w:t xml:space="preserve">Las hermanas Flores Bedregal fueron objeto de actos de intimidación. </w:t>
      </w:r>
      <w:r w:rsidR="00EC6585" w:rsidRPr="006437CB">
        <w:t xml:space="preserve">En su affidavit la señora Verónica Flores Bedregal </w:t>
      </w:r>
      <w:r w:rsidR="00F76F6A" w:rsidRPr="006437CB">
        <w:t>manifestó que “no recibi[ó] abiertamente amenazas”, pero recibió llamadas telefónica</w:t>
      </w:r>
      <w:r w:rsidR="003F526F" w:rsidRPr="006437CB">
        <w:t>s</w:t>
      </w:r>
      <w:r w:rsidR="00F76F6A" w:rsidRPr="006437CB">
        <w:t xml:space="preserve"> a [su] ofici</w:t>
      </w:r>
      <w:r w:rsidR="00F17A0B" w:rsidRPr="006437CB">
        <w:t>na</w:t>
      </w:r>
      <w:r w:rsidR="00F76F6A" w:rsidRPr="006437CB">
        <w:t xml:space="preserve"> </w:t>
      </w:r>
      <w:r w:rsidR="00360405" w:rsidRPr="006437CB">
        <w:t>citándo</w:t>
      </w:r>
      <w:r w:rsidR="00F76F6A" w:rsidRPr="006437CB">
        <w:t>[la] a un Distrito Policial de la periferia de la ciudad con distintos pretextos absurdos pero amedrentadores. No [se] presentó, ni qui</w:t>
      </w:r>
      <w:r w:rsidR="00CD47A2" w:rsidRPr="006437CB">
        <w:t>s</w:t>
      </w:r>
      <w:r w:rsidR="00F76F6A" w:rsidRPr="006437CB">
        <w:t>[</w:t>
      </w:r>
      <w:r w:rsidR="00CD47A2" w:rsidRPr="006437CB">
        <w:t>o</w:t>
      </w:r>
      <w:r w:rsidR="00F76F6A" w:rsidRPr="006437CB">
        <w:t xml:space="preserve">] </w:t>
      </w:r>
      <w:r w:rsidR="005E070D">
        <w:t xml:space="preserve">contar </w:t>
      </w:r>
      <w:r w:rsidR="00125C5C" w:rsidRPr="006437CB">
        <w:t>nada a [su] familia, pero [sus] compañeros de trabajo fueron testigos de [su] preocupació</w:t>
      </w:r>
      <w:r w:rsidR="00125C5C" w:rsidRPr="00C11CD1">
        <w:t>n</w:t>
      </w:r>
      <w:r w:rsidR="003E682C" w:rsidRPr="00C11CD1">
        <w:t xml:space="preserve"> y temor”</w:t>
      </w:r>
      <w:r w:rsidR="00125C5C" w:rsidRPr="00C11CD1">
        <w:t>. Mencionó también que la</w:t>
      </w:r>
      <w:r w:rsidR="00AE1AD1" w:rsidRPr="00C11CD1">
        <w:t>s</w:t>
      </w:r>
      <w:r w:rsidR="00125C5C" w:rsidRPr="00C11CD1">
        <w:t xml:space="preserve"> abogada</w:t>
      </w:r>
      <w:r w:rsidR="00AE1AD1" w:rsidRPr="00C11CD1">
        <w:t>s</w:t>
      </w:r>
      <w:r w:rsidR="00125C5C" w:rsidRPr="00C11CD1">
        <w:t xml:space="preserve"> que las representaban </w:t>
      </w:r>
      <w:r w:rsidR="0060750B" w:rsidRPr="00C11CD1">
        <w:t xml:space="preserve">recibieron intimidaciones </w:t>
      </w:r>
      <w:r w:rsidR="00AE1AD1" w:rsidRPr="00C11CD1">
        <w:t xml:space="preserve">y </w:t>
      </w:r>
      <w:r w:rsidR="0060750B" w:rsidRPr="00C11CD1">
        <w:t>amenazas</w:t>
      </w:r>
      <w:r w:rsidR="00F17A0B" w:rsidRPr="00C11CD1">
        <w:t>.</w:t>
      </w:r>
      <w:r w:rsidR="009D6A50" w:rsidRPr="00C11CD1">
        <w:t xml:space="preserve"> Indicó que Olga Flores Bedregal fue detenida en forma ilegal en el marco de una manifestación pacífica contra las desapariciones forzadas. Relató también que</w:t>
      </w:r>
      <w:r w:rsidR="004B167C">
        <w:t>,</w:t>
      </w:r>
      <w:r w:rsidR="009D6A50" w:rsidRPr="00C11CD1">
        <w:t xml:space="preserve"> en 2010, tras una misa en memoria de Juan Carlos Flores Bedregal, decenas de policías arremetieron contra las personas que salían de la iglesia, ocasionando caos en la multitud. A</w:t>
      </w:r>
      <w:r w:rsidR="008D1047" w:rsidRPr="00C11CD1">
        <w:t>demás</w:t>
      </w:r>
      <w:r w:rsidR="009D6A50" w:rsidRPr="00C11CD1">
        <w:t>,</w:t>
      </w:r>
      <w:r w:rsidR="00AE1AD1" w:rsidRPr="00C11CD1">
        <w:t xml:space="preserve"> </w:t>
      </w:r>
      <w:r w:rsidR="00B56A94" w:rsidRPr="00C11CD1">
        <w:t xml:space="preserve">en las declaraciones rendidas ante fedatario público por Verónica y Lilian </w:t>
      </w:r>
      <w:r w:rsidR="00D8440B" w:rsidRPr="00C11CD1">
        <w:t xml:space="preserve">Teresa </w:t>
      </w:r>
      <w:r w:rsidR="00B56A94" w:rsidRPr="00C11CD1">
        <w:t xml:space="preserve">Flores Bedregal </w:t>
      </w:r>
      <w:r w:rsidR="009D6A50" w:rsidRPr="00C11CD1">
        <w:t xml:space="preserve">señalaron </w:t>
      </w:r>
      <w:r w:rsidR="00B56A94" w:rsidRPr="00C11CD1">
        <w:t xml:space="preserve">que </w:t>
      </w:r>
      <w:r w:rsidR="00B56A94" w:rsidRPr="006437CB">
        <w:t>las hermanas sufrieron hostigamientos y agresiones por parte de funcionarios de la policía</w:t>
      </w:r>
      <w:r w:rsidR="009D6A50">
        <w:t xml:space="preserve">. </w:t>
      </w:r>
      <w:r w:rsidR="00B71A19" w:rsidRPr="006437CB">
        <w:t xml:space="preserve">Del expediente también surge que la Defensoría del Pueblo </w:t>
      </w:r>
      <w:r w:rsidR="005B4E55" w:rsidRPr="006437CB">
        <w:t xml:space="preserve">solicitó se </w:t>
      </w:r>
      <w:r w:rsidR="00B71A19" w:rsidRPr="006437CB">
        <w:t>adopta</w:t>
      </w:r>
      <w:r w:rsidR="005B4E55" w:rsidRPr="006437CB">
        <w:t xml:space="preserve">ran </w:t>
      </w:r>
      <w:r w:rsidR="00B71A19" w:rsidRPr="006437CB">
        <w:t xml:space="preserve">medidas orientadas a garantizar la seguridad de las hermanas Flores Bedregal </w:t>
      </w:r>
      <w:r w:rsidR="005B4E55" w:rsidRPr="006437CB">
        <w:t xml:space="preserve">frente </w:t>
      </w:r>
      <w:r w:rsidR="00B71A19" w:rsidRPr="006437CB">
        <w:t xml:space="preserve">a </w:t>
      </w:r>
      <w:r w:rsidR="005B4E55" w:rsidRPr="006437CB">
        <w:t xml:space="preserve">los </w:t>
      </w:r>
      <w:r w:rsidR="00B71A19" w:rsidRPr="006437CB">
        <w:t xml:space="preserve">actos de hostigamiento por </w:t>
      </w:r>
      <w:r w:rsidR="005B4E55" w:rsidRPr="006437CB">
        <w:t xml:space="preserve">parte de </w:t>
      </w:r>
      <w:r w:rsidR="00B71A19" w:rsidRPr="006437CB">
        <w:t>funcionarios del Estado.</w:t>
      </w:r>
      <w:r w:rsidR="007D1103" w:rsidRPr="006437CB">
        <w:t xml:space="preserve"> </w:t>
      </w:r>
      <w:r w:rsidR="00932F9D" w:rsidRPr="00D8440B">
        <w:t>Finalmente, en la audiencia pública ante esta Corte, la señora Olga Flores, refiriéndose al Estado, declaró que “[s]e contentaría con que no sigan agrediendo”.</w:t>
      </w:r>
    </w:p>
    <w:p w14:paraId="31CE095D" w14:textId="77777777" w:rsidR="006437CB" w:rsidRPr="002E61E9" w:rsidRDefault="006437CB" w:rsidP="00E55450">
      <w:pPr>
        <w:rPr>
          <w:lang w:val="es-ES"/>
        </w:rPr>
      </w:pPr>
    </w:p>
    <w:p w14:paraId="2BCCCE9E" w14:textId="697C0DAC" w:rsidR="00ED7A0D" w:rsidRDefault="00787685" w:rsidP="005E070D">
      <w:pPr>
        <w:pStyle w:val="Prrafodelista"/>
      </w:pPr>
      <w:r w:rsidRPr="006437CB">
        <w:t xml:space="preserve">En el caso en concreto, al tenerse establecida la desaparición forzada de Juan Carlos Flores Bedregal, y siguiendo la jurisprudencia de este Tribunal, se da por comprobada la afectación a la integridad personal de las hermanas del señor Flores Bedregal, al ser esto una consecuencia directa de la desaparición de su familiar. </w:t>
      </w:r>
      <w:r w:rsidR="005B4E55" w:rsidRPr="006437CB">
        <w:t xml:space="preserve">Para la Corte, ha quedado demostrado con relación a las hermanas Flores Bedregal: su vínculo emocional con Juan Carlos Flores Bedregal; sus secuelas físicas y emocionales tras la desaparición; </w:t>
      </w:r>
      <w:r w:rsidR="006B06CA" w:rsidRPr="006437CB">
        <w:t>su involucramiento activo en los procesos judiciale</w:t>
      </w:r>
      <w:r w:rsidR="00CD008B">
        <w:t>s,</w:t>
      </w:r>
      <w:r w:rsidR="005B4E55" w:rsidRPr="006437CB">
        <w:t xml:space="preserve"> en la búsqueda del paradero y los restos su hermano</w:t>
      </w:r>
      <w:r w:rsidR="00CD008B">
        <w:t xml:space="preserve"> y</w:t>
      </w:r>
      <w:r w:rsidR="005B4E55" w:rsidRPr="006437CB">
        <w:t xml:space="preserve"> en lograr el acceso a información de fuentes oficiales, y en particular de las FFAA; el hecho que se convirtieron en blanco de actos de hostigamiento por causa del persistente reclamo por la desaparición de su hermano. Tras más de cuatro décadas, la falta de esclarecimiento de la desaparición ha alterado su proceso de duelo, perpetuando el sufrimiento y la incertidumbre. Estas afectaciones se proyectarán en el tiempo mientras persistan los factores de impunidad y la falta de esclarecimiento del paradero final de la víctima desaparecida</w:t>
      </w:r>
      <w:r w:rsidR="005B4E55" w:rsidRPr="00FA3CBD">
        <w:rPr>
          <w:vertAlign w:val="superscript"/>
        </w:rPr>
        <w:footnoteReference w:id="214"/>
      </w:r>
      <w:r w:rsidR="005B4E55" w:rsidRPr="006437CB">
        <w:t xml:space="preserve">. Como ya ha </w:t>
      </w:r>
      <w:r w:rsidRPr="006437CB">
        <w:t>establecido la Corte en su jurisprudencia, l</w:t>
      </w:r>
      <w:r w:rsidR="005B4E55" w:rsidRPr="006437CB">
        <w:t>a</w:t>
      </w:r>
      <w:r w:rsidRPr="006437CB">
        <w:t xml:space="preserve"> violación del derecho a la</w:t>
      </w:r>
      <w:r w:rsidR="005B4E55" w:rsidRPr="006437CB">
        <w:t xml:space="preserve"> verdad </w:t>
      </w:r>
      <w:r w:rsidRPr="006437CB">
        <w:t xml:space="preserve">sobre </w:t>
      </w:r>
      <w:r w:rsidR="005B4E55" w:rsidRPr="006437CB">
        <w:t>el destino de un</w:t>
      </w:r>
      <w:r w:rsidRPr="006437CB">
        <w:t>a persona</w:t>
      </w:r>
      <w:r w:rsidR="005B4E55" w:rsidRPr="006437CB">
        <w:t xml:space="preserve"> desaparecid</w:t>
      </w:r>
      <w:r w:rsidRPr="006437CB">
        <w:t>a</w:t>
      </w:r>
      <w:r w:rsidR="005B4E55" w:rsidRPr="006437CB">
        <w:t xml:space="preserve"> constituye una </w:t>
      </w:r>
      <w:r w:rsidR="005B4E55" w:rsidRPr="001110B5">
        <w:t xml:space="preserve">forma </w:t>
      </w:r>
      <w:r w:rsidR="009C2E93" w:rsidRPr="001110B5">
        <w:t>de trato</w:t>
      </w:r>
      <w:r w:rsidR="009C2E93" w:rsidRPr="006437CB">
        <w:t xml:space="preserve"> </w:t>
      </w:r>
      <w:r w:rsidR="005B4E55" w:rsidRPr="006437CB">
        <w:t>cruel, inhumano y degradante para los familiares</w:t>
      </w:r>
      <w:r w:rsidR="001110B5">
        <w:t xml:space="preserve"> </w:t>
      </w:r>
      <w:r w:rsidR="005B4E55" w:rsidRPr="006437CB">
        <w:t>cercanos</w:t>
      </w:r>
      <w:r w:rsidR="005B4E55" w:rsidRPr="00B54D03">
        <w:rPr>
          <w:vertAlign w:val="superscript"/>
        </w:rPr>
        <w:footnoteReference w:id="215"/>
      </w:r>
      <w:r w:rsidR="005B4E55" w:rsidRPr="006437CB">
        <w:t>.</w:t>
      </w:r>
    </w:p>
    <w:p w14:paraId="57256A55" w14:textId="77777777" w:rsidR="005E070D" w:rsidRDefault="005E070D" w:rsidP="005E070D">
      <w:pPr>
        <w:pStyle w:val="Prrafodelista"/>
        <w:numPr>
          <w:ilvl w:val="0"/>
          <w:numId w:val="0"/>
        </w:numPr>
      </w:pPr>
    </w:p>
    <w:p w14:paraId="5EB452EF" w14:textId="50D629E8" w:rsidR="00A93879" w:rsidRPr="00BB0BD2" w:rsidRDefault="00B56A94" w:rsidP="005E070D">
      <w:pPr>
        <w:pStyle w:val="Prrafodelista"/>
      </w:pPr>
      <w:r w:rsidRPr="006437CB">
        <w:t xml:space="preserve">Con base </w:t>
      </w:r>
      <w:r w:rsidR="00C962C8">
        <w:t>en</w:t>
      </w:r>
      <w:r w:rsidRPr="006437CB">
        <w:t xml:space="preserve"> las consideraciones anteriores,</w:t>
      </w:r>
      <w:r w:rsidR="00F97187" w:rsidRPr="006437CB">
        <w:t xml:space="preserve"> la Corte concluye que </w:t>
      </w:r>
      <w:r w:rsidRPr="006437CB">
        <w:t>el Estad</w:t>
      </w:r>
      <w:r w:rsidR="00692E48" w:rsidRPr="006437CB">
        <w:t>o</w:t>
      </w:r>
      <w:r w:rsidRPr="006437CB">
        <w:t xml:space="preserve"> violó el derecho a la integridad personal reconocido en el artículo 5</w:t>
      </w:r>
      <w:r w:rsidR="00C2235E" w:rsidRPr="006437CB">
        <w:t>.1 y 5.2</w:t>
      </w:r>
      <w:r w:rsidR="009D5174" w:rsidRPr="006437CB">
        <w:t xml:space="preserve"> </w:t>
      </w:r>
      <w:r w:rsidRPr="006437CB">
        <w:t xml:space="preserve">de la Convención Americana, en relación con el artículo 1.1 del mismo instrumento, en perjuicio de Olga Beatriz, Eliana </w:t>
      </w:r>
      <w:r w:rsidR="00052B66" w:rsidRPr="006437CB">
        <w:t>Is</w:t>
      </w:r>
      <w:r w:rsidR="00F92950" w:rsidRPr="006437CB">
        <w:t>belia</w:t>
      </w:r>
      <w:r w:rsidRPr="006437CB">
        <w:t>, Verónica y Lilian Teresa</w:t>
      </w:r>
      <w:r w:rsidR="00D64D66" w:rsidRPr="006437CB">
        <w:t xml:space="preserve"> </w:t>
      </w:r>
      <w:r w:rsidRPr="006437CB">
        <w:t>Flores Bedregal.</w:t>
      </w:r>
      <w:bookmarkEnd w:id="187"/>
    </w:p>
    <w:p w14:paraId="3792650D" w14:textId="77777777" w:rsidR="006437CB" w:rsidRPr="00685917" w:rsidRDefault="006437CB" w:rsidP="00B54D03">
      <w:pPr>
        <w:autoSpaceDE w:val="0"/>
        <w:autoSpaceDN w:val="0"/>
        <w:adjustRightInd w:val="0"/>
        <w:jc w:val="both"/>
        <w:rPr>
          <w:rFonts w:ascii="Verdana" w:hAnsi="Verdana"/>
          <w:lang w:val="es-ES"/>
        </w:rPr>
      </w:pPr>
    </w:p>
    <w:p w14:paraId="51FFDC54" w14:textId="0A987D64" w:rsidR="006437CB" w:rsidRDefault="00470905" w:rsidP="004873D0">
      <w:pPr>
        <w:pStyle w:val="Ttulo1"/>
        <w:spacing w:before="0"/>
        <w:jc w:val="center"/>
        <w:rPr>
          <w:rFonts w:ascii="Verdana" w:hAnsi="Verdana"/>
          <w:b/>
          <w:bCs/>
          <w:color w:val="000000" w:themeColor="text1"/>
          <w:sz w:val="20"/>
          <w:szCs w:val="20"/>
          <w:lang w:val="es-ES"/>
        </w:rPr>
      </w:pPr>
      <w:bookmarkStart w:id="189" w:name="_Toc470105125"/>
      <w:bookmarkStart w:id="190" w:name="_Toc125037511"/>
      <w:r>
        <w:rPr>
          <w:rFonts w:ascii="Verdana" w:hAnsi="Verdana"/>
          <w:b/>
          <w:bCs/>
          <w:color w:val="000000" w:themeColor="text1"/>
          <w:sz w:val="20"/>
          <w:szCs w:val="20"/>
          <w:lang w:val="es-ES"/>
        </w:rPr>
        <w:t>VIII</w:t>
      </w:r>
      <w:r w:rsidR="006437CB" w:rsidRPr="00BF1720">
        <w:rPr>
          <w:rFonts w:ascii="Verdana" w:hAnsi="Verdana"/>
          <w:b/>
          <w:bCs/>
          <w:color w:val="000000" w:themeColor="text1"/>
          <w:sz w:val="20"/>
          <w:szCs w:val="20"/>
          <w:lang w:val="es-ES"/>
        </w:rPr>
        <w:br/>
        <w:t>REPARACIONES</w:t>
      </w:r>
      <w:r w:rsidR="006437CB" w:rsidRPr="0091148D">
        <w:rPr>
          <w:rFonts w:ascii="Verdana" w:hAnsi="Verdana"/>
          <w:color w:val="000000" w:themeColor="text1"/>
          <w:sz w:val="20"/>
          <w:szCs w:val="20"/>
          <w:vertAlign w:val="superscript"/>
          <w:lang w:val="es-ES"/>
        </w:rPr>
        <w:footnoteReference w:id="216"/>
      </w:r>
      <w:bookmarkEnd w:id="189"/>
      <w:bookmarkEnd w:id="190"/>
    </w:p>
    <w:p w14:paraId="1192F5F7" w14:textId="77777777" w:rsidR="004873D0" w:rsidRPr="004873D0" w:rsidRDefault="004873D0" w:rsidP="004873D0">
      <w:pPr>
        <w:rPr>
          <w:lang w:val="es-ES"/>
        </w:rPr>
      </w:pPr>
    </w:p>
    <w:p w14:paraId="03FF441C" w14:textId="10E1FF2E" w:rsidR="0035430C" w:rsidRDefault="0035430C" w:rsidP="005E070D">
      <w:pPr>
        <w:pStyle w:val="Prrafodelista"/>
      </w:pPr>
      <w:bookmarkStart w:id="191" w:name="_Toc459158159"/>
      <w:bookmarkStart w:id="192" w:name="_Toc470105132"/>
      <w:bookmarkEnd w:id="100"/>
      <w:bookmarkEnd w:id="101"/>
      <w:bookmarkEnd w:id="102"/>
      <w:bookmarkEnd w:id="103"/>
      <w:bookmarkEnd w:id="104"/>
      <w:r w:rsidRPr="006437CB">
        <w:t xml:space="preserve">Sobre la base de lo dispuesto en el artículo 63.1 de la Convención Americana, la Corte ha indicado que toda violación de una obligación internacional que haya producido daño comporta el </w:t>
      </w:r>
      <w:r w:rsidRPr="006437CB">
        <w:lastRenderedPageBreak/>
        <w:t>deber de repararlo adecuadamente, y que esa disposición recoge una norma consuetudinaria que constituye uno de los principios fundamentales del Derecho Internacional contemporáneo sobre responsabilidad de un Estado</w:t>
      </w:r>
      <w:r w:rsidRPr="008764D4">
        <w:rPr>
          <w:vertAlign w:val="superscript"/>
        </w:rPr>
        <w:footnoteReference w:id="217"/>
      </w:r>
      <w:r w:rsidRPr="006437CB">
        <w:t>.</w:t>
      </w:r>
    </w:p>
    <w:p w14:paraId="49073E2F" w14:textId="77777777" w:rsidR="006437CB" w:rsidRPr="002E61E9" w:rsidRDefault="006437CB" w:rsidP="00E55450">
      <w:pPr>
        <w:rPr>
          <w:lang w:val="es-ES"/>
        </w:rPr>
      </w:pPr>
    </w:p>
    <w:p w14:paraId="37FFAC3C" w14:textId="799C9FF7" w:rsidR="0035430C" w:rsidRDefault="0035430C" w:rsidP="005E070D">
      <w:pPr>
        <w:pStyle w:val="Prrafodelista"/>
      </w:pPr>
      <w:r w:rsidRPr="006437CB">
        <w:t>La reparación del daño ocasionado por la infracción de una obligación internacional requiere, siempre que sea posible, la plena restitución (</w:t>
      </w:r>
      <w:r w:rsidRPr="006437CB">
        <w:rPr>
          <w:i/>
        </w:rPr>
        <w:t>restitutio in integrum</w:t>
      </w:r>
      <w:r w:rsidRPr="006437CB">
        <w:t>), que consiste en el restablecimiento de la situación anterior. De no ser factible, como ocurre en la mayoría de los casos de violaciones a derechos humanos, este Tribunal determinará medidas para garantizar los derechos conculcados y reparar las consecuencias que las infracciones produjeron</w:t>
      </w:r>
      <w:r w:rsidRPr="008764D4">
        <w:rPr>
          <w:vertAlign w:val="superscript"/>
        </w:rPr>
        <w:footnoteReference w:id="218"/>
      </w:r>
      <w:r w:rsidRPr="006437CB">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8764D4">
        <w:rPr>
          <w:vertAlign w:val="superscript"/>
        </w:rPr>
        <w:footnoteReference w:id="219"/>
      </w:r>
      <w:r w:rsidRPr="006437CB">
        <w:t>.</w:t>
      </w:r>
    </w:p>
    <w:p w14:paraId="7E599E6A" w14:textId="77777777" w:rsidR="006437CB" w:rsidRPr="002E61E9" w:rsidRDefault="006437CB" w:rsidP="00E55450">
      <w:pPr>
        <w:rPr>
          <w:lang w:val="es-ES"/>
        </w:rPr>
      </w:pPr>
    </w:p>
    <w:p w14:paraId="3B263A82" w14:textId="7809B042" w:rsidR="0035430C" w:rsidRPr="006437CB" w:rsidRDefault="0035430C" w:rsidP="005E070D">
      <w:pPr>
        <w:pStyle w:val="Prrafodelista"/>
      </w:pPr>
      <w:r w:rsidRPr="006437CB">
        <w:t>Este Tribunal ha establecido que las reparaciones deben tener un nexo causal con los hechos del caso, las violaciones declaradas, los daños acreditados, así como con las medidas solicitadas para reparar los daños respectivos. Por lo tanto, la Corte deberá observar dicha concurrencia para pronunciarse debidamente y conforme a derecho</w:t>
      </w:r>
      <w:r w:rsidRPr="008764D4">
        <w:rPr>
          <w:vertAlign w:val="superscript"/>
        </w:rPr>
        <w:footnoteReference w:id="220"/>
      </w:r>
      <w:r w:rsidRPr="006437CB">
        <w:t>.</w:t>
      </w:r>
    </w:p>
    <w:p w14:paraId="2BE875A2" w14:textId="77777777" w:rsidR="006437CB" w:rsidRPr="002E61E9" w:rsidRDefault="006437CB" w:rsidP="00E55450">
      <w:pPr>
        <w:rPr>
          <w:lang w:val="es-ES"/>
        </w:rPr>
      </w:pPr>
    </w:p>
    <w:p w14:paraId="762D1618" w14:textId="259A5F20" w:rsidR="00311096" w:rsidRDefault="00D51E9D" w:rsidP="005E070D">
      <w:pPr>
        <w:pStyle w:val="Prrafodelista"/>
      </w:pPr>
      <w:r w:rsidRPr="006437CB">
        <w:t xml:space="preserve">Tomando en cuenta las violaciones a la Convención Americana declaradas en los capítulos </w:t>
      </w:r>
      <w:r w:rsidRPr="006437CB">
        <w:rPr>
          <w:lang w:eastAsia="es-ES_tradnl"/>
        </w:rPr>
        <w:t>anteriores</w:t>
      </w:r>
      <w:r w:rsidRPr="006437CB">
        <w:t xml:space="preserve">, a la luz de los criterios fijados en la jurisprudencia del Tribunal en relación con la naturaleza y alcances de la obligación de </w:t>
      </w:r>
      <w:r w:rsidRPr="008764D4">
        <w:t>reparar</w:t>
      </w:r>
      <w:r w:rsidRPr="008764D4">
        <w:rPr>
          <w:rFonts w:eastAsia="Calibri"/>
          <w:vertAlign w:val="superscript"/>
        </w:rPr>
        <w:footnoteReference w:id="221"/>
      </w:r>
      <w:r w:rsidRPr="008764D4">
        <w:t>, la</w:t>
      </w:r>
      <w:r w:rsidRPr="006437CB">
        <w:t xml:space="preserve"> Corte analizará las pretensiones presentadas por la Comisión y los representantes, así como los argumentos del Estado al respecto, con el objeto de disponer a continuación las medidas tendientes a reparar dichas violaciones.</w:t>
      </w:r>
    </w:p>
    <w:p w14:paraId="2E40155C" w14:textId="77777777" w:rsidR="007D09FB" w:rsidRPr="002E3990" w:rsidRDefault="007D09FB" w:rsidP="00D774FF">
      <w:pPr>
        <w:rPr>
          <w:lang w:val="es-ES"/>
        </w:rPr>
      </w:pPr>
    </w:p>
    <w:p w14:paraId="56D5AD9E" w14:textId="6BAA0FCD" w:rsidR="006437CB" w:rsidRPr="00BF1720" w:rsidRDefault="006437CB" w:rsidP="00D62951">
      <w:pPr>
        <w:pStyle w:val="Ttulo2"/>
        <w:numPr>
          <w:ilvl w:val="0"/>
          <w:numId w:val="23"/>
        </w:numPr>
        <w:spacing w:before="0"/>
        <w:ind w:left="567"/>
        <w:rPr>
          <w:rFonts w:ascii="Verdana" w:hAnsi="Verdana"/>
          <w:b/>
          <w:bCs/>
          <w:color w:val="000000" w:themeColor="text1"/>
          <w:sz w:val="20"/>
          <w:szCs w:val="20"/>
          <w:lang w:val="es-ES"/>
        </w:rPr>
      </w:pPr>
      <w:bookmarkStart w:id="193" w:name="_Toc125037512"/>
      <w:r w:rsidRPr="00BF1720">
        <w:rPr>
          <w:rFonts w:ascii="Verdana" w:hAnsi="Verdana"/>
          <w:b/>
          <w:bCs/>
          <w:color w:val="000000" w:themeColor="text1"/>
          <w:sz w:val="20"/>
          <w:szCs w:val="20"/>
          <w:lang w:val="es-ES"/>
        </w:rPr>
        <w:t>Parte Lesionada</w:t>
      </w:r>
      <w:bookmarkEnd w:id="193"/>
    </w:p>
    <w:p w14:paraId="2311386E" w14:textId="77777777" w:rsidR="006437CB" w:rsidRPr="008764D4" w:rsidRDefault="006437CB" w:rsidP="008764D4">
      <w:pPr>
        <w:rPr>
          <w:rFonts w:ascii="Verdana" w:hAnsi="Verdana"/>
          <w:lang w:val="es-ES"/>
        </w:rPr>
      </w:pPr>
    </w:p>
    <w:p w14:paraId="14FD9E68" w14:textId="58E085EB" w:rsidR="0035430C" w:rsidRDefault="0035430C" w:rsidP="005E070D">
      <w:pPr>
        <w:pStyle w:val="Prrafodelista"/>
      </w:pPr>
      <w:r w:rsidRPr="006437CB">
        <w:t>E</w:t>
      </w:r>
      <w:r w:rsidR="009B53B3" w:rsidRPr="006437CB">
        <w:t>ste</w:t>
      </w:r>
      <w:r w:rsidRPr="006437CB">
        <w:t xml:space="preserve"> Tribunal reitera que se considera parte lesionada, en los términos del artículo 63.1 de la Convención, a quien ha sido declarado víctima de la violación de algún derecho </w:t>
      </w:r>
      <w:r w:rsidR="00F031D0" w:rsidRPr="006437CB">
        <w:t xml:space="preserve">allí </w:t>
      </w:r>
      <w:r w:rsidRPr="006437CB">
        <w:t xml:space="preserve">reconocido. </w:t>
      </w:r>
      <w:r w:rsidR="00F031D0" w:rsidRPr="006437CB">
        <w:t xml:space="preserve">En este caso, </w:t>
      </w:r>
      <w:r w:rsidRPr="006437CB">
        <w:t>la Corte considera como “parte lesionada” a Juan Carlos Flores Bedregal</w:t>
      </w:r>
      <w:r w:rsidR="00A64709" w:rsidRPr="006437CB">
        <w:t>,</w:t>
      </w:r>
      <w:r w:rsidRPr="006437CB">
        <w:t xml:space="preserve"> Olga Beatriz</w:t>
      </w:r>
      <w:r w:rsidR="00FF5E86" w:rsidRPr="006437CB">
        <w:t xml:space="preserve"> Flores Bedregal</w:t>
      </w:r>
      <w:r w:rsidRPr="006437CB">
        <w:t>, Eliana Isbelia</w:t>
      </w:r>
      <w:r w:rsidR="00FF5E86" w:rsidRPr="006437CB">
        <w:t xml:space="preserve"> Flores Bedregal (fallecida)</w:t>
      </w:r>
      <w:r w:rsidRPr="006437CB">
        <w:t xml:space="preserve">, Verónica </w:t>
      </w:r>
      <w:r w:rsidR="00FF5E86" w:rsidRPr="006437CB">
        <w:t xml:space="preserve">Flores Bedregal </w:t>
      </w:r>
      <w:r w:rsidRPr="006437CB">
        <w:t>y Lilian Teresa Flores Bedregal</w:t>
      </w:r>
      <w:r w:rsidR="00D41B02" w:rsidRPr="008764D4">
        <w:rPr>
          <w:vertAlign w:val="superscript"/>
        </w:rPr>
        <w:footnoteReference w:id="222"/>
      </w:r>
      <w:r w:rsidR="009E263C" w:rsidRPr="006437CB">
        <w:t xml:space="preserve">. </w:t>
      </w:r>
    </w:p>
    <w:p w14:paraId="387E600A" w14:textId="6BEAE43C" w:rsidR="006C3FD6" w:rsidRDefault="006C3FD6" w:rsidP="006C3FD6">
      <w:pPr>
        <w:pStyle w:val="Prrafodelista"/>
        <w:numPr>
          <w:ilvl w:val="0"/>
          <w:numId w:val="0"/>
        </w:numPr>
      </w:pPr>
    </w:p>
    <w:p w14:paraId="2D42BF32" w14:textId="77777777" w:rsidR="006C3FD6" w:rsidRDefault="006C3FD6" w:rsidP="006C3FD6">
      <w:pPr>
        <w:pStyle w:val="Prrafodelista"/>
        <w:numPr>
          <w:ilvl w:val="0"/>
          <w:numId w:val="0"/>
        </w:numPr>
      </w:pPr>
    </w:p>
    <w:p w14:paraId="3F6B757E" w14:textId="78C3C18E" w:rsidR="006437CB" w:rsidRPr="002E61E9" w:rsidRDefault="006437CB" w:rsidP="00E55450">
      <w:pPr>
        <w:rPr>
          <w:lang w:val="es-ES"/>
        </w:rPr>
      </w:pPr>
    </w:p>
    <w:p w14:paraId="0BE43C8F" w14:textId="42EAC69F" w:rsidR="006437CB" w:rsidRPr="00BF1720" w:rsidRDefault="006437CB" w:rsidP="00D62951">
      <w:pPr>
        <w:pStyle w:val="Ttulo2"/>
        <w:numPr>
          <w:ilvl w:val="0"/>
          <w:numId w:val="23"/>
        </w:numPr>
        <w:ind w:left="567"/>
        <w:rPr>
          <w:rFonts w:ascii="Verdana" w:hAnsi="Verdana"/>
          <w:b/>
          <w:bCs/>
          <w:color w:val="000000" w:themeColor="text1"/>
          <w:sz w:val="20"/>
          <w:szCs w:val="20"/>
          <w:lang w:val="es-ES"/>
        </w:rPr>
      </w:pPr>
      <w:bookmarkStart w:id="194" w:name="_Toc125037513"/>
      <w:r w:rsidRPr="00BF1720">
        <w:rPr>
          <w:rFonts w:ascii="Verdana" w:hAnsi="Verdana"/>
          <w:b/>
          <w:bCs/>
          <w:color w:val="000000" w:themeColor="text1"/>
          <w:sz w:val="20"/>
          <w:szCs w:val="20"/>
          <w:lang w:val="es-ES"/>
        </w:rPr>
        <w:lastRenderedPageBreak/>
        <w:t>Obligación de investigar los hechos, juzgar y, en su caso, sancionar a los responsables y determinar el paradero de la víctima</w:t>
      </w:r>
      <w:bookmarkEnd w:id="194"/>
      <w:r w:rsidRPr="00BF1720">
        <w:rPr>
          <w:rFonts w:ascii="Verdana" w:hAnsi="Verdana"/>
          <w:b/>
          <w:bCs/>
          <w:color w:val="000000" w:themeColor="text1"/>
          <w:sz w:val="20"/>
          <w:szCs w:val="20"/>
          <w:lang w:val="es-ES"/>
        </w:rPr>
        <w:t xml:space="preserve"> </w:t>
      </w:r>
    </w:p>
    <w:p w14:paraId="4DF3F0B9" w14:textId="77777777" w:rsidR="006437CB" w:rsidRPr="006437CB" w:rsidRDefault="006437CB" w:rsidP="006437CB">
      <w:pPr>
        <w:autoSpaceDE w:val="0"/>
        <w:autoSpaceDN w:val="0"/>
        <w:adjustRightInd w:val="0"/>
        <w:jc w:val="both"/>
        <w:rPr>
          <w:rFonts w:ascii="Verdana" w:hAnsi="Verdana"/>
          <w:b/>
          <w:bCs/>
          <w:lang w:val="es-ES"/>
        </w:rPr>
      </w:pPr>
    </w:p>
    <w:p w14:paraId="2266BA95" w14:textId="77777777" w:rsidR="006437CB" w:rsidRPr="006437CB" w:rsidRDefault="006437CB" w:rsidP="00D62951">
      <w:pPr>
        <w:ind w:left="709"/>
        <w:jc w:val="both"/>
        <w:rPr>
          <w:rFonts w:ascii="Verdana" w:hAnsi="Verdana"/>
          <w:b/>
          <w:bCs/>
          <w:lang w:val="es-ES"/>
        </w:rPr>
      </w:pPr>
      <w:bookmarkStart w:id="195" w:name="_Toc100230515"/>
      <w:r w:rsidRPr="006437CB">
        <w:rPr>
          <w:rFonts w:ascii="Verdana" w:hAnsi="Verdana"/>
          <w:b/>
          <w:bCs/>
          <w:lang w:val="es-ES"/>
        </w:rPr>
        <w:t>B.1. Obligación de investigar los hechos, juzgar y, en su caso, sancionar a los responsables</w:t>
      </w:r>
      <w:bookmarkEnd w:id="195"/>
      <w:r w:rsidRPr="006437CB">
        <w:rPr>
          <w:rFonts w:ascii="Verdana" w:hAnsi="Verdana"/>
          <w:b/>
          <w:bCs/>
          <w:lang w:val="es-ES"/>
        </w:rPr>
        <w:t xml:space="preserve"> </w:t>
      </w:r>
    </w:p>
    <w:p w14:paraId="52F1E0AA" w14:textId="77777777" w:rsidR="006437CB" w:rsidRPr="002E61E9" w:rsidRDefault="006437CB" w:rsidP="00E55450">
      <w:pPr>
        <w:rPr>
          <w:lang w:val="es-ES"/>
        </w:rPr>
      </w:pPr>
    </w:p>
    <w:p w14:paraId="0E28D7D5" w14:textId="2A3DB634" w:rsidR="0035430C" w:rsidRPr="00604262" w:rsidRDefault="0035430C" w:rsidP="005E070D">
      <w:pPr>
        <w:pStyle w:val="Prrafodelista"/>
      </w:pPr>
      <w:r w:rsidRPr="006437CB">
        <w:t xml:space="preserve">La </w:t>
      </w:r>
      <w:r w:rsidRPr="006437CB">
        <w:rPr>
          <w:b/>
          <w:i/>
        </w:rPr>
        <w:t>Comisión</w:t>
      </w:r>
      <w:r w:rsidRPr="006437CB">
        <w:t xml:space="preserve"> </w:t>
      </w:r>
      <w:r w:rsidRPr="00604262">
        <w:t xml:space="preserve">solicitó a la Corte que ordene al Estado </w:t>
      </w:r>
      <w:r w:rsidR="00FE444F" w:rsidRPr="00604262">
        <w:t xml:space="preserve">investigar </w:t>
      </w:r>
      <w:r w:rsidRPr="00604262">
        <w:t>las violaciones a los derechos humanos declarados en su Informe de Fondo de manera imparcial</w:t>
      </w:r>
      <w:r w:rsidR="00C52434" w:rsidRPr="00604262">
        <w:t>, efectiva</w:t>
      </w:r>
      <w:r w:rsidRPr="00604262">
        <w:t xml:space="preserve"> y dentro de un plazo razonable, con el fin de esclarecer los hechos de forma completa e identificar a los responsables, y en su caso, imponer las sanciones correspondientes.</w:t>
      </w:r>
    </w:p>
    <w:p w14:paraId="7397E9C1" w14:textId="77777777" w:rsidR="006437CB" w:rsidRPr="00604262" w:rsidRDefault="006437CB" w:rsidP="00E55450">
      <w:pPr>
        <w:rPr>
          <w:lang w:val="es-ES"/>
        </w:rPr>
      </w:pPr>
    </w:p>
    <w:p w14:paraId="6FC2D3FD" w14:textId="461BAE5F" w:rsidR="00D4346C" w:rsidRPr="00604262" w:rsidRDefault="004C3BE7" w:rsidP="005E070D">
      <w:pPr>
        <w:pStyle w:val="Prrafodelista"/>
      </w:pPr>
      <w:r w:rsidRPr="00604262">
        <w:t>El</w:t>
      </w:r>
      <w:r w:rsidR="0035430C" w:rsidRPr="00604262">
        <w:t xml:space="preserve"> </w:t>
      </w:r>
      <w:r w:rsidR="0035430C" w:rsidRPr="00604262">
        <w:rPr>
          <w:b/>
          <w:i/>
        </w:rPr>
        <w:t>representante</w:t>
      </w:r>
      <w:r w:rsidR="0035430C" w:rsidRPr="00604262">
        <w:t xml:space="preserve"> solicit</w:t>
      </w:r>
      <w:r w:rsidRPr="00604262">
        <w:t>ó</w:t>
      </w:r>
      <w:r w:rsidR="0035430C" w:rsidRPr="00604262">
        <w:t xml:space="preserve"> a la Corte que ordene al Estado realizar una investigación completa, seria, imparcial y efectiva, en un plazo razonable sobre la desaparición forzada del señor Flores Bedregal.</w:t>
      </w:r>
      <w:r w:rsidR="0035430C" w:rsidRPr="006437CB">
        <w:t xml:space="preserve"> </w:t>
      </w:r>
      <w:r w:rsidR="0035430C" w:rsidRPr="00E16BF6">
        <w:t>En particular, solicit</w:t>
      </w:r>
      <w:r w:rsidR="009B53B3" w:rsidRPr="00E16BF6">
        <w:t>ó</w:t>
      </w:r>
      <w:r w:rsidR="0035430C" w:rsidRPr="00E16BF6">
        <w:t xml:space="preserve"> </w:t>
      </w:r>
      <w:r w:rsidR="0035430C" w:rsidRPr="00E16BF6">
        <w:rPr>
          <w:rFonts w:eastAsia="Calibri" w:cs="Arial"/>
        </w:rPr>
        <w:t>llevar a cabo auditorías jurídicas con el objeto de esclarecer los hechos de forma completa, identificar a todos los responsables e imponer las sanciones correspondientes. Una</w:t>
      </w:r>
      <w:r w:rsidR="0035430C" w:rsidRPr="00604262">
        <w:rPr>
          <w:rFonts w:eastAsia="Calibri" w:cs="Arial"/>
        </w:rPr>
        <w:t xml:space="preserve"> de estas auditorías sería sobre el proceso penal ordinario “Ministerio Público c</w:t>
      </w:r>
      <w:r w:rsidR="003B3E61">
        <w:rPr>
          <w:rFonts w:eastAsia="Calibri" w:cs="Arial"/>
        </w:rPr>
        <w:t>/</w:t>
      </w:r>
      <w:r w:rsidR="0035430C" w:rsidRPr="00604262">
        <w:rPr>
          <w:rFonts w:eastAsia="Calibri" w:cs="Arial"/>
        </w:rPr>
        <w:t xml:space="preserve"> Franz Pizarro </w:t>
      </w:r>
      <w:r w:rsidR="003B3E61">
        <w:rPr>
          <w:rFonts w:eastAsia="Calibri" w:cs="Arial"/>
        </w:rPr>
        <w:t xml:space="preserve">Solano </w:t>
      </w:r>
      <w:r w:rsidR="0035430C" w:rsidRPr="00604262">
        <w:rPr>
          <w:rFonts w:eastAsia="Calibri" w:cs="Arial"/>
        </w:rPr>
        <w:t>y otros”</w:t>
      </w:r>
      <w:r w:rsidR="0035430C" w:rsidRPr="00604262">
        <w:t xml:space="preserve">. </w:t>
      </w:r>
      <w:r w:rsidR="00B00CCB" w:rsidRPr="00604262">
        <w:t>A</w:t>
      </w:r>
      <w:r w:rsidR="0035430C" w:rsidRPr="00604262">
        <w:t xml:space="preserve">demás, </w:t>
      </w:r>
      <w:r w:rsidR="00B00CCB" w:rsidRPr="00604262">
        <w:t>solic</w:t>
      </w:r>
      <w:r w:rsidR="00710E3B" w:rsidRPr="00604262">
        <w:t>i</w:t>
      </w:r>
      <w:r w:rsidR="00B00CCB" w:rsidRPr="00604262">
        <w:t xml:space="preserve">tó </w:t>
      </w:r>
      <w:r w:rsidR="0035430C" w:rsidRPr="00604262">
        <w:t>remover los obstáculos de hecho y derecho que han contribuido a la impunidad del presente caso, así como dar pleno acceso y capacidad de actuar de las víctimas o sus familiares en todas las etapas de la investigación y juzgamiento de los responsables.</w:t>
      </w:r>
    </w:p>
    <w:p w14:paraId="1108A978" w14:textId="77777777" w:rsidR="006437CB" w:rsidRPr="002E61E9" w:rsidRDefault="006437CB" w:rsidP="00E55450">
      <w:pPr>
        <w:rPr>
          <w:lang w:val="es-ES"/>
        </w:rPr>
      </w:pPr>
    </w:p>
    <w:p w14:paraId="00C0E931" w14:textId="7396E9BE" w:rsidR="00D4346C" w:rsidRPr="006437CB" w:rsidRDefault="0035430C" w:rsidP="005E070D">
      <w:pPr>
        <w:pStyle w:val="Prrafodelista"/>
      </w:pPr>
      <w:r w:rsidRPr="006437CB">
        <w:rPr>
          <w:bCs/>
        </w:rPr>
        <w:t xml:space="preserve">El </w:t>
      </w:r>
      <w:r w:rsidRPr="006437CB">
        <w:rPr>
          <w:b/>
          <w:i/>
          <w:iCs/>
        </w:rPr>
        <w:t>Estado</w:t>
      </w:r>
      <w:r w:rsidRPr="006437CB">
        <w:rPr>
          <w:bCs/>
        </w:rPr>
        <w:t xml:space="preserve"> </w:t>
      </w:r>
      <w:r w:rsidRPr="006437CB">
        <w:t>alegó que el proceso</w:t>
      </w:r>
      <w:r w:rsidR="004C15EA">
        <w:t xml:space="preserve"> penal </w:t>
      </w:r>
      <w:r w:rsidR="004C15EA" w:rsidRPr="006437CB">
        <w:t>N</w:t>
      </w:r>
      <w:r w:rsidR="00383CC9">
        <w:t xml:space="preserve">o. </w:t>
      </w:r>
      <w:r w:rsidR="004C15EA" w:rsidRPr="006437CB">
        <w:t>6441/</w:t>
      </w:r>
      <w:r w:rsidR="005B5815">
        <w:t>0</w:t>
      </w:r>
      <w:r w:rsidR="004C15EA" w:rsidRPr="006437CB">
        <w:t>9</w:t>
      </w:r>
      <w:r w:rsidR="004C15EA">
        <w:t xml:space="preserve"> tiene </w:t>
      </w:r>
      <w:r w:rsidRPr="006437CB">
        <w:t>por objeto establecer la ubicación de los restos del señor Flores Bedregal</w:t>
      </w:r>
      <w:r w:rsidR="004C15EA">
        <w:t>,</w:t>
      </w:r>
      <w:r w:rsidR="00FE444F" w:rsidRPr="006437CB">
        <w:t xml:space="preserve"> </w:t>
      </w:r>
      <w:r w:rsidR="004C15EA" w:rsidRPr="00C11CD1">
        <w:t>en su condición</w:t>
      </w:r>
      <w:r w:rsidR="004C15EA">
        <w:t xml:space="preserve"> de</w:t>
      </w:r>
      <w:r w:rsidRPr="006437CB">
        <w:t xml:space="preserve"> víctima de asesinato</w:t>
      </w:r>
      <w:r w:rsidR="004C15EA">
        <w:t xml:space="preserve"> </w:t>
      </w:r>
      <w:r w:rsidR="004C15EA" w:rsidRPr="00C11CD1">
        <w:t>en la dictadura de Luis García Meza</w:t>
      </w:r>
      <w:r w:rsidRPr="00C11CD1">
        <w:t>,</w:t>
      </w:r>
      <w:r w:rsidRPr="006437CB">
        <w:t xml:space="preserve"> </w:t>
      </w:r>
      <w:r w:rsidR="004C15EA">
        <w:t xml:space="preserve">el cual </w:t>
      </w:r>
      <w:r w:rsidRPr="006437CB">
        <w:t>continúa vigente</w:t>
      </w:r>
      <w:r w:rsidR="00FE444F" w:rsidRPr="006437CB">
        <w:t>.</w:t>
      </w:r>
      <w:r w:rsidRPr="006437CB">
        <w:t xml:space="preserve"> </w:t>
      </w:r>
      <w:r w:rsidRPr="006437CB">
        <w:rPr>
          <w:rFonts w:eastAsia="Calibri" w:cs="Arial"/>
          <w:lang w:eastAsia="es-CR"/>
        </w:rPr>
        <w:t xml:space="preserve"> En relación con la solicitud de auditoría jurídica al proceso </w:t>
      </w:r>
      <w:r w:rsidR="00524317">
        <w:rPr>
          <w:rFonts w:eastAsia="Calibri" w:cs="Arial"/>
          <w:lang w:eastAsia="es-CR"/>
        </w:rPr>
        <w:t>“Ministerio Público c/</w:t>
      </w:r>
      <w:r w:rsidRPr="006437CB">
        <w:rPr>
          <w:rFonts w:eastAsia="Calibri" w:cs="Arial"/>
          <w:lang w:eastAsia="es-CR"/>
        </w:rPr>
        <w:t xml:space="preserve"> Franz Pizarro Solano y otros</w:t>
      </w:r>
      <w:r w:rsidR="00524317">
        <w:rPr>
          <w:rFonts w:eastAsia="Calibri" w:cs="Arial"/>
          <w:lang w:eastAsia="es-CR"/>
        </w:rPr>
        <w:t>”</w:t>
      </w:r>
      <w:r w:rsidRPr="006437CB">
        <w:rPr>
          <w:rFonts w:eastAsia="Calibri" w:cs="Arial"/>
          <w:lang w:eastAsia="es-CR"/>
        </w:rPr>
        <w:t xml:space="preserve">, </w:t>
      </w:r>
      <w:r w:rsidR="00FE444F" w:rsidRPr="006437CB">
        <w:rPr>
          <w:rFonts w:eastAsia="Calibri" w:cs="Arial"/>
          <w:lang w:eastAsia="es-CR"/>
        </w:rPr>
        <w:t>aleg</w:t>
      </w:r>
      <w:r w:rsidR="004C15EA">
        <w:rPr>
          <w:rFonts w:eastAsia="Calibri" w:cs="Arial"/>
          <w:lang w:eastAsia="es-CR"/>
        </w:rPr>
        <w:t>ó</w:t>
      </w:r>
      <w:r w:rsidR="00FE444F" w:rsidRPr="006437CB">
        <w:rPr>
          <w:rFonts w:eastAsia="Calibri" w:cs="Arial"/>
          <w:lang w:eastAsia="es-CR"/>
        </w:rPr>
        <w:t xml:space="preserve"> que </w:t>
      </w:r>
      <w:r w:rsidRPr="006437CB">
        <w:rPr>
          <w:rFonts w:eastAsia="Calibri" w:cs="Arial"/>
          <w:lang w:eastAsia="es-CR"/>
        </w:rPr>
        <w:t xml:space="preserve">dichos procedimientos debieron iniciarse mediante denuncias para constituir los procesos disciplinarios, conforme al Reglamento de Procesos Disciplinarios del Poder Judicial, por lo que debe tomarse en cuenta los plazos establecidos para la prescripción de dicha acción. </w:t>
      </w:r>
    </w:p>
    <w:p w14:paraId="5BC83F3E" w14:textId="77777777" w:rsidR="006437CB" w:rsidRPr="002E61E9" w:rsidRDefault="006437CB" w:rsidP="00E55450">
      <w:pPr>
        <w:rPr>
          <w:lang w:val="es-ES"/>
        </w:rPr>
      </w:pPr>
    </w:p>
    <w:p w14:paraId="36C33313" w14:textId="54AEAD48" w:rsidR="00A81100" w:rsidRDefault="00984BE3" w:rsidP="005E070D">
      <w:pPr>
        <w:pStyle w:val="Prrafodelista"/>
      </w:pPr>
      <w:r w:rsidRPr="006437CB">
        <w:t xml:space="preserve">Según se estableciera </w:t>
      </w:r>
      <w:r w:rsidRPr="006437CB">
        <w:rPr>
          <w:i/>
          <w:iCs/>
        </w:rPr>
        <w:t>supra</w:t>
      </w:r>
      <w:r w:rsidRPr="006437CB">
        <w:t xml:space="preserve">, en el </w:t>
      </w:r>
      <w:r w:rsidR="003B3E61" w:rsidRPr="00C11CD1">
        <w:t>proceso</w:t>
      </w:r>
      <w:r w:rsidR="003B3E61">
        <w:t xml:space="preserve"> “Ministerio Público c/</w:t>
      </w:r>
      <w:r w:rsidR="00A54DD4" w:rsidRPr="006437CB">
        <w:t xml:space="preserve"> </w:t>
      </w:r>
      <w:r w:rsidR="00A81100" w:rsidRPr="006437CB">
        <w:t xml:space="preserve">Franz Pizarro </w:t>
      </w:r>
      <w:r w:rsidR="003B3E61">
        <w:t xml:space="preserve">Solano </w:t>
      </w:r>
      <w:r w:rsidR="00A81100" w:rsidRPr="006437CB">
        <w:t>y otros</w:t>
      </w:r>
      <w:r w:rsidR="003B3E61">
        <w:t>”</w:t>
      </w:r>
      <w:r w:rsidR="00C47E3D">
        <w:t xml:space="preserve"> </w:t>
      </w:r>
      <w:r w:rsidR="000C24E4" w:rsidRPr="006437CB">
        <w:t xml:space="preserve">no </w:t>
      </w:r>
      <w:r w:rsidR="00A81100" w:rsidRPr="006437CB">
        <w:t xml:space="preserve">se siguieron líneas de investigación para </w:t>
      </w:r>
      <w:r w:rsidR="00764A38" w:rsidRPr="006437CB">
        <w:t>esclarecer</w:t>
      </w:r>
      <w:r w:rsidR="00A81100" w:rsidRPr="006437CB">
        <w:t xml:space="preserve"> </w:t>
      </w:r>
      <w:r w:rsidR="00070898" w:rsidRPr="006437CB">
        <w:t>la</w:t>
      </w:r>
      <w:r w:rsidR="00A81100" w:rsidRPr="006437CB">
        <w:t xml:space="preserve"> desaparición forzada</w:t>
      </w:r>
      <w:r w:rsidR="00070898" w:rsidRPr="006437CB">
        <w:t xml:space="preserve"> de Juan Carlos Flores Bedregal</w:t>
      </w:r>
      <w:r w:rsidR="00A81100" w:rsidRPr="006437CB">
        <w:t xml:space="preserve">. </w:t>
      </w:r>
      <w:r w:rsidRPr="006437CB">
        <w:t>La Corte nota, s</w:t>
      </w:r>
      <w:r w:rsidR="00527D67" w:rsidRPr="006437CB">
        <w:t>in embargo</w:t>
      </w:r>
      <w:r w:rsidR="00A81100" w:rsidRPr="006437CB">
        <w:t xml:space="preserve">, </w:t>
      </w:r>
      <w:r w:rsidRPr="006437CB">
        <w:t xml:space="preserve">que </w:t>
      </w:r>
      <w:r w:rsidR="00527D67" w:rsidRPr="006437CB">
        <w:t>a partir del</w:t>
      </w:r>
      <w:r w:rsidR="00A81100" w:rsidRPr="006437CB">
        <w:t xml:space="preserve"> 2009</w:t>
      </w:r>
      <w:r w:rsidR="00527D67" w:rsidRPr="006437CB">
        <w:t xml:space="preserve"> en cumplimiento de la sentencia </w:t>
      </w:r>
      <w:r w:rsidR="00163CE7" w:rsidRPr="006437CB">
        <w:t xml:space="preserve">de </w:t>
      </w:r>
      <w:r w:rsidR="00527D67" w:rsidRPr="006437CB">
        <w:t xml:space="preserve">este Tribunal en el caso </w:t>
      </w:r>
      <w:r w:rsidR="00527D67" w:rsidRPr="006437CB">
        <w:rPr>
          <w:i/>
          <w:iCs/>
        </w:rPr>
        <w:t>Ticona Estrada y otros Vs. Bolivia</w:t>
      </w:r>
      <w:r w:rsidR="00527D67" w:rsidRPr="006437CB">
        <w:t xml:space="preserve"> </w:t>
      </w:r>
      <w:r w:rsidR="00FE444F" w:rsidRPr="006437CB">
        <w:t>sobre</w:t>
      </w:r>
      <w:r w:rsidR="00527D67" w:rsidRPr="006437CB">
        <w:t xml:space="preserve"> desaparición forzada</w:t>
      </w:r>
      <w:r w:rsidR="000F3E1F" w:rsidRPr="006437CB">
        <w:t>,</w:t>
      </w:r>
      <w:r w:rsidR="00527D67" w:rsidRPr="006437CB">
        <w:t xml:space="preserve"> </w:t>
      </w:r>
      <w:r w:rsidR="00A81100" w:rsidRPr="006437CB">
        <w:t xml:space="preserve">se abrió </w:t>
      </w:r>
      <w:r w:rsidR="00527D67" w:rsidRPr="006437CB">
        <w:t xml:space="preserve">un </w:t>
      </w:r>
      <w:r w:rsidR="00A81100" w:rsidRPr="006437CB">
        <w:t xml:space="preserve">proceso penal </w:t>
      </w:r>
      <w:r w:rsidR="00527D67" w:rsidRPr="006437CB">
        <w:t xml:space="preserve">por el </w:t>
      </w:r>
      <w:r w:rsidR="00A81100" w:rsidRPr="006437CB">
        <w:t>Ministerio Público a instancias de las víctimas de la dictadura de Luis García Meza</w:t>
      </w:r>
      <w:r w:rsidR="00CF4B94">
        <w:t xml:space="preserve"> Tejada</w:t>
      </w:r>
      <w:r w:rsidR="00A81100" w:rsidRPr="006437CB">
        <w:t xml:space="preserve"> contra autores (</w:t>
      </w:r>
      <w:r w:rsidRPr="006437CB">
        <w:t>N</w:t>
      </w:r>
      <w:r w:rsidR="00383CC9">
        <w:t>o.</w:t>
      </w:r>
      <w:r w:rsidR="00A81100" w:rsidRPr="006437CB">
        <w:t xml:space="preserve"> 6441/09)</w:t>
      </w:r>
      <w:r w:rsidR="00527D67" w:rsidRPr="006437CB">
        <w:t xml:space="preserve">, el cual se tramita </w:t>
      </w:r>
      <w:r w:rsidR="00A81100" w:rsidRPr="006437CB">
        <w:t xml:space="preserve">ante </w:t>
      </w:r>
      <w:r w:rsidR="00A81100" w:rsidRPr="00E16BF6">
        <w:t xml:space="preserve">el Juzgado Octavo de Instrucción </w:t>
      </w:r>
      <w:r w:rsidR="00D835F5" w:rsidRPr="00E16BF6">
        <w:t>en</w:t>
      </w:r>
      <w:r w:rsidR="00A81100" w:rsidRPr="00E16BF6">
        <w:t xml:space="preserve"> lo Penal Cautelar</w:t>
      </w:r>
      <w:r w:rsidR="00527D67" w:rsidRPr="006437CB">
        <w:t>.</w:t>
      </w:r>
      <w:r w:rsidR="004C15EA">
        <w:t xml:space="preserve"> </w:t>
      </w:r>
      <w:r w:rsidR="00527D67" w:rsidRPr="006437CB">
        <w:t xml:space="preserve">En dicho proceso </w:t>
      </w:r>
      <w:r w:rsidR="00A81100" w:rsidRPr="006437CB">
        <w:t xml:space="preserve">se </w:t>
      </w:r>
      <w:r w:rsidR="00A81100" w:rsidRPr="004C15EA">
        <w:t xml:space="preserve">incluyó </w:t>
      </w:r>
      <w:r w:rsidR="004C15EA" w:rsidRPr="004C15EA">
        <w:t xml:space="preserve">al </w:t>
      </w:r>
      <w:r w:rsidR="00A81100" w:rsidRPr="004C15EA">
        <w:t>señor Juan Carlos Flores</w:t>
      </w:r>
      <w:r w:rsidR="00764E9A" w:rsidRPr="004C15EA">
        <w:t xml:space="preserve"> Bedregal</w:t>
      </w:r>
      <w:r w:rsidR="004C15EA" w:rsidRPr="004C15EA">
        <w:t>,</w:t>
      </w:r>
      <w:r w:rsidR="004C15EA" w:rsidRPr="004C15EA">
        <w:rPr>
          <w:b/>
          <w:bCs/>
        </w:rPr>
        <w:t xml:space="preserve"> </w:t>
      </w:r>
      <w:r w:rsidR="004C15EA" w:rsidRPr="00C11CD1">
        <w:t>sin embargo</w:t>
      </w:r>
      <w:r w:rsidR="00764A38" w:rsidRPr="00C11CD1">
        <w:t>,</w:t>
      </w:r>
      <w:r w:rsidR="00764A38" w:rsidRPr="004C15EA">
        <w:t xml:space="preserve"> este Tribunal </w:t>
      </w:r>
      <w:r w:rsidR="00764E9A" w:rsidRPr="004C15EA">
        <w:t xml:space="preserve">no </w:t>
      </w:r>
      <w:r w:rsidR="00764A38" w:rsidRPr="004C15EA">
        <w:t xml:space="preserve">conoce </w:t>
      </w:r>
      <w:r w:rsidR="00764E9A" w:rsidRPr="004C15EA">
        <w:t xml:space="preserve">su </w:t>
      </w:r>
      <w:r w:rsidR="00764A38" w:rsidRPr="004C15EA">
        <w:t>estado actual (</w:t>
      </w:r>
      <w:r w:rsidR="00764A38" w:rsidRPr="004C15EA">
        <w:rPr>
          <w:i/>
          <w:iCs/>
        </w:rPr>
        <w:t>supra</w:t>
      </w:r>
      <w:r w:rsidR="00764A38" w:rsidRPr="004C15EA">
        <w:t xml:space="preserve"> párr. </w:t>
      </w:r>
      <w:r w:rsidR="00E16BF6">
        <w:t>90</w:t>
      </w:r>
      <w:r w:rsidR="00764A38" w:rsidRPr="004C15EA">
        <w:t>)</w:t>
      </w:r>
      <w:r w:rsidR="00764E9A" w:rsidRPr="004C15EA">
        <w:t>.</w:t>
      </w:r>
    </w:p>
    <w:p w14:paraId="125EE0BA" w14:textId="77777777" w:rsidR="00A07D8E" w:rsidRPr="002E61E9" w:rsidRDefault="00A07D8E" w:rsidP="00E55450">
      <w:pPr>
        <w:rPr>
          <w:lang w:val="es-ES"/>
        </w:rPr>
      </w:pPr>
    </w:p>
    <w:p w14:paraId="6B1159D0" w14:textId="087D154F" w:rsidR="00A252CD" w:rsidRPr="00A07D8E" w:rsidRDefault="00163CE7" w:rsidP="005E070D">
      <w:pPr>
        <w:pStyle w:val="Prrafodelista"/>
      </w:pPr>
      <w:r w:rsidRPr="00A07D8E">
        <w:t xml:space="preserve">Teniendo en cuenta </w:t>
      </w:r>
      <w:r w:rsidR="00151040" w:rsidRPr="00A07D8E">
        <w:t>la apertura de un proceso penal para la investigación de desaparecidos de la dictadura de Luis García Meza</w:t>
      </w:r>
      <w:r w:rsidR="00B21A31">
        <w:t xml:space="preserve"> Tejada</w:t>
      </w:r>
      <w:r w:rsidRPr="00A07D8E">
        <w:t xml:space="preserve"> y la jurisprudencia de </w:t>
      </w:r>
      <w:r w:rsidR="004150EA" w:rsidRPr="00A07D8E">
        <w:t>la Corte</w:t>
      </w:r>
      <w:r w:rsidRPr="008764D4">
        <w:rPr>
          <w:vertAlign w:val="superscript"/>
        </w:rPr>
        <w:footnoteReference w:id="223"/>
      </w:r>
      <w:r w:rsidRPr="00A07D8E">
        <w:t xml:space="preserve">, </w:t>
      </w:r>
      <w:r w:rsidR="00A956B1" w:rsidRPr="00A07D8E">
        <w:t xml:space="preserve">este </w:t>
      </w:r>
      <w:r w:rsidR="0035430C" w:rsidRPr="00A07D8E">
        <w:t xml:space="preserve">Tribunal dispone que el Estado </w:t>
      </w:r>
      <w:r w:rsidR="000F3E1F" w:rsidRPr="00A07D8E">
        <w:t>de</w:t>
      </w:r>
      <w:r w:rsidR="0035430C" w:rsidRPr="00A07D8E">
        <w:t>be continuar</w:t>
      </w:r>
      <w:r w:rsidR="00C156D9" w:rsidRPr="00A07D8E">
        <w:t xml:space="preserve"> o</w:t>
      </w:r>
      <w:r w:rsidR="0035430C" w:rsidRPr="00A07D8E">
        <w:t xml:space="preserve"> impulsar </w:t>
      </w:r>
      <w:r w:rsidR="00871EA6" w:rsidRPr="00A07D8E">
        <w:t xml:space="preserve">y/o </w:t>
      </w:r>
      <w:r w:rsidR="0035430C" w:rsidRPr="00A07D8E">
        <w:t xml:space="preserve">reabrir, dirigir y concluir las investigaciones </w:t>
      </w:r>
      <w:r w:rsidR="00C156D9" w:rsidRPr="00A07D8E">
        <w:t xml:space="preserve">penales </w:t>
      </w:r>
      <w:r w:rsidR="00061384" w:rsidRPr="00A07D8E">
        <w:t>de manera diligente</w:t>
      </w:r>
      <w:r w:rsidR="00F031D0" w:rsidRPr="00A07D8E">
        <w:t xml:space="preserve"> y</w:t>
      </w:r>
      <w:r w:rsidR="00061384" w:rsidRPr="00A07D8E">
        <w:t xml:space="preserve"> efectiva con el objeto de </w:t>
      </w:r>
      <w:r w:rsidR="00061384" w:rsidRPr="00A07D8E">
        <w:rPr>
          <w:rFonts w:eastAsia="MS Mincho" w:cs="Verdana"/>
          <w:snapToGrid w:val="0"/>
          <w:lang w:eastAsia="es-ES" w:bidi="en-US"/>
        </w:rPr>
        <w:t>esclarecer</w:t>
      </w:r>
      <w:r w:rsidR="00061384" w:rsidRPr="00A07D8E">
        <w:t xml:space="preserve"> los hechos en forma completa. </w:t>
      </w:r>
      <w:r w:rsidR="00061384" w:rsidRPr="00A07D8E">
        <w:rPr>
          <w:rFonts w:cs="Arial"/>
        </w:rPr>
        <w:t>A la vista de lo anterior, la Corte dispone que el Estado deberá, en un plazo razonable, promover y continuar las investigaciones que sean necesarias para determinar las circunstancias de lo ocurrido al señor Juan Carlos Flores Bedregal y, en su caso, juzgar y eventualmente sancionar a</w:t>
      </w:r>
      <w:r w:rsidR="000F3E1F" w:rsidRPr="00A07D8E">
        <w:rPr>
          <w:rFonts w:cs="Arial"/>
        </w:rPr>
        <w:t xml:space="preserve"> todas las</w:t>
      </w:r>
      <w:r w:rsidR="00061384" w:rsidRPr="00A07D8E">
        <w:rPr>
          <w:rFonts w:cs="Arial"/>
        </w:rPr>
        <w:t xml:space="preserve"> personas responsables de su desaparición forzada. E</w:t>
      </w:r>
      <w:r w:rsidR="00871EA6" w:rsidRPr="00A07D8E">
        <w:rPr>
          <w:rFonts w:cs="Arial"/>
        </w:rPr>
        <w:t xml:space="preserve">n consideración de la gravedad de los hechos, no podrá aplicar leyes de amnistía ni disposiciones de </w:t>
      </w:r>
      <w:r w:rsidR="00871EA6" w:rsidRPr="00A07D8E">
        <w:t>prescripción</w:t>
      </w:r>
      <w:r w:rsidR="00871EA6" w:rsidRPr="00A07D8E">
        <w:rPr>
          <w:rFonts w:cs="Arial"/>
        </w:rPr>
        <w:t>, ni ampararse en argumentos como el secreto de Estado o la confidencialidad de la información, que en realidad sean pretexto para impedir la investigación</w:t>
      </w:r>
      <w:r w:rsidR="00061384" w:rsidRPr="00A07D8E">
        <w:rPr>
          <w:rFonts w:cs="Arial"/>
        </w:rPr>
        <w:t xml:space="preserve">. </w:t>
      </w:r>
    </w:p>
    <w:p w14:paraId="0DE506D6" w14:textId="77777777" w:rsidR="00A07D8E" w:rsidRPr="002E61E9" w:rsidRDefault="00A07D8E" w:rsidP="00E55450">
      <w:pPr>
        <w:rPr>
          <w:lang w:val="es-ES"/>
        </w:rPr>
      </w:pPr>
    </w:p>
    <w:p w14:paraId="1093DE35" w14:textId="50345285" w:rsidR="00A252CD" w:rsidRDefault="00A252CD" w:rsidP="005E070D">
      <w:pPr>
        <w:pStyle w:val="Prrafodelista"/>
      </w:pPr>
      <w:r w:rsidRPr="00A07D8E">
        <w:t>Conforme a su jurisprudencia constante</w:t>
      </w:r>
      <w:r w:rsidRPr="00BF1720">
        <w:rPr>
          <w:vertAlign w:val="superscript"/>
        </w:rPr>
        <w:footnoteReference w:id="224"/>
      </w:r>
      <w:r w:rsidRPr="00A07D8E">
        <w:t xml:space="preserve">, la Corte considera que el Estado debe asegurar el pleno acceso y capacidad de actuar de las víctimas o sus familiares en todas las etapas de la investigación y el juzgamiento de los responsables, de acuerdo con la ley interna y las normas de la Convención Americana. </w:t>
      </w:r>
      <w:r w:rsidRPr="00A07D8E">
        <w:rPr>
          <w:rFonts w:cs="Arial"/>
        </w:rPr>
        <w:t>Adicionalmente</w:t>
      </w:r>
      <w:r w:rsidRPr="00A07D8E">
        <w:t>, los resultados de los procesos correspondientes deberán ser públicamente divulgados para que la sociedad boliviana conozca los hechos objeto del presente caso, así como a sus responsables</w:t>
      </w:r>
      <w:r w:rsidRPr="00BF1720">
        <w:rPr>
          <w:vertAlign w:val="superscript"/>
        </w:rPr>
        <w:footnoteReference w:id="225"/>
      </w:r>
      <w:r w:rsidRPr="00A07D8E">
        <w:t>.</w:t>
      </w:r>
    </w:p>
    <w:p w14:paraId="478B0B63" w14:textId="77777777" w:rsidR="00A07D8E" w:rsidRPr="002E61E9" w:rsidRDefault="00A07D8E" w:rsidP="00E55450">
      <w:pPr>
        <w:rPr>
          <w:lang w:val="es-ES"/>
        </w:rPr>
      </w:pPr>
    </w:p>
    <w:p w14:paraId="05AEA485" w14:textId="77777777" w:rsidR="00A07D8E" w:rsidRPr="00A07D8E" w:rsidRDefault="00A07D8E" w:rsidP="00A74508">
      <w:pPr>
        <w:ind w:left="708"/>
        <w:jc w:val="both"/>
        <w:rPr>
          <w:rFonts w:ascii="Verdana" w:hAnsi="Verdana"/>
          <w:b/>
          <w:bCs/>
          <w:lang w:val="es-ES"/>
        </w:rPr>
      </w:pPr>
      <w:bookmarkStart w:id="196" w:name="_Toc100230516"/>
      <w:r w:rsidRPr="00A07D8E">
        <w:rPr>
          <w:rFonts w:ascii="Verdana" w:hAnsi="Verdana"/>
          <w:b/>
          <w:bCs/>
          <w:lang w:val="es-ES"/>
        </w:rPr>
        <w:t>B.2. Determinación del paradero e identificación y entrega de los restos de la víctima desaparecida</w:t>
      </w:r>
      <w:bookmarkEnd w:id="196"/>
      <w:r w:rsidRPr="00A07D8E">
        <w:rPr>
          <w:rFonts w:ascii="Verdana" w:hAnsi="Verdana"/>
          <w:b/>
          <w:bCs/>
          <w:lang w:val="es-ES"/>
        </w:rPr>
        <w:t xml:space="preserve">  </w:t>
      </w:r>
    </w:p>
    <w:p w14:paraId="6BA24B67" w14:textId="77777777" w:rsidR="00A07D8E" w:rsidRPr="007712BE" w:rsidRDefault="00A07D8E" w:rsidP="007712BE">
      <w:pPr>
        <w:rPr>
          <w:rFonts w:ascii="Verdana" w:hAnsi="Verdana"/>
          <w:lang w:val="es-ES"/>
        </w:rPr>
      </w:pPr>
    </w:p>
    <w:p w14:paraId="319DB9FF" w14:textId="39798142" w:rsidR="0035430C" w:rsidRPr="00604262" w:rsidRDefault="0035430C" w:rsidP="005E070D">
      <w:pPr>
        <w:pStyle w:val="Prrafodelista"/>
      </w:pPr>
      <w:r w:rsidRPr="00604262">
        <w:t xml:space="preserve">La </w:t>
      </w:r>
      <w:r w:rsidRPr="00604262">
        <w:rPr>
          <w:b/>
          <w:i/>
        </w:rPr>
        <w:t>Comisión</w:t>
      </w:r>
      <w:r w:rsidRPr="00604262">
        <w:t xml:space="preserve"> solicitó a la Corte que ordene al Estado llevar a cabo una investigación completa, imparcial y efectiva del paradero de la presunta víctima, y de ser el caso, adoptar las medidas necesarias para identificar y entregar los restos mortales a sus familiares.</w:t>
      </w:r>
    </w:p>
    <w:p w14:paraId="0B82C4DC" w14:textId="77777777" w:rsidR="00A07D8E" w:rsidRPr="00604262" w:rsidRDefault="00A07D8E" w:rsidP="00E55450">
      <w:pPr>
        <w:rPr>
          <w:lang w:val="es-ES"/>
        </w:rPr>
      </w:pPr>
    </w:p>
    <w:p w14:paraId="105D2E65" w14:textId="75B81AD8" w:rsidR="00A07D8E" w:rsidRPr="00604262" w:rsidRDefault="004C3BE7" w:rsidP="005E070D">
      <w:pPr>
        <w:pStyle w:val="Prrafodelista"/>
      </w:pPr>
      <w:r w:rsidRPr="00604262">
        <w:t>El</w:t>
      </w:r>
      <w:r w:rsidR="0035430C" w:rsidRPr="00604262">
        <w:t xml:space="preserve"> </w:t>
      </w:r>
      <w:r w:rsidR="0035430C" w:rsidRPr="00604262">
        <w:rPr>
          <w:b/>
          <w:i/>
        </w:rPr>
        <w:t>representante</w:t>
      </w:r>
      <w:r w:rsidRPr="00604262">
        <w:rPr>
          <w:b/>
          <w:i/>
        </w:rPr>
        <w:t xml:space="preserve"> </w:t>
      </w:r>
      <w:r w:rsidR="0035430C" w:rsidRPr="00604262">
        <w:t>igualmente solicit</w:t>
      </w:r>
      <w:r w:rsidRPr="00604262">
        <w:t>ó</w:t>
      </w:r>
      <w:r w:rsidR="0035430C" w:rsidRPr="00604262">
        <w:t xml:space="preserve"> que se </w:t>
      </w:r>
      <w:r w:rsidR="00F031D0" w:rsidRPr="00604262">
        <w:t>establezca</w:t>
      </w:r>
      <w:r w:rsidR="0035430C" w:rsidRPr="00604262">
        <w:t xml:space="preserve"> de manera completa, imparcial, efectiva y en un plazo razonable el paradero del señor Flores Bedregal, y en caso de ser necesario, </w:t>
      </w:r>
      <w:r w:rsidR="00F031D0" w:rsidRPr="00604262">
        <w:t xml:space="preserve">se </w:t>
      </w:r>
      <w:r w:rsidR="0035430C" w:rsidRPr="00604262">
        <w:t>adopt</w:t>
      </w:r>
      <w:r w:rsidR="00F031D0" w:rsidRPr="00604262">
        <w:t>en</w:t>
      </w:r>
      <w:r w:rsidR="0035430C" w:rsidRPr="00604262">
        <w:t xml:space="preserve"> las medidas necesarias para identificar y entregar a sus familiares </w:t>
      </w:r>
      <w:r w:rsidR="00766A68" w:rsidRPr="00604262">
        <w:t>sus</w:t>
      </w:r>
      <w:r w:rsidR="0035430C" w:rsidRPr="00604262">
        <w:t xml:space="preserve"> restos </w:t>
      </w:r>
      <w:r w:rsidR="0035430C" w:rsidRPr="00C11CD1">
        <w:t>mortales</w:t>
      </w:r>
      <w:r w:rsidR="00781347" w:rsidRPr="00C11CD1">
        <w:t xml:space="preserve"> y que los costos deben ser asumidos por el Estado</w:t>
      </w:r>
      <w:r w:rsidR="00766A68" w:rsidRPr="00604262">
        <w:rPr>
          <w:bCs/>
        </w:rPr>
        <w:t xml:space="preserve">. Solicitó </w:t>
      </w:r>
      <w:r w:rsidR="0035430C" w:rsidRPr="00604262">
        <w:rPr>
          <w:bCs/>
        </w:rPr>
        <w:t>la participación de</w:t>
      </w:r>
      <w:r w:rsidR="00766A68" w:rsidRPr="00604262">
        <w:rPr>
          <w:bCs/>
        </w:rPr>
        <w:t xml:space="preserve"> las</w:t>
      </w:r>
      <w:r w:rsidR="0035430C" w:rsidRPr="00604262">
        <w:rPr>
          <w:bCs/>
        </w:rPr>
        <w:t xml:space="preserve"> hermanas </w:t>
      </w:r>
      <w:r w:rsidR="00766A68" w:rsidRPr="00604262">
        <w:rPr>
          <w:bCs/>
        </w:rPr>
        <w:t xml:space="preserve">Flores Bedregal </w:t>
      </w:r>
      <w:r w:rsidR="0035430C" w:rsidRPr="00604262">
        <w:rPr>
          <w:bCs/>
        </w:rPr>
        <w:t>y</w:t>
      </w:r>
      <w:r w:rsidR="00766A68" w:rsidRPr="00604262">
        <w:rPr>
          <w:bCs/>
        </w:rPr>
        <w:t xml:space="preserve"> </w:t>
      </w:r>
      <w:r w:rsidR="0035430C" w:rsidRPr="00604262">
        <w:rPr>
          <w:bCs/>
        </w:rPr>
        <w:t>la cooperación de otros Estados y organizaciones internacionales con experiencia en la búsqueda de personas desaparecidas</w:t>
      </w:r>
      <w:r w:rsidR="0035430C" w:rsidRPr="00604262">
        <w:t xml:space="preserve">. </w:t>
      </w:r>
    </w:p>
    <w:p w14:paraId="44B6D1F8" w14:textId="77777777" w:rsidR="0058653E" w:rsidRPr="00604262" w:rsidRDefault="0058653E" w:rsidP="00E55450">
      <w:pPr>
        <w:rPr>
          <w:lang w:val="es-ES"/>
        </w:rPr>
      </w:pPr>
    </w:p>
    <w:p w14:paraId="3468741C" w14:textId="4E1E2054" w:rsidR="00A07D8E" w:rsidRPr="00604262" w:rsidRDefault="0035430C" w:rsidP="005E070D">
      <w:pPr>
        <w:pStyle w:val="Prrafodelista"/>
      </w:pPr>
      <w:r w:rsidRPr="00604262">
        <w:t xml:space="preserve">El </w:t>
      </w:r>
      <w:r w:rsidRPr="00604262">
        <w:rPr>
          <w:b/>
          <w:i/>
          <w:iCs/>
        </w:rPr>
        <w:t>Estado</w:t>
      </w:r>
      <w:r w:rsidRPr="00604262">
        <w:t xml:space="preserve"> </w:t>
      </w:r>
      <w:r w:rsidR="000F3E1F" w:rsidRPr="00604262">
        <w:t xml:space="preserve">hizo referencia a la </w:t>
      </w:r>
      <w:r w:rsidRPr="00604262">
        <w:t>la</w:t>
      </w:r>
      <w:r w:rsidR="000F3E1F" w:rsidRPr="00604262">
        <w:t>bor de la</w:t>
      </w:r>
      <w:r w:rsidRPr="00604262">
        <w:t xml:space="preserve"> Comisión de la Verdad</w:t>
      </w:r>
      <w:r w:rsidR="000F3E1F" w:rsidRPr="00604262">
        <w:t xml:space="preserve"> como</w:t>
      </w:r>
      <w:r w:rsidRPr="00604262">
        <w:t xml:space="preserve"> instancia extrajudicial </w:t>
      </w:r>
      <w:r w:rsidR="006B29C8" w:rsidRPr="00604262">
        <w:t>para</w:t>
      </w:r>
      <w:r w:rsidRPr="00604262">
        <w:t xml:space="preserve"> la ubicación de personas desaparecidas</w:t>
      </w:r>
      <w:r w:rsidR="00766A68" w:rsidRPr="00604262">
        <w:t>.</w:t>
      </w:r>
      <w:r w:rsidRPr="00604262">
        <w:t xml:space="preserve"> </w:t>
      </w:r>
      <w:r w:rsidR="001F6C8E" w:rsidRPr="00604262">
        <w:t>Al respecto</w:t>
      </w:r>
      <w:r w:rsidR="00191754" w:rsidRPr="00604262">
        <w:t>,</w:t>
      </w:r>
      <w:r w:rsidR="001F6C8E" w:rsidRPr="00604262">
        <w:t xml:space="preserve"> </w:t>
      </w:r>
      <w:r w:rsidR="001F6C8E" w:rsidRPr="00E14287">
        <w:t>el Estado también sostuvo que el 23 de diciembre de 2016</w:t>
      </w:r>
      <w:r w:rsidR="00BF1720" w:rsidRPr="00E14287">
        <w:rPr>
          <w:lang w:val="es-ES_tradnl"/>
        </w:rPr>
        <w:t xml:space="preserve"> </w:t>
      </w:r>
      <w:r w:rsidR="001F6C8E" w:rsidRPr="00E14287">
        <w:t xml:space="preserve">se creó </w:t>
      </w:r>
      <w:r w:rsidR="00BF1720" w:rsidRPr="00E14287">
        <w:rPr>
          <w:lang w:val="es-ES_tradnl"/>
        </w:rPr>
        <w:t>por ley una</w:t>
      </w:r>
      <w:r w:rsidR="001F6C8E" w:rsidRPr="00E14287">
        <w:t xml:space="preserve"> Comisión de la Verdad</w:t>
      </w:r>
      <w:r w:rsidR="00D63F38">
        <w:t xml:space="preserve"> </w:t>
      </w:r>
      <w:r w:rsidR="00BF1720" w:rsidRPr="00604262">
        <w:rPr>
          <w:lang w:val="es-ES_tradnl"/>
        </w:rPr>
        <w:t xml:space="preserve">como </w:t>
      </w:r>
      <w:r w:rsidR="00BF1720" w:rsidRPr="00604262">
        <w:t xml:space="preserve">instancia extrajudicial </w:t>
      </w:r>
      <w:r w:rsidR="00886E17" w:rsidRPr="00604262">
        <w:rPr>
          <w:lang w:val="es-ES_tradnl"/>
        </w:rPr>
        <w:t xml:space="preserve">con </w:t>
      </w:r>
      <w:r w:rsidR="00886E17" w:rsidRPr="00604262">
        <w:t xml:space="preserve">acceso a archivos militares y de la administración pública </w:t>
      </w:r>
      <w:r w:rsidR="00BF1720" w:rsidRPr="00604262">
        <w:t>para esc</w:t>
      </w:r>
      <w:r w:rsidR="00B62695" w:rsidRPr="00604262">
        <w:t>lare</w:t>
      </w:r>
      <w:r w:rsidR="00BF1720" w:rsidRPr="00604262">
        <w:t xml:space="preserve">cer </w:t>
      </w:r>
      <w:r w:rsidR="00BF1720" w:rsidRPr="00C11CD1">
        <w:t>l</w:t>
      </w:r>
      <w:r w:rsidR="00B62695" w:rsidRPr="00C11CD1">
        <w:t>os asesinatos,</w:t>
      </w:r>
      <w:r w:rsidR="00BF1720" w:rsidRPr="00C11CD1">
        <w:t xml:space="preserve"> </w:t>
      </w:r>
      <w:r w:rsidR="00B62695" w:rsidRPr="00C11CD1">
        <w:t xml:space="preserve">desapariciones forzadas, torturas, detenciones arbitrarias y violencia sexual, fundados en motivos políticos e ideológicos, acontecidos en Bolivia del 4 de noviembre de 1961 al 10 de octubre de 1982. Según el Estado, la </w:t>
      </w:r>
      <w:r w:rsidR="00BF1720" w:rsidRPr="00C11CD1">
        <w:rPr>
          <w:lang w:val="es-ES_tradnl"/>
        </w:rPr>
        <w:t>Comisión de la Verdad</w:t>
      </w:r>
      <w:r w:rsidR="001F6C8E" w:rsidRPr="00C11CD1">
        <w:t xml:space="preserve"> </w:t>
      </w:r>
      <w:r w:rsidR="00B62695" w:rsidRPr="00C11CD1">
        <w:t>cumplió sus funciones desde el 21 de agosto de 2017 al 20 de diciembre</w:t>
      </w:r>
      <w:r w:rsidR="001F6C8E" w:rsidRPr="00C11CD1">
        <w:t xml:space="preserve"> </w:t>
      </w:r>
      <w:r w:rsidR="00B62695" w:rsidRPr="00C11CD1">
        <w:t>de</w:t>
      </w:r>
      <w:r w:rsidR="001F6C8E" w:rsidRPr="00604262">
        <w:rPr>
          <w:b/>
          <w:bCs/>
        </w:rPr>
        <w:t xml:space="preserve"> </w:t>
      </w:r>
      <w:r w:rsidR="001F6C8E" w:rsidRPr="00604262">
        <w:t>2019</w:t>
      </w:r>
      <w:r w:rsidR="00BF1720" w:rsidRPr="00604262">
        <w:rPr>
          <w:lang w:val="es-ES_tradnl"/>
        </w:rPr>
        <w:t xml:space="preserve"> y su </w:t>
      </w:r>
      <w:r w:rsidR="001F6C8E" w:rsidRPr="00604262">
        <w:t xml:space="preserve">informe final </w:t>
      </w:r>
      <w:r w:rsidR="00BF1720" w:rsidRPr="00604262">
        <w:rPr>
          <w:lang w:val="es-ES_tradnl"/>
        </w:rPr>
        <w:t xml:space="preserve">fue presentado </w:t>
      </w:r>
      <w:r w:rsidR="001F6C8E" w:rsidRPr="00604262">
        <w:t>el 3 de marzo de 2020 a la Defensoría del Pueblo y el 22 de marzo de 2021 ante el Presidente Constitucional del Estado</w:t>
      </w:r>
      <w:r w:rsidR="00B62695" w:rsidRPr="00604262">
        <w:t xml:space="preserve">, </w:t>
      </w:r>
      <w:r w:rsidR="00B62695" w:rsidRPr="00C11CD1">
        <w:t>además fue remitido</w:t>
      </w:r>
      <w:r w:rsidR="00BF1720" w:rsidRPr="00604262">
        <w:rPr>
          <w:lang w:val="es-ES_tradnl"/>
        </w:rPr>
        <w:t xml:space="preserve"> a </w:t>
      </w:r>
      <w:r w:rsidR="001F6C8E" w:rsidRPr="00604262">
        <w:t>la Fiscalía y a la Procuraduría General</w:t>
      </w:r>
      <w:r w:rsidR="00DA486A" w:rsidRPr="00604262">
        <w:t xml:space="preserve"> del Estado</w:t>
      </w:r>
      <w:r w:rsidR="001F6C8E" w:rsidRPr="00604262">
        <w:t>.</w:t>
      </w:r>
      <w:r w:rsidR="00DA486A" w:rsidRPr="00604262">
        <w:t xml:space="preserve"> A</w:t>
      </w:r>
      <w:r w:rsidR="00524317">
        <w:t>simismo</w:t>
      </w:r>
      <w:r w:rsidR="00DA486A" w:rsidRPr="00604262">
        <w:t xml:space="preserve">, </w:t>
      </w:r>
      <w:r w:rsidR="001F6C8E" w:rsidRPr="00604262">
        <w:t>el Estado</w:t>
      </w:r>
      <w:r w:rsidR="00BF1720" w:rsidRPr="00604262">
        <w:rPr>
          <w:lang w:val="es-ES_tradnl"/>
        </w:rPr>
        <w:t xml:space="preserve"> </w:t>
      </w:r>
      <w:r w:rsidR="00DA486A" w:rsidRPr="00604262">
        <w:rPr>
          <w:lang w:val="es-ES_tradnl"/>
        </w:rPr>
        <w:t xml:space="preserve">señaló que </w:t>
      </w:r>
      <w:r w:rsidR="00BF1720" w:rsidRPr="00604262">
        <w:rPr>
          <w:lang w:val="es-ES_tradnl"/>
        </w:rPr>
        <w:t>dicho informe</w:t>
      </w:r>
      <w:r w:rsidR="001F6C8E" w:rsidRPr="00604262">
        <w:t xml:space="preserve"> consta de</w:t>
      </w:r>
      <w:r w:rsidR="00BF1720" w:rsidRPr="00604262">
        <w:rPr>
          <w:lang w:val="es-ES_tradnl"/>
        </w:rPr>
        <w:t xml:space="preserve"> once </w:t>
      </w:r>
      <w:r w:rsidR="001F6C8E" w:rsidRPr="00604262">
        <w:t xml:space="preserve">tomos físicos </w:t>
      </w:r>
      <w:r w:rsidR="001F6C8E" w:rsidRPr="00C11CD1">
        <w:t>y</w:t>
      </w:r>
      <w:r w:rsidR="00DA486A" w:rsidRPr="00C11CD1">
        <w:t xml:space="preserve"> mil sesenta y cuatro cajas de información, el cual</w:t>
      </w:r>
      <w:r w:rsidR="001F6C8E" w:rsidRPr="00604262">
        <w:t xml:space="preserve"> a la fecha sólo se encuentran disponible en la Biblioteca de la Asamblea Legislativa Plurinac</w:t>
      </w:r>
      <w:r w:rsidR="001F6C8E" w:rsidRPr="00B00C4E">
        <w:t>ional</w:t>
      </w:r>
      <w:r w:rsidR="00604262" w:rsidRPr="00B00C4E">
        <w:rPr>
          <w:vertAlign w:val="superscript"/>
        </w:rPr>
        <w:footnoteReference w:id="226"/>
      </w:r>
      <w:r w:rsidR="001F6C8E" w:rsidRPr="00B00C4E">
        <w:t>.</w:t>
      </w:r>
      <w:r w:rsidR="001F6C8E" w:rsidRPr="00604262">
        <w:t xml:space="preserve"> </w:t>
      </w:r>
    </w:p>
    <w:p w14:paraId="39C6998C" w14:textId="77777777" w:rsidR="0091148D" w:rsidRPr="001110B5" w:rsidRDefault="0091148D" w:rsidP="001110B5">
      <w:pPr>
        <w:rPr>
          <w:lang w:val="es-ES"/>
        </w:rPr>
      </w:pPr>
    </w:p>
    <w:p w14:paraId="299BD62E" w14:textId="3EE316AC" w:rsidR="0035430C" w:rsidRDefault="002C59E5" w:rsidP="005E070D">
      <w:pPr>
        <w:pStyle w:val="Prrafodelista"/>
      </w:pPr>
      <w:r w:rsidRPr="00A93879">
        <w:rPr>
          <w:bCs/>
        </w:rPr>
        <w:t>Como ya se indicara (</w:t>
      </w:r>
      <w:r w:rsidRPr="00A93879">
        <w:rPr>
          <w:i/>
          <w:iCs/>
        </w:rPr>
        <w:t xml:space="preserve">supra </w:t>
      </w:r>
      <w:r w:rsidR="00451777" w:rsidRPr="00A93879">
        <w:t>párr.</w:t>
      </w:r>
      <w:r w:rsidR="00451777" w:rsidRPr="00A93879">
        <w:rPr>
          <w:i/>
          <w:iCs/>
        </w:rPr>
        <w:t xml:space="preserve"> </w:t>
      </w:r>
      <w:r w:rsidR="00E75414" w:rsidRPr="00A93879">
        <w:t>6</w:t>
      </w:r>
      <w:r w:rsidR="003B3E61" w:rsidRPr="00A93879">
        <w:t>8</w:t>
      </w:r>
      <w:r w:rsidRPr="00A93879">
        <w:t xml:space="preserve">) se </w:t>
      </w:r>
      <w:r w:rsidR="00BA47F0" w:rsidRPr="00A93879">
        <w:rPr>
          <w:bCs/>
        </w:rPr>
        <w:t>realizaron</w:t>
      </w:r>
      <w:r w:rsidR="00BA47F0" w:rsidRPr="00A07D8E">
        <w:rPr>
          <w:bCs/>
        </w:rPr>
        <w:t xml:space="preserve"> exhumaciones </w:t>
      </w:r>
      <w:r w:rsidRPr="00A07D8E">
        <w:rPr>
          <w:bCs/>
        </w:rPr>
        <w:t xml:space="preserve">de restos en los años 1983 </w:t>
      </w:r>
      <w:r w:rsidR="00BA47F0" w:rsidRPr="00A07D8E">
        <w:rPr>
          <w:bCs/>
        </w:rPr>
        <w:t>y</w:t>
      </w:r>
      <w:r w:rsidR="004D69A0" w:rsidRPr="00A07D8E">
        <w:t xml:space="preserve"> 1992</w:t>
      </w:r>
      <w:r w:rsidRPr="00A07D8E">
        <w:t xml:space="preserve"> y</w:t>
      </w:r>
      <w:r w:rsidR="004D69A0" w:rsidRPr="00A07D8E">
        <w:t xml:space="preserve"> en todos los casos se determinó que no pertenecían a</w:t>
      </w:r>
      <w:r w:rsidR="00766A68" w:rsidRPr="00A07D8E">
        <w:t>l señor Flores Bedregal</w:t>
      </w:r>
      <w:r w:rsidR="004D69A0" w:rsidRPr="00A07D8E">
        <w:t>.</w:t>
      </w:r>
      <w:r w:rsidR="00DD5BC3" w:rsidRPr="00A07D8E">
        <w:t xml:space="preserve"> </w:t>
      </w:r>
      <w:r w:rsidRPr="00A07D8E">
        <w:t>Adicionalmente</w:t>
      </w:r>
      <w:r w:rsidR="007D10F4" w:rsidRPr="00A07D8E">
        <w:t>,</w:t>
      </w:r>
      <w:r w:rsidRPr="00A07D8E">
        <w:t xml:space="preserve"> </w:t>
      </w:r>
      <w:r w:rsidR="007D10F4" w:rsidRPr="00A07D8E">
        <w:t>e</w:t>
      </w:r>
      <w:r w:rsidR="00DD5BC3" w:rsidRPr="00A07D8E">
        <w:t xml:space="preserve">n diciembre de 2021 se </w:t>
      </w:r>
      <w:r w:rsidR="00A55F1B" w:rsidRPr="00A07D8E">
        <w:t>realizaron</w:t>
      </w:r>
      <w:r w:rsidR="00764E9A" w:rsidRPr="00A07D8E">
        <w:t xml:space="preserve"> una declaración informática complementaria y</w:t>
      </w:r>
      <w:r w:rsidR="00A55F1B" w:rsidRPr="00A07D8E">
        <w:t xml:space="preserve"> dos inspecciones técnicas oculares en la Terminal Provincial de la Ciudad de El Alto y </w:t>
      </w:r>
      <w:r w:rsidR="004F23BA">
        <w:t xml:space="preserve">en el </w:t>
      </w:r>
      <w:r w:rsidR="00A55F1B" w:rsidRPr="00A07D8E">
        <w:t>Cementerio General de la Paz</w:t>
      </w:r>
      <w:r w:rsidR="00F048DB">
        <w:t>,</w:t>
      </w:r>
      <w:r w:rsidR="00A55F1B" w:rsidRPr="00A07D8E">
        <w:t xml:space="preserve"> respectivamente, como posibles sitios de entierro de personas víctimas de la dictadura militar, sin embargo, no arrojaron información concreta sobre la posible ubicación de los restos del señor Flores Bedregal.</w:t>
      </w:r>
      <w:r w:rsidR="00DD5BC3" w:rsidRPr="00A07D8E">
        <w:t xml:space="preserve"> </w:t>
      </w:r>
    </w:p>
    <w:p w14:paraId="7C9076C5" w14:textId="77777777" w:rsidR="00A07D8E" w:rsidRPr="002E61E9" w:rsidRDefault="00A07D8E" w:rsidP="00E55450">
      <w:pPr>
        <w:rPr>
          <w:lang w:val="es-ES"/>
        </w:rPr>
      </w:pPr>
    </w:p>
    <w:p w14:paraId="563C5728" w14:textId="77777777" w:rsidR="00A07D8E" w:rsidRPr="00A07D8E" w:rsidRDefault="0035430C" w:rsidP="005E070D">
      <w:pPr>
        <w:pStyle w:val="Prrafodelista"/>
      </w:pPr>
      <w:r w:rsidRPr="00A07D8E">
        <w:t xml:space="preserve">Este Tribunal resalta que la víctima desapareció hace </w:t>
      </w:r>
      <w:r w:rsidR="00CE4C4E" w:rsidRPr="00A07D8E">
        <w:t xml:space="preserve">42 </w:t>
      </w:r>
      <w:r w:rsidRPr="00A07D8E">
        <w:t xml:space="preserve">años, por lo cual es una expectativa justa de sus familiares que se </w:t>
      </w:r>
      <w:r w:rsidR="004E3BF5" w:rsidRPr="00A07D8E">
        <w:t>establezca su paradero o se i</w:t>
      </w:r>
      <w:r w:rsidRPr="00A07D8E">
        <w:t>dentifique</w:t>
      </w:r>
      <w:r w:rsidR="004E3BF5" w:rsidRPr="00A07D8E">
        <w:t>n sus restos.</w:t>
      </w:r>
      <w:r w:rsidRPr="00A07D8E">
        <w:t xml:space="preserve"> </w:t>
      </w:r>
      <w:r w:rsidR="004E3BF5" w:rsidRPr="00A07D8E">
        <w:t>Se trata de una</w:t>
      </w:r>
      <w:r w:rsidRPr="00A07D8E">
        <w:t xml:space="preserve"> </w:t>
      </w:r>
      <w:r w:rsidRPr="00A07D8E">
        <w:lastRenderedPageBreak/>
        <w:t xml:space="preserve">medida de reparación </w:t>
      </w:r>
      <w:r w:rsidR="004E3BF5" w:rsidRPr="00A07D8E">
        <w:t>necesaria que</w:t>
      </w:r>
      <w:r w:rsidRPr="00A07D8E">
        <w:t xml:space="preserve"> genera el deber correlativo para el Estado de satisfacerla</w:t>
      </w:r>
      <w:r w:rsidRPr="007712BE">
        <w:rPr>
          <w:vertAlign w:val="superscript"/>
        </w:rPr>
        <w:footnoteReference w:id="227"/>
      </w:r>
      <w:r w:rsidRPr="00A07D8E">
        <w:t xml:space="preserve">. A su vez, esto permite a los familiares aliviar la angustia y sufrimiento causados </w:t>
      </w:r>
      <w:r w:rsidR="004E3BF5" w:rsidRPr="00A07D8E">
        <w:t>por la</w:t>
      </w:r>
      <w:r w:rsidRPr="00A07D8E">
        <w:t xml:space="preserve"> incertidumbre</w:t>
      </w:r>
      <w:r w:rsidR="004E3BF5" w:rsidRPr="00A07D8E">
        <w:t xml:space="preserve"> de la desaparición</w:t>
      </w:r>
      <w:r w:rsidRPr="007712BE">
        <w:rPr>
          <w:vertAlign w:val="superscript"/>
        </w:rPr>
        <w:footnoteReference w:id="228"/>
      </w:r>
      <w:r w:rsidRPr="00A07D8E">
        <w:t>.</w:t>
      </w:r>
    </w:p>
    <w:p w14:paraId="4D0E599C" w14:textId="77777777" w:rsidR="00A07D8E" w:rsidRPr="002E61E9" w:rsidRDefault="00A07D8E" w:rsidP="00E55450">
      <w:pPr>
        <w:rPr>
          <w:lang w:val="es-ES"/>
        </w:rPr>
      </w:pPr>
    </w:p>
    <w:p w14:paraId="3C9831BD" w14:textId="279AFF1A" w:rsidR="0035430C" w:rsidRPr="00A07D8E" w:rsidRDefault="0035430C" w:rsidP="005E070D">
      <w:pPr>
        <w:pStyle w:val="Prrafodelista"/>
      </w:pPr>
      <w:r w:rsidRPr="00A07D8E">
        <w:rPr>
          <w:color w:val="000000" w:themeColor="text1"/>
        </w:rPr>
        <w:t xml:space="preserve"> </w:t>
      </w:r>
      <w:r w:rsidRPr="00A07D8E">
        <w:t>Rec</w:t>
      </w:r>
      <w:r w:rsidR="00203E2E" w:rsidRPr="00A07D8E">
        <w:t>uperar los restos</w:t>
      </w:r>
      <w:r w:rsidRPr="00A07D8E">
        <w:t xml:space="preserve"> de una persona desaparecida es de suma importancia para sus familiares ya que les permite sepultarlo de acuerdo </w:t>
      </w:r>
      <w:r w:rsidR="00710E3B" w:rsidRPr="00A07D8E">
        <w:t>con</w:t>
      </w:r>
      <w:r w:rsidRPr="00A07D8E">
        <w:t xml:space="preserve"> sus creencias, así como cerrar el proceso de duelo que han vivi</w:t>
      </w:r>
      <w:r w:rsidR="004E3BF5" w:rsidRPr="00A07D8E">
        <w:t>do</w:t>
      </w:r>
      <w:r w:rsidRPr="00A07D8E">
        <w:t xml:space="preserve"> a lo largo de </w:t>
      </w:r>
      <w:r w:rsidR="004E3BF5" w:rsidRPr="00A07D8E">
        <w:t xml:space="preserve">los </w:t>
      </w:r>
      <w:r w:rsidR="004E3BF5" w:rsidRPr="007712BE">
        <w:t>años</w:t>
      </w:r>
      <w:r w:rsidRPr="007712BE">
        <w:rPr>
          <w:vertAlign w:val="superscript"/>
        </w:rPr>
        <w:footnoteReference w:id="229"/>
      </w:r>
      <w:r w:rsidRPr="007712BE">
        <w:t xml:space="preserve">. Adicionalmente, </w:t>
      </w:r>
      <w:r w:rsidR="002F1FEC" w:rsidRPr="007712BE">
        <w:t>l</w:t>
      </w:r>
      <w:r w:rsidRPr="007712BE">
        <w:t xml:space="preserve">a Corte considera que </w:t>
      </w:r>
      <w:r w:rsidR="008529A7" w:rsidRPr="007712BE">
        <w:t xml:space="preserve">tanto </w:t>
      </w:r>
      <w:r w:rsidRPr="007712BE">
        <w:t xml:space="preserve">los restos </w:t>
      </w:r>
      <w:r w:rsidR="008529A7" w:rsidRPr="007712BE">
        <w:t xml:space="preserve">de la víctima desaparecida como el lugar donde son encontrados pueden proporcionar información y prueba valiosa </w:t>
      </w:r>
      <w:r w:rsidRPr="007712BE">
        <w:t>so</w:t>
      </w:r>
      <w:r w:rsidR="008529A7" w:rsidRPr="007712BE">
        <w:t>bre</w:t>
      </w:r>
      <w:r w:rsidRPr="007712BE">
        <w:t xml:space="preserve"> lo sucedido y</w:t>
      </w:r>
      <w:r w:rsidR="008529A7" w:rsidRPr="007712BE">
        <w:t xml:space="preserve"> </w:t>
      </w:r>
      <w:r w:rsidRPr="007712BE">
        <w:t>sobre los autores de la</w:t>
      </w:r>
      <w:r w:rsidR="004E3BF5" w:rsidRPr="007712BE">
        <w:t xml:space="preserve"> desaparición y otra</w:t>
      </w:r>
      <w:r w:rsidRPr="007712BE">
        <w:t>s violaciones</w:t>
      </w:r>
      <w:r w:rsidR="004E3BF5" w:rsidRPr="007712BE">
        <w:t xml:space="preserve"> a la Convención Americana</w:t>
      </w:r>
      <w:r w:rsidRPr="007712BE">
        <w:rPr>
          <w:vertAlign w:val="superscript"/>
        </w:rPr>
        <w:footnoteReference w:id="230"/>
      </w:r>
      <w:r w:rsidRPr="007712BE">
        <w:t>.</w:t>
      </w:r>
    </w:p>
    <w:p w14:paraId="23AB5C15" w14:textId="77777777" w:rsidR="00A07D8E" w:rsidRPr="002E61E9" w:rsidRDefault="00A07D8E" w:rsidP="00E55450">
      <w:pPr>
        <w:rPr>
          <w:lang w:val="es-ES"/>
        </w:rPr>
      </w:pPr>
    </w:p>
    <w:p w14:paraId="30C6EB65" w14:textId="45ED53CD" w:rsidR="00A07D8E" w:rsidRPr="00A07D8E" w:rsidRDefault="0035430C" w:rsidP="005E070D">
      <w:pPr>
        <w:pStyle w:val="Prrafodelista"/>
      </w:pPr>
      <w:r w:rsidRPr="0091148D">
        <w:t>En consecuencia, el Estado</w:t>
      </w:r>
      <w:r w:rsidR="00A438A4" w:rsidRPr="0091148D">
        <w:t xml:space="preserve"> </w:t>
      </w:r>
      <w:r w:rsidRPr="0091148D">
        <w:t>debe realizar de manera sistemática y rigurosa</w:t>
      </w:r>
      <w:r w:rsidR="00A07D8E" w:rsidRPr="0091148D">
        <w:t xml:space="preserve"> la búsqueda del paradero o los restos de Juan Carlos Bedregal</w:t>
      </w:r>
      <w:r w:rsidR="00A438A4" w:rsidRPr="0091148D">
        <w:t>,</w:t>
      </w:r>
      <w:r w:rsidRPr="0091148D">
        <w:t xml:space="preserve"> con los recursos humanos, técnicos y científicos adecuados e idóneos</w:t>
      </w:r>
      <w:r w:rsidR="00A07D8E" w:rsidRPr="0091148D">
        <w:t xml:space="preserve"> dentro del plazo de un año contado desde la notificación de la presente Sentencia</w:t>
      </w:r>
      <w:r w:rsidRPr="0091148D">
        <w:t>.</w:t>
      </w:r>
      <w:r w:rsidRPr="00A07D8E">
        <w:t xml:space="preserve"> Las referidas diligencias deberán ser informadas a sus familiares y en lo posible procurar su presencia</w:t>
      </w:r>
      <w:r w:rsidR="00853C03" w:rsidRPr="00A07D8E">
        <w:t xml:space="preserve">, de modo </w:t>
      </w:r>
      <w:r w:rsidR="00A438A4" w:rsidRPr="00A07D8E">
        <w:t>de</w:t>
      </w:r>
      <w:r w:rsidR="00853C03" w:rsidRPr="00A07D8E">
        <w:t xml:space="preserve"> garanti</w:t>
      </w:r>
      <w:r w:rsidR="00A438A4" w:rsidRPr="00A07D8E">
        <w:t>zar</w:t>
      </w:r>
      <w:r w:rsidR="00853C03" w:rsidRPr="00A07D8E">
        <w:t xml:space="preserve"> su participaci</w:t>
      </w:r>
      <w:r w:rsidR="00A438A4" w:rsidRPr="00A07D8E">
        <w:t>ón</w:t>
      </w:r>
      <w:r w:rsidRPr="00A07D8E">
        <w:t>. Para las referidas diligencias se debe establecer una estrategia de comunicación con l</w:t>
      </w:r>
      <w:r w:rsidR="00853C03" w:rsidRPr="00A07D8E">
        <w:t>as</w:t>
      </w:r>
      <w:r w:rsidRPr="00A07D8E">
        <w:t xml:space="preserve"> familiares y acordar un marco de acción coordinada para procurar su participación, conocimiento y presencia, conforme a las directrices y protocolos en la materia.</w:t>
      </w:r>
    </w:p>
    <w:p w14:paraId="61239BB9" w14:textId="77777777" w:rsidR="00A07D8E" w:rsidRPr="002E61E9" w:rsidRDefault="00A07D8E" w:rsidP="00E55450">
      <w:pPr>
        <w:rPr>
          <w:lang w:val="es-ES"/>
        </w:rPr>
      </w:pPr>
    </w:p>
    <w:p w14:paraId="393FD274" w14:textId="1D139D05" w:rsidR="00764E9A" w:rsidRPr="00A07D8E" w:rsidRDefault="0035430C" w:rsidP="005E070D">
      <w:pPr>
        <w:pStyle w:val="Prrafodelista"/>
      </w:pPr>
      <w:r w:rsidRPr="00A07D8E">
        <w:t xml:space="preserve"> </w:t>
      </w:r>
      <w:r w:rsidR="00A438A4" w:rsidRPr="00A07D8E">
        <w:t>En caso de que la búsqueda confirme el fallecimiento de Juan Carlos Flores Bedregal</w:t>
      </w:r>
      <w:r w:rsidRPr="00A07D8E">
        <w:t xml:space="preserve">, </w:t>
      </w:r>
      <w:r w:rsidR="00A438A4" w:rsidRPr="00A07D8E">
        <w:t>sus</w:t>
      </w:r>
      <w:r w:rsidRPr="00A07D8E">
        <w:t xml:space="preserve"> restos deberán ser entregados a sus familiares, previa comprobación fehaciente de identidad, a la mayor brevedad posible y sin costo alguno para ellos. Además, el Estado deberá cubrir los gastos fúnebres, en su caso, de común acuerdo con los familiares, y conforme a sus creencias</w:t>
      </w:r>
      <w:r w:rsidRPr="007712BE">
        <w:rPr>
          <w:vertAlign w:val="superscript"/>
        </w:rPr>
        <w:footnoteReference w:id="231"/>
      </w:r>
      <w:r w:rsidRPr="00A07D8E">
        <w:t>.</w:t>
      </w:r>
    </w:p>
    <w:p w14:paraId="1B80DFCB" w14:textId="77777777" w:rsidR="00A07D8E" w:rsidRPr="00685917" w:rsidRDefault="00A07D8E" w:rsidP="00A07D8E">
      <w:pPr>
        <w:autoSpaceDE w:val="0"/>
        <w:autoSpaceDN w:val="0"/>
        <w:adjustRightInd w:val="0"/>
        <w:jc w:val="both"/>
        <w:rPr>
          <w:rFonts w:ascii="Verdana" w:hAnsi="Verdana"/>
          <w:b/>
          <w:lang w:val="es-ES"/>
        </w:rPr>
      </w:pPr>
    </w:p>
    <w:p w14:paraId="3A162C56" w14:textId="00509B1F" w:rsidR="00A07D8E" w:rsidRPr="00886E17" w:rsidRDefault="00A07D8E" w:rsidP="00D62951">
      <w:pPr>
        <w:pStyle w:val="Ttulo2"/>
        <w:numPr>
          <w:ilvl w:val="0"/>
          <w:numId w:val="23"/>
        </w:numPr>
        <w:ind w:left="567"/>
        <w:rPr>
          <w:rFonts w:ascii="Verdana" w:hAnsi="Verdana"/>
          <w:b/>
          <w:bCs/>
          <w:color w:val="000000" w:themeColor="text1"/>
          <w:sz w:val="20"/>
          <w:szCs w:val="20"/>
          <w:lang w:val="es-ES"/>
        </w:rPr>
      </w:pPr>
      <w:bookmarkStart w:id="197" w:name="_Toc125037514"/>
      <w:r w:rsidRPr="00886E17">
        <w:rPr>
          <w:rFonts w:ascii="Verdana" w:hAnsi="Verdana"/>
          <w:b/>
          <w:bCs/>
          <w:color w:val="000000" w:themeColor="text1"/>
          <w:sz w:val="20"/>
          <w:szCs w:val="20"/>
          <w:lang w:val="es-ES"/>
        </w:rPr>
        <w:t xml:space="preserve">Medidas de </w:t>
      </w:r>
      <w:r w:rsidR="001A2000">
        <w:rPr>
          <w:rFonts w:ascii="Verdana" w:hAnsi="Verdana"/>
          <w:b/>
          <w:bCs/>
          <w:color w:val="000000" w:themeColor="text1"/>
          <w:sz w:val="20"/>
          <w:szCs w:val="20"/>
          <w:lang w:val="es-ES"/>
        </w:rPr>
        <w:t>r</w:t>
      </w:r>
      <w:r w:rsidRPr="00886E17">
        <w:rPr>
          <w:rFonts w:ascii="Verdana" w:hAnsi="Verdana"/>
          <w:b/>
          <w:bCs/>
          <w:color w:val="000000" w:themeColor="text1"/>
          <w:sz w:val="20"/>
          <w:szCs w:val="20"/>
          <w:lang w:val="es-ES"/>
        </w:rPr>
        <w:t>ehabilitación, satisfacción y garantías de no repetición</w:t>
      </w:r>
      <w:bookmarkEnd w:id="197"/>
    </w:p>
    <w:p w14:paraId="7FAFC4EB" w14:textId="77777777" w:rsidR="00A07D8E" w:rsidRPr="00A07D8E" w:rsidRDefault="00A07D8E" w:rsidP="00A07D8E">
      <w:pPr>
        <w:autoSpaceDE w:val="0"/>
        <w:autoSpaceDN w:val="0"/>
        <w:adjustRightInd w:val="0"/>
        <w:jc w:val="both"/>
        <w:rPr>
          <w:rFonts w:ascii="Verdana" w:hAnsi="Verdana"/>
          <w:b/>
          <w:bCs/>
          <w:iCs/>
          <w:lang w:val="es-ES"/>
        </w:rPr>
      </w:pPr>
    </w:p>
    <w:p w14:paraId="1A4E5BBB" w14:textId="6E5E51F0" w:rsidR="00A07D8E" w:rsidRDefault="00A07D8E" w:rsidP="00D62951">
      <w:pPr>
        <w:ind w:left="709"/>
        <w:jc w:val="both"/>
        <w:rPr>
          <w:rFonts w:ascii="Verdana" w:hAnsi="Verdana"/>
          <w:b/>
          <w:bCs/>
          <w:lang w:val="es-ES"/>
        </w:rPr>
      </w:pPr>
      <w:bookmarkStart w:id="198" w:name="_Toc100230518"/>
      <w:r w:rsidRPr="00A07D8E">
        <w:rPr>
          <w:rFonts w:ascii="Verdana" w:hAnsi="Verdana"/>
          <w:b/>
          <w:bCs/>
          <w:lang w:val="es-ES"/>
        </w:rPr>
        <w:t>C.1 Rehabilitación</w:t>
      </w:r>
      <w:bookmarkEnd w:id="198"/>
    </w:p>
    <w:p w14:paraId="337A44C5" w14:textId="77777777" w:rsidR="004873D0" w:rsidRPr="004873D0" w:rsidRDefault="004873D0" w:rsidP="004873D0">
      <w:pPr>
        <w:ind w:firstLine="708"/>
        <w:jc w:val="both"/>
        <w:rPr>
          <w:rFonts w:ascii="Verdana" w:hAnsi="Verdana"/>
          <w:b/>
          <w:bCs/>
          <w:i/>
          <w:lang w:val="es-ES"/>
        </w:rPr>
      </w:pPr>
    </w:p>
    <w:p w14:paraId="1262A1C8" w14:textId="63C1763D" w:rsidR="000D61DC" w:rsidRPr="00604262" w:rsidRDefault="000D61DC" w:rsidP="005E070D">
      <w:pPr>
        <w:pStyle w:val="Prrafodelista"/>
      </w:pPr>
      <w:r w:rsidRPr="00604262">
        <w:t xml:space="preserve">La </w:t>
      </w:r>
      <w:r w:rsidRPr="00604262">
        <w:rPr>
          <w:b/>
          <w:i/>
        </w:rPr>
        <w:t>Comisión</w:t>
      </w:r>
      <w:r w:rsidRPr="00604262">
        <w:t xml:space="preserve"> solicitó disponer de las medidas necesarias </w:t>
      </w:r>
      <w:r w:rsidR="00080135" w:rsidRPr="00604262">
        <w:t>para la</w:t>
      </w:r>
      <w:r w:rsidRPr="00604262">
        <w:t xml:space="preserve"> atención </w:t>
      </w:r>
      <w:r w:rsidR="00080135" w:rsidRPr="00604262">
        <w:t>de la</w:t>
      </w:r>
      <w:r w:rsidRPr="00604262">
        <w:t xml:space="preserve"> salud física y mental de los familiares </w:t>
      </w:r>
      <w:r w:rsidR="00080135" w:rsidRPr="00604262">
        <w:t>de Juan Carlos Flores Bedregal</w:t>
      </w:r>
      <w:r w:rsidRPr="00604262">
        <w:t xml:space="preserve">. El </w:t>
      </w:r>
      <w:r w:rsidRPr="00604262">
        <w:rPr>
          <w:b/>
          <w:i/>
        </w:rPr>
        <w:t xml:space="preserve">representante </w:t>
      </w:r>
      <w:r w:rsidRPr="00604262">
        <w:t xml:space="preserve">solicitó que las víctimas y sus familias dispongan de forma efectiva, inmediata, adecuada y gratuita </w:t>
      </w:r>
      <w:r w:rsidR="007E4D67" w:rsidRPr="00604262">
        <w:t>d</w:t>
      </w:r>
      <w:r w:rsidR="007E4D67" w:rsidRPr="00C11CD1">
        <w:t xml:space="preserve">e tratamiento médico, </w:t>
      </w:r>
      <w:r w:rsidRPr="00C11CD1">
        <w:t>psicológi</w:t>
      </w:r>
      <w:r w:rsidR="007E4D67" w:rsidRPr="00C11CD1">
        <w:t>co o psiqui</w:t>
      </w:r>
      <w:r w:rsidR="004C08BE" w:rsidRPr="00C11CD1">
        <w:t>á</w:t>
      </w:r>
      <w:r w:rsidR="007E4D67" w:rsidRPr="00C11CD1">
        <w:t>trico</w:t>
      </w:r>
      <w:r w:rsidRPr="00C11CD1">
        <w:t>, incluyendo procedimientos, diagnósticos y el suministro gratuito de los medicamentos que se requieran</w:t>
      </w:r>
      <w:r w:rsidR="007E4D67" w:rsidRPr="00C11CD1">
        <w:t xml:space="preserve">, el cual deberá ser voluntario y </w:t>
      </w:r>
      <w:r w:rsidR="00524317" w:rsidRPr="00C11CD1">
        <w:t xml:space="preserve">de </w:t>
      </w:r>
      <w:r w:rsidR="007E4D67" w:rsidRPr="00C11CD1">
        <w:t>manera concertada</w:t>
      </w:r>
      <w:r w:rsidR="00080135" w:rsidRPr="00604262">
        <w:rPr>
          <w:b/>
          <w:bCs/>
        </w:rPr>
        <w:t>.</w:t>
      </w:r>
      <w:r w:rsidRPr="00604262">
        <w:rPr>
          <w:b/>
          <w:bCs/>
        </w:rPr>
        <w:t xml:space="preserve"> </w:t>
      </w:r>
      <w:r w:rsidRPr="00604262">
        <w:t xml:space="preserve">El </w:t>
      </w:r>
      <w:r w:rsidRPr="00604262">
        <w:rPr>
          <w:b/>
          <w:i/>
        </w:rPr>
        <w:t>Estado</w:t>
      </w:r>
      <w:r w:rsidRPr="00604262">
        <w:t xml:space="preserve"> rechazó dicha pretensión</w:t>
      </w:r>
      <w:r w:rsidR="00080135" w:rsidRPr="00604262">
        <w:t>.</w:t>
      </w:r>
    </w:p>
    <w:p w14:paraId="4D7D4769" w14:textId="77777777" w:rsidR="00A07D8E" w:rsidRPr="00604262" w:rsidRDefault="00A07D8E" w:rsidP="00E55450">
      <w:pPr>
        <w:rPr>
          <w:lang w:val="es-ES"/>
        </w:rPr>
      </w:pPr>
    </w:p>
    <w:p w14:paraId="6937FDB2" w14:textId="57E803D3" w:rsidR="00A07D8E" w:rsidRPr="00604262" w:rsidRDefault="000D61DC" w:rsidP="005E070D">
      <w:pPr>
        <w:pStyle w:val="Prrafodelista"/>
      </w:pPr>
      <w:r w:rsidRPr="00604262">
        <w:rPr>
          <w:rFonts w:eastAsia="MS Mincho"/>
          <w:lang w:bidi="en-US"/>
        </w:rPr>
        <w:t xml:space="preserve">En </w:t>
      </w:r>
      <w:r w:rsidR="00F048DB" w:rsidRPr="00C11CD1">
        <w:rPr>
          <w:rFonts w:eastAsia="MS Mincho"/>
          <w:lang w:bidi="en-US"/>
        </w:rPr>
        <w:t>razón</w:t>
      </w:r>
      <w:r w:rsidRPr="00C11CD1">
        <w:rPr>
          <w:rFonts w:eastAsia="MS Mincho"/>
          <w:lang w:bidi="en-US"/>
        </w:rPr>
        <w:t xml:space="preserve"> </w:t>
      </w:r>
      <w:r w:rsidRPr="00604262">
        <w:rPr>
          <w:rFonts w:eastAsia="MS Mincho"/>
          <w:lang w:bidi="en-US"/>
        </w:rPr>
        <w:t>de la naturaleza de las violaciones a la Convención Americana declaradas en la presente sentencia</w:t>
      </w:r>
      <w:r w:rsidR="00F048DB" w:rsidRPr="00604262">
        <w:rPr>
          <w:rFonts w:eastAsia="MS Mincho"/>
          <w:lang w:bidi="en-US"/>
        </w:rPr>
        <w:t>,</w:t>
      </w:r>
      <w:r w:rsidR="009B7DDE" w:rsidRPr="00604262">
        <w:rPr>
          <w:rFonts w:eastAsia="MS Mincho"/>
          <w:lang w:bidi="en-US"/>
        </w:rPr>
        <w:t xml:space="preserve"> </w:t>
      </w:r>
      <w:r w:rsidRPr="00604262">
        <w:t xml:space="preserve">la </w:t>
      </w:r>
      <w:r w:rsidRPr="00604262">
        <w:rPr>
          <w:b/>
          <w:i/>
        </w:rPr>
        <w:t>Corte</w:t>
      </w:r>
      <w:r w:rsidRPr="00604262">
        <w:t xml:space="preserve"> ordena al Estado brindar gratuitamente, sin cargo alguno, el tratamiento</w:t>
      </w:r>
      <w:r w:rsidR="00614B14" w:rsidRPr="00604262">
        <w:t xml:space="preserve"> médico</w:t>
      </w:r>
      <w:r w:rsidR="006C2A4A">
        <w:t xml:space="preserve"> y</w:t>
      </w:r>
      <w:r w:rsidR="005931D5" w:rsidRPr="00604262">
        <w:t xml:space="preserve"> </w:t>
      </w:r>
      <w:r w:rsidRPr="00604262">
        <w:t xml:space="preserve">psicológico adecuado y prioritario que requieran </w:t>
      </w:r>
      <w:r w:rsidRPr="00604262">
        <w:rPr>
          <w:rFonts w:cs="Verdana"/>
        </w:rPr>
        <w:t>Olga Beatriz, Verónica y Lilian Teresa</w:t>
      </w:r>
      <w:r w:rsidR="00F048DB" w:rsidRPr="00604262">
        <w:rPr>
          <w:rFonts w:cs="Verdana"/>
        </w:rPr>
        <w:t>, todas de apellidos</w:t>
      </w:r>
      <w:r w:rsidRPr="00604262">
        <w:rPr>
          <w:rFonts w:cs="Verdana"/>
        </w:rPr>
        <w:t xml:space="preserve"> Flores Bedregal</w:t>
      </w:r>
      <w:r w:rsidR="00080135" w:rsidRPr="00604262">
        <w:t>.</w:t>
      </w:r>
      <w:r w:rsidRPr="00604262">
        <w:t xml:space="preserve"> </w:t>
      </w:r>
      <w:r w:rsidR="009B7DDE" w:rsidRPr="00604262">
        <w:t xml:space="preserve">Dicho tratamiento debe ser brindado </w:t>
      </w:r>
      <w:r w:rsidRPr="00604262">
        <w:t xml:space="preserve">previa manifestación de su voluntad, dentro del plazo de seis meses contado a partir de la notificación de esta Sentencia, y por el tiempo que sea necesario para atender las afecciones derivadas de las violaciones declaradas </w:t>
      </w:r>
      <w:r w:rsidRPr="00604262">
        <w:lastRenderedPageBreak/>
        <w:t>en la presente Sentencia. En tanto resulte adecuado a lo ordenado, el Estado podrá otorgar dicho tratamiento a través de los servicios nacionales de salud. Las víctimas indicadas deberán tener acceso inmediato y prioritario a las prestaciones de salud, independientemente de los plazos que la legislación interna haya contemplado para ello, evitando obstáculos de cualquier índole.</w:t>
      </w:r>
    </w:p>
    <w:p w14:paraId="7463BB8E" w14:textId="77777777" w:rsidR="00A07D8E" w:rsidRPr="00604262" w:rsidRDefault="00A07D8E" w:rsidP="00E55450">
      <w:pPr>
        <w:rPr>
          <w:lang w:val="es-ES"/>
        </w:rPr>
      </w:pPr>
      <w:bookmarkStart w:id="199" w:name="_Toc100230519"/>
    </w:p>
    <w:p w14:paraId="5530AAFC" w14:textId="5DDD7E1F" w:rsidR="00A07D8E" w:rsidRPr="00604262" w:rsidRDefault="00A07D8E" w:rsidP="00D62951">
      <w:pPr>
        <w:ind w:left="709"/>
        <w:jc w:val="both"/>
        <w:rPr>
          <w:rFonts w:ascii="Verdana" w:hAnsi="Verdana"/>
          <w:b/>
          <w:bCs/>
          <w:lang w:val="es-ES"/>
        </w:rPr>
      </w:pPr>
      <w:r w:rsidRPr="00604262">
        <w:rPr>
          <w:rFonts w:ascii="Verdana" w:hAnsi="Verdana"/>
          <w:b/>
          <w:bCs/>
          <w:lang w:val="es-ES"/>
        </w:rPr>
        <w:t>C.2. Satisfacción</w:t>
      </w:r>
      <w:bookmarkEnd w:id="199"/>
      <w:r w:rsidRPr="00604262">
        <w:rPr>
          <w:rFonts w:ascii="Verdana" w:hAnsi="Verdana"/>
          <w:b/>
          <w:bCs/>
          <w:lang w:val="es-ES"/>
        </w:rPr>
        <w:t xml:space="preserve"> </w:t>
      </w:r>
    </w:p>
    <w:p w14:paraId="153C4A0D" w14:textId="77777777" w:rsidR="00A07D8E" w:rsidRPr="00604262" w:rsidRDefault="00A07D8E" w:rsidP="00E55450">
      <w:pPr>
        <w:rPr>
          <w:lang w:val="es-ES"/>
        </w:rPr>
      </w:pPr>
    </w:p>
    <w:p w14:paraId="261CAF4B" w14:textId="77777777" w:rsidR="00A07D8E" w:rsidRPr="00604262" w:rsidRDefault="00A07D8E" w:rsidP="00D62951">
      <w:pPr>
        <w:ind w:left="851"/>
        <w:rPr>
          <w:b/>
          <w:bCs/>
          <w:lang w:val="es-ES"/>
        </w:rPr>
      </w:pPr>
      <w:r w:rsidRPr="00604262">
        <w:rPr>
          <w:rFonts w:ascii="Verdana" w:hAnsi="Verdana"/>
          <w:b/>
          <w:bCs/>
          <w:lang w:val="es-ES"/>
        </w:rPr>
        <w:t>C.2.1. Publicación de la sentencia</w:t>
      </w:r>
    </w:p>
    <w:p w14:paraId="5A01BA93" w14:textId="2D19A0F9" w:rsidR="00A07D8E" w:rsidRPr="00604262" w:rsidRDefault="00A07D8E" w:rsidP="00E55450">
      <w:pPr>
        <w:rPr>
          <w:lang w:val="es-ES"/>
        </w:rPr>
      </w:pPr>
    </w:p>
    <w:p w14:paraId="4CCB10BB" w14:textId="329434C9" w:rsidR="0035430C" w:rsidRDefault="004C3BE7" w:rsidP="005E070D">
      <w:pPr>
        <w:pStyle w:val="Prrafodelista"/>
      </w:pPr>
      <w:r w:rsidRPr="00604262">
        <w:t>El</w:t>
      </w:r>
      <w:r w:rsidR="0035430C" w:rsidRPr="00604262">
        <w:rPr>
          <w:i/>
        </w:rPr>
        <w:t xml:space="preserve"> </w:t>
      </w:r>
      <w:r w:rsidR="0035430C" w:rsidRPr="00604262">
        <w:rPr>
          <w:b/>
          <w:i/>
        </w:rPr>
        <w:t>representant</w:t>
      </w:r>
      <w:r w:rsidRPr="00604262">
        <w:rPr>
          <w:b/>
          <w:i/>
        </w:rPr>
        <w:t>e</w:t>
      </w:r>
      <w:r w:rsidR="0035430C" w:rsidRPr="00604262">
        <w:t xml:space="preserve"> solicit</w:t>
      </w:r>
      <w:r w:rsidRPr="00604262">
        <w:t>ó</w:t>
      </w:r>
      <w:r w:rsidR="0035430C" w:rsidRPr="00604262">
        <w:t xml:space="preserve"> a la Corte que el Estado </w:t>
      </w:r>
      <w:r w:rsidR="00141733" w:rsidRPr="00604262">
        <w:t>haga pública</w:t>
      </w:r>
      <w:r w:rsidR="0035430C" w:rsidRPr="00604262">
        <w:t xml:space="preserve"> una síntesis de la </w:t>
      </w:r>
      <w:r w:rsidR="00A77FBF" w:rsidRPr="00604262">
        <w:t>sentencia</w:t>
      </w:r>
      <w:r w:rsidR="007E4D67" w:rsidRPr="00604262">
        <w:t xml:space="preserve"> en medios escritos </w:t>
      </w:r>
      <w:r w:rsidR="00A77FBF" w:rsidRPr="00604262">
        <w:t>y</w:t>
      </w:r>
      <w:r w:rsidR="00141733" w:rsidRPr="00604262">
        <w:t xml:space="preserve"> la difunda por </w:t>
      </w:r>
      <w:r w:rsidR="0035430C" w:rsidRPr="00604262">
        <w:t xml:space="preserve">televisión </w:t>
      </w:r>
      <w:r w:rsidR="007E4D67" w:rsidRPr="00604262">
        <w:t xml:space="preserve">y </w:t>
      </w:r>
      <w:r w:rsidR="0035430C" w:rsidRPr="00604262">
        <w:t>radio</w:t>
      </w:r>
      <w:r w:rsidR="000170DC" w:rsidRPr="00604262">
        <w:t xml:space="preserve"> </w:t>
      </w:r>
      <w:r w:rsidR="000170DC" w:rsidRPr="00C11CD1">
        <w:t>de cobertura nacional</w:t>
      </w:r>
      <w:r w:rsidR="0035430C" w:rsidRPr="00604262">
        <w:t xml:space="preserve">. La </w:t>
      </w:r>
      <w:r w:rsidR="0035430C" w:rsidRPr="00604262">
        <w:rPr>
          <w:b/>
          <w:i/>
        </w:rPr>
        <w:t>Comisión</w:t>
      </w:r>
      <w:r w:rsidR="0035430C" w:rsidRPr="00604262">
        <w:t xml:space="preserve"> no se pronunció sobre esta solicitud. El </w:t>
      </w:r>
      <w:r w:rsidR="0035430C" w:rsidRPr="00604262">
        <w:rPr>
          <w:b/>
          <w:i/>
        </w:rPr>
        <w:t>Estado</w:t>
      </w:r>
      <w:r w:rsidR="0035430C" w:rsidRPr="00604262">
        <w:t xml:space="preserve"> rechazó dicha pretensión</w:t>
      </w:r>
      <w:r w:rsidR="00E97C90" w:rsidRPr="00604262">
        <w:t>.</w:t>
      </w:r>
      <w:r w:rsidR="0035430C" w:rsidRPr="00604262">
        <w:t xml:space="preserve">   </w:t>
      </w:r>
    </w:p>
    <w:p w14:paraId="1734AAF5" w14:textId="77777777" w:rsidR="00B446D1" w:rsidRPr="002E3990" w:rsidRDefault="00B446D1" w:rsidP="00913E25">
      <w:pPr>
        <w:rPr>
          <w:lang w:val="es-ES"/>
        </w:rPr>
      </w:pPr>
    </w:p>
    <w:p w14:paraId="7819E95B" w14:textId="1AD81CA0" w:rsidR="00D30337" w:rsidRDefault="0035430C" w:rsidP="005E070D">
      <w:pPr>
        <w:pStyle w:val="Prrafodelista"/>
      </w:pPr>
      <w:r w:rsidRPr="00A07D8E">
        <w:t xml:space="preserve">La </w:t>
      </w:r>
      <w:r w:rsidRPr="00A07D8E">
        <w:rPr>
          <w:b/>
          <w:i/>
        </w:rPr>
        <w:t>Corte</w:t>
      </w:r>
      <w:r w:rsidRPr="00A07D8E">
        <w:t xml:space="preserve"> dispone, como lo ha hecho en otros casos</w:t>
      </w:r>
      <w:r w:rsidRPr="00036B7D">
        <w:rPr>
          <w:vertAlign w:val="superscript"/>
        </w:rPr>
        <w:footnoteReference w:id="232"/>
      </w:r>
      <w:r w:rsidRPr="00A07D8E">
        <w:t xml:space="preserve">, que el Estado publique, en un plazo de seis meses, contado a partir de la notificación de la presente Sentencia: a) el resumen oficial de la presente Sentencia elaborado por la Corte, por una sola vez, </w:t>
      </w:r>
      <w:r w:rsidRPr="00451777">
        <w:t xml:space="preserve">en un </w:t>
      </w:r>
      <w:r w:rsidR="00E57AF1" w:rsidRPr="00451777">
        <w:t>medio de comunicación</w:t>
      </w:r>
      <w:r w:rsidRPr="00451777">
        <w:t xml:space="preserve"> nacional</w:t>
      </w:r>
      <w:r w:rsidRPr="00A07D8E">
        <w:t xml:space="preserve"> y en el diario oficial en un tamaño de letra legible y adecuado, y b) la presente Sentencia en su integridad, </w:t>
      </w:r>
      <w:r w:rsidRPr="00B446D1">
        <w:t xml:space="preserve">disponible al menos por un período de un año, </w:t>
      </w:r>
      <w:bookmarkStart w:id="200" w:name="_Hlk101350100"/>
      <w:r w:rsidRPr="00B446D1">
        <w:t xml:space="preserve">en </w:t>
      </w:r>
      <w:r w:rsidR="00C1046D" w:rsidRPr="00B446D1">
        <w:t>los</w:t>
      </w:r>
      <w:r w:rsidRPr="00B446D1">
        <w:t xml:space="preserve"> sitio</w:t>
      </w:r>
      <w:r w:rsidR="00C1046D" w:rsidRPr="00B446D1">
        <w:t>s</w:t>
      </w:r>
      <w:r w:rsidRPr="00B446D1">
        <w:t xml:space="preserve"> </w:t>
      </w:r>
      <w:r w:rsidRPr="00B446D1">
        <w:rPr>
          <w:i/>
          <w:iCs/>
        </w:rPr>
        <w:t>web</w:t>
      </w:r>
      <w:r w:rsidR="00C1046D" w:rsidRPr="00B446D1">
        <w:t xml:space="preserve"> oficiales del Ministerio de Defensa del Estado Plurinacional de Bolivia</w:t>
      </w:r>
      <w:r w:rsidR="00B446D1">
        <w:t>,</w:t>
      </w:r>
      <w:r w:rsidR="00C1046D" w:rsidRPr="00B446D1">
        <w:t xml:space="preserve"> de la Procuraduría General del </w:t>
      </w:r>
      <w:r w:rsidR="00C1046D" w:rsidRPr="00D774FF">
        <w:t>Estado</w:t>
      </w:r>
      <w:r w:rsidR="00B446D1" w:rsidRPr="00D774FF">
        <w:t xml:space="preserve"> </w:t>
      </w:r>
      <w:r w:rsidR="00B446D1" w:rsidRPr="00C11CD1">
        <w:t>y Poder Judicial</w:t>
      </w:r>
      <w:r w:rsidRPr="00C11CD1">
        <w:t>,</w:t>
      </w:r>
      <w:r w:rsidRPr="00B446D1">
        <w:t xml:space="preserve"> </w:t>
      </w:r>
      <w:bookmarkEnd w:id="200"/>
      <w:r w:rsidRPr="00B446D1">
        <w:t>de</w:t>
      </w:r>
      <w:r w:rsidRPr="00A07D8E">
        <w:t xml:space="preserve"> manera accesible al público. El Estado deberá informar de forma inmediata a este Tribunal una vez que proceda a realizar cada una de las publicaciones dispuestas, independientemente del plazo de un año para presentar su primer informe dispuesto en la parte resolutiva de esta Sentencia.</w:t>
      </w:r>
    </w:p>
    <w:p w14:paraId="041980D3" w14:textId="77777777" w:rsidR="00A07D8E" w:rsidRPr="002E61E9" w:rsidRDefault="00A07D8E" w:rsidP="00E55450">
      <w:pPr>
        <w:rPr>
          <w:lang w:val="es-ES"/>
        </w:rPr>
      </w:pPr>
    </w:p>
    <w:p w14:paraId="40C08D6A" w14:textId="31DE6C66" w:rsidR="00A07D8E" w:rsidRPr="0091148D" w:rsidRDefault="00A07D8E" w:rsidP="00D62951">
      <w:pPr>
        <w:ind w:left="851"/>
        <w:rPr>
          <w:b/>
          <w:bCs/>
          <w:lang w:val="es-ES"/>
        </w:rPr>
      </w:pPr>
      <w:r w:rsidRPr="0091148D">
        <w:rPr>
          <w:rFonts w:ascii="Verdana" w:hAnsi="Verdana"/>
          <w:b/>
          <w:bCs/>
          <w:lang w:val="es-ES"/>
        </w:rPr>
        <w:t>C.2.2. Acto público de reconocimiento de responsabilidad internacional</w:t>
      </w:r>
    </w:p>
    <w:p w14:paraId="3CF1620B" w14:textId="77777777" w:rsidR="00886E17" w:rsidRPr="002E61E9" w:rsidRDefault="00886E17" w:rsidP="00E55450">
      <w:pPr>
        <w:rPr>
          <w:lang w:val="es-ES"/>
        </w:rPr>
      </w:pPr>
    </w:p>
    <w:p w14:paraId="1A03A1BC" w14:textId="6457FF46" w:rsidR="0035430C" w:rsidRPr="00627A71" w:rsidRDefault="0035430C" w:rsidP="005E070D">
      <w:pPr>
        <w:pStyle w:val="Prrafodelista"/>
      </w:pPr>
      <w:r w:rsidRPr="00A93879">
        <w:t xml:space="preserve">La </w:t>
      </w:r>
      <w:r w:rsidRPr="00A93879">
        <w:rPr>
          <w:b/>
          <w:i/>
        </w:rPr>
        <w:t>Comisión</w:t>
      </w:r>
      <w:r w:rsidRPr="00A93879">
        <w:t xml:space="preserve"> </w:t>
      </w:r>
      <w:r w:rsidR="00141733" w:rsidRPr="00A93879">
        <w:t xml:space="preserve">solicitó </w:t>
      </w:r>
      <w:r w:rsidRPr="00A93879">
        <w:t>que las medidas de satisfacción inclu</w:t>
      </w:r>
      <w:r w:rsidR="00141733" w:rsidRPr="00A93879">
        <w:t>yan</w:t>
      </w:r>
      <w:r w:rsidRPr="00A93879">
        <w:t xml:space="preserve"> un acto público de reconocimiento de responsabilidad. </w:t>
      </w:r>
      <w:r w:rsidR="00677555" w:rsidRPr="00A93879">
        <w:t>El</w:t>
      </w:r>
      <w:r w:rsidRPr="00A93879">
        <w:t xml:space="preserve"> </w:t>
      </w:r>
      <w:r w:rsidRPr="00A93879">
        <w:rPr>
          <w:b/>
          <w:i/>
        </w:rPr>
        <w:t>representante</w:t>
      </w:r>
      <w:r w:rsidRPr="00A93879">
        <w:t xml:space="preserve"> solicit</w:t>
      </w:r>
      <w:r w:rsidR="00677555" w:rsidRPr="00A93879">
        <w:t>ó</w:t>
      </w:r>
      <w:r w:rsidRPr="00A93879">
        <w:t xml:space="preserve"> que el Estado lleve a cabo un acto de reconocimiento de responsabilidad </w:t>
      </w:r>
      <w:r w:rsidR="00141733" w:rsidRPr="00A93879">
        <w:t xml:space="preserve">por la desaparición forzada que </w:t>
      </w:r>
      <w:r w:rsidR="00B13FDD" w:rsidRPr="00A93879">
        <w:t>consis</w:t>
      </w:r>
      <w:r w:rsidR="00141733" w:rsidRPr="00A93879">
        <w:t>ta</w:t>
      </w:r>
      <w:r w:rsidR="00B13FDD" w:rsidRPr="00A93879">
        <w:t xml:space="preserve"> en una</w:t>
      </w:r>
      <w:r w:rsidRPr="00A93879">
        <w:t xml:space="preserve"> ceremonia pública y solemne, encabezado por el Presidente</w:t>
      </w:r>
      <w:r w:rsidR="00141733" w:rsidRPr="00A93879">
        <w:t xml:space="preserve"> y</w:t>
      </w:r>
      <w:r w:rsidRPr="00A93879">
        <w:t xml:space="preserve"> las más altas autoridades de las F</w:t>
      </w:r>
      <w:r w:rsidR="00B13FDD" w:rsidRPr="00A93879">
        <w:t>F</w:t>
      </w:r>
      <w:r w:rsidRPr="00A93879">
        <w:t>A</w:t>
      </w:r>
      <w:r w:rsidR="00B13FDD" w:rsidRPr="00A93879">
        <w:t>A</w:t>
      </w:r>
      <w:r w:rsidRPr="00A93879">
        <w:t>, el Ministerio Público</w:t>
      </w:r>
      <w:r w:rsidR="00141733" w:rsidRPr="00A93879">
        <w:t xml:space="preserve"> y</w:t>
      </w:r>
      <w:r w:rsidRPr="00A93879">
        <w:t xml:space="preserve"> el Poder Judicial, </w:t>
      </w:r>
      <w:r w:rsidR="00141733" w:rsidRPr="00A93879">
        <w:t xml:space="preserve">con la participación de </w:t>
      </w:r>
      <w:r w:rsidRPr="00A93879">
        <w:t>las víctimas</w:t>
      </w:r>
      <w:r w:rsidR="00141733" w:rsidRPr="00A93879">
        <w:t>. Solicit</w:t>
      </w:r>
      <w:r w:rsidR="00A97EEF" w:rsidRPr="00A93879">
        <w:t>ó</w:t>
      </w:r>
      <w:r w:rsidR="00141733" w:rsidRPr="00A93879">
        <w:t xml:space="preserve"> la</w:t>
      </w:r>
      <w:r w:rsidRPr="00A93879">
        <w:t xml:space="preserve"> difu</w:t>
      </w:r>
      <w:r w:rsidR="00141733" w:rsidRPr="00A93879">
        <w:t>sión</w:t>
      </w:r>
      <w:r w:rsidRPr="00A93879">
        <w:t xml:space="preserve"> </w:t>
      </w:r>
      <w:r w:rsidR="00A97EEF" w:rsidRPr="00A93879">
        <w:t>d</w:t>
      </w:r>
      <w:r w:rsidRPr="00A93879">
        <w:t xml:space="preserve">el acto a través de los medios de </w:t>
      </w:r>
      <w:r w:rsidR="00A97EEF" w:rsidRPr="00A93879">
        <w:t xml:space="preserve">comunicación </w:t>
      </w:r>
      <w:r w:rsidRPr="00A93879">
        <w:t>privad</w:t>
      </w:r>
      <w:r w:rsidR="00A97EEF" w:rsidRPr="00A93879">
        <w:t>o</w:t>
      </w:r>
      <w:r w:rsidRPr="00A93879">
        <w:t>s y públic</w:t>
      </w:r>
      <w:r w:rsidR="00A97EEF" w:rsidRPr="00A93879">
        <w:t xml:space="preserve">os </w:t>
      </w:r>
      <w:r w:rsidRPr="00A93879">
        <w:t xml:space="preserve">en horario triple A </w:t>
      </w:r>
      <w:r w:rsidR="00A97EEF" w:rsidRPr="00A93879">
        <w:t>y</w:t>
      </w:r>
      <w:r w:rsidRPr="00A93879">
        <w:t xml:space="preserve"> primera página</w:t>
      </w:r>
      <w:r w:rsidR="000170DC" w:rsidRPr="00A93879">
        <w:t xml:space="preserve"> </w:t>
      </w:r>
      <w:r w:rsidR="000170DC" w:rsidRPr="00C11CD1">
        <w:t>de los medios escritos, así como en los medios oficiales</w:t>
      </w:r>
      <w:r w:rsidR="00283432" w:rsidRPr="00A93879">
        <w:t>.</w:t>
      </w:r>
      <w:r w:rsidRPr="00A93879">
        <w:t xml:space="preserve"> El </w:t>
      </w:r>
      <w:r w:rsidRPr="00A93879">
        <w:rPr>
          <w:b/>
          <w:i/>
        </w:rPr>
        <w:t>Estado</w:t>
      </w:r>
      <w:r w:rsidRPr="00A93879">
        <w:t xml:space="preserve"> rechazó dicha pretensión</w:t>
      </w:r>
      <w:r w:rsidRPr="00627A71">
        <w:rPr>
          <w:bCs/>
        </w:rPr>
        <w:t>.</w:t>
      </w:r>
    </w:p>
    <w:p w14:paraId="1EE90729" w14:textId="77777777" w:rsidR="00627A71" w:rsidRPr="002E3990" w:rsidRDefault="00627A71" w:rsidP="00D774FF">
      <w:pPr>
        <w:rPr>
          <w:lang w:val="es-ES"/>
        </w:rPr>
      </w:pPr>
    </w:p>
    <w:p w14:paraId="34EA5904" w14:textId="274F90E1" w:rsidR="00D56F24" w:rsidRDefault="0035430C" w:rsidP="005E070D">
      <w:pPr>
        <w:pStyle w:val="Prrafodelista"/>
      </w:pPr>
      <w:r w:rsidRPr="00A07D8E">
        <w:t>Como lo ha hecho en otros casos</w:t>
      </w:r>
      <w:r w:rsidRPr="00886E17">
        <w:rPr>
          <w:vertAlign w:val="superscript"/>
        </w:rPr>
        <w:footnoteReference w:id="233"/>
      </w:r>
      <w:r w:rsidRPr="00A07D8E">
        <w:t xml:space="preserve">, la </w:t>
      </w:r>
      <w:r w:rsidRPr="00A07D8E">
        <w:rPr>
          <w:b/>
          <w:i/>
        </w:rPr>
        <w:t>Corte</w:t>
      </w:r>
      <w:r w:rsidRPr="00A07D8E">
        <w:t xml:space="preserve"> estima necesario que el Estado realice</w:t>
      </w:r>
      <w:r w:rsidR="009A0969" w:rsidRPr="00A07D8E">
        <w:t xml:space="preserve">, </w:t>
      </w:r>
      <w:r w:rsidR="009A0969" w:rsidRPr="0091148D">
        <w:t xml:space="preserve">en un plazo de </w:t>
      </w:r>
      <w:r w:rsidR="009A0969" w:rsidRPr="00451777">
        <w:t>un año,</w:t>
      </w:r>
      <w:r w:rsidRPr="00451777">
        <w:t xml:space="preserve"> </w:t>
      </w:r>
      <w:r w:rsidR="00823D6B" w:rsidRPr="00451777">
        <w:t>contado</w:t>
      </w:r>
      <w:r w:rsidR="00823D6B">
        <w:t xml:space="preserve"> a partir de la notificación de la Sentencia, </w:t>
      </w:r>
      <w:r w:rsidRPr="0091148D">
        <w:t>un acto público de reconocimiento de responsabilidad internacional en relación con los hechos de este caso</w:t>
      </w:r>
      <w:r w:rsidR="00B13FDD" w:rsidRPr="0091148D">
        <w:t xml:space="preserve"> </w:t>
      </w:r>
      <w:r w:rsidR="00A97EEF" w:rsidRPr="0091148D">
        <w:t>como medida de reparación y de no repetición</w:t>
      </w:r>
      <w:r w:rsidR="00FE1833" w:rsidRPr="0091148D">
        <w:t xml:space="preserve"> de las violaciones a los derechos humanos establecidas en la </w:t>
      </w:r>
      <w:r w:rsidR="00524317">
        <w:t>S</w:t>
      </w:r>
      <w:r w:rsidR="00FE1833" w:rsidRPr="0091148D">
        <w:t>entencia</w:t>
      </w:r>
      <w:r w:rsidRPr="0091148D">
        <w:t xml:space="preserve">. </w:t>
      </w:r>
      <w:r w:rsidR="005B0DAC" w:rsidRPr="0091148D">
        <w:t>D</w:t>
      </w:r>
      <w:r w:rsidRPr="0091148D">
        <w:t>icho acto deberá llevarse a cabo mediante una ceremonia pública en presencia de altos funcionarios del Estado y l</w:t>
      </w:r>
      <w:r w:rsidR="00524317">
        <w:t>a</w:t>
      </w:r>
      <w:r w:rsidRPr="0091148D">
        <w:t>s familiares de la víctima</w:t>
      </w:r>
      <w:r w:rsidR="005B0DAC" w:rsidRPr="0091148D">
        <w:t xml:space="preserve"> y deberá hacer referencia a las violaciones de derechos humanos declaradas en la presente Sentencia</w:t>
      </w:r>
      <w:r w:rsidRPr="0091148D">
        <w:t xml:space="preserve">. El Estado deberá acordar con los familiares de las víctimas o sus representantes la modalidad de cumplimento del acto público de reconocimiento, así como las particularidades que se requieran, tales como el lugar y la fecha para su realización. </w:t>
      </w:r>
      <w:r w:rsidR="00536C9D" w:rsidRPr="0091148D">
        <w:t xml:space="preserve"> Además, el </w:t>
      </w:r>
      <w:r w:rsidR="00536C9D" w:rsidRPr="00627A71">
        <w:t>Estado debe difundir dicho acto a través de los medios de comunicación de la manera más amplia posible, incluyendo la difusión por radio, televisión y redes sociales del Minister</w:t>
      </w:r>
      <w:r w:rsidR="00536C9D" w:rsidRPr="00C11CD1">
        <w:t>io de Defensa</w:t>
      </w:r>
      <w:r w:rsidR="00B446D1" w:rsidRPr="00C11CD1">
        <w:t xml:space="preserve"> del Estado Plurinacional de Bolivia, de la Procuraduría General del Estado</w:t>
      </w:r>
      <w:r w:rsidR="00536C9D" w:rsidRPr="00D774FF">
        <w:t xml:space="preserve"> y del</w:t>
      </w:r>
      <w:r w:rsidR="00536C9D" w:rsidRPr="00B446D1">
        <w:t xml:space="preserve"> Poder Judicial.</w:t>
      </w:r>
    </w:p>
    <w:p w14:paraId="3275C209" w14:textId="2AF0385A" w:rsidR="005E070D" w:rsidRPr="00936CD9" w:rsidRDefault="005E070D" w:rsidP="005E070D">
      <w:pPr>
        <w:rPr>
          <w:lang w:val="es-CR"/>
        </w:rPr>
      </w:pPr>
    </w:p>
    <w:p w14:paraId="5CAEA2D8" w14:textId="188E2AAA" w:rsidR="005E070D" w:rsidRPr="00936CD9" w:rsidRDefault="005E070D" w:rsidP="005E070D">
      <w:pPr>
        <w:rPr>
          <w:lang w:val="es-CR"/>
        </w:rPr>
      </w:pPr>
    </w:p>
    <w:p w14:paraId="21078DCE" w14:textId="77777777" w:rsidR="005E070D" w:rsidRPr="00936CD9" w:rsidRDefault="005E070D" w:rsidP="005E070D">
      <w:pPr>
        <w:rPr>
          <w:lang w:val="es-CR"/>
        </w:rPr>
      </w:pPr>
    </w:p>
    <w:p w14:paraId="510106CA" w14:textId="1B9FC400" w:rsidR="00A07D8E" w:rsidRPr="002E61E9" w:rsidRDefault="00A07D8E" w:rsidP="00E55450">
      <w:pPr>
        <w:rPr>
          <w:lang w:val="es-ES"/>
        </w:rPr>
      </w:pPr>
    </w:p>
    <w:p w14:paraId="68988E5D" w14:textId="77777777" w:rsidR="00A07D8E" w:rsidRPr="00A07D8E" w:rsidRDefault="00A07D8E" w:rsidP="00D62951">
      <w:pPr>
        <w:ind w:left="709"/>
        <w:jc w:val="both"/>
        <w:rPr>
          <w:rFonts w:ascii="Verdana" w:hAnsi="Verdana"/>
          <w:b/>
          <w:bCs/>
          <w:lang w:val="es-ES"/>
        </w:rPr>
      </w:pPr>
      <w:bookmarkStart w:id="201" w:name="_Toc100230520"/>
      <w:r w:rsidRPr="00A07D8E">
        <w:rPr>
          <w:rFonts w:ascii="Verdana" w:hAnsi="Verdana"/>
          <w:b/>
          <w:bCs/>
          <w:lang w:val="es-ES"/>
        </w:rPr>
        <w:lastRenderedPageBreak/>
        <w:t>C.3. Medidas de no repetición</w:t>
      </w:r>
      <w:bookmarkEnd w:id="201"/>
      <w:r w:rsidRPr="00A07D8E">
        <w:rPr>
          <w:rFonts w:ascii="Verdana" w:hAnsi="Verdana"/>
          <w:b/>
          <w:bCs/>
          <w:lang w:val="es-ES"/>
        </w:rPr>
        <w:t xml:space="preserve"> </w:t>
      </w:r>
    </w:p>
    <w:p w14:paraId="3F9A676B" w14:textId="77777777" w:rsidR="00A07D8E" w:rsidRPr="00A07D8E" w:rsidRDefault="00A07D8E" w:rsidP="00A07D8E">
      <w:pPr>
        <w:autoSpaceDE w:val="0"/>
        <w:autoSpaceDN w:val="0"/>
        <w:adjustRightInd w:val="0"/>
        <w:jc w:val="both"/>
        <w:rPr>
          <w:rFonts w:ascii="Verdana" w:hAnsi="Verdana"/>
          <w:b/>
          <w:bCs/>
          <w:lang w:val="es-ES"/>
        </w:rPr>
      </w:pPr>
    </w:p>
    <w:p w14:paraId="217E4159" w14:textId="77777777" w:rsidR="00A07D8E" w:rsidRPr="00A07D8E" w:rsidRDefault="00A07D8E" w:rsidP="00D62951">
      <w:pPr>
        <w:ind w:left="851"/>
        <w:jc w:val="both"/>
        <w:rPr>
          <w:rFonts w:ascii="Verdana" w:hAnsi="Verdana"/>
          <w:b/>
          <w:bCs/>
          <w:lang w:val="es-ES"/>
        </w:rPr>
      </w:pPr>
      <w:r w:rsidRPr="00A07D8E">
        <w:rPr>
          <w:rFonts w:ascii="Verdana" w:hAnsi="Verdana"/>
          <w:b/>
          <w:bCs/>
          <w:lang w:val="es-ES"/>
        </w:rPr>
        <w:t xml:space="preserve">C.3.1. </w:t>
      </w:r>
      <w:bookmarkStart w:id="202" w:name="_Hlk115881505"/>
      <w:r w:rsidRPr="00A07D8E">
        <w:rPr>
          <w:rFonts w:ascii="Verdana" w:hAnsi="Verdana"/>
          <w:b/>
          <w:bCs/>
          <w:lang w:val="es-ES"/>
        </w:rPr>
        <w:t xml:space="preserve">Acceso a la información contenida en archivos militares </w:t>
      </w:r>
    </w:p>
    <w:bookmarkEnd w:id="202"/>
    <w:p w14:paraId="2352071E" w14:textId="77777777" w:rsidR="00A07D8E" w:rsidRPr="002E61E9" w:rsidRDefault="00A07D8E" w:rsidP="00E55450">
      <w:pPr>
        <w:rPr>
          <w:lang w:val="es-ES"/>
        </w:rPr>
      </w:pPr>
    </w:p>
    <w:p w14:paraId="785BC2A0" w14:textId="1C0CCDF8" w:rsidR="00A07D8E" w:rsidRPr="00604262" w:rsidRDefault="0035430C" w:rsidP="005E070D">
      <w:pPr>
        <w:pStyle w:val="Prrafodelista"/>
      </w:pPr>
      <w:r w:rsidRPr="00A07D8E">
        <w:rPr>
          <w:rFonts w:eastAsia="Calibri"/>
        </w:rPr>
        <w:t xml:space="preserve">La </w:t>
      </w:r>
      <w:r w:rsidRPr="00604262">
        <w:rPr>
          <w:rFonts w:eastAsia="Calibri"/>
          <w:b/>
          <w:i/>
        </w:rPr>
        <w:t>Comisión</w:t>
      </w:r>
      <w:r w:rsidRPr="00604262">
        <w:rPr>
          <w:rFonts w:eastAsia="Calibri"/>
        </w:rPr>
        <w:t xml:space="preserve"> </w:t>
      </w:r>
      <w:r w:rsidR="00FE1833" w:rsidRPr="00604262">
        <w:rPr>
          <w:rFonts w:eastAsia="Calibri"/>
        </w:rPr>
        <w:t>solicitó</w:t>
      </w:r>
      <w:r w:rsidRPr="00604262">
        <w:rPr>
          <w:rFonts w:eastAsia="Calibri"/>
        </w:rPr>
        <w:t xml:space="preserve"> </w:t>
      </w:r>
      <w:r w:rsidR="00BA7E2F" w:rsidRPr="00D23168">
        <w:rPr>
          <w:rFonts w:eastAsia="Calibri"/>
        </w:rPr>
        <w:t>disponer las medidas necesarias para que el Estado cumpla</w:t>
      </w:r>
      <w:r w:rsidRPr="00D23168">
        <w:rPr>
          <w:rFonts w:eastAsia="Calibri"/>
        </w:rPr>
        <w:t xml:space="preserve"> con su obligación en materia de acceso a la información contenida en archivos estatales</w:t>
      </w:r>
      <w:r w:rsidR="00BA7E2F" w:rsidRPr="00D23168">
        <w:rPr>
          <w:rFonts w:eastAsia="Calibri"/>
        </w:rPr>
        <w:t xml:space="preserve">, incluidos los militares, relacionados con las graves violaciones de derechos humanos cometidas durante la dictadura de Luis García Meza, y promulgar </w:t>
      </w:r>
      <w:r w:rsidRPr="00D23168">
        <w:rPr>
          <w:rFonts w:eastAsia="Calibri"/>
        </w:rPr>
        <w:t xml:space="preserve">una ley y </w:t>
      </w:r>
      <w:r w:rsidR="00BA7E2F" w:rsidRPr="00D23168">
        <w:rPr>
          <w:rFonts w:eastAsia="Calibri"/>
        </w:rPr>
        <w:t xml:space="preserve">establecer </w:t>
      </w:r>
      <w:r w:rsidR="00FE1833" w:rsidRPr="00D23168">
        <w:rPr>
          <w:rFonts w:eastAsia="Calibri"/>
        </w:rPr>
        <w:t xml:space="preserve">los </w:t>
      </w:r>
      <w:r w:rsidRPr="00D23168">
        <w:rPr>
          <w:rFonts w:eastAsia="Calibri"/>
        </w:rPr>
        <w:t>mecanismos institucionales que garanticen su ejercicio pleno y efectivo</w:t>
      </w:r>
      <w:r w:rsidR="00FE1833" w:rsidRPr="00D23168">
        <w:rPr>
          <w:rFonts w:eastAsia="Calibri"/>
        </w:rPr>
        <w:t>.</w:t>
      </w:r>
      <w:r w:rsidRPr="00D23168">
        <w:rPr>
          <w:rFonts w:eastAsia="Calibri"/>
        </w:rPr>
        <w:t xml:space="preserve"> </w:t>
      </w:r>
      <w:r w:rsidR="00FE1833" w:rsidRPr="00D23168">
        <w:rPr>
          <w:rFonts w:eastAsia="Calibri"/>
        </w:rPr>
        <w:t>A</w:t>
      </w:r>
      <w:r w:rsidRPr="00D23168">
        <w:rPr>
          <w:rFonts w:eastAsia="Calibri"/>
        </w:rPr>
        <w:t>s</w:t>
      </w:r>
      <w:r w:rsidR="00FE1833" w:rsidRPr="00D23168">
        <w:rPr>
          <w:rFonts w:eastAsia="Calibri"/>
        </w:rPr>
        <w:t>imismo</w:t>
      </w:r>
      <w:r w:rsidR="008940FF" w:rsidRPr="00D23168">
        <w:rPr>
          <w:rFonts w:eastAsia="Calibri"/>
        </w:rPr>
        <w:t>,</w:t>
      </w:r>
      <w:r w:rsidR="00FE1833" w:rsidRPr="00D23168">
        <w:rPr>
          <w:rFonts w:eastAsia="Calibri"/>
        </w:rPr>
        <w:t xml:space="preserve"> solicitó </w:t>
      </w:r>
      <w:r w:rsidR="00BA7E2F" w:rsidRPr="00D23168">
        <w:rPr>
          <w:rFonts w:eastAsia="Calibri"/>
        </w:rPr>
        <w:t>que se ordene al Estado</w:t>
      </w:r>
      <w:r w:rsidR="00BA7E2F" w:rsidRPr="00604262">
        <w:rPr>
          <w:rFonts w:eastAsia="Calibri"/>
        </w:rPr>
        <w:t xml:space="preserve"> adoptar</w:t>
      </w:r>
      <w:r w:rsidR="00FE1833" w:rsidRPr="00604262">
        <w:rPr>
          <w:rFonts w:eastAsia="Calibri"/>
        </w:rPr>
        <w:t xml:space="preserve"> de</w:t>
      </w:r>
      <w:r w:rsidRPr="00604262">
        <w:rPr>
          <w:rFonts w:eastAsia="Calibri"/>
        </w:rPr>
        <w:t xml:space="preserve"> políticas públicas dirigidas a obtener, producir, analizar, reconstruir, organizar y facilitar el acceso a dicha información por parte de l</w:t>
      </w:r>
      <w:r w:rsidR="003A769C" w:rsidRPr="00604262">
        <w:rPr>
          <w:rFonts w:eastAsia="Calibri"/>
        </w:rPr>
        <w:t>a</w:t>
      </w:r>
      <w:r w:rsidRPr="00604262">
        <w:rPr>
          <w:rFonts w:eastAsia="Calibri"/>
        </w:rPr>
        <w:t>s familiares del señor Flores Bedregal y de la sociedad</w:t>
      </w:r>
      <w:r w:rsidR="00FE1833" w:rsidRPr="00604262">
        <w:rPr>
          <w:rFonts w:eastAsia="Calibri"/>
        </w:rPr>
        <w:t xml:space="preserve"> en su conjunto.</w:t>
      </w:r>
    </w:p>
    <w:p w14:paraId="1EC10B36" w14:textId="77777777" w:rsidR="00F33A3C" w:rsidRPr="007D114F" w:rsidRDefault="00F33A3C" w:rsidP="007D114F">
      <w:pPr>
        <w:rPr>
          <w:lang w:val="es-ES"/>
        </w:rPr>
      </w:pPr>
    </w:p>
    <w:p w14:paraId="0142FEA8" w14:textId="372006A7" w:rsidR="00A07D8E" w:rsidRPr="00604262" w:rsidRDefault="0035430C" w:rsidP="005E070D">
      <w:pPr>
        <w:pStyle w:val="Prrafodelista"/>
      </w:pPr>
      <w:r w:rsidRPr="00604262">
        <w:rPr>
          <w:rFonts w:eastAsia="Calibri" w:cs="Arial"/>
        </w:rPr>
        <w:t xml:space="preserve"> </w:t>
      </w:r>
      <w:r w:rsidR="00677555" w:rsidRPr="00604262">
        <w:t>El</w:t>
      </w:r>
      <w:r w:rsidRPr="00604262">
        <w:t xml:space="preserve"> </w:t>
      </w:r>
      <w:r w:rsidRPr="00604262">
        <w:rPr>
          <w:b/>
          <w:i/>
        </w:rPr>
        <w:t>representante</w:t>
      </w:r>
      <w:r w:rsidRPr="00604262">
        <w:t xml:space="preserve"> solicitó </w:t>
      </w:r>
      <w:r w:rsidR="00AD7F02" w:rsidRPr="00604262">
        <w:t xml:space="preserve">se </w:t>
      </w:r>
      <w:r w:rsidRPr="00604262">
        <w:t xml:space="preserve">ordene a Bolivia </w:t>
      </w:r>
      <w:r w:rsidR="00AD7F02" w:rsidRPr="00604262">
        <w:t>establecer</w:t>
      </w:r>
      <w:r w:rsidR="005E411B" w:rsidRPr="00604262">
        <w:t>: a)</w:t>
      </w:r>
      <w:r w:rsidRPr="00604262">
        <w:t xml:space="preserve"> políticas dirigidas a obtener, producir, analizar, reconstruir, organizar y facilitar la información contenida en los archivos</w:t>
      </w:r>
      <w:r w:rsidR="000170DC" w:rsidRPr="00604262">
        <w:t xml:space="preserve"> </w:t>
      </w:r>
      <w:r w:rsidR="000170DC" w:rsidRPr="00D23168">
        <w:t>estatales, incluidos los</w:t>
      </w:r>
      <w:r w:rsidRPr="00D23168">
        <w:t xml:space="preserve"> militares</w:t>
      </w:r>
      <w:r w:rsidR="00AD7F02" w:rsidRPr="00D23168">
        <w:t>, conforme a estándares internacionales</w:t>
      </w:r>
      <w:r w:rsidRPr="00D23168">
        <w:t xml:space="preserve">; </w:t>
      </w:r>
      <w:r w:rsidR="005E411B" w:rsidRPr="00D23168">
        <w:t xml:space="preserve">b) </w:t>
      </w:r>
      <w:r w:rsidRPr="00D23168">
        <w:t xml:space="preserve">mecanismos </w:t>
      </w:r>
      <w:r w:rsidR="00AD7F02" w:rsidRPr="00D23168">
        <w:t xml:space="preserve">legales e </w:t>
      </w:r>
      <w:r w:rsidRPr="00D23168">
        <w:t xml:space="preserve">institucionales para garantizar el pleno y efectivo acceso a la información pública; y </w:t>
      </w:r>
      <w:r w:rsidR="005E411B" w:rsidRPr="00D23168">
        <w:t>c)</w:t>
      </w:r>
      <w:r w:rsidR="00AD29C0" w:rsidRPr="00D23168">
        <w:t xml:space="preserve"> garantizar</w:t>
      </w:r>
      <w:r w:rsidR="00AD29C0" w:rsidRPr="00604262">
        <w:rPr>
          <w:b/>
          <w:bCs/>
        </w:rPr>
        <w:t xml:space="preserve"> </w:t>
      </w:r>
      <w:r w:rsidR="00AD7F02" w:rsidRPr="00604262">
        <w:t>el derecho a la verdad a través de un</w:t>
      </w:r>
      <w:r w:rsidRPr="00604262">
        <w:t xml:space="preserve"> marco jurídico </w:t>
      </w:r>
      <w:r w:rsidR="00AD7F02" w:rsidRPr="00604262">
        <w:t>conforme a</w:t>
      </w:r>
      <w:r w:rsidRPr="00604262">
        <w:t xml:space="preserve"> estándares internacionales y </w:t>
      </w:r>
      <w:r w:rsidR="00AD7F02" w:rsidRPr="00604262">
        <w:t xml:space="preserve">las </w:t>
      </w:r>
      <w:r w:rsidRPr="00604262">
        <w:t>mejores prácticas en la materia.</w:t>
      </w:r>
    </w:p>
    <w:p w14:paraId="316A6426" w14:textId="77777777" w:rsidR="00A07D8E" w:rsidRPr="002E61E9" w:rsidRDefault="00A07D8E" w:rsidP="00E55450">
      <w:pPr>
        <w:rPr>
          <w:rFonts w:eastAsia="Calibri"/>
          <w:lang w:val="es-ES"/>
        </w:rPr>
      </w:pPr>
    </w:p>
    <w:p w14:paraId="414B9DB8" w14:textId="5392D247" w:rsidR="002729F6" w:rsidRPr="00B00C4E" w:rsidRDefault="0035430C" w:rsidP="005E070D">
      <w:pPr>
        <w:pStyle w:val="Prrafodelista"/>
      </w:pPr>
      <w:r w:rsidRPr="00A07D8E">
        <w:rPr>
          <w:rFonts w:eastAsia="Calibri"/>
        </w:rPr>
        <w:t xml:space="preserve"> </w:t>
      </w:r>
      <w:r w:rsidRPr="00A93879">
        <w:rPr>
          <w:rFonts w:eastAsia="Calibri"/>
        </w:rPr>
        <w:t xml:space="preserve">El </w:t>
      </w:r>
      <w:r w:rsidRPr="00A93879">
        <w:rPr>
          <w:rFonts w:eastAsia="Calibri"/>
          <w:b/>
          <w:i/>
        </w:rPr>
        <w:t>Estado</w:t>
      </w:r>
      <w:r w:rsidRPr="00A93879">
        <w:rPr>
          <w:rFonts w:eastAsia="Calibri"/>
        </w:rPr>
        <w:t xml:space="preserve"> </w:t>
      </w:r>
      <w:r w:rsidR="00E354C0" w:rsidRPr="00A93879">
        <w:rPr>
          <w:rFonts w:eastAsia="Calibri"/>
        </w:rPr>
        <w:t xml:space="preserve">rechazó las pretensiones con fundamento en que </w:t>
      </w:r>
      <w:r w:rsidRPr="00A93879">
        <w:rPr>
          <w:rFonts w:eastAsia="Calibri"/>
          <w:lang w:eastAsia="es-CR"/>
        </w:rPr>
        <w:t xml:space="preserve">los operadores de justicia, la Comisión de la Verdad y la administración pública tienen acceso a los archivos militares </w:t>
      </w:r>
      <w:r w:rsidR="00E354C0" w:rsidRPr="00A93879">
        <w:rPr>
          <w:rFonts w:eastAsia="Calibri"/>
          <w:lang w:eastAsia="es-CR"/>
        </w:rPr>
        <w:t xml:space="preserve">por </w:t>
      </w:r>
      <w:r w:rsidRPr="00A93879">
        <w:rPr>
          <w:rFonts w:eastAsia="Calibri"/>
          <w:lang w:eastAsia="es-CR"/>
        </w:rPr>
        <w:t xml:space="preserve">orden judicial. </w:t>
      </w:r>
    </w:p>
    <w:p w14:paraId="62AD7BA9" w14:textId="77777777" w:rsidR="002729F6" w:rsidRDefault="002729F6" w:rsidP="00E55450">
      <w:pPr>
        <w:rPr>
          <w:rFonts w:ascii="Verdana" w:hAnsi="Verdana"/>
          <w:b/>
          <w:bCs/>
          <w:color w:val="00B050"/>
          <w:lang w:val="es-ES"/>
        </w:rPr>
      </w:pPr>
    </w:p>
    <w:p w14:paraId="035C9C36" w14:textId="3CA43CE7" w:rsidR="00120EDA" w:rsidRPr="00A5220D" w:rsidRDefault="00C318E1" w:rsidP="005E070D">
      <w:pPr>
        <w:pStyle w:val="Prrafodelista"/>
      </w:pPr>
      <w:bookmarkStart w:id="203" w:name="_Hlk115881420"/>
      <w:r w:rsidRPr="00A5220D">
        <w:t xml:space="preserve">En el </w:t>
      </w:r>
      <w:r w:rsidR="00A065C6" w:rsidRPr="00A5220D">
        <w:t xml:space="preserve">análisis sobre el </w:t>
      </w:r>
      <w:r w:rsidRPr="00A5220D">
        <w:t xml:space="preserve">fondo del presente caso </w:t>
      </w:r>
      <w:r w:rsidR="00A065C6" w:rsidRPr="00A5220D">
        <w:t>(</w:t>
      </w:r>
      <w:r w:rsidR="00A065C6" w:rsidRPr="00E75414">
        <w:rPr>
          <w:i/>
          <w:iCs/>
        </w:rPr>
        <w:t>supra</w:t>
      </w:r>
      <w:r w:rsidR="00A5260D">
        <w:rPr>
          <w:i/>
          <w:iCs/>
        </w:rPr>
        <w:t xml:space="preserve"> </w:t>
      </w:r>
      <w:r w:rsidR="00A5260D">
        <w:t>párr</w:t>
      </w:r>
      <w:r w:rsidR="00031BA5">
        <w:t>s</w:t>
      </w:r>
      <w:r w:rsidR="00A5260D">
        <w:t>.</w:t>
      </w:r>
      <w:r w:rsidR="00A065C6" w:rsidRPr="00E75414">
        <w:rPr>
          <w:i/>
          <w:iCs/>
        </w:rPr>
        <w:t xml:space="preserve"> </w:t>
      </w:r>
      <w:r w:rsidR="00E75414" w:rsidRPr="00E75414">
        <w:t>1</w:t>
      </w:r>
      <w:r w:rsidR="003B3E61">
        <w:t>5</w:t>
      </w:r>
      <w:r w:rsidR="00273841">
        <w:t>3</w:t>
      </w:r>
      <w:r w:rsidR="00031BA5">
        <w:t xml:space="preserve"> y 155</w:t>
      </w:r>
      <w:r w:rsidR="00A065C6" w:rsidRPr="00E75414">
        <w:t>)</w:t>
      </w:r>
      <w:r w:rsidR="00A065C6" w:rsidRPr="00A5220D">
        <w:t xml:space="preserve"> </w:t>
      </w:r>
      <w:r w:rsidRPr="00A5220D">
        <w:t xml:space="preserve">la Corte determinó </w:t>
      </w:r>
      <w:r w:rsidR="00A065C6" w:rsidRPr="00A5220D">
        <w:t xml:space="preserve">que </w:t>
      </w:r>
      <w:r w:rsidR="00886E17" w:rsidRPr="00A5220D">
        <w:t xml:space="preserve">el artículo 98 de la Ley Orgánica de las Fuerzas Armadas de Bolivia </w:t>
      </w:r>
      <w:r w:rsidR="002729F6" w:rsidRPr="00D23168">
        <w:t xml:space="preserve">es contraria a los estándares establecidos por la jurisprudencia de la Corte en materia de acceso a la información por parte de víctimas de graves violaciones de derechos humanos. Por lo que este Tribunal concluyó que </w:t>
      </w:r>
      <w:r w:rsidR="002729F6" w:rsidRPr="00D23168">
        <w:rPr>
          <w:lang w:eastAsia="fr-FR"/>
        </w:rPr>
        <w:t>el Estado impidió a los familiares de Juan Carlos Flores Bedregal  el acceso a información relevante para el esclarecimiento de su desaparición forzada en el marco del golpe de Estado de 17 de julio de 1980 y restringió las actuaciones judiciales relacionadas con dicha información, por lo tanto violó los derechos a buscar y recibir información</w:t>
      </w:r>
      <w:r w:rsidR="00D60818">
        <w:rPr>
          <w:lang w:eastAsia="fr-FR"/>
        </w:rPr>
        <w:t>,</w:t>
      </w:r>
      <w:r w:rsidR="00484BBC">
        <w:rPr>
          <w:lang w:eastAsia="fr-FR"/>
        </w:rPr>
        <w:t xml:space="preserve"> y</w:t>
      </w:r>
      <w:r w:rsidR="00D60818">
        <w:rPr>
          <w:lang w:eastAsia="fr-FR"/>
        </w:rPr>
        <w:t xml:space="preserve"> </w:t>
      </w:r>
      <w:r w:rsidR="002729F6" w:rsidRPr="00D23168">
        <w:rPr>
          <w:lang w:eastAsia="fr-FR"/>
        </w:rPr>
        <w:t>a la independencia judicial consagrados en los artículos 13.1, 13.2</w:t>
      </w:r>
      <w:r w:rsidR="00484BBC">
        <w:rPr>
          <w:lang w:eastAsia="fr-FR"/>
        </w:rPr>
        <w:t xml:space="preserve"> y</w:t>
      </w:r>
      <w:r w:rsidR="00D23168">
        <w:rPr>
          <w:lang w:eastAsia="fr-FR"/>
        </w:rPr>
        <w:t xml:space="preserve"> </w:t>
      </w:r>
      <w:r w:rsidR="002729F6" w:rsidRPr="00D23168">
        <w:rPr>
          <w:lang w:eastAsia="fr-FR"/>
        </w:rPr>
        <w:t>8.1</w:t>
      </w:r>
      <w:r w:rsidR="00484BBC">
        <w:rPr>
          <w:lang w:eastAsia="fr-FR"/>
        </w:rPr>
        <w:t xml:space="preserve"> </w:t>
      </w:r>
      <w:r w:rsidR="002729F6" w:rsidRPr="00D23168">
        <w:rPr>
          <w:lang w:eastAsia="fr-FR"/>
        </w:rPr>
        <w:t>de la Convención Americana, en relación con los artículos 1.1 y</w:t>
      </w:r>
      <w:r w:rsidR="002729F6" w:rsidRPr="00D23168">
        <w:t xml:space="preserve"> 2 </w:t>
      </w:r>
      <w:r w:rsidR="002729F6" w:rsidRPr="00D23168">
        <w:rPr>
          <w:lang w:eastAsia="fr-FR"/>
        </w:rPr>
        <w:t>de dicho instrumento</w:t>
      </w:r>
      <w:r w:rsidR="00273841">
        <w:rPr>
          <w:lang w:eastAsia="fr-FR"/>
        </w:rPr>
        <w:t>, así como el derecho de conocer la verdad</w:t>
      </w:r>
      <w:r w:rsidR="002729F6" w:rsidRPr="00D23168">
        <w:rPr>
          <w:lang w:eastAsia="fr-FR"/>
        </w:rPr>
        <w:t>.</w:t>
      </w:r>
      <w:r w:rsidR="002729F6">
        <w:t xml:space="preserve"> </w:t>
      </w:r>
      <w:r w:rsidR="002140D1" w:rsidRPr="00A5220D">
        <w:t xml:space="preserve">En atención </w:t>
      </w:r>
      <w:r w:rsidR="00947009" w:rsidRPr="00A5220D">
        <w:rPr>
          <w:lang w:val="es-ES_tradnl"/>
        </w:rPr>
        <w:t>a</w:t>
      </w:r>
      <w:r w:rsidR="002140D1" w:rsidRPr="00A5220D">
        <w:t xml:space="preserve"> lo anterior</w:t>
      </w:r>
      <w:r w:rsidR="00947009" w:rsidRPr="00A5220D">
        <w:rPr>
          <w:lang w:val="es-ES_tradnl"/>
        </w:rPr>
        <w:t>, dentro de un plazo razonable</w:t>
      </w:r>
      <w:r w:rsidR="002140D1" w:rsidRPr="00A5220D">
        <w:t xml:space="preserve">, </w:t>
      </w:r>
      <w:r w:rsidR="00947009" w:rsidRPr="00A5220D">
        <w:rPr>
          <w:lang w:val="es-ES_tradnl"/>
        </w:rPr>
        <w:t xml:space="preserve">el </w:t>
      </w:r>
      <w:r w:rsidR="002140D1" w:rsidRPr="00A5220D">
        <w:t xml:space="preserve">Estado </w:t>
      </w:r>
      <w:r w:rsidR="00886E17" w:rsidRPr="00A5220D">
        <w:rPr>
          <w:lang w:val="es-ES_tradnl"/>
        </w:rPr>
        <w:t xml:space="preserve">deberá </w:t>
      </w:r>
      <w:r w:rsidR="002140D1" w:rsidRPr="00A5220D">
        <w:t>adopt</w:t>
      </w:r>
      <w:r w:rsidR="00886E17" w:rsidRPr="00A5220D">
        <w:rPr>
          <w:lang w:val="es-ES_tradnl"/>
        </w:rPr>
        <w:t>ar</w:t>
      </w:r>
      <w:r w:rsidR="002140D1" w:rsidRPr="00A5220D">
        <w:t xml:space="preserve"> las medidas legislativas, administrativas y de cualquier otra índole que sean necesarias para fortalecer el marco normativo de acceso a la información</w:t>
      </w:r>
      <w:r w:rsidR="00947009" w:rsidRPr="00A5220D">
        <w:rPr>
          <w:lang w:val="es-ES_tradnl"/>
        </w:rPr>
        <w:t xml:space="preserve"> en casos de presuntas violaciones a los derechos humanos</w:t>
      </w:r>
      <w:r w:rsidR="002140D1" w:rsidRPr="00A5220D">
        <w:t xml:space="preserve">, </w:t>
      </w:r>
      <w:r w:rsidR="00947009" w:rsidRPr="00A5220D">
        <w:rPr>
          <w:lang w:val="es-ES_tradnl"/>
        </w:rPr>
        <w:t xml:space="preserve">y en particular en lo que respecta a la normativa que rige la reserva de información </w:t>
      </w:r>
      <w:r w:rsidR="00947009" w:rsidRPr="00A5220D">
        <w:t xml:space="preserve">de la Ley Orgánica de las Fuerzas Armadas </w:t>
      </w:r>
      <w:r w:rsidR="00947009" w:rsidRPr="00A5220D">
        <w:rPr>
          <w:lang w:val="es-ES_tradnl"/>
        </w:rPr>
        <w:t xml:space="preserve">cuando impida el esclarecimiento de la desaparición forzada de personas. </w:t>
      </w:r>
      <w:r w:rsidR="00B73E1C" w:rsidRPr="00A5220D">
        <w:t>En este sentido, en el marco de sus respectivas competencias y de las regulaciones procesales correspondientes, l</w:t>
      </w:r>
      <w:r w:rsidR="00EF585A" w:rsidRPr="00A5220D">
        <w:t xml:space="preserve">as autoridades </w:t>
      </w:r>
      <w:r w:rsidR="00B73E1C" w:rsidRPr="00A5220D">
        <w:t xml:space="preserve">deben </w:t>
      </w:r>
      <w:r w:rsidR="00EF585A" w:rsidRPr="00A5220D">
        <w:t xml:space="preserve">ejercer </w:t>
      </w:r>
      <w:r w:rsidR="00EF585A" w:rsidRPr="00A5220D">
        <w:rPr>
          <w:i/>
        </w:rPr>
        <w:t>ex officio</w:t>
      </w:r>
      <w:r w:rsidR="00EF585A" w:rsidRPr="00A5220D">
        <w:t xml:space="preserve"> </w:t>
      </w:r>
      <w:r w:rsidR="00B73E1C" w:rsidRPr="00A5220D">
        <w:t xml:space="preserve">el </w:t>
      </w:r>
      <w:r w:rsidR="00EF585A" w:rsidRPr="00A5220D">
        <w:t>control de convencionalidad entre las normas internas y la Convención Americana</w:t>
      </w:r>
      <w:r w:rsidR="00AE20A6" w:rsidRPr="00A5220D">
        <w:t xml:space="preserve"> a la luz de </w:t>
      </w:r>
      <w:r w:rsidR="00EF585A" w:rsidRPr="00A5220D">
        <w:t>la interpretación que ha hecho la Corte Interamericana</w:t>
      </w:r>
      <w:r w:rsidR="00AE20A6" w:rsidRPr="00A5220D">
        <w:t xml:space="preserve"> en el presente caso</w:t>
      </w:r>
      <w:r w:rsidR="00EF585A" w:rsidRPr="00A5220D">
        <w:t>.</w:t>
      </w:r>
    </w:p>
    <w:p w14:paraId="50626ED0" w14:textId="77777777" w:rsidR="00CD5F67" w:rsidRPr="00A5220D" w:rsidRDefault="00CD5F67" w:rsidP="00E55450">
      <w:pPr>
        <w:rPr>
          <w:lang w:val="es-ES"/>
        </w:rPr>
      </w:pPr>
    </w:p>
    <w:p w14:paraId="4C27BE16" w14:textId="32B2EA01" w:rsidR="00120EDA" w:rsidRPr="00A5220D" w:rsidRDefault="007119BB" w:rsidP="005E070D">
      <w:pPr>
        <w:pStyle w:val="Prrafodelista"/>
      </w:pPr>
      <w:r w:rsidRPr="00A5220D">
        <w:t>Además, de acuerdo a lo resuelto e</w:t>
      </w:r>
      <w:r w:rsidR="002140D1" w:rsidRPr="00A5220D">
        <w:t>n la present</w:t>
      </w:r>
      <w:r w:rsidRPr="00A5220D">
        <w:t>e</w:t>
      </w:r>
      <w:r w:rsidR="002140D1" w:rsidRPr="00A5220D">
        <w:t xml:space="preserve"> Sentencia</w:t>
      </w:r>
      <w:r w:rsidRPr="00A5220D">
        <w:t xml:space="preserve">, </w:t>
      </w:r>
      <w:r w:rsidR="006A113F" w:rsidRPr="00A5220D">
        <w:t>el</w:t>
      </w:r>
      <w:r w:rsidRPr="00A5220D">
        <w:t xml:space="preserve"> </w:t>
      </w:r>
      <w:r w:rsidR="002140D1" w:rsidRPr="00A5220D">
        <w:t>Estado</w:t>
      </w:r>
      <w:r w:rsidRPr="00A5220D">
        <w:t xml:space="preserve"> </w:t>
      </w:r>
      <w:r w:rsidR="007712BE" w:rsidRPr="00A5220D">
        <w:t>deberá levantar</w:t>
      </w:r>
      <w:r w:rsidR="00E255A7" w:rsidRPr="00A5220D">
        <w:t>, en un plazo de un año contado a partir de la notificación de la presente Sentencia,</w:t>
      </w:r>
      <w:r w:rsidR="006A113F" w:rsidRPr="00A5220D">
        <w:t xml:space="preserve"> la reserva de cualquier </w:t>
      </w:r>
      <w:r w:rsidR="002140D1" w:rsidRPr="00A5220D">
        <w:t>document</w:t>
      </w:r>
      <w:r w:rsidR="006A113F" w:rsidRPr="00A5220D">
        <w:t>ación relacionada con</w:t>
      </w:r>
      <w:r w:rsidR="003F1BCA" w:rsidRPr="00A5220D">
        <w:t xml:space="preserve"> la desaparición </w:t>
      </w:r>
      <w:r w:rsidR="006A113F" w:rsidRPr="00A5220D">
        <w:t xml:space="preserve">forzada </w:t>
      </w:r>
      <w:r w:rsidR="003F1BCA" w:rsidRPr="00A5220D">
        <w:t>de Juan Carlos Flores Bedregal en el contexto de</w:t>
      </w:r>
      <w:r w:rsidR="002140D1" w:rsidRPr="00A5220D">
        <w:t xml:space="preserve"> los hechos acontecidos </w:t>
      </w:r>
      <w:r w:rsidR="003F1BCA" w:rsidRPr="00A5220D">
        <w:t xml:space="preserve">el </w:t>
      </w:r>
      <w:r w:rsidR="002140D1" w:rsidRPr="00A5220D">
        <w:t>17 de julio de 1980</w:t>
      </w:r>
      <w:r w:rsidR="003F1BCA" w:rsidRPr="00A5220D">
        <w:t xml:space="preserve">, </w:t>
      </w:r>
      <w:r w:rsidR="00120EDA" w:rsidRPr="00A5220D">
        <w:t xml:space="preserve">que se encuentren bajo </w:t>
      </w:r>
      <w:r w:rsidR="003F1BCA" w:rsidRPr="00A5220D">
        <w:t>control</w:t>
      </w:r>
      <w:r w:rsidR="00120EDA" w:rsidRPr="00A5220D">
        <w:t xml:space="preserve"> de las Fuerzas Armadas y otras entidades estatales.</w:t>
      </w:r>
    </w:p>
    <w:p w14:paraId="537D87D2" w14:textId="77777777" w:rsidR="00CD5F67" w:rsidRPr="00A5220D" w:rsidRDefault="00CD5F67" w:rsidP="00E55450">
      <w:pPr>
        <w:rPr>
          <w:lang w:val="es-ES"/>
        </w:rPr>
      </w:pPr>
    </w:p>
    <w:p w14:paraId="58638477" w14:textId="5D32662F" w:rsidR="0023174F" w:rsidRPr="005E070D" w:rsidRDefault="006A113F" w:rsidP="0023174F">
      <w:pPr>
        <w:pStyle w:val="Prrafodelista"/>
      </w:pPr>
      <w:r w:rsidRPr="00A5220D">
        <w:t>Asimismo</w:t>
      </w:r>
      <w:r w:rsidR="00945C63" w:rsidRPr="00A5220D">
        <w:t xml:space="preserve">, </w:t>
      </w:r>
      <w:r w:rsidRPr="00A5220D">
        <w:t xml:space="preserve">el Estado deberá </w:t>
      </w:r>
      <w:r w:rsidR="00945C63" w:rsidRPr="00A5220D">
        <w:t>establec</w:t>
      </w:r>
      <w:r w:rsidR="003F1BCA" w:rsidRPr="00A5220D">
        <w:t>er</w:t>
      </w:r>
      <w:r w:rsidR="00945C63" w:rsidRPr="00A5220D">
        <w:t xml:space="preserve"> </w:t>
      </w:r>
      <w:r w:rsidR="00133277" w:rsidRPr="00A5220D">
        <w:t xml:space="preserve">un sistema que permita </w:t>
      </w:r>
      <w:r w:rsidR="00945C63" w:rsidRPr="00A5220D">
        <w:t xml:space="preserve">el </w:t>
      </w:r>
      <w:r w:rsidR="00133277" w:rsidRPr="00A5220D">
        <w:t>acceso</w:t>
      </w:r>
      <w:r w:rsidR="00DB4660" w:rsidRPr="00A5220D">
        <w:t xml:space="preserve"> digital</w:t>
      </w:r>
      <w:r w:rsidRPr="00A5220D">
        <w:t xml:space="preserve"> </w:t>
      </w:r>
      <w:r w:rsidR="00DB4660" w:rsidRPr="00A5220D">
        <w:t xml:space="preserve">abierto </w:t>
      </w:r>
      <w:r w:rsidR="00133277" w:rsidRPr="00A5220D">
        <w:t xml:space="preserve">al </w:t>
      </w:r>
      <w:r w:rsidR="00945C63" w:rsidRPr="00A5220D">
        <w:t>Informe de la Comisión de la Verdad</w:t>
      </w:r>
      <w:r w:rsidRPr="00A5220D">
        <w:t xml:space="preserve">, en el plazo un año contado a partir de la notificación de la </w:t>
      </w:r>
      <w:r w:rsidRPr="00A5220D">
        <w:lastRenderedPageBreak/>
        <w:t>presente Sentencia, a fin de alla</w:t>
      </w:r>
      <w:r w:rsidR="00DB4660" w:rsidRPr="00A5220D">
        <w:t xml:space="preserve">nar los </w:t>
      </w:r>
      <w:r w:rsidRPr="00A5220D">
        <w:t xml:space="preserve">obstáculos materiales </w:t>
      </w:r>
      <w:r w:rsidR="00DB4660" w:rsidRPr="00A5220D">
        <w:t>a</w:t>
      </w:r>
      <w:r w:rsidRPr="00A5220D">
        <w:t xml:space="preserve"> </w:t>
      </w:r>
      <w:r w:rsidR="00DB4660" w:rsidRPr="00A5220D">
        <w:t xml:space="preserve">su </w:t>
      </w:r>
      <w:r w:rsidRPr="00A5220D">
        <w:t>consulta en la Biblioteca de la Asamblea Legislativa Plurinacional</w:t>
      </w:r>
      <w:r w:rsidR="00DB4660" w:rsidRPr="00A5220D">
        <w:t>.</w:t>
      </w:r>
    </w:p>
    <w:bookmarkEnd w:id="203"/>
    <w:p w14:paraId="2C880494" w14:textId="46E369B1" w:rsidR="00CD5F67" w:rsidRPr="008B6395" w:rsidRDefault="00CD5F67" w:rsidP="00482C22">
      <w:pPr>
        <w:jc w:val="both"/>
        <w:rPr>
          <w:rFonts w:ascii="Verdana" w:hAnsi="Verdana"/>
          <w:lang w:val="es-ES"/>
        </w:rPr>
      </w:pPr>
    </w:p>
    <w:p w14:paraId="78AB4CBF" w14:textId="38DEFB2F" w:rsidR="0035430C" w:rsidRPr="00CD5F67" w:rsidRDefault="00496DCC" w:rsidP="000D685A">
      <w:pPr>
        <w:ind w:left="709"/>
        <w:jc w:val="both"/>
        <w:rPr>
          <w:rFonts w:ascii="Verdana" w:hAnsi="Verdana"/>
          <w:b/>
          <w:bCs/>
          <w:lang w:val="es-ES"/>
        </w:rPr>
      </w:pPr>
      <w:bookmarkStart w:id="204" w:name="_Toc100230521"/>
      <w:r w:rsidRPr="00CD5F67">
        <w:rPr>
          <w:rFonts w:ascii="Verdana" w:hAnsi="Verdana"/>
          <w:b/>
          <w:bCs/>
          <w:lang w:val="es-ES"/>
        </w:rPr>
        <w:t xml:space="preserve">C.4. </w:t>
      </w:r>
      <w:r w:rsidR="0035430C" w:rsidRPr="00CD5F67">
        <w:rPr>
          <w:rFonts w:ascii="Verdana" w:hAnsi="Verdana"/>
          <w:b/>
          <w:bCs/>
          <w:lang w:val="es-ES"/>
        </w:rPr>
        <w:t>Otras medidas</w:t>
      </w:r>
      <w:bookmarkEnd w:id="204"/>
    </w:p>
    <w:p w14:paraId="5EAC3A17" w14:textId="77777777" w:rsidR="0035430C" w:rsidRPr="00685917" w:rsidRDefault="0035430C" w:rsidP="00482C22">
      <w:pPr>
        <w:autoSpaceDE w:val="0"/>
        <w:autoSpaceDN w:val="0"/>
        <w:adjustRightInd w:val="0"/>
        <w:jc w:val="both"/>
        <w:rPr>
          <w:rFonts w:ascii="Verdana" w:hAnsi="Verdana"/>
          <w:b/>
          <w:lang w:val="es-ES"/>
        </w:rPr>
      </w:pPr>
    </w:p>
    <w:p w14:paraId="75111AB3" w14:textId="6D69771F" w:rsidR="00AC542E" w:rsidRPr="00604262" w:rsidRDefault="00BA7E2F" w:rsidP="005E070D">
      <w:pPr>
        <w:pStyle w:val="Prrafodelista"/>
        <w:rPr>
          <w:bCs/>
        </w:rPr>
      </w:pPr>
      <w:r w:rsidRPr="00604262">
        <w:rPr>
          <w:bCs/>
        </w:rPr>
        <w:t xml:space="preserve">La </w:t>
      </w:r>
      <w:r w:rsidRPr="00524317">
        <w:rPr>
          <w:b/>
          <w:bCs/>
          <w:i/>
          <w:iCs/>
        </w:rPr>
        <w:t>Comisión</w:t>
      </w:r>
      <w:r w:rsidRPr="00604262">
        <w:rPr>
          <w:bCs/>
        </w:rPr>
        <w:t xml:space="preserve"> </w:t>
      </w:r>
      <w:r w:rsidRPr="00604262">
        <w:t>solicitó que se ordene al Estado adoptar las medidas de no repetición necesarias para evitar que en el futuro se produzcan hechos s</w:t>
      </w:r>
      <w:r w:rsidR="00BA2947" w:rsidRPr="00604262">
        <w:t>imilares, incluyendo mecanismos efectivos para la búsqueda e identificación de restos mortales de personas desaparecidas durante las dictaduras militares ocurridas en Bolivia</w:t>
      </w:r>
      <w:r w:rsidR="00BA2947" w:rsidRPr="00604262">
        <w:rPr>
          <w:bCs/>
        </w:rPr>
        <w:t>.</w:t>
      </w:r>
      <w:r w:rsidRPr="00604262">
        <w:rPr>
          <w:bCs/>
        </w:rPr>
        <w:t xml:space="preserve"> </w:t>
      </w:r>
      <w:r w:rsidR="00677555" w:rsidRPr="00604262">
        <w:rPr>
          <w:bCs/>
        </w:rPr>
        <w:t>El</w:t>
      </w:r>
      <w:r w:rsidR="0035430C" w:rsidRPr="00604262">
        <w:rPr>
          <w:bCs/>
        </w:rPr>
        <w:t xml:space="preserve"> </w:t>
      </w:r>
      <w:r w:rsidR="0035430C" w:rsidRPr="00524317">
        <w:rPr>
          <w:b/>
          <w:i/>
          <w:iCs/>
        </w:rPr>
        <w:t>representante</w:t>
      </w:r>
      <w:r w:rsidR="0035430C" w:rsidRPr="00604262">
        <w:t xml:space="preserve"> solicit</w:t>
      </w:r>
      <w:r w:rsidR="00677555" w:rsidRPr="00604262">
        <w:t>ó</w:t>
      </w:r>
      <w:r w:rsidR="0035430C" w:rsidRPr="00604262">
        <w:t xml:space="preserve"> </w:t>
      </w:r>
      <w:r w:rsidR="00E354C0" w:rsidRPr="00604262">
        <w:t>se</w:t>
      </w:r>
      <w:r w:rsidR="0035430C" w:rsidRPr="00604262">
        <w:t xml:space="preserve"> ordene al Estado </w:t>
      </w:r>
      <w:r w:rsidR="00E354C0" w:rsidRPr="00604262">
        <w:t xml:space="preserve">una serie de </w:t>
      </w:r>
      <w:r w:rsidR="0035430C" w:rsidRPr="00604262">
        <w:t xml:space="preserve">medidas </w:t>
      </w:r>
      <w:r w:rsidR="00E354C0" w:rsidRPr="00604262">
        <w:t xml:space="preserve">adicionales </w:t>
      </w:r>
      <w:r w:rsidR="0035430C" w:rsidRPr="00604262">
        <w:t xml:space="preserve">de satisfacción y de no repetición: a) </w:t>
      </w:r>
      <w:r w:rsidR="005B0019" w:rsidRPr="00604262">
        <w:t>g</w:t>
      </w:r>
      <w:r w:rsidR="005B0019" w:rsidRPr="00604262">
        <w:rPr>
          <w:rFonts w:eastAsia="Calibri" w:cs="Arial"/>
        </w:rPr>
        <w:t xml:space="preserve">arantizar que las Fuerzas Armadas rindan homenaje una vez al año a la memoria de un ciudadano ejemplar; b) </w:t>
      </w:r>
      <w:r w:rsidR="0035430C" w:rsidRPr="00604262">
        <w:t xml:space="preserve">elaborar una película biográfica de Juan Carlos Flores Bedregal; </w:t>
      </w:r>
      <w:r w:rsidR="005B0019" w:rsidRPr="00604262">
        <w:t>c</w:t>
      </w:r>
      <w:r w:rsidR="0035430C" w:rsidRPr="00604262">
        <w:t xml:space="preserve">) otorgar el nombre de Juan Carlos Flores Bedregal a un Salón de la Asamblea Legislativa Plurinacional, al igual que a un parque de educación ambiental en la ciudad de Sucre; </w:t>
      </w:r>
      <w:r w:rsidR="005B0019" w:rsidRPr="00604262">
        <w:t>d</w:t>
      </w:r>
      <w:r w:rsidR="0035430C" w:rsidRPr="00604262">
        <w:t>) crea</w:t>
      </w:r>
      <w:r w:rsidR="00E354C0" w:rsidRPr="00604262">
        <w:t>r</w:t>
      </w:r>
      <w:r w:rsidR="0035430C" w:rsidRPr="00604262">
        <w:t xml:space="preserve"> un Instituto de Política y Ética Ambiental enfocado en generar estudios y acopiar investigación científica para proponer políticas y legislación ambiental; </w:t>
      </w:r>
      <w:r w:rsidR="005B0019" w:rsidRPr="00604262">
        <w:t>e</w:t>
      </w:r>
      <w:r w:rsidR="0035430C" w:rsidRPr="00604262">
        <w:t>)</w:t>
      </w:r>
      <w:r w:rsidR="00AD29C0" w:rsidRPr="00604262">
        <w:t xml:space="preserve"> </w:t>
      </w:r>
      <w:r w:rsidR="00AD29C0" w:rsidRPr="00604262">
        <w:rPr>
          <w:iCs/>
        </w:rPr>
        <w:t>mejorar la Unidad Educativa Juan Carlos Flores Bedregal; d)</w:t>
      </w:r>
      <w:r w:rsidR="00AD29C0" w:rsidRPr="00604262">
        <w:rPr>
          <w:bCs/>
          <w:iCs/>
        </w:rPr>
        <w:t xml:space="preserve"> crear mecanismos para la búsqueda e identificación de restos mortales de personas desaparecidas </w:t>
      </w:r>
      <w:r w:rsidR="004C08BE" w:rsidRPr="00604262">
        <w:rPr>
          <w:bCs/>
          <w:iCs/>
        </w:rPr>
        <w:t xml:space="preserve">ocurridas </w:t>
      </w:r>
      <w:r w:rsidR="00AD29C0" w:rsidRPr="00604262">
        <w:rPr>
          <w:bCs/>
          <w:iCs/>
        </w:rPr>
        <w:t>durante las dictaduras</w:t>
      </w:r>
      <w:r w:rsidR="00AD29C0" w:rsidRPr="00604262">
        <w:rPr>
          <w:iCs/>
        </w:rPr>
        <w:t xml:space="preserve">; </w:t>
      </w:r>
      <w:r w:rsidR="004C08BE" w:rsidRPr="00604262">
        <w:rPr>
          <w:iCs/>
        </w:rPr>
        <w:t>f)</w:t>
      </w:r>
      <w:r w:rsidR="0035430C" w:rsidRPr="00604262">
        <w:t xml:space="preserve"> </w:t>
      </w:r>
      <w:r w:rsidR="004C08BE" w:rsidRPr="00604262">
        <w:rPr>
          <w:bCs/>
        </w:rPr>
        <w:t xml:space="preserve">crear una Comisión Especial de Búsqueda del señor Flores Bedregal, la cual deberá contar con los recursos humanos, económicos y científicos adecuados e idóneos para determinar el paradero de la víctima; g) </w:t>
      </w:r>
      <w:r w:rsidR="00E354C0" w:rsidRPr="00604262">
        <w:t xml:space="preserve">implementar </w:t>
      </w:r>
      <w:r w:rsidR="0035430C" w:rsidRPr="00604262">
        <w:t xml:space="preserve">programas de capacitación a miembros de la Fiscalía, la Policía Nacional, el Poder Judicial y estudiantes de derecho en materia de desaparición forzada; </w:t>
      </w:r>
      <w:r w:rsidR="004C08BE" w:rsidRPr="00604262">
        <w:t>h</w:t>
      </w:r>
      <w:r w:rsidR="0035430C" w:rsidRPr="00604262">
        <w:t>)</w:t>
      </w:r>
      <w:r w:rsidR="004C08BE" w:rsidRPr="00604262">
        <w:t xml:space="preserve"> </w:t>
      </w:r>
      <w:r w:rsidR="004C08BE" w:rsidRPr="00604262">
        <w:rPr>
          <w:bCs/>
        </w:rPr>
        <w:t>crear una fiscalía especializada en derechos humanos</w:t>
      </w:r>
      <w:r w:rsidR="0010459C">
        <w:rPr>
          <w:bCs/>
        </w:rPr>
        <w:t>,</w:t>
      </w:r>
      <w:r w:rsidR="004C08BE" w:rsidRPr="00604262">
        <w:rPr>
          <w:bCs/>
        </w:rPr>
        <w:t xml:space="preserve"> </w:t>
      </w:r>
      <w:r w:rsidR="004C08BE" w:rsidRPr="00604262">
        <w:t>e i)</w:t>
      </w:r>
      <w:r w:rsidR="004C08BE" w:rsidRPr="00604262">
        <w:rPr>
          <w:bCs/>
        </w:rPr>
        <w:t xml:space="preserve"> </w:t>
      </w:r>
      <w:r w:rsidR="0035430C" w:rsidRPr="00604262">
        <w:t xml:space="preserve"> </w:t>
      </w:r>
      <w:r w:rsidR="00E354C0" w:rsidRPr="00604262">
        <w:t>crear</w:t>
      </w:r>
      <w:r w:rsidR="00162D1B" w:rsidRPr="00604262">
        <w:t xml:space="preserve"> de un sistema de información genética</w:t>
      </w:r>
      <w:r w:rsidR="004C08BE" w:rsidRPr="00604262">
        <w:t>.</w:t>
      </w:r>
      <w:r w:rsidR="00AA3C61" w:rsidRPr="00604262">
        <w:t xml:space="preserve"> El </w:t>
      </w:r>
      <w:r w:rsidR="00AA3C61" w:rsidRPr="00524317">
        <w:rPr>
          <w:b/>
          <w:i/>
          <w:iCs/>
        </w:rPr>
        <w:t>Estado</w:t>
      </w:r>
      <w:r w:rsidR="00AA3C61" w:rsidRPr="00604262">
        <w:rPr>
          <w:bCs/>
          <w:i/>
          <w:iCs/>
        </w:rPr>
        <w:t xml:space="preserve"> </w:t>
      </w:r>
      <w:r w:rsidR="00AA3C61" w:rsidRPr="00604262">
        <w:rPr>
          <w:bCs/>
        </w:rPr>
        <w:t xml:space="preserve">en </w:t>
      </w:r>
      <w:r w:rsidR="00AC6433" w:rsidRPr="00604262">
        <w:rPr>
          <w:bCs/>
        </w:rPr>
        <w:t>general rechazó</w:t>
      </w:r>
      <w:r w:rsidR="00F01EE1" w:rsidRPr="00604262">
        <w:rPr>
          <w:bCs/>
        </w:rPr>
        <w:t xml:space="preserve"> la</w:t>
      </w:r>
      <w:r w:rsidR="006C7CB5" w:rsidRPr="00604262">
        <w:rPr>
          <w:bCs/>
        </w:rPr>
        <w:t>s pretensiones antes expuestas</w:t>
      </w:r>
      <w:r w:rsidR="00F01EE1" w:rsidRPr="00604262">
        <w:rPr>
          <w:bCs/>
        </w:rPr>
        <w:t>.</w:t>
      </w:r>
    </w:p>
    <w:p w14:paraId="60156D6E" w14:textId="77777777" w:rsidR="00F01EE1" w:rsidRPr="007D114F" w:rsidRDefault="00F01EE1" w:rsidP="007D114F">
      <w:pPr>
        <w:rPr>
          <w:lang w:val="es-ES"/>
        </w:rPr>
      </w:pPr>
    </w:p>
    <w:p w14:paraId="6CC841F9" w14:textId="739324A5" w:rsidR="00EB4D3E" w:rsidRPr="00604262" w:rsidRDefault="0035430C" w:rsidP="005E070D">
      <w:pPr>
        <w:pStyle w:val="Prrafodelista"/>
        <w:rPr>
          <w:bCs/>
        </w:rPr>
      </w:pPr>
      <w:r w:rsidRPr="00604262">
        <w:t>En cuanto a las referidas medidas de reparación solicitadas, la Corte considera que las reparaciones ordenadas en este Capítulo resultan suficientes y adecuadas para r</w:t>
      </w:r>
      <w:r w:rsidR="00E354C0" w:rsidRPr="00604262">
        <w:t>eparar</w:t>
      </w:r>
      <w:r w:rsidRPr="00604262">
        <w:t xml:space="preserve"> las violaciones</w:t>
      </w:r>
      <w:r w:rsidR="00E354C0" w:rsidRPr="00604262">
        <w:t xml:space="preserve"> a la Convención Americana establecidas en </w:t>
      </w:r>
      <w:r w:rsidR="00A065C6" w:rsidRPr="00604262">
        <w:t>la presente Sentencia</w:t>
      </w:r>
      <w:r w:rsidRPr="00604262">
        <w:t xml:space="preserve">. </w:t>
      </w:r>
    </w:p>
    <w:p w14:paraId="61C07073" w14:textId="77777777" w:rsidR="0028799F" w:rsidRPr="00480CEB" w:rsidRDefault="0028799F" w:rsidP="00E55450">
      <w:pPr>
        <w:rPr>
          <w:b/>
          <w:bCs/>
          <w:lang w:val="es-ES"/>
        </w:rPr>
      </w:pPr>
    </w:p>
    <w:p w14:paraId="4B5E7A10" w14:textId="644EAC7B" w:rsidR="00CD5F67" w:rsidRPr="007D09FB" w:rsidRDefault="00CD5F67" w:rsidP="000D685A">
      <w:pPr>
        <w:pStyle w:val="Ttulo2"/>
        <w:numPr>
          <w:ilvl w:val="0"/>
          <w:numId w:val="23"/>
        </w:numPr>
        <w:ind w:left="567"/>
        <w:rPr>
          <w:rFonts w:ascii="Verdana" w:hAnsi="Verdana"/>
          <w:b/>
          <w:bCs/>
          <w:color w:val="auto"/>
          <w:sz w:val="20"/>
          <w:szCs w:val="20"/>
          <w:lang w:val="es-ES"/>
        </w:rPr>
      </w:pPr>
      <w:bookmarkStart w:id="205" w:name="_Toc125037515"/>
      <w:r w:rsidRPr="007D09FB">
        <w:rPr>
          <w:rFonts w:ascii="Verdana" w:hAnsi="Verdana"/>
          <w:b/>
          <w:bCs/>
          <w:color w:val="auto"/>
          <w:sz w:val="20"/>
          <w:szCs w:val="20"/>
          <w:lang w:val="es-ES"/>
        </w:rPr>
        <w:t>Indemnizaciones compensatorias</w:t>
      </w:r>
      <w:bookmarkEnd w:id="205"/>
    </w:p>
    <w:p w14:paraId="027D9A20" w14:textId="77777777" w:rsidR="00CD5F67" w:rsidRPr="00604262" w:rsidRDefault="00CD5F67" w:rsidP="00416108">
      <w:pPr>
        <w:autoSpaceDE w:val="0"/>
        <w:autoSpaceDN w:val="0"/>
        <w:adjustRightInd w:val="0"/>
        <w:jc w:val="both"/>
        <w:rPr>
          <w:rFonts w:ascii="Verdana" w:hAnsi="Verdana"/>
          <w:b/>
          <w:bCs/>
          <w:lang w:val="es-ES"/>
        </w:rPr>
      </w:pPr>
    </w:p>
    <w:p w14:paraId="278E6231" w14:textId="77777777" w:rsidR="00CD5F67" w:rsidRPr="00604262" w:rsidRDefault="00CD5F67" w:rsidP="000D685A">
      <w:pPr>
        <w:ind w:left="709"/>
        <w:jc w:val="both"/>
        <w:rPr>
          <w:rFonts w:ascii="Verdana" w:hAnsi="Verdana"/>
          <w:b/>
          <w:bCs/>
          <w:lang w:val="es-ES"/>
        </w:rPr>
      </w:pPr>
      <w:r w:rsidRPr="00604262">
        <w:rPr>
          <w:rFonts w:ascii="Verdana" w:hAnsi="Verdana"/>
          <w:b/>
          <w:bCs/>
          <w:lang w:val="es-ES"/>
        </w:rPr>
        <w:t>D.1. Daño Material</w:t>
      </w:r>
    </w:p>
    <w:p w14:paraId="035630F6" w14:textId="77777777" w:rsidR="00CD5F67" w:rsidRPr="00604262" w:rsidRDefault="00CD5F67" w:rsidP="00E55450">
      <w:pPr>
        <w:rPr>
          <w:lang w:val="es-ES"/>
        </w:rPr>
      </w:pPr>
    </w:p>
    <w:p w14:paraId="2EDAF03A" w14:textId="2D635894" w:rsidR="00344BED" w:rsidRPr="00604262" w:rsidRDefault="00344BED" w:rsidP="005E070D">
      <w:pPr>
        <w:pStyle w:val="Prrafodelista"/>
      </w:pPr>
      <w:r w:rsidRPr="00604262">
        <w:rPr>
          <w:rFonts w:cs="Verdana"/>
          <w:lang w:bidi="en-US"/>
        </w:rPr>
        <w:t xml:space="preserve">La Corte ha desarrollado en su jurisprudencia el concepto de daño material y los supuestos en que corresponde indemnizarlo. </w:t>
      </w:r>
      <w:r w:rsidRPr="00604262">
        <w:t>Este Tribunal ha establecido que el daño material supone “la pérdida o detrimento de los ingresos de las víctimas, los gastos efectuados con motivo de los hechos y las consecuencias de carácter pecuniario que tengan un nexo causal con los hechos del caso”</w:t>
      </w:r>
      <w:r w:rsidRPr="00604262">
        <w:rPr>
          <w:rFonts w:cs="Verdana"/>
          <w:vertAlign w:val="superscript"/>
          <w:lang w:bidi="en-US"/>
        </w:rPr>
        <w:footnoteReference w:id="234"/>
      </w:r>
      <w:r w:rsidRPr="00604262">
        <w:rPr>
          <w:rFonts w:cs="Verdana"/>
          <w:vertAlign w:val="subscript"/>
          <w:lang w:bidi="en-US"/>
        </w:rPr>
        <w:t>.</w:t>
      </w:r>
    </w:p>
    <w:p w14:paraId="5749F51D" w14:textId="30657EDB" w:rsidR="00CD5F67" w:rsidRPr="00604262" w:rsidRDefault="00CD5F67" w:rsidP="00E55450">
      <w:pPr>
        <w:rPr>
          <w:lang w:val="es-ES" w:bidi="en-US"/>
        </w:rPr>
      </w:pPr>
    </w:p>
    <w:p w14:paraId="40C05BD2" w14:textId="3A1A1CD2" w:rsidR="00CD5F67" w:rsidRPr="00604262" w:rsidRDefault="00CD5F67" w:rsidP="000D685A">
      <w:pPr>
        <w:ind w:left="709"/>
        <w:jc w:val="both"/>
        <w:rPr>
          <w:rFonts w:ascii="Verdana" w:hAnsi="Verdana"/>
          <w:b/>
          <w:bCs/>
          <w:lang w:val="es-ES"/>
        </w:rPr>
      </w:pPr>
      <w:r w:rsidRPr="00604262">
        <w:rPr>
          <w:rFonts w:ascii="Verdana" w:hAnsi="Verdana"/>
          <w:b/>
          <w:bCs/>
          <w:lang w:val="es-ES"/>
        </w:rPr>
        <w:t>D.1.1. Daño Emergente</w:t>
      </w:r>
    </w:p>
    <w:p w14:paraId="759EA6B6" w14:textId="77777777" w:rsidR="00CD5F67" w:rsidRPr="00604262" w:rsidRDefault="00CD5F67" w:rsidP="00E55450">
      <w:pPr>
        <w:rPr>
          <w:lang w:val="es-ES"/>
        </w:rPr>
      </w:pPr>
    </w:p>
    <w:p w14:paraId="6B70FAC4" w14:textId="5F90FD21" w:rsidR="00CD5F67" w:rsidRPr="00604262" w:rsidRDefault="00D017D5" w:rsidP="005E070D">
      <w:pPr>
        <w:pStyle w:val="Prrafodelista"/>
        <w:rPr>
          <w:bCs/>
        </w:rPr>
      </w:pPr>
      <w:r w:rsidRPr="00604262">
        <w:t xml:space="preserve">La </w:t>
      </w:r>
      <w:r w:rsidRPr="00604262">
        <w:rPr>
          <w:b/>
          <w:i/>
        </w:rPr>
        <w:t>Comisión</w:t>
      </w:r>
      <w:r w:rsidRPr="00604262">
        <w:t xml:space="preserve"> también solicitó la reparación por daño material, mediante una justa compensación. </w:t>
      </w:r>
      <w:r w:rsidR="00677555" w:rsidRPr="00604262">
        <w:t>El</w:t>
      </w:r>
      <w:r w:rsidR="00821614" w:rsidRPr="00604262">
        <w:t xml:space="preserve"> </w:t>
      </w:r>
      <w:r w:rsidR="00821614" w:rsidRPr="00604262">
        <w:rPr>
          <w:b/>
          <w:i/>
        </w:rPr>
        <w:t>representante</w:t>
      </w:r>
      <w:r w:rsidR="00821614" w:rsidRPr="00604262">
        <w:t xml:space="preserve"> s</w:t>
      </w:r>
      <w:r w:rsidR="0017454D" w:rsidRPr="00604262">
        <w:t>olicitó el</w:t>
      </w:r>
      <w:r w:rsidR="00821614" w:rsidRPr="00604262">
        <w:t xml:space="preserve"> </w:t>
      </w:r>
      <w:r w:rsidR="00AE20A6" w:rsidRPr="00604262">
        <w:t>resarci</w:t>
      </w:r>
      <w:r w:rsidR="0017454D" w:rsidRPr="00604262">
        <w:t>miento de</w:t>
      </w:r>
      <w:r w:rsidR="00AE20A6" w:rsidRPr="00604262">
        <w:t xml:space="preserve"> </w:t>
      </w:r>
      <w:r w:rsidR="0017454D" w:rsidRPr="00604262">
        <w:t xml:space="preserve">otros </w:t>
      </w:r>
      <w:r w:rsidR="00821614" w:rsidRPr="00604262">
        <w:t xml:space="preserve">gastos </w:t>
      </w:r>
      <w:r w:rsidR="00AE20A6" w:rsidRPr="00604262">
        <w:t>derivados</w:t>
      </w:r>
      <w:r w:rsidR="0017454D" w:rsidRPr="00604262">
        <w:t xml:space="preserve"> del daño causado por las violaciones alegadas, tales como gastos médicos y acciones para visibilizar el caso</w:t>
      </w:r>
      <w:r w:rsidR="00821614" w:rsidRPr="00604262">
        <w:t>. L</w:t>
      </w:r>
      <w:r w:rsidR="00524317">
        <w:t>a</w:t>
      </w:r>
      <w:r w:rsidR="00821614" w:rsidRPr="00604262">
        <w:t>s familiares de la víctima no cuentan con los comprobantes de los gastos antes mencionados. Por lo que</w:t>
      </w:r>
      <w:r w:rsidR="0017454D" w:rsidRPr="00604262">
        <w:t xml:space="preserve"> el representante</w:t>
      </w:r>
      <w:r w:rsidR="00821614" w:rsidRPr="00604262">
        <w:t xml:space="preserve"> solicit</w:t>
      </w:r>
      <w:r w:rsidR="00677555" w:rsidRPr="00604262">
        <w:t>ó</w:t>
      </w:r>
      <w:r w:rsidR="00821614" w:rsidRPr="00604262">
        <w:t xml:space="preserve"> a la Corte que determine en equidad la cantidad correspondiente al daño material que deberá ser entregado a l</w:t>
      </w:r>
      <w:r w:rsidR="00524317">
        <w:t>a</w:t>
      </w:r>
      <w:r w:rsidR="00821614" w:rsidRPr="00604262">
        <w:t xml:space="preserve">s familiares, </w:t>
      </w:r>
      <w:r w:rsidR="0017454D" w:rsidRPr="00604262">
        <w:t>por la suma</w:t>
      </w:r>
      <w:r w:rsidR="00821614" w:rsidRPr="00604262">
        <w:t xml:space="preserve"> de USD$15</w:t>
      </w:r>
      <w:r w:rsidR="00DB06D8" w:rsidRPr="00604262">
        <w:t>.</w:t>
      </w:r>
      <w:r w:rsidR="00821614" w:rsidRPr="00604262">
        <w:t>000</w:t>
      </w:r>
      <w:r w:rsidR="00DB06D8" w:rsidRPr="00604262">
        <w:t>,00</w:t>
      </w:r>
      <w:r w:rsidR="00821614" w:rsidRPr="00604262">
        <w:t xml:space="preserve"> (quince mil dólares de los Estados Unidos de América). </w:t>
      </w:r>
    </w:p>
    <w:p w14:paraId="4BAF2F05" w14:textId="77777777" w:rsidR="00D017D5" w:rsidRPr="007D114F" w:rsidRDefault="00D017D5" w:rsidP="007D114F">
      <w:pPr>
        <w:rPr>
          <w:lang w:val="es-ES"/>
        </w:rPr>
      </w:pPr>
    </w:p>
    <w:p w14:paraId="2CB4EE33" w14:textId="28ED8858" w:rsidR="00821614" w:rsidRPr="00604262" w:rsidRDefault="00821614" w:rsidP="005E070D">
      <w:pPr>
        <w:pStyle w:val="Prrafodelista"/>
        <w:rPr>
          <w:b/>
          <w:bCs/>
        </w:rPr>
      </w:pPr>
      <w:r w:rsidRPr="00604262">
        <w:lastRenderedPageBreak/>
        <w:t xml:space="preserve">El </w:t>
      </w:r>
      <w:r w:rsidRPr="00604262">
        <w:rPr>
          <w:b/>
          <w:i/>
        </w:rPr>
        <w:t>Estado</w:t>
      </w:r>
      <w:r w:rsidRPr="00604262">
        <w:t xml:space="preserve"> alegó que las hermanas Flores Bedregal </w:t>
      </w:r>
      <w:r w:rsidR="00AE20A6" w:rsidRPr="00604262">
        <w:t>contaron con</w:t>
      </w:r>
      <w:r w:rsidRPr="00604262">
        <w:t xml:space="preserve"> la posibilidad de obtener el pago del daño emergente por medio de un proceso civil derivado de las dos sentencias </w:t>
      </w:r>
      <w:r w:rsidR="00AE20A6" w:rsidRPr="00604262">
        <w:t>dictadas</w:t>
      </w:r>
      <w:r w:rsidRPr="00604262">
        <w:t xml:space="preserve"> en la jurisdicción nacional</w:t>
      </w:r>
      <w:r w:rsidR="0010459C" w:rsidRPr="00D23168">
        <w:t xml:space="preserve">, por lo que </w:t>
      </w:r>
      <w:r w:rsidR="006A2054" w:rsidRPr="00D23168">
        <w:t xml:space="preserve">no es viable </w:t>
      </w:r>
      <w:r w:rsidR="0010459C" w:rsidRPr="00D23168">
        <w:t>su</w:t>
      </w:r>
      <w:r w:rsidR="006A2054" w:rsidRPr="00D23168">
        <w:t xml:space="preserve"> pretensión.</w:t>
      </w:r>
    </w:p>
    <w:p w14:paraId="42C93589" w14:textId="77777777" w:rsidR="00CD5F67" w:rsidRPr="002E61E9" w:rsidRDefault="00CD5F67" w:rsidP="00E55450">
      <w:pPr>
        <w:rPr>
          <w:lang w:val="es-ES"/>
        </w:rPr>
      </w:pPr>
    </w:p>
    <w:p w14:paraId="380359FE" w14:textId="6BE654DE" w:rsidR="00821614" w:rsidRPr="00CD5F67" w:rsidRDefault="00821614" w:rsidP="005E070D">
      <w:pPr>
        <w:pStyle w:val="Prrafodelista"/>
        <w:rPr>
          <w:bCs/>
        </w:rPr>
      </w:pPr>
      <w:r w:rsidRPr="00CD5F67">
        <w:t xml:space="preserve">La </w:t>
      </w:r>
      <w:r w:rsidRPr="00CD5F67">
        <w:rPr>
          <w:b/>
          <w:i/>
        </w:rPr>
        <w:t>Corte</w:t>
      </w:r>
      <w:r w:rsidRPr="00CD5F67">
        <w:t xml:space="preserve"> nota que </w:t>
      </w:r>
      <w:r w:rsidR="00677555" w:rsidRPr="00CD5F67">
        <w:t>el</w:t>
      </w:r>
      <w:r w:rsidRPr="00CD5F67">
        <w:t xml:space="preserve"> representante no proporcion</w:t>
      </w:r>
      <w:r w:rsidR="00677555" w:rsidRPr="00CD5F67">
        <w:t>ó</w:t>
      </w:r>
      <w:r w:rsidRPr="00CD5F67">
        <w:t xml:space="preserve"> elemento probatorio alguno que permita acreditar el daño emergente. </w:t>
      </w:r>
      <w:r w:rsidR="00677555" w:rsidRPr="00CD5F67">
        <w:t xml:space="preserve">El representante </w:t>
      </w:r>
      <w:r w:rsidRPr="00CD5F67">
        <w:t>no precis</w:t>
      </w:r>
      <w:r w:rsidR="00677555" w:rsidRPr="00CD5F67">
        <w:t>ó</w:t>
      </w:r>
      <w:r w:rsidRPr="00CD5F67">
        <w:t xml:space="preserve"> cuáles habrían sido los ga</w:t>
      </w:r>
      <w:r w:rsidR="00F70675" w:rsidRPr="00CD5F67">
        <w:t>s</w:t>
      </w:r>
      <w:r w:rsidRPr="00CD5F67">
        <w:t>tos generados por</w:t>
      </w:r>
      <w:r w:rsidRPr="00D30337">
        <w:rPr>
          <w:b/>
          <w:bCs/>
        </w:rPr>
        <w:t xml:space="preserve"> </w:t>
      </w:r>
      <w:r w:rsidR="00D30337" w:rsidRPr="006B1CC6">
        <w:t>los</w:t>
      </w:r>
      <w:r w:rsidRPr="006B1CC6">
        <w:t xml:space="preserve"> </w:t>
      </w:r>
      <w:r w:rsidRPr="00CD5F67">
        <w:t xml:space="preserve">hechos, más allá de </w:t>
      </w:r>
      <w:r w:rsidR="001845F5" w:rsidRPr="00CD5F67">
        <w:t xml:space="preserve">describirlos en </w:t>
      </w:r>
      <w:r w:rsidRPr="00CD5F67">
        <w:t>forma general. En este sentido, no indic</w:t>
      </w:r>
      <w:r w:rsidR="00115985" w:rsidRPr="00CD5F67">
        <w:t>ó</w:t>
      </w:r>
      <w:r w:rsidRPr="00CD5F67">
        <w:t xml:space="preserve"> los montos aproximados de dichas erogaciones ni quiénes los habrían desembolsado. Sin perjuicio de lo anterior, este Tribunal presume, como lo ha hecho en casos anteriores</w:t>
      </w:r>
      <w:r w:rsidRPr="009A54CD">
        <w:rPr>
          <w:vertAlign w:val="superscript"/>
        </w:rPr>
        <w:footnoteReference w:id="235"/>
      </w:r>
      <w:r w:rsidRPr="00CD5F67">
        <w:t>, que l</w:t>
      </w:r>
      <w:r w:rsidR="00524317">
        <w:t>a</w:t>
      </w:r>
      <w:r w:rsidRPr="00CD5F67">
        <w:t xml:space="preserve">s familiares del señor Flores Bedregal </w:t>
      </w:r>
      <w:r w:rsidR="001845F5" w:rsidRPr="00CD5F67">
        <w:t xml:space="preserve">han </w:t>
      </w:r>
      <w:r w:rsidRPr="00CD5F67">
        <w:t>incurri</w:t>
      </w:r>
      <w:r w:rsidR="001845F5" w:rsidRPr="00CD5F67">
        <w:t>do</w:t>
      </w:r>
      <w:r w:rsidRPr="00CD5F67">
        <w:t xml:space="preserve"> en diversos gastos con motivo de </w:t>
      </w:r>
      <w:r w:rsidR="001845F5" w:rsidRPr="00CD5F67">
        <w:t>la búsqueda de justicia en el presente caso</w:t>
      </w:r>
      <w:r w:rsidRPr="00CD5F67">
        <w:t xml:space="preserve">. </w:t>
      </w:r>
    </w:p>
    <w:p w14:paraId="7F7CB8FE" w14:textId="77777777" w:rsidR="00CD5F67" w:rsidRPr="002E61E9" w:rsidRDefault="00CD5F67" w:rsidP="00E55450">
      <w:pPr>
        <w:rPr>
          <w:lang w:val="es-ES"/>
        </w:rPr>
      </w:pPr>
    </w:p>
    <w:p w14:paraId="61D3990C" w14:textId="09D1574F" w:rsidR="00821614" w:rsidRPr="00D30337" w:rsidRDefault="00821614" w:rsidP="005E070D">
      <w:pPr>
        <w:pStyle w:val="Prrafodelista"/>
        <w:rPr>
          <w:bCs/>
        </w:rPr>
      </w:pPr>
      <w:r w:rsidRPr="00CD5F67">
        <w:t>En consecuencia, este Tribunal fija, en equidad, la suma de USD$1</w:t>
      </w:r>
      <w:r w:rsidR="006E5083" w:rsidRPr="00CD5F67">
        <w:t>5</w:t>
      </w:r>
      <w:r w:rsidRPr="00CD5F67">
        <w:t>.000,00 (</w:t>
      </w:r>
      <w:r w:rsidR="006E5083" w:rsidRPr="00CD5F67">
        <w:t>quince</w:t>
      </w:r>
      <w:r w:rsidR="00D55E48" w:rsidRPr="00CD5F67">
        <w:t xml:space="preserve"> </w:t>
      </w:r>
      <w:r w:rsidRPr="00CD5F67">
        <w:t>mil dólares de los Estados Unidos de América) por concepto de daño emergente</w:t>
      </w:r>
      <w:r w:rsidR="00156E78" w:rsidRPr="00CD5F67">
        <w:t xml:space="preserve"> a favor de las víctimas.</w:t>
      </w:r>
      <w:r w:rsidR="007B1331" w:rsidRPr="00CD5F67">
        <w:t xml:space="preserve"> </w:t>
      </w:r>
      <w:r w:rsidR="00C65AE7" w:rsidRPr="00CD5F67">
        <w:t xml:space="preserve">El Estado deberá dividir </w:t>
      </w:r>
      <w:r w:rsidR="007B1331" w:rsidRPr="00CD5F67">
        <w:t>en partes iguales</w:t>
      </w:r>
      <w:r w:rsidR="00C65AE7" w:rsidRPr="00CD5F67">
        <w:t xml:space="preserve"> la referida cantidad y entregar la parte proporcional </w:t>
      </w:r>
      <w:r w:rsidR="006F04AD" w:rsidRPr="00CD5F67">
        <w:t>a cada una de las siguientes personas:</w:t>
      </w:r>
      <w:r w:rsidR="006F04AD" w:rsidRPr="00CD5F67">
        <w:rPr>
          <w:b/>
          <w:bCs/>
        </w:rPr>
        <w:t xml:space="preserve"> </w:t>
      </w:r>
      <w:r w:rsidRPr="00CD5F67">
        <w:t xml:space="preserve"> </w:t>
      </w:r>
      <w:r w:rsidR="00286A19" w:rsidRPr="00CD5F67">
        <w:rPr>
          <w:rFonts w:cs="Verdana"/>
        </w:rPr>
        <w:t>Olga Beatriz, Verónica</w:t>
      </w:r>
      <w:r w:rsidR="00156E78" w:rsidRPr="00CD5F67">
        <w:rPr>
          <w:rFonts w:cs="Verdana"/>
        </w:rPr>
        <w:t>, Eliana Is</w:t>
      </w:r>
      <w:r w:rsidR="00AA138F" w:rsidRPr="00CD5F67">
        <w:rPr>
          <w:rFonts w:cs="Verdana"/>
        </w:rPr>
        <w:t>be</w:t>
      </w:r>
      <w:r w:rsidR="00156E78" w:rsidRPr="00CD5F67">
        <w:rPr>
          <w:rFonts w:cs="Verdana"/>
        </w:rPr>
        <w:t>l</w:t>
      </w:r>
      <w:r w:rsidR="00AA138F" w:rsidRPr="00CD5F67">
        <w:rPr>
          <w:rFonts w:cs="Verdana"/>
        </w:rPr>
        <w:t>i</w:t>
      </w:r>
      <w:r w:rsidR="00156E78" w:rsidRPr="00CD5F67">
        <w:rPr>
          <w:rFonts w:cs="Verdana"/>
        </w:rPr>
        <w:t>a</w:t>
      </w:r>
      <w:r w:rsidR="00286A19" w:rsidRPr="00CD5F67">
        <w:rPr>
          <w:rFonts w:cs="Verdana"/>
          <w:color w:val="00B050"/>
        </w:rPr>
        <w:t xml:space="preserve"> </w:t>
      </w:r>
      <w:r w:rsidR="00286A19" w:rsidRPr="00CD5F67">
        <w:rPr>
          <w:rFonts w:cs="Verdana"/>
        </w:rPr>
        <w:t>y Lilian Teresa</w:t>
      </w:r>
      <w:r w:rsidR="00504BE4" w:rsidRPr="00CD5F67">
        <w:rPr>
          <w:rFonts w:cs="Verdana"/>
        </w:rPr>
        <w:t>, todas</w:t>
      </w:r>
      <w:r w:rsidR="00286A19" w:rsidRPr="00CD5F67">
        <w:rPr>
          <w:rFonts w:cs="Verdana"/>
        </w:rPr>
        <w:t xml:space="preserve"> </w:t>
      </w:r>
      <w:r w:rsidRPr="00CD5F67">
        <w:t>Flores Bedregal</w:t>
      </w:r>
      <w:r w:rsidRPr="00A5220D">
        <w:rPr>
          <w:rFonts w:cs="Verdana"/>
          <w:color w:val="000000"/>
        </w:rPr>
        <w:t xml:space="preserve">. </w:t>
      </w:r>
      <w:r w:rsidR="006505F0" w:rsidRPr="00A5220D">
        <w:t>La parte correspondiente a personas fallecidas deberá dividirse entre sus herederos.</w:t>
      </w:r>
    </w:p>
    <w:p w14:paraId="3B7351F9" w14:textId="77777777" w:rsidR="00CD5F67" w:rsidRPr="002E61E9" w:rsidRDefault="00CD5F67" w:rsidP="00E55450">
      <w:pPr>
        <w:rPr>
          <w:lang w:val="es-ES"/>
        </w:rPr>
      </w:pPr>
    </w:p>
    <w:p w14:paraId="1C68B8DD" w14:textId="77777777" w:rsidR="00CD5F67" w:rsidRPr="00CD5F67" w:rsidRDefault="00CD5F67" w:rsidP="000D685A">
      <w:pPr>
        <w:ind w:left="709"/>
        <w:jc w:val="both"/>
        <w:rPr>
          <w:rFonts w:ascii="Verdana" w:hAnsi="Verdana"/>
          <w:b/>
          <w:bCs/>
          <w:lang w:val="es-ES"/>
        </w:rPr>
      </w:pPr>
      <w:r w:rsidRPr="00CD5F67">
        <w:rPr>
          <w:rFonts w:ascii="Verdana" w:hAnsi="Verdana"/>
          <w:b/>
          <w:bCs/>
          <w:lang w:val="es-ES"/>
        </w:rPr>
        <w:t>D.1.2. Pérdida de Ingresos</w:t>
      </w:r>
    </w:p>
    <w:p w14:paraId="4BDA8F42" w14:textId="77777777" w:rsidR="00CD5F67" w:rsidRPr="007712BE" w:rsidRDefault="00CD5F67" w:rsidP="00416108">
      <w:pPr>
        <w:rPr>
          <w:rFonts w:ascii="Verdana" w:hAnsi="Verdana"/>
          <w:bCs/>
          <w:lang w:val="es-ES"/>
        </w:rPr>
      </w:pPr>
    </w:p>
    <w:p w14:paraId="7EC9EC20" w14:textId="77777777" w:rsidR="00235483" w:rsidRPr="00D23168" w:rsidRDefault="00D017D5" w:rsidP="005E070D">
      <w:pPr>
        <w:pStyle w:val="Prrafodelista"/>
      </w:pPr>
      <w:r w:rsidRPr="009E6611">
        <w:t xml:space="preserve">La </w:t>
      </w:r>
      <w:r w:rsidRPr="009E6611">
        <w:rPr>
          <w:b/>
          <w:i/>
        </w:rPr>
        <w:t>Comisión</w:t>
      </w:r>
      <w:r w:rsidRPr="009E6611">
        <w:t xml:space="preserve"> </w:t>
      </w:r>
      <w:r w:rsidRPr="005E070D">
        <w:t>solicitó</w:t>
      </w:r>
      <w:r w:rsidRPr="009E6611">
        <w:t xml:space="preserve"> la reparación de las violaciones a los derechos humanos del presente caso en el aspecto material, incluyendo una justa compensación. </w:t>
      </w:r>
      <w:r w:rsidRPr="009E6611">
        <w:rPr>
          <w:b/>
          <w:bCs/>
        </w:rPr>
        <w:t xml:space="preserve"> </w:t>
      </w:r>
      <w:r w:rsidR="00115985" w:rsidRPr="009E6611">
        <w:t>El</w:t>
      </w:r>
      <w:r w:rsidR="00821614" w:rsidRPr="009E6611">
        <w:t xml:space="preserve"> </w:t>
      </w:r>
      <w:r w:rsidR="00821614" w:rsidRPr="009E6611">
        <w:rPr>
          <w:b/>
          <w:i/>
        </w:rPr>
        <w:t>representante</w:t>
      </w:r>
      <w:r w:rsidR="00821614" w:rsidRPr="009E6611">
        <w:t xml:space="preserve"> argument</w:t>
      </w:r>
      <w:r w:rsidR="00115985" w:rsidRPr="009E6611">
        <w:t xml:space="preserve">ó </w:t>
      </w:r>
      <w:r w:rsidR="00821614" w:rsidRPr="009E6611">
        <w:t xml:space="preserve">que, a la fecha de la desaparición forzada el señor Flores Bedregal tenía 27 años y se desempeñaba como </w:t>
      </w:r>
      <w:r w:rsidR="00115985" w:rsidRPr="009E6611">
        <w:t>d</w:t>
      </w:r>
      <w:r w:rsidR="00821614" w:rsidRPr="009E6611">
        <w:t>iputado, por lo que multiplicando su salario mensual de USD$3,000 (tres mil dólares de los Estados Unidos de América) por la cantidad de meses hasta los 52 años, que corresponde a la expectativa de vida de la época, este rubro ascendería a USD$975</w:t>
      </w:r>
      <w:r w:rsidR="00001F9D" w:rsidRPr="009E6611">
        <w:t>.</w:t>
      </w:r>
      <w:r w:rsidR="00821614" w:rsidRPr="009E6611">
        <w:t>000</w:t>
      </w:r>
      <w:r w:rsidR="00001F9D" w:rsidRPr="009E6611">
        <w:t>,</w:t>
      </w:r>
      <w:r w:rsidR="00821614" w:rsidRPr="009E6611">
        <w:t xml:space="preserve">00 (novecientos setenta y cinco </w:t>
      </w:r>
      <w:r w:rsidR="00821614" w:rsidRPr="00D23168">
        <w:t xml:space="preserve">mil dólares de los Estados Unidos de América), </w:t>
      </w:r>
      <w:r w:rsidRPr="00D23168">
        <w:t xml:space="preserve">y solicitó </w:t>
      </w:r>
      <w:r w:rsidR="00821614" w:rsidRPr="00D23168">
        <w:t>que la Corte ordene al Estado</w:t>
      </w:r>
      <w:r w:rsidRPr="00D23168">
        <w:t xml:space="preserve"> pagar dicho monto</w:t>
      </w:r>
      <w:r w:rsidR="00821614" w:rsidRPr="00D23168">
        <w:t>.</w:t>
      </w:r>
    </w:p>
    <w:p w14:paraId="219D6F84" w14:textId="7B9ADAD4" w:rsidR="00CD5F67" w:rsidRPr="00D23168" w:rsidRDefault="00821614" w:rsidP="007D114F">
      <w:pPr>
        <w:rPr>
          <w:lang w:val="es-ES"/>
        </w:rPr>
      </w:pPr>
      <w:r w:rsidRPr="00D23168">
        <w:rPr>
          <w:lang w:val="es-ES"/>
        </w:rPr>
        <w:t xml:space="preserve"> </w:t>
      </w:r>
    </w:p>
    <w:p w14:paraId="5FB393D5" w14:textId="5C57AC66" w:rsidR="00821614" w:rsidRPr="009E6611" w:rsidRDefault="00821614" w:rsidP="005E070D">
      <w:pPr>
        <w:pStyle w:val="Prrafodelista"/>
        <w:rPr>
          <w:bCs/>
        </w:rPr>
      </w:pPr>
      <w:r w:rsidRPr="009E6611">
        <w:t xml:space="preserve">El </w:t>
      </w:r>
      <w:r w:rsidRPr="009E6611">
        <w:rPr>
          <w:b/>
          <w:i/>
        </w:rPr>
        <w:t>Estado</w:t>
      </w:r>
      <w:r w:rsidRPr="009E6611">
        <w:t xml:space="preserve"> </w:t>
      </w:r>
      <w:r w:rsidR="00A5677C" w:rsidRPr="009E6611">
        <w:t>reiteró</w:t>
      </w:r>
      <w:r w:rsidRPr="009E6611">
        <w:t xml:space="preserve"> que las hermanas Flores Bedregal tuvieron la posibilidad de obtener el pago del lucro cesante, por medio de un proceso civil derivado de las dos sentencias emitidas en la jurisdicción nacional</w:t>
      </w:r>
      <w:r w:rsidR="00D55E48" w:rsidRPr="009E6611">
        <w:t>.</w:t>
      </w:r>
      <w:r w:rsidRPr="009E6611">
        <w:t xml:space="preserve"> </w:t>
      </w:r>
      <w:r w:rsidR="006A2054" w:rsidRPr="00D23168">
        <w:t xml:space="preserve">Por lo tanto, </w:t>
      </w:r>
      <w:r w:rsidR="00AF2215" w:rsidRPr="00D23168">
        <w:t xml:space="preserve">sostuvo que </w:t>
      </w:r>
      <w:r w:rsidR="006A2054" w:rsidRPr="00D23168">
        <w:t>no es viable la pretensión de las hermanas Flores Bedregal.</w:t>
      </w:r>
    </w:p>
    <w:p w14:paraId="04672E98" w14:textId="77777777" w:rsidR="00CD5F67" w:rsidRPr="002E61E9" w:rsidRDefault="00CD5F67" w:rsidP="00E55450">
      <w:pPr>
        <w:rPr>
          <w:lang w:val="es-ES"/>
        </w:rPr>
      </w:pPr>
    </w:p>
    <w:p w14:paraId="5C8A617F" w14:textId="1F934290" w:rsidR="002B4667" w:rsidRPr="005E070D" w:rsidRDefault="00D55E48" w:rsidP="005E070D">
      <w:pPr>
        <w:pStyle w:val="Prrafodelista"/>
        <w:rPr>
          <w:bCs/>
        </w:rPr>
      </w:pPr>
      <w:r w:rsidRPr="00133277">
        <w:t>Según surge de los alegatos de las partes,</w:t>
      </w:r>
      <w:r w:rsidR="00DF47C9" w:rsidRPr="00133277">
        <w:t xml:space="preserve"> Juan Carlos Flores Bedregal </w:t>
      </w:r>
      <w:r w:rsidR="008B3785" w:rsidRPr="00133277">
        <w:t>se desempeñaba como diputado en el Congreso</w:t>
      </w:r>
      <w:r w:rsidRPr="00133277">
        <w:t xml:space="preserve"> Nacional al momento de los hechos. Sin embargo</w:t>
      </w:r>
      <w:r w:rsidR="00C06D0A" w:rsidRPr="00133277">
        <w:t xml:space="preserve">, </w:t>
      </w:r>
      <w:r w:rsidR="008B3785" w:rsidRPr="00133277">
        <w:t xml:space="preserve">no </w:t>
      </w:r>
      <w:r w:rsidRPr="00133277">
        <w:t xml:space="preserve">se </w:t>
      </w:r>
      <w:r w:rsidR="008B3785" w:rsidRPr="00133277">
        <w:t>cuenta con elementos</w:t>
      </w:r>
      <w:r w:rsidR="008B3785" w:rsidRPr="00D23168">
        <w:t xml:space="preserve"> </w:t>
      </w:r>
      <w:r w:rsidR="00D30337" w:rsidRPr="00D23168">
        <w:t>suficientes</w:t>
      </w:r>
      <w:r w:rsidR="00D30337">
        <w:t xml:space="preserve"> </w:t>
      </w:r>
      <w:r w:rsidR="008B3785" w:rsidRPr="00133277">
        <w:t xml:space="preserve">de prueba relacionados </w:t>
      </w:r>
      <w:r w:rsidR="00505BE9" w:rsidRPr="00133277">
        <w:t xml:space="preserve">con sus </w:t>
      </w:r>
      <w:r w:rsidR="008B3785" w:rsidRPr="00133277">
        <w:t>ingresos</w:t>
      </w:r>
      <w:r w:rsidR="00505BE9" w:rsidRPr="00133277">
        <w:t xml:space="preserve">. Por lo tanto, la Corte decide establecer, </w:t>
      </w:r>
      <w:r w:rsidR="00AF07BF" w:rsidRPr="00133277">
        <w:t>en equidad</w:t>
      </w:r>
      <w:r w:rsidR="00504BE4" w:rsidRPr="00133277">
        <w:t>,</w:t>
      </w:r>
      <w:r w:rsidR="00AF07BF" w:rsidRPr="00133277">
        <w:t xml:space="preserve"> la suma de USD</w:t>
      </w:r>
      <w:r w:rsidR="00504BE4" w:rsidRPr="00133277">
        <w:t>$</w:t>
      </w:r>
      <w:r w:rsidR="00AF07BF" w:rsidRPr="00133277">
        <w:t>100.000</w:t>
      </w:r>
      <w:r w:rsidR="00E47A8C">
        <w:t>,00</w:t>
      </w:r>
      <w:r w:rsidR="00AF07BF" w:rsidRPr="00133277">
        <w:t xml:space="preserve"> (cien mil dólares de los Estados Unidos</w:t>
      </w:r>
      <w:r w:rsidR="00D30337">
        <w:t xml:space="preserve"> de América</w:t>
      </w:r>
      <w:r w:rsidR="00AF07BF" w:rsidRPr="00133277">
        <w:t>), por concepto de pérdida de ingresos a favor de Juan Carlos Flores Bedregal</w:t>
      </w:r>
      <w:r w:rsidR="00C91269" w:rsidRPr="00133277">
        <w:t>.</w:t>
      </w:r>
      <w:r w:rsidR="00A65F06" w:rsidRPr="00133277">
        <w:t xml:space="preserve"> </w:t>
      </w:r>
      <w:r w:rsidR="00505BE9" w:rsidRPr="00133277">
        <w:t>Dicho monto</w:t>
      </w:r>
      <w:r w:rsidR="00C91269" w:rsidRPr="00133277">
        <w:t xml:space="preserve"> deberá dividirse en partes iguales entre </w:t>
      </w:r>
      <w:r w:rsidR="00C91269" w:rsidRPr="00133277">
        <w:rPr>
          <w:rFonts w:cs="Verdana"/>
        </w:rPr>
        <w:t xml:space="preserve">Olga Beatriz, Verónica, Eliana </w:t>
      </w:r>
      <w:r w:rsidR="00156E78" w:rsidRPr="00133277">
        <w:rPr>
          <w:rFonts w:cs="Verdana"/>
        </w:rPr>
        <w:t xml:space="preserve">Isbelia </w:t>
      </w:r>
      <w:r w:rsidR="00C91269" w:rsidRPr="00133277">
        <w:rPr>
          <w:rFonts w:cs="Verdana"/>
        </w:rPr>
        <w:t xml:space="preserve">y Lilian Teresa </w:t>
      </w:r>
      <w:r w:rsidR="00504BE4" w:rsidRPr="00133277">
        <w:rPr>
          <w:rFonts w:cs="Verdana"/>
        </w:rPr>
        <w:t xml:space="preserve">todas </w:t>
      </w:r>
      <w:r w:rsidR="00C91269" w:rsidRPr="00133277">
        <w:t>Flores Bedregal</w:t>
      </w:r>
      <w:r w:rsidR="00C91269" w:rsidRPr="00133277">
        <w:rPr>
          <w:rFonts w:cs="Verdana"/>
          <w:color w:val="000000"/>
        </w:rPr>
        <w:t>.</w:t>
      </w:r>
      <w:r w:rsidR="00C91269" w:rsidRPr="00133277">
        <w:t xml:space="preserve"> La parte correspondiente a personas fallecidas deberá dividirse entre sus herederos.</w:t>
      </w:r>
      <w:r w:rsidR="004A19FE" w:rsidRPr="00133277">
        <w:t xml:space="preserve"> </w:t>
      </w:r>
      <w:r w:rsidR="00505BE9" w:rsidRPr="00133277">
        <w:t xml:space="preserve">Con relación a la señora Adela Hortensia </w:t>
      </w:r>
      <w:r w:rsidR="00152E61" w:rsidRPr="00133277">
        <w:t>Villamil</w:t>
      </w:r>
      <w:r w:rsidR="00505BE9" w:rsidRPr="00133277">
        <w:t>,</w:t>
      </w:r>
      <w:r w:rsidR="00152E61" w:rsidRPr="00133277">
        <w:t xml:space="preserve"> </w:t>
      </w:r>
      <w:r w:rsidR="004A19FE" w:rsidRPr="00133277">
        <w:t xml:space="preserve">quien no se presenta como parte lesionada en el presente caso, la Corte entiende que </w:t>
      </w:r>
      <w:r w:rsidR="00A13C38" w:rsidRPr="00133277">
        <w:t xml:space="preserve">alcanzó un </w:t>
      </w:r>
      <w:r w:rsidR="00152E61" w:rsidRPr="00133277">
        <w:t xml:space="preserve">acuerdo </w:t>
      </w:r>
      <w:r w:rsidR="004A19FE" w:rsidRPr="00133277">
        <w:t xml:space="preserve">directo con el Estado sobre medidas de </w:t>
      </w:r>
      <w:r w:rsidR="00152E61" w:rsidRPr="00133277">
        <w:t>satisfacción</w:t>
      </w:r>
      <w:r w:rsidR="004A19FE" w:rsidRPr="00133277">
        <w:t xml:space="preserve"> y compensación</w:t>
      </w:r>
      <w:r w:rsidR="00A45AC7" w:rsidRPr="009A54CD">
        <w:rPr>
          <w:vertAlign w:val="superscript"/>
        </w:rPr>
        <w:footnoteReference w:id="236"/>
      </w:r>
      <w:r w:rsidR="004A19FE" w:rsidRPr="00133277">
        <w:t>.</w:t>
      </w:r>
    </w:p>
    <w:p w14:paraId="6F6D5D0F" w14:textId="36D9977C" w:rsidR="005E070D" w:rsidRDefault="005E070D" w:rsidP="005E070D">
      <w:pPr>
        <w:pStyle w:val="Prrafodelista"/>
        <w:numPr>
          <w:ilvl w:val="0"/>
          <w:numId w:val="0"/>
        </w:numPr>
        <w:rPr>
          <w:bCs/>
        </w:rPr>
      </w:pPr>
    </w:p>
    <w:p w14:paraId="54955041" w14:textId="77777777" w:rsidR="005E070D" w:rsidRPr="005E070D" w:rsidRDefault="005E070D" w:rsidP="005E070D">
      <w:pPr>
        <w:pStyle w:val="Prrafodelista"/>
        <w:numPr>
          <w:ilvl w:val="0"/>
          <w:numId w:val="0"/>
        </w:numPr>
        <w:rPr>
          <w:bCs/>
        </w:rPr>
      </w:pPr>
    </w:p>
    <w:p w14:paraId="5B0BE891" w14:textId="77777777" w:rsidR="00CD5F67" w:rsidRPr="002E61E9" w:rsidRDefault="00CD5F67" w:rsidP="00E55450">
      <w:pPr>
        <w:rPr>
          <w:lang w:val="es-ES"/>
        </w:rPr>
      </w:pPr>
    </w:p>
    <w:p w14:paraId="1D2FA51C" w14:textId="3D8F41C6" w:rsidR="00AE7ACE" w:rsidRPr="005A797E" w:rsidRDefault="00CD5F67" w:rsidP="000D685A">
      <w:pPr>
        <w:ind w:left="709" w:hanging="1"/>
        <w:jc w:val="both"/>
        <w:rPr>
          <w:rFonts w:ascii="Verdana" w:hAnsi="Verdana"/>
          <w:b/>
          <w:bCs/>
          <w:lang w:val="es-ES"/>
        </w:rPr>
      </w:pPr>
      <w:r w:rsidRPr="00CD5F67">
        <w:rPr>
          <w:rFonts w:ascii="Verdana" w:hAnsi="Verdana"/>
          <w:b/>
          <w:bCs/>
          <w:lang w:val="es-ES"/>
        </w:rPr>
        <w:lastRenderedPageBreak/>
        <w:t>D.2. Daño Inmaterial</w:t>
      </w:r>
    </w:p>
    <w:p w14:paraId="57C09B64" w14:textId="77777777" w:rsidR="00CD5F67" w:rsidRPr="002E61E9" w:rsidRDefault="00CD5F67" w:rsidP="00E55450">
      <w:pPr>
        <w:rPr>
          <w:lang w:val="es-ES"/>
        </w:rPr>
      </w:pPr>
    </w:p>
    <w:p w14:paraId="56FE871C" w14:textId="65BA13A0" w:rsidR="00CD5F67" w:rsidRPr="009E6611" w:rsidRDefault="00821614" w:rsidP="005E070D">
      <w:pPr>
        <w:pStyle w:val="Prrafodelista"/>
        <w:rPr>
          <w:bCs/>
        </w:rPr>
      </w:pPr>
      <w:r w:rsidRPr="009E6611">
        <w:t xml:space="preserve">En cuanto al daño inmaterial, </w:t>
      </w:r>
      <w:r w:rsidR="00235483" w:rsidRPr="009E6611">
        <w:t xml:space="preserve">la </w:t>
      </w:r>
      <w:r w:rsidR="00235483" w:rsidRPr="009E6611">
        <w:rPr>
          <w:b/>
          <w:i/>
        </w:rPr>
        <w:t>Comisión</w:t>
      </w:r>
      <w:r w:rsidR="00235483" w:rsidRPr="009E6611">
        <w:t xml:space="preserve"> </w:t>
      </w:r>
      <w:r w:rsidR="00235483" w:rsidRPr="00D23168">
        <w:t xml:space="preserve">solicitó la reparación de las violaciones a los derechos humanos del presente caso en el aspecto moral, incluyendo una justa compensación. Por su parte, </w:t>
      </w:r>
      <w:r w:rsidR="00115985" w:rsidRPr="00D23168">
        <w:t>el</w:t>
      </w:r>
      <w:r w:rsidRPr="00D23168">
        <w:t xml:space="preserve"> </w:t>
      </w:r>
      <w:r w:rsidRPr="00D23168">
        <w:rPr>
          <w:b/>
          <w:bCs/>
          <w:i/>
        </w:rPr>
        <w:t>representante</w:t>
      </w:r>
      <w:r w:rsidRPr="00D23168">
        <w:rPr>
          <w:b/>
          <w:bCs/>
        </w:rPr>
        <w:t xml:space="preserve"> </w:t>
      </w:r>
      <w:r w:rsidRPr="00D23168">
        <w:t>solicit</w:t>
      </w:r>
      <w:r w:rsidR="00115985" w:rsidRPr="00D23168">
        <w:t>ó</w:t>
      </w:r>
      <w:r w:rsidRPr="00D23168">
        <w:t xml:space="preserve"> a la Corte que ordene al Estado el pago de dos montos por dicho concepto. En primer lugar, con motivo del daño ocasionado a l</w:t>
      </w:r>
      <w:r w:rsidR="00EB4D3E" w:rsidRPr="00D23168">
        <w:t>a</w:t>
      </w:r>
      <w:r w:rsidRPr="00D23168">
        <w:t xml:space="preserve">s familiares de la víctima por la </w:t>
      </w:r>
      <w:r w:rsidR="00324F25" w:rsidRPr="00D23168">
        <w:t xml:space="preserve">en razón de la desaparición, </w:t>
      </w:r>
      <w:r w:rsidRPr="00D23168">
        <w:t>estigmatización y la impunidad sufrida</w:t>
      </w:r>
      <w:r w:rsidR="00DC7115" w:rsidRPr="00D23168">
        <w:t>s</w:t>
      </w:r>
      <w:r w:rsidRPr="00D23168">
        <w:t xml:space="preserve"> por la negación sistemática de la desaparición forzada</w:t>
      </w:r>
      <w:r w:rsidR="00DC7115" w:rsidRPr="00D23168">
        <w:t>,</w:t>
      </w:r>
      <w:r w:rsidRPr="00D23168">
        <w:t xml:space="preserve"> así como por las afectaciones al proyecto de vida y salud mental de l</w:t>
      </w:r>
      <w:r w:rsidR="00EB4D3E" w:rsidRPr="00D23168">
        <w:t>a</w:t>
      </w:r>
      <w:r w:rsidRPr="00D23168">
        <w:t>s familiares, solicit</w:t>
      </w:r>
      <w:r w:rsidR="00115985" w:rsidRPr="00D23168">
        <w:t>ó</w:t>
      </w:r>
      <w:r w:rsidRPr="00D23168">
        <w:t xml:space="preserve"> </w:t>
      </w:r>
      <w:r w:rsidR="00324F25" w:rsidRPr="00D23168">
        <w:t xml:space="preserve">una compensación por </w:t>
      </w:r>
      <w:r w:rsidRPr="00D23168">
        <w:t>concepto de</w:t>
      </w:r>
      <w:r w:rsidR="00235483" w:rsidRPr="00D23168">
        <w:t>l</w:t>
      </w:r>
      <w:r w:rsidRPr="00D23168">
        <w:t xml:space="preserve"> daño </w:t>
      </w:r>
      <w:r w:rsidR="00235483" w:rsidRPr="00D23168">
        <w:t>inmaterial de</w:t>
      </w:r>
      <w:r w:rsidRPr="00D23168">
        <w:t xml:space="preserve"> USD$300</w:t>
      </w:r>
      <w:r w:rsidR="005756BF" w:rsidRPr="00D23168">
        <w:t>.</w:t>
      </w:r>
      <w:r w:rsidRPr="00D23168">
        <w:t>000</w:t>
      </w:r>
      <w:r w:rsidR="005756BF" w:rsidRPr="00D23168">
        <w:t>,</w:t>
      </w:r>
      <w:r w:rsidRPr="00D23168">
        <w:t xml:space="preserve">00 (trescientos mil dólares de los Estados Unidos de América) a favor del señor Flores Bedregal, </w:t>
      </w:r>
      <w:r w:rsidR="00324F25" w:rsidRPr="00D23168">
        <w:t xml:space="preserve">el cual deberá ser </w:t>
      </w:r>
      <w:r w:rsidRPr="00D23168">
        <w:t xml:space="preserve">distribuido en partes iguales entre sus hermanas. En segundo lugar y respecto de las hermanas Flores Bedregal, por el mismo </w:t>
      </w:r>
      <w:r w:rsidRPr="009E6611">
        <w:t xml:space="preserve">concepto, a favor de cada una de las cuatro hermanas Flores Bedregal y, en el caso de la señora Eliana quien falleció el año 2017, ese monto deberá repartirse entre sus herederos. </w:t>
      </w:r>
      <w:r w:rsidRPr="009E6611">
        <w:rPr>
          <w:rFonts w:eastAsia="Calibri" w:cs="Arial"/>
          <w:b/>
        </w:rPr>
        <w:t xml:space="preserve">  </w:t>
      </w:r>
    </w:p>
    <w:p w14:paraId="45613381" w14:textId="77777777" w:rsidR="00235483" w:rsidRPr="007D114F" w:rsidRDefault="00235483" w:rsidP="007D114F">
      <w:pPr>
        <w:rPr>
          <w:lang w:val="es-ES"/>
        </w:rPr>
      </w:pPr>
    </w:p>
    <w:p w14:paraId="11C97079" w14:textId="5FE1F19E" w:rsidR="00821614" w:rsidRPr="009E6611" w:rsidRDefault="00821614" w:rsidP="005E070D">
      <w:pPr>
        <w:pStyle w:val="Prrafodelista"/>
        <w:rPr>
          <w:bCs/>
        </w:rPr>
      </w:pPr>
      <w:r w:rsidRPr="009E6611">
        <w:t xml:space="preserve">El </w:t>
      </w:r>
      <w:r w:rsidRPr="009E6611">
        <w:rPr>
          <w:b/>
          <w:i/>
        </w:rPr>
        <w:t>Estado</w:t>
      </w:r>
      <w:r w:rsidRPr="009E6611">
        <w:t xml:space="preserve"> argumentó que es inviable la solicitud de pago descrita</w:t>
      </w:r>
      <w:r w:rsidR="00DB0C0A" w:rsidRPr="009E6611">
        <w:t xml:space="preserve"> </w:t>
      </w:r>
      <w:r w:rsidR="00DB0C0A" w:rsidRPr="00D23168">
        <w:t>por concepto de las presuntas vulneraciones contra el señor Flores Bedregal</w:t>
      </w:r>
      <w:r w:rsidRPr="00D23168">
        <w:t>, en razón de que la Corte no puede pronunciarse sobre hechos que acontecieron antes del reconocimiento de su competencia por parte del Estado, además de que se demostró que no existen vulneraciones de los derechos consagrados en los artículos 8, 13 y 25 de la Convención. Por otro lado, se estableció en procesos judiciales llevados a cabo en Bolivia el señor Flores Bedregal es víctima de asesinato y no desaparición forzada, delito que fue investigado y sancionado</w:t>
      </w:r>
      <w:r w:rsidR="00DB0C0A" w:rsidRPr="00D23168">
        <w:t>. En igual sentido, se pronunció</w:t>
      </w:r>
      <w:r w:rsidRPr="00D23168">
        <w:t xml:space="preserve"> </w:t>
      </w:r>
      <w:r w:rsidR="00DB0C0A" w:rsidRPr="00D23168">
        <w:t>con relación al pago descrito por daño</w:t>
      </w:r>
      <w:r w:rsidR="004339F2" w:rsidRPr="00D23168">
        <w:t xml:space="preserve"> inmaterial</w:t>
      </w:r>
      <w:r w:rsidR="00DB0C0A" w:rsidRPr="00D23168">
        <w:t xml:space="preserve"> para cada una de las hermanas Flores Bedregal</w:t>
      </w:r>
      <w:r w:rsidR="00DB0C0A" w:rsidRPr="009E6611">
        <w:rPr>
          <w:b/>
          <w:bCs/>
        </w:rPr>
        <w:t>.</w:t>
      </w:r>
    </w:p>
    <w:p w14:paraId="4F1EA93F" w14:textId="77777777" w:rsidR="00CD5F67" w:rsidRPr="002E61E9" w:rsidRDefault="00CD5F67" w:rsidP="00E55450">
      <w:pPr>
        <w:rPr>
          <w:lang w:val="es-ES"/>
        </w:rPr>
      </w:pPr>
    </w:p>
    <w:p w14:paraId="0F4427E0" w14:textId="3BDB2C3F" w:rsidR="004339F2" w:rsidRDefault="004339F2" w:rsidP="005E070D">
      <w:pPr>
        <w:pStyle w:val="Prrafodelista"/>
      </w:pPr>
      <w:r w:rsidRPr="00CD5F67">
        <w:t>La Corte ha desarrollado en su jurisprude</w:t>
      </w:r>
      <w:r w:rsidRPr="005A797E">
        <w:t xml:space="preserve">ncia el concepto de daño inmaterial y los supuestos en que corresponde indemnizarlo. El Tribunal ha establecido que el daño inmaterial comprende “tanto los sufrimientos y las aflicciones causados a las víctimas directas y a sus allegados, el menoscabo de valores muy significativos para las personas </w:t>
      </w:r>
      <w:r w:rsidRPr="005A797E">
        <w:rPr>
          <w:lang w:val="es-CO"/>
        </w:rPr>
        <w:t>y otras perturbaciones que no son susceptibles de medición pecuniaria”</w:t>
      </w:r>
      <w:r w:rsidRPr="005A797E">
        <w:rPr>
          <w:vertAlign w:val="superscript"/>
        </w:rPr>
        <w:footnoteReference w:id="237"/>
      </w:r>
      <w:r w:rsidRPr="005A797E">
        <w:t>.</w:t>
      </w:r>
      <w:r>
        <w:t xml:space="preserve"> </w:t>
      </w:r>
    </w:p>
    <w:p w14:paraId="623D50D7" w14:textId="77777777" w:rsidR="005A797E" w:rsidRPr="005E070D" w:rsidRDefault="005A797E" w:rsidP="005E070D">
      <w:pPr>
        <w:rPr>
          <w:lang w:val="es-CR"/>
        </w:rPr>
      </w:pPr>
    </w:p>
    <w:p w14:paraId="7CCE5522" w14:textId="4EB96EE6" w:rsidR="009D2ED0" w:rsidRPr="00CD5F67" w:rsidRDefault="00821614" w:rsidP="005E070D">
      <w:pPr>
        <w:pStyle w:val="Prrafodelista"/>
        <w:rPr>
          <w:bCs/>
        </w:rPr>
      </w:pPr>
      <w:r w:rsidRPr="00CD5F67">
        <w:t xml:space="preserve">En razón de </w:t>
      </w:r>
      <w:r w:rsidR="0006011A" w:rsidRPr="00CD5F67">
        <w:t xml:space="preserve">que en la presente Sentencia se estableció la comisión de graves violaciones de derechos humanos por la </w:t>
      </w:r>
      <w:r w:rsidR="00504BE4" w:rsidRPr="00CD5F67">
        <w:t xml:space="preserve">desaparición </w:t>
      </w:r>
      <w:r w:rsidR="00504BE4" w:rsidRPr="00896A4E">
        <w:t xml:space="preserve">forzada de Juan Carlos Flores Bedregal por parte de las autoridades </w:t>
      </w:r>
      <w:r w:rsidR="00604262" w:rsidRPr="00896A4E">
        <w:t xml:space="preserve">estatales </w:t>
      </w:r>
      <w:r w:rsidR="0006011A" w:rsidRPr="00896A4E">
        <w:t xml:space="preserve">en </w:t>
      </w:r>
      <w:r w:rsidRPr="00896A4E">
        <w:t xml:space="preserve">violación de los artículos </w:t>
      </w:r>
      <w:r w:rsidR="00DA5CB1" w:rsidRPr="00896A4E">
        <w:t>1.1, 3, 4</w:t>
      </w:r>
      <w:r w:rsidR="00896A4E" w:rsidRPr="00896A4E">
        <w:t>.1</w:t>
      </w:r>
      <w:r w:rsidR="00DA5CB1" w:rsidRPr="00896A4E">
        <w:t>, 5</w:t>
      </w:r>
      <w:r w:rsidR="00896A4E" w:rsidRPr="00896A4E">
        <w:t>.1</w:t>
      </w:r>
      <w:r w:rsidR="00896A4E">
        <w:t xml:space="preserve">, </w:t>
      </w:r>
      <w:r w:rsidR="00896A4E" w:rsidRPr="00896A4E">
        <w:t>5.2, y 7</w:t>
      </w:r>
      <w:r w:rsidR="00F91236">
        <w:t>.1</w:t>
      </w:r>
      <w:r w:rsidR="00896A4E" w:rsidRPr="00896A4E">
        <w:t xml:space="preserve"> </w:t>
      </w:r>
      <w:r w:rsidR="00DA5CB1" w:rsidRPr="00896A4E">
        <w:t xml:space="preserve">de la Convención Americana, y </w:t>
      </w:r>
      <w:r w:rsidR="007D4F62" w:rsidRPr="00896A4E">
        <w:t>el incumplimiento de</w:t>
      </w:r>
      <w:r w:rsidR="00896A4E" w:rsidRPr="00896A4E">
        <w:t>l</w:t>
      </w:r>
      <w:r w:rsidR="00DA5CB1" w:rsidRPr="00896A4E">
        <w:t xml:space="preserve"> artículos </w:t>
      </w:r>
      <w:r w:rsidR="001B7A00" w:rsidRPr="00896A4E">
        <w:t>I</w:t>
      </w:r>
      <w:r w:rsidR="00DA5CB1" w:rsidRPr="00896A4E">
        <w:t>.a)</w:t>
      </w:r>
      <w:r w:rsidR="007D4F62" w:rsidRPr="00896A4E">
        <w:t xml:space="preserve"> </w:t>
      </w:r>
      <w:r w:rsidR="00DA5CB1" w:rsidRPr="00896A4E">
        <w:t>de</w:t>
      </w:r>
      <w:r w:rsidR="00DA5CB1" w:rsidRPr="00CD5F67">
        <w:t xml:space="preserve"> la Convención Interamericana sobre Desaparición Forzada de Personas,</w:t>
      </w:r>
      <w:r w:rsidRPr="00CD5F67">
        <w:t xml:space="preserve"> en perjuicio del señor </w:t>
      </w:r>
      <w:r w:rsidR="00604262">
        <w:t xml:space="preserve">Juan Carlos </w:t>
      </w:r>
      <w:r w:rsidRPr="00CD5F67">
        <w:t>Flores Bedrega</w:t>
      </w:r>
      <w:r w:rsidR="0006011A" w:rsidRPr="00CD5F67">
        <w:t>l, la</w:t>
      </w:r>
      <w:r w:rsidR="007E3B36" w:rsidRPr="00CD5F67">
        <w:t xml:space="preserve"> Corte</w:t>
      </w:r>
      <w:r w:rsidR="0006011A" w:rsidRPr="00CD5F67">
        <w:t xml:space="preserve"> </w:t>
      </w:r>
      <w:r w:rsidRPr="00CD5F67">
        <w:t xml:space="preserve">considera apropiado </w:t>
      </w:r>
      <w:r w:rsidR="0006011A" w:rsidRPr="00CD5F67">
        <w:t xml:space="preserve">ordenar </w:t>
      </w:r>
      <w:r w:rsidRPr="00CD5F67">
        <w:t>una indemnización</w:t>
      </w:r>
      <w:r w:rsidR="0006011A" w:rsidRPr="00CD5F67">
        <w:t xml:space="preserve"> por concepto de daño inmaterial</w:t>
      </w:r>
      <w:r w:rsidRPr="00CD5F67">
        <w:t xml:space="preserve">, en equidad, por un monto de USD$100.000,00 (cien mil dólares de los Estados Unidos de América) a favor del señor </w:t>
      </w:r>
      <w:r w:rsidRPr="00CD5F67">
        <w:rPr>
          <w:rFonts w:cs="Verdana"/>
        </w:rPr>
        <w:t>Flores Bedregal</w:t>
      </w:r>
      <w:r w:rsidRPr="00CD5F67">
        <w:t xml:space="preserve">. </w:t>
      </w:r>
      <w:r w:rsidR="00C91269" w:rsidRPr="00CD5F67">
        <w:t xml:space="preserve">La Corte considera que dicha cantidad deberá dividirse en partes iguales entre </w:t>
      </w:r>
      <w:r w:rsidR="00C91269" w:rsidRPr="00CD5F67">
        <w:rPr>
          <w:rFonts w:cs="Verdana"/>
        </w:rPr>
        <w:t xml:space="preserve">Olga Beatriz, Verónica, Eliana </w:t>
      </w:r>
      <w:r w:rsidR="00156E78" w:rsidRPr="00CD5F67">
        <w:rPr>
          <w:rFonts w:cs="Verdana"/>
        </w:rPr>
        <w:t xml:space="preserve">Isbelia </w:t>
      </w:r>
      <w:r w:rsidR="00C91269" w:rsidRPr="00CD5F67">
        <w:rPr>
          <w:rFonts w:cs="Verdana"/>
        </w:rPr>
        <w:t>y Lilian Teresa</w:t>
      </w:r>
      <w:r w:rsidR="00604262">
        <w:rPr>
          <w:rFonts w:cs="Verdana"/>
        </w:rPr>
        <w:t>, todas de apellido</w:t>
      </w:r>
      <w:r w:rsidR="00C91269" w:rsidRPr="00CD5F67">
        <w:rPr>
          <w:rFonts w:cs="Verdana"/>
        </w:rPr>
        <w:t xml:space="preserve"> </w:t>
      </w:r>
      <w:r w:rsidR="00C91269" w:rsidRPr="00CD5F67">
        <w:t>Flores Bedregal</w:t>
      </w:r>
      <w:r w:rsidR="00C91269" w:rsidRPr="00CD5F67">
        <w:rPr>
          <w:rFonts w:cs="Verdana"/>
          <w:color w:val="000000"/>
        </w:rPr>
        <w:t>.</w:t>
      </w:r>
      <w:r w:rsidR="00C91269" w:rsidRPr="00CD5F67">
        <w:t xml:space="preserve"> La parte correspondiente a personas fallecidas deberá dividirse entre sus herederos. </w:t>
      </w:r>
    </w:p>
    <w:p w14:paraId="1F7B23CB" w14:textId="77777777" w:rsidR="00CD5F67" w:rsidRPr="002E61E9" w:rsidRDefault="00CD5F67" w:rsidP="00E55450">
      <w:pPr>
        <w:rPr>
          <w:lang w:val="es-ES"/>
        </w:rPr>
      </w:pPr>
    </w:p>
    <w:p w14:paraId="067686C1" w14:textId="526F1F66" w:rsidR="004448DF" w:rsidRPr="00A5220D" w:rsidRDefault="00153BBA" w:rsidP="005E070D">
      <w:pPr>
        <w:pStyle w:val="Prrafodelista"/>
        <w:rPr>
          <w:bCs/>
        </w:rPr>
      </w:pPr>
      <w:r w:rsidRPr="00CD5F67">
        <w:rPr>
          <w:lang w:bidi="en-US"/>
        </w:rPr>
        <w:t>Por otra parte, en lo que se refiere a las familiares del señor Juan Carlos Flores Bedregal desaparecid</w:t>
      </w:r>
      <w:r w:rsidR="008E27F9" w:rsidRPr="00CD5F67">
        <w:rPr>
          <w:lang w:bidi="en-US"/>
        </w:rPr>
        <w:t>o</w:t>
      </w:r>
      <w:r w:rsidRPr="00CD5F67">
        <w:rPr>
          <w:lang w:bidi="en-US"/>
        </w:rPr>
        <w:t xml:space="preserve">, </w:t>
      </w:r>
      <w:r w:rsidR="008E27F9" w:rsidRPr="00CD5F67">
        <w:rPr>
          <w:lang w:bidi="en-US"/>
        </w:rPr>
        <w:t xml:space="preserve">que a su vez son víctimas del presente caso, y </w:t>
      </w:r>
      <w:r w:rsidR="008E27F9" w:rsidRPr="00CD5F67">
        <w:t xml:space="preserve">considerando las circunstancias del caso </w:t>
      </w:r>
      <w:r w:rsidR="008E27F9" w:rsidRPr="00CD5F67">
        <w:rPr>
          <w:i/>
        </w:rPr>
        <w:t>sub judice</w:t>
      </w:r>
      <w:r w:rsidR="008E27F9" w:rsidRPr="00CD5F67">
        <w:t xml:space="preserve">, </w:t>
      </w:r>
      <w:r w:rsidR="008E27F9" w:rsidRPr="00CD5F67">
        <w:rPr>
          <w:lang w:bidi="en-US"/>
        </w:rPr>
        <w:t xml:space="preserve"> por </w:t>
      </w:r>
      <w:r w:rsidRPr="00CD5F67">
        <w:t xml:space="preserve">los sufrimientos que las violaciones cometidas causaron a </w:t>
      </w:r>
      <w:r w:rsidR="0006011A" w:rsidRPr="00CD5F67">
        <w:t>sus hermanas</w:t>
      </w:r>
      <w:r w:rsidRPr="00CD5F67">
        <w:t>,</w:t>
      </w:r>
      <w:r w:rsidR="0006011A" w:rsidRPr="00CD5F67">
        <w:t xml:space="preserve"> por la búsqueda de justicia, </w:t>
      </w:r>
      <w:r w:rsidRPr="00CD5F67">
        <w:t>la impunidad imperante en el caso</w:t>
      </w:r>
      <w:r w:rsidR="00E83DFA" w:rsidRPr="00CD5F67">
        <w:t xml:space="preserve"> respecto a la desaparición forzada del señor Flores Bedregal</w:t>
      </w:r>
      <w:r w:rsidRPr="00CD5F67">
        <w:t xml:space="preserve">, así como el cambio en </w:t>
      </w:r>
      <w:r w:rsidR="008E27F9" w:rsidRPr="00CD5F67">
        <w:t>sus</w:t>
      </w:r>
      <w:r w:rsidRPr="00CD5F67">
        <w:t xml:space="preserve"> condiciones de vida, </w:t>
      </w:r>
      <w:r w:rsidR="008E27F9" w:rsidRPr="00CD5F67">
        <w:t xml:space="preserve">la falta de acceso a la información y sus afectaciones a la integridad personal </w:t>
      </w:r>
      <w:r w:rsidRPr="00CD5F67">
        <w:t xml:space="preserve">y las restantes consecuencias de orden inmaterial o no pecuniario que </w:t>
      </w:r>
      <w:r w:rsidR="00C114D3" w:rsidRPr="00CD5F67">
        <w:t xml:space="preserve">ellas </w:t>
      </w:r>
      <w:r w:rsidRPr="00CD5F67">
        <w:t>sufrieron, la Corte estima pertinente fijar una</w:t>
      </w:r>
      <w:r w:rsidR="00C114D3" w:rsidRPr="00CD5F67">
        <w:t xml:space="preserve"> compensación</w:t>
      </w:r>
      <w:r w:rsidRPr="00CD5F67">
        <w:t xml:space="preserve">, en equidad, </w:t>
      </w:r>
      <w:r w:rsidR="00C114D3" w:rsidRPr="00CD5F67">
        <w:t xml:space="preserve">por </w:t>
      </w:r>
      <w:r w:rsidR="00821614" w:rsidRPr="00CD5F67">
        <w:t xml:space="preserve">la cantidad de USD$50.000,00 (cincuenta mil dólares de los Estados Unidos de </w:t>
      </w:r>
      <w:r w:rsidR="00821614" w:rsidRPr="00CD5F67">
        <w:lastRenderedPageBreak/>
        <w:t>América), por concepto de daño inmaterial, a favor de cada una de las hermanas de Flores Bedregal</w:t>
      </w:r>
      <w:r w:rsidR="009E5970" w:rsidRPr="00CD5F67">
        <w:t xml:space="preserve">, </w:t>
      </w:r>
      <w:r w:rsidR="00604262">
        <w:t xml:space="preserve">a </w:t>
      </w:r>
      <w:r w:rsidR="00C114D3" w:rsidRPr="00CD5F67">
        <w:t xml:space="preserve">saber: </w:t>
      </w:r>
      <w:r w:rsidR="009E5970" w:rsidRPr="00CD5F67">
        <w:t xml:space="preserve">Olga Beatriz, Verónica, Eliana </w:t>
      </w:r>
      <w:r w:rsidR="005B0330" w:rsidRPr="00CD5F67">
        <w:t xml:space="preserve">Isbelia </w:t>
      </w:r>
      <w:r w:rsidR="009E5970" w:rsidRPr="00CD5F67">
        <w:t>y Lilian Teresa</w:t>
      </w:r>
      <w:r w:rsidR="00604262">
        <w:t>, todas de apellidos Flores Bedregal</w:t>
      </w:r>
      <w:r w:rsidR="005B0330" w:rsidRPr="00A5220D">
        <w:rPr>
          <w:color w:val="000000"/>
        </w:rPr>
        <w:t xml:space="preserve">. </w:t>
      </w:r>
      <w:r w:rsidR="006505F0" w:rsidRPr="00A5220D">
        <w:t>La parte correspondiente a personas fallecidas deberá dividirse entre sus herederos.</w:t>
      </w:r>
    </w:p>
    <w:p w14:paraId="07179053" w14:textId="77777777" w:rsidR="00CD5F67" w:rsidRPr="00A74508" w:rsidRDefault="00CD5F67" w:rsidP="004873D0">
      <w:pPr>
        <w:rPr>
          <w:rFonts w:ascii="Verdana" w:hAnsi="Verdana"/>
          <w:bCs/>
          <w:lang w:val="es-ES"/>
        </w:rPr>
      </w:pPr>
    </w:p>
    <w:p w14:paraId="10475A93" w14:textId="7734D563" w:rsidR="00CD5F67" w:rsidRPr="00024DCA" w:rsidRDefault="00CD5F67" w:rsidP="000D685A">
      <w:pPr>
        <w:pStyle w:val="Ttulo2"/>
        <w:numPr>
          <w:ilvl w:val="0"/>
          <w:numId w:val="23"/>
        </w:numPr>
        <w:ind w:left="709"/>
        <w:rPr>
          <w:rFonts w:ascii="Verdana" w:hAnsi="Verdana"/>
          <w:b/>
          <w:bCs/>
          <w:color w:val="auto"/>
          <w:sz w:val="20"/>
          <w:szCs w:val="20"/>
          <w:lang w:val="es-ES"/>
        </w:rPr>
      </w:pPr>
      <w:bookmarkStart w:id="206" w:name="_Toc125037516"/>
      <w:r w:rsidRPr="00024DCA">
        <w:rPr>
          <w:rFonts w:ascii="Verdana" w:hAnsi="Verdana"/>
          <w:b/>
          <w:bCs/>
          <w:color w:val="auto"/>
          <w:sz w:val="20"/>
          <w:szCs w:val="20"/>
          <w:lang w:val="es-ES"/>
        </w:rPr>
        <w:t>Costas y Gastos</w:t>
      </w:r>
      <w:bookmarkEnd w:id="206"/>
    </w:p>
    <w:p w14:paraId="4527B2FE" w14:textId="77777777" w:rsidR="00CD5F67" w:rsidRPr="009A54CD" w:rsidRDefault="00CD5F67" w:rsidP="00E55450">
      <w:pPr>
        <w:ind w:left="708" w:hanging="708"/>
        <w:rPr>
          <w:rFonts w:ascii="Verdana" w:hAnsi="Verdana"/>
          <w:bCs/>
          <w:lang w:val="es-ES"/>
        </w:rPr>
      </w:pPr>
    </w:p>
    <w:p w14:paraId="34896941" w14:textId="24FEB5DA" w:rsidR="00821614" w:rsidRPr="00475231" w:rsidRDefault="00115985" w:rsidP="005E070D">
      <w:pPr>
        <w:pStyle w:val="Prrafodelista"/>
      </w:pPr>
      <w:r w:rsidRPr="00CD5F67">
        <w:t>El</w:t>
      </w:r>
      <w:r w:rsidR="00821614" w:rsidRPr="00CD5F67">
        <w:t xml:space="preserve"> </w:t>
      </w:r>
      <w:r w:rsidR="00821614" w:rsidRPr="004873D0">
        <w:rPr>
          <w:b/>
          <w:i/>
          <w:iCs/>
        </w:rPr>
        <w:t>representante</w:t>
      </w:r>
      <w:r w:rsidR="00821614" w:rsidRPr="00CD5F67">
        <w:t xml:space="preserve"> solicit</w:t>
      </w:r>
      <w:r w:rsidRPr="00CD5F67">
        <w:t>ó</w:t>
      </w:r>
      <w:r w:rsidR="00821614" w:rsidRPr="00CD5F67">
        <w:t xml:space="preserve">: </w:t>
      </w:r>
    </w:p>
    <w:p w14:paraId="0E3EFF1C" w14:textId="77777777" w:rsidR="00475231" w:rsidRPr="00685917" w:rsidRDefault="00475231" w:rsidP="00475231">
      <w:pPr>
        <w:autoSpaceDE w:val="0"/>
        <w:autoSpaceDN w:val="0"/>
        <w:adjustRightInd w:val="0"/>
        <w:jc w:val="both"/>
        <w:rPr>
          <w:rFonts w:ascii="Verdana" w:hAnsi="Verdana"/>
          <w:b/>
          <w:lang w:val="es-ES"/>
        </w:rPr>
      </w:pPr>
    </w:p>
    <w:p w14:paraId="21CD9ED4" w14:textId="53636E41" w:rsidR="00475231" w:rsidRPr="009E6611" w:rsidRDefault="00475231" w:rsidP="00475231">
      <w:pPr>
        <w:numPr>
          <w:ilvl w:val="0"/>
          <w:numId w:val="21"/>
        </w:numPr>
        <w:autoSpaceDE w:val="0"/>
        <w:autoSpaceDN w:val="0"/>
        <w:adjustRightInd w:val="0"/>
        <w:jc w:val="both"/>
        <w:rPr>
          <w:rFonts w:ascii="Verdana" w:hAnsi="Verdana"/>
          <w:b/>
          <w:lang w:val="es-ES"/>
        </w:rPr>
      </w:pPr>
      <w:r w:rsidRPr="009E6611">
        <w:rPr>
          <w:rFonts w:ascii="Verdana" w:hAnsi="Verdana"/>
          <w:lang w:val="es-ES"/>
        </w:rPr>
        <w:t xml:space="preserve">Respecto a los procesos judiciales a nivel interno: incurrieron en el pago de más de doce años de duración del proceso penal ordinario, incluyendo los gastos por el impulso de medidas de investigación judicial y extrajudicial, exhumaciones, gestiones administrativas ante distintas autoridades, así como los gastos de traslado de la ciudad de La Paz a la ciudad de Sucre en fase de casación ante la Corte Suprema de Justicia, timbres, entre otros gastos detallados en el ESAP, por lo que se solicitó una compensación por la cantidad de USD$25.029,00 (veinticinco mil veintinueve dólares de los Estados Unidos de América).  </w:t>
      </w:r>
    </w:p>
    <w:p w14:paraId="6852F3B2" w14:textId="77777777" w:rsidR="00475231" w:rsidRPr="009E6611" w:rsidRDefault="00475231" w:rsidP="00475231">
      <w:pPr>
        <w:autoSpaceDE w:val="0"/>
        <w:autoSpaceDN w:val="0"/>
        <w:adjustRightInd w:val="0"/>
        <w:jc w:val="both"/>
        <w:rPr>
          <w:rFonts w:ascii="Verdana" w:hAnsi="Verdana"/>
          <w:b/>
          <w:lang w:val="es-ES"/>
        </w:rPr>
      </w:pPr>
    </w:p>
    <w:p w14:paraId="515BD4D8" w14:textId="19792336" w:rsidR="00475231" w:rsidRPr="009E6611" w:rsidRDefault="00475231" w:rsidP="00475231">
      <w:pPr>
        <w:numPr>
          <w:ilvl w:val="0"/>
          <w:numId w:val="21"/>
        </w:numPr>
        <w:autoSpaceDE w:val="0"/>
        <w:autoSpaceDN w:val="0"/>
        <w:adjustRightInd w:val="0"/>
        <w:jc w:val="both"/>
        <w:rPr>
          <w:rFonts w:ascii="Verdana" w:hAnsi="Verdana"/>
          <w:b/>
          <w:lang w:val="es-ES"/>
        </w:rPr>
      </w:pPr>
      <w:r w:rsidRPr="009E6611">
        <w:rPr>
          <w:rFonts w:ascii="Verdana" w:hAnsi="Verdana"/>
          <w:lang w:val="es-ES"/>
        </w:rPr>
        <w:t xml:space="preserve">Respecto al procedimiento ante la Comisión, las víctimas incurrieron en gastos de asesoramiento legal con diferentes abogados, gastos de envío de documentos por un período de doce años, asistencias a diversas reuniones con el objetivo de llegar a una solución amistosa en la ciudad de Santa Cruz de la Sierra. No se tienen comprobantes de estos gastos, por lo que se solicitó a la Corte </w:t>
      </w:r>
      <w:r w:rsidR="00324F25" w:rsidRPr="009E6611">
        <w:rPr>
          <w:rFonts w:ascii="Verdana" w:hAnsi="Verdana"/>
          <w:lang w:val="es-ES"/>
        </w:rPr>
        <w:t>con</w:t>
      </w:r>
      <w:r w:rsidRPr="009E6611">
        <w:rPr>
          <w:rFonts w:ascii="Verdana" w:hAnsi="Verdana"/>
          <w:lang w:val="es-ES"/>
        </w:rPr>
        <w:t xml:space="preserve"> base a la equidad una compensación de USD$10.000,00 (diez mil dólares de los Estados Unidos de América). </w:t>
      </w:r>
    </w:p>
    <w:p w14:paraId="4B0152DC" w14:textId="77777777" w:rsidR="00475231" w:rsidRPr="009E6611" w:rsidRDefault="00475231" w:rsidP="00475231">
      <w:pPr>
        <w:jc w:val="both"/>
        <w:rPr>
          <w:rFonts w:ascii="Verdana" w:hAnsi="Verdana"/>
          <w:i/>
          <w:color w:val="00B050"/>
          <w:lang w:val="es-ES"/>
        </w:rPr>
      </w:pPr>
    </w:p>
    <w:p w14:paraId="0CD4AD73" w14:textId="65151530" w:rsidR="00475231" w:rsidRPr="009E6611" w:rsidRDefault="00475231" w:rsidP="00475231">
      <w:pPr>
        <w:numPr>
          <w:ilvl w:val="0"/>
          <w:numId w:val="21"/>
        </w:numPr>
        <w:autoSpaceDE w:val="0"/>
        <w:autoSpaceDN w:val="0"/>
        <w:adjustRightInd w:val="0"/>
        <w:jc w:val="both"/>
        <w:rPr>
          <w:rFonts w:ascii="Verdana" w:hAnsi="Verdana"/>
          <w:b/>
          <w:lang w:val="es-ES"/>
        </w:rPr>
      </w:pPr>
      <w:r w:rsidRPr="009E6611">
        <w:rPr>
          <w:rFonts w:ascii="Verdana" w:hAnsi="Verdana"/>
          <w:lang w:val="es-ES"/>
        </w:rPr>
        <w:t xml:space="preserve">Gastos por concepto de asesoramiento por el litigio ante la Corte Interamericana, cuyo valor asciende a USD$15.000,00 (quince mil dólares de los Estados Unidos de América), </w:t>
      </w:r>
      <w:r w:rsidRPr="009E6611">
        <w:rPr>
          <w:rFonts w:ascii="Verdana" w:eastAsia="Calibri" w:hAnsi="Verdana" w:cs="Arial"/>
          <w:bCs/>
          <w:lang w:val="es-ES"/>
        </w:rPr>
        <w:t xml:space="preserve">de acuerdo al contrato de cuota litis firmado entre las víctimas y el representante </w:t>
      </w:r>
      <w:r w:rsidR="00ED5FAD" w:rsidRPr="009E6611">
        <w:rPr>
          <w:rFonts w:ascii="Verdana" w:eastAsia="Calibri" w:hAnsi="Verdana" w:cs="Arial"/>
          <w:bCs/>
          <w:lang w:val="es-ES"/>
        </w:rPr>
        <w:t xml:space="preserve">Rafael </w:t>
      </w:r>
      <w:r w:rsidRPr="009E6611">
        <w:rPr>
          <w:rFonts w:ascii="Verdana" w:hAnsi="Verdana"/>
          <w:bCs/>
          <w:spacing w:val="-4"/>
          <w:lang w:val="es-ES"/>
        </w:rPr>
        <w:t>Humberto Subieta Tapia</w:t>
      </w:r>
      <w:r w:rsidR="003454D9" w:rsidRPr="009E6611">
        <w:rPr>
          <w:rFonts w:ascii="Verdana" w:hAnsi="Verdana"/>
          <w:bCs/>
          <w:spacing w:val="-4"/>
          <w:lang w:val="es-ES"/>
        </w:rPr>
        <w:t>, fue pagado en tres cuotas</w:t>
      </w:r>
      <w:r w:rsidR="003454D9" w:rsidRPr="009E6611">
        <w:rPr>
          <w:bCs/>
          <w:spacing w:val="-4"/>
          <w:lang w:val="es-ES"/>
        </w:rPr>
        <w:t xml:space="preserve">, </w:t>
      </w:r>
      <w:r w:rsidR="003454D9" w:rsidRPr="00D23168">
        <w:rPr>
          <w:rFonts w:ascii="Verdana" w:hAnsi="Verdana"/>
          <w:bCs/>
          <w:spacing w:val="-4"/>
          <w:lang w:val="es-ES"/>
        </w:rPr>
        <w:t>que deberán ser reembolsadas a las hermanas Flores Bedregal</w:t>
      </w:r>
      <w:r w:rsidR="00324F25" w:rsidRPr="00D23168">
        <w:rPr>
          <w:rFonts w:ascii="Verdana" w:eastAsia="Calibri" w:hAnsi="Verdana" w:cs="Arial"/>
          <w:bCs/>
          <w:lang w:val="es-ES"/>
        </w:rPr>
        <w:t>.</w:t>
      </w:r>
      <w:r w:rsidR="007F2CF6" w:rsidRPr="00D23168">
        <w:rPr>
          <w:rFonts w:ascii="Verdana" w:eastAsia="Calibri" w:hAnsi="Verdana" w:cs="Arial"/>
          <w:bCs/>
          <w:lang w:val="es-ES"/>
        </w:rPr>
        <w:t xml:space="preserve"> Solicitaron que se ordene el pago total descrito por concepto de asesoramiento y representación ante la Corte.</w:t>
      </w:r>
      <w:r w:rsidRPr="009E6611">
        <w:rPr>
          <w:rFonts w:ascii="Verdana" w:eastAsia="Calibri" w:hAnsi="Verdana" w:cs="Arial"/>
          <w:bCs/>
          <w:lang w:val="es-ES"/>
        </w:rPr>
        <w:t xml:space="preserve"> Debido a la complejidad del caso y la extensión de sus antecedentes, entre otras cosas se determinó sumar al equipo la representación de Karinna Fernández Neira y André Lange Schulze, a partir del 1 de julio de 2019, por lo que se solicit</w:t>
      </w:r>
      <w:r w:rsidR="0010459C">
        <w:rPr>
          <w:rFonts w:ascii="Verdana" w:eastAsia="Calibri" w:hAnsi="Verdana" w:cs="Arial"/>
          <w:bCs/>
          <w:lang w:val="es-ES"/>
        </w:rPr>
        <w:t>ó</w:t>
      </w:r>
      <w:r w:rsidRPr="009E6611">
        <w:rPr>
          <w:rFonts w:ascii="Verdana" w:eastAsia="Calibri" w:hAnsi="Verdana" w:cs="Arial"/>
          <w:bCs/>
          <w:lang w:val="es-ES"/>
        </w:rPr>
        <w:t xml:space="preserve"> que se ordene al Estado el pago de </w:t>
      </w:r>
      <w:r w:rsidRPr="009E6611">
        <w:rPr>
          <w:rFonts w:ascii="Verdana" w:hAnsi="Verdana"/>
          <w:bCs/>
          <w:lang w:val="es-ES"/>
        </w:rPr>
        <w:t xml:space="preserve">USD$10.000,00 (diez mil dólares de los Estados Unidos de América) y USD$5.000,00 (cinco mil dólares de los Estados Unidos de América), respectivamente, por las labores realizadas en la defensa de derechos humanos. </w:t>
      </w:r>
    </w:p>
    <w:p w14:paraId="560EBAFD" w14:textId="77777777" w:rsidR="00475231" w:rsidRPr="009E6611" w:rsidRDefault="00475231" w:rsidP="00475231">
      <w:pPr>
        <w:autoSpaceDE w:val="0"/>
        <w:autoSpaceDN w:val="0"/>
        <w:adjustRightInd w:val="0"/>
        <w:jc w:val="both"/>
        <w:rPr>
          <w:rFonts w:ascii="Verdana" w:hAnsi="Verdana"/>
          <w:b/>
          <w:lang w:val="es-ES"/>
        </w:rPr>
      </w:pPr>
    </w:p>
    <w:p w14:paraId="0E286E2E" w14:textId="0EF903D1" w:rsidR="00475231" w:rsidRPr="009E6611" w:rsidRDefault="00475231" w:rsidP="00475231">
      <w:pPr>
        <w:numPr>
          <w:ilvl w:val="0"/>
          <w:numId w:val="21"/>
        </w:numPr>
        <w:autoSpaceDE w:val="0"/>
        <w:autoSpaceDN w:val="0"/>
        <w:adjustRightInd w:val="0"/>
        <w:jc w:val="both"/>
        <w:rPr>
          <w:rFonts w:ascii="Verdana" w:hAnsi="Verdana"/>
          <w:bCs/>
          <w:lang w:val="es-ES"/>
        </w:rPr>
      </w:pPr>
      <w:r w:rsidRPr="009E6611">
        <w:rPr>
          <w:rFonts w:ascii="Verdana" w:hAnsi="Verdana"/>
          <w:bCs/>
          <w:lang w:val="es-ES"/>
        </w:rPr>
        <w:t>Gastos con posterioridad a la presentación del escrito de solicitudes y argumentos por un valor aproximado de USD $3.746,6</w:t>
      </w:r>
      <w:r w:rsidR="00D8648D" w:rsidRPr="009E6611">
        <w:rPr>
          <w:rFonts w:ascii="Verdana" w:hAnsi="Verdana"/>
          <w:bCs/>
          <w:lang w:val="es-ES"/>
        </w:rPr>
        <w:t xml:space="preserve">0 </w:t>
      </w:r>
      <w:r w:rsidR="00D8648D" w:rsidRPr="00D23168">
        <w:rPr>
          <w:rFonts w:ascii="Verdana" w:hAnsi="Verdana"/>
          <w:bCs/>
          <w:lang w:val="es-ES"/>
        </w:rPr>
        <w:t>(tres mil setecientos cuarenta y seis dólares de los Estados Unidos de América con sesenta centavos),</w:t>
      </w:r>
      <w:r w:rsidR="00D8648D" w:rsidRPr="009E6611">
        <w:rPr>
          <w:rFonts w:ascii="Verdana" w:hAnsi="Verdana"/>
          <w:bCs/>
          <w:lang w:val="es-ES"/>
        </w:rPr>
        <w:t xml:space="preserve"> </w:t>
      </w:r>
      <w:r w:rsidRPr="009E6611">
        <w:rPr>
          <w:rFonts w:ascii="Verdana" w:hAnsi="Verdana"/>
          <w:bCs/>
          <w:lang w:val="es-ES"/>
        </w:rPr>
        <w:t>los cuales deberán ser reembolsados a las víctimas</w:t>
      </w:r>
      <w:r w:rsidRPr="009E6611">
        <w:rPr>
          <w:rFonts w:ascii="Verdana" w:hAnsi="Verdana"/>
          <w:b/>
          <w:lang w:val="es-ES"/>
        </w:rPr>
        <w:t>.</w:t>
      </w:r>
      <w:r w:rsidRPr="009E6611">
        <w:rPr>
          <w:rFonts w:ascii="Verdana" w:hAnsi="Verdana"/>
          <w:bCs/>
          <w:lang w:val="es-ES"/>
        </w:rPr>
        <w:t xml:space="preserve"> Adicionalmente solicitaron gastos relacionados con alimentación y transporte para </w:t>
      </w:r>
      <w:r w:rsidRPr="009E6611">
        <w:rPr>
          <w:rFonts w:ascii="Verdana" w:eastAsia="Calibri" w:hAnsi="Verdana" w:cs="Arial"/>
          <w:bCs/>
          <w:lang w:val="es-ES"/>
        </w:rPr>
        <w:t xml:space="preserve">Karinna Fernández Neira </w:t>
      </w:r>
      <w:r w:rsidRPr="009E6611">
        <w:rPr>
          <w:rFonts w:ascii="Verdana" w:hAnsi="Verdana"/>
          <w:bCs/>
          <w:lang w:val="es-ES"/>
        </w:rPr>
        <w:t xml:space="preserve">por un monto </w:t>
      </w:r>
      <w:r w:rsidRPr="00D23168">
        <w:rPr>
          <w:rFonts w:ascii="Verdana" w:hAnsi="Verdana"/>
          <w:bCs/>
          <w:lang w:val="es-ES"/>
        </w:rPr>
        <w:t>de USD$500,00</w:t>
      </w:r>
      <w:r w:rsidR="00D8648D" w:rsidRPr="00D23168">
        <w:rPr>
          <w:rFonts w:ascii="Verdana" w:hAnsi="Verdana"/>
          <w:bCs/>
          <w:lang w:val="es-ES"/>
        </w:rPr>
        <w:t xml:space="preserve"> (quinientos dólares de los Estados Unidos de América)</w:t>
      </w:r>
      <w:r w:rsidRPr="00D23168">
        <w:rPr>
          <w:rFonts w:ascii="Verdana" w:hAnsi="Verdana"/>
          <w:bCs/>
          <w:lang w:val="es-ES"/>
        </w:rPr>
        <w:t xml:space="preserve"> y para </w:t>
      </w:r>
      <w:r w:rsidRPr="00D23168">
        <w:rPr>
          <w:rFonts w:ascii="Verdana" w:eastAsia="Calibri" w:hAnsi="Verdana" w:cs="Arial"/>
          <w:bCs/>
          <w:lang w:val="es-ES"/>
        </w:rPr>
        <w:t xml:space="preserve">André Lange Schulze por un monto </w:t>
      </w:r>
      <w:r w:rsidRPr="00D23168">
        <w:rPr>
          <w:rFonts w:ascii="Verdana" w:hAnsi="Verdana"/>
          <w:bCs/>
          <w:lang w:val="es-ES"/>
        </w:rPr>
        <w:t xml:space="preserve">USD$580,00 </w:t>
      </w:r>
      <w:r w:rsidR="00D8648D" w:rsidRPr="00D23168">
        <w:rPr>
          <w:rFonts w:ascii="Verdana" w:hAnsi="Verdana"/>
          <w:bCs/>
          <w:lang w:val="es-ES"/>
        </w:rPr>
        <w:t xml:space="preserve">(quinientos ochenta dólares de los Estados Unidos de América), </w:t>
      </w:r>
      <w:r w:rsidRPr="009E6611">
        <w:rPr>
          <w:rFonts w:ascii="Verdana" w:hAnsi="Verdana"/>
          <w:bCs/>
          <w:lang w:val="es-ES"/>
        </w:rPr>
        <w:t xml:space="preserve">los cuales deberán ser entregados a cada uno de </w:t>
      </w:r>
      <w:r w:rsidR="00D8648D" w:rsidRPr="009E6611">
        <w:rPr>
          <w:rFonts w:ascii="Verdana" w:hAnsi="Verdana"/>
          <w:bCs/>
          <w:lang w:val="es-ES"/>
        </w:rPr>
        <w:t>ellos</w:t>
      </w:r>
      <w:r w:rsidRPr="009E6611">
        <w:rPr>
          <w:rFonts w:ascii="Verdana" w:hAnsi="Verdana"/>
          <w:bCs/>
          <w:lang w:val="es-ES"/>
        </w:rPr>
        <w:t>.</w:t>
      </w:r>
    </w:p>
    <w:p w14:paraId="40178E43" w14:textId="77777777" w:rsidR="00475231" w:rsidRPr="009E6611" w:rsidRDefault="00475231" w:rsidP="00475231">
      <w:pPr>
        <w:autoSpaceDE w:val="0"/>
        <w:autoSpaceDN w:val="0"/>
        <w:adjustRightInd w:val="0"/>
        <w:jc w:val="both"/>
        <w:rPr>
          <w:rFonts w:ascii="Verdana" w:hAnsi="Verdana"/>
          <w:b/>
          <w:lang w:val="es-ES"/>
        </w:rPr>
      </w:pPr>
    </w:p>
    <w:p w14:paraId="62B978FA" w14:textId="6C82EBD2" w:rsidR="00475231" w:rsidRPr="009E6611" w:rsidRDefault="00475231" w:rsidP="009A54CD">
      <w:pPr>
        <w:numPr>
          <w:ilvl w:val="0"/>
          <w:numId w:val="21"/>
        </w:numPr>
        <w:autoSpaceDE w:val="0"/>
        <w:autoSpaceDN w:val="0"/>
        <w:adjustRightInd w:val="0"/>
        <w:jc w:val="both"/>
        <w:rPr>
          <w:rFonts w:ascii="Verdana" w:hAnsi="Verdana"/>
          <w:b/>
          <w:lang w:val="es-ES"/>
        </w:rPr>
      </w:pPr>
      <w:r w:rsidRPr="009E6611">
        <w:rPr>
          <w:rFonts w:ascii="Verdana" w:hAnsi="Verdana"/>
          <w:lang w:val="es-ES"/>
        </w:rPr>
        <w:t xml:space="preserve">Gastos futuros en los que puedan incurrir en el trámite restante ante la Corte y en </w:t>
      </w:r>
      <w:r w:rsidRPr="009E6611">
        <w:rPr>
          <w:rFonts w:ascii="Verdana" w:eastAsia="Calibri" w:hAnsi="Verdana" w:cs="Arial"/>
          <w:lang w:val="es-ES"/>
        </w:rPr>
        <w:t>la etapa de cumplimiento de la sentencia emitida por la Corte, tanto a nivel internacional como nacional. En consideración de lo anterior, solicitó a la Corte que en la etapa procesal que corresponda, se brinde la oportunidad de poder presentar cifras y comprobantes actualizados acerca de los gastos incurridos durante el desarrollo del proceso contencioso.</w:t>
      </w:r>
      <w:r w:rsidRPr="009E6611">
        <w:rPr>
          <w:rFonts w:ascii="Verdana" w:eastAsia="Calibri" w:hAnsi="Verdana" w:cs="Arial"/>
          <w:b/>
          <w:lang w:val="es-ES"/>
        </w:rPr>
        <w:t xml:space="preserve"> </w:t>
      </w:r>
    </w:p>
    <w:p w14:paraId="68B73367" w14:textId="77777777" w:rsidR="00475231" w:rsidRPr="009E6611" w:rsidRDefault="00475231" w:rsidP="009A54CD">
      <w:pPr>
        <w:ind w:right="11"/>
        <w:jc w:val="both"/>
        <w:rPr>
          <w:rFonts w:ascii="Verdana" w:hAnsi="Verdana"/>
          <w:bCs/>
          <w:lang w:val="es-ES"/>
        </w:rPr>
      </w:pPr>
    </w:p>
    <w:p w14:paraId="5BB13CBA" w14:textId="47725A93" w:rsidR="00475231" w:rsidRPr="009E6611" w:rsidRDefault="00821614" w:rsidP="005E070D">
      <w:pPr>
        <w:pStyle w:val="Prrafodelista"/>
        <w:rPr>
          <w:bCs/>
        </w:rPr>
      </w:pPr>
      <w:r w:rsidRPr="009E6611">
        <w:lastRenderedPageBreak/>
        <w:t xml:space="preserve">El </w:t>
      </w:r>
      <w:r w:rsidRPr="009E6611">
        <w:rPr>
          <w:b/>
          <w:i/>
        </w:rPr>
        <w:t>Estado</w:t>
      </w:r>
      <w:r w:rsidRPr="009E6611">
        <w:t xml:space="preserve"> alegó que los representantes no basaron su argumentación en fundamentos legales o jurisprudenciales que obliguen al Estado a cubrir la etapa de supervisión de cumplimiento de una eventual sentencia</w:t>
      </w:r>
      <w:r w:rsidR="008216D0" w:rsidRPr="00D23168">
        <w:t>, por lo que debe ser rechazado.</w:t>
      </w:r>
    </w:p>
    <w:p w14:paraId="3788ECA3" w14:textId="77777777" w:rsidR="00475231" w:rsidRPr="002E61E9" w:rsidRDefault="00475231" w:rsidP="00E55450">
      <w:pPr>
        <w:rPr>
          <w:lang w:val="es-ES"/>
        </w:rPr>
      </w:pPr>
    </w:p>
    <w:p w14:paraId="20DF59DA" w14:textId="2609AEC6" w:rsidR="00821614" w:rsidRPr="00475231" w:rsidRDefault="00821614" w:rsidP="005E070D">
      <w:pPr>
        <w:pStyle w:val="Prrafodelista"/>
        <w:rPr>
          <w:bCs/>
        </w:rPr>
      </w:pPr>
      <w:r w:rsidRPr="00475231">
        <w:t xml:space="preserve"> La </w:t>
      </w:r>
      <w:r w:rsidRPr="00475231">
        <w:rPr>
          <w:b/>
          <w:i/>
        </w:rPr>
        <w:t>Corte</w:t>
      </w:r>
      <w:r w:rsidRPr="00475231">
        <w:t xml:space="preserve"> reitera que, conforme a su jurisprudencia</w:t>
      </w:r>
      <w:r w:rsidRPr="009A54CD">
        <w:rPr>
          <w:vertAlign w:val="superscript"/>
        </w:rPr>
        <w:footnoteReference w:id="238"/>
      </w:r>
      <w:r w:rsidRPr="00475231">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ante las autoridades de la jurisdicción interna, así como los </w:t>
      </w:r>
      <w:r w:rsidR="00F27887" w:rsidRPr="00A5220D">
        <w:t>incurridos</w:t>
      </w:r>
      <w:r w:rsidR="00F27887" w:rsidRPr="00475231">
        <w:t xml:space="preserve"> </w:t>
      </w:r>
      <w:r w:rsidRPr="00475231">
        <w:t>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9A54CD">
        <w:rPr>
          <w:vertAlign w:val="superscript"/>
        </w:rPr>
        <w:footnoteReference w:id="239"/>
      </w:r>
      <w:r w:rsidRPr="009A54CD">
        <w:rPr>
          <w:vertAlign w:val="superscript"/>
        </w:rPr>
        <w:t>.</w:t>
      </w:r>
    </w:p>
    <w:p w14:paraId="3FC5E823" w14:textId="77777777" w:rsidR="00475231" w:rsidRPr="002E61E9" w:rsidRDefault="00475231" w:rsidP="00E55450">
      <w:pPr>
        <w:rPr>
          <w:lang w:val="es-ES"/>
        </w:rPr>
      </w:pPr>
    </w:p>
    <w:p w14:paraId="66AB4134" w14:textId="125C08F1" w:rsidR="00821614" w:rsidRPr="00475231" w:rsidRDefault="00821614" w:rsidP="005E070D">
      <w:pPr>
        <w:pStyle w:val="Prrafodelista"/>
        <w:rPr>
          <w:bCs/>
        </w:rPr>
      </w:pPr>
      <w:r w:rsidRPr="00475231">
        <w:t xml:space="preserve">En el presente caso, </w:t>
      </w:r>
      <w:r w:rsidR="00701F5D" w:rsidRPr="00701F5D">
        <w:t xml:space="preserve">el representante solicitó el reintegro de costas y gastos en los que los incurrieron las familiares y representantes de Juan </w:t>
      </w:r>
      <w:r w:rsidR="00701F5D" w:rsidRPr="00D23168">
        <w:t>Carlos Flores Bedregal, sin embargo,</w:t>
      </w:r>
      <w:r w:rsidRPr="00D23168">
        <w:t xml:space="preserve"> no present</w:t>
      </w:r>
      <w:r w:rsidR="00F74D02" w:rsidRPr="00D23168">
        <w:t>ó</w:t>
      </w:r>
      <w:r w:rsidRPr="00D23168">
        <w:t xml:space="preserve"> soporte probatorio alguno sobre las erogaciones </w:t>
      </w:r>
      <w:r w:rsidR="0000445F" w:rsidRPr="00D23168">
        <w:t>incurridas</w:t>
      </w:r>
      <w:r w:rsidRPr="00D23168">
        <w:t xml:space="preserve"> en </w:t>
      </w:r>
      <w:r w:rsidR="00701F5D" w:rsidRPr="00D23168">
        <w:t>la jurisdicción interna</w:t>
      </w:r>
      <w:r w:rsidR="008371B9" w:rsidRPr="00D23168">
        <w:t>, tan solo hizo alusión genérica</w:t>
      </w:r>
      <w:r w:rsidRPr="00D23168">
        <w:t xml:space="preserve">. </w:t>
      </w:r>
      <w:r w:rsidR="0000445F" w:rsidRPr="00D23168">
        <w:t xml:space="preserve">En lo que se refiere al trámite ante la Comisión y la Corte, </w:t>
      </w:r>
      <w:r w:rsidR="008371B9" w:rsidRPr="00D23168">
        <w:t xml:space="preserve">tampoco acompañó </w:t>
      </w:r>
      <w:r w:rsidR="00701F5D" w:rsidRPr="00D23168">
        <w:t xml:space="preserve">los </w:t>
      </w:r>
      <w:r w:rsidRPr="00D23168">
        <w:t>comprobantes respectivos</w:t>
      </w:r>
      <w:r w:rsidR="0000445F" w:rsidRPr="00D23168">
        <w:t>,</w:t>
      </w:r>
      <w:r w:rsidR="00906CB3" w:rsidRPr="00D23168">
        <w:t xml:space="preserve"> </w:t>
      </w:r>
      <w:r w:rsidR="0000445F" w:rsidRPr="00D23168">
        <w:t>salvo algunos relacionados con el proceso ante la Corte</w:t>
      </w:r>
      <w:r w:rsidRPr="00D23168">
        <w:t>,</w:t>
      </w:r>
      <w:r w:rsidR="00701F5D" w:rsidRPr="00D23168">
        <w:t xml:space="preserve"> </w:t>
      </w:r>
      <w:r w:rsidR="005D7EF5" w:rsidRPr="00D23168">
        <w:t xml:space="preserve">y </w:t>
      </w:r>
      <w:r w:rsidR="00701F5D" w:rsidRPr="00D23168">
        <w:t xml:space="preserve">en particular, sobre ciertos gastos incurridos </w:t>
      </w:r>
      <w:r w:rsidR="0000445F" w:rsidRPr="00D23168">
        <w:t>con posterioridad a la presentación del escrito de solicitudes y argumentos.</w:t>
      </w:r>
      <w:r w:rsidR="0000445F">
        <w:rPr>
          <w:b/>
          <w:bCs/>
        </w:rPr>
        <w:t xml:space="preserve"> </w:t>
      </w:r>
      <w:r w:rsidR="00906CB3" w:rsidRPr="00906CB3">
        <w:t>Adicionalmente</w:t>
      </w:r>
      <w:r w:rsidR="0000445F" w:rsidRPr="00906CB3">
        <w:t xml:space="preserve">, </w:t>
      </w:r>
      <w:r w:rsidR="00701F5D" w:rsidRPr="00475231">
        <w:t>por las labores realizadas en la defensa en el presente caso</w:t>
      </w:r>
      <w:r w:rsidR="00701F5D">
        <w:t xml:space="preserve"> a partir </w:t>
      </w:r>
      <w:r w:rsidR="00701F5D" w:rsidRPr="00475231">
        <w:rPr>
          <w:rFonts w:eastAsia="Calibri" w:cs="Arial"/>
        </w:rPr>
        <w:t>del 1 de julio de 2019</w:t>
      </w:r>
      <w:r w:rsidR="00701F5D">
        <w:t xml:space="preserve">, el representante </w:t>
      </w:r>
      <w:r w:rsidR="0000445F">
        <w:t xml:space="preserve">solicitó </w:t>
      </w:r>
      <w:r w:rsidR="00701F5D">
        <w:t xml:space="preserve">la suma de </w:t>
      </w:r>
      <w:r w:rsidR="0000445F" w:rsidRPr="00475231">
        <w:t>USD$10.000,00 (diez mil dólares de los Estados Unidos de América</w:t>
      </w:r>
      <w:r w:rsidR="00701F5D">
        <w:t xml:space="preserve">) a favor </w:t>
      </w:r>
      <w:r w:rsidR="00701F5D" w:rsidRPr="00475231">
        <w:rPr>
          <w:rFonts w:eastAsia="Calibri" w:cs="Arial"/>
        </w:rPr>
        <w:t>Karina Fernández Neira</w:t>
      </w:r>
      <w:r w:rsidR="00701F5D">
        <w:t xml:space="preserve"> </w:t>
      </w:r>
      <w:r w:rsidR="00B305A1" w:rsidRPr="00475231">
        <w:t xml:space="preserve">y </w:t>
      </w:r>
      <w:r w:rsidR="00701F5D">
        <w:t xml:space="preserve">la suma </w:t>
      </w:r>
      <w:r w:rsidR="00B305A1" w:rsidRPr="00475231">
        <w:t>USD$5</w:t>
      </w:r>
      <w:r w:rsidR="00872962" w:rsidRPr="00475231">
        <w:t>.</w:t>
      </w:r>
      <w:r w:rsidR="00B305A1" w:rsidRPr="00475231">
        <w:t>000</w:t>
      </w:r>
      <w:r w:rsidR="009946EB" w:rsidRPr="00475231">
        <w:t>,</w:t>
      </w:r>
      <w:r w:rsidR="00872962" w:rsidRPr="00475231">
        <w:t>00</w:t>
      </w:r>
      <w:r w:rsidR="00B305A1" w:rsidRPr="00475231">
        <w:t xml:space="preserve"> (cinco mil dólares de los Estados Unidos de América)</w:t>
      </w:r>
      <w:r w:rsidR="00701F5D">
        <w:t xml:space="preserve"> a favor </w:t>
      </w:r>
      <w:r w:rsidR="00701F5D" w:rsidRPr="009E6611">
        <w:rPr>
          <w:rFonts w:eastAsia="Calibri" w:cs="Arial"/>
          <w:bCs/>
        </w:rPr>
        <w:t>André Lange Schulze</w:t>
      </w:r>
      <w:r w:rsidR="00B305A1" w:rsidRPr="00475231">
        <w:t>.</w:t>
      </w:r>
      <w:r w:rsidR="00F31C20">
        <w:t xml:space="preserve"> </w:t>
      </w:r>
    </w:p>
    <w:p w14:paraId="26DD8FD8" w14:textId="77777777" w:rsidR="00475231" w:rsidRPr="002E61E9" w:rsidRDefault="00475231" w:rsidP="00E55450">
      <w:pPr>
        <w:rPr>
          <w:lang w:val="es-ES"/>
        </w:rPr>
      </w:pPr>
    </w:p>
    <w:p w14:paraId="2733B206" w14:textId="122A7D9B" w:rsidR="00CB1D80" w:rsidRPr="00475231" w:rsidRDefault="005B058A" w:rsidP="005E070D">
      <w:pPr>
        <w:pStyle w:val="Prrafodelista"/>
        <w:rPr>
          <w:bCs/>
        </w:rPr>
      </w:pPr>
      <w:r w:rsidRPr="00A5220D">
        <w:t>La Corte decide fijar, en equidad, la cantidad de USD$</w:t>
      </w:r>
      <w:r w:rsidR="003B50F4" w:rsidRPr="00A5220D">
        <w:t>40,000</w:t>
      </w:r>
      <w:r w:rsidR="0028799F" w:rsidRPr="00A5220D">
        <w:t>.00</w:t>
      </w:r>
      <w:r w:rsidRPr="00A5220D">
        <w:rPr>
          <w:color w:val="00B050"/>
        </w:rPr>
        <w:t xml:space="preserve"> </w:t>
      </w:r>
      <w:r w:rsidRPr="00A5220D">
        <w:t>(</w:t>
      </w:r>
      <w:r w:rsidR="003B50F4" w:rsidRPr="00A5220D">
        <w:t>cuarenta</w:t>
      </w:r>
      <w:r w:rsidR="003B50F4" w:rsidRPr="00475231">
        <w:t xml:space="preserve"> mil</w:t>
      </w:r>
      <w:r w:rsidRPr="00475231">
        <w:rPr>
          <w:b/>
          <w:bCs/>
        </w:rPr>
        <w:t xml:space="preserve"> </w:t>
      </w:r>
      <w:r w:rsidRPr="00475231">
        <w:t>dólares</w:t>
      </w:r>
      <w:r w:rsidRPr="00475231">
        <w:rPr>
          <w:b/>
          <w:bCs/>
        </w:rPr>
        <w:t xml:space="preserve"> </w:t>
      </w:r>
      <w:r w:rsidRPr="00475231">
        <w:t xml:space="preserve">de los Estados Unidos de América), a favor de </w:t>
      </w:r>
      <w:r w:rsidR="00F31C20">
        <w:t xml:space="preserve">las </w:t>
      </w:r>
      <w:r w:rsidRPr="00475231">
        <w:t xml:space="preserve">hermanas Flores Bedregal, por concepto de reintegro de costas y gastos por las labores realizadas en el litigio del caso a nivel interno e internacional. La cantidad fijada </w:t>
      </w:r>
      <w:r w:rsidRPr="00A93879">
        <w:t xml:space="preserve">deberá dividirse en partes iguales entre </w:t>
      </w:r>
      <w:r w:rsidRPr="00A93879">
        <w:rPr>
          <w:rFonts w:cs="Verdana"/>
        </w:rPr>
        <w:t xml:space="preserve">Olga Beatriz, Verónica, Eliana Isbelia y Lilian Teresa </w:t>
      </w:r>
      <w:r w:rsidRPr="00A93879">
        <w:t>Flores Bedregal</w:t>
      </w:r>
      <w:r w:rsidRPr="00A93879">
        <w:rPr>
          <w:rFonts w:cs="Verdana"/>
          <w:color w:val="000000"/>
        </w:rPr>
        <w:t>.</w:t>
      </w:r>
      <w:r w:rsidRPr="00A93879">
        <w:t xml:space="preserve"> La parte correspondiente a </w:t>
      </w:r>
      <w:r w:rsidRPr="00DA3AF5">
        <w:t>personas fallecidas deberá dividirse entre sus herederos.</w:t>
      </w:r>
      <w:r w:rsidR="006874C1" w:rsidRPr="00DA3AF5">
        <w:t xml:space="preserve"> Asimismo,</w:t>
      </w:r>
      <w:r w:rsidRPr="00DA3AF5">
        <w:t xml:space="preserve"> </w:t>
      </w:r>
      <w:r w:rsidR="006874C1" w:rsidRPr="00DA3AF5">
        <w:t>l</w:t>
      </w:r>
      <w:r w:rsidRPr="00DA3AF5">
        <w:t xml:space="preserve">a Corte decide fijar, en equidad, la cantidad de </w:t>
      </w:r>
      <w:r w:rsidRPr="005E070D">
        <w:t>USD$16,</w:t>
      </w:r>
      <w:r w:rsidR="00B73EB6" w:rsidRPr="005E070D">
        <w:t>0</w:t>
      </w:r>
      <w:r w:rsidRPr="005E070D">
        <w:t>5</w:t>
      </w:r>
      <w:r w:rsidR="00B73EB6" w:rsidRPr="005E070D">
        <w:t>0.00</w:t>
      </w:r>
      <w:r w:rsidRPr="002F4106">
        <w:t xml:space="preserve"> (</w:t>
      </w:r>
      <w:r w:rsidR="009A54CD" w:rsidRPr="002F4106">
        <w:t>dieciséis</w:t>
      </w:r>
      <w:r w:rsidR="009A54CD" w:rsidRPr="00DA3AF5">
        <w:t xml:space="preserve"> mil cincuenta </w:t>
      </w:r>
      <w:r w:rsidRPr="00DA3AF5">
        <w:t>dólares de los Estados Unidos de América), por concepto de reintegro de costas y gastos, por las labores realizadas en el litigio del caso a nivel internacional. La cantidad fijada deberá ser entregada de la siguiente forma: USD$10,500.00</w:t>
      </w:r>
      <w:r w:rsidR="00A5220D" w:rsidRPr="00DA3AF5">
        <w:rPr>
          <w:i/>
          <w:iCs/>
          <w:color w:val="00B050"/>
        </w:rPr>
        <w:t xml:space="preserve"> </w:t>
      </w:r>
      <w:r w:rsidR="002B4FB6" w:rsidRPr="00DA3AF5">
        <w:t>(</w:t>
      </w:r>
      <w:r w:rsidR="00A5220D" w:rsidRPr="00DA3AF5">
        <w:t>diez mil quinientos</w:t>
      </w:r>
      <w:r w:rsidR="002B4FB6" w:rsidRPr="00DA3AF5">
        <w:t xml:space="preserve"> dólares de los Estados Unidos de América) a favor de</w:t>
      </w:r>
      <w:r w:rsidR="002B4FB6" w:rsidRPr="00DA3AF5">
        <w:rPr>
          <w:rFonts w:eastAsia="Calibri" w:cs="Arial"/>
        </w:rPr>
        <w:t xml:space="preserve"> Karinna Fernández Neira</w:t>
      </w:r>
      <w:r w:rsidR="002B4FB6" w:rsidRPr="00DA3AF5">
        <w:t>, y USD$5,</w:t>
      </w:r>
      <w:r w:rsidR="00DA3AF5" w:rsidRPr="00DA3AF5">
        <w:t>5</w:t>
      </w:r>
      <w:r w:rsidR="002B4FB6" w:rsidRPr="00DA3AF5">
        <w:t>5</w:t>
      </w:r>
      <w:r w:rsidR="00B73EB6" w:rsidRPr="00DA3AF5">
        <w:t>0</w:t>
      </w:r>
      <w:r w:rsidR="002B4FB6" w:rsidRPr="00DA3AF5">
        <w:t>.</w:t>
      </w:r>
      <w:r w:rsidR="00B73EB6" w:rsidRPr="00DA3AF5">
        <w:t>00</w:t>
      </w:r>
      <w:r w:rsidR="002B4FB6" w:rsidRPr="00475231">
        <w:t xml:space="preserve"> (</w:t>
      </w:r>
      <w:r w:rsidR="00A5220D">
        <w:t>cinco mil</w:t>
      </w:r>
      <w:r w:rsidR="00DA3AF5">
        <w:t xml:space="preserve"> quinientos</w:t>
      </w:r>
      <w:r w:rsidR="00A5220D">
        <w:t xml:space="preserve"> cincuenta </w:t>
      </w:r>
      <w:r w:rsidR="002B4FB6" w:rsidRPr="00475231">
        <w:t xml:space="preserve">dólares de los Estados Unidos de América) a favor de </w:t>
      </w:r>
      <w:r w:rsidR="002B4FB6" w:rsidRPr="00475231">
        <w:rPr>
          <w:rFonts w:eastAsia="Calibri" w:cs="Arial"/>
        </w:rPr>
        <w:t xml:space="preserve">André </w:t>
      </w:r>
      <w:r w:rsidR="002B4FB6" w:rsidRPr="00A5220D">
        <w:rPr>
          <w:rFonts w:eastAsia="Calibri" w:cs="Arial"/>
        </w:rPr>
        <w:t xml:space="preserve">Lange </w:t>
      </w:r>
      <w:r w:rsidR="002B4FB6" w:rsidRPr="00A5220D">
        <w:rPr>
          <w:rFonts w:eastAsia="Calibri" w:cs="Arial"/>
          <w:bCs/>
        </w:rPr>
        <w:t>Schulze</w:t>
      </w:r>
      <w:r w:rsidR="002B4FB6" w:rsidRPr="00A5220D">
        <w:rPr>
          <w:rFonts w:eastAsia="Calibri" w:cs="Arial"/>
        </w:rPr>
        <w:t>.</w:t>
      </w:r>
    </w:p>
    <w:p w14:paraId="187F1691" w14:textId="77777777" w:rsidR="00475231" w:rsidRPr="002E61E9" w:rsidRDefault="00475231" w:rsidP="00E55450">
      <w:pPr>
        <w:rPr>
          <w:lang w:val="es-ES"/>
        </w:rPr>
      </w:pPr>
    </w:p>
    <w:p w14:paraId="062A8EDA" w14:textId="63C12C08" w:rsidR="00C81216" w:rsidRPr="009A54CD" w:rsidRDefault="00821614" w:rsidP="005E070D">
      <w:pPr>
        <w:pStyle w:val="Prrafodelista"/>
        <w:rPr>
          <w:bCs/>
        </w:rPr>
      </w:pPr>
      <w:r w:rsidRPr="00475231">
        <w:t>La Corte considera que, en el procedimiento de supervisión del cumplimiento de la presente Sentencia, podrá disponer que el Estado reembolse a las víctimas o sus representantes los gastos razonables en que incurran en dicha etapa procesal.</w:t>
      </w:r>
    </w:p>
    <w:p w14:paraId="59DE7DB0" w14:textId="77777777" w:rsidR="00480CEB" w:rsidRPr="002E61E9" w:rsidRDefault="00480CEB" w:rsidP="00E55450">
      <w:pPr>
        <w:rPr>
          <w:lang w:val="es-ES"/>
        </w:rPr>
      </w:pPr>
    </w:p>
    <w:p w14:paraId="16F45CB7" w14:textId="52C03266" w:rsidR="00C81216" w:rsidRPr="00C81216" w:rsidRDefault="00C81216" w:rsidP="000D685A">
      <w:pPr>
        <w:pStyle w:val="Ttulo2"/>
        <w:spacing w:before="0"/>
        <w:ind w:left="567"/>
        <w:rPr>
          <w:rFonts w:ascii="Verdana" w:hAnsi="Verdana"/>
          <w:b/>
          <w:bCs/>
          <w:color w:val="000000" w:themeColor="text1"/>
          <w:sz w:val="20"/>
          <w:szCs w:val="20"/>
          <w:lang w:val="es-ES"/>
        </w:rPr>
      </w:pPr>
      <w:bookmarkStart w:id="207" w:name="_Toc125037517"/>
      <w:r w:rsidRPr="00C81216">
        <w:rPr>
          <w:rFonts w:ascii="Verdana" w:hAnsi="Verdana"/>
          <w:b/>
          <w:bCs/>
          <w:color w:val="000000" w:themeColor="text1"/>
          <w:sz w:val="20"/>
          <w:szCs w:val="20"/>
          <w:lang w:val="es-ES"/>
        </w:rPr>
        <w:t xml:space="preserve">F.  Acceso al fondo de asistencia </w:t>
      </w:r>
      <w:r w:rsidR="002C258C">
        <w:rPr>
          <w:rFonts w:ascii="Verdana" w:hAnsi="Verdana"/>
          <w:b/>
          <w:bCs/>
          <w:color w:val="000000" w:themeColor="text1"/>
          <w:sz w:val="20"/>
          <w:szCs w:val="20"/>
          <w:lang w:val="es-ES"/>
        </w:rPr>
        <w:t xml:space="preserve">legal </w:t>
      </w:r>
      <w:r w:rsidRPr="00C81216">
        <w:rPr>
          <w:rFonts w:ascii="Verdana" w:hAnsi="Verdana"/>
          <w:b/>
          <w:bCs/>
          <w:color w:val="000000" w:themeColor="text1"/>
          <w:sz w:val="20"/>
          <w:szCs w:val="20"/>
          <w:lang w:val="es-ES"/>
        </w:rPr>
        <w:t xml:space="preserve">a </w:t>
      </w:r>
      <w:r w:rsidR="002C258C">
        <w:rPr>
          <w:rFonts w:ascii="Verdana" w:hAnsi="Verdana"/>
          <w:b/>
          <w:bCs/>
          <w:color w:val="000000" w:themeColor="text1"/>
          <w:sz w:val="20"/>
          <w:szCs w:val="20"/>
          <w:lang w:val="es-ES"/>
        </w:rPr>
        <w:t xml:space="preserve">las </w:t>
      </w:r>
      <w:r w:rsidRPr="00C81216">
        <w:rPr>
          <w:rFonts w:ascii="Verdana" w:hAnsi="Verdana"/>
          <w:b/>
          <w:bCs/>
          <w:color w:val="000000" w:themeColor="text1"/>
          <w:sz w:val="20"/>
          <w:szCs w:val="20"/>
          <w:lang w:val="es-ES"/>
        </w:rPr>
        <w:t>víctimas</w:t>
      </w:r>
      <w:bookmarkEnd w:id="207"/>
    </w:p>
    <w:p w14:paraId="054E4BF8" w14:textId="77777777" w:rsidR="00C81216" w:rsidRPr="009A54CD" w:rsidRDefault="00C81216" w:rsidP="00480546">
      <w:pPr>
        <w:rPr>
          <w:rFonts w:ascii="Verdana" w:hAnsi="Verdana"/>
          <w:bCs/>
          <w:lang w:val="es-ES"/>
        </w:rPr>
      </w:pPr>
    </w:p>
    <w:p w14:paraId="6B7DE773" w14:textId="74DAC23A" w:rsidR="00C81216" w:rsidRPr="004873D0" w:rsidRDefault="00821614" w:rsidP="005E070D">
      <w:pPr>
        <w:pStyle w:val="Prrafodelista"/>
        <w:rPr>
          <w:bCs/>
        </w:rPr>
      </w:pPr>
      <w:r w:rsidRPr="00C81216">
        <w:t xml:space="preserve">En el presente caso se otorgó con cargo a dicho Fondo la asistencia económica necesaria para  cubrir los gastos de viaje, traslado y hospedaje necesarios para que el representante señor Rafael </w:t>
      </w:r>
      <w:r w:rsidRPr="00C81216">
        <w:lastRenderedPageBreak/>
        <w:t>Humberto Subieta Tapia y la señora Olga Beatriz Flores Bedregal, comparezcan ante e</w:t>
      </w:r>
      <w:r w:rsidR="0010459C">
        <w:t>ste</w:t>
      </w:r>
      <w:r w:rsidRPr="00C81216">
        <w:t xml:space="preserve"> Tribunal a realizar la defensa y rendir su declaración respectivamente, en la audiencia pública que se celebrará en el presente caso, así como los gastos razonables de</w:t>
      </w:r>
      <w:r w:rsidR="008B230C">
        <w:t>:</w:t>
      </w:r>
      <w:r w:rsidRPr="00C81216">
        <w:t xml:space="preserve"> i) formalización y envío de las declaraciones por affidávit, las cuales corresponden a las declaraciones de las señoras Verónica y Lilian Teresa Flores Bedregal; ii) y los gastos de realización, formalización y envío de tres dictámenes periciales que deben ser presentados mediante affidávit, los cuales corresponden a los señores Federico Andrés Paulo Andreu Guzmán, Guiomar Hylea Bejarano Gerke y Marcelo Pablo Pacheco Camacho.</w:t>
      </w:r>
    </w:p>
    <w:p w14:paraId="1EFDA911" w14:textId="77777777" w:rsidR="004873D0" w:rsidRPr="002E61E9" w:rsidRDefault="004873D0" w:rsidP="00E55450">
      <w:pPr>
        <w:rPr>
          <w:lang w:val="es-ES"/>
        </w:rPr>
      </w:pPr>
    </w:p>
    <w:p w14:paraId="21177490" w14:textId="3AA6656D" w:rsidR="003A2B0A" w:rsidRPr="00C81216" w:rsidRDefault="00821614" w:rsidP="005E070D">
      <w:pPr>
        <w:pStyle w:val="Prrafodelista"/>
        <w:rPr>
          <w:bCs/>
        </w:rPr>
      </w:pPr>
      <w:bookmarkStart w:id="208" w:name="_Hlk101889733"/>
      <w:r w:rsidRPr="00C81216">
        <w:t xml:space="preserve">Mediante nota de Secretaría de la Corte de </w:t>
      </w:r>
      <w:r w:rsidR="00B92346" w:rsidRPr="00C81216">
        <w:t>1</w:t>
      </w:r>
      <w:r w:rsidRPr="00C81216">
        <w:t xml:space="preserve"> de </w:t>
      </w:r>
      <w:r w:rsidR="00B92346" w:rsidRPr="00C81216">
        <w:t>abril</w:t>
      </w:r>
      <w:r w:rsidRPr="00C81216">
        <w:t xml:space="preserve"> de 202</w:t>
      </w:r>
      <w:r w:rsidR="00F74D02" w:rsidRPr="00C81216">
        <w:t>2</w:t>
      </w:r>
      <w:r w:rsidRPr="00C81216">
        <w:t xml:space="preserve">, se remitió un informe al Estado sobre las erogaciones efectuadas en aplicación del Fondo de Asistencia Legal de Víctimas en el presente caso, las cuales ascendieron a la suma de </w:t>
      </w:r>
      <w:r w:rsidR="003F53AD" w:rsidRPr="00C81216">
        <w:t xml:space="preserve">USD$6,641.79 (seis mil seiscientos cuarenta y </w:t>
      </w:r>
      <w:r w:rsidR="00DD7D4F">
        <w:t xml:space="preserve">un </w:t>
      </w:r>
      <w:r w:rsidR="003F53AD" w:rsidRPr="00C81216">
        <w:t xml:space="preserve">dólares de los Estados Unidos de América con setenta y nueve centavos) </w:t>
      </w:r>
      <w:r w:rsidRPr="00C81216">
        <w:t xml:space="preserve"> y, según lo dispuesto en el artículo 5 del Reglamento de la Corte sobre el Funcionamiento del referido Fondo, se otorgó un plazo para que Bolivia presentara las observaciones que estimara pertinentes. El Estado presentó sus observaciones</w:t>
      </w:r>
      <w:r w:rsidR="00F06B14" w:rsidRPr="00C81216">
        <w:t xml:space="preserve"> al </w:t>
      </w:r>
      <w:r w:rsidR="00F06B14" w:rsidRPr="00AA2750">
        <w:t>informe</w:t>
      </w:r>
      <w:r w:rsidRPr="00AA2750">
        <w:t xml:space="preserve"> </w:t>
      </w:r>
      <w:r w:rsidR="00F06B14" w:rsidRPr="00AA2750">
        <w:t>del FALV</w:t>
      </w:r>
      <w:r w:rsidR="004E0E47" w:rsidRPr="00C81216">
        <w:t xml:space="preserve"> </w:t>
      </w:r>
      <w:r w:rsidRPr="00C81216">
        <w:t xml:space="preserve">el </w:t>
      </w:r>
      <w:r w:rsidR="003F53AD" w:rsidRPr="00C81216">
        <w:t>13</w:t>
      </w:r>
      <w:r w:rsidRPr="00C81216">
        <w:t xml:space="preserve"> de </w:t>
      </w:r>
      <w:r w:rsidR="00EE4689" w:rsidRPr="00C81216">
        <w:t>abril</w:t>
      </w:r>
      <w:r w:rsidRPr="00C81216">
        <w:t xml:space="preserve"> de 202</w:t>
      </w:r>
      <w:r w:rsidR="00F74D02" w:rsidRPr="00C81216">
        <w:t>2</w:t>
      </w:r>
      <w:r w:rsidRPr="00C81216">
        <w:t xml:space="preserve">, en las cuales </w:t>
      </w:r>
      <w:r w:rsidR="003F53AD" w:rsidRPr="00C81216">
        <w:t>señaló que los montos erogados</w:t>
      </w:r>
      <w:r w:rsidR="00B73126" w:rsidRPr="00C81216">
        <w:t xml:space="preserve"> son excesivos, </w:t>
      </w:r>
      <w:r w:rsidR="003F53AD" w:rsidRPr="00C81216">
        <w:t>por las declaraciones rendidas ante notario público de Lilian Teresa y Verónica, ambas Flores Bedregal</w:t>
      </w:r>
      <w:r w:rsidR="00104C85" w:rsidRPr="00C81216">
        <w:t xml:space="preserve"> en virtud del Arancel de Notariado Plurinacional (Resolución Administrativa N0.013/2015 de 27 de mayo de 2015)</w:t>
      </w:r>
      <w:r w:rsidR="0040705C" w:rsidRPr="00C81216">
        <w:t xml:space="preserve"> que establece que el costo de una declaración voluntarias es de Bs.50 (cincuenta bolivianos)</w:t>
      </w:r>
      <w:r w:rsidR="00F06B14" w:rsidRPr="00C81216">
        <w:t>. De igual forma indicó que son excesivos</w:t>
      </w:r>
      <w:r w:rsidR="0040705C" w:rsidRPr="00C81216">
        <w:t xml:space="preserve"> los montos erogados por </w:t>
      </w:r>
      <w:r w:rsidR="007F22E9" w:rsidRPr="00C81216">
        <w:t>los dos</w:t>
      </w:r>
      <w:r w:rsidR="0040705C" w:rsidRPr="00C81216">
        <w:t xml:space="preserve"> Informe</w:t>
      </w:r>
      <w:r w:rsidR="007F22E9" w:rsidRPr="00C81216">
        <w:t>s</w:t>
      </w:r>
      <w:r w:rsidR="0040705C" w:rsidRPr="00C81216">
        <w:t xml:space="preserve"> pericial</w:t>
      </w:r>
      <w:r w:rsidR="007F22E9" w:rsidRPr="00C81216">
        <w:t>es</w:t>
      </w:r>
      <w:r w:rsidR="0040705C" w:rsidRPr="00C81216">
        <w:t xml:space="preserve"> (evaluación psicológica</w:t>
      </w:r>
      <w:r w:rsidR="007F22E9" w:rsidRPr="00C81216">
        <w:t>, que según la tabla incluye dictamen forense</w:t>
      </w:r>
      <w:r w:rsidR="0040705C" w:rsidRPr="00C81216">
        <w:t>)</w:t>
      </w:r>
      <w:r w:rsidR="007F22E9" w:rsidRPr="00C81216">
        <w:t xml:space="preserve"> sobre las señoras Verónica, Teresa y Olga, todas Flores Bedregal, </w:t>
      </w:r>
      <w:r w:rsidR="00967797" w:rsidRPr="00C81216">
        <w:t>ya que,</w:t>
      </w:r>
      <w:r w:rsidR="00F06B14" w:rsidRPr="00C81216">
        <w:t xml:space="preserve"> </w:t>
      </w:r>
      <w:r w:rsidR="0040705C" w:rsidRPr="00C81216">
        <w:t>de acuerdo a los Aranceles del Colegio de Psicólogos de la Paz, el costo de</w:t>
      </w:r>
      <w:r w:rsidR="007F22E9" w:rsidRPr="00C81216">
        <w:t xml:space="preserve"> </w:t>
      </w:r>
      <w:r w:rsidR="00F06B14" w:rsidRPr="00C81216">
        <w:t>cada peritaje</w:t>
      </w:r>
      <w:r w:rsidR="0040705C" w:rsidRPr="00C81216">
        <w:t>, es de Bs.3</w:t>
      </w:r>
      <w:r w:rsidR="00F06B14" w:rsidRPr="00C81216">
        <w:t>.</w:t>
      </w:r>
      <w:r w:rsidR="0040705C" w:rsidRPr="00C81216">
        <w:t>500</w:t>
      </w:r>
      <w:r w:rsidR="00F06B14" w:rsidRPr="00C81216">
        <w:t>,00</w:t>
      </w:r>
      <w:r w:rsidR="0040705C" w:rsidRPr="00C81216">
        <w:t xml:space="preserve"> (tres mil quinientos</w:t>
      </w:r>
      <w:r w:rsidR="007F22E9" w:rsidRPr="00C81216">
        <w:t xml:space="preserve"> bolivianos).</w:t>
      </w:r>
    </w:p>
    <w:p w14:paraId="7B7543CE" w14:textId="1F51E7D8" w:rsidR="00B00C4E" w:rsidRPr="002E61E9" w:rsidRDefault="00B00C4E" w:rsidP="00E55450">
      <w:pPr>
        <w:rPr>
          <w:lang w:val="es-ES"/>
        </w:rPr>
      </w:pPr>
    </w:p>
    <w:p w14:paraId="586BCDAE" w14:textId="73B9F2C4" w:rsidR="00A84257" w:rsidRPr="008B230C" w:rsidRDefault="006B2106" w:rsidP="005E070D">
      <w:pPr>
        <w:pStyle w:val="Prrafodelista"/>
        <w:rPr>
          <w:bCs/>
        </w:rPr>
      </w:pPr>
      <w:r w:rsidRPr="00C81216">
        <w:t xml:space="preserve">En cuanto a las observaciones del Estado, </w:t>
      </w:r>
      <w:r w:rsidR="00D648DF" w:rsidRPr="00C81216">
        <w:t xml:space="preserve">la Corte hace notar que en referencia al arancel cobrado por concepto de declaración voluntaria </w:t>
      </w:r>
      <w:r w:rsidR="006A0AE3" w:rsidRPr="00C81216">
        <w:t xml:space="preserve">(formulario notarial) </w:t>
      </w:r>
      <w:r w:rsidR="00D648DF" w:rsidRPr="00C81216">
        <w:t xml:space="preserve">por parte del profesional a cargo del servicio, coincide con la cantidad establecida en la tabla de aranceles </w:t>
      </w:r>
      <w:r w:rsidR="00003385" w:rsidRPr="00C81216">
        <w:t>de la Dirección del Notariado Plurinacional (DIRNOPLU)</w:t>
      </w:r>
      <w:r w:rsidR="00D648DF" w:rsidRPr="00C81216">
        <w:t xml:space="preserve"> </w:t>
      </w:r>
      <w:r w:rsidR="00003385" w:rsidRPr="00C81216">
        <w:t xml:space="preserve">a la que se refiere </w:t>
      </w:r>
      <w:r w:rsidR="00D648DF" w:rsidRPr="00C81216">
        <w:t xml:space="preserve">el Estado. Sin embargo, dada la extensión de la declaración jurada, este Tribunal entiende que los costos de los servicios profesionales y notariales, conllevan costos adicionales, por lo que considera que los montos acreditados por las declaraciones rendidas ante notario público se encuentran dentro de los estándares razonables para ese tipo de actuaciones. Por otra parte, este Tribunal advierte que el Estado remitió una tabla de aranceles del Colegio de Psicólogos de la Paz para la Gestión 2022, sin embargo, los costos que fueron reintegrados por la Corte para este caso, en lo que respecta a peritajes datan de noviembre 2019 y marzo 2020. Además, la Corte hace la observación que la tabla de aranceles establece el costo de los peritajes por persona y, en el presente caso, recibió dos peritajes autorizados para ser cubiertos por </w:t>
      </w:r>
      <w:r w:rsidR="00D648DF" w:rsidRPr="00AA2750">
        <w:t>el FALV,</w:t>
      </w:r>
      <w:r w:rsidR="00D648DF" w:rsidRPr="00C81216">
        <w:t xml:space="preserve"> cada uno de los cuales contiene la evaluación de tres víctimas.</w:t>
      </w:r>
    </w:p>
    <w:p w14:paraId="32AEB555" w14:textId="77777777" w:rsidR="008B230C" w:rsidRPr="007D114F" w:rsidRDefault="008B230C" w:rsidP="007D114F">
      <w:pPr>
        <w:rPr>
          <w:lang w:val="es-ES"/>
        </w:rPr>
      </w:pPr>
    </w:p>
    <w:bookmarkEnd w:id="208"/>
    <w:p w14:paraId="47463254" w14:textId="1FD8028B" w:rsidR="007E6E68" w:rsidRPr="00416108" w:rsidRDefault="00821614" w:rsidP="005E070D">
      <w:pPr>
        <w:pStyle w:val="Prrafodelista"/>
        <w:rPr>
          <w:bCs/>
        </w:rPr>
      </w:pPr>
      <w:r w:rsidRPr="00A84257">
        <w:t xml:space="preserve">A la luz del artículo 5 del Reglamento del Fondo, </w:t>
      </w:r>
      <w:r w:rsidR="00B16026" w:rsidRPr="00A84257">
        <w:t>debido a</w:t>
      </w:r>
      <w:r w:rsidRPr="00A84257">
        <w:t xml:space="preserve"> las violaciones declaradas en la presente Sentencia y que se cumplió con los requisitos para acogerse al Fondo, la Corte ordena al Estado el reintegro a dicho Fondo de la cantidad de USD$</w:t>
      </w:r>
      <w:r w:rsidR="00A73984" w:rsidRPr="00A84257">
        <w:t>6</w:t>
      </w:r>
      <w:r w:rsidR="006C2A4A">
        <w:t>.</w:t>
      </w:r>
      <w:r w:rsidR="00A73984" w:rsidRPr="00A84257">
        <w:t>641</w:t>
      </w:r>
      <w:r w:rsidR="006C2A4A">
        <w:t>,</w:t>
      </w:r>
      <w:r w:rsidR="00A73984" w:rsidRPr="00A84257">
        <w:t>79</w:t>
      </w:r>
      <w:r w:rsidR="00D51826" w:rsidRPr="00A84257">
        <w:t xml:space="preserve"> </w:t>
      </w:r>
      <w:r w:rsidRPr="00A84257">
        <w:t>(</w:t>
      </w:r>
      <w:r w:rsidR="00A73984" w:rsidRPr="00A84257">
        <w:t>seis mil seiscientos cuarenta y</w:t>
      </w:r>
      <w:r w:rsidRPr="00A84257">
        <w:t xml:space="preserve"> </w:t>
      </w:r>
      <w:r w:rsidR="008C5AC2">
        <w:t xml:space="preserve">un </w:t>
      </w:r>
      <w:r w:rsidRPr="00A84257">
        <w:t>dólares de los Estados Unidos de América</w:t>
      </w:r>
      <w:r w:rsidR="00A73984" w:rsidRPr="00A84257">
        <w:t xml:space="preserve"> con setenta y nueve centavos</w:t>
      </w:r>
      <w:r w:rsidRPr="00A84257">
        <w:t>) por concepto de los gastos necesarios realizados. Dicha cantidad deberá ser reintegrada en el plazo de seis meses, contados a partir de la notificación del presente Fallo.</w:t>
      </w:r>
    </w:p>
    <w:p w14:paraId="134AFA9E" w14:textId="77777777" w:rsidR="00416108" w:rsidRPr="002E61E9" w:rsidRDefault="00416108" w:rsidP="00E55450">
      <w:pPr>
        <w:rPr>
          <w:lang w:val="es-ES"/>
        </w:rPr>
      </w:pPr>
    </w:p>
    <w:p w14:paraId="2E83F34F" w14:textId="4ACD1EF8" w:rsidR="00A84257" w:rsidRPr="00024DCA" w:rsidRDefault="00967797" w:rsidP="000D685A">
      <w:pPr>
        <w:pStyle w:val="Ttulo2"/>
        <w:ind w:left="567"/>
        <w:rPr>
          <w:rFonts w:ascii="Verdana" w:hAnsi="Verdana"/>
          <w:b/>
          <w:bCs/>
          <w:color w:val="auto"/>
          <w:sz w:val="20"/>
          <w:szCs w:val="20"/>
          <w:lang w:val="es-ES"/>
        </w:rPr>
      </w:pPr>
      <w:bookmarkStart w:id="209" w:name="_Toc125037518"/>
      <w:r w:rsidRPr="00024DCA">
        <w:rPr>
          <w:rFonts w:ascii="Verdana" w:hAnsi="Verdana"/>
          <w:b/>
          <w:bCs/>
          <w:color w:val="auto"/>
          <w:sz w:val="20"/>
          <w:szCs w:val="20"/>
          <w:lang w:val="es-ES"/>
        </w:rPr>
        <w:t xml:space="preserve">G. </w:t>
      </w:r>
      <w:r w:rsidR="00A84257" w:rsidRPr="00024DCA">
        <w:rPr>
          <w:rFonts w:ascii="Verdana" w:hAnsi="Verdana"/>
          <w:b/>
          <w:bCs/>
          <w:color w:val="auto"/>
          <w:sz w:val="20"/>
          <w:szCs w:val="20"/>
          <w:lang w:val="es-ES"/>
        </w:rPr>
        <w:t>Modalidad de cumplimiento de los pagos ordenados</w:t>
      </w:r>
      <w:bookmarkEnd w:id="209"/>
    </w:p>
    <w:p w14:paraId="1CB7D1E0" w14:textId="77777777" w:rsidR="00A84257" w:rsidRPr="00A74508" w:rsidRDefault="00A84257" w:rsidP="00416108">
      <w:pPr>
        <w:rPr>
          <w:rFonts w:ascii="Verdana" w:hAnsi="Verdana"/>
          <w:bCs/>
          <w:lang w:val="es-ES"/>
        </w:rPr>
      </w:pPr>
    </w:p>
    <w:p w14:paraId="701E7933" w14:textId="0800A462" w:rsidR="00821614" w:rsidRPr="00A84257" w:rsidRDefault="00821614" w:rsidP="005E070D">
      <w:pPr>
        <w:pStyle w:val="Prrafodelista"/>
        <w:rPr>
          <w:bCs/>
        </w:rPr>
      </w:pPr>
      <w:bookmarkStart w:id="210" w:name="_Ref512872975"/>
      <w:r w:rsidRPr="00A84257">
        <w:rPr>
          <w:rFonts w:eastAsia="SimSun"/>
        </w:rPr>
        <w:t xml:space="preserve">El Estado deberá efectuar el pago de las indemnizaciones por concepto de daño material e inmaterial y el reintegro de costas y gastos establecidos en la presente Sentencia directamente a la(s) persona(s) indicada(s) en la misma, dentro del plazo de un año contado a partir de la </w:t>
      </w:r>
      <w:r w:rsidRPr="00A84257">
        <w:rPr>
          <w:rFonts w:eastAsia="SimSun"/>
        </w:rPr>
        <w:lastRenderedPageBreak/>
        <w:t>notificación de la presente Sentencia</w:t>
      </w:r>
      <w:bookmarkEnd w:id="210"/>
      <w:r w:rsidRPr="00A84257">
        <w:rPr>
          <w:rFonts w:eastAsia="SimSun"/>
        </w:rPr>
        <w:t>, sin perjuicio de que pueda adelantar el pago completo en un plazo menor, en los términos de los siguientes párrafos</w:t>
      </w:r>
      <w:r w:rsidRPr="00A84257">
        <w:rPr>
          <w:rFonts w:eastAsia="MS Mincho"/>
          <w:lang w:bidi="en-US"/>
        </w:rPr>
        <w:t>.</w:t>
      </w:r>
    </w:p>
    <w:p w14:paraId="1BAF070A" w14:textId="77777777" w:rsidR="00A84257" w:rsidRPr="002E61E9" w:rsidRDefault="00A84257" w:rsidP="00E55450">
      <w:pPr>
        <w:rPr>
          <w:lang w:val="es-ES"/>
        </w:rPr>
      </w:pPr>
    </w:p>
    <w:p w14:paraId="4CECB32A" w14:textId="19F6BB90" w:rsidR="00821614" w:rsidRPr="00A84257" w:rsidRDefault="00821614" w:rsidP="005E070D">
      <w:pPr>
        <w:pStyle w:val="Prrafodelista"/>
        <w:rPr>
          <w:bCs/>
        </w:rPr>
      </w:pPr>
      <w:r w:rsidRPr="00A84257">
        <w:rPr>
          <w:rFonts w:eastAsia="SimSun"/>
        </w:rPr>
        <w:t>En caso de que los beneficiarios fallezcan antes de que le</w:t>
      </w:r>
      <w:r w:rsidR="00416781" w:rsidRPr="00A84257">
        <w:rPr>
          <w:rFonts w:eastAsia="SimSun"/>
        </w:rPr>
        <w:t>s</w:t>
      </w:r>
      <w:r w:rsidRPr="00A84257">
        <w:rPr>
          <w:rFonts w:eastAsia="SimSun"/>
        </w:rPr>
        <w:t xml:space="preserve"> sea entregada la</w:t>
      </w:r>
      <w:r w:rsidR="00416781" w:rsidRPr="00A84257">
        <w:rPr>
          <w:rFonts w:eastAsia="SimSun"/>
        </w:rPr>
        <w:t>s indemnizaciones</w:t>
      </w:r>
      <w:r w:rsidRPr="00A84257">
        <w:rPr>
          <w:rFonts w:eastAsia="SimSun"/>
        </w:rPr>
        <w:t xml:space="preserve"> respectiva</w:t>
      </w:r>
      <w:r w:rsidR="00416781" w:rsidRPr="00A84257">
        <w:rPr>
          <w:rFonts w:eastAsia="SimSun"/>
        </w:rPr>
        <w:t>s</w:t>
      </w:r>
      <w:r w:rsidRPr="00A84257">
        <w:rPr>
          <w:rFonts w:eastAsia="SimSun"/>
        </w:rPr>
        <w:t xml:space="preserve">, esta se </w:t>
      </w:r>
      <w:r w:rsidR="00416781" w:rsidRPr="00A84257">
        <w:rPr>
          <w:rFonts w:eastAsia="SimSun"/>
        </w:rPr>
        <w:t>efectuará</w:t>
      </w:r>
      <w:r w:rsidRPr="00A84257">
        <w:rPr>
          <w:rFonts w:eastAsia="SimSun"/>
        </w:rPr>
        <w:t xml:space="preserve"> directamente a sus derechohabientes, conforme al derecho interno aplicable.</w:t>
      </w:r>
    </w:p>
    <w:p w14:paraId="58AD1029" w14:textId="77777777" w:rsidR="00A84257" w:rsidRPr="002E61E9" w:rsidRDefault="00A84257" w:rsidP="00E55450">
      <w:pPr>
        <w:rPr>
          <w:lang w:val="es-ES"/>
        </w:rPr>
      </w:pPr>
    </w:p>
    <w:p w14:paraId="7CFB1BCF" w14:textId="768F2C11" w:rsidR="00821614" w:rsidRPr="00A84257" w:rsidRDefault="00821614" w:rsidP="005E070D">
      <w:pPr>
        <w:pStyle w:val="Prrafodelista"/>
        <w:rPr>
          <w:bCs/>
        </w:rPr>
      </w:pPr>
      <w:r w:rsidRPr="00A84257">
        <w:rPr>
          <w:rFonts w:eastAsia="SimSun"/>
        </w:rPr>
        <w:t xml:space="preserve">El Estado deberá cumplir con las obligaciones monetarias mediante el pago en dólares de los Estados Unidos de América o su equivalente en moneda nacional, </w:t>
      </w:r>
      <w:r w:rsidR="00416781" w:rsidRPr="00A84257">
        <w:t>utilizando para el cálculo respectivo el tipo de cambio de mercado publicado o calculado por una autoridad bancaria o financiera pertinente, en la fecha más cercana al día del pago.</w:t>
      </w:r>
    </w:p>
    <w:p w14:paraId="382C48B0" w14:textId="77777777" w:rsidR="00A84257" w:rsidRPr="002E61E9" w:rsidRDefault="00A84257" w:rsidP="00E55450">
      <w:pPr>
        <w:rPr>
          <w:lang w:val="es-ES"/>
        </w:rPr>
      </w:pPr>
    </w:p>
    <w:p w14:paraId="2B73AAA7" w14:textId="567D29BF" w:rsidR="00821614" w:rsidRPr="00A84257" w:rsidRDefault="00821614" w:rsidP="005E070D">
      <w:pPr>
        <w:pStyle w:val="Prrafodelista"/>
        <w:rPr>
          <w:bCs/>
        </w:rPr>
      </w:pPr>
      <w:r w:rsidRPr="00A84257">
        <w:rPr>
          <w:rFonts w:eastAsia="SimSun"/>
        </w:rPr>
        <w:t xml:space="preserve">Si por causas atribuibles al (los) beneficiario(s) de las indemnizaciones o a sus derechohabientes no fuese posible el pago de las cantidades determinadas dentro del plazo indicado, el Estado consignará dichos montos a su favor en una cuenta o certificado de depósito en una institución financiera </w:t>
      </w:r>
      <w:r w:rsidR="005F6A13" w:rsidRPr="00A5220D">
        <w:rPr>
          <w:rFonts w:eastAsia="SimSun"/>
        </w:rPr>
        <w:t>boliviana</w:t>
      </w:r>
      <w:r w:rsidRPr="00A84257">
        <w:rPr>
          <w:rFonts w:eastAsia="SimSun"/>
        </w:rPr>
        <w:t xml:space="preserve">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14D94B63" w14:textId="77777777" w:rsidR="00A84257" w:rsidRPr="002E61E9" w:rsidRDefault="00A84257" w:rsidP="00E55450">
      <w:pPr>
        <w:rPr>
          <w:lang w:val="es-ES"/>
        </w:rPr>
      </w:pPr>
    </w:p>
    <w:p w14:paraId="6D3360E4" w14:textId="1542D348" w:rsidR="00821614" w:rsidRPr="00A84257" w:rsidRDefault="00821614" w:rsidP="005E070D">
      <w:pPr>
        <w:pStyle w:val="Prrafodelista"/>
        <w:rPr>
          <w:bCs/>
        </w:rPr>
      </w:pPr>
      <w:r w:rsidRPr="00A84257">
        <w:rPr>
          <w:rFonts w:eastAsia="SimSun"/>
        </w:rPr>
        <w:t>Las cantidades asignadas en la presente Sentencia como indemnización por daños materiales e inmateriales, y como reintegro de costas y gastos, deberán ser entregadas a las personas indicada</w:t>
      </w:r>
      <w:r w:rsidR="00524317">
        <w:rPr>
          <w:rFonts w:eastAsia="SimSun"/>
        </w:rPr>
        <w:t>s</w:t>
      </w:r>
      <w:r w:rsidRPr="00A84257">
        <w:rPr>
          <w:rFonts w:eastAsia="SimSun"/>
        </w:rPr>
        <w:t xml:space="preserve"> en forma íntegra, conforme a lo establecido en esta Sentencia, sin reducciones derivadas de eventuales cargas fiscales.</w:t>
      </w:r>
      <w:bookmarkStart w:id="211" w:name="_Ref469940442"/>
    </w:p>
    <w:p w14:paraId="4D7AB877" w14:textId="77777777" w:rsidR="00A84257" w:rsidRPr="002E61E9" w:rsidRDefault="00A84257" w:rsidP="00E55450">
      <w:pPr>
        <w:rPr>
          <w:lang w:val="es-ES"/>
        </w:rPr>
      </w:pPr>
    </w:p>
    <w:p w14:paraId="16FD3A99" w14:textId="4B430FCF" w:rsidR="00C81E4B" w:rsidRPr="00A32DBE" w:rsidRDefault="00821614" w:rsidP="005E070D">
      <w:pPr>
        <w:pStyle w:val="Prrafodelista"/>
        <w:rPr>
          <w:bCs/>
        </w:rPr>
      </w:pPr>
      <w:r w:rsidRPr="00A84257">
        <w:t xml:space="preserve">En caso de que el Estado incurriera en mora, incluyendo en el reintegro de los gastos al Fondo de Asistencia Legal de Víctimas, deberá pagar un interés sobre la cantidad adeudada correspondiente al interés bancario moratorio en </w:t>
      </w:r>
      <w:r w:rsidR="00416781" w:rsidRPr="00A84257">
        <w:t>Bolivia</w:t>
      </w:r>
      <w:r w:rsidRPr="00A84257">
        <w:t>.</w:t>
      </w:r>
      <w:bookmarkEnd w:id="211"/>
      <w:r w:rsidR="00416781" w:rsidRPr="00A84257">
        <w:t xml:space="preserve"> </w:t>
      </w:r>
      <w:bookmarkStart w:id="212" w:name="_Toc470105133"/>
      <w:bookmarkEnd w:id="191"/>
      <w:bookmarkEnd w:id="192"/>
    </w:p>
    <w:p w14:paraId="57879FEB" w14:textId="1F846EB6" w:rsidR="00165FA3" w:rsidRDefault="00470905" w:rsidP="004F39EB">
      <w:pPr>
        <w:pStyle w:val="Ttulo1"/>
        <w:jc w:val="center"/>
        <w:rPr>
          <w:rFonts w:ascii="Verdana" w:hAnsi="Verdana"/>
          <w:b/>
          <w:bCs/>
          <w:color w:val="000000" w:themeColor="text1"/>
          <w:sz w:val="20"/>
          <w:szCs w:val="20"/>
          <w:lang w:val="es-ES"/>
        </w:rPr>
      </w:pPr>
      <w:bookmarkStart w:id="213" w:name="_Toc125037519"/>
      <w:r>
        <w:rPr>
          <w:rFonts w:ascii="Verdana" w:hAnsi="Verdana"/>
          <w:b/>
          <w:bCs/>
          <w:color w:val="000000" w:themeColor="text1"/>
          <w:sz w:val="20"/>
          <w:szCs w:val="20"/>
          <w:lang w:val="es-ES"/>
        </w:rPr>
        <w:t>I</w:t>
      </w:r>
      <w:r w:rsidR="00F0482A" w:rsidRPr="00A84257">
        <w:rPr>
          <w:rFonts w:ascii="Verdana" w:hAnsi="Verdana"/>
          <w:b/>
          <w:bCs/>
          <w:color w:val="000000" w:themeColor="text1"/>
          <w:sz w:val="20"/>
          <w:szCs w:val="20"/>
          <w:lang w:val="es-ES"/>
        </w:rPr>
        <w:t>X</w:t>
      </w:r>
      <w:bookmarkEnd w:id="213"/>
    </w:p>
    <w:p w14:paraId="12321434" w14:textId="2424CEE0" w:rsidR="00A721AE" w:rsidRPr="00A84257" w:rsidRDefault="00A721AE" w:rsidP="00E263E5">
      <w:pPr>
        <w:pStyle w:val="Ttulo1"/>
        <w:spacing w:before="0"/>
        <w:jc w:val="center"/>
        <w:rPr>
          <w:rFonts w:ascii="Verdana" w:hAnsi="Verdana"/>
          <w:b/>
          <w:bCs/>
          <w:color w:val="000000" w:themeColor="text1"/>
          <w:sz w:val="20"/>
          <w:szCs w:val="20"/>
          <w:lang w:val="es-ES"/>
        </w:rPr>
      </w:pPr>
      <w:bookmarkStart w:id="214" w:name="_Toc124157844"/>
      <w:bookmarkStart w:id="215" w:name="_Toc125037520"/>
      <w:r w:rsidRPr="00A84257">
        <w:rPr>
          <w:rFonts w:ascii="Verdana" w:hAnsi="Verdana"/>
          <w:b/>
          <w:bCs/>
          <w:color w:val="000000" w:themeColor="text1"/>
          <w:sz w:val="20"/>
          <w:szCs w:val="20"/>
          <w:lang w:val="es-ES"/>
        </w:rPr>
        <w:t>PUNTOS RESOLUTIVOS</w:t>
      </w:r>
      <w:bookmarkEnd w:id="105"/>
      <w:bookmarkEnd w:id="106"/>
      <w:bookmarkEnd w:id="107"/>
      <w:bookmarkEnd w:id="212"/>
      <w:bookmarkEnd w:id="214"/>
      <w:bookmarkEnd w:id="215"/>
      <w:r w:rsidR="00CA666A">
        <w:rPr>
          <w:rFonts w:ascii="Verdana" w:hAnsi="Verdana"/>
          <w:b/>
          <w:bCs/>
          <w:color w:val="000000" w:themeColor="text1"/>
          <w:sz w:val="20"/>
          <w:szCs w:val="20"/>
          <w:lang w:val="es-ES"/>
        </w:rPr>
        <w:t xml:space="preserve"> </w:t>
      </w:r>
    </w:p>
    <w:p w14:paraId="263DD673" w14:textId="5EC7A80D" w:rsidR="00CA2AEE" w:rsidRPr="00967797" w:rsidRDefault="00CA2AEE" w:rsidP="005E070D">
      <w:pPr>
        <w:pStyle w:val="Prrafodelista"/>
        <w:rPr>
          <w:rFonts w:eastAsia="MS Mincho"/>
          <w:i/>
          <w:lang w:bidi="en-US"/>
        </w:rPr>
      </w:pPr>
      <w:r w:rsidRPr="00967797">
        <w:rPr>
          <w:rFonts w:eastAsia="MS Mincho"/>
          <w:lang w:bidi="en-US"/>
        </w:rPr>
        <w:t>Por tanto,</w:t>
      </w:r>
    </w:p>
    <w:p w14:paraId="2D58BF2A" w14:textId="77777777" w:rsidR="00CA2AEE" w:rsidRPr="00685917" w:rsidRDefault="00CA2AEE" w:rsidP="00685917">
      <w:pPr>
        <w:tabs>
          <w:tab w:val="left" w:pos="720"/>
        </w:tabs>
        <w:spacing w:before="120" w:after="120"/>
        <w:ind w:right="-91"/>
        <w:contextualSpacing/>
        <w:jc w:val="both"/>
        <w:rPr>
          <w:rFonts w:ascii="Verdana" w:eastAsia="MS Mincho" w:hAnsi="Verdana"/>
          <w:lang w:val="es-ES" w:bidi="en-US"/>
        </w:rPr>
      </w:pPr>
    </w:p>
    <w:p w14:paraId="40AA6960" w14:textId="77777777" w:rsidR="00CA2AEE" w:rsidRPr="00685917" w:rsidRDefault="00285024" w:rsidP="00685917">
      <w:pPr>
        <w:tabs>
          <w:tab w:val="left" w:pos="720"/>
        </w:tabs>
        <w:spacing w:before="120" w:after="120"/>
        <w:ind w:right="-91"/>
        <w:contextualSpacing/>
        <w:jc w:val="both"/>
        <w:rPr>
          <w:rFonts w:ascii="Verdana" w:eastAsia="MS Mincho" w:hAnsi="Verdana"/>
          <w:b/>
          <w:bCs/>
          <w:lang w:val="es-ES" w:bidi="en-US"/>
        </w:rPr>
      </w:pPr>
      <w:r w:rsidRPr="00685917">
        <w:rPr>
          <w:rFonts w:ascii="Verdana" w:eastAsia="MS Mincho" w:hAnsi="Verdana"/>
          <w:b/>
          <w:bCs/>
          <w:lang w:val="es-ES" w:bidi="en-US"/>
        </w:rPr>
        <w:t>LA CORTE</w:t>
      </w:r>
    </w:p>
    <w:p w14:paraId="64996DC7" w14:textId="6F4FAEB9" w:rsidR="00285024" w:rsidRPr="00685917" w:rsidRDefault="00285024" w:rsidP="00685917">
      <w:pPr>
        <w:tabs>
          <w:tab w:val="left" w:pos="720"/>
        </w:tabs>
        <w:spacing w:before="120" w:after="120"/>
        <w:ind w:right="-91"/>
        <w:contextualSpacing/>
        <w:jc w:val="both"/>
        <w:rPr>
          <w:rFonts w:ascii="Verdana" w:eastAsia="MS Mincho" w:hAnsi="Verdana"/>
          <w:lang w:val="es-ES" w:bidi="en-US"/>
        </w:rPr>
      </w:pPr>
    </w:p>
    <w:p w14:paraId="5D53F513" w14:textId="77777777" w:rsidR="00B74043" w:rsidRPr="00685917" w:rsidRDefault="00B74043" w:rsidP="00685917">
      <w:pPr>
        <w:tabs>
          <w:tab w:val="left" w:pos="720"/>
        </w:tabs>
        <w:ind w:right="-90"/>
        <w:contextualSpacing/>
        <w:jc w:val="both"/>
        <w:rPr>
          <w:rFonts w:ascii="Verdana" w:hAnsi="Verdana"/>
          <w:b/>
          <w:lang w:val="es-ES"/>
        </w:rPr>
      </w:pPr>
      <w:r w:rsidRPr="00685917">
        <w:rPr>
          <w:rFonts w:ascii="Verdana" w:hAnsi="Verdana"/>
          <w:b/>
          <w:lang w:val="es-ES"/>
        </w:rPr>
        <w:t xml:space="preserve">DECIDE: </w:t>
      </w:r>
    </w:p>
    <w:p w14:paraId="0E3DA5CB" w14:textId="77777777" w:rsidR="0082444D" w:rsidRPr="00C17B68" w:rsidRDefault="0082444D" w:rsidP="0082444D">
      <w:pPr>
        <w:tabs>
          <w:tab w:val="left" w:pos="720"/>
        </w:tabs>
        <w:ind w:right="-90"/>
        <w:contextualSpacing/>
        <w:rPr>
          <w:lang w:val="es-ES"/>
        </w:rPr>
      </w:pPr>
    </w:p>
    <w:p w14:paraId="6E0E1A2F" w14:textId="5BB906FD" w:rsidR="0082444D" w:rsidRPr="004F23BA" w:rsidRDefault="0082444D" w:rsidP="0082444D">
      <w:pPr>
        <w:tabs>
          <w:tab w:val="left" w:pos="720"/>
        </w:tabs>
        <w:ind w:right="-90"/>
        <w:contextualSpacing/>
        <w:rPr>
          <w:rFonts w:ascii="Verdana" w:hAnsi="Verdana"/>
          <w:lang w:val="es-ES"/>
        </w:rPr>
      </w:pPr>
      <w:r w:rsidRPr="004F23BA">
        <w:rPr>
          <w:rFonts w:ascii="Verdana" w:hAnsi="Verdana"/>
          <w:lang w:val="es-ES"/>
        </w:rPr>
        <w:t xml:space="preserve">Por </w:t>
      </w:r>
      <w:r w:rsidR="00B00C4E" w:rsidRPr="004F23BA">
        <w:rPr>
          <w:rFonts w:ascii="Verdana" w:hAnsi="Verdana"/>
          <w:lang w:val="es-ES"/>
        </w:rPr>
        <w:t>unanimidad</w:t>
      </w:r>
      <w:r w:rsidRPr="004F23BA">
        <w:rPr>
          <w:rFonts w:ascii="Verdana" w:hAnsi="Verdana"/>
          <w:lang w:val="es-ES"/>
        </w:rPr>
        <w:t>,</w:t>
      </w:r>
    </w:p>
    <w:p w14:paraId="2E0F7B2E" w14:textId="77777777" w:rsidR="0082444D" w:rsidRPr="004F23BA" w:rsidRDefault="0082444D" w:rsidP="0082444D">
      <w:pPr>
        <w:tabs>
          <w:tab w:val="left" w:pos="720"/>
        </w:tabs>
        <w:ind w:right="-90"/>
        <w:contextualSpacing/>
        <w:rPr>
          <w:rFonts w:ascii="Verdana" w:hAnsi="Verdana"/>
          <w:lang w:val="es-ES"/>
        </w:rPr>
      </w:pPr>
    </w:p>
    <w:p w14:paraId="0DC61C1B" w14:textId="4BF4B79F" w:rsidR="00CD0156" w:rsidRPr="00D23168" w:rsidRDefault="00CD0156" w:rsidP="00480CEB">
      <w:pPr>
        <w:ind w:right="-91"/>
        <w:contextualSpacing/>
        <w:rPr>
          <w:rFonts w:ascii="Verdana" w:eastAsia="Batang" w:hAnsi="Verdana" w:cs="Times"/>
          <w:szCs w:val="24"/>
          <w:lang w:val="es-ES" w:eastAsia="en-US"/>
        </w:rPr>
      </w:pPr>
      <w:r w:rsidRPr="005E070D">
        <w:rPr>
          <w:rFonts w:ascii="Verdana" w:eastAsia="MS Mincho" w:hAnsi="Verdana"/>
          <w:lang w:val="es-ES" w:bidi="en-US"/>
        </w:rPr>
        <w:t>1.</w:t>
      </w:r>
      <w:r w:rsidRPr="004F23BA">
        <w:rPr>
          <w:rFonts w:ascii="Verdana" w:eastAsia="MS Mincho" w:hAnsi="Verdana"/>
          <w:lang w:val="es-ES" w:bidi="en-US"/>
        </w:rPr>
        <w:tab/>
      </w:r>
      <w:r w:rsidRPr="004F23BA">
        <w:rPr>
          <w:rFonts w:ascii="Verdana" w:eastAsia="Batang" w:hAnsi="Verdana" w:cs="Times"/>
          <w:szCs w:val="24"/>
          <w:lang w:val="es-ES" w:eastAsia="en-US"/>
        </w:rPr>
        <w:t>Desestimar la</w:t>
      </w:r>
      <w:r w:rsidR="0010459C" w:rsidRPr="004F23BA">
        <w:rPr>
          <w:rFonts w:ascii="Verdana" w:eastAsia="Batang" w:hAnsi="Verdana" w:cs="Times"/>
          <w:szCs w:val="24"/>
          <w:lang w:val="es-ES" w:eastAsia="en-US"/>
        </w:rPr>
        <w:t>s</w:t>
      </w:r>
      <w:r w:rsidRPr="004F23BA">
        <w:rPr>
          <w:rFonts w:ascii="Verdana" w:eastAsia="Batang" w:hAnsi="Verdana" w:cs="Times"/>
          <w:szCs w:val="24"/>
          <w:lang w:val="es-ES" w:eastAsia="en-US"/>
        </w:rPr>
        <w:t xml:space="preserve"> excepci</w:t>
      </w:r>
      <w:r w:rsidR="0010459C" w:rsidRPr="004F23BA">
        <w:rPr>
          <w:rFonts w:ascii="Verdana" w:eastAsia="Batang" w:hAnsi="Verdana" w:cs="Times"/>
          <w:szCs w:val="24"/>
          <w:lang w:val="es-ES" w:eastAsia="en-US"/>
        </w:rPr>
        <w:t>ones</w:t>
      </w:r>
      <w:r w:rsidRPr="004F23BA">
        <w:rPr>
          <w:rFonts w:ascii="Verdana" w:eastAsia="Batang" w:hAnsi="Verdana" w:cs="Times"/>
          <w:szCs w:val="24"/>
          <w:lang w:val="es-ES" w:eastAsia="en-US"/>
        </w:rPr>
        <w:t xml:space="preserve"> preliminar</w:t>
      </w:r>
      <w:r w:rsidR="0010459C" w:rsidRPr="004F23BA">
        <w:rPr>
          <w:rFonts w:ascii="Verdana" w:eastAsia="Batang" w:hAnsi="Verdana" w:cs="Times"/>
          <w:szCs w:val="24"/>
          <w:lang w:val="es-ES" w:eastAsia="en-US"/>
        </w:rPr>
        <w:t>es</w:t>
      </w:r>
      <w:r w:rsidRPr="004F23BA">
        <w:rPr>
          <w:rFonts w:ascii="Verdana" w:eastAsia="Batang" w:hAnsi="Verdana" w:cs="Times"/>
          <w:szCs w:val="24"/>
          <w:lang w:val="es-ES" w:eastAsia="en-US"/>
        </w:rPr>
        <w:t xml:space="preserve"> </w:t>
      </w:r>
      <w:r w:rsidR="00AE7ACE" w:rsidRPr="004F23BA">
        <w:rPr>
          <w:rFonts w:ascii="Verdana" w:eastAsia="Batang" w:hAnsi="Verdana" w:cs="Times"/>
          <w:szCs w:val="24"/>
          <w:lang w:val="es-ES" w:eastAsia="en-US"/>
        </w:rPr>
        <w:t>sobre</w:t>
      </w:r>
      <w:r w:rsidR="00524317" w:rsidRPr="004F23BA">
        <w:rPr>
          <w:rFonts w:ascii="Verdana" w:eastAsia="Batang" w:hAnsi="Verdana" w:cs="Times"/>
          <w:szCs w:val="24"/>
          <w:lang w:val="es-ES" w:eastAsia="en-US"/>
        </w:rPr>
        <w:t xml:space="preserve"> la falta de competencia</w:t>
      </w:r>
      <w:r w:rsidR="00AE7ACE" w:rsidRPr="004F23BA">
        <w:rPr>
          <w:rFonts w:ascii="Verdana" w:eastAsia="Batang" w:hAnsi="Verdana" w:cs="Times"/>
          <w:szCs w:val="24"/>
          <w:lang w:val="es-ES" w:eastAsia="en-US"/>
        </w:rPr>
        <w:t xml:space="preserve"> </w:t>
      </w:r>
      <w:r w:rsidRPr="004F23BA">
        <w:rPr>
          <w:rFonts w:ascii="Verdana" w:eastAsia="Batang" w:hAnsi="Verdana" w:cs="Times"/>
          <w:i/>
          <w:iCs/>
          <w:szCs w:val="24"/>
          <w:lang w:val="es-ES" w:eastAsia="en-US"/>
        </w:rPr>
        <w:t>ratione temporis</w:t>
      </w:r>
      <w:r w:rsidR="0010459C" w:rsidRPr="004F23BA">
        <w:rPr>
          <w:rFonts w:ascii="Verdana" w:eastAsia="Batang" w:hAnsi="Verdana" w:cs="Times"/>
          <w:i/>
          <w:iCs/>
          <w:szCs w:val="24"/>
          <w:lang w:val="es-ES" w:eastAsia="en-US"/>
        </w:rPr>
        <w:t xml:space="preserve"> </w:t>
      </w:r>
      <w:r w:rsidR="0010459C" w:rsidRPr="004F23BA">
        <w:rPr>
          <w:rFonts w:ascii="Verdana" w:eastAsia="Batang" w:hAnsi="Verdana" w:cs="Times"/>
          <w:szCs w:val="24"/>
          <w:lang w:val="es-ES" w:eastAsia="en-US"/>
        </w:rPr>
        <w:t>y</w:t>
      </w:r>
      <w:r w:rsidR="0010459C" w:rsidRPr="004F23BA">
        <w:rPr>
          <w:rFonts w:ascii="Verdana" w:eastAsia="Batang" w:hAnsi="Verdana" w:cs="Times"/>
          <w:i/>
          <w:iCs/>
          <w:szCs w:val="24"/>
          <w:lang w:val="es-ES" w:eastAsia="en-US"/>
        </w:rPr>
        <w:t xml:space="preserve"> ratione materiae</w:t>
      </w:r>
      <w:r w:rsidRPr="004F23BA">
        <w:rPr>
          <w:rFonts w:ascii="Verdana" w:eastAsia="Batang" w:hAnsi="Verdana" w:cs="Times"/>
          <w:szCs w:val="24"/>
          <w:lang w:val="es-ES" w:eastAsia="en-US"/>
        </w:rPr>
        <w:t xml:space="preserve">, de conformidad con los párrafos </w:t>
      </w:r>
      <w:r w:rsidR="00AE7ACE" w:rsidRPr="004F23BA">
        <w:rPr>
          <w:rFonts w:ascii="Verdana" w:eastAsia="Batang" w:hAnsi="Verdana" w:cs="Times"/>
          <w:szCs w:val="24"/>
          <w:lang w:val="es-ES" w:eastAsia="en-US"/>
        </w:rPr>
        <w:t>19</w:t>
      </w:r>
      <w:r w:rsidR="0010459C" w:rsidRPr="004F23BA">
        <w:rPr>
          <w:rFonts w:ascii="Verdana" w:eastAsia="Batang" w:hAnsi="Verdana" w:cs="Times"/>
          <w:szCs w:val="24"/>
          <w:lang w:val="es-ES" w:eastAsia="en-US"/>
        </w:rPr>
        <w:t xml:space="preserve"> a 23</w:t>
      </w:r>
      <w:r w:rsidRPr="004F23BA">
        <w:rPr>
          <w:rFonts w:ascii="Verdana" w:eastAsia="Batang" w:hAnsi="Verdana" w:cs="Times"/>
          <w:szCs w:val="24"/>
          <w:lang w:val="es-ES" w:eastAsia="en-US"/>
        </w:rPr>
        <w:t xml:space="preserve"> de la presente Sentencia.</w:t>
      </w:r>
    </w:p>
    <w:p w14:paraId="0430FE52" w14:textId="77777777" w:rsidR="00CD0156" w:rsidRPr="00CD0156" w:rsidRDefault="00CD0156" w:rsidP="00CD0156">
      <w:pPr>
        <w:tabs>
          <w:tab w:val="left" w:pos="720"/>
        </w:tabs>
        <w:ind w:right="-91"/>
        <w:contextualSpacing/>
        <w:rPr>
          <w:rFonts w:ascii="Verdana" w:eastAsia="Batang" w:hAnsi="Verdana" w:cs="Times"/>
          <w:szCs w:val="24"/>
          <w:lang w:val="es-ES" w:eastAsia="en-US"/>
        </w:rPr>
      </w:pPr>
    </w:p>
    <w:p w14:paraId="3D2432C3" w14:textId="45539D17" w:rsidR="0082444D" w:rsidRDefault="00C47E3D" w:rsidP="00CD0156">
      <w:pPr>
        <w:tabs>
          <w:tab w:val="left" w:pos="720"/>
        </w:tabs>
        <w:ind w:right="-91"/>
        <w:contextualSpacing/>
        <w:rPr>
          <w:rFonts w:ascii="Verdana" w:eastAsia="Batang" w:hAnsi="Verdana" w:cs="Times"/>
          <w:szCs w:val="24"/>
          <w:lang w:val="es-ES" w:eastAsia="en-US"/>
        </w:rPr>
      </w:pPr>
      <w:r>
        <w:rPr>
          <w:rFonts w:ascii="Verdana" w:eastAsia="Batang" w:hAnsi="Verdana" w:cs="Times"/>
          <w:szCs w:val="24"/>
          <w:lang w:val="es-ES" w:eastAsia="en-US"/>
        </w:rPr>
        <w:t>2</w:t>
      </w:r>
      <w:r w:rsidR="00CD0156" w:rsidRPr="00CD0156">
        <w:rPr>
          <w:rFonts w:ascii="Verdana" w:eastAsia="Batang" w:hAnsi="Verdana" w:cs="Times"/>
          <w:szCs w:val="24"/>
          <w:lang w:val="es-ES" w:eastAsia="en-US"/>
        </w:rPr>
        <w:t>.</w:t>
      </w:r>
      <w:r w:rsidR="00CD0156" w:rsidRPr="00CD0156">
        <w:rPr>
          <w:rFonts w:ascii="Verdana" w:eastAsia="Batang" w:hAnsi="Verdana" w:cs="Times"/>
          <w:szCs w:val="24"/>
          <w:lang w:val="es-ES" w:eastAsia="en-US"/>
        </w:rPr>
        <w:tab/>
        <w:t xml:space="preserve">Desestimar la excepción preliminar sobre la falta de agotamiento en relación con la solicitud de reparación, de conformidad con los párrafos </w:t>
      </w:r>
      <w:r w:rsidR="0010459C">
        <w:rPr>
          <w:rFonts w:ascii="Verdana" w:eastAsia="Batang" w:hAnsi="Verdana" w:cs="Times"/>
          <w:szCs w:val="24"/>
          <w:lang w:val="es-ES" w:eastAsia="en-US"/>
        </w:rPr>
        <w:t>29 a 31</w:t>
      </w:r>
      <w:r w:rsidR="00CD0156" w:rsidRPr="00CD0156">
        <w:rPr>
          <w:rFonts w:ascii="Verdana" w:eastAsia="Batang" w:hAnsi="Verdana" w:cs="Times"/>
          <w:szCs w:val="24"/>
          <w:lang w:val="es-ES" w:eastAsia="en-US"/>
        </w:rPr>
        <w:t xml:space="preserve"> de la presente Sentencia.</w:t>
      </w:r>
    </w:p>
    <w:p w14:paraId="463CA149" w14:textId="77777777" w:rsidR="008C5471" w:rsidRPr="00CD0156" w:rsidRDefault="008C5471" w:rsidP="00CD0156">
      <w:pPr>
        <w:tabs>
          <w:tab w:val="left" w:pos="720"/>
        </w:tabs>
        <w:ind w:right="-91"/>
        <w:contextualSpacing/>
        <w:rPr>
          <w:rFonts w:ascii="Verdana" w:eastAsia="Batang" w:hAnsi="Verdana" w:cs="Times"/>
          <w:szCs w:val="24"/>
          <w:lang w:val="es-ES" w:eastAsia="en-US"/>
        </w:rPr>
      </w:pPr>
    </w:p>
    <w:p w14:paraId="30BC338A" w14:textId="77777777" w:rsidR="0082444D" w:rsidRPr="00825725" w:rsidRDefault="0082444D" w:rsidP="0082444D">
      <w:pPr>
        <w:tabs>
          <w:tab w:val="left" w:pos="720"/>
        </w:tabs>
        <w:ind w:right="-90"/>
        <w:contextualSpacing/>
        <w:rPr>
          <w:rFonts w:ascii="Verdana" w:eastAsia="MS Mincho" w:hAnsi="Verdana"/>
          <w:lang w:val="es-ES" w:bidi="en-US"/>
        </w:rPr>
      </w:pPr>
      <w:r w:rsidRPr="00825725">
        <w:rPr>
          <w:rFonts w:ascii="Verdana" w:eastAsia="MS Mincho" w:hAnsi="Verdana"/>
          <w:b/>
          <w:bCs/>
          <w:lang w:val="es-ES" w:bidi="en-US"/>
        </w:rPr>
        <w:t xml:space="preserve">DECLARA: </w:t>
      </w:r>
    </w:p>
    <w:p w14:paraId="3F1200A9" w14:textId="77777777" w:rsidR="0082444D" w:rsidRPr="00825725" w:rsidRDefault="0082444D" w:rsidP="0082444D">
      <w:pPr>
        <w:tabs>
          <w:tab w:val="left" w:pos="720"/>
        </w:tabs>
        <w:spacing w:before="120" w:after="120"/>
        <w:ind w:right="-90"/>
        <w:contextualSpacing/>
        <w:rPr>
          <w:rFonts w:ascii="Verdana" w:eastAsia="MS Mincho" w:hAnsi="Verdana"/>
          <w:lang w:val="es-ES" w:bidi="en-US"/>
        </w:rPr>
      </w:pPr>
    </w:p>
    <w:p w14:paraId="30B030D5" w14:textId="2FD32A05" w:rsidR="0082444D" w:rsidRPr="00825725" w:rsidRDefault="0082444D" w:rsidP="0082444D">
      <w:pPr>
        <w:spacing w:before="120" w:after="120"/>
        <w:ind w:right="-90"/>
        <w:contextualSpacing/>
        <w:rPr>
          <w:rFonts w:ascii="Verdana" w:hAnsi="Verdana"/>
          <w:lang w:val="es-ES" w:eastAsia="es-CR"/>
        </w:rPr>
      </w:pPr>
      <w:r w:rsidRPr="00825725">
        <w:rPr>
          <w:rFonts w:ascii="Verdana" w:eastAsia="MS Mincho" w:hAnsi="Verdana"/>
          <w:lang w:val="es-ES" w:bidi="en-US"/>
        </w:rPr>
        <w:t xml:space="preserve">Por </w:t>
      </w:r>
      <w:r w:rsidR="0010459C">
        <w:rPr>
          <w:rFonts w:ascii="Verdana" w:eastAsia="MS Mincho" w:hAnsi="Verdana"/>
          <w:lang w:val="es-ES" w:bidi="en-US"/>
        </w:rPr>
        <w:t>unanimidad</w:t>
      </w:r>
      <w:r w:rsidRPr="00825725">
        <w:rPr>
          <w:rFonts w:ascii="Verdana" w:eastAsia="MS Mincho" w:hAnsi="Verdana"/>
          <w:lang w:val="es-ES" w:bidi="en-US"/>
        </w:rPr>
        <w:t>, que:</w:t>
      </w:r>
    </w:p>
    <w:p w14:paraId="00AC0ACE" w14:textId="22E56F99" w:rsidR="00825725" w:rsidRPr="00825725" w:rsidRDefault="0082444D" w:rsidP="00C47E3D">
      <w:pPr>
        <w:pStyle w:val="Estilo1"/>
        <w:numPr>
          <w:ilvl w:val="0"/>
          <w:numId w:val="26"/>
        </w:numPr>
        <w:spacing w:before="0" w:after="0"/>
        <w:ind w:left="0" w:right="0" w:firstLine="0"/>
        <w:rPr>
          <w:i w:val="0"/>
          <w:lang w:val="es-ES"/>
        </w:rPr>
      </w:pPr>
      <w:r w:rsidRPr="00825725">
        <w:rPr>
          <w:i w:val="0"/>
          <w:lang w:val="es-ES"/>
        </w:rPr>
        <w:t xml:space="preserve">El Estado es responsable </w:t>
      </w:r>
      <w:r w:rsidR="00B65F55">
        <w:rPr>
          <w:i w:val="0"/>
          <w:lang w:val="es-ES"/>
        </w:rPr>
        <w:t xml:space="preserve">por </w:t>
      </w:r>
      <w:r w:rsidRPr="00825725">
        <w:rPr>
          <w:i w:val="0"/>
          <w:lang w:val="es-ES"/>
        </w:rPr>
        <w:t>la desaparición forzada de Juan Carlos Flores Bedregal en violación de los derechos al reconocimiento de la personalidad jurídica, a la vida, a la integridad personal</w:t>
      </w:r>
      <w:r w:rsidR="00694B60">
        <w:rPr>
          <w:i w:val="0"/>
          <w:lang w:val="es-ES"/>
        </w:rPr>
        <w:t xml:space="preserve"> y libertad personal</w:t>
      </w:r>
      <w:r w:rsidRPr="00825725">
        <w:rPr>
          <w:i w:val="0"/>
          <w:lang w:val="es-ES"/>
        </w:rPr>
        <w:t xml:space="preserve">, establecidos en los artículos </w:t>
      </w:r>
      <w:r w:rsidRPr="0028799F">
        <w:rPr>
          <w:i w:val="0"/>
          <w:lang w:val="es-ES"/>
        </w:rPr>
        <w:t>3, 4.1, 5.1, 5.2 y 7.1 de</w:t>
      </w:r>
      <w:r w:rsidRPr="00825725">
        <w:rPr>
          <w:i w:val="0"/>
          <w:lang w:val="es-ES"/>
        </w:rPr>
        <w:t xml:space="preserve"> la Convención </w:t>
      </w:r>
      <w:r w:rsidRPr="00825725">
        <w:rPr>
          <w:i w:val="0"/>
          <w:lang w:val="es-ES"/>
        </w:rPr>
        <w:lastRenderedPageBreak/>
        <w:t xml:space="preserve">Americana </w:t>
      </w:r>
      <w:r w:rsidR="00A5220D">
        <w:rPr>
          <w:i w:val="0"/>
          <w:lang w:val="es-ES"/>
        </w:rPr>
        <w:t>sobre</w:t>
      </w:r>
      <w:r w:rsidRPr="00825725">
        <w:rPr>
          <w:i w:val="0"/>
          <w:lang w:val="es-ES"/>
        </w:rPr>
        <w:t xml:space="preserve"> Derechos Humanos, en relación con el artículo 1.1 de la misma </w:t>
      </w:r>
      <w:r w:rsidRPr="00825725">
        <w:rPr>
          <w:i w:val="0"/>
          <w:szCs w:val="20"/>
          <w:lang w:val="es-ES"/>
        </w:rPr>
        <w:t>y de</w:t>
      </w:r>
      <w:r w:rsidR="005C1E85">
        <w:rPr>
          <w:i w:val="0"/>
          <w:szCs w:val="20"/>
          <w:lang w:val="es-ES"/>
        </w:rPr>
        <w:t xml:space="preserve">l </w:t>
      </w:r>
      <w:r w:rsidRPr="00825725">
        <w:rPr>
          <w:i w:val="0"/>
          <w:szCs w:val="20"/>
          <w:lang w:val="es-ES"/>
        </w:rPr>
        <w:t>artículo I.a) de la Convención Interamericana sobre Desaparición Forzada de Personas</w:t>
      </w:r>
      <w:r w:rsidRPr="00825725">
        <w:rPr>
          <w:i w:val="0"/>
          <w:lang w:val="es-ES"/>
        </w:rPr>
        <w:t xml:space="preserve">, en perjuicio de </w:t>
      </w:r>
      <w:r w:rsidRPr="00825725">
        <w:rPr>
          <w:i w:val="0"/>
          <w:spacing w:val="-4"/>
          <w:lang w:val="es-ES"/>
        </w:rPr>
        <w:t>Juan Carlos Flores Bedregal</w:t>
      </w:r>
      <w:r w:rsidRPr="00825725">
        <w:rPr>
          <w:i w:val="0"/>
          <w:lang w:val="es-ES"/>
        </w:rPr>
        <w:t xml:space="preserve">, de conformidad con lo establecido en los párrafos </w:t>
      </w:r>
      <w:r w:rsidR="0010459C">
        <w:rPr>
          <w:i w:val="0"/>
          <w:lang w:val="es-ES"/>
        </w:rPr>
        <w:t>80 a 87</w:t>
      </w:r>
      <w:r w:rsidRPr="00825725">
        <w:rPr>
          <w:i w:val="0"/>
          <w:lang w:val="es-ES"/>
        </w:rPr>
        <w:t xml:space="preserve"> de la presente Sentencia.</w:t>
      </w:r>
    </w:p>
    <w:p w14:paraId="5E001908" w14:textId="77777777" w:rsidR="00825725" w:rsidRPr="00825725" w:rsidRDefault="00825725" w:rsidP="00825725">
      <w:pPr>
        <w:pStyle w:val="Estilo1"/>
        <w:spacing w:before="0" w:after="0"/>
        <w:ind w:left="0" w:right="0" w:firstLine="0"/>
        <w:rPr>
          <w:i w:val="0"/>
          <w:lang w:val="es-ES"/>
        </w:rPr>
      </w:pPr>
    </w:p>
    <w:p w14:paraId="23B80795" w14:textId="390D5756" w:rsidR="0082444D" w:rsidRPr="00C47E3D" w:rsidRDefault="0082444D" w:rsidP="00482C22">
      <w:pPr>
        <w:pStyle w:val="Estilo1"/>
        <w:numPr>
          <w:ilvl w:val="0"/>
          <w:numId w:val="26"/>
        </w:numPr>
        <w:spacing w:before="0" w:after="0"/>
        <w:ind w:left="0" w:right="0" w:firstLine="0"/>
        <w:rPr>
          <w:b/>
          <w:bCs/>
          <w:i w:val="0"/>
          <w:lang w:val="es-ES"/>
        </w:rPr>
      </w:pPr>
      <w:r w:rsidRPr="00825725">
        <w:rPr>
          <w:i w:val="0"/>
          <w:lang w:val="es-ES"/>
        </w:rPr>
        <w:t xml:space="preserve"> </w:t>
      </w:r>
      <w:r w:rsidRPr="00825725">
        <w:rPr>
          <w:i w:val="0"/>
          <w:szCs w:val="20"/>
          <w:lang w:val="es-ES"/>
        </w:rPr>
        <w:t>El Estado es responsable por la violación</w:t>
      </w:r>
      <w:r w:rsidRPr="00825725">
        <w:rPr>
          <w:bCs/>
          <w:i w:val="0"/>
          <w:szCs w:val="20"/>
          <w:lang w:val="es-ES"/>
        </w:rPr>
        <w:t xml:space="preserve"> de las garantías </w:t>
      </w:r>
      <w:r w:rsidR="00341715">
        <w:rPr>
          <w:bCs/>
          <w:i w:val="0"/>
          <w:szCs w:val="20"/>
          <w:lang w:val="es-ES"/>
        </w:rPr>
        <w:t xml:space="preserve">judiciales </w:t>
      </w:r>
      <w:r w:rsidRPr="00825725">
        <w:rPr>
          <w:bCs/>
          <w:i w:val="0"/>
          <w:szCs w:val="20"/>
          <w:lang w:val="es-ES"/>
        </w:rPr>
        <w:t xml:space="preserve">y </w:t>
      </w:r>
      <w:r w:rsidR="00341715">
        <w:rPr>
          <w:bCs/>
          <w:i w:val="0"/>
          <w:szCs w:val="20"/>
          <w:lang w:val="es-ES"/>
        </w:rPr>
        <w:t xml:space="preserve">la </w:t>
      </w:r>
      <w:r w:rsidRPr="00825725">
        <w:rPr>
          <w:bCs/>
          <w:i w:val="0"/>
          <w:szCs w:val="20"/>
          <w:lang w:val="es-ES"/>
        </w:rPr>
        <w:t xml:space="preserve">protección judicial consagradas en los artículos 8.1 y 25.1 de la Convención Americana </w:t>
      </w:r>
      <w:r w:rsidR="00A5220D">
        <w:rPr>
          <w:bCs/>
          <w:i w:val="0"/>
          <w:szCs w:val="20"/>
          <w:lang w:val="es-ES"/>
        </w:rPr>
        <w:t xml:space="preserve">sobre </w:t>
      </w:r>
      <w:r w:rsidRPr="00825725">
        <w:rPr>
          <w:bCs/>
          <w:i w:val="0"/>
          <w:szCs w:val="20"/>
          <w:lang w:val="es-ES"/>
        </w:rPr>
        <w:t xml:space="preserve">Derechos Humanos, en relación con los artículos 1.1 y 2 del mismo </w:t>
      </w:r>
      <w:r w:rsidRPr="00A5220D">
        <w:rPr>
          <w:bCs/>
          <w:i w:val="0"/>
          <w:szCs w:val="20"/>
          <w:lang w:val="es-ES"/>
        </w:rPr>
        <w:t>instrumento</w:t>
      </w:r>
      <w:r w:rsidRPr="00BE48C7">
        <w:rPr>
          <w:bCs/>
          <w:i w:val="0"/>
          <w:szCs w:val="20"/>
          <w:lang w:val="es-ES"/>
        </w:rPr>
        <w:t xml:space="preserve">, </w:t>
      </w:r>
      <w:r w:rsidR="00BE48C7" w:rsidRPr="00BE48C7">
        <w:rPr>
          <w:bCs/>
          <w:i w:val="0"/>
          <w:szCs w:val="20"/>
          <w:lang w:val="es-ES"/>
        </w:rPr>
        <w:t>así como</w:t>
      </w:r>
      <w:r w:rsidR="00484BBC">
        <w:rPr>
          <w:bCs/>
          <w:i w:val="0"/>
          <w:szCs w:val="20"/>
          <w:lang w:val="es-ES"/>
        </w:rPr>
        <w:t xml:space="preserve"> </w:t>
      </w:r>
      <w:r w:rsidR="00484BBC" w:rsidRPr="00FA0543">
        <w:rPr>
          <w:i w:val="0"/>
          <w:szCs w:val="20"/>
        </w:rPr>
        <w:t>el derecho a conocer la verdad</w:t>
      </w:r>
      <w:r w:rsidR="00BE48C7" w:rsidRPr="00BE48C7">
        <w:rPr>
          <w:bCs/>
          <w:i w:val="0"/>
          <w:szCs w:val="20"/>
          <w:lang w:val="es-ES"/>
        </w:rPr>
        <w:t xml:space="preserve"> </w:t>
      </w:r>
      <w:r w:rsidR="00484BBC">
        <w:rPr>
          <w:bCs/>
          <w:i w:val="0"/>
          <w:szCs w:val="20"/>
          <w:lang w:val="es-ES"/>
        </w:rPr>
        <w:t xml:space="preserve">y </w:t>
      </w:r>
      <w:r w:rsidR="00BE48C7" w:rsidRPr="00BE48C7">
        <w:rPr>
          <w:bCs/>
          <w:i w:val="0"/>
          <w:szCs w:val="20"/>
          <w:lang w:val="es-ES"/>
        </w:rPr>
        <w:t xml:space="preserve">el </w:t>
      </w:r>
      <w:r w:rsidRPr="00BE48C7">
        <w:rPr>
          <w:i w:val="0"/>
          <w:szCs w:val="20"/>
          <w:lang w:val="es-ES"/>
        </w:rPr>
        <w:t>incumplimiento</w:t>
      </w:r>
      <w:r w:rsidRPr="00825725">
        <w:rPr>
          <w:i w:val="0"/>
          <w:szCs w:val="20"/>
          <w:lang w:val="es-ES"/>
        </w:rPr>
        <w:t xml:space="preserve"> de la obligación consagrada en </w:t>
      </w:r>
      <w:r w:rsidR="00722F06">
        <w:rPr>
          <w:i w:val="0"/>
          <w:szCs w:val="20"/>
          <w:lang w:val="es-ES"/>
        </w:rPr>
        <w:t xml:space="preserve">los </w:t>
      </w:r>
      <w:r w:rsidRPr="00825725">
        <w:rPr>
          <w:i w:val="0"/>
          <w:szCs w:val="20"/>
          <w:lang w:val="es-ES"/>
        </w:rPr>
        <w:t>artículo</w:t>
      </w:r>
      <w:r w:rsidR="006C3FD6">
        <w:rPr>
          <w:i w:val="0"/>
          <w:szCs w:val="20"/>
          <w:lang w:val="es-ES"/>
        </w:rPr>
        <w:t>s</w:t>
      </w:r>
      <w:r w:rsidRPr="00825725">
        <w:rPr>
          <w:i w:val="0"/>
          <w:szCs w:val="20"/>
          <w:lang w:val="es-ES"/>
        </w:rPr>
        <w:t xml:space="preserve"> I.b) y III de la Convención Interamericana sobre Desaparición Forzada</w:t>
      </w:r>
      <w:r w:rsidR="00A5220D">
        <w:rPr>
          <w:i w:val="0"/>
          <w:szCs w:val="20"/>
          <w:lang w:val="es-ES"/>
        </w:rPr>
        <w:t xml:space="preserve"> de Personas</w:t>
      </w:r>
      <w:r w:rsidRPr="00825725">
        <w:rPr>
          <w:i w:val="0"/>
          <w:szCs w:val="20"/>
          <w:lang w:val="es-ES"/>
        </w:rPr>
        <w:t>, en perjuicio de Olga Beatriz, Verónica, Eliana</w:t>
      </w:r>
      <w:r w:rsidR="004C446B">
        <w:rPr>
          <w:i w:val="0"/>
          <w:szCs w:val="20"/>
          <w:lang w:val="es-ES"/>
        </w:rPr>
        <w:t xml:space="preserve"> Isbelia</w:t>
      </w:r>
      <w:r w:rsidRPr="00825725">
        <w:rPr>
          <w:i w:val="0"/>
          <w:szCs w:val="20"/>
          <w:lang w:val="es-ES"/>
        </w:rPr>
        <w:t xml:space="preserve"> y Lilian Teresa todas Flores Bedregal</w:t>
      </w:r>
      <w:r w:rsidR="0010459C">
        <w:rPr>
          <w:i w:val="0"/>
          <w:szCs w:val="20"/>
          <w:lang w:val="es-ES"/>
        </w:rPr>
        <w:t xml:space="preserve">, </w:t>
      </w:r>
      <w:r w:rsidR="0010459C" w:rsidRPr="00D23168">
        <w:rPr>
          <w:i w:val="0"/>
          <w:lang w:val="es-ES"/>
        </w:rPr>
        <w:t>conformidad con lo establecido en los párrafos 10</w:t>
      </w:r>
      <w:r w:rsidR="00B14CE0" w:rsidRPr="00D23168">
        <w:rPr>
          <w:i w:val="0"/>
          <w:lang w:val="es-ES"/>
        </w:rPr>
        <w:t>8</w:t>
      </w:r>
      <w:r w:rsidR="0010459C" w:rsidRPr="00D23168">
        <w:rPr>
          <w:i w:val="0"/>
          <w:lang w:val="es-ES"/>
        </w:rPr>
        <w:t xml:space="preserve"> a 123 de la presente Sentencia</w:t>
      </w:r>
      <w:r w:rsidR="0010459C" w:rsidRPr="005E070D">
        <w:rPr>
          <w:i w:val="0"/>
          <w:lang w:val="es-ES"/>
        </w:rPr>
        <w:t>.</w:t>
      </w:r>
    </w:p>
    <w:p w14:paraId="5FE91BC9" w14:textId="77777777" w:rsidR="00825725" w:rsidRPr="002E61E9" w:rsidRDefault="00825725" w:rsidP="00E55450">
      <w:pPr>
        <w:rPr>
          <w:lang w:val="es-ES"/>
        </w:rPr>
      </w:pPr>
    </w:p>
    <w:p w14:paraId="4DE8DAF3" w14:textId="00ED1ECA" w:rsidR="0082444D" w:rsidRPr="00825725" w:rsidRDefault="0082444D" w:rsidP="00482C22">
      <w:pPr>
        <w:pStyle w:val="Estilo1"/>
        <w:numPr>
          <w:ilvl w:val="0"/>
          <w:numId w:val="26"/>
        </w:numPr>
        <w:spacing w:before="0" w:after="0"/>
        <w:ind w:left="0" w:right="0" w:firstLine="0"/>
        <w:rPr>
          <w:i w:val="0"/>
          <w:lang w:val="es-ES"/>
        </w:rPr>
      </w:pPr>
      <w:r w:rsidRPr="00825725">
        <w:rPr>
          <w:i w:val="0"/>
          <w:szCs w:val="20"/>
        </w:rPr>
        <w:t xml:space="preserve">El Estado es </w:t>
      </w:r>
      <w:r w:rsidRPr="002B4667">
        <w:rPr>
          <w:i w:val="0"/>
          <w:szCs w:val="20"/>
        </w:rPr>
        <w:t xml:space="preserve">responsable por la violación </w:t>
      </w:r>
      <w:r w:rsidRPr="00913E25">
        <w:rPr>
          <w:i w:val="0"/>
          <w:szCs w:val="20"/>
        </w:rPr>
        <w:t>de los derechos al acceso a la información</w:t>
      </w:r>
      <w:r w:rsidR="00D60818">
        <w:rPr>
          <w:i w:val="0"/>
          <w:szCs w:val="20"/>
        </w:rPr>
        <w:t xml:space="preserve"> </w:t>
      </w:r>
      <w:r w:rsidR="00484BBC">
        <w:rPr>
          <w:i w:val="0"/>
          <w:szCs w:val="20"/>
        </w:rPr>
        <w:t xml:space="preserve">y </w:t>
      </w:r>
      <w:r w:rsidR="00D60818">
        <w:rPr>
          <w:i w:val="0"/>
          <w:szCs w:val="20"/>
        </w:rPr>
        <w:t xml:space="preserve">a las </w:t>
      </w:r>
      <w:r w:rsidRPr="00913E25">
        <w:rPr>
          <w:i w:val="0"/>
          <w:szCs w:val="20"/>
        </w:rPr>
        <w:t>garantías judiciales</w:t>
      </w:r>
      <w:r w:rsidR="00484BBC">
        <w:rPr>
          <w:i w:val="0"/>
          <w:szCs w:val="20"/>
        </w:rPr>
        <w:t>,</w:t>
      </w:r>
      <w:r w:rsidR="00D60818">
        <w:rPr>
          <w:i w:val="0"/>
          <w:szCs w:val="20"/>
        </w:rPr>
        <w:t xml:space="preserve"> </w:t>
      </w:r>
      <w:r w:rsidRPr="00913E25">
        <w:rPr>
          <w:i w:val="0"/>
          <w:szCs w:val="20"/>
        </w:rPr>
        <w:t>establecidos en los artículos 13.1</w:t>
      </w:r>
      <w:r w:rsidR="00CE7AD4" w:rsidRPr="00913E25">
        <w:rPr>
          <w:i w:val="0"/>
          <w:szCs w:val="20"/>
        </w:rPr>
        <w:t>,</w:t>
      </w:r>
      <w:r w:rsidRPr="00913E25">
        <w:rPr>
          <w:i w:val="0"/>
          <w:szCs w:val="20"/>
        </w:rPr>
        <w:t xml:space="preserve"> 13.2</w:t>
      </w:r>
      <w:r w:rsidR="00CE7AD4" w:rsidRPr="00913E25">
        <w:rPr>
          <w:i w:val="0"/>
          <w:szCs w:val="20"/>
        </w:rPr>
        <w:t>,</w:t>
      </w:r>
      <w:r w:rsidR="00484BBC">
        <w:rPr>
          <w:i w:val="0"/>
          <w:szCs w:val="20"/>
        </w:rPr>
        <w:t xml:space="preserve"> y</w:t>
      </w:r>
      <w:r w:rsidRPr="00913E25">
        <w:rPr>
          <w:i w:val="0"/>
          <w:szCs w:val="20"/>
        </w:rPr>
        <w:t xml:space="preserve"> 8.1</w:t>
      </w:r>
      <w:r w:rsidR="00CE7AD4" w:rsidRPr="00913E25">
        <w:rPr>
          <w:i w:val="0"/>
          <w:szCs w:val="20"/>
        </w:rPr>
        <w:t xml:space="preserve"> </w:t>
      </w:r>
      <w:r w:rsidRPr="00913E25">
        <w:rPr>
          <w:i w:val="0"/>
          <w:szCs w:val="20"/>
        </w:rPr>
        <w:t>de la</w:t>
      </w:r>
      <w:r w:rsidRPr="00825725">
        <w:rPr>
          <w:i w:val="0"/>
          <w:szCs w:val="20"/>
        </w:rPr>
        <w:t xml:space="preserve"> Convención Americana </w:t>
      </w:r>
      <w:r w:rsidR="00A5220D">
        <w:rPr>
          <w:i w:val="0"/>
          <w:szCs w:val="20"/>
        </w:rPr>
        <w:t>sobre</w:t>
      </w:r>
      <w:r w:rsidRPr="00825725">
        <w:rPr>
          <w:i w:val="0"/>
          <w:szCs w:val="20"/>
        </w:rPr>
        <w:t xml:space="preserve"> Derechos Humanos, en relación con los artículos 1.1 y 2 de </w:t>
      </w:r>
      <w:r w:rsidR="004F23BA">
        <w:rPr>
          <w:i w:val="0"/>
          <w:szCs w:val="20"/>
        </w:rPr>
        <w:t>dicho instrumento</w:t>
      </w:r>
      <w:r w:rsidRPr="00825725">
        <w:rPr>
          <w:i w:val="0"/>
          <w:szCs w:val="20"/>
        </w:rPr>
        <w:t xml:space="preserve">, así </w:t>
      </w:r>
      <w:r w:rsidRPr="00FA0543">
        <w:rPr>
          <w:i w:val="0"/>
          <w:szCs w:val="20"/>
        </w:rPr>
        <w:t>como el derecho a conocer la verdad,</w:t>
      </w:r>
      <w:r w:rsidRPr="00825725">
        <w:rPr>
          <w:bCs/>
          <w:i w:val="0"/>
          <w:szCs w:val="20"/>
        </w:rPr>
        <w:t xml:space="preserve"> </w:t>
      </w:r>
      <w:r w:rsidRPr="00825725">
        <w:rPr>
          <w:i w:val="0"/>
          <w:szCs w:val="20"/>
        </w:rPr>
        <w:t xml:space="preserve">en perjuicio </w:t>
      </w:r>
      <w:r w:rsidR="002D6AFA">
        <w:rPr>
          <w:i w:val="0"/>
          <w:szCs w:val="20"/>
        </w:rPr>
        <w:t xml:space="preserve">de </w:t>
      </w:r>
      <w:r w:rsidRPr="00825725">
        <w:rPr>
          <w:rFonts w:cs="Verdana"/>
          <w:i w:val="0"/>
          <w:szCs w:val="20"/>
        </w:rPr>
        <w:t>Olga Beatriz, Verónica, Eliana</w:t>
      </w:r>
      <w:r w:rsidR="002D6AFA">
        <w:rPr>
          <w:rFonts w:cs="Verdana"/>
          <w:i w:val="0"/>
          <w:szCs w:val="20"/>
        </w:rPr>
        <w:t xml:space="preserve"> Isbelia</w:t>
      </w:r>
      <w:r w:rsidRPr="00825725">
        <w:rPr>
          <w:rFonts w:cs="Verdana"/>
          <w:i w:val="0"/>
          <w:szCs w:val="20"/>
        </w:rPr>
        <w:t xml:space="preserve"> y Lilian Teresa</w:t>
      </w:r>
      <w:r w:rsidRPr="00825725">
        <w:rPr>
          <w:i w:val="0"/>
          <w:szCs w:val="20"/>
        </w:rPr>
        <w:t xml:space="preserve"> Flores Bedregal, de conformidad con lo establecido en los párrafos </w:t>
      </w:r>
      <w:r w:rsidR="0010459C">
        <w:rPr>
          <w:i w:val="0"/>
          <w:szCs w:val="20"/>
        </w:rPr>
        <w:t>141 a 15</w:t>
      </w:r>
      <w:r w:rsidR="006C3FD6">
        <w:rPr>
          <w:i w:val="0"/>
          <w:szCs w:val="20"/>
        </w:rPr>
        <w:t>5</w:t>
      </w:r>
      <w:r w:rsidR="00C81E4B">
        <w:rPr>
          <w:i w:val="0"/>
          <w:szCs w:val="20"/>
        </w:rPr>
        <w:t xml:space="preserve"> </w:t>
      </w:r>
      <w:r w:rsidRPr="00825725">
        <w:rPr>
          <w:i w:val="0"/>
          <w:szCs w:val="20"/>
        </w:rPr>
        <w:t xml:space="preserve">de la presente Sentencia. </w:t>
      </w:r>
    </w:p>
    <w:p w14:paraId="12A6E9C2" w14:textId="77777777" w:rsidR="00825725" w:rsidRPr="002E61E9" w:rsidRDefault="00825725" w:rsidP="00E55450">
      <w:pPr>
        <w:rPr>
          <w:lang w:val="es-ES"/>
        </w:rPr>
      </w:pPr>
    </w:p>
    <w:p w14:paraId="63AF247D" w14:textId="70E64686" w:rsidR="00825725" w:rsidRPr="002D6AFA" w:rsidRDefault="0082444D" w:rsidP="00482C22">
      <w:pPr>
        <w:pStyle w:val="Estilo1"/>
        <w:numPr>
          <w:ilvl w:val="0"/>
          <w:numId w:val="26"/>
        </w:numPr>
        <w:spacing w:before="0" w:after="0"/>
        <w:ind w:left="0" w:right="0" w:firstLine="0"/>
        <w:rPr>
          <w:i w:val="0"/>
          <w:lang w:val="es-ES"/>
        </w:rPr>
      </w:pPr>
      <w:r w:rsidRPr="00825725">
        <w:rPr>
          <w:i w:val="0"/>
          <w:szCs w:val="20"/>
          <w:lang w:val="es-ES"/>
        </w:rPr>
        <w:t xml:space="preserve">El Estado es responsable por la violación del derecho a la integridad personal, establecido en </w:t>
      </w:r>
      <w:r w:rsidR="004F23BA">
        <w:rPr>
          <w:i w:val="0"/>
          <w:szCs w:val="20"/>
          <w:lang w:val="es-ES"/>
        </w:rPr>
        <w:t>e</w:t>
      </w:r>
      <w:r w:rsidRPr="00825725">
        <w:rPr>
          <w:i w:val="0"/>
          <w:szCs w:val="20"/>
          <w:lang w:val="es-ES"/>
        </w:rPr>
        <w:t xml:space="preserve">l artículo 5.1 y 5.2 de la Convención Americana </w:t>
      </w:r>
      <w:r w:rsidR="00A5220D">
        <w:rPr>
          <w:i w:val="0"/>
          <w:szCs w:val="20"/>
          <w:lang w:val="es-ES"/>
        </w:rPr>
        <w:t>sobre</w:t>
      </w:r>
      <w:r w:rsidRPr="00825725">
        <w:rPr>
          <w:i w:val="0"/>
          <w:szCs w:val="20"/>
          <w:lang w:val="es-ES"/>
        </w:rPr>
        <w:t xml:space="preserve"> Derechos Humanos, en relación con el artículo 1.1 de </w:t>
      </w:r>
      <w:r w:rsidR="004F23BA">
        <w:rPr>
          <w:i w:val="0"/>
          <w:szCs w:val="20"/>
          <w:lang w:val="es-ES"/>
        </w:rPr>
        <w:t>dicho instrumento</w:t>
      </w:r>
      <w:r w:rsidRPr="00825725">
        <w:rPr>
          <w:i w:val="0"/>
          <w:szCs w:val="20"/>
          <w:lang w:val="es-ES"/>
        </w:rPr>
        <w:t>, en perjuicio de</w:t>
      </w:r>
      <w:r w:rsidRPr="00825725">
        <w:rPr>
          <w:rFonts w:cs="Verdana"/>
          <w:i w:val="0"/>
          <w:szCs w:val="16"/>
          <w:lang w:val="es-ES"/>
        </w:rPr>
        <w:t xml:space="preserve"> Olga Beatriz, Verónica, Eliana</w:t>
      </w:r>
      <w:r w:rsidR="002D6AFA">
        <w:rPr>
          <w:rFonts w:cs="Verdana"/>
          <w:i w:val="0"/>
          <w:szCs w:val="16"/>
          <w:lang w:val="es-ES"/>
        </w:rPr>
        <w:t xml:space="preserve"> Isbelia</w:t>
      </w:r>
      <w:r w:rsidRPr="00825725">
        <w:rPr>
          <w:rFonts w:cs="Verdana"/>
          <w:i w:val="0"/>
          <w:szCs w:val="16"/>
          <w:lang w:val="es-ES"/>
        </w:rPr>
        <w:t xml:space="preserve"> y Lilian Teresa,</w:t>
      </w:r>
      <w:r w:rsidRPr="00825725">
        <w:rPr>
          <w:i w:val="0"/>
          <w:szCs w:val="20"/>
          <w:lang w:val="es-ES"/>
        </w:rPr>
        <w:t xml:space="preserve"> todas Flores Bedregal, de conformidad con lo establecido en los párrafos </w:t>
      </w:r>
      <w:r w:rsidR="0010459C">
        <w:rPr>
          <w:i w:val="0"/>
          <w:szCs w:val="20"/>
          <w:lang w:val="es-ES"/>
        </w:rPr>
        <w:t>16</w:t>
      </w:r>
      <w:r w:rsidR="006C3FD6">
        <w:rPr>
          <w:i w:val="0"/>
          <w:szCs w:val="20"/>
          <w:lang w:val="es-ES"/>
        </w:rPr>
        <w:t>2</w:t>
      </w:r>
      <w:r w:rsidR="0010459C">
        <w:rPr>
          <w:i w:val="0"/>
          <w:szCs w:val="20"/>
          <w:lang w:val="es-ES"/>
        </w:rPr>
        <w:t xml:space="preserve"> a 16</w:t>
      </w:r>
      <w:r w:rsidR="00567CC8">
        <w:rPr>
          <w:i w:val="0"/>
          <w:szCs w:val="20"/>
          <w:lang w:val="es-ES"/>
        </w:rPr>
        <w:t>8</w:t>
      </w:r>
      <w:r w:rsidR="004F23BA">
        <w:rPr>
          <w:i w:val="0"/>
          <w:szCs w:val="20"/>
          <w:lang w:val="es-ES"/>
        </w:rPr>
        <w:t xml:space="preserve"> </w:t>
      </w:r>
      <w:r w:rsidRPr="00825725">
        <w:rPr>
          <w:i w:val="0"/>
          <w:szCs w:val="20"/>
          <w:lang w:val="es-ES"/>
        </w:rPr>
        <w:t>de la presente Sentencia.</w:t>
      </w:r>
    </w:p>
    <w:p w14:paraId="6F0B7E62" w14:textId="77777777" w:rsidR="002D6AFA" w:rsidRPr="00482C22" w:rsidRDefault="002D6AFA" w:rsidP="00E55450">
      <w:pPr>
        <w:pStyle w:val="Estilo1"/>
        <w:spacing w:before="0" w:after="0"/>
        <w:ind w:left="0" w:right="0" w:firstLine="0"/>
        <w:rPr>
          <w:i w:val="0"/>
          <w:lang w:val="es-ES"/>
        </w:rPr>
      </w:pPr>
    </w:p>
    <w:p w14:paraId="7DE201D0" w14:textId="74D10831" w:rsidR="0082444D" w:rsidRPr="00825725" w:rsidRDefault="0082444D" w:rsidP="00825725">
      <w:pPr>
        <w:pStyle w:val="Estilo1"/>
        <w:numPr>
          <w:ilvl w:val="0"/>
          <w:numId w:val="26"/>
        </w:numPr>
        <w:spacing w:before="0" w:after="0"/>
        <w:ind w:left="0" w:right="0" w:firstLine="0"/>
        <w:rPr>
          <w:i w:val="0"/>
          <w:lang w:val="es-ES"/>
        </w:rPr>
      </w:pPr>
      <w:r w:rsidRPr="00825725">
        <w:rPr>
          <w:i w:val="0"/>
          <w:szCs w:val="20"/>
          <w:lang w:val="es-ES"/>
        </w:rPr>
        <w:t>El Estado no es responsable por la violación del derecho de asociación y derechos políticos, establecidos en los artículos 16 y 23 de la Convención Americana sobre Derechos Humanos</w:t>
      </w:r>
      <w:r w:rsidR="0010459C">
        <w:rPr>
          <w:i w:val="0"/>
          <w:szCs w:val="20"/>
          <w:lang w:val="es-ES"/>
        </w:rPr>
        <w:t xml:space="preserve">, </w:t>
      </w:r>
      <w:r w:rsidR="004F23BA">
        <w:rPr>
          <w:i w:val="0"/>
          <w:szCs w:val="20"/>
          <w:lang w:val="es-ES"/>
        </w:rPr>
        <w:t xml:space="preserve">de </w:t>
      </w:r>
      <w:r w:rsidR="0010459C" w:rsidRPr="00D23168">
        <w:rPr>
          <w:i w:val="0"/>
          <w:lang w:val="es-ES"/>
        </w:rPr>
        <w:t>conformidad con lo establecido en el párrafo 88 de la presente Sentencia</w:t>
      </w:r>
      <w:r w:rsidR="0010459C" w:rsidRPr="00825725">
        <w:rPr>
          <w:i w:val="0"/>
          <w:lang w:val="es-ES"/>
        </w:rPr>
        <w:t>.</w:t>
      </w:r>
    </w:p>
    <w:p w14:paraId="626C938D" w14:textId="77777777" w:rsidR="0082444D" w:rsidRPr="00825725" w:rsidRDefault="0082444D" w:rsidP="0082444D">
      <w:pPr>
        <w:pStyle w:val="Estilo1"/>
        <w:tabs>
          <w:tab w:val="left" w:pos="709"/>
          <w:tab w:val="left" w:pos="1134"/>
        </w:tabs>
        <w:spacing w:before="0" w:after="0"/>
        <w:ind w:left="0" w:right="-4" w:firstLine="0"/>
        <w:rPr>
          <w:rFonts w:eastAsia="Times New Roman" w:cs="Times New Roman"/>
          <w:i w:val="0"/>
          <w:szCs w:val="20"/>
          <w:lang w:val="es-ES" w:eastAsia="es-CR"/>
        </w:rPr>
      </w:pPr>
    </w:p>
    <w:p w14:paraId="7A658653" w14:textId="77777777" w:rsidR="0082444D" w:rsidRPr="00825725" w:rsidRDefault="0082444D" w:rsidP="0082444D">
      <w:pPr>
        <w:tabs>
          <w:tab w:val="left" w:pos="720"/>
        </w:tabs>
        <w:ind w:right="-90"/>
        <w:contextualSpacing/>
        <w:rPr>
          <w:rFonts w:ascii="Verdana" w:eastAsia="MS Mincho" w:hAnsi="Verdana"/>
          <w:b/>
          <w:bCs/>
          <w:lang w:val="es-ES" w:bidi="en-US"/>
        </w:rPr>
      </w:pPr>
      <w:r w:rsidRPr="00825725">
        <w:rPr>
          <w:rFonts w:ascii="Verdana" w:eastAsia="MS Mincho" w:hAnsi="Verdana"/>
          <w:b/>
          <w:bCs/>
          <w:lang w:val="es-ES" w:bidi="en-US"/>
        </w:rPr>
        <w:t>Y DISPONE:</w:t>
      </w:r>
    </w:p>
    <w:p w14:paraId="23DF12E5" w14:textId="77777777" w:rsidR="0082444D" w:rsidRPr="00825725" w:rsidRDefault="0082444D" w:rsidP="0082444D">
      <w:pPr>
        <w:tabs>
          <w:tab w:val="left" w:pos="720"/>
        </w:tabs>
        <w:spacing w:before="120" w:after="120"/>
        <w:ind w:right="-90"/>
        <w:contextualSpacing/>
        <w:rPr>
          <w:rFonts w:ascii="Verdana" w:eastAsia="MS Mincho" w:hAnsi="Verdana"/>
          <w:b/>
          <w:bCs/>
          <w:lang w:val="es-ES" w:bidi="en-US"/>
        </w:rPr>
      </w:pPr>
    </w:p>
    <w:p w14:paraId="3FE48EAB" w14:textId="05FA7DA0" w:rsidR="0082444D" w:rsidRPr="00825725" w:rsidRDefault="0082444D" w:rsidP="0082444D">
      <w:pPr>
        <w:tabs>
          <w:tab w:val="left" w:pos="720"/>
        </w:tabs>
        <w:ind w:right="-90"/>
        <w:contextualSpacing/>
        <w:rPr>
          <w:rFonts w:ascii="Verdana" w:eastAsia="MS Mincho" w:hAnsi="Verdana"/>
          <w:bCs/>
          <w:lang w:val="es-ES" w:bidi="en-US"/>
        </w:rPr>
      </w:pPr>
      <w:r w:rsidRPr="00825725">
        <w:rPr>
          <w:rFonts w:ascii="Verdana" w:eastAsia="MS Mincho" w:hAnsi="Verdana"/>
          <w:lang w:val="es-ES" w:bidi="en-US"/>
        </w:rPr>
        <w:t xml:space="preserve">Por </w:t>
      </w:r>
      <w:r w:rsidR="0010459C">
        <w:rPr>
          <w:rFonts w:ascii="Verdana" w:eastAsia="MS Mincho" w:hAnsi="Verdana"/>
          <w:lang w:val="es-ES" w:bidi="en-US"/>
        </w:rPr>
        <w:t>unanimidad</w:t>
      </w:r>
      <w:r w:rsidRPr="00825725">
        <w:rPr>
          <w:rFonts w:ascii="Verdana" w:eastAsia="MS Mincho" w:hAnsi="Verdana"/>
          <w:lang w:val="es-ES" w:bidi="en-US"/>
        </w:rPr>
        <w:t>,</w:t>
      </w:r>
      <w:r w:rsidRPr="00825725">
        <w:rPr>
          <w:rFonts w:ascii="Verdana" w:eastAsia="MS Mincho" w:hAnsi="Verdana"/>
          <w:bCs/>
          <w:lang w:val="es-ES" w:bidi="en-US"/>
        </w:rPr>
        <w:t xml:space="preserve"> que:</w:t>
      </w:r>
    </w:p>
    <w:p w14:paraId="3E4207CB" w14:textId="77777777" w:rsidR="0082444D" w:rsidRPr="00C17B68" w:rsidRDefault="0082444D" w:rsidP="0082444D">
      <w:pPr>
        <w:tabs>
          <w:tab w:val="left" w:pos="720"/>
        </w:tabs>
        <w:ind w:right="-90"/>
        <w:contextualSpacing/>
        <w:rPr>
          <w:rFonts w:eastAsia="MS Mincho"/>
          <w:bCs/>
          <w:strike/>
          <w:lang w:val="es-ES" w:bidi="en-US"/>
        </w:rPr>
      </w:pPr>
    </w:p>
    <w:p w14:paraId="0631D024" w14:textId="1B7F6989" w:rsidR="0082444D" w:rsidRPr="00825725" w:rsidRDefault="0082444D" w:rsidP="00825725">
      <w:pPr>
        <w:pStyle w:val="Estilo1"/>
        <w:numPr>
          <w:ilvl w:val="0"/>
          <w:numId w:val="26"/>
        </w:numPr>
        <w:spacing w:before="0" w:after="0"/>
        <w:ind w:left="0" w:right="-4" w:firstLine="0"/>
        <w:rPr>
          <w:rFonts w:eastAsia="Times New Roman" w:cs="Times New Roman"/>
          <w:bCs/>
          <w:i w:val="0"/>
          <w:szCs w:val="20"/>
          <w:lang w:val="es-ES" w:eastAsia="es-CR"/>
        </w:rPr>
      </w:pPr>
      <w:r w:rsidRPr="00825725">
        <w:rPr>
          <w:rFonts w:eastAsia="Times New Roman" w:cs="Times New Roman"/>
          <w:i w:val="0"/>
          <w:szCs w:val="20"/>
          <w:lang w:val="es-ES" w:eastAsia="es-CR"/>
        </w:rPr>
        <w:t>Esta</w:t>
      </w:r>
      <w:r w:rsidRPr="00825725">
        <w:rPr>
          <w:rFonts w:eastAsia="Times New Roman" w:cs="Times New Roman"/>
          <w:bCs/>
          <w:i w:val="0"/>
          <w:szCs w:val="20"/>
          <w:lang w:val="es-ES" w:eastAsia="es-CR"/>
        </w:rPr>
        <w:t xml:space="preserve"> </w:t>
      </w:r>
      <w:r w:rsidRPr="00825725">
        <w:rPr>
          <w:rFonts w:eastAsia="MS Mincho" w:cs="Times New Roman"/>
          <w:i w:val="0"/>
          <w:szCs w:val="20"/>
          <w:lang w:val="es-ES" w:bidi="en-US"/>
        </w:rPr>
        <w:t>Sentencia</w:t>
      </w:r>
      <w:r w:rsidRPr="00825725">
        <w:rPr>
          <w:rFonts w:eastAsia="Times New Roman" w:cs="Times New Roman"/>
          <w:bCs/>
          <w:i w:val="0"/>
          <w:szCs w:val="20"/>
          <w:lang w:val="es-ES" w:eastAsia="es-CR"/>
        </w:rPr>
        <w:t xml:space="preserve"> constituye</w:t>
      </w:r>
      <w:r w:rsidR="004F23BA">
        <w:rPr>
          <w:rFonts w:eastAsia="Times New Roman" w:cs="Times New Roman"/>
          <w:bCs/>
          <w:i w:val="0"/>
          <w:szCs w:val="20"/>
          <w:lang w:val="es-ES" w:eastAsia="es-CR"/>
        </w:rPr>
        <w:t>, por sí misma,</w:t>
      </w:r>
      <w:r w:rsidRPr="00825725">
        <w:rPr>
          <w:rFonts w:eastAsia="Times New Roman" w:cs="Times New Roman"/>
          <w:bCs/>
          <w:i w:val="0"/>
          <w:szCs w:val="20"/>
          <w:lang w:val="es-ES" w:eastAsia="es-CR"/>
        </w:rPr>
        <w:t xml:space="preserve"> una forma de reparación.</w:t>
      </w:r>
    </w:p>
    <w:p w14:paraId="70F67651" w14:textId="77777777" w:rsidR="00825725" w:rsidRPr="00825725" w:rsidRDefault="00825725" w:rsidP="00825725">
      <w:pPr>
        <w:pStyle w:val="Estilo1"/>
        <w:spacing w:before="0" w:after="0"/>
        <w:ind w:left="0" w:right="-4" w:firstLine="0"/>
        <w:rPr>
          <w:rFonts w:eastAsia="Times New Roman" w:cs="Times New Roman"/>
          <w:bCs/>
          <w:i w:val="0"/>
          <w:szCs w:val="20"/>
          <w:lang w:val="es-ES" w:eastAsia="es-CR"/>
        </w:rPr>
      </w:pPr>
    </w:p>
    <w:p w14:paraId="7233954D" w14:textId="28A1DF7C" w:rsidR="0082444D" w:rsidRPr="00825725" w:rsidRDefault="0082444D" w:rsidP="00825725">
      <w:pPr>
        <w:pStyle w:val="Estilo1"/>
        <w:numPr>
          <w:ilvl w:val="0"/>
          <w:numId w:val="26"/>
        </w:numPr>
        <w:spacing w:before="0" w:after="0"/>
        <w:ind w:left="0" w:right="-4" w:firstLine="0"/>
        <w:rPr>
          <w:rFonts w:eastAsia="Times New Roman" w:cs="Times New Roman"/>
          <w:bCs/>
          <w:i w:val="0"/>
          <w:szCs w:val="20"/>
          <w:lang w:val="es-ES" w:eastAsia="es-CR"/>
        </w:rPr>
      </w:pPr>
      <w:r w:rsidRPr="00825725">
        <w:rPr>
          <w:rFonts w:eastAsia="Times New Roman" w:cs="Times New Roman"/>
          <w:bCs/>
          <w:i w:val="0"/>
          <w:szCs w:val="20"/>
          <w:lang w:val="es-ES" w:eastAsia="es-CR"/>
        </w:rPr>
        <w:t xml:space="preserve">El Estado realizará las investigaciones para esclarecer las circunstancias de la desaparición forzada de Juan Carlos Flores Bedregal en </w:t>
      </w:r>
      <w:r w:rsidR="00036B7D">
        <w:rPr>
          <w:rFonts w:eastAsia="Times New Roman" w:cs="Times New Roman"/>
          <w:bCs/>
          <w:i w:val="0"/>
          <w:szCs w:val="20"/>
          <w:lang w:val="es-ES" w:eastAsia="es-CR"/>
        </w:rPr>
        <w:t>un</w:t>
      </w:r>
      <w:r w:rsidRPr="00825725">
        <w:rPr>
          <w:rFonts w:eastAsia="Times New Roman" w:cs="Times New Roman"/>
          <w:bCs/>
          <w:i w:val="0"/>
          <w:szCs w:val="20"/>
          <w:lang w:val="es-ES" w:eastAsia="es-CR"/>
        </w:rPr>
        <w:t xml:space="preserve"> plazo </w:t>
      </w:r>
      <w:r w:rsidR="00036B7D">
        <w:rPr>
          <w:rFonts w:eastAsia="Times New Roman" w:cs="Times New Roman"/>
          <w:bCs/>
          <w:i w:val="0"/>
          <w:szCs w:val="20"/>
          <w:lang w:val="es-ES" w:eastAsia="es-CR"/>
        </w:rPr>
        <w:t>razonable</w:t>
      </w:r>
      <w:r w:rsidRPr="00825725">
        <w:rPr>
          <w:rFonts w:eastAsia="Times New Roman" w:cs="Times New Roman"/>
          <w:bCs/>
          <w:i w:val="0"/>
          <w:szCs w:val="20"/>
          <w:lang w:val="es-ES" w:eastAsia="es-CR"/>
        </w:rPr>
        <w:t xml:space="preserve"> a partir de la notificación de la presente Sentencia,</w:t>
      </w:r>
      <w:r w:rsidRPr="00825725">
        <w:rPr>
          <w:i w:val="0"/>
          <w:lang w:val="es-ES"/>
        </w:rPr>
        <w:t xml:space="preserve"> de conformidad con lo establecido</w:t>
      </w:r>
      <w:r w:rsidRPr="00825725">
        <w:rPr>
          <w:rFonts w:eastAsia="Times New Roman" w:cs="Times New Roman"/>
          <w:bCs/>
          <w:i w:val="0"/>
          <w:szCs w:val="20"/>
          <w:lang w:val="es-ES" w:eastAsia="es-CR"/>
        </w:rPr>
        <w:t xml:space="preserve"> en los párrafos </w:t>
      </w:r>
      <w:r w:rsidR="0010459C">
        <w:rPr>
          <w:rFonts w:eastAsia="Times New Roman" w:cs="Times New Roman"/>
          <w:bCs/>
          <w:i w:val="0"/>
          <w:szCs w:val="20"/>
          <w:lang w:val="es-ES" w:eastAsia="es-CR"/>
        </w:rPr>
        <w:t>17</w:t>
      </w:r>
      <w:r w:rsidR="006C3FD6">
        <w:rPr>
          <w:rFonts w:eastAsia="Times New Roman" w:cs="Times New Roman"/>
          <w:bCs/>
          <w:i w:val="0"/>
          <w:szCs w:val="20"/>
          <w:lang w:val="es-ES" w:eastAsia="es-CR"/>
        </w:rPr>
        <w:t>7</w:t>
      </w:r>
      <w:r w:rsidR="0010459C">
        <w:rPr>
          <w:rFonts w:eastAsia="Times New Roman" w:cs="Times New Roman"/>
          <w:bCs/>
          <w:i w:val="0"/>
          <w:szCs w:val="20"/>
          <w:lang w:val="es-ES" w:eastAsia="es-CR"/>
        </w:rPr>
        <w:t xml:space="preserve"> a 1</w:t>
      </w:r>
      <w:r w:rsidR="006C3FD6">
        <w:rPr>
          <w:rFonts w:eastAsia="Times New Roman" w:cs="Times New Roman"/>
          <w:bCs/>
          <w:i w:val="0"/>
          <w:szCs w:val="20"/>
          <w:lang w:val="es-ES" w:eastAsia="es-CR"/>
        </w:rPr>
        <w:t>79</w:t>
      </w:r>
      <w:r w:rsidRPr="00825725">
        <w:rPr>
          <w:rFonts w:eastAsia="Times New Roman" w:cs="Times New Roman"/>
          <w:bCs/>
          <w:i w:val="0"/>
          <w:szCs w:val="20"/>
          <w:lang w:val="es-ES" w:eastAsia="es-CR"/>
        </w:rPr>
        <w:t xml:space="preserve"> de la presente Sentencia.</w:t>
      </w:r>
    </w:p>
    <w:p w14:paraId="4210C8B7" w14:textId="77777777" w:rsidR="00825725" w:rsidRPr="00825725" w:rsidRDefault="00825725" w:rsidP="00825725">
      <w:pPr>
        <w:pStyle w:val="Estilo1"/>
        <w:spacing w:before="0" w:after="0"/>
        <w:ind w:left="0" w:right="-4" w:firstLine="0"/>
        <w:rPr>
          <w:rFonts w:eastAsia="Times New Roman" w:cs="Times New Roman"/>
          <w:bCs/>
          <w:i w:val="0"/>
          <w:szCs w:val="20"/>
          <w:lang w:val="es-ES" w:eastAsia="es-CR"/>
        </w:rPr>
      </w:pPr>
    </w:p>
    <w:p w14:paraId="1AEE6E47" w14:textId="6CC885A8" w:rsidR="00482C22" w:rsidRDefault="0082444D" w:rsidP="00482C22">
      <w:pPr>
        <w:pStyle w:val="Estilo1"/>
        <w:numPr>
          <w:ilvl w:val="0"/>
          <w:numId w:val="26"/>
        </w:numPr>
        <w:spacing w:before="0" w:after="0"/>
        <w:ind w:left="0" w:right="-4" w:firstLine="0"/>
        <w:rPr>
          <w:rFonts w:eastAsia="Times New Roman" w:cs="Times New Roman"/>
          <w:bCs/>
          <w:i w:val="0"/>
          <w:szCs w:val="20"/>
          <w:lang w:val="es-ES" w:eastAsia="es-CR"/>
        </w:rPr>
      </w:pPr>
      <w:r w:rsidRPr="00825725">
        <w:rPr>
          <w:rFonts w:eastAsia="Times New Roman" w:cs="Times New Roman"/>
          <w:bCs/>
          <w:i w:val="0"/>
          <w:szCs w:val="20"/>
          <w:lang w:val="es-ES" w:eastAsia="es-CR"/>
        </w:rPr>
        <w:t>El Estado realizará las investigaciones sobre el paradero de Juan Carlos Flores Bedregal en el pl</w:t>
      </w:r>
      <w:r w:rsidR="00036B7D">
        <w:rPr>
          <w:rFonts w:eastAsia="Times New Roman" w:cs="Times New Roman"/>
          <w:bCs/>
          <w:i w:val="0"/>
          <w:szCs w:val="20"/>
          <w:lang w:val="es-ES" w:eastAsia="es-CR"/>
        </w:rPr>
        <w:t>azo de un año</w:t>
      </w:r>
      <w:r w:rsidRPr="00825725">
        <w:rPr>
          <w:rFonts w:eastAsia="Times New Roman" w:cs="Times New Roman"/>
          <w:bCs/>
          <w:i w:val="0"/>
          <w:szCs w:val="20"/>
          <w:lang w:val="es-ES" w:eastAsia="es-CR"/>
        </w:rPr>
        <w:t xml:space="preserve"> a partir de la notificación de la presente Sentencia,</w:t>
      </w:r>
      <w:r w:rsidRPr="00825725">
        <w:rPr>
          <w:i w:val="0"/>
          <w:lang w:val="es-ES"/>
        </w:rPr>
        <w:t xml:space="preserve"> de conformidad con lo establecido</w:t>
      </w:r>
      <w:r w:rsidRPr="00825725">
        <w:rPr>
          <w:rFonts w:eastAsia="Times New Roman" w:cs="Times New Roman"/>
          <w:bCs/>
          <w:i w:val="0"/>
          <w:szCs w:val="20"/>
          <w:lang w:val="es-ES" w:eastAsia="es-CR"/>
        </w:rPr>
        <w:t xml:space="preserve"> en los párrafos </w:t>
      </w:r>
      <w:r w:rsidR="00464970">
        <w:rPr>
          <w:rFonts w:eastAsia="Times New Roman" w:cs="Times New Roman"/>
          <w:bCs/>
          <w:i w:val="0"/>
          <w:szCs w:val="20"/>
          <w:lang w:val="es-ES" w:eastAsia="es-CR"/>
        </w:rPr>
        <w:t>18</w:t>
      </w:r>
      <w:r w:rsidR="006C3FD6">
        <w:rPr>
          <w:rFonts w:eastAsia="Times New Roman" w:cs="Times New Roman"/>
          <w:bCs/>
          <w:i w:val="0"/>
          <w:szCs w:val="20"/>
          <w:lang w:val="es-ES" w:eastAsia="es-CR"/>
        </w:rPr>
        <w:t>3</w:t>
      </w:r>
      <w:r w:rsidR="00464970">
        <w:rPr>
          <w:rFonts w:eastAsia="Times New Roman" w:cs="Times New Roman"/>
          <w:bCs/>
          <w:i w:val="0"/>
          <w:szCs w:val="20"/>
          <w:lang w:val="es-ES" w:eastAsia="es-CR"/>
        </w:rPr>
        <w:t xml:space="preserve"> a </w:t>
      </w:r>
      <w:r w:rsidR="00AF4867">
        <w:rPr>
          <w:rFonts w:eastAsia="Times New Roman" w:cs="Times New Roman"/>
          <w:bCs/>
          <w:i w:val="0"/>
          <w:szCs w:val="20"/>
          <w:lang w:val="es-ES" w:eastAsia="es-CR"/>
        </w:rPr>
        <w:t xml:space="preserve">187 </w:t>
      </w:r>
      <w:r w:rsidRPr="00825725">
        <w:rPr>
          <w:rFonts w:eastAsia="Times New Roman" w:cs="Times New Roman"/>
          <w:bCs/>
          <w:i w:val="0"/>
          <w:szCs w:val="20"/>
          <w:lang w:val="es-ES" w:eastAsia="es-CR"/>
        </w:rPr>
        <w:t>de la presente Sentencia.</w:t>
      </w:r>
    </w:p>
    <w:p w14:paraId="63F755EC" w14:textId="77777777" w:rsidR="00482C22" w:rsidRPr="001110B5" w:rsidRDefault="00482C22" w:rsidP="001110B5">
      <w:pPr>
        <w:rPr>
          <w:lang w:val="es-ES" w:eastAsia="es-CR"/>
        </w:rPr>
      </w:pPr>
    </w:p>
    <w:p w14:paraId="41A65E64" w14:textId="51A087C2" w:rsidR="00036B7D" w:rsidRPr="00036B7D" w:rsidRDefault="00036B7D" w:rsidP="00482C22">
      <w:pPr>
        <w:pStyle w:val="Estilo1"/>
        <w:numPr>
          <w:ilvl w:val="0"/>
          <w:numId w:val="26"/>
        </w:numPr>
        <w:spacing w:before="0" w:after="0"/>
        <w:ind w:left="0" w:right="-4" w:firstLine="0"/>
        <w:rPr>
          <w:rFonts w:eastAsia="Times New Roman" w:cs="Times New Roman"/>
          <w:bCs/>
          <w:i w:val="0"/>
          <w:szCs w:val="20"/>
          <w:lang w:val="es-ES" w:eastAsia="es-CR"/>
        </w:rPr>
      </w:pPr>
      <w:r w:rsidRPr="00825725">
        <w:rPr>
          <w:rFonts w:eastAsia="Times New Roman" w:cs="Times New Roman"/>
          <w:bCs/>
          <w:i w:val="0"/>
          <w:szCs w:val="20"/>
          <w:lang w:val="es-ES" w:eastAsia="es-CR"/>
        </w:rPr>
        <w:t xml:space="preserve">El Estado brindará a las víctimas las medidas de rehabilitación médicas y psicológicas en el plazo de seis meses a partir de la notificación del presente Fallo, </w:t>
      </w:r>
      <w:r w:rsidRPr="00825725">
        <w:rPr>
          <w:i w:val="0"/>
          <w:lang w:val="es-ES"/>
        </w:rPr>
        <w:t>de conformidad con lo establecido</w:t>
      </w:r>
      <w:r w:rsidRPr="00825725">
        <w:rPr>
          <w:rFonts w:eastAsia="Times New Roman" w:cs="Times New Roman"/>
          <w:bCs/>
          <w:i w:val="0"/>
          <w:szCs w:val="20"/>
          <w:lang w:val="es-ES" w:eastAsia="es-CR"/>
        </w:rPr>
        <w:t xml:space="preserve"> en </w:t>
      </w:r>
      <w:r w:rsidR="005412C3">
        <w:rPr>
          <w:rFonts w:eastAsia="Times New Roman" w:cs="Times New Roman"/>
          <w:bCs/>
          <w:i w:val="0"/>
          <w:szCs w:val="20"/>
          <w:lang w:val="es-ES" w:eastAsia="es-CR"/>
        </w:rPr>
        <w:t xml:space="preserve">el </w:t>
      </w:r>
      <w:r w:rsidRPr="00825725">
        <w:rPr>
          <w:rFonts w:eastAsia="Times New Roman" w:cs="Times New Roman"/>
          <w:bCs/>
          <w:i w:val="0"/>
          <w:szCs w:val="20"/>
          <w:lang w:val="es-ES" w:eastAsia="es-CR"/>
        </w:rPr>
        <w:t xml:space="preserve">párrafo </w:t>
      </w:r>
      <w:r w:rsidR="00AF4867">
        <w:rPr>
          <w:rFonts w:eastAsia="Times New Roman" w:cs="Times New Roman"/>
          <w:bCs/>
          <w:i w:val="0"/>
          <w:szCs w:val="20"/>
          <w:lang w:val="es-ES" w:eastAsia="es-CR"/>
        </w:rPr>
        <w:t>189</w:t>
      </w:r>
      <w:r w:rsidR="00B14CE0">
        <w:rPr>
          <w:rFonts w:eastAsia="Times New Roman" w:cs="Times New Roman"/>
          <w:bCs/>
          <w:i w:val="0"/>
          <w:szCs w:val="20"/>
          <w:lang w:val="es-ES" w:eastAsia="es-CR"/>
        </w:rPr>
        <w:t xml:space="preserve"> </w:t>
      </w:r>
      <w:r w:rsidRPr="00825725">
        <w:rPr>
          <w:rFonts w:eastAsia="Times New Roman" w:cs="Times New Roman"/>
          <w:bCs/>
          <w:i w:val="0"/>
          <w:szCs w:val="20"/>
          <w:lang w:val="es-ES" w:eastAsia="es-CR"/>
        </w:rPr>
        <w:t>de la presente Sentencia.</w:t>
      </w:r>
    </w:p>
    <w:p w14:paraId="19FB80E7" w14:textId="77777777" w:rsidR="00825725" w:rsidRPr="00825725" w:rsidRDefault="00825725" w:rsidP="00825725">
      <w:pPr>
        <w:pStyle w:val="Estilo1"/>
        <w:spacing w:before="0" w:after="0"/>
        <w:ind w:left="0" w:right="-4" w:firstLine="0"/>
        <w:rPr>
          <w:rFonts w:eastAsia="Times New Roman" w:cs="Times New Roman"/>
          <w:bCs/>
          <w:i w:val="0"/>
          <w:szCs w:val="20"/>
          <w:lang w:val="es-ES" w:eastAsia="es-CR"/>
        </w:rPr>
      </w:pPr>
    </w:p>
    <w:p w14:paraId="202899E7" w14:textId="7BBA0FC1" w:rsidR="0082444D" w:rsidRPr="00825725" w:rsidRDefault="0082444D" w:rsidP="00825725">
      <w:pPr>
        <w:pStyle w:val="Estilo1"/>
        <w:numPr>
          <w:ilvl w:val="0"/>
          <w:numId w:val="26"/>
        </w:numPr>
        <w:spacing w:before="0" w:after="0"/>
        <w:ind w:left="0" w:right="-4" w:firstLine="0"/>
        <w:rPr>
          <w:rFonts w:eastAsia="Times New Roman" w:cs="Times New Roman"/>
          <w:bCs/>
          <w:i w:val="0"/>
          <w:szCs w:val="20"/>
          <w:lang w:val="es-ES" w:eastAsia="es-CR"/>
        </w:rPr>
      </w:pPr>
      <w:r w:rsidRPr="00825725">
        <w:rPr>
          <w:rFonts w:eastAsia="Times New Roman" w:cs="Times New Roman"/>
          <w:bCs/>
          <w:i w:val="0"/>
          <w:szCs w:val="20"/>
          <w:lang w:val="es-ES" w:eastAsia="es-CR"/>
        </w:rPr>
        <w:t>El Estado realizará las publicaciones</w:t>
      </w:r>
      <w:r w:rsidR="00036B7D">
        <w:rPr>
          <w:rFonts w:eastAsia="Times New Roman" w:cs="Times New Roman"/>
          <w:bCs/>
          <w:i w:val="0"/>
          <w:szCs w:val="20"/>
          <w:lang w:val="es-ES" w:eastAsia="es-CR"/>
        </w:rPr>
        <w:t>,</w:t>
      </w:r>
      <w:r w:rsidRPr="00825725">
        <w:rPr>
          <w:rFonts w:eastAsia="Times New Roman" w:cs="Times New Roman"/>
          <w:bCs/>
          <w:i w:val="0"/>
          <w:szCs w:val="20"/>
          <w:lang w:val="es-ES" w:eastAsia="es-CR"/>
        </w:rPr>
        <w:t xml:space="preserve"> en el plazo de seis meses</w:t>
      </w:r>
      <w:r w:rsidR="00036B7D">
        <w:rPr>
          <w:rFonts w:eastAsia="Times New Roman" w:cs="Times New Roman"/>
          <w:bCs/>
          <w:i w:val="0"/>
          <w:szCs w:val="20"/>
          <w:lang w:val="es-ES" w:eastAsia="es-CR"/>
        </w:rPr>
        <w:t xml:space="preserve"> </w:t>
      </w:r>
      <w:r w:rsidRPr="00825725">
        <w:rPr>
          <w:rFonts w:eastAsia="Times New Roman" w:cs="Times New Roman"/>
          <w:bCs/>
          <w:i w:val="0"/>
          <w:szCs w:val="20"/>
          <w:lang w:val="es-ES" w:eastAsia="es-CR"/>
        </w:rPr>
        <w:t>a partir de la notificación de la presente Sentencia,</w:t>
      </w:r>
      <w:r w:rsidRPr="00825725">
        <w:rPr>
          <w:i w:val="0"/>
          <w:lang w:val="es-ES"/>
        </w:rPr>
        <w:t xml:space="preserve"> de conformidad con lo establecido</w:t>
      </w:r>
      <w:r w:rsidRPr="00825725">
        <w:rPr>
          <w:rFonts w:eastAsia="Times New Roman" w:cs="Times New Roman"/>
          <w:bCs/>
          <w:i w:val="0"/>
          <w:szCs w:val="20"/>
          <w:lang w:val="es-ES" w:eastAsia="es-CR"/>
        </w:rPr>
        <w:t xml:space="preserve"> en </w:t>
      </w:r>
      <w:r w:rsidR="005412C3">
        <w:rPr>
          <w:rFonts w:eastAsia="Times New Roman" w:cs="Times New Roman"/>
          <w:bCs/>
          <w:i w:val="0"/>
          <w:szCs w:val="20"/>
          <w:lang w:val="es-ES" w:eastAsia="es-CR"/>
        </w:rPr>
        <w:t>el</w:t>
      </w:r>
      <w:r w:rsidRPr="00825725">
        <w:rPr>
          <w:rFonts w:eastAsia="Times New Roman" w:cs="Times New Roman"/>
          <w:bCs/>
          <w:i w:val="0"/>
          <w:szCs w:val="20"/>
          <w:lang w:val="es-ES" w:eastAsia="es-CR"/>
        </w:rPr>
        <w:t xml:space="preserve"> párrafo </w:t>
      </w:r>
      <w:r w:rsidR="00464970">
        <w:rPr>
          <w:rFonts w:eastAsia="Times New Roman" w:cs="Times New Roman"/>
          <w:bCs/>
          <w:i w:val="0"/>
          <w:szCs w:val="20"/>
          <w:lang w:val="es-ES" w:eastAsia="es-CR"/>
        </w:rPr>
        <w:t>19</w:t>
      </w:r>
      <w:r w:rsidR="00AF4867">
        <w:rPr>
          <w:rFonts w:eastAsia="Times New Roman" w:cs="Times New Roman"/>
          <w:bCs/>
          <w:i w:val="0"/>
          <w:szCs w:val="20"/>
          <w:lang w:val="es-ES" w:eastAsia="es-CR"/>
        </w:rPr>
        <w:t>1</w:t>
      </w:r>
      <w:r w:rsidRPr="00825725">
        <w:rPr>
          <w:rFonts w:eastAsia="Times New Roman" w:cs="Times New Roman"/>
          <w:bCs/>
          <w:i w:val="0"/>
          <w:szCs w:val="20"/>
          <w:lang w:val="es-ES" w:eastAsia="es-CR"/>
        </w:rPr>
        <w:t xml:space="preserve"> de la presente Sentencia.</w:t>
      </w:r>
    </w:p>
    <w:p w14:paraId="2A5FFA3D" w14:textId="77777777" w:rsidR="00825725" w:rsidRPr="00825725" w:rsidRDefault="00825725" w:rsidP="00371AF7">
      <w:pPr>
        <w:pStyle w:val="Estilo1"/>
        <w:spacing w:before="0" w:after="0"/>
        <w:ind w:left="708" w:right="-4" w:hanging="708"/>
        <w:rPr>
          <w:rFonts w:eastAsia="Times New Roman" w:cs="Times New Roman"/>
          <w:bCs/>
          <w:i w:val="0"/>
          <w:szCs w:val="20"/>
          <w:lang w:val="es-ES" w:eastAsia="es-CR"/>
        </w:rPr>
      </w:pPr>
    </w:p>
    <w:p w14:paraId="6124A27E" w14:textId="1B201787" w:rsidR="0082444D" w:rsidRPr="00825725" w:rsidRDefault="0082444D" w:rsidP="00825725">
      <w:pPr>
        <w:pStyle w:val="Estilo1"/>
        <w:numPr>
          <w:ilvl w:val="0"/>
          <w:numId w:val="26"/>
        </w:numPr>
        <w:spacing w:before="0" w:after="0"/>
        <w:ind w:left="0" w:right="-4" w:firstLine="0"/>
        <w:rPr>
          <w:rFonts w:eastAsia="Times New Roman" w:cs="Times New Roman"/>
          <w:bCs/>
          <w:i w:val="0"/>
          <w:szCs w:val="20"/>
          <w:lang w:val="es-ES" w:eastAsia="es-CR"/>
        </w:rPr>
      </w:pPr>
      <w:r w:rsidRPr="00825725">
        <w:rPr>
          <w:rFonts w:eastAsia="Times New Roman" w:cs="Times New Roman"/>
          <w:bCs/>
          <w:i w:val="0"/>
          <w:szCs w:val="20"/>
          <w:lang w:val="es-ES" w:eastAsia="es-CR"/>
        </w:rPr>
        <w:lastRenderedPageBreak/>
        <w:t>El Estado realizará</w:t>
      </w:r>
      <w:r w:rsidR="00036B7D">
        <w:rPr>
          <w:rFonts w:eastAsia="Times New Roman" w:cs="Times New Roman"/>
          <w:bCs/>
          <w:i w:val="0"/>
          <w:szCs w:val="20"/>
          <w:lang w:val="es-ES" w:eastAsia="es-CR"/>
        </w:rPr>
        <w:t xml:space="preserve">, </w:t>
      </w:r>
      <w:r w:rsidR="00036B7D" w:rsidRPr="00825725">
        <w:rPr>
          <w:rFonts w:eastAsia="Times New Roman" w:cs="Times New Roman"/>
          <w:bCs/>
          <w:i w:val="0"/>
          <w:szCs w:val="20"/>
          <w:lang w:val="es-ES" w:eastAsia="es-CR"/>
        </w:rPr>
        <w:t>en el plazo de un año a partir de la notificación de la presente Sentencia</w:t>
      </w:r>
      <w:r w:rsidR="00036B7D">
        <w:rPr>
          <w:rFonts w:eastAsia="Times New Roman" w:cs="Times New Roman"/>
          <w:bCs/>
          <w:i w:val="0"/>
          <w:szCs w:val="20"/>
          <w:lang w:val="es-ES" w:eastAsia="es-CR"/>
        </w:rPr>
        <w:t>,</w:t>
      </w:r>
      <w:r w:rsidR="00036B7D" w:rsidRPr="00825725">
        <w:rPr>
          <w:rFonts w:eastAsia="Times New Roman" w:cs="Times New Roman"/>
          <w:bCs/>
          <w:i w:val="0"/>
          <w:szCs w:val="20"/>
          <w:lang w:val="es-ES" w:eastAsia="es-CR"/>
        </w:rPr>
        <w:t xml:space="preserve"> </w:t>
      </w:r>
      <w:r w:rsidRPr="00825725">
        <w:rPr>
          <w:rFonts w:eastAsia="Times New Roman" w:cs="Times New Roman"/>
          <w:bCs/>
          <w:i w:val="0"/>
          <w:szCs w:val="20"/>
          <w:lang w:val="es-ES" w:eastAsia="es-CR"/>
        </w:rPr>
        <w:t>un acto público de reconocimiento de responsabilidad internacional,</w:t>
      </w:r>
      <w:r w:rsidRPr="00825725">
        <w:rPr>
          <w:i w:val="0"/>
          <w:lang w:val="es-ES"/>
        </w:rPr>
        <w:t xml:space="preserve"> de conformidad con lo establecido</w:t>
      </w:r>
      <w:r w:rsidRPr="00825725">
        <w:rPr>
          <w:rFonts w:eastAsia="Times New Roman" w:cs="Times New Roman"/>
          <w:bCs/>
          <w:i w:val="0"/>
          <w:szCs w:val="20"/>
          <w:lang w:val="es-ES" w:eastAsia="es-CR"/>
        </w:rPr>
        <w:t xml:space="preserve"> en </w:t>
      </w:r>
      <w:r w:rsidR="005412C3">
        <w:rPr>
          <w:rFonts w:eastAsia="Times New Roman" w:cs="Times New Roman"/>
          <w:bCs/>
          <w:i w:val="0"/>
          <w:szCs w:val="20"/>
          <w:lang w:val="es-ES" w:eastAsia="es-CR"/>
        </w:rPr>
        <w:t>el</w:t>
      </w:r>
      <w:r w:rsidRPr="00825725">
        <w:rPr>
          <w:rFonts w:eastAsia="Times New Roman" w:cs="Times New Roman"/>
          <w:bCs/>
          <w:i w:val="0"/>
          <w:szCs w:val="20"/>
          <w:lang w:val="es-ES" w:eastAsia="es-CR"/>
        </w:rPr>
        <w:t xml:space="preserve"> párrafo </w:t>
      </w:r>
      <w:r w:rsidR="00464970">
        <w:rPr>
          <w:rFonts w:eastAsia="Times New Roman" w:cs="Times New Roman"/>
          <w:bCs/>
          <w:i w:val="0"/>
          <w:szCs w:val="20"/>
          <w:lang w:val="es-ES" w:eastAsia="es-CR"/>
        </w:rPr>
        <w:t>19</w:t>
      </w:r>
      <w:r w:rsidR="00AF4867">
        <w:rPr>
          <w:rFonts w:eastAsia="Times New Roman" w:cs="Times New Roman"/>
          <w:bCs/>
          <w:i w:val="0"/>
          <w:szCs w:val="20"/>
          <w:lang w:val="es-ES" w:eastAsia="es-CR"/>
        </w:rPr>
        <w:t>3</w:t>
      </w:r>
      <w:r w:rsidRPr="00825725">
        <w:rPr>
          <w:rFonts w:eastAsia="Times New Roman" w:cs="Times New Roman"/>
          <w:bCs/>
          <w:i w:val="0"/>
          <w:szCs w:val="20"/>
          <w:lang w:val="es-ES" w:eastAsia="es-CR"/>
        </w:rPr>
        <w:t xml:space="preserve"> de la presente Sentencia.</w:t>
      </w:r>
    </w:p>
    <w:p w14:paraId="712695DE" w14:textId="77777777" w:rsidR="00825725" w:rsidRPr="00825725" w:rsidRDefault="00825725" w:rsidP="00825725">
      <w:pPr>
        <w:pStyle w:val="Estilo1"/>
        <w:spacing w:before="0" w:after="0"/>
        <w:ind w:left="0" w:right="-4" w:firstLine="0"/>
        <w:rPr>
          <w:rFonts w:eastAsia="Times New Roman" w:cs="Times New Roman"/>
          <w:bCs/>
          <w:i w:val="0"/>
          <w:szCs w:val="20"/>
          <w:lang w:val="es-ES" w:eastAsia="es-CR"/>
        </w:rPr>
      </w:pPr>
    </w:p>
    <w:p w14:paraId="7C9A69D5" w14:textId="7033F4DC" w:rsidR="00036B7D" w:rsidRPr="00482C22" w:rsidRDefault="0082444D" w:rsidP="00482C22">
      <w:pPr>
        <w:pStyle w:val="Estilo1"/>
        <w:numPr>
          <w:ilvl w:val="0"/>
          <w:numId w:val="26"/>
        </w:numPr>
        <w:spacing w:before="0" w:after="0"/>
        <w:ind w:left="0" w:right="-4" w:firstLine="0"/>
        <w:rPr>
          <w:rFonts w:eastAsia="Times New Roman" w:cs="Times New Roman"/>
          <w:bCs/>
          <w:i w:val="0"/>
          <w:szCs w:val="20"/>
          <w:lang w:val="es-ES" w:eastAsia="es-CR"/>
        </w:rPr>
      </w:pPr>
      <w:r w:rsidRPr="00825725">
        <w:rPr>
          <w:rFonts w:eastAsia="Times New Roman" w:cs="Times New Roman"/>
          <w:bCs/>
          <w:szCs w:val="20"/>
          <w:lang w:val="es-ES" w:eastAsia="es-CR"/>
        </w:rPr>
        <w:t xml:space="preserve"> </w:t>
      </w:r>
      <w:r w:rsidRPr="00036B7D">
        <w:rPr>
          <w:rFonts w:eastAsia="Times New Roman" w:cs="Times New Roman"/>
          <w:bCs/>
          <w:i w:val="0"/>
          <w:iCs/>
          <w:szCs w:val="20"/>
          <w:lang w:val="es-ES" w:eastAsia="es-CR"/>
        </w:rPr>
        <w:t>El Estado</w:t>
      </w:r>
      <w:r w:rsidR="00036B7D">
        <w:rPr>
          <w:rFonts w:eastAsia="Times New Roman" w:cs="Times New Roman"/>
          <w:bCs/>
          <w:i w:val="0"/>
          <w:iCs/>
          <w:szCs w:val="20"/>
          <w:lang w:val="es-ES" w:eastAsia="es-CR"/>
        </w:rPr>
        <w:t xml:space="preserve"> </w:t>
      </w:r>
      <w:r w:rsidR="00036B7D" w:rsidRPr="00036B7D">
        <w:rPr>
          <w:i w:val="0"/>
          <w:iCs/>
        </w:rPr>
        <w:t xml:space="preserve">deberá </w:t>
      </w:r>
      <w:r w:rsidR="00036B7D" w:rsidRPr="00036B7D">
        <w:rPr>
          <w:i w:val="0"/>
          <w:iCs/>
          <w:lang w:val="es-ES"/>
        </w:rPr>
        <w:t>adopt</w:t>
      </w:r>
      <w:r w:rsidR="00036B7D" w:rsidRPr="00036B7D">
        <w:rPr>
          <w:i w:val="0"/>
          <w:iCs/>
        </w:rPr>
        <w:t>ar</w:t>
      </w:r>
      <w:r w:rsidR="00E255A7">
        <w:rPr>
          <w:i w:val="0"/>
          <w:iCs/>
        </w:rPr>
        <w:t>,</w:t>
      </w:r>
      <w:r w:rsidR="00E255A7" w:rsidRPr="00E255A7">
        <w:rPr>
          <w:rFonts w:eastAsia="Times New Roman" w:cs="Times New Roman"/>
          <w:bCs/>
          <w:i w:val="0"/>
          <w:iCs/>
          <w:szCs w:val="20"/>
          <w:lang w:val="es-ES" w:eastAsia="es-CR"/>
        </w:rPr>
        <w:t xml:space="preserve"> </w:t>
      </w:r>
      <w:r w:rsidR="00E255A7" w:rsidRPr="00036B7D">
        <w:rPr>
          <w:rFonts w:eastAsia="Times New Roman" w:cs="Times New Roman"/>
          <w:bCs/>
          <w:i w:val="0"/>
          <w:iCs/>
          <w:szCs w:val="20"/>
          <w:lang w:val="es-ES" w:eastAsia="es-CR"/>
        </w:rPr>
        <w:t>en un plazo razonable a partir de la notificación de la present</w:t>
      </w:r>
      <w:r w:rsidR="006C2A4A">
        <w:rPr>
          <w:rFonts w:eastAsia="Times New Roman" w:cs="Times New Roman"/>
          <w:bCs/>
          <w:i w:val="0"/>
          <w:iCs/>
          <w:szCs w:val="20"/>
          <w:lang w:val="es-ES" w:eastAsia="es-CR"/>
        </w:rPr>
        <w:t>e</w:t>
      </w:r>
      <w:r w:rsidR="00E255A7" w:rsidRPr="00036B7D">
        <w:rPr>
          <w:rFonts w:eastAsia="Times New Roman" w:cs="Times New Roman"/>
          <w:bCs/>
          <w:i w:val="0"/>
          <w:iCs/>
          <w:szCs w:val="20"/>
          <w:lang w:val="es-ES" w:eastAsia="es-CR"/>
        </w:rPr>
        <w:t xml:space="preserve"> Sentencia,</w:t>
      </w:r>
      <w:r w:rsidR="00036B7D" w:rsidRPr="00036B7D">
        <w:rPr>
          <w:i w:val="0"/>
          <w:iCs/>
          <w:lang w:val="es-ES"/>
        </w:rPr>
        <w:t xml:space="preserve"> las medidas legislativas, administrativas y de cualquier otra índole que sean necesarias para fortalecer el marco normativo de acceso a la información</w:t>
      </w:r>
      <w:r w:rsidR="00036B7D" w:rsidRPr="00036B7D">
        <w:rPr>
          <w:i w:val="0"/>
          <w:iCs/>
        </w:rPr>
        <w:t xml:space="preserve"> en casos de presuntas violaciones a los derechos humanos</w:t>
      </w:r>
      <w:r w:rsidR="00036B7D" w:rsidRPr="00036B7D">
        <w:rPr>
          <w:i w:val="0"/>
          <w:iCs/>
          <w:lang w:val="es-ES"/>
        </w:rPr>
        <w:t xml:space="preserve">, </w:t>
      </w:r>
      <w:r w:rsidR="00036B7D" w:rsidRPr="00036B7D">
        <w:rPr>
          <w:i w:val="0"/>
          <w:iCs/>
        </w:rPr>
        <w:t xml:space="preserve">y en particular en lo que respecta a la normativa que rige la reserva de información </w:t>
      </w:r>
      <w:r w:rsidR="00036B7D" w:rsidRPr="00036B7D">
        <w:rPr>
          <w:i w:val="0"/>
          <w:iCs/>
          <w:lang w:val="es-ES"/>
        </w:rPr>
        <w:t xml:space="preserve">de la Ley Orgánica de las Fuerzas Armadas </w:t>
      </w:r>
      <w:r w:rsidR="00036B7D" w:rsidRPr="00036B7D">
        <w:rPr>
          <w:i w:val="0"/>
          <w:iCs/>
        </w:rPr>
        <w:t>cuando impida el esclarecimiento de la desaparición forzada de personas</w:t>
      </w:r>
      <w:r w:rsidR="00036B7D">
        <w:rPr>
          <w:i w:val="0"/>
          <w:iCs/>
        </w:rPr>
        <w:t>,</w:t>
      </w:r>
      <w:r w:rsidR="00036B7D" w:rsidRPr="00036B7D">
        <w:rPr>
          <w:rFonts w:eastAsia="Times New Roman" w:cs="Times New Roman"/>
          <w:bCs/>
          <w:i w:val="0"/>
          <w:iCs/>
          <w:szCs w:val="20"/>
          <w:lang w:val="es-ES" w:eastAsia="es-CR"/>
        </w:rPr>
        <w:t xml:space="preserve"> </w:t>
      </w:r>
      <w:r w:rsidRPr="00825725">
        <w:rPr>
          <w:i w:val="0"/>
          <w:iCs/>
          <w:lang w:val="es-ES"/>
        </w:rPr>
        <w:t>de conformidad con lo establecido</w:t>
      </w:r>
      <w:r w:rsidRPr="00825725">
        <w:rPr>
          <w:rFonts w:eastAsia="Times New Roman" w:cs="Times New Roman"/>
          <w:bCs/>
          <w:i w:val="0"/>
          <w:iCs/>
          <w:szCs w:val="20"/>
          <w:lang w:val="es-ES" w:eastAsia="es-CR"/>
        </w:rPr>
        <w:t xml:space="preserve"> en </w:t>
      </w:r>
      <w:r w:rsidR="006C2A4A">
        <w:rPr>
          <w:rFonts w:eastAsia="Times New Roman" w:cs="Times New Roman"/>
          <w:bCs/>
          <w:i w:val="0"/>
          <w:iCs/>
          <w:szCs w:val="20"/>
          <w:lang w:val="es-ES" w:eastAsia="es-CR"/>
        </w:rPr>
        <w:t>e</w:t>
      </w:r>
      <w:r w:rsidRPr="00825725">
        <w:rPr>
          <w:rFonts w:eastAsia="Times New Roman" w:cs="Times New Roman"/>
          <w:bCs/>
          <w:i w:val="0"/>
          <w:iCs/>
          <w:szCs w:val="20"/>
          <w:lang w:val="es-ES" w:eastAsia="es-CR"/>
        </w:rPr>
        <w:t xml:space="preserve">l párrafo </w:t>
      </w:r>
      <w:r w:rsidR="00464970">
        <w:rPr>
          <w:rFonts w:eastAsia="Times New Roman" w:cs="Times New Roman"/>
          <w:bCs/>
          <w:i w:val="0"/>
          <w:iCs/>
          <w:szCs w:val="20"/>
          <w:lang w:val="es-ES" w:eastAsia="es-CR"/>
        </w:rPr>
        <w:t>19</w:t>
      </w:r>
      <w:r w:rsidR="00D94D7E">
        <w:rPr>
          <w:rFonts w:eastAsia="Times New Roman" w:cs="Times New Roman"/>
          <w:bCs/>
          <w:i w:val="0"/>
          <w:iCs/>
          <w:szCs w:val="20"/>
          <w:lang w:val="es-ES" w:eastAsia="es-CR"/>
        </w:rPr>
        <w:t>7</w:t>
      </w:r>
      <w:r w:rsidRPr="00825725">
        <w:rPr>
          <w:rFonts w:eastAsia="Times New Roman" w:cs="Times New Roman"/>
          <w:bCs/>
          <w:i w:val="0"/>
          <w:iCs/>
          <w:szCs w:val="20"/>
          <w:lang w:val="es-ES" w:eastAsia="es-CR"/>
        </w:rPr>
        <w:t xml:space="preserve"> de la presente Sentencia</w:t>
      </w:r>
      <w:r w:rsidR="00036B7D">
        <w:rPr>
          <w:rFonts w:eastAsia="Times New Roman" w:cs="Times New Roman"/>
          <w:bCs/>
          <w:i w:val="0"/>
          <w:iCs/>
          <w:szCs w:val="20"/>
          <w:lang w:val="es-ES" w:eastAsia="es-CR"/>
        </w:rPr>
        <w:t>.</w:t>
      </w:r>
    </w:p>
    <w:p w14:paraId="0B5621C4" w14:textId="77777777" w:rsidR="00482C22" w:rsidRPr="002E61E9" w:rsidRDefault="00482C22" w:rsidP="00E55450">
      <w:pPr>
        <w:rPr>
          <w:lang w:val="es-ES" w:eastAsia="es-CR"/>
        </w:rPr>
      </w:pPr>
    </w:p>
    <w:p w14:paraId="72067445" w14:textId="7A472B98" w:rsidR="00F34B25" w:rsidRPr="00F34B25" w:rsidRDefault="0082444D" w:rsidP="00482C22">
      <w:pPr>
        <w:pStyle w:val="Estilo1"/>
        <w:numPr>
          <w:ilvl w:val="0"/>
          <w:numId w:val="26"/>
        </w:numPr>
        <w:spacing w:before="0" w:after="0"/>
        <w:ind w:left="0" w:right="-4" w:firstLine="0"/>
        <w:rPr>
          <w:rFonts w:eastAsia="Times New Roman" w:cs="Times New Roman"/>
          <w:bCs/>
          <w:i w:val="0"/>
          <w:iCs/>
          <w:szCs w:val="20"/>
          <w:lang w:val="es-ES" w:eastAsia="es-CR"/>
        </w:rPr>
      </w:pPr>
      <w:r w:rsidRPr="00F34B25">
        <w:rPr>
          <w:rFonts w:eastAsia="Times New Roman" w:cs="Times New Roman"/>
          <w:bCs/>
          <w:szCs w:val="20"/>
          <w:lang w:val="es-ES" w:eastAsia="es-CR"/>
        </w:rPr>
        <w:t xml:space="preserve"> </w:t>
      </w:r>
      <w:r w:rsidR="00036B7D" w:rsidRPr="00F34B25">
        <w:rPr>
          <w:rFonts w:eastAsia="Times New Roman" w:cs="Times New Roman"/>
          <w:bCs/>
          <w:i w:val="0"/>
          <w:iCs/>
          <w:szCs w:val="20"/>
          <w:lang w:val="es-ES" w:eastAsia="es-CR"/>
        </w:rPr>
        <w:t>El Estado deberá levantar</w:t>
      </w:r>
      <w:r w:rsidRPr="00F34B25">
        <w:rPr>
          <w:rFonts w:eastAsia="Times New Roman" w:cs="Times New Roman"/>
          <w:bCs/>
          <w:i w:val="0"/>
          <w:iCs/>
          <w:szCs w:val="20"/>
          <w:lang w:val="es-ES" w:eastAsia="es-CR"/>
        </w:rPr>
        <w:t xml:space="preserve"> </w:t>
      </w:r>
      <w:r w:rsidR="00F34B25" w:rsidRPr="00F34B25">
        <w:rPr>
          <w:i w:val="0"/>
          <w:iCs/>
        </w:rPr>
        <w:t xml:space="preserve">la reserva de cualquier </w:t>
      </w:r>
      <w:r w:rsidR="00F34B25" w:rsidRPr="00F34B25">
        <w:rPr>
          <w:i w:val="0"/>
          <w:iCs/>
          <w:lang w:val="es-ES"/>
        </w:rPr>
        <w:t>document</w:t>
      </w:r>
      <w:r w:rsidR="00F34B25" w:rsidRPr="00F34B25">
        <w:rPr>
          <w:i w:val="0"/>
          <w:iCs/>
        </w:rPr>
        <w:t>ación</w:t>
      </w:r>
      <w:r w:rsidR="00A47211">
        <w:rPr>
          <w:i w:val="0"/>
          <w:iCs/>
        </w:rPr>
        <w:t xml:space="preserve"> </w:t>
      </w:r>
      <w:r w:rsidR="00F34B25" w:rsidRPr="00F34B25">
        <w:rPr>
          <w:i w:val="0"/>
          <w:iCs/>
        </w:rPr>
        <w:t>relacionada con</w:t>
      </w:r>
      <w:r w:rsidR="00F34B25" w:rsidRPr="00F34B25">
        <w:rPr>
          <w:i w:val="0"/>
          <w:iCs/>
          <w:lang w:val="es-ES"/>
        </w:rPr>
        <w:t xml:space="preserve"> </w:t>
      </w:r>
      <w:r w:rsidR="00F34B25" w:rsidRPr="00F34B25">
        <w:rPr>
          <w:i w:val="0"/>
          <w:iCs/>
        </w:rPr>
        <w:t>la desaparición forzada de Juan Carlos Flores Bedregal</w:t>
      </w:r>
      <w:r w:rsidR="00F34B25">
        <w:rPr>
          <w:i w:val="0"/>
          <w:iCs/>
          <w:lang w:val="es-ES"/>
        </w:rPr>
        <w:t>,</w:t>
      </w:r>
      <w:r w:rsidR="00F34B25" w:rsidRPr="00F34B25">
        <w:rPr>
          <w:i w:val="0"/>
          <w:iCs/>
        </w:rPr>
        <w:t xml:space="preserve"> en un plazo de un año contado a partir de la notificación de la presente Sentencia,</w:t>
      </w:r>
      <w:r w:rsidR="00F34B25">
        <w:rPr>
          <w:i w:val="0"/>
          <w:iCs/>
          <w:lang w:val="es-ES"/>
        </w:rPr>
        <w:t xml:space="preserve"> </w:t>
      </w:r>
      <w:r w:rsidR="00F34B25" w:rsidRPr="00F34B25">
        <w:rPr>
          <w:i w:val="0"/>
          <w:iCs/>
          <w:lang w:val="es-ES"/>
        </w:rPr>
        <w:t>de conformidad con lo establecido</w:t>
      </w:r>
      <w:r w:rsidR="00F34B25" w:rsidRPr="00F34B25">
        <w:rPr>
          <w:rFonts w:eastAsia="Times New Roman" w:cs="Times New Roman"/>
          <w:bCs/>
          <w:i w:val="0"/>
          <w:iCs/>
          <w:szCs w:val="20"/>
          <w:lang w:val="es-ES" w:eastAsia="es-CR"/>
        </w:rPr>
        <w:t xml:space="preserve"> en </w:t>
      </w:r>
      <w:r w:rsidR="00F34B25">
        <w:rPr>
          <w:rFonts w:eastAsia="Times New Roman" w:cs="Times New Roman"/>
          <w:bCs/>
          <w:i w:val="0"/>
          <w:iCs/>
          <w:szCs w:val="20"/>
          <w:lang w:val="es-ES" w:eastAsia="es-CR"/>
        </w:rPr>
        <w:t>el</w:t>
      </w:r>
      <w:r w:rsidR="00F34B25" w:rsidRPr="00F34B25">
        <w:rPr>
          <w:rFonts w:eastAsia="Times New Roman" w:cs="Times New Roman"/>
          <w:bCs/>
          <w:i w:val="0"/>
          <w:iCs/>
          <w:szCs w:val="20"/>
          <w:lang w:val="es-ES" w:eastAsia="es-CR"/>
        </w:rPr>
        <w:t xml:space="preserve"> párrafo</w:t>
      </w:r>
      <w:r w:rsidR="00F34B25">
        <w:rPr>
          <w:rFonts w:eastAsia="Times New Roman" w:cs="Times New Roman"/>
          <w:bCs/>
          <w:i w:val="0"/>
          <w:iCs/>
          <w:szCs w:val="20"/>
          <w:lang w:val="es-ES" w:eastAsia="es-CR"/>
        </w:rPr>
        <w:t xml:space="preserve"> </w:t>
      </w:r>
      <w:r w:rsidR="00464970">
        <w:rPr>
          <w:rFonts w:eastAsia="Times New Roman" w:cs="Times New Roman"/>
          <w:bCs/>
          <w:i w:val="0"/>
          <w:iCs/>
          <w:szCs w:val="20"/>
          <w:lang w:val="es-ES" w:eastAsia="es-CR"/>
        </w:rPr>
        <w:t>19</w:t>
      </w:r>
      <w:r w:rsidR="00D94D7E">
        <w:rPr>
          <w:rFonts w:eastAsia="Times New Roman" w:cs="Times New Roman"/>
          <w:bCs/>
          <w:i w:val="0"/>
          <w:iCs/>
          <w:szCs w:val="20"/>
          <w:lang w:val="es-ES" w:eastAsia="es-CR"/>
        </w:rPr>
        <w:t>8</w:t>
      </w:r>
      <w:r w:rsidR="00F34B25" w:rsidRPr="00F34B25">
        <w:rPr>
          <w:rFonts w:eastAsia="Times New Roman" w:cs="Times New Roman"/>
          <w:bCs/>
          <w:i w:val="0"/>
          <w:iCs/>
          <w:szCs w:val="20"/>
          <w:lang w:val="es-ES" w:eastAsia="es-CR"/>
        </w:rPr>
        <w:t xml:space="preserve"> de la presente Sentencia.</w:t>
      </w:r>
    </w:p>
    <w:p w14:paraId="7CA78156" w14:textId="77777777" w:rsidR="00F34B25" w:rsidRPr="002E61E9" w:rsidRDefault="00F34B25" w:rsidP="00E55450">
      <w:pPr>
        <w:rPr>
          <w:lang w:val="es-ES"/>
        </w:rPr>
      </w:pPr>
    </w:p>
    <w:p w14:paraId="7BDEF781" w14:textId="66EEA73B" w:rsidR="00F34B25" w:rsidRPr="00F34B25" w:rsidRDefault="00F34B25" w:rsidP="00482C22">
      <w:pPr>
        <w:pStyle w:val="Estilo1"/>
        <w:numPr>
          <w:ilvl w:val="0"/>
          <w:numId w:val="26"/>
        </w:numPr>
        <w:spacing w:before="0" w:after="0"/>
        <w:ind w:left="0" w:right="-4" w:firstLine="0"/>
        <w:rPr>
          <w:rFonts w:eastAsia="Times New Roman" w:cs="Times New Roman"/>
          <w:bCs/>
          <w:i w:val="0"/>
          <w:iCs/>
          <w:szCs w:val="20"/>
          <w:lang w:val="es-ES" w:eastAsia="es-CR"/>
        </w:rPr>
      </w:pPr>
      <w:r w:rsidRPr="00F34B25">
        <w:rPr>
          <w:i w:val="0"/>
          <w:iCs/>
          <w:lang w:val="es-ES"/>
        </w:rPr>
        <w:t>E</w:t>
      </w:r>
      <w:r w:rsidRPr="00F34B25">
        <w:rPr>
          <w:i w:val="0"/>
          <w:iCs/>
        </w:rPr>
        <w:t xml:space="preserve">l Estado deberá </w:t>
      </w:r>
      <w:r w:rsidRPr="00F34B25">
        <w:rPr>
          <w:i w:val="0"/>
          <w:iCs/>
          <w:lang w:val="es-ES"/>
        </w:rPr>
        <w:t>establec</w:t>
      </w:r>
      <w:r w:rsidRPr="00F34B25">
        <w:rPr>
          <w:i w:val="0"/>
          <w:iCs/>
        </w:rPr>
        <w:t>er</w:t>
      </w:r>
      <w:r w:rsidRPr="00F34B25">
        <w:rPr>
          <w:i w:val="0"/>
          <w:iCs/>
          <w:lang w:val="es-ES"/>
        </w:rPr>
        <w:t xml:space="preserve"> un sistema que permita el </w:t>
      </w:r>
      <w:r w:rsidRPr="00F34B25">
        <w:rPr>
          <w:i w:val="0"/>
          <w:iCs/>
        </w:rPr>
        <w:t xml:space="preserve">acceso digital abierto al </w:t>
      </w:r>
      <w:r w:rsidRPr="00F34B25">
        <w:rPr>
          <w:i w:val="0"/>
          <w:iCs/>
          <w:lang w:val="es-ES"/>
        </w:rPr>
        <w:t>Informe de la Comisión de la Verdad</w:t>
      </w:r>
      <w:r w:rsidRPr="00F34B25">
        <w:rPr>
          <w:i w:val="0"/>
          <w:iCs/>
        </w:rPr>
        <w:t>, en el</w:t>
      </w:r>
      <w:r w:rsidRPr="00F34B25">
        <w:rPr>
          <w:i w:val="0"/>
          <w:iCs/>
          <w:lang w:val="es-ES"/>
        </w:rPr>
        <w:t xml:space="preserve"> plazo </w:t>
      </w:r>
      <w:r w:rsidR="00480CEB">
        <w:rPr>
          <w:i w:val="0"/>
          <w:iCs/>
          <w:lang w:val="es-ES"/>
        </w:rPr>
        <w:t xml:space="preserve">de </w:t>
      </w:r>
      <w:r w:rsidRPr="00F34B25">
        <w:rPr>
          <w:i w:val="0"/>
          <w:iCs/>
          <w:lang w:val="es-ES"/>
        </w:rPr>
        <w:t>un añ</w:t>
      </w:r>
      <w:r w:rsidRPr="00F34B25">
        <w:rPr>
          <w:i w:val="0"/>
          <w:iCs/>
        </w:rPr>
        <w:t>o contado a partir de la notificación de la presente Sentencia,</w:t>
      </w:r>
      <w:r w:rsidRPr="00F34B25">
        <w:rPr>
          <w:i w:val="0"/>
          <w:iCs/>
          <w:lang w:val="es-ES"/>
        </w:rPr>
        <w:t xml:space="preserve"> de conformidad con lo establecido</w:t>
      </w:r>
      <w:r w:rsidRPr="00F34B25">
        <w:rPr>
          <w:rFonts w:eastAsia="Times New Roman" w:cs="Times New Roman"/>
          <w:bCs/>
          <w:i w:val="0"/>
          <w:iCs/>
          <w:szCs w:val="20"/>
          <w:lang w:val="es-ES" w:eastAsia="es-CR"/>
        </w:rPr>
        <w:t xml:space="preserve"> en el párrafo </w:t>
      </w:r>
      <w:r w:rsidR="00D94D7E">
        <w:rPr>
          <w:rFonts w:eastAsia="Times New Roman" w:cs="Times New Roman"/>
          <w:bCs/>
          <w:i w:val="0"/>
          <w:iCs/>
          <w:szCs w:val="20"/>
          <w:lang w:val="es-ES" w:eastAsia="es-CR"/>
        </w:rPr>
        <w:t>199</w:t>
      </w:r>
      <w:r w:rsidRPr="00F34B25">
        <w:rPr>
          <w:rFonts w:eastAsia="Times New Roman" w:cs="Times New Roman"/>
          <w:bCs/>
          <w:i w:val="0"/>
          <w:iCs/>
          <w:szCs w:val="20"/>
          <w:lang w:val="es-ES" w:eastAsia="es-CR"/>
        </w:rPr>
        <w:t xml:space="preserve"> de la presente Sentencia.</w:t>
      </w:r>
    </w:p>
    <w:p w14:paraId="0DBF2B32" w14:textId="77777777" w:rsidR="00825725" w:rsidRPr="00825725" w:rsidRDefault="00825725" w:rsidP="00825725">
      <w:pPr>
        <w:pStyle w:val="Estilo1"/>
        <w:spacing w:before="0" w:after="0"/>
        <w:ind w:left="0" w:right="-4" w:firstLine="0"/>
        <w:rPr>
          <w:rFonts w:eastAsia="Times New Roman" w:cs="Times New Roman"/>
          <w:bCs/>
          <w:i w:val="0"/>
          <w:szCs w:val="20"/>
          <w:lang w:val="es-ES" w:eastAsia="es-CR"/>
        </w:rPr>
      </w:pPr>
    </w:p>
    <w:p w14:paraId="6F0091C4" w14:textId="2673A1FF" w:rsidR="0082444D" w:rsidRPr="00825725" w:rsidRDefault="0082444D" w:rsidP="00825725">
      <w:pPr>
        <w:pStyle w:val="Estilo1"/>
        <w:numPr>
          <w:ilvl w:val="0"/>
          <w:numId w:val="26"/>
        </w:numPr>
        <w:spacing w:before="0" w:after="0"/>
        <w:ind w:left="0" w:right="-4" w:firstLine="0"/>
        <w:rPr>
          <w:rFonts w:eastAsia="Times New Roman" w:cs="Times New Roman"/>
          <w:bCs/>
          <w:i w:val="0"/>
          <w:szCs w:val="20"/>
          <w:lang w:val="es-ES" w:eastAsia="es-CR"/>
        </w:rPr>
      </w:pPr>
      <w:r w:rsidRPr="00825725">
        <w:rPr>
          <w:bCs/>
          <w:i w:val="0"/>
          <w:szCs w:val="20"/>
          <w:lang w:val="es-ES"/>
        </w:rPr>
        <w:t xml:space="preserve">El </w:t>
      </w:r>
      <w:r w:rsidRPr="00825725">
        <w:rPr>
          <w:i w:val="0"/>
          <w:szCs w:val="20"/>
          <w:lang w:val="es-ES"/>
        </w:rPr>
        <w:t>Estado</w:t>
      </w:r>
      <w:r w:rsidRPr="00825725">
        <w:rPr>
          <w:bCs/>
          <w:i w:val="0"/>
          <w:szCs w:val="20"/>
          <w:lang w:val="es-ES"/>
        </w:rPr>
        <w:t xml:space="preserve"> pagará, </w:t>
      </w:r>
      <w:r w:rsidRPr="00825725">
        <w:rPr>
          <w:rFonts w:eastAsia="Times New Roman" w:cs="Times New Roman"/>
          <w:bCs/>
          <w:i w:val="0"/>
          <w:szCs w:val="20"/>
          <w:lang w:val="es-ES" w:eastAsia="es-CR"/>
        </w:rPr>
        <w:t>dentro del plazo de un año contado a partir de la notificación de esta Sentencia,</w:t>
      </w:r>
      <w:r w:rsidRPr="00825725">
        <w:rPr>
          <w:bCs/>
          <w:i w:val="0"/>
          <w:szCs w:val="20"/>
          <w:lang w:val="es-ES"/>
        </w:rPr>
        <w:t xml:space="preserve"> las cantidades fijadas en los párrafos </w:t>
      </w:r>
      <w:r w:rsidR="00273841">
        <w:rPr>
          <w:bCs/>
          <w:i w:val="0"/>
          <w:szCs w:val="20"/>
          <w:lang w:val="es-ES"/>
        </w:rPr>
        <w:t xml:space="preserve">206, </w:t>
      </w:r>
      <w:r w:rsidR="00464970">
        <w:rPr>
          <w:bCs/>
          <w:i w:val="0"/>
          <w:szCs w:val="20"/>
          <w:lang w:val="es-ES"/>
        </w:rPr>
        <w:t>20</w:t>
      </w:r>
      <w:r w:rsidR="006C3FD6">
        <w:rPr>
          <w:bCs/>
          <w:i w:val="0"/>
          <w:szCs w:val="20"/>
          <w:lang w:val="es-ES"/>
        </w:rPr>
        <w:t>9</w:t>
      </w:r>
      <w:r w:rsidR="00464970">
        <w:rPr>
          <w:bCs/>
          <w:i w:val="0"/>
          <w:szCs w:val="20"/>
          <w:lang w:val="es-ES"/>
        </w:rPr>
        <w:t>, 21</w:t>
      </w:r>
      <w:r w:rsidR="00567CC8">
        <w:rPr>
          <w:bCs/>
          <w:i w:val="0"/>
          <w:szCs w:val="20"/>
          <w:lang w:val="es-ES"/>
        </w:rPr>
        <w:t>3</w:t>
      </w:r>
      <w:r w:rsidR="00464970">
        <w:rPr>
          <w:bCs/>
          <w:i w:val="0"/>
          <w:szCs w:val="20"/>
          <w:lang w:val="es-ES"/>
        </w:rPr>
        <w:t>, 21</w:t>
      </w:r>
      <w:r w:rsidR="00B14CE0">
        <w:rPr>
          <w:bCs/>
          <w:i w:val="0"/>
          <w:szCs w:val="20"/>
          <w:lang w:val="es-ES"/>
        </w:rPr>
        <w:t>4</w:t>
      </w:r>
      <w:r w:rsidR="00464970">
        <w:rPr>
          <w:bCs/>
          <w:i w:val="0"/>
          <w:szCs w:val="20"/>
          <w:lang w:val="es-ES"/>
        </w:rPr>
        <w:t xml:space="preserve"> y 2</w:t>
      </w:r>
      <w:r w:rsidR="00567CC8">
        <w:rPr>
          <w:bCs/>
          <w:i w:val="0"/>
          <w:szCs w:val="20"/>
          <w:lang w:val="es-ES"/>
        </w:rPr>
        <w:t>19</w:t>
      </w:r>
      <w:r w:rsidRPr="00825725">
        <w:rPr>
          <w:bCs/>
          <w:i w:val="0"/>
          <w:szCs w:val="20"/>
          <w:lang w:val="es-ES"/>
        </w:rPr>
        <w:t xml:space="preserve"> de la presente Sentencia, por concepto de indemnización por daños materiales e inmateriales, y por el reintegro de costas y gastos, </w:t>
      </w:r>
      <w:r w:rsidRPr="00825725">
        <w:rPr>
          <w:i w:val="0"/>
          <w:lang w:val="es-ES"/>
        </w:rPr>
        <w:t xml:space="preserve">de conformidad con lo establecido </w:t>
      </w:r>
      <w:r w:rsidRPr="00825725">
        <w:rPr>
          <w:bCs/>
          <w:i w:val="0"/>
          <w:szCs w:val="20"/>
          <w:lang w:val="es-ES"/>
        </w:rPr>
        <w:t>en los referidos párrafos</w:t>
      </w:r>
      <w:r w:rsidR="00480CEB">
        <w:rPr>
          <w:bCs/>
          <w:i w:val="0"/>
          <w:szCs w:val="20"/>
          <w:lang w:val="es-ES"/>
        </w:rPr>
        <w:t xml:space="preserve"> </w:t>
      </w:r>
      <w:r w:rsidR="00273841">
        <w:rPr>
          <w:bCs/>
          <w:i w:val="0"/>
          <w:szCs w:val="20"/>
          <w:lang w:val="es-ES"/>
        </w:rPr>
        <w:t xml:space="preserve">205, </w:t>
      </w:r>
      <w:r w:rsidR="00464970">
        <w:rPr>
          <w:bCs/>
          <w:i w:val="0"/>
          <w:szCs w:val="20"/>
          <w:lang w:val="es-ES"/>
        </w:rPr>
        <w:t>21</w:t>
      </w:r>
      <w:r w:rsidR="00567CC8">
        <w:rPr>
          <w:bCs/>
          <w:i w:val="0"/>
          <w:szCs w:val="20"/>
          <w:lang w:val="es-ES"/>
        </w:rPr>
        <w:t xml:space="preserve">2, </w:t>
      </w:r>
      <w:r w:rsidR="00464970">
        <w:rPr>
          <w:bCs/>
          <w:i w:val="0"/>
          <w:szCs w:val="20"/>
          <w:lang w:val="es-ES"/>
        </w:rPr>
        <w:t>2</w:t>
      </w:r>
      <w:r w:rsidR="00567CC8">
        <w:rPr>
          <w:bCs/>
          <w:i w:val="0"/>
          <w:szCs w:val="20"/>
          <w:lang w:val="es-ES"/>
        </w:rPr>
        <w:t>18</w:t>
      </w:r>
      <w:r w:rsidRPr="00825725">
        <w:rPr>
          <w:bCs/>
          <w:i w:val="0"/>
          <w:szCs w:val="20"/>
          <w:lang w:val="es-ES"/>
        </w:rPr>
        <w:t xml:space="preserve"> </w:t>
      </w:r>
      <w:r w:rsidR="00567CC8">
        <w:rPr>
          <w:bCs/>
          <w:i w:val="0"/>
          <w:szCs w:val="20"/>
          <w:lang w:val="es-ES"/>
        </w:rPr>
        <w:t xml:space="preserve">y 220 </w:t>
      </w:r>
      <w:r w:rsidRPr="00825725">
        <w:rPr>
          <w:bCs/>
          <w:i w:val="0"/>
          <w:szCs w:val="20"/>
          <w:lang w:val="es-ES"/>
        </w:rPr>
        <w:t>de la presente Sentencia</w:t>
      </w:r>
      <w:r w:rsidRPr="00825725">
        <w:rPr>
          <w:i w:val="0"/>
          <w:lang w:val="es-ES"/>
        </w:rPr>
        <w:t>.</w:t>
      </w:r>
    </w:p>
    <w:p w14:paraId="511DCE62" w14:textId="77777777" w:rsidR="00825725" w:rsidRPr="00825725" w:rsidRDefault="00825725" w:rsidP="00825725">
      <w:pPr>
        <w:pStyle w:val="Estilo1"/>
        <w:spacing w:before="0" w:after="0"/>
        <w:ind w:left="0" w:right="-4" w:firstLine="0"/>
        <w:rPr>
          <w:rFonts w:eastAsia="Times New Roman" w:cs="Times New Roman"/>
          <w:bCs/>
          <w:i w:val="0"/>
          <w:szCs w:val="20"/>
          <w:lang w:val="es-ES" w:eastAsia="es-CR"/>
        </w:rPr>
      </w:pPr>
    </w:p>
    <w:p w14:paraId="02A9FFAC" w14:textId="554BD594" w:rsidR="0082444D" w:rsidRPr="00825725" w:rsidRDefault="0082444D" w:rsidP="00825725">
      <w:pPr>
        <w:pStyle w:val="Estilo1"/>
        <w:numPr>
          <w:ilvl w:val="0"/>
          <w:numId w:val="26"/>
        </w:numPr>
        <w:spacing w:before="0" w:after="0"/>
        <w:ind w:left="0" w:right="-4" w:firstLine="0"/>
        <w:rPr>
          <w:rFonts w:eastAsia="Times New Roman" w:cs="Times New Roman"/>
          <w:bCs/>
          <w:i w:val="0"/>
          <w:iCs/>
          <w:szCs w:val="20"/>
          <w:lang w:val="es-ES" w:eastAsia="es-CR"/>
        </w:rPr>
      </w:pPr>
      <w:r w:rsidRPr="00825725">
        <w:rPr>
          <w:i w:val="0"/>
          <w:iCs/>
          <w:lang w:val="es-ES"/>
        </w:rPr>
        <w:t xml:space="preserve">El Estado reintegrará, dentro del plazo de </w:t>
      </w:r>
      <w:r w:rsidR="00464970">
        <w:rPr>
          <w:i w:val="0"/>
          <w:iCs/>
          <w:lang w:val="es-ES"/>
        </w:rPr>
        <w:t>seis meses</w:t>
      </w:r>
      <w:r w:rsidRPr="00825725">
        <w:rPr>
          <w:i w:val="0"/>
          <w:iCs/>
          <w:lang w:val="es-ES"/>
        </w:rPr>
        <w:t xml:space="preserve"> contado a partir de la notificación de la presente Sentencia al Fondo de Asistencia Legal de Víctimas de la Corte Interamericana de Derechos Humanos la cantidad erogada durante la tramitación del presente caso, en los términos de</w:t>
      </w:r>
      <w:r w:rsidR="00464970">
        <w:rPr>
          <w:i w:val="0"/>
          <w:iCs/>
          <w:lang w:val="es-ES"/>
        </w:rPr>
        <w:t xml:space="preserve"> los</w:t>
      </w:r>
      <w:r w:rsidRPr="00825725">
        <w:rPr>
          <w:i w:val="0"/>
          <w:iCs/>
          <w:lang w:val="es-ES"/>
        </w:rPr>
        <w:t xml:space="preserve"> párrafo</w:t>
      </w:r>
      <w:r w:rsidR="00464970">
        <w:rPr>
          <w:i w:val="0"/>
          <w:iCs/>
          <w:lang w:val="es-ES"/>
        </w:rPr>
        <w:t>s</w:t>
      </w:r>
      <w:r w:rsidRPr="00825725">
        <w:rPr>
          <w:i w:val="0"/>
          <w:iCs/>
          <w:lang w:val="es-ES"/>
        </w:rPr>
        <w:t xml:space="preserve"> </w:t>
      </w:r>
      <w:r w:rsidR="00464970">
        <w:rPr>
          <w:i w:val="0"/>
          <w:iCs/>
          <w:lang w:val="es-ES"/>
        </w:rPr>
        <w:t>22</w:t>
      </w:r>
      <w:r w:rsidR="00567CC8">
        <w:rPr>
          <w:i w:val="0"/>
          <w:iCs/>
          <w:lang w:val="es-ES"/>
        </w:rPr>
        <w:t>1</w:t>
      </w:r>
      <w:r w:rsidR="00464970">
        <w:rPr>
          <w:i w:val="0"/>
          <w:iCs/>
          <w:lang w:val="es-ES"/>
        </w:rPr>
        <w:t xml:space="preserve"> a 22</w:t>
      </w:r>
      <w:r w:rsidR="00567CC8">
        <w:rPr>
          <w:i w:val="0"/>
          <w:iCs/>
          <w:lang w:val="es-ES"/>
        </w:rPr>
        <w:t xml:space="preserve">4 </w:t>
      </w:r>
      <w:r w:rsidRPr="00825725">
        <w:rPr>
          <w:i w:val="0"/>
          <w:iCs/>
          <w:lang w:val="es-ES"/>
        </w:rPr>
        <w:t>de esta Sentencia.</w:t>
      </w:r>
    </w:p>
    <w:p w14:paraId="2BC815CE" w14:textId="77777777" w:rsidR="00825725" w:rsidRPr="00825725" w:rsidRDefault="00825725" w:rsidP="00825725">
      <w:pPr>
        <w:pStyle w:val="Estilo1"/>
        <w:spacing w:before="0" w:after="0"/>
        <w:ind w:left="0" w:right="-4" w:firstLine="0"/>
        <w:rPr>
          <w:rFonts w:eastAsia="Times New Roman" w:cs="Times New Roman"/>
          <w:bCs/>
          <w:i w:val="0"/>
          <w:szCs w:val="20"/>
          <w:lang w:val="es-ES" w:eastAsia="es-CR"/>
        </w:rPr>
      </w:pPr>
    </w:p>
    <w:p w14:paraId="05EC916B" w14:textId="38CB76B7" w:rsidR="0082444D" w:rsidRPr="00825725" w:rsidRDefault="0082444D" w:rsidP="00825725">
      <w:pPr>
        <w:pStyle w:val="Estilo1"/>
        <w:numPr>
          <w:ilvl w:val="0"/>
          <w:numId w:val="26"/>
        </w:numPr>
        <w:spacing w:before="0" w:after="0"/>
        <w:ind w:left="0" w:right="-4" w:firstLine="0"/>
        <w:rPr>
          <w:rFonts w:eastAsia="Times New Roman" w:cs="Times New Roman"/>
          <w:bCs/>
          <w:i w:val="0"/>
          <w:szCs w:val="20"/>
          <w:lang w:val="es-ES" w:eastAsia="es-CR"/>
        </w:rPr>
      </w:pPr>
      <w:r w:rsidRPr="00825725">
        <w:rPr>
          <w:rFonts w:eastAsia="Times New Roman" w:cs="Times New Roman"/>
          <w:bCs/>
          <w:i w:val="0"/>
          <w:szCs w:val="20"/>
          <w:lang w:val="es-ES" w:eastAsia="es-CR"/>
        </w:rPr>
        <w:t>El Estado rendirá, dentro del plazo de un año contado a partir de la notificación de esta Sentencia, un informe al Tribunal sobre las medidas adoptadas para su cumplimiento.</w:t>
      </w:r>
    </w:p>
    <w:p w14:paraId="70960E96" w14:textId="77777777" w:rsidR="00825725" w:rsidRPr="00825725" w:rsidRDefault="00825725" w:rsidP="00825725">
      <w:pPr>
        <w:pStyle w:val="Estilo1"/>
        <w:spacing w:before="0" w:after="0"/>
        <w:ind w:left="0" w:right="-4" w:firstLine="0"/>
        <w:rPr>
          <w:rFonts w:eastAsia="Times New Roman" w:cs="Times New Roman"/>
          <w:bCs/>
          <w:i w:val="0"/>
          <w:szCs w:val="20"/>
          <w:lang w:val="es-ES" w:eastAsia="es-CR"/>
        </w:rPr>
      </w:pPr>
    </w:p>
    <w:p w14:paraId="363A41A0" w14:textId="77777777" w:rsidR="0082444D" w:rsidRPr="00825725" w:rsidRDefault="0082444D" w:rsidP="00825725">
      <w:pPr>
        <w:pStyle w:val="Estilo1"/>
        <w:numPr>
          <w:ilvl w:val="0"/>
          <w:numId w:val="26"/>
        </w:numPr>
        <w:spacing w:before="0" w:after="0"/>
        <w:ind w:left="0" w:right="-4" w:firstLine="0"/>
        <w:rPr>
          <w:rFonts w:eastAsia="Times New Roman" w:cs="Times New Roman"/>
          <w:bCs/>
          <w:i w:val="0"/>
          <w:szCs w:val="20"/>
          <w:lang w:val="es-ES" w:eastAsia="es-CR"/>
        </w:rPr>
      </w:pPr>
      <w:r w:rsidRPr="00825725">
        <w:rPr>
          <w:i w:val="0"/>
          <w:lang w:val="es-ES"/>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73F45F21" w14:textId="77777777" w:rsidR="0082444D" w:rsidRPr="00C17B68" w:rsidRDefault="0082444D" w:rsidP="0082444D">
      <w:pPr>
        <w:ind w:right="-90"/>
        <w:contextualSpacing/>
        <w:rPr>
          <w:lang w:val="es-ES"/>
        </w:rPr>
      </w:pPr>
    </w:p>
    <w:p w14:paraId="74486F75" w14:textId="4C7DB29D" w:rsidR="00CA2AEE" w:rsidRDefault="0082444D" w:rsidP="0082444D">
      <w:pPr>
        <w:rPr>
          <w:rFonts w:ascii="Verdana" w:hAnsi="Verdana"/>
          <w:bCs/>
          <w:lang w:val="es-ES" w:eastAsia="es-CR"/>
        </w:rPr>
      </w:pPr>
      <w:r w:rsidRPr="00825725">
        <w:rPr>
          <w:rFonts w:ascii="Verdana" w:hAnsi="Verdana"/>
          <w:bCs/>
          <w:lang w:val="es-ES" w:eastAsia="es-CR"/>
        </w:rPr>
        <w:t xml:space="preserve">Redactada en español </w:t>
      </w:r>
      <w:r w:rsidRPr="00722F06">
        <w:rPr>
          <w:rFonts w:ascii="Verdana" w:hAnsi="Verdana"/>
          <w:bCs/>
          <w:lang w:val="es-ES" w:eastAsia="es-CR"/>
        </w:rPr>
        <w:t xml:space="preserve">en </w:t>
      </w:r>
      <w:r w:rsidR="00A5220D" w:rsidRPr="006C3FD6">
        <w:rPr>
          <w:rFonts w:ascii="Verdana" w:hAnsi="Verdana"/>
          <w:bCs/>
          <w:lang w:val="es-ES" w:eastAsia="es-CR"/>
        </w:rPr>
        <w:t>M</w:t>
      </w:r>
      <w:r w:rsidR="006D6F75" w:rsidRPr="006C3FD6">
        <w:rPr>
          <w:rFonts w:ascii="Verdana" w:hAnsi="Verdana"/>
          <w:bCs/>
          <w:lang w:val="es-ES" w:eastAsia="es-CR"/>
        </w:rPr>
        <w:t>aldonado</w:t>
      </w:r>
      <w:r w:rsidR="00A5220D" w:rsidRPr="006C3FD6">
        <w:rPr>
          <w:rFonts w:ascii="Verdana" w:hAnsi="Verdana"/>
          <w:bCs/>
          <w:lang w:val="es-ES" w:eastAsia="es-CR"/>
        </w:rPr>
        <w:t>,</w:t>
      </w:r>
      <w:r w:rsidR="00A5220D" w:rsidRPr="00526280">
        <w:rPr>
          <w:rFonts w:ascii="Verdana" w:hAnsi="Verdana"/>
          <w:b/>
          <w:lang w:val="es-ES" w:eastAsia="es-CR"/>
        </w:rPr>
        <w:t xml:space="preserve"> </w:t>
      </w:r>
      <w:r w:rsidR="00A5220D" w:rsidRPr="00D23168">
        <w:rPr>
          <w:rFonts w:ascii="Verdana" w:hAnsi="Verdana"/>
          <w:bCs/>
          <w:lang w:val="es-ES" w:eastAsia="es-CR"/>
        </w:rPr>
        <w:t>Uruguay</w:t>
      </w:r>
      <w:r w:rsidRPr="00825725">
        <w:rPr>
          <w:rFonts w:ascii="Verdana" w:hAnsi="Verdana"/>
          <w:bCs/>
          <w:lang w:val="es-ES" w:eastAsia="es-CR"/>
        </w:rPr>
        <w:t>, el</w:t>
      </w:r>
      <w:r w:rsidR="00A5220D">
        <w:rPr>
          <w:rFonts w:ascii="Verdana" w:hAnsi="Verdana"/>
          <w:bCs/>
          <w:lang w:val="es-ES" w:eastAsia="es-CR"/>
        </w:rPr>
        <w:t xml:space="preserve"> 17</w:t>
      </w:r>
      <w:r w:rsidRPr="00825725">
        <w:rPr>
          <w:rFonts w:ascii="Verdana" w:hAnsi="Verdana"/>
          <w:bCs/>
          <w:lang w:val="es-ES" w:eastAsia="es-CR"/>
        </w:rPr>
        <w:t xml:space="preserve"> de </w:t>
      </w:r>
      <w:r w:rsidR="00825725" w:rsidRPr="00825725">
        <w:rPr>
          <w:rFonts w:ascii="Verdana" w:hAnsi="Verdana"/>
          <w:bCs/>
          <w:lang w:val="es-ES" w:eastAsia="es-CR"/>
        </w:rPr>
        <w:t>octu</w:t>
      </w:r>
      <w:r w:rsidRPr="00825725">
        <w:rPr>
          <w:rFonts w:ascii="Verdana" w:hAnsi="Verdana"/>
          <w:bCs/>
          <w:lang w:val="es-ES" w:eastAsia="es-CR"/>
        </w:rPr>
        <w:t>bre 2022.</w:t>
      </w:r>
    </w:p>
    <w:p w14:paraId="0D3A216E" w14:textId="0A213E20" w:rsidR="00C60516" w:rsidRDefault="00C60516" w:rsidP="0082444D">
      <w:pPr>
        <w:rPr>
          <w:rFonts w:ascii="Verdana" w:hAnsi="Verdana"/>
          <w:bCs/>
          <w:lang w:val="es-ES" w:eastAsia="es-CR"/>
        </w:rPr>
      </w:pPr>
    </w:p>
    <w:p w14:paraId="3858F7D7" w14:textId="4828BF02" w:rsidR="00C60516" w:rsidRDefault="00C60516" w:rsidP="0082444D">
      <w:pPr>
        <w:rPr>
          <w:rFonts w:ascii="Verdana" w:hAnsi="Verdana"/>
          <w:bCs/>
          <w:lang w:val="es-ES" w:eastAsia="es-CR"/>
        </w:rPr>
      </w:pPr>
    </w:p>
    <w:p w14:paraId="5E3489A4" w14:textId="20913138" w:rsidR="00C60516" w:rsidRDefault="00C60516" w:rsidP="0082444D">
      <w:pPr>
        <w:rPr>
          <w:rFonts w:ascii="Verdana" w:hAnsi="Verdana"/>
          <w:bCs/>
          <w:lang w:val="es-ES" w:eastAsia="es-CR"/>
        </w:rPr>
      </w:pPr>
    </w:p>
    <w:p w14:paraId="7D1A069C" w14:textId="6A7C83A2" w:rsidR="00C60516" w:rsidRDefault="00C60516" w:rsidP="0082444D">
      <w:pPr>
        <w:rPr>
          <w:rFonts w:ascii="Verdana" w:hAnsi="Verdana"/>
          <w:bCs/>
          <w:lang w:val="es-ES" w:eastAsia="es-CR"/>
        </w:rPr>
      </w:pPr>
    </w:p>
    <w:p w14:paraId="45D2CC85" w14:textId="42FCEF05" w:rsidR="00C60516" w:rsidRDefault="00C60516" w:rsidP="0082444D">
      <w:pPr>
        <w:rPr>
          <w:rFonts w:ascii="Verdana" w:hAnsi="Verdana"/>
          <w:bCs/>
          <w:lang w:val="es-ES" w:eastAsia="es-CR"/>
        </w:rPr>
      </w:pPr>
    </w:p>
    <w:p w14:paraId="7C6A7173" w14:textId="1A8F326E" w:rsidR="00C60516" w:rsidRDefault="00C60516" w:rsidP="0082444D">
      <w:pPr>
        <w:rPr>
          <w:rFonts w:ascii="Verdana" w:hAnsi="Verdana"/>
          <w:bCs/>
          <w:lang w:val="es-ES" w:eastAsia="es-CR"/>
        </w:rPr>
      </w:pPr>
    </w:p>
    <w:p w14:paraId="028E5DF0" w14:textId="2AB6679A" w:rsidR="00C60516" w:rsidRDefault="00C60516" w:rsidP="0082444D">
      <w:pPr>
        <w:rPr>
          <w:rFonts w:ascii="Verdana" w:hAnsi="Verdana"/>
          <w:bCs/>
          <w:lang w:val="es-ES" w:eastAsia="es-CR"/>
        </w:rPr>
      </w:pPr>
    </w:p>
    <w:p w14:paraId="32B14741" w14:textId="56075DF5" w:rsidR="00C60516" w:rsidRDefault="00C60516" w:rsidP="0082444D">
      <w:pPr>
        <w:rPr>
          <w:rFonts w:ascii="Verdana" w:hAnsi="Verdana"/>
          <w:bCs/>
          <w:lang w:val="es-ES" w:eastAsia="es-CR"/>
        </w:rPr>
      </w:pPr>
    </w:p>
    <w:p w14:paraId="73AC5592" w14:textId="355BAC83" w:rsidR="00C60516" w:rsidRDefault="00C60516" w:rsidP="0082444D">
      <w:pPr>
        <w:rPr>
          <w:rFonts w:ascii="Verdana" w:hAnsi="Verdana"/>
          <w:bCs/>
          <w:lang w:val="es-ES" w:eastAsia="es-CR"/>
        </w:rPr>
      </w:pPr>
    </w:p>
    <w:p w14:paraId="18F5FBC7" w14:textId="2FC8C122" w:rsidR="00C60516" w:rsidRDefault="00C60516" w:rsidP="0082444D">
      <w:pPr>
        <w:rPr>
          <w:rFonts w:ascii="Verdana" w:hAnsi="Verdana"/>
          <w:bCs/>
          <w:lang w:val="es-ES" w:eastAsia="es-CR"/>
        </w:rPr>
      </w:pPr>
    </w:p>
    <w:p w14:paraId="6CE15CE7" w14:textId="1CB5F66B" w:rsidR="00C60516" w:rsidRPr="00CB6D23" w:rsidRDefault="00C60516" w:rsidP="00CB6D23">
      <w:pPr>
        <w:jc w:val="both"/>
        <w:rPr>
          <w:rFonts w:ascii="Verdana" w:hAnsi="Verdana"/>
          <w:bCs/>
          <w:lang w:val="es-ES" w:eastAsia="es-CR"/>
        </w:rPr>
      </w:pPr>
    </w:p>
    <w:p w14:paraId="11C64856" w14:textId="715E6044" w:rsidR="00C60516" w:rsidRPr="00AC4FA9" w:rsidRDefault="00C60516" w:rsidP="00CB6D23">
      <w:pPr>
        <w:tabs>
          <w:tab w:val="left" w:pos="720"/>
        </w:tabs>
        <w:ind w:right="-93"/>
        <w:jc w:val="both"/>
        <w:rPr>
          <w:rFonts w:ascii="Verdana" w:hAnsi="Verdana"/>
          <w:lang w:val="es-ES"/>
        </w:rPr>
      </w:pPr>
      <w:r w:rsidRPr="009D58DE">
        <w:rPr>
          <w:rFonts w:ascii="Verdana" w:hAnsi="Verdana"/>
          <w:lang w:val="es-ES"/>
        </w:rPr>
        <w:t xml:space="preserve">Corte IDH. </w:t>
      </w:r>
      <w:r w:rsidRPr="00CB6D23">
        <w:rPr>
          <w:rFonts w:ascii="Verdana" w:hAnsi="Verdana"/>
          <w:i/>
          <w:iCs/>
          <w:lang w:val="es-ES"/>
        </w:rPr>
        <w:t xml:space="preserve">Caso </w:t>
      </w:r>
      <w:r w:rsidR="00CB6D23" w:rsidRPr="00CB6D23">
        <w:rPr>
          <w:rFonts w:ascii="Verdana" w:hAnsi="Verdana"/>
          <w:i/>
          <w:iCs/>
          <w:lang w:val="es-ES"/>
        </w:rPr>
        <w:t>Flores Bedregal y otras</w:t>
      </w:r>
      <w:r w:rsidRPr="00CB6D23">
        <w:rPr>
          <w:rFonts w:ascii="Verdana" w:hAnsi="Verdana"/>
          <w:i/>
          <w:iCs/>
          <w:lang w:val="es-ES"/>
        </w:rPr>
        <w:t xml:space="preserve"> Vs. </w:t>
      </w:r>
      <w:r w:rsidRPr="00AC4FA9">
        <w:rPr>
          <w:rFonts w:ascii="Verdana" w:hAnsi="Verdana"/>
          <w:i/>
          <w:iCs/>
          <w:lang w:val="es-ES"/>
        </w:rPr>
        <w:t>Bolivia.</w:t>
      </w:r>
      <w:r w:rsidRPr="00AC4FA9">
        <w:rPr>
          <w:rFonts w:ascii="Verdana" w:hAnsi="Verdana"/>
          <w:b/>
          <w:bCs/>
          <w:i/>
          <w:iCs/>
          <w:lang w:val="es-ES"/>
        </w:rPr>
        <w:t xml:space="preserve"> </w:t>
      </w:r>
      <w:r w:rsidRPr="00AC4FA9">
        <w:rPr>
          <w:rFonts w:ascii="Verdana" w:hAnsi="Verdana"/>
          <w:i/>
          <w:iCs/>
          <w:lang w:val="es-ES"/>
        </w:rPr>
        <w:t>Excepciones Preliminares, Fondo</w:t>
      </w:r>
      <w:r w:rsidR="00CB6D23" w:rsidRPr="00AC4FA9">
        <w:rPr>
          <w:rFonts w:ascii="Verdana" w:hAnsi="Verdana"/>
          <w:i/>
          <w:iCs/>
          <w:lang w:val="es-ES"/>
        </w:rPr>
        <w:t>,</w:t>
      </w:r>
      <w:r w:rsidRPr="00AC4FA9">
        <w:rPr>
          <w:rFonts w:ascii="Verdana" w:hAnsi="Verdana"/>
          <w:i/>
          <w:iCs/>
          <w:lang w:val="es-ES"/>
        </w:rPr>
        <w:t xml:space="preserve"> Reparaciones</w:t>
      </w:r>
      <w:r w:rsidR="00CB6D23" w:rsidRPr="00AC4FA9">
        <w:rPr>
          <w:rFonts w:ascii="Verdana" w:hAnsi="Verdana"/>
          <w:i/>
          <w:iCs/>
          <w:lang w:val="es-ES"/>
        </w:rPr>
        <w:t xml:space="preserve"> y Costas</w:t>
      </w:r>
      <w:r w:rsidRPr="00AC4FA9">
        <w:rPr>
          <w:rFonts w:ascii="Verdana" w:hAnsi="Verdana"/>
          <w:lang w:val="es-ES"/>
        </w:rPr>
        <w:t xml:space="preserve">. Sentencia de </w:t>
      </w:r>
      <w:r w:rsidR="00CB6D23" w:rsidRPr="00AC4FA9">
        <w:rPr>
          <w:rFonts w:ascii="Verdana" w:hAnsi="Verdana"/>
          <w:lang w:val="es-ES"/>
        </w:rPr>
        <w:t xml:space="preserve">17 de octubre </w:t>
      </w:r>
      <w:r w:rsidRPr="00AC4FA9">
        <w:rPr>
          <w:rFonts w:ascii="Verdana" w:hAnsi="Verdana"/>
          <w:lang w:val="es-ES"/>
        </w:rPr>
        <w:t>de 2022. Sentencia adoptada</w:t>
      </w:r>
      <w:r w:rsidR="006654E4" w:rsidRPr="00AC4FA9">
        <w:rPr>
          <w:rFonts w:ascii="Verdana" w:hAnsi="Verdana"/>
          <w:lang w:val="es-ES"/>
        </w:rPr>
        <w:t xml:space="preserve"> en</w:t>
      </w:r>
      <w:r w:rsidRPr="00AC4FA9">
        <w:rPr>
          <w:rFonts w:ascii="Verdana" w:hAnsi="Verdana"/>
          <w:lang w:val="es-ES"/>
        </w:rPr>
        <w:t xml:space="preserve"> </w:t>
      </w:r>
      <w:r w:rsidR="00CB6D23" w:rsidRPr="00AC4FA9">
        <w:rPr>
          <w:rFonts w:ascii="Verdana" w:hAnsi="Verdana"/>
          <w:lang w:val="es-ES"/>
        </w:rPr>
        <w:t>Maldonado</w:t>
      </w:r>
      <w:r w:rsidRPr="00AC4FA9">
        <w:rPr>
          <w:rFonts w:ascii="Verdana" w:hAnsi="Verdana"/>
          <w:lang w:val="es-ES"/>
        </w:rPr>
        <w:t>,</w:t>
      </w:r>
      <w:r w:rsidR="00CB6D23" w:rsidRPr="00AC4FA9">
        <w:rPr>
          <w:rFonts w:ascii="Verdana" w:hAnsi="Verdana"/>
          <w:lang w:val="es-ES"/>
        </w:rPr>
        <w:t xml:space="preserve"> Uruguay</w:t>
      </w:r>
      <w:r w:rsidRPr="00AC4FA9">
        <w:rPr>
          <w:rFonts w:ascii="Verdana" w:hAnsi="Verdana"/>
          <w:lang w:val="es-ES"/>
        </w:rPr>
        <w:t>.</w:t>
      </w:r>
    </w:p>
    <w:p w14:paraId="7ED1BBB8" w14:textId="77777777" w:rsidR="00C60516" w:rsidRPr="00AC4FA9" w:rsidRDefault="00C60516" w:rsidP="00C60516">
      <w:pPr>
        <w:tabs>
          <w:tab w:val="left" w:pos="720"/>
        </w:tabs>
        <w:ind w:right="-93"/>
        <w:rPr>
          <w:rFonts w:ascii="Verdana" w:hAnsi="Verdana"/>
          <w:lang w:val="es-ES"/>
        </w:rPr>
      </w:pPr>
    </w:p>
    <w:p w14:paraId="4F1B6FB0" w14:textId="77777777" w:rsidR="00C60516" w:rsidRPr="00AC4FA9" w:rsidRDefault="00C60516" w:rsidP="00C60516">
      <w:pPr>
        <w:jc w:val="center"/>
        <w:rPr>
          <w:rFonts w:ascii="Verdana" w:hAnsi="Verdana"/>
          <w:lang w:val="es-ES"/>
        </w:rPr>
      </w:pPr>
    </w:p>
    <w:p w14:paraId="7B06ECD2" w14:textId="77777777" w:rsidR="00C60516" w:rsidRPr="00AC4FA9" w:rsidRDefault="00C60516" w:rsidP="00C60516">
      <w:pPr>
        <w:jc w:val="center"/>
        <w:rPr>
          <w:rFonts w:ascii="Verdana" w:hAnsi="Verdana"/>
          <w:lang w:val="es-ES"/>
        </w:rPr>
      </w:pPr>
    </w:p>
    <w:p w14:paraId="53B837F0" w14:textId="77777777" w:rsidR="00C60516" w:rsidRPr="00AC4FA9" w:rsidRDefault="00C60516" w:rsidP="00C60516">
      <w:pPr>
        <w:jc w:val="center"/>
        <w:rPr>
          <w:rFonts w:ascii="Verdana" w:hAnsi="Verdana"/>
          <w:lang w:val="es-ES"/>
        </w:rPr>
      </w:pPr>
    </w:p>
    <w:p w14:paraId="5D46D192" w14:textId="77777777" w:rsidR="00C60516" w:rsidRPr="00AC4FA9" w:rsidRDefault="00C60516" w:rsidP="00C60516">
      <w:pPr>
        <w:jc w:val="center"/>
        <w:rPr>
          <w:rFonts w:ascii="Verdana" w:hAnsi="Verdana"/>
          <w:lang w:val="es-ES"/>
        </w:rPr>
      </w:pPr>
      <w:r w:rsidRPr="00AC4FA9">
        <w:rPr>
          <w:rFonts w:ascii="Verdana" w:hAnsi="Verdana"/>
          <w:lang w:val="es-ES"/>
        </w:rPr>
        <w:t>Ricardo C. Pérez Manrique</w:t>
      </w:r>
    </w:p>
    <w:p w14:paraId="00E2B0A6" w14:textId="2D598D5D" w:rsidR="00C60516" w:rsidRPr="00AC4FA9" w:rsidRDefault="00C60516" w:rsidP="00C60516">
      <w:pPr>
        <w:jc w:val="center"/>
        <w:rPr>
          <w:rFonts w:ascii="Verdana" w:hAnsi="Verdana"/>
          <w:lang w:val="es-ES"/>
        </w:rPr>
      </w:pPr>
      <w:r w:rsidRPr="00AC4FA9">
        <w:rPr>
          <w:rFonts w:ascii="Verdana" w:hAnsi="Verdana"/>
          <w:lang w:val="es-ES"/>
        </w:rPr>
        <w:t>Presidente</w:t>
      </w:r>
    </w:p>
    <w:p w14:paraId="139F8548" w14:textId="77777777" w:rsidR="00C60516" w:rsidRPr="00AC4FA9" w:rsidRDefault="00C60516" w:rsidP="00C60516">
      <w:pPr>
        <w:jc w:val="center"/>
        <w:rPr>
          <w:rFonts w:ascii="Verdana" w:hAnsi="Verdana"/>
          <w:lang w:val="es-ES"/>
        </w:rPr>
      </w:pPr>
    </w:p>
    <w:p w14:paraId="69C8DEBE" w14:textId="77777777" w:rsidR="00C60516" w:rsidRPr="00AC4FA9" w:rsidRDefault="00C60516" w:rsidP="00C60516">
      <w:pPr>
        <w:rPr>
          <w:rFonts w:ascii="Verdana" w:hAnsi="Verdana"/>
          <w:lang w:val="es-ES"/>
        </w:rPr>
      </w:pPr>
    </w:p>
    <w:p w14:paraId="5A15FE38" w14:textId="77777777" w:rsidR="00C60516" w:rsidRPr="00AC4FA9" w:rsidRDefault="00C60516" w:rsidP="00C60516">
      <w:pPr>
        <w:rPr>
          <w:rFonts w:ascii="Verdana" w:hAnsi="Verdana"/>
          <w:lang w:val="es-ES"/>
        </w:rPr>
      </w:pPr>
    </w:p>
    <w:p w14:paraId="18C68EC0" w14:textId="77777777" w:rsidR="00C60516" w:rsidRPr="00AC4FA9" w:rsidRDefault="00C60516" w:rsidP="00C60516">
      <w:pPr>
        <w:rPr>
          <w:rFonts w:ascii="Verdana" w:hAnsi="Verdana"/>
          <w:lang w:val="es-ES"/>
        </w:rPr>
      </w:pPr>
    </w:p>
    <w:p w14:paraId="145F1E84" w14:textId="77777777" w:rsidR="00C60516" w:rsidRPr="00AC4FA9" w:rsidRDefault="00C60516" w:rsidP="00C60516">
      <w:pPr>
        <w:rPr>
          <w:rFonts w:ascii="Verdana" w:hAnsi="Verdana"/>
          <w:lang w:val="es-ES"/>
        </w:rPr>
      </w:pPr>
    </w:p>
    <w:p w14:paraId="20225B5D" w14:textId="77777777" w:rsidR="00C60516" w:rsidRPr="00CB6D23" w:rsidRDefault="00C60516" w:rsidP="00C60516">
      <w:pPr>
        <w:rPr>
          <w:rFonts w:ascii="Verdana" w:hAnsi="Verdana"/>
          <w:lang w:val="es-ES"/>
        </w:rPr>
      </w:pPr>
      <w:r w:rsidRPr="00CB6D23">
        <w:rPr>
          <w:rFonts w:ascii="Verdana" w:hAnsi="Verdana"/>
          <w:lang w:val="es-ES"/>
        </w:rPr>
        <w:t>Humberto Antonio Sierra Porto</w:t>
      </w:r>
      <w:r w:rsidRPr="00CB6D23">
        <w:rPr>
          <w:rFonts w:ascii="Verdana" w:hAnsi="Verdana"/>
          <w:lang w:val="es-ES"/>
        </w:rPr>
        <w:tab/>
      </w:r>
      <w:r w:rsidRPr="00CB6D23">
        <w:rPr>
          <w:rFonts w:ascii="Verdana" w:hAnsi="Verdana"/>
          <w:lang w:val="es-ES"/>
        </w:rPr>
        <w:tab/>
      </w:r>
      <w:r w:rsidRPr="00CB6D23">
        <w:rPr>
          <w:rFonts w:ascii="Verdana" w:hAnsi="Verdana"/>
          <w:lang w:val="es-ES"/>
        </w:rPr>
        <w:tab/>
      </w:r>
      <w:r w:rsidRPr="00CB6D23">
        <w:rPr>
          <w:rFonts w:ascii="Verdana" w:hAnsi="Verdana"/>
          <w:lang w:val="es-ES"/>
        </w:rPr>
        <w:tab/>
        <w:t xml:space="preserve">             Eduardo Ferrer Mac-Gregor Poisot</w:t>
      </w:r>
    </w:p>
    <w:p w14:paraId="6117B51B" w14:textId="77777777" w:rsidR="00C60516" w:rsidRPr="00CB6D23" w:rsidRDefault="00C60516" w:rsidP="00C60516">
      <w:pPr>
        <w:rPr>
          <w:rFonts w:ascii="Verdana" w:hAnsi="Verdana"/>
          <w:lang w:val="es-ES"/>
        </w:rPr>
      </w:pPr>
    </w:p>
    <w:p w14:paraId="658BC118" w14:textId="5F90E866" w:rsidR="00C60516" w:rsidRPr="00CB6D23" w:rsidRDefault="00C60516" w:rsidP="00C60516">
      <w:pPr>
        <w:rPr>
          <w:rFonts w:ascii="Verdana" w:hAnsi="Verdana"/>
          <w:lang w:val="es-ES"/>
        </w:rPr>
      </w:pPr>
    </w:p>
    <w:p w14:paraId="3D7BB253" w14:textId="5AACAC44" w:rsidR="00C60516" w:rsidRPr="00CB6D23" w:rsidRDefault="00C60516" w:rsidP="00C60516">
      <w:pPr>
        <w:rPr>
          <w:rFonts w:ascii="Verdana" w:hAnsi="Verdana"/>
          <w:lang w:val="es-ES"/>
        </w:rPr>
      </w:pPr>
    </w:p>
    <w:p w14:paraId="4D74F69D" w14:textId="77777777" w:rsidR="00C60516" w:rsidRPr="00CB6D23" w:rsidRDefault="00C60516" w:rsidP="00C60516">
      <w:pPr>
        <w:rPr>
          <w:rFonts w:ascii="Verdana" w:hAnsi="Verdana"/>
          <w:lang w:val="es-ES"/>
        </w:rPr>
      </w:pPr>
    </w:p>
    <w:p w14:paraId="1B25C46C" w14:textId="77777777" w:rsidR="00C60516" w:rsidRPr="00CB6D23" w:rsidRDefault="00C60516" w:rsidP="00C60516">
      <w:pPr>
        <w:rPr>
          <w:rFonts w:ascii="Verdana" w:hAnsi="Verdana"/>
          <w:lang w:val="es-ES"/>
        </w:rPr>
      </w:pPr>
    </w:p>
    <w:p w14:paraId="12ED1F7B" w14:textId="77777777" w:rsidR="00C60516" w:rsidRPr="00CB6D23" w:rsidRDefault="00C60516" w:rsidP="00C60516">
      <w:pPr>
        <w:rPr>
          <w:rFonts w:ascii="Verdana" w:hAnsi="Verdana"/>
          <w:lang w:val="es-ES"/>
        </w:rPr>
      </w:pPr>
    </w:p>
    <w:p w14:paraId="2DDD66A9" w14:textId="5530730F" w:rsidR="00C60516" w:rsidRPr="00AC4FA9" w:rsidRDefault="00C60516" w:rsidP="00C60516">
      <w:pPr>
        <w:rPr>
          <w:rFonts w:ascii="Verdana" w:hAnsi="Verdana"/>
          <w:lang w:val="es-ES"/>
        </w:rPr>
      </w:pPr>
      <w:r w:rsidRPr="00AC4FA9">
        <w:rPr>
          <w:rFonts w:ascii="Verdana" w:hAnsi="Verdana"/>
          <w:lang w:val="es-ES"/>
        </w:rPr>
        <w:t>Nancy Hernández López</w:t>
      </w:r>
      <w:r w:rsidRPr="00AC4FA9">
        <w:rPr>
          <w:rFonts w:ascii="Verdana" w:hAnsi="Verdana"/>
          <w:lang w:val="es-ES"/>
        </w:rPr>
        <w:tab/>
      </w:r>
      <w:r w:rsidRPr="00AC4FA9">
        <w:rPr>
          <w:rFonts w:ascii="Verdana" w:hAnsi="Verdana"/>
          <w:lang w:val="es-ES"/>
        </w:rPr>
        <w:tab/>
      </w:r>
      <w:r w:rsidRPr="00AC4FA9">
        <w:rPr>
          <w:rFonts w:ascii="Verdana" w:hAnsi="Verdana"/>
          <w:lang w:val="es-ES"/>
        </w:rPr>
        <w:tab/>
      </w:r>
      <w:r w:rsidRPr="00AC4FA9">
        <w:rPr>
          <w:rFonts w:ascii="Verdana" w:hAnsi="Verdana"/>
          <w:lang w:val="es-ES"/>
        </w:rPr>
        <w:tab/>
        <w:t xml:space="preserve">    </w:t>
      </w:r>
      <w:r w:rsidRPr="00AC4FA9">
        <w:rPr>
          <w:rFonts w:ascii="Verdana" w:hAnsi="Verdana"/>
          <w:lang w:val="es-ES"/>
        </w:rPr>
        <w:tab/>
      </w:r>
      <w:r w:rsidRPr="00AC4FA9">
        <w:rPr>
          <w:rFonts w:ascii="Verdana" w:hAnsi="Verdana"/>
          <w:lang w:val="es-ES"/>
        </w:rPr>
        <w:tab/>
        <w:t xml:space="preserve">                         Verónica Gómez                                                  </w:t>
      </w:r>
    </w:p>
    <w:p w14:paraId="21B824FB" w14:textId="77777777" w:rsidR="00C60516" w:rsidRPr="00AC4FA9" w:rsidRDefault="00C60516" w:rsidP="00C60516">
      <w:pPr>
        <w:rPr>
          <w:rFonts w:ascii="Verdana" w:hAnsi="Verdana"/>
          <w:lang w:val="es-ES"/>
        </w:rPr>
      </w:pPr>
    </w:p>
    <w:p w14:paraId="306F84E1" w14:textId="77777777" w:rsidR="00C60516" w:rsidRPr="00AC4FA9" w:rsidRDefault="00C60516" w:rsidP="00C60516">
      <w:pPr>
        <w:rPr>
          <w:rFonts w:ascii="Verdana" w:hAnsi="Verdana"/>
          <w:lang w:val="es-ES"/>
        </w:rPr>
      </w:pPr>
    </w:p>
    <w:p w14:paraId="41498175" w14:textId="3EBAF6C4" w:rsidR="00C60516" w:rsidRPr="00AC4FA9" w:rsidRDefault="00C60516" w:rsidP="00C60516">
      <w:pPr>
        <w:rPr>
          <w:rFonts w:ascii="Verdana" w:hAnsi="Verdana"/>
          <w:lang w:val="es-ES"/>
        </w:rPr>
      </w:pPr>
    </w:p>
    <w:p w14:paraId="3BF8378D" w14:textId="77777777" w:rsidR="00C60516" w:rsidRPr="00AC4FA9" w:rsidRDefault="00C60516" w:rsidP="00C60516">
      <w:pPr>
        <w:rPr>
          <w:rFonts w:ascii="Verdana" w:hAnsi="Verdana"/>
          <w:lang w:val="es-ES"/>
        </w:rPr>
      </w:pPr>
    </w:p>
    <w:p w14:paraId="3C77F217" w14:textId="77777777" w:rsidR="00C60516" w:rsidRPr="00AC4FA9" w:rsidRDefault="00C60516" w:rsidP="00C60516">
      <w:pPr>
        <w:rPr>
          <w:rFonts w:ascii="Verdana" w:hAnsi="Verdana"/>
          <w:lang w:val="es-ES"/>
        </w:rPr>
      </w:pPr>
    </w:p>
    <w:p w14:paraId="608F3C56" w14:textId="77777777" w:rsidR="00C60516" w:rsidRPr="00AC4FA9" w:rsidRDefault="00C60516" w:rsidP="00C60516">
      <w:pPr>
        <w:rPr>
          <w:rFonts w:ascii="Verdana" w:hAnsi="Verdana"/>
          <w:lang w:val="es-ES"/>
        </w:rPr>
      </w:pPr>
    </w:p>
    <w:p w14:paraId="720AA33A" w14:textId="2599A1C2" w:rsidR="00C60516" w:rsidRPr="00CB6D23" w:rsidRDefault="00C60516" w:rsidP="00C60516">
      <w:pPr>
        <w:rPr>
          <w:rFonts w:ascii="Verdana" w:hAnsi="Verdana"/>
          <w:lang w:val="es-ES"/>
        </w:rPr>
      </w:pPr>
      <w:r w:rsidRPr="00CB6D23">
        <w:rPr>
          <w:rFonts w:ascii="Verdana" w:hAnsi="Verdana"/>
          <w:lang w:val="es-ES"/>
        </w:rPr>
        <w:t>Patricia Pérez Goldberg</w:t>
      </w:r>
      <w:r w:rsidRPr="00CB6D23">
        <w:rPr>
          <w:rFonts w:ascii="Verdana" w:hAnsi="Verdana"/>
          <w:lang w:val="es-ES"/>
        </w:rPr>
        <w:tab/>
      </w:r>
      <w:r w:rsidRPr="00CB6D23">
        <w:rPr>
          <w:rFonts w:ascii="Verdana" w:hAnsi="Verdana"/>
          <w:lang w:val="es-ES"/>
        </w:rPr>
        <w:tab/>
      </w:r>
      <w:r w:rsidRPr="00CB6D23">
        <w:rPr>
          <w:rFonts w:ascii="Verdana" w:hAnsi="Verdana"/>
          <w:lang w:val="es-ES"/>
        </w:rPr>
        <w:tab/>
        <w:t xml:space="preserve">                                                    </w:t>
      </w:r>
      <w:r w:rsidRPr="00CB6D23">
        <w:rPr>
          <w:rFonts w:ascii="Verdana" w:hAnsi="Verdana" w:cs="Arial"/>
          <w:color w:val="212529"/>
          <w:lang w:val="es-ES"/>
        </w:rPr>
        <w:t>Rodrigo Mudrovitsch</w:t>
      </w:r>
    </w:p>
    <w:p w14:paraId="1D24EF2B" w14:textId="77777777" w:rsidR="00C60516" w:rsidRPr="00CB6D23" w:rsidRDefault="00C60516" w:rsidP="00C60516">
      <w:pPr>
        <w:rPr>
          <w:rFonts w:ascii="Verdana" w:hAnsi="Verdana"/>
          <w:lang w:val="es-ES"/>
        </w:rPr>
      </w:pPr>
    </w:p>
    <w:p w14:paraId="2CF80B48" w14:textId="77777777" w:rsidR="00C60516" w:rsidRPr="00CB6D23" w:rsidRDefault="00C60516" w:rsidP="00C60516">
      <w:pPr>
        <w:rPr>
          <w:rFonts w:ascii="Verdana" w:hAnsi="Verdana"/>
          <w:lang w:val="es-ES"/>
        </w:rPr>
      </w:pPr>
    </w:p>
    <w:p w14:paraId="42D587A6" w14:textId="77777777" w:rsidR="00C60516" w:rsidRPr="00CB6D23" w:rsidRDefault="00C60516" w:rsidP="00C60516">
      <w:pPr>
        <w:rPr>
          <w:rFonts w:ascii="Verdana" w:hAnsi="Verdana"/>
          <w:lang w:val="es-ES"/>
        </w:rPr>
      </w:pPr>
    </w:p>
    <w:p w14:paraId="14C1B184" w14:textId="77777777" w:rsidR="00C60516" w:rsidRPr="00CB6D23" w:rsidRDefault="00C60516" w:rsidP="00C60516">
      <w:pPr>
        <w:rPr>
          <w:rFonts w:ascii="Verdana" w:hAnsi="Verdana"/>
          <w:lang w:val="es-ES"/>
        </w:rPr>
      </w:pPr>
    </w:p>
    <w:p w14:paraId="65C3CFFF" w14:textId="77777777" w:rsidR="00C60516" w:rsidRPr="00CB6D23" w:rsidRDefault="00C60516" w:rsidP="00C60516">
      <w:pPr>
        <w:rPr>
          <w:rFonts w:ascii="Verdana" w:hAnsi="Verdana"/>
          <w:lang w:val="es-ES"/>
        </w:rPr>
      </w:pPr>
    </w:p>
    <w:p w14:paraId="240F4893" w14:textId="77777777" w:rsidR="00C60516" w:rsidRPr="00CB6D23" w:rsidRDefault="00C60516" w:rsidP="00C60516">
      <w:pPr>
        <w:rPr>
          <w:rFonts w:ascii="Verdana" w:hAnsi="Verdana"/>
          <w:lang w:val="es-ES"/>
        </w:rPr>
      </w:pPr>
    </w:p>
    <w:p w14:paraId="795FE832" w14:textId="77777777" w:rsidR="00C60516" w:rsidRPr="00CB6D23" w:rsidRDefault="00C60516" w:rsidP="00C60516">
      <w:pPr>
        <w:rPr>
          <w:rFonts w:ascii="Verdana" w:hAnsi="Verdana"/>
          <w:lang w:val="es-ES"/>
        </w:rPr>
      </w:pPr>
    </w:p>
    <w:p w14:paraId="6F5BBA3A" w14:textId="77777777" w:rsidR="00C60516" w:rsidRPr="00AC4FA9" w:rsidRDefault="00C60516" w:rsidP="00C60516">
      <w:pPr>
        <w:jc w:val="center"/>
        <w:rPr>
          <w:rFonts w:ascii="Verdana" w:hAnsi="Verdana"/>
          <w:lang w:val="es-ES"/>
        </w:rPr>
      </w:pPr>
      <w:r w:rsidRPr="00AC4FA9">
        <w:rPr>
          <w:rFonts w:ascii="Verdana" w:hAnsi="Verdana"/>
          <w:lang w:val="es-ES"/>
        </w:rPr>
        <w:t>Pablo Saavedra Alessandri</w:t>
      </w:r>
    </w:p>
    <w:p w14:paraId="2D042AD9" w14:textId="77777777" w:rsidR="00C60516" w:rsidRPr="00AC4FA9" w:rsidRDefault="00C60516" w:rsidP="00C60516">
      <w:pPr>
        <w:jc w:val="center"/>
        <w:rPr>
          <w:rFonts w:ascii="Verdana" w:hAnsi="Verdana"/>
          <w:lang w:val="es-ES"/>
        </w:rPr>
      </w:pPr>
      <w:r w:rsidRPr="00AC4FA9">
        <w:rPr>
          <w:rFonts w:ascii="Verdana" w:hAnsi="Verdana"/>
          <w:lang w:val="es-ES"/>
        </w:rPr>
        <w:t>Secretario</w:t>
      </w:r>
    </w:p>
    <w:p w14:paraId="13EC9057" w14:textId="77777777" w:rsidR="00C60516" w:rsidRPr="00CB6D23" w:rsidRDefault="00C60516" w:rsidP="00C60516">
      <w:pPr>
        <w:pStyle w:val="Textonotapie"/>
        <w:rPr>
          <w:rFonts w:ascii="Verdana" w:hAnsi="Verdana"/>
          <w:lang w:val="es-CR"/>
        </w:rPr>
      </w:pPr>
    </w:p>
    <w:p w14:paraId="756A1459" w14:textId="77777777" w:rsidR="00C60516" w:rsidRPr="00CB6D23" w:rsidRDefault="00C60516" w:rsidP="00C60516">
      <w:pPr>
        <w:pStyle w:val="Textonotapie"/>
        <w:rPr>
          <w:rFonts w:ascii="Verdana" w:hAnsi="Verdana"/>
          <w:lang w:val="es-CR"/>
        </w:rPr>
      </w:pPr>
    </w:p>
    <w:p w14:paraId="019B83C3" w14:textId="11DF602D" w:rsidR="00C60516" w:rsidRPr="00AC4FA9" w:rsidRDefault="00C60516" w:rsidP="00C60516">
      <w:pPr>
        <w:rPr>
          <w:rFonts w:ascii="Verdana" w:hAnsi="Verdana"/>
          <w:lang w:val="es-ES"/>
        </w:rPr>
      </w:pPr>
      <w:r w:rsidRPr="00AC4FA9">
        <w:rPr>
          <w:rFonts w:ascii="Verdana" w:hAnsi="Verdana"/>
          <w:lang w:val="es-ES"/>
        </w:rPr>
        <w:t>Comuníquese y ejecútese,</w:t>
      </w:r>
    </w:p>
    <w:p w14:paraId="461A72D5" w14:textId="78FC195F" w:rsidR="00C60516" w:rsidRPr="00AC4FA9" w:rsidRDefault="00C60516" w:rsidP="00C60516">
      <w:pPr>
        <w:rPr>
          <w:rFonts w:ascii="Verdana" w:hAnsi="Verdana"/>
          <w:lang w:val="es-ES"/>
        </w:rPr>
      </w:pPr>
    </w:p>
    <w:p w14:paraId="7FB4288C" w14:textId="417969E0" w:rsidR="00C60516" w:rsidRPr="00AC4FA9" w:rsidRDefault="00C60516" w:rsidP="00C60516">
      <w:pPr>
        <w:jc w:val="center"/>
        <w:rPr>
          <w:rFonts w:ascii="Verdana" w:hAnsi="Verdana"/>
          <w:lang w:val="es-ES"/>
        </w:rPr>
      </w:pPr>
    </w:p>
    <w:p w14:paraId="1F2EF3F0" w14:textId="77777777" w:rsidR="00C60516" w:rsidRPr="00AC4FA9" w:rsidRDefault="00C60516" w:rsidP="00C60516">
      <w:pPr>
        <w:jc w:val="right"/>
        <w:rPr>
          <w:rFonts w:ascii="Verdana" w:hAnsi="Verdana"/>
          <w:lang w:val="es-ES"/>
        </w:rPr>
      </w:pPr>
    </w:p>
    <w:p w14:paraId="67510EA9" w14:textId="77777777" w:rsidR="00C60516" w:rsidRPr="00AC4FA9" w:rsidRDefault="00C60516" w:rsidP="00C60516">
      <w:pPr>
        <w:jc w:val="right"/>
        <w:rPr>
          <w:rFonts w:ascii="Verdana" w:hAnsi="Verdana"/>
          <w:lang w:val="es-ES"/>
        </w:rPr>
      </w:pPr>
    </w:p>
    <w:p w14:paraId="2BAC4662" w14:textId="75E9D0E7" w:rsidR="00C60516" w:rsidRPr="00CB6D23" w:rsidRDefault="00C60516" w:rsidP="00C60516">
      <w:pPr>
        <w:jc w:val="center"/>
        <w:rPr>
          <w:rFonts w:ascii="Verdana" w:hAnsi="Verdana"/>
        </w:rPr>
      </w:pPr>
      <w:r w:rsidRPr="00AC4FA9">
        <w:rPr>
          <w:rFonts w:ascii="Verdana" w:hAnsi="Verdana"/>
          <w:lang w:val="es-ES"/>
        </w:rPr>
        <w:t xml:space="preserve">                                                                                               </w:t>
      </w:r>
      <w:r w:rsidR="00CB6D23" w:rsidRPr="00AC4FA9">
        <w:rPr>
          <w:rFonts w:ascii="Verdana" w:hAnsi="Verdana"/>
          <w:lang w:val="es-ES"/>
        </w:rPr>
        <w:t xml:space="preserve">          </w:t>
      </w:r>
      <w:r w:rsidRPr="00CB6D23">
        <w:rPr>
          <w:rFonts w:ascii="Verdana" w:hAnsi="Verdana"/>
        </w:rPr>
        <w:t>Ricardo C. Pérez Manrique</w:t>
      </w:r>
    </w:p>
    <w:p w14:paraId="3B0A0264" w14:textId="0E1814B6" w:rsidR="00C60516" w:rsidRPr="00CB6D23" w:rsidRDefault="00C60516" w:rsidP="00CB6D23">
      <w:pPr>
        <w:ind w:left="6480" w:firstLine="720"/>
        <w:rPr>
          <w:rFonts w:ascii="Verdana" w:hAnsi="Verdana"/>
        </w:rPr>
      </w:pPr>
      <w:r w:rsidRPr="00CB6D23">
        <w:rPr>
          <w:rFonts w:ascii="Verdana" w:hAnsi="Verdana"/>
        </w:rPr>
        <w:t xml:space="preserve">           </w:t>
      </w:r>
      <w:r w:rsidR="00CB6D23">
        <w:rPr>
          <w:rFonts w:ascii="Verdana" w:hAnsi="Verdana"/>
        </w:rPr>
        <w:t xml:space="preserve">     </w:t>
      </w:r>
      <w:r w:rsidRPr="00CB6D23">
        <w:rPr>
          <w:rFonts w:ascii="Verdana" w:hAnsi="Verdana"/>
        </w:rPr>
        <w:t>Presidente</w:t>
      </w:r>
    </w:p>
    <w:p w14:paraId="0A0A944B" w14:textId="77777777" w:rsidR="00C60516" w:rsidRPr="00CB6D23" w:rsidRDefault="00C60516" w:rsidP="00C60516">
      <w:pPr>
        <w:rPr>
          <w:rFonts w:ascii="Verdana" w:hAnsi="Verdana"/>
        </w:rPr>
      </w:pPr>
    </w:p>
    <w:p w14:paraId="52E7AC2E" w14:textId="77777777" w:rsidR="00C60516" w:rsidRPr="00CB6D23" w:rsidRDefault="00C60516" w:rsidP="00C60516">
      <w:pPr>
        <w:rPr>
          <w:rFonts w:ascii="Verdana" w:hAnsi="Verdana"/>
        </w:rPr>
      </w:pPr>
    </w:p>
    <w:p w14:paraId="1CC53DA0" w14:textId="77777777" w:rsidR="00C60516" w:rsidRPr="00CB6D23" w:rsidRDefault="00C60516" w:rsidP="00C60516">
      <w:pPr>
        <w:rPr>
          <w:rFonts w:ascii="Verdana" w:hAnsi="Verdana"/>
        </w:rPr>
      </w:pPr>
      <w:r w:rsidRPr="00CB6D23">
        <w:rPr>
          <w:rFonts w:ascii="Verdana" w:hAnsi="Verdana"/>
        </w:rPr>
        <w:t>Pablo Saavedra Alessandri</w:t>
      </w:r>
    </w:p>
    <w:p w14:paraId="0BBB1AF3" w14:textId="69DF93CF" w:rsidR="00C60516" w:rsidRPr="00CB6D23" w:rsidRDefault="00C60516" w:rsidP="0082444D">
      <w:pPr>
        <w:rPr>
          <w:rFonts w:ascii="Verdana" w:hAnsi="Verdana"/>
          <w:lang w:val="es-CR" w:eastAsia="es-CR"/>
        </w:rPr>
      </w:pPr>
      <w:r w:rsidRPr="00CB6D23">
        <w:rPr>
          <w:rFonts w:ascii="Verdana" w:hAnsi="Verdana"/>
        </w:rPr>
        <w:t xml:space="preserve">          Secretario</w:t>
      </w:r>
    </w:p>
    <w:sectPr w:rsidR="00C60516" w:rsidRPr="00CB6D23" w:rsidSect="00977952">
      <w:headerReference w:type="default" r:id="rId8"/>
      <w:footerReference w:type="default" r:id="rId9"/>
      <w:footnotePr>
        <w:numRestart w:val="eachSect"/>
      </w:footnotePr>
      <w:pgSz w:w="12240" w:h="15840"/>
      <w:pgMar w:top="1440" w:right="1080" w:bottom="1440" w:left="108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AFD00" w14:textId="77777777" w:rsidR="00BD1852" w:rsidRDefault="00BD1852" w:rsidP="00C10DAE">
      <w:r>
        <w:separator/>
      </w:r>
    </w:p>
  </w:endnote>
  <w:endnote w:type="continuationSeparator" w:id="0">
    <w:p w14:paraId="633F1400" w14:textId="77777777" w:rsidR="00BD1852" w:rsidRDefault="00BD1852" w:rsidP="00C10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Bold">
    <w:charset w:val="00"/>
    <w:family w:val="auto"/>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MT">
    <w:altName w:val="Arial"/>
    <w:panose1 w:val="00000000000000000000"/>
    <w:charset w:val="80"/>
    <w:family w:val="auto"/>
    <w:notTrueType/>
    <w:pitch w:val="default"/>
    <w:sig w:usb0="00000000" w:usb1="08070000" w:usb2="00000010" w:usb3="00000000" w:csb0="00020000" w:csb1="00000000"/>
  </w:font>
  <w:font w:name="Times-Roman">
    <w:altName w:val="Times New Roman"/>
    <w:charset w:val="00"/>
    <w:family w:val="auto"/>
    <w:pitch w:val="variable"/>
    <w:sig w:usb0="00000003" w:usb1="00000000" w:usb2="00000000" w:usb3="00000000" w:csb0="00000001" w:csb1="00000000"/>
  </w:font>
  <w:font w:name="Times-Italic">
    <w:altName w:val="Times New Roman"/>
    <w:charset w:val="00"/>
    <w:family w:val="auto"/>
    <w:pitch w:val="variable"/>
    <w:sig w:usb0="E00002FF" w:usb1="5000205A" w:usb2="00000000" w:usb3="00000000" w:csb0="0000019F" w:csb1="00000000"/>
  </w:font>
  <w:font w:name="Sylfaen">
    <w:panose1 w:val="010A0502050306030303"/>
    <w:charset w:val="00"/>
    <w:family w:val="roman"/>
    <w:pitch w:val="variable"/>
    <w:sig w:usb0="04000687" w:usb1="00000000" w:usb2="00000000" w:usb3="00000000" w:csb0="0000009F" w:csb1="00000000"/>
  </w:font>
  <w:font w:name="Verdana-Italic">
    <w:altName w:val="Verdana"/>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119357"/>
      <w:docPartObj>
        <w:docPartGallery w:val="Page Numbers (Bottom of Page)"/>
        <w:docPartUnique/>
      </w:docPartObj>
    </w:sdtPr>
    <w:sdtEndPr>
      <w:rPr>
        <w:rFonts w:ascii="Verdana" w:hAnsi="Verdana"/>
        <w:noProof/>
        <w:sz w:val="18"/>
        <w:szCs w:val="18"/>
      </w:rPr>
    </w:sdtEndPr>
    <w:sdtContent>
      <w:p w14:paraId="2A53BD60" w14:textId="77777777" w:rsidR="00AC124E" w:rsidRDefault="00AC124E">
        <w:pPr>
          <w:jc w:val="center"/>
        </w:pPr>
        <w:r w:rsidRPr="00936CD9">
          <w:rPr>
            <w:rFonts w:ascii="Verdana" w:hAnsi="Verdana"/>
            <w:sz w:val="16"/>
            <w:szCs w:val="16"/>
          </w:rPr>
          <w:fldChar w:fldCharType="begin"/>
        </w:r>
        <w:r w:rsidRPr="00936CD9">
          <w:rPr>
            <w:rFonts w:ascii="Verdana" w:hAnsi="Verdana"/>
            <w:sz w:val="16"/>
            <w:szCs w:val="16"/>
          </w:rPr>
          <w:instrText xml:space="preserve"> PAGE   \* MERGEFORMAT </w:instrText>
        </w:r>
        <w:r w:rsidRPr="00936CD9">
          <w:rPr>
            <w:rFonts w:ascii="Verdana" w:hAnsi="Verdana"/>
            <w:sz w:val="16"/>
            <w:szCs w:val="16"/>
          </w:rPr>
          <w:fldChar w:fldCharType="separate"/>
        </w:r>
        <w:r w:rsidR="007C2C54" w:rsidRPr="00936CD9">
          <w:rPr>
            <w:rFonts w:ascii="Verdana" w:hAnsi="Verdana"/>
            <w:noProof/>
            <w:sz w:val="16"/>
            <w:szCs w:val="16"/>
          </w:rPr>
          <w:t>73</w:t>
        </w:r>
        <w:r w:rsidRPr="00936CD9">
          <w:rPr>
            <w:rFonts w:ascii="Verdana" w:hAnsi="Verdana"/>
            <w:noProof/>
            <w:sz w:val="16"/>
            <w:szCs w:val="16"/>
          </w:rPr>
          <w:fldChar w:fldCharType="end"/>
        </w:r>
      </w:p>
    </w:sdtContent>
  </w:sdt>
  <w:p w14:paraId="7EFFF695" w14:textId="77777777" w:rsidR="00AC124E" w:rsidRDefault="00AC12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DD23F" w14:textId="77777777" w:rsidR="00BD1852" w:rsidRDefault="00BD1852" w:rsidP="00C10DAE">
      <w:r>
        <w:separator/>
      </w:r>
    </w:p>
  </w:footnote>
  <w:footnote w:type="continuationSeparator" w:id="0">
    <w:p w14:paraId="18219A9B" w14:textId="77777777" w:rsidR="00BD1852" w:rsidRDefault="00BD1852" w:rsidP="00C10DAE">
      <w:r>
        <w:continuationSeparator/>
      </w:r>
    </w:p>
  </w:footnote>
  <w:footnote w:id="1">
    <w:p w14:paraId="1436D9B0" w14:textId="77777777" w:rsidR="00674F11" w:rsidRPr="007C693A" w:rsidRDefault="00674F11" w:rsidP="00674F11">
      <w:pPr>
        <w:jc w:val="both"/>
        <w:rPr>
          <w:rFonts w:ascii="Verdana" w:hAnsi="Verdana"/>
          <w:sz w:val="16"/>
          <w:szCs w:val="16"/>
          <w:lang w:val="es-ES"/>
        </w:rPr>
      </w:pPr>
      <w:r w:rsidRPr="00086C1A">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spacing w:val="-4"/>
          <w:sz w:val="16"/>
          <w:szCs w:val="16"/>
          <w:lang w:val="es-ES"/>
        </w:rPr>
        <w:t xml:space="preserve">El representante de las presuntas víctimas es el señor </w:t>
      </w:r>
      <w:r>
        <w:rPr>
          <w:rFonts w:ascii="Verdana" w:hAnsi="Verdana"/>
          <w:spacing w:val="-4"/>
          <w:sz w:val="16"/>
          <w:szCs w:val="16"/>
          <w:lang w:val="es-ES"/>
        </w:rPr>
        <w:t xml:space="preserve">Rafael </w:t>
      </w:r>
      <w:r w:rsidRPr="007C693A">
        <w:rPr>
          <w:rFonts w:ascii="Verdana" w:hAnsi="Verdana"/>
          <w:spacing w:val="-4"/>
          <w:sz w:val="16"/>
          <w:szCs w:val="16"/>
          <w:lang w:val="es-ES"/>
        </w:rPr>
        <w:t xml:space="preserve">Humberto Subieta Tapia. </w:t>
      </w:r>
    </w:p>
  </w:footnote>
  <w:footnote w:id="2">
    <w:p w14:paraId="795005B6" w14:textId="77777777" w:rsidR="00920E6B" w:rsidRPr="007C693A" w:rsidRDefault="00920E6B" w:rsidP="00920E6B">
      <w:pPr>
        <w:jc w:val="both"/>
        <w:rPr>
          <w:rFonts w:ascii="Verdana" w:hAnsi="Verdana"/>
          <w:sz w:val="16"/>
          <w:szCs w:val="16"/>
          <w:lang w:val="es-CR"/>
        </w:rPr>
      </w:pPr>
      <w:r w:rsidRPr="00086C1A">
        <w:rPr>
          <w:rStyle w:val="Refdenotaalpie"/>
        </w:rPr>
        <w:footnoteRef/>
      </w:r>
      <w:r w:rsidRPr="00E57AF1">
        <w:rPr>
          <w:rStyle w:val="Refdenotaalpie"/>
          <w:lang w:val="es-CR"/>
        </w:rPr>
        <w:t xml:space="preserve"> </w:t>
      </w:r>
      <w:r w:rsidRPr="007C693A">
        <w:rPr>
          <w:rFonts w:ascii="Verdana" w:hAnsi="Verdana"/>
          <w:sz w:val="16"/>
          <w:szCs w:val="16"/>
          <w:lang w:val="es-ES"/>
        </w:rPr>
        <w:tab/>
      </w:r>
      <w:r w:rsidRPr="007C693A">
        <w:rPr>
          <w:rFonts w:ascii="Verdana" w:eastAsia="Calibri" w:hAnsi="Verdana" w:cs="Verdana"/>
          <w:spacing w:val="-2"/>
          <w:sz w:val="16"/>
          <w:szCs w:val="16"/>
          <w:lang w:val="es-ES" w:eastAsia="es-ES"/>
        </w:rPr>
        <w:t xml:space="preserve">El Estado designó como Agentes </w:t>
      </w:r>
      <w:r w:rsidRPr="007C693A">
        <w:rPr>
          <w:rFonts w:ascii="Verdana" w:eastAsia="Calibri" w:hAnsi="Verdana" w:cs="Verdana"/>
          <w:spacing w:val="-2"/>
          <w:sz w:val="16"/>
          <w:szCs w:val="16"/>
          <w:lang w:val="es-ES"/>
        </w:rPr>
        <w:t xml:space="preserve">para el presente caso </w:t>
      </w:r>
      <w:r w:rsidRPr="007C693A">
        <w:rPr>
          <w:rFonts w:ascii="Verdana" w:eastAsia="Calibri" w:hAnsi="Verdana" w:cs="Verdana"/>
          <w:spacing w:val="-2"/>
          <w:sz w:val="16"/>
          <w:szCs w:val="16"/>
          <w:lang w:val="es-ES" w:eastAsia="es-ES"/>
        </w:rPr>
        <w:t xml:space="preserve">a los señores </w:t>
      </w:r>
      <w:r w:rsidRPr="007C693A">
        <w:rPr>
          <w:rFonts w:ascii="Verdana" w:hAnsi="Verdana"/>
          <w:sz w:val="16"/>
          <w:szCs w:val="16"/>
          <w:lang w:val="es-CR"/>
        </w:rPr>
        <w:t>Pablo Menacho Diederich, Procurador General del Estado</w:t>
      </w:r>
      <w:r>
        <w:rPr>
          <w:rFonts w:ascii="Verdana" w:hAnsi="Verdana"/>
          <w:sz w:val="16"/>
          <w:szCs w:val="16"/>
          <w:lang w:val="es-CR"/>
        </w:rPr>
        <w:t xml:space="preserve"> Plurinacional de Bolivia</w:t>
      </w:r>
      <w:r w:rsidRPr="007C693A">
        <w:rPr>
          <w:rFonts w:ascii="Verdana" w:hAnsi="Verdana"/>
          <w:sz w:val="16"/>
          <w:szCs w:val="16"/>
          <w:lang w:val="es-CR"/>
        </w:rPr>
        <w:t xml:space="preserve">; Jaime Ernesto Rossell Arteaga, Subprocurador de Defensa y Representación Legal del Estado, y la señora Yovanka Beatriz Oliden Tapia, Directora General de </w:t>
      </w:r>
      <w:r>
        <w:rPr>
          <w:rFonts w:ascii="Verdana" w:hAnsi="Verdana"/>
          <w:sz w:val="16"/>
          <w:szCs w:val="16"/>
          <w:lang w:val="es-CR"/>
        </w:rPr>
        <w:t xml:space="preserve">Defensa </w:t>
      </w:r>
      <w:r w:rsidRPr="007C693A">
        <w:rPr>
          <w:rFonts w:ascii="Verdana" w:hAnsi="Verdana"/>
          <w:sz w:val="16"/>
          <w:szCs w:val="16"/>
          <w:lang w:val="es-CR"/>
        </w:rPr>
        <w:t>en Derechos Humanos y Medio Ambiente a.i</w:t>
      </w:r>
      <w:r w:rsidRPr="007C693A">
        <w:rPr>
          <w:rFonts w:ascii="Verdana" w:eastAsia="Calibri" w:hAnsi="Verdana" w:cs="Verdana"/>
          <w:spacing w:val="-2"/>
          <w:sz w:val="16"/>
          <w:szCs w:val="16"/>
          <w:lang w:val="es-ES" w:eastAsia="es-ES"/>
        </w:rPr>
        <w:t xml:space="preserve">. </w:t>
      </w:r>
    </w:p>
  </w:footnote>
  <w:footnote w:id="3">
    <w:p w14:paraId="59E25BE0" w14:textId="72679935" w:rsidR="00AC124E" w:rsidRPr="007C693A" w:rsidRDefault="00AC124E" w:rsidP="00014203">
      <w:pPr>
        <w:jc w:val="both"/>
        <w:rPr>
          <w:rFonts w:ascii="Verdana" w:hAnsi="Verdana"/>
          <w:sz w:val="16"/>
          <w:szCs w:val="16"/>
          <w:lang w:val="es-UY"/>
        </w:rPr>
      </w:pPr>
      <w:r w:rsidRPr="00086C1A">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B50CD5">
        <w:rPr>
          <w:rFonts w:ascii="Verdana" w:hAnsi="Verdana"/>
          <w:i/>
          <w:sz w:val="16"/>
          <w:szCs w:val="16"/>
          <w:lang w:val="es-ES"/>
        </w:rPr>
        <w:t>Cfr.</w:t>
      </w:r>
      <w:r w:rsidRPr="00B50CD5">
        <w:rPr>
          <w:rFonts w:ascii="Verdana" w:hAnsi="Verdana"/>
          <w:sz w:val="16"/>
          <w:szCs w:val="16"/>
          <w:lang w:val="es-ES"/>
        </w:rPr>
        <w:t xml:space="preserve"> </w:t>
      </w:r>
      <w:r w:rsidRPr="00B50CD5">
        <w:rPr>
          <w:rFonts w:ascii="Verdana" w:hAnsi="Verdana"/>
          <w:i/>
          <w:sz w:val="16"/>
          <w:szCs w:val="16"/>
          <w:lang w:val="es-ES"/>
        </w:rPr>
        <w:t>Caso Flores Bedregal Vs. Bolivia</w:t>
      </w:r>
      <w:r w:rsidRPr="00B50CD5">
        <w:rPr>
          <w:rFonts w:ascii="Verdana" w:hAnsi="Verdana"/>
          <w:sz w:val="16"/>
          <w:szCs w:val="16"/>
          <w:lang w:val="es-ES"/>
        </w:rPr>
        <w:t>. Convocatoria a audiencia. Resolución de la Presidenta de la Corte Interamericana de Derechos Humanos de 8 de diciembre de 2021.</w:t>
      </w:r>
      <w:r w:rsidRPr="006B3ED7">
        <w:rPr>
          <w:rFonts w:ascii="Verdana" w:hAnsi="Verdana"/>
          <w:sz w:val="16"/>
          <w:szCs w:val="16"/>
          <w:lang w:val="es-CR" w:eastAsia="es-ES"/>
        </w:rPr>
        <w:t xml:space="preserve"> </w:t>
      </w:r>
      <w:r w:rsidR="006B3ED7" w:rsidRPr="00B50CD5">
        <w:rPr>
          <w:rFonts w:ascii="Verdana" w:hAnsi="Verdana"/>
          <w:sz w:val="16"/>
          <w:szCs w:val="16"/>
          <w:lang w:val="es-CR" w:eastAsia="es-ES"/>
        </w:rPr>
        <w:t xml:space="preserve">Disponible en: </w:t>
      </w:r>
      <w:r w:rsidR="00CE7AD4" w:rsidRPr="00CE7AD4">
        <w:rPr>
          <w:rFonts w:ascii="Verdana" w:hAnsi="Verdana"/>
          <w:sz w:val="16"/>
          <w:szCs w:val="16"/>
          <w:lang w:val="es-CR" w:eastAsia="es-ES"/>
        </w:rPr>
        <w:t>https://www.corteidh.or.cr/docs/asuntos/flores_bedregal_08_12_2021.pdf</w:t>
      </w:r>
    </w:p>
  </w:footnote>
  <w:footnote w:id="4">
    <w:p w14:paraId="17C84020" w14:textId="488D4027" w:rsidR="00AC124E" w:rsidRPr="007C693A" w:rsidRDefault="00AC124E" w:rsidP="00014203">
      <w:pPr>
        <w:jc w:val="both"/>
        <w:rPr>
          <w:rFonts w:ascii="Verdana" w:hAnsi="Verdana"/>
          <w:sz w:val="16"/>
          <w:szCs w:val="16"/>
          <w:lang w:val="es-ES"/>
        </w:rPr>
      </w:pPr>
      <w:r w:rsidRPr="00086C1A">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846D53">
        <w:rPr>
          <w:rFonts w:ascii="Verdana" w:hAnsi="Verdana"/>
          <w:i/>
          <w:sz w:val="16"/>
          <w:szCs w:val="16"/>
          <w:lang w:val="es-ES"/>
        </w:rPr>
        <w:t>Cfr. Caso Flores Bedregal Vs. Bolivia</w:t>
      </w:r>
      <w:r>
        <w:rPr>
          <w:rFonts w:ascii="Verdana" w:hAnsi="Verdana"/>
          <w:sz w:val="16"/>
          <w:szCs w:val="16"/>
          <w:lang w:val="es-ES"/>
        </w:rPr>
        <w:t xml:space="preserve">. Convocatoria a audiencia. </w:t>
      </w:r>
      <w:r w:rsidRPr="00B50CD5">
        <w:rPr>
          <w:rFonts w:ascii="Verdana" w:hAnsi="Verdana"/>
          <w:sz w:val="16"/>
          <w:szCs w:val="16"/>
          <w:lang w:val="es-ES"/>
        </w:rPr>
        <w:t>Resolución de la Presidenta de la Corte Interamericana de Derechos Humanos de 13 de febrero de 2020</w:t>
      </w:r>
      <w:r>
        <w:rPr>
          <w:rFonts w:ascii="Verdana" w:hAnsi="Verdana"/>
          <w:sz w:val="16"/>
          <w:szCs w:val="16"/>
          <w:lang w:val="es-ES"/>
        </w:rPr>
        <w:t>.</w:t>
      </w:r>
      <w:r w:rsidR="006B3ED7">
        <w:rPr>
          <w:rFonts w:ascii="Verdana" w:hAnsi="Verdana"/>
          <w:sz w:val="16"/>
          <w:szCs w:val="16"/>
          <w:lang w:val="es-ES"/>
        </w:rPr>
        <w:t xml:space="preserve"> Disponible en: </w:t>
      </w:r>
      <w:r w:rsidR="006B3ED7" w:rsidRPr="006B3ED7">
        <w:rPr>
          <w:rFonts w:ascii="Verdana" w:hAnsi="Verdana"/>
          <w:sz w:val="16"/>
          <w:szCs w:val="16"/>
          <w:lang w:val="es-ES"/>
        </w:rPr>
        <w:t>https://www.corteidh.or.cr/docs/asuntos/flores_bedregal_13_02_2020.pdf</w:t>
      </w:r>
      <w:r w:rsidR="006B3ED7">
        <w:rPr>
          <w:rFonts w:ascii="Verdana" w:hAnsi="Verdana"/>
          <w:sz w:val="16"/>
          <w:szCs w:val="16"/>
          <w:lang w:val="es-ES"/>
        </w:rPr>
        <w:t>.</w:t>
      </w:r>
      <w:r>
        <w:rPr>
          <w:rFonts w:ascii="Verdana" w:hAnsi="Verdana"/>
          <w:sz w:val="16"/>
          <w:szCs w:val="16"/>
          <w:lang w:val="es-ES"/>
        </w:rPr>
        <w:t xml:space="preserve"> </w:t>
      </w:r>
      <w:r w:rsidRPr="007C693A">
        <w:rPr>
          <w:rFonts w:ascii="Verdana" w:hAnsi="Verdana"/>
          <w:sz w:val="16"/>
          <w:szCs w:val="16"/>
          <w:lang w:val="es-ES"/>
        </w:rPr>
        <w:t>Mediante</w:t>
      </w:r>
      <w:r>
        <w:rPr>
          <w:rFonts w:ascii="Verdana" w:hAnsi="Verdana"/>
          <w:sz w:val="16"/>
          <w:szCs w:val="16"/>
          <w:lang w:val="es-ES"/>
        </w:rPr>
        <w:t xml:space="preserve"> esta</w:t>
      </w:r>
      <w:r w:rsidRPr="007C693A">
        <w:rPr>
          <w:rFonts w:ascii="Verdana" w:hAnsi="Verdana"/>
          <w:sz w:val="16"/>
          <w:szCs w:val="16"/>
          <w:lang w:val="es-ES"/>
        </w:rPr>
        <w:t xml:space="preserve"> </w:t>
      </w:r>
      <w:r w:rsidR="00846D53" w:rsidRPr="007C693A">
        <w:rPr>
          <w:rFonts w:ascii="Verdana" w:hAnsi="Verdana"/>
          <w:sz w:val="16"/>
          <w:szCs w:val="16"/>
          <w:lang w:val="es-ES"/>
        </w:rPr>
        <w:t>Resolución</w:t>
      </w:r>
      <w:r w:rsidR="00846D53">
        <w:rPr>
          <w:rFonts w:ascii="Verdana" w:hAnsi="Verdana"/>
          <w:sz w:val="16"/>
          <w:szCs w:val="16"/>
          <w:lang w:val="es-ES"/>
        </w:rPr>
        <w:t xml:space="preserve"> </w:t>
      </w:r>
      <w:r w:rsidR="00846D53" w:rsidRPr="007C693A">
        <w:rPr>
          <w:rFonts w:ascii="Verdana" w:hAnsi="Verdana"/>
          <w:sz w:val="16"/>
          <w:szCs w:val="16"/>
          <w:lang w:val="es-ES"/>
        </w:rPr>
        <w:t>la</w:t>
      </w:r>
      <w:r w:rsidRPr="007C693A">
        <w:rPr>
          <w:rFonts w:ascii="Verdana" w:hAnsi="Verdana"/>
          <w:sz w:val="16"/>
          <w:szCs w:val="16"/>
          <w:lang w:val="es-ES"/>
        </w:rPr>
        <w:t xml:space="preserve"> Presidencia de la Corte convocó a audiencia pública que se celebraría los días 18 y 19 de marzo de 2020.</w:t>
      </w:r>
      <w:r w:rsidR="00232C5A" w:rsidRPr="007C693A">
        <w:rPr>
          <w:rFonts w:ascii="Verdana" w:hAnsi="Verdana"/>
          <w:sz w:val="16"/>
          <w:szCs w:val="16"/>
          <w:lang w:val="es-ES"/>
        </w:rPr>
        <w:t xml:space="preserve"> </w:t>
      </w:r>
      <w:r w:rsidRPr="007C693A">
        <w:rPr>
          <w:rFonts w:ascii="Verdana" w:hAnsi="Verdana"/>
          <w:sz w:val="16"/>
          <w:szCs w:val="16"/>
          <w:lang w:val="es-ES"/>
        </w:rPr>
        <w:t xml:space="preserve">Esta audiencia pública fue suspendida el 11 de marzo de 2020 en atención a los </w:t>
      </w:r>
      <w:r w:rsidRPr="007C693A">
        <w:rPr>
          <w:rFonts w:ascii="Verdana" w:hAnsi="Verdana"/>
          <w:sz w:val="16"/>
          <w:szCs w:val="16"/>
          <w:lang w:val="es-ES" w:eastAsia="es-ES"/>
        </w:rPr>
        <w:t>“lineamientos Sanitarios Nacionales para la Vigilancia de la Infección de Coronavirus” dictados por el Ministerio de Salud pública de Costa Rica.</w:t>
      </w:r>
    </w:p>
  </w:footnote>
  <w:footnote w:id="5">
    <w:p w14:paraId="5BEB7D82" w14:textId="40FC0865" w:rsidR="00AC124E" w:rsidRPr="007C693A" w:rsidRDefault="00AC124E" w:rsidP="00014203">
      <w:pPr>
        <w:jc w:val="both"/>
        <w:rPr>
          <w:rFonts w:ascii="Verdana" w:hAnsi="Verdana"/>
          <w:sz w:val="16"/>
          <w:szCs w:val="16"/>
          <w:lang w:val="es-ES"/>
        </w:rPr>
      </w:pPr>
      <w:r w:rsidRPr="00086C1A">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 xml:space="preserve">A esta audiencia comparecieron: a) por la Comisión Interamericana: </w:t>
      </w:r>
      <w:r w:rsidRPr="007C693A">
        <w:rPr>
          <w:rFonts w:ascii="Verdana" w:hAnsi="Verdana"/>
          <w:sz w:val="16"/>
          <w:szCs w:val="16"/>
          <w:lang w:val="es-CR" w:eastAsia="es-ES"/>
        </w:rPr>
        <w:t>Pedro José Vaca Villarreal, Relator Especial para la Libertad de Expresión</w:t>
      </w:r>
      <w:r>
        <w:rPr>
          <w:rFonts w:ascii="Verdana" w:hAnsi="Verdana"/>
          <w:sz w:val="16"/>
          <w:szCs w:val="16"/>
          <w:lang w:val="es-CR" w:eastAsia="es-ES"/>
        </w:rPr>
        <w:t xml:space="preserve"> de la C</w:t>
      </w:r>
      <w:r w:rsidR="00846D53">
        <w:rPr>
          <w:rFonts w:ascii="Verdana" w:hAnsi="Verdana"/>
          <w:sz w:val="16"/>
          <w:szCs w:val="16"/>
          <w:lang w:val="es-CR" w:eastAsia="es-ES"/>
        </w:rPr>
        <w:t>omisión</w:t>
      </w:r>
      <w:r w:rsidRPr="007C693A">
        <w:rPr>
          <w:rFonts w:ascii="Verdana" w:hAnsi="Verdana"/>
          <w:sz w:val="16"/>
          <w:szCs w:val="16"/>
          <w:lang w:val="es-CR" w:eastAsia="es-ES"/>
        </w:rPr>
        <w:t>, al abogado Jorge Me</w:t>
      </w:r>
      <w:r w:rsidR="00CA2969">
        <w:rPr>
          <w:rFonts w:ascii="Verdana" w:hAnsi="Verdana"/>
          <w:sz w:val="16"/>
          <w:szCs w:val="16"/>
          <w:lang w:val="es-CR" w:eastAsia="es-ES"/>
        </w:rPr>
        <w:t>z</w:t>
      </w:r>
      <w:r w:rsidRPr="007C693A">
        <w:rPr>
          <w:rFonts w:ascii="Verdana" w:hAnsi="Verdana"/>
          <w:sz w:val="16"/>
          <w:szCs w:val="16"/>
          <w:lang w:val="es-CR" w:eastAsia="es-ES"/>
        </w:rPr>
        <w:t>a</w:t>
      </w:r>
      <w:r>
        <w:rPr>
          <w:rFonts w:ascii="Verdana" w:hAnsi="Verdana"/>
          <w:sz w:val="16"/>
          <w:szCs w:val="16"/>
          <w:lang w:val="es-CR" w:eastAsia="es-ES"/>
        </w:rPr>
        <w:t xml:space="preserve"> Flores</w:t>
      </w:r>
      <w:r w:rsidRPr="007C693A">
        <w:rPr>
          <w:rFonts w:ascii="Verdana" w:hAnsi="Verdana"/>
          <w:sz w:val="16"/>
          <w:szCs w:val="16"/>
          <w:lang w:val="es-CR" w:eastAsia="es-ES"/>
        </w:rPr>
        <w:t xml:space="preserve"> y</w:t>
      </w:r>
      <w:r w:rsidR="007676E5">
        <w:rPr>
          <w:rFonts w:ascii="Verdana" w:hAnsi="Verdana"/>
          <w:sz w:val="16"/>
          <w:szCs w:val="16"/>
          <w:lang w:val="es-CR" w:eastAsia="es-ES"/>
        </w:rPr>
        <w:t xml:space="preserve"> </w:t>
      </w:r>
      <w:r w:rsidR="004B22E7">
        <w:rPr>
          <w:rFonts w:ascii="Verdana" w:hAnsi="Verdana"/>
          <w:sz w:val="16"/>
          <w:szCs w:val="16"/>
          <w:lang w:val="es-CR" w:eastAsia="es-ES"/>
        </w:rPr>
        <w:t xml:space="preserve">a </w:t>
      </w:r>
      <w:r w:rsidR="007676E5">
        <w:rPr>
          <w:rFonts w:ascii="Verdana" w:hAnsi="Verdana"/>
          <w:sz w:val="16"/>
          <w:szCs w:val="16"/>
          <w:lang w:val="es-CR" w:eastAsia="es-ES"/>
        </w:rPr>
        <w:t>la abogada</w:t>
      </w:r>
      <w:r w:rsidRPr="007C693A">
        <w:rPr>
          <w:rFonts w:ascii="Verdana" w:hAnsi="Verdana"/>
          <w:sz w:val="16"/>
          <w:szCs w:val="16"/>
          <w:lang w:val="es-CR" w:eastAsia="es-ES"/>
        </w:rPr>
        <w:t xml:space="preserve"> Analía Banfi Vique, de la Secretaría de la Comisión y </w:t>
      </w:r>
      <w:r w:rsidR="007676E5">
        <w:rPr>
          <w:rFonts w:ascii="Verdana" w:hAnsi="Verdana"/>
          <w:sz w:val="16"/>
          <w:szCs w:val="16"/>
          <w:lang w:val="es-CR" w:eastAsia="es-ES"/>
        </w:rPr>
        <w:t xml:space="preserve">el abogado </w:t>
      </w:r>
      <w:r w:rsidRPr="007C693A">
        <w:rPr>
          <w:rFonts w:ascii="Verdana" w:hAnsi="Verdana"/>
          <w:sz w:val="16"/>
          <w:szCs w:val="16"/>
          <w:lang w:val="es-CR" w:eastAsia="es-ES"/>
        </w:rPr>
        <w:t>César Mauricio González Flores, de la Relatoría Especial para la Libertad de Expresión</w:t>
      </w:r>
      <w:r>
        <w:rPr>
          <w:rFonts w:ascii="Verdana" w:hAnsi="Verdana"/>
          <w:sz w:val="16"/>
          <w:szCs w:val="16"/>
          <w:lang w:val="es-CR" w:eastAsia="es-ES"/>
        </w:rPr>
        <w:t xml:space="preserve"> de la CIDH</w:t>
      </w:r>
      <w:r w:rsidRPr="007C693A">
        <w:rPr>
          <w:rFonts w:ascii="Verdana" w:hAnsi="Verdana"/>
          <w:sz w:val="16"/>
          <w:szCs w:val="16"/>
          <w:lang w:val="es-ES"/>
        </w:rPr>
        <w:t>; b) por los representantes de la</w:t>
      </w:r>
      <w:r w:rsidR="007676E5">
        <w:rPr>
          <w:rFonts w:ascii="Verdana" w:hAnsi="Verdana"/>
          <w:sz w:val="16"/>
          <w:szCs w:val="16"/>
          <w:lang w:val="es-ES"/>
        </w:rPr>
        <w:t>s</w:t>
      </w:r>
      <w:r w:rsidRPr="007C693A">
        <w:rPr>
          <w:rFonts w:ascii="Verdana" w:hAnsi="Verdana"/>
          <w:sz w:val="16"/>
          <w:szCs w:val="16"/>
          <w:lang w:val="es-ES"/>
        </w:rPr>
        <w:t xml:space="preserve"> presunta</w:t>
      </w:r>
      <w:r w:rsidR="007676E5">
        <w:rPr>
          <w:rFonts w:ascii="Verdana" w:hAnsi="Verdana"/>
          <w:sz w:val="16"/>
          <w:szCs w:val="16"/>
          <w:lang w:val="es-ES"/>
        </w:rPr>
        <w:t>s</w:t>
      </w:r>
      <w:r w:rsidRPr="007C693A">
        <w:rPr>
          <w:rFonts w:ascii="Verdana" w:hAnsi="Verdana"/>
          <w:sz w:val="16"/>
          <w:szCs w:val="16"/>
          <w:lang w:val="es-ES"/>
        </w:rPr>
        <w:t xml:space="preserve"> víctima</w:t>
      </w:r>
      <w:r w:rsidR="007676E5">
        <w:rPr>
          <w:rFonts w:ascii="Verdana" w:hAnsi="Verdana"/>
          <w:sz w:val="16"/>
          <w:szCs w:val="16"/>
          <w:lang w:val="es-ES"/>
        </w:rPr>
        <w:t>s</w:t>
      </w:r>
      <w:r w:rsidRPr="007C693A">
        <w:rPr>
          <w:rFonts w:ascii="Verdana" w:hAnsi="Verdana"/>
          <w:sz w:val="16"/>
          <w:szCs w:val="16"/>
          <w:lang w:val="es-ES"/>
        </w:rPr>
        <w:t>: Rafael Humberto Subieta Tapia, Karinna Fernández Neira y André Rodolfo Lange Schulze</w:t>
      </w:r>
      <w:r w:rsidR="007676E5">
        <w:rPr>
          <w:rFonts w:ascii="Verdana" w:hAnsi="Verdana"/>
          <w:sz w:val="16"/>
          <w:szCs w:val="16"/>
          <w:lang w:val="es-ES"/>
        </w:rPr>
        <w:t>,</w:t>
      </w:r>
      <w:r w:rsidRPr="007C693A">
        <w:rPr>
          <w:rFonts w:ascii="Verdana" w:hAnsi="Verdana"/>
          <w:sz w:val="16"/>
          <w:szCs w:val="16"/>
          <w:lang w:val="es-ES"/>
        </w:rPr>
        <w:t xml:space="preserve"> y c) por el Estado Plurinacional de Bolivia: Jaime Mauricio Quiroga Carvajal, Encargado de Negocios a.i. de la Embajada del Estado Plurinacional de Bolivia en Costa Rica; Jhanneth Del Rosio Bustillos</w:t>
      </w:r>
      <w:r>
        <w:rPr>
          <w:rFonts w:ascii="Verdana" w:hAnsi="Verdana"/>
          <w:sz w:val="16"/>
          <w:szCs w:val="16"/>
          <w:lang w:val="es-ES"/>
        </w:rPr>
        <w:t xml:space="preserve"> Bustillos</w:t>
      </w:r>
      <w:r w:rsidRPr="007C693A">
        <w:rPr>
          <w:rFonts w:ascii="Verdana" w:hAnsi="Verdana"/>
          <w:sz w:val="16"/>
          <w:szCs w:val="16"/>
          <w:lang w:val="es-ES"/>
        </w:rPr>
        <w:t xml:space="preserve">, Directora General de Defensa en Derechos Humanos y Medio Ambiente y Ximena Miriam Fajardo Navarro, Jefa de la Unidad de Casos en Etapa de Fondo y Comité de DDHH. </w:t>
      </w:r>
      <w:r w:rsidRPr="007C693A">
        <w:rPr>
          <w:rFonts w:ascii="Verdana" w:hAnsi="Verdana"/>
          <w:b/>
          <w:bCs/>
          <w:sz w:val="16"/>
          <w:szCs w:val="16"/>
          <w:lang w:val="es-ES"/>
        </w:rPr>
        <w:t xml:space="preserve">  </w:t>
      </w:r>
    </w:p>
  </w:footnote>
  <w:footnote w:id="6">
    <w:p w14:paraId="667346C4" w14:textId="294E1683" w:rsidR="00AC124E" w:rsidRPr="007C693A" w:rsidRDefault="00AC124E" w:rsidP="00014203">
      <w:pPr>
        <w:jc w:val="both"/>
        <w:rPr>
          <w:rFonts w:ascii="Verdana" w:hAnsi="Verdana"/>
          <w:sz w:val="16"/>
          <w:szCs w:val="16"/>
          <w:lang w:val="es-CR"/>
        </w:rPr>
      </w:pPr>
      <w:r w:rsidRPr="00E843C8">
        <w:rPr>
          <w:rStyle w:val="Refdenotaalpie"/>
        </w:rPr>
        <w:footnoteRef/>
      </w:r>
      <w:r w:rsidRPr="007C693A">
        <w:rPr>
          <w:rFonts w:ascii="Verdana" w:hAnsi="Verdana"/>
          <w:sz w:val="16"/>
          <w:szCs w:val="16"/>
          <w:lang w:val="es-ES"/>
        </w:rPr>
        <w:t xml:space="preserve"> </w:t>
      </w:r>
      <w:r w:rsidRPr="007C693A">
        <w:rPr>
          <w:rFonts w:ascii="Verdana" w:hAnsi="Verdana"/>
          <w:b/>
          <w:sz w:val="16"/>
          <w:szCs w:val="16"/>
          <w:lang w:val="es-CR"/>
        </w:rPr>
        <w:tab/>
      </w:r>
      <w:r w:rsidRPr="007C693A">
        <w:rPr>
          <w:rFonts w:ascii="Verdana" w:hAnsi="Verdana"/>
          <w:sz w:val="16"/>
          <w:szCs w:val="16"/>
          <w:lang w:val="es-CR"/>
        </w:rPr>
        <w:t xml:space="preserve">El escrito fue firmado </w:t>
      </w:r>
      <w:r w:rsidRPr="007C693A">
        <w:rPr>
          <w:rFonts w:ascii="Verdana" w:hAnsi="Verdana"/>
          <w:sz w:val="16"/>
          <w:szCs w:val="16"/>
          <w:lang w:val="es-ES"/>
        </w:rPr>
        <w:t>por</w:t>
      </w:r>
      <w:r w:rsidRPr="007C693A">
        <w:rPr>
          <w:rFonts w:ascii="Verdana" w:eastAsia="Verdana" w:hAnsi="Verdana" w:cs="Verdana"/>
          <w:position w:val="-1"/>
          <w:sz w:val="16"/>
          <w:szCs w:val="16"/>
          <w:lang w:val="es-ES" w:eastAsia="es-CR"/>
        </w:rPr>
        <w:t xml:space="preserve"> Angelita Baeyens, Directora de </w:t>
      </w:r>
      <w:r>
        <w:rPr>
          <w:rFonts w:ascii="Verdana" w:eastAsia="Verdana" w:hAnsi="Verdana" w:cs="Verdana"/>
          <w:position w:val="-1"/>
          <w:sz w:val="16"/>
          <w:szCs w:val="16"/>
          <w:lang w:val="es-ES" w:eastAsia="es-CR"/>
        </w:rPr>
        <w:t xml:space="preserve">Programas, </w:t>
      </w:r>
      <w:r w:rsidRPr="007C693A">
        <w:rPr>
          <w:rFonts w:ascii="Verdana" w:eastAsia="Verdana" w:hAnsi="Verdana" w:cs="Verdana"/>
          <w:position w:val="-1"/>
          <w:sz w:val="16"/>
          <w:szCs w:val="16"/>
          <w:lang w:val="es-ES" w:eastAsia="es-CR"/>
        </w:rPr>
        <w:t>Incidencia y Litigio Internacional, y Deirdre Dlugoleski</w:t>
      </w:r>
      <w:r w:rsidRPr="007C693A">
        <w:rPr>
          <w:rFonts w:ascii="Verdana" w:hAnsi="Verdana"/>
          <w:sz w:val="16"/>
          <w:szCs w:val="16"/>
          <w:lang w:val="es-ES"/>
        </w:rPr>
        <w:t>.</w:t>
      </w:r>
      <w:r w:rsidRPr="007C693A">
        <w:rPr>
          <w:rFonts w:ascii="Verdana" w:hAnsi="Verdana"/>
          <w:sz w:val="16"/>
          <w:szCs w:val="16"/>
          <w:lang w:val="es-CR"/>
        </w:rPr>
        <w:t xml:space="preserve"> El escrito analiza el contenido e interpretación del derecho de acceso a la información para las víctimas de serias violaciones a los derechos humanos, con especial referencia al caso </w:t>
      </w:r>
      <w:r w:rsidRPr="00B50CD5">
        <w:rPr>
          <w:rFonts w:ascii="Verdana" w:hAnsi="Verdana"/>
          <w:i/>
          <w:iCs/>
          <w:sz w:val="16"/>
          <w:szCs w:val="16"/>
          <w:lang w:val="es-CR"/>
        </w:rPr>
        <w:t>Flores Bedregal y otras Vs. Bolivia</w:t>
      </w:r>
      <w:r w:rsidRPr="007C693A">
        <w:rPr>
          <w:rFonts w:ascii="Verdana" w:hAnsi="Verdana"/>
          <w:sz w:val="16"/>
          <w:szCs w:val="16"/>
          <w:lang w:val="es-CR"/>
        </w:rPr>
        <w:t xml:space="preserve">. </w:t>
      </w:r>
    </w:p>
  </w:footnote>
  <w:footnote w:id="7">
    <w:p w14:paraId="09C0B096" w14:textId="746B605D" w:rsidR="00AC124E" w:rsidRPr="007C693A" w:rsidRDefault="00AC124E" w:rsidP="00014203">
      <w:pPr>
        <w:jc w:val="both"/>
        <w:rPr>
          <w:rFonts w:ascii="Verdana" w:hAnsi="Verdana"/>
          <w:sz w:val="16"/>
          <w:szCs w:val="16"/>
          <w:lang w:val="es-CR"/>
        </w:rPr>
      </w:pPr>
      <w:r w:rsidRPr="00E843C8">
        <w:rPr>
          <w:rStyle w:val="Refdenotaalpie"/>
        </w:rPr>
        <w:footnoteRef/>
      </w:r>
      <w:r w:rsidRPr="007C693A">
        <w:rPr>
          <w:rFonts w:ascii="Verdana" w:hAnsi="Verdana"/>
          <w:sz w:val="16"/>
          <w:szCs w:val="16"/>
          <w:lang w:val="es-ES"/>
        </w:rPr>
        <w:t xml:space="preserve"> </w:t>
      </w:r>
      <w:r w:rsidRPr="007C693A">
        <w:rPr>
          <w:rFonts w:ascii="Verdana" w:hAnsi="Verdana"/>
          <w:b/>
          <w:sz w:val="16"/>
          <w:szCs w:val="16"/>
          <w:lang w:val="es-CR"/>
        </w:rPr>
        <w:tab/>
      </w:r>
      <w:r w:rsidRPr="007C693A">
        <w:rPr>
          <w:rFonts w:ascii="Verdana" w:hAnsi="Verdana"/>
          <w:sz w:val="16"/>
          <w:szCs w:val="16"/>
          <w:lang w:val="es-CR"/>
        </w:rPr>
        <w:t xml:space="preserve">El escrito fue firmado </w:t>
      </w:r>
      <w:r w:rsidRPr="007C693A">
        <w:rPr>
          <w:rFonts w:ascii="Verdana" w:hAnsi="Verdana"/>
          <w:sz w:val="16"/>
          <w:szCs w:val="16"/>
          <w:lang w:val="es-ES"/>
        </w:rPr>
        <w:t xml:space="preserve">por </w:t>
      </w:r>
      <w:r w:rsidRPr="007C693A">
        <w:rPr>
          <w:rFonts w:ascii="Verdana" w:eastAsia="Verdana" w:hAnsi="Verdana" w:cs="Verdana"/>
          <w:position w:val="-1"/>
          <w:sz w:val="16"/>
          <w:szCs w:val="16"/>
          <w:lang w:val="es-ES" w:eastAsia="es-CR"/>
        </w:rPr>
        <w:t>Andrés Calderón, Jefe del Departamento Académico de Derecho de la Universidad del Pacífico y Director de la Clínica Jurídica de Libertades Informativas y Transparencia</w:t>
      </w:r>
      <w:r w:rsidRPr="007C693A">
        <w:rPr>
          <w:rFonts w:ascii="Verdana" w:hAnsi="Verdana"/>
          <w:sz w:val="16"/>
          <w:szCs w:val="16"/>
          <w:lang w:val="es-ES"/>
        </w:rPr>
        <w:t>.</w:t>
      </w:r>
      <w:r w:rsidRPr="007C693A">
        <w:rPr>
          <w:rFonts w:ascii="Verdana" w:hAnsi="Verdana"/>
          <w:sz w:val="16"/>
          <w:szCs w:val="16"/>
          <w:lang w:val="es-CR"/>
        </w:rPr>
        <w:t xml:space="preserve"> El escrito analiza el derecho al acceso a la información en el contexto de desapariciones forzadas, </w:t>
      </w:r>
      <w:bookmarkStart w:id="30" w:name="_Hlk106006223"/>
      <w:r w:rsidRPr="007C693A">
        <w:rPr>
          <w:rFonts w:ascii="Verdana" w:hAnsi="Verdana"/>
          <w:sz w:val="16"/>
          <w:szCs w:val="16"/>
          <w:lang w:val="es-CR"/>
        </w:rPr>
        <w:t xml:space="preserve">con especial referencia al caso </w:t>
      </w:r>
      <w:r w:rsidRPr="00B50CD5">
        <w:rPr>
          <w:rFonts w:ascii="Verdana" w:hAnsi="Verdana"/>
          <w:i/>
          <w:iCs/>
          <w:sz w:val="16"/>
          <w:szCs w:val="16"/>
          <w:lang w:val="es-CR"/>
        </w:rPr>
        <w:t>Flores Bedregal y otras Vs. Bolivia</w:t>
      </w:r>
      <w:bookmarkEnd w:id="30"/>
      <w:r w:rsidRPr="007C693A">
        <w:rPr>
          <w:rFonts w:ascii="Verdana" w:hAnsi="Verdana"/>
          <w:sz w:val="16"/>
          <w:szCs w:val="16"/>
          <w:lang w:val="es-CR"/>
        </w:rPr>
        <w:t xml:space="preserve">. </w:t>
      </w:r>
    </w:p>
  </w:footnote>
  <w:footnote w:id="8">
    <w:p w14:paraId="69F3BD14" w14:textId="38B96B3F" w:rsidR="00AC124E" w:rsidRPr="007C693A" w:rsidRDefault="00AC124E" w:rsidP="00014203">
      <w:pPr>
        <w:jc w:val="both"/>
        <w:rPr>
          <w:rFonts w:ascii="Verdana" w:hAnsi="Verdana"/>
          <w:sz w:val="16"/>
          <w:szCs w:val="16"/>
          <w:lang w:val="es-CR"/>
        </w:rPr>
      </w:pPr>
      <w:r w:rsidRPr="00E843C8">
        <w:rPr>
          <w:rStyle w:val="Refdenotaalpie"/>
        </w:rPr>
        <w:footnoteRef/>
      </w:r>
      <w:r w:rsidRPr="007C693A">
        <w:rPr>
          <w:rFonts w:ascii="Verdana" w:hAnsi="Verdana"/>
          <w:sz w:val="16"/>
          <w:szCs w:val="16"/>
          <w:lang w:val="es-ES"/>
        </w:rPr>
        <w:t xml:space="preserve"> </w:t>
      </w:r>
      <w:r w:rsidRPr="007C693A">
        <w:rPr>
          <w:rFonts w:ascii="Verdana" w:hAnsi="Verdana"/>
          <w:b/>
          <w:sz w:val="16"/>
          <w:szCs w:val="16"/>
          <w:lang w:val="es-CR"/>
        </w:rPr>
        <w:tab/>
      </w:r>
      <w:r w:rsidRPr="007C693A">
        <w:rPr>
          <w:rFonts w:ascii="Verdana" w:hAnsi="Verdana"/>
          <w:sz w:val="16"/>
          <w:szCs w:val="16"/>
          <w:lang w:val="es-CR"/>
        </w:rPr>
        <w:t xml:space="preserve">El escrito fue firmado </w:t>
      </w:r>
      <w:r w:rsidRPr="007C693A">
        <w:rPr>
          <w:rFonts w:ascii="Verdana" w:eastAsia="Verdana" w:hAnsi="Verdana" w:cs="Verdana"/>
          <w:position w:val="-1"/>
          <w:sz w:val="16"/>
          <w:szCs w:val="16"/>
          <w:lang w:val="es-ES" w:eastAsia="es-CR"/>
        </w:rPr>
        <w:t>por Amílcar Romero</w:t>
      </w:r>
      <w:r>
        <w:rPr>
          <w:rFonts w:ascii="Verdana" w:eastAsia="Verdana" w:hAnsi="Verdana" w:cs="Verdana"/>
          <w:position w:val="-1"/>
          <w:sz w:val="16"/>
          <w:szCs w:val="16"/>
          <w:lang w:val="es-ES" w:eastAsia="es-CR"/>
        </w:rPr>
        <w:t xml:space="preserve"> Beltrán</w:t>
      </w:r>
      <w:r w:rsidRPr="007C693A">
        <w:rPr>
          <w:rFonts w:ascii="Verdana" w:eastAsia="Verdana" w:hAnsi="Verdana" w:cs="Verdana"/>
          <w:position w:val="-1"/>
          <w:sz w:val="16"/>
          <w:szCs w:val="16"/>
          <w:lang w:val="es-ES" w:eastAsia="es-CR"/>
        </w:rPr>
        <w:t>, Presidente de Ankawa Internacional y Claudio Renato A. Sotelo Torres, Director de la Dirección de Derechos Humanos de Ankawa Internacional. El escrito analiza el derecho al acceso a la información frente a graves violaciones de derechos humanos.</w:t>
      </w:r>
    </w:p>
  </w:footnote>
  <w:footnote w:id="9">
    <w:p w14:paraId="073BDF08" w14:textId="3D6C4FAB" w:rsidR="00AC124E" w:rsidRPr="007C693A" w:rsidRDefault="00AC124E" w:rsidP="00014203">
      <w:pPr>
        <w:jc w:val="both"/>
        <w:rPr>
          <w:rFonts w:ascii="Verdana" w:hAnsi="Verdana"/>
          <w:sz w:val="16"/>
          <w:szCs w:val="16"/>
          <w:lang w:val="es-CR"/>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t>Al momento de depositar la cláusula opcional, el 27 de julio de 1993, Bolivia presentó una declaración interpretativa de su reconocimiento de la competencia de la Corte, en los siguientes términos “[l]los preceptos de incondicionalidad y plazo indefinido se aplicarán en estricta observancia de la Constitución Política del Estado boliviano, especialmente de los principios de reciprocidad, irretroactividad y autonomía judicial</w:t>
      </w:r>
      <w:r>
        <w:rPr>
          <w:rFonts w:ascii="Verdana" w:hAnsi="Verdana"/>
          <w:sz w:val="16"/>
          <w:szCs w:val="16"/>
          <w:lang w:val="es-CR"/>
        </w:rPr>
        <w:t>”</w:t>
      </w:r>
      <w:r w:rsidRPr="007C693A">
        <w:rPr>
          <w:rFonts w:ascii="Verdana" w:hAnsi="Verdana"/>
          <w:sz w:val="16"/>
          <w:szCs w:val="16"/>
          <w:lang w:val="es-CR"/>
        </w:rPr>
        <w:t xml:space="preserve"> (Nota OEA/MI/262/93 del 22 de julio de 1993). </w:t>
      </w:r>
    </w:p>
  </w:footnote>
  <w:footnote w:id="10">
    <w:p w14:paraId="374E9AC8" w14:textId="2F06C4C9" w:rsidR="00AC124E" w:rsidRPr="007C693A" w:rsidRDefault="00AC124E" w:rsidP="00014203">
      <w:pPr>
        <w:jc w:val="both"/>
        <w:rPr>
          <w:rFonts w:ascii="Verdana" w:hAnsi="Verdana"/>
          <w:sz w:val="16"/>
          <w:szCs w:val="16"/>
          <w:lang w:val="es-ES"/>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 xml:space="preserve">Cfr. Caso Velásquez Rodríguez Vs. Honduras. Fondo. </w:t>
      </w:r>
      <w:r w:rsidRPr="007C693A">
        <w:rPr>
          <w:rFonts w:ascii="Verdana" w:hAnsi="Verdana"/>
          <w:sz w:val="16"/>
          <w:szCs w:val="16"/>
          <w:lang w:val="es-ES"/>
        </w:rPr>
        <w:t>Sentencia de 29 de julio de 1988. Serie C No. 4, párr</w:t>
      </w:r>
      <w:r w:rsidR="0062061D">
        <w:rPr>
          <w:rFonts w:ascii="Verdana" w:hAnsi="Verdana"/>
          <w:sz w:val="16"/>
          <w:szCs w:val="16"/>
          <w:lang w:val="es-ES"/>
        </w:rPr>
        <w:t>s</w:t>
      </w:r>
      <w:r w:rsidRPr="007C693A">
        <w:rPr>
          <w:rFonts w:ascii="Verdana" w:hAnsi="Verdana"/>
          <w:sz w:val="16"/>
          <w:szCs w:val="16"/>
          <w:lang w:val="es-ES"/>
        </w:rPr>
        <w:t>. 149</w:t>
      </w:r>
      <w:r w:rsidR="0062061D">
        <w:rPr>
          <w:rFonts w:ascii="Verdana" w:hAnsi="Verdana"/>
          <w:sz w:val="16"/>
          <w:szCs w:val="16"/>
          <w:lang w:val="es-ES"/>
        </w:rPr>
        <w:t xml:space="preserve"> y</w:t>
      </w:r>
      <w:r w:rsidRPr="005B4895">
        <w:rPr>
          <w:rFonts w:ascii="Verdana" w:hAnsi="Verdana"/>
          <w:sz w:val="16"/>
          <w:szCs w:val="16"/>
          <w:lang w:val="es-ES"/>
        </w:rPr>
        <w:t xml:space="preserve"> 150</w:t>
      </w:r>
      <w:r w:rsidR="009F3BA4">
        <w:rPr>
          <w:rFonts w:ascii="Verdana" w:hAnsi="Verdana"/>
          <w:sz w:val="16"/>
          <w:szCs w:val="16"/>
          <w:lang w:val="es-ES"/>
        </w:rPr>
        <w:t>;</w:t>
      </w:r>
      <w:r w:rsidR="005B4895">
        <w:rPr>
          <w:rFonts w:ascii="Verdana" w:hAnsi="Verdana"/>
          <w:sz w:val="16"/>
          <w:szCs w:val="16"/>
          <w:lang w:val="es-ES"/>
        </w:rPr>
        <w:t xml:space="preserve"> </w:t>
      </w:r>
      <w:r w:rsidR="002A71B0" w:rsidRPr="002A71B0">
        <w:rPr>
          <w:rFonts w:ascii="Verdana" w:hAnsi="Verdana"/>
          <w:i/>
          <w:iCs/>
          <w:sz w:val="16"/>
          <w:szCs w:val="16"/>
          <w:lang w:val="es-MX"/>
        </w:rPr>
        <w:t>Caso Godínez Cruz Vs. Honduras. Fondo.</w:t>
      </w:r>
      <w:r w:rsidR="002A71B0">
        <w:rPr>
          <w:rFonts w:ascii="Verdana" w:hAnsi="Verdana"/>
          <w:sz w:val="16"/>
          <w:szCs w:val="16"/>
          <w:lang w:val="es-MX"/>
        </w:rPr>
        <w:t xml:space="preserve"> Sentencia de 20 de enero de 1</w:t>
      </w:r>
      <w:r w:rsidR="00E20335">
        <w:rPr>
          <w:rFonts w:ascii="Verdana" w:hAnsi="Verdana"/>
          <w:sz w:val="16"/>
          <w:szCs w:val="16"/>
          <w:lang w:val="es-MX"/>
        </w:rPr>
        <w:t>989</w:t>
      </w:r>
      <w:r w:rsidR="002A71B0">
        <w:rPr>
          <w:rFonts w:ascii="Verdana" w:hAnsi="Verdana"/>
          <w:sz w:val="16"/>
          <w:szCs w:val="16"/>
          <w:lang w:val="es-MX"/>
        </w:rPr>
        <w:t>. Serie C No. 5, párrs. 157 y 158</w:t>
      </w:r>
      <w:r w:rsidR="009F3BA4">
        <w:rPr>
          <w:rFonts w:ascii="Verdana" w:hAnsi="Verdana"/>
          <w:sz w:val="16"/>
          <w:szCs w:val="16"/>
          <w:lang w:val="es-MX"/>
        </w:rPr>
        <w:t>;</w:t>
      </w:r>
      <w:r w:rsidR="002A71B0">
        <w:rPr>
          <w:rFonts w:ascii="Verdana" w:hAnsi="Verdana"/>
          <w:sz w:val="16"/>
          <w:szCs w:val="16"/>
          <w:lang w:val="es-MX"/>
        </w:rPr>
        <w:t xml:space="preserve"> </w:t>
      </w:r>
      <w:r w:rsidR="002A71B0" w:rsidRPr="009F3BA4">
        <w:rPr>
          <w:rFonts w:ascii="Verdana" w:hAnsi="Verdana"/>
          <w:i/>
          <w:iCs/>
          <w:sz w:val="16"/>
          <w:szCs w:val="16"/>
          <w:lang w:val="es-MX"/>
        </w:rPr>
        <w:t>Caso Fairén Garbi y Solís Corrales Vs. Honduras</w:t>
      </w:r>
      <w:r w:rsidR="002A71B0">
        <w:rPr>
          <w:rFonts w:ascii="Verdana" w:hAnsi="Verdana"/>
          <w:sz w:val="16"/>
          <w:szCs w:val="16"/>
          <w:lang w:val="es-MX"/>
        </w:rPr>
        <w:t>. Fondo. Sentencia de 15 de marzo de 1989. Serie C No. 6, párr. 147</w:t>
      </w:r>
      <w:r w:rsidR="009F3BA4">
        <w:rPr>
          <w:rFonts w:ascii="Verdana" w:hAnsi="Verdana"/>
          <w:sz w:val="16"/>
          <w:szCs w:val="16"/>
          <w:lang w:val="es-MX"/>
        </w:rPr>
        <w:t>,</w:t>
      </w:r>
      <w:r w:rsidR="002A71B0">
        <w:rPr>
          <w:rFonts w:ascii="Verdana" w:hAnsi="Verdana"/>
          <w:sz w:val="16"/>
          <w:szCs w:val="16"/>
          <w:lang w:val="es-MX"/>
        </w:rPr>
        <w:t xml:space="preserve"> </w:t>
      </w:r>
      <w:r>
        <w:rPr>
          <w:rFonts w:ascii="Verdana" w:hAnsi="Verdana"/>
          <w:sz w:val="16"/>
          <w:szCs w:val="16"/>
          <w:lang w:val="es-ES"/>
        </w:rPr>
        <w:t xml:space="preserve">y </w:t>
      </w:r>
      <w:r w:rsidRPr="00846D53">
        <w:rPr>
          <w:rFonts w:ascii="Verdana" w:hAnsi="Verdana"/>
          <w:i/>
          <w:sz w:val="16"/>
          <w:szCs w:val="16"/>
          <w:lang w:val="es-ES"/>
        </w:rPr>
        <w:t>Caso Familia Julien Grisonas Vs. Argentina. Excepciones Preliminares, Fondo, Reparaciones y Costas.</w:t>
      </w:r>
      <w:r>
        <w:rPr>
          <w:rFonts w:ascii="Verdana" w:hAnsi="Verdana"/>
          <w:sz w:val="16"/>
          <w:szCs w:val="16"/>
          <w:lang w:val="es-ES"/>
        </w:rPr>
        <w:t xml:space="preserve"> Sentencia de 23 de septiembre de 2021. Serie C No. 437, párr. 129.</w:t>
      </w:r>
    </w:p>
  </w:footnote>
  <w:footnote w:id="11">
    <w:p w14:paraId="5D94CDA3" w14:textId="1E8C6047" w:rsidR="00AC124E" w:rsidRPr="00A123AF" w:rsidRDefault="00AC124E" w:rsidP="00014203">
      <w:pPr>
        <w:jc w:val="both"/>
        <w:rPr>
          <w:rFonts w:ascii="Verdana" w:hAnsi="Verdana"/>
          <w:sz w:val="16"/>
          <w:szCs w:val="16"/>
          <w:highlight w:val="yellow"/>
          <w:lang w:val="es-ES"/>
        </w:rPr>
      </w:pPr>
      <w:r w:rsidRPr="00E843C8">
        <w:rPr>
          <w:rStyle w:val="Refdenotaalpie"/>
        </w:rPr>
        <w:footnoteRef/>
      </w:r>
      <w:r w:rsidRPr="00E57AF1">
        <w:rPr>
          <w:rStyle w:val="Refdenotaalpie"/>
          <w:lang w:val="es-CR"/>
        </w:rPr>
        <w:t xml:space="preserve"> </w:t>
      </w:r>
      <w:r w:rsidRPr="007C693A">
        <w:rPr>
          <w:rFonts w:ascii="Verdana" w:hAnsi="Verdana"/>
          <w:sz w:val="16"/>
          <w:szCs w:val="16"/>
          <w:lang w:val="es-ES"/>
        </w:rPr>
        <w:tab/>
      </w:r>
      <w:r w:rsidRPr="00B50CD5">
        <w:rPr>
          <w:rFonts w:ascii="Verdana" w:hAnsi="Verdana"/>
          <w:sz w:val="16"/>
          <w:szCs w:val="16"/>
          <w:lang w:val="es-ES"/>
        </w:rPr>
        <w:t>Declaración sobre la Protección de Todas las Personas contra las Desapariciones Forzadas, aprobada por la Asamblea General en su resolución 47/133 de 18 de diciembre 1992, artículo 17.1.</w:t>
      </w:r>
    </w:p>
  </w:footnote>
  <w:footnote w:id="12">
    <w:p w14:paraId="526C8EF3" w14:textId="53BA180F" w:rsidR="00AC124E" w:rsidRPr="007C693A" w:rsidRDefault="00AC124E" w:rsidP="00014203">
      <w:pPr>
        <w:tabs>
          <w:tab w:val="left" w:pos="720"/>
          <w:tab w:val="left" w:pos="810"/>
        </w:tabs>
        <w:jc w:val="both"/>
        <w:rPr>
          <w:rFonts w:ascii="Verdana" w:hAnsi="Verdana"/>
          <w:sz w:val="16"/>
          <w:szCs w:val="16"/>
          <w:lang w:val="es-MX"/>
        </w:rPr>
      </w:pPr>
      <w:r w:rsidRPr="002B4CE4">
        <w:rPr>
          <w:rStyle w:val="Refdenotaalpie"/>
        </w:rPr>
        <w:footnoteRef/>
      </w:r>
      <w:r w:rsidRPr="002B4CE4">
        <w:rPr>
          <w:rFonts w:ascii="Verdana" w:hAnsi="Verdana"/>
          <w:sz w:val="16"/>
          <w:szCs w:val="16"/>
          <w:lang w:val="es-MX"/>
        </w:rPr>
        <w:t xml:space="preserve"> </w:t>
      </w:r>
      <w:r w:rsidRPr="002B4CE4">
        <w:rPr>
          <w:rFonts w:ascii="Verdana" w:hAnsi="Verdana"/>
          <w:sz w:val="16"/>
          <w:szCs w:val="16"/>
          <w:lang w:val="es-MX"/>
        </w:rPr>
        <w:tab/>
      </w:r>
      <w:r w:rsidRPr="002B4CE4">
        <w:rPr>
          <w:rFonts w:ascii="Verdana" w:hAnsi="Verdana"/>
          <w:i/>
          <w:iCs/>
          <w:sz w:val="16"/>
          <w:szCs w:val="16"/>
          <w:lang w:val="es-MX"/>
        </w:rPr>
        <w:t>Cfr.</w:t>
      </w:r>
      <w:r w:rsidRPr="002B4CE4">
        <w:rPr>
          <w:rFonts w:ascii="Verdana" w:hAnsi="Verdana"/>
          <w:sz w:val="16"/>
          <w:szCs w:val="16"/>
          <w:lang w:val="es-MX"/>
        </w:rPr>
        <w:t xml:space="preserve"> </w:t>
      </w:r>
      <w:r w:rsidRPr="002B4CE4">
        <w:rPr>
          <w:rFonts w:ascii="Verdana" w:hAnsi="Verdana"/>
          <w:i/>
          <w:sz w:val="16"/>
          <w:szCs w:val="16"/>
          <w:lang w:val="es-MX"/>
        </w:rPr>
        <w:t xml:space="preserve">Caso </w:t>
      </w:r>
      <w:r w:rsidR="009F3BA4" w:rsidRPr="002B4CE4">
        <w:rPr>
          <w:rFonts w:ascii="Verdana" w:hAnsi="Verdana"/>
          <w:i/>
          <w:sz w:val="16"/>
          <w:szCs w:val="16"/>
          <w:lang w:val="es-MX"/>
        </w:rPr>
        <w:t xml:space="preserve">Heliodoro Portugal </w:t>
      </w:r>
      <w:r w:rsidRPr="002B4CE4">
        <w:rPr>
          <w:rFonts w:ascii="Verdana" w:hAnsi="Verdana"/>
          <w:i/>
          <w:sz w:val="16"/>
          <w:szCs w:val="16"/>
          <w:lang w:val="es-MX"/>
        </w:rPr>
        <w:t>Vs</w:t>
      </w:r>
      <w:r w:rsidR="00C11C9B" w:rsidRPr="002B4CE4">
        <w:rPr>
          <w:rFonts w:ascii="Verdana" w:hAnsi="Verdana"/>
          <w:i/>
          <w:sz w:val="16"/>
          <w:szCs w:val="16"/>
          <w:lang w:val="es-MX"/>
        </w:rPr>
        <w:t>.</w:t>
      </w:r>
      <w:r w:rsidRPr="002B4CE4">
        <w:rPr>
          <w:rFonts w:ascii="Verdana" w:hAnsi="Verdana"/>
          <w:i/>
          <w:sz w:val="16"/>
          <w:szCs w:val="16"/>
          <w:lang w:val="es-MX"/>
        </w:rPr>
        <w:t xml:space="preserve"> </w:t>
      </w:r>
      <w:r w:rsidR="009F3BA4" w:rsidRPr="002B4CE4">
        <w:rPr>
          <w:rFonts w:ascii="Verdana" w:hAnsi="Verdana"/>
          <w:i/>
          <w:sz w:val="16"/>
          <w:szCs w:val="16"/>
          <w:lang w:val="es-MX"/>
        </w:rPr>
        <w:t>Panamá</w:t>
      </w:r>
      <w:r w:rsidRPr="002B4CE4">
        <w:rPr>
          <w:rFonts w:ascii="Verdana" w:hAnsi="Verdana"/>
          <w:i/>
          <w:sz w:val="16"/>
          <w:szCs w:val="16"/>
          <w:lang w:val="es-MX"/>
        </w:rPr>
        <w:t xml:space="preserve">. </w:t>
      </w:r>
      <w:r w:rsidR="009F3BA4" w:rsidRPr="002B4CE4">
        <w:rPr>
          <w:rFonts w:ascii="Verdana" w:hAnsi="Verdana"/>
          <w:i/>
          <w:sz w:val="16"/>
          <w:szCs w:val="16"/>
          <w:lang w:val="es-MX"/>
        </w:rPr>
        <w:t xml:space="preserve">Excepciones Preliminares, </w:t>
      </w:r>
      <w:r w:rsidRPr="002B4CE4">
        <w:rPr>
          <w:rFonts w:ascii="Verdana" w:hAnsi="Verdana"/>
          <w:i/>
          <w:sz w:val="16"/>
          <w:szCs w:val="16"/>
          <w:lang w:val="es-MX"/>
        </w:rPr>
        <w:t>Fondo</w:t>
      </w:r>
      <w:r w:rsidR="009F3BA4" w:rsidRPr="002B4CE4">
        <w:rPr>
          <w:rFonts w:ascii="Verdana" w:hAnsi="Verdana"/>
          <w:i/>
          <w:sz w:val="16"/>
          <w:szCs w:val="16"/>
          <w:lang w:val="es-MX"/>
        </w:rPr>
        <w:t xml:space="preserve"> Reparaciones y Costas</w:t>
      </w:r>
      <w:r w:rsidR="00D60838" w:rsidRPr="002B4CE4">
        <w:rPr>
          <w:rFonts w:ascii="Verdana" w:hAnsi="Verdana"/>
          <w:i/>
          <w:sz w:val="16"/>
          <w:szCs w:val="16"/>
          <w:lang w:val="es-MX"/>
        </w:rPr>
        <w:t xml:space="preserve">. </w:t>
      </w:r>
      <w:r w:rsidRPr="002B4CE4">
        <w:rPr>
          <w:rFonts w:ascii="Verdana" w:hAnsi="Verdana"/>
          <w:sz w:val="16"/>
          <w:szCs w:val="16"/>
          <w:lang w:val="es-MX"/>
        </w:rPr>
        <w:t xml:space="preserve">Sentencia de </w:t>
      </w:r>
      <w:r w:rsidR="009F3BA4" w:rsidRPr="002B4CE4">
        <w:rPr>
          <w:rFonts w:ascii="Verdana" w:hAnsi="Verdana"/>
          <w:sz w:val="16"/>
          <w:szCs w:val="16"/>
          <w:lang w:val="es-MX"/>
        </w:rPr>
        <w:t>12</w:t>
      </w:r>
      <w:r w:rsidRPr="002B4CE4">
        <w:rPr>
          <w:rFonts w:ascii="Verdana" w:hAnsi="Verdana"/>
          <w:sz w:val="16"/>
          <w:szCs w:val="16"/>
          <w:lang w:val="es-MX"/>
        </w:rPr>
        <w:t xml:space="preserve"> de </w:t>
      </w:r>
      <w:r w:rsidR="009F3BA4" w:rsidRPr="002B4CE4">
        <w:rPr>
          <w:rFonts w:ascii="Verdana" w:hAnsi="Verdana"/>
          <w:sz w:val="16"/>
          <w:szCs w:val="16"/>
          <w:lang w:val="es-MX"/>
        </w:rPr>
        <w:t xml:space="preserve">agosto </w:t>
      </w:r>
      <w:r w:rsidRPr="002B4CE4">
        <w:rPr>
          <w:rFonts w:ascii="Verdana" w:hAnsi="Verdana"/>
          <w:sz w:val="16"/>
          <w:szCs w:val="16"/>
          <w:lang w:val="es-MX"/>
        </w:rPr>
        <w:t xml:space="preserve">de </w:t>
      </w:r>
      <w:r w:rsidR="009F3BA4" w:rsidRPr="002B4CE4">
        <w:rPr>
          <w:rFonts w:ascii="Verdana" w:hAnsi="Verdana"/>
          <w:sz w:val="16"/>
          <w:szCs w:val="16"/>
          <w:lang w:val="es-MX"/>
        </w:rPr>
        <w:t>200</w:t>
      </w:r>
      <w:r w:rsidR="00D60838" w:rsidRPr="002B4CE4">
        <w:rPr>
          <w:rFonts w:ascii="Verdana" w:hAnsi="Verdana"/>
          <w:sz w:val="16"/>
          <w:szCs w:val="16"/>
          <w:lang w:val="es-MX"/>
        </w:rPr>
        <w:t>8</w:t>
      </w:r>
      <w:r w:rsidRPr="002B4CE4">
        <w:rPr>
          <w:rFonts w:ascii="Verdana" w:hAnsi="Verdana"/>
          <w:sz w:val="16"/>
          <w:szCs w:val="16"/>
          <w:lang w:val="es-MX"/>
        </w:rPr>
        <w:t xml:space="preserve">, Serie C No. </w:t>
      </w:r>
      <w:r w:rsidR="009F3BA4" w:rsidRPr="002B4CE4">
        <w:rPr>
          <w:rFonts w:ascii="Verdana" w:hAnsi="Verdana"/>
          <w:sz w:val="16"/>
          <w:szCs w:val="16"/>
          <w:lang w:val="es-MX"/>
        </w:rPr>
        <w:t>186</w:t>
      </w:r>
      <w:r w:rsidRPr="002B4CE4">
        <w:rPr>
          <w:rFonts w:ascii="Verdana" w:hAnsi="Verdana"/>
          <w:sz w:val="16"/>
          <w:szCs w:val="16"/>
          <w:lang w:val="es-MX"/>
        </w:rPr>
        <w:t>, párr</w:t>
      </w:r>
      <w:r w:rsidR="009F3BA4" w:rsidRPr="002B4CE4">
        <w:rPr>
          <w:rFonts w:ascii="Verdana" w:hAnsi="Verdana"/>
          <w:sz w:val="16"/>
          <w:szCs w:val="16"/>
          <w:lang w:val="es-MX"/>
        </w:rPr>
        <w:t>s. 108 y 109.</w:t>
      </w:r>
      <w:r w:rsidR="002A71B0">
        <w:rPr>
          <w:rFonts w:ascii="Verdana" w:hAnsi="Verdana"/>
          <w:sz w:val="16"/>
          <w:szCs w:val="16"/>
          <w:lang w:val="es-MX"/>
        </w:rPr>
        <w:t xml:space="preserve"> </w:t>
      </w:r>
    </w:p>
  </w:footnote>
  <w:footnote w:id="13">
    <w:p w14:paraId="134A6687" w14:textId="5C55E5F2" w:rsidR="00F52D7B" w:rsidRPr="007C693A" w:rsidRDefault="00F52D7B" w:rsidP="00F52D7B">
      <w:pPr>
        <w:tabs>
          <w:tab w:val="left" w:pos="720"/>
          <w:tab w:val="left" w:pos="810"/>
        </w:tabs>
        <w:jc w:val="both"/>
        <w:rPr>
          <w:rFonts w:ascii="Verdana" w:hAnsi="Verdana"/>
          <w:sz w:val="16"/>
          <w:szCs w:val="16"/>
          <w:lang w:val="es-MX"/>
        </w:rPr>
      </w:pPr>
      <w:r w:rsidRPr="00E843C8">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F52D7B">
        <w:rPr>
          <w:rFonts w:ascii="Verdana" w:hAnsi="Verdana"/>
          <w:i/>
          <w:sz w:val="16"/>
          <w:szCs w:val="16"/>
          <w:lang w:val="es-MX"/>
        </w:rPr>
        <w:t>Cfr</w:t>
      </w:r>
      <w:r w:rsidRPr="007C693A">
        <w:rPr>
          <w:rFonts w:ascii="Verdana" w:hAnsi="Verdana"/>
          <w:i/>
          <w:sz w:val="16"/>
          <w:szCs w:val="16"/>
          <w:lang w:val="es-MX"/>
        </w:rPr>
        <w:t>.</w:t>
      </w:r>
      <w:r w:rsidRPr="00DB6A24">
        <w:rPr>
          <w:rFonts w:ascii="Verdana" w:hAnsi="Verdana"/>
          <w:i/>
          <w:spacing w:val="-4"/>
          <w:sz w:val="16"/>
          <w:szCs w:val="16"/>
          <w:lang w:val="es-PR"/>
        </w:rPr>
        <w:t xml:space="preserve"> </w:t>
      </w:r>
      <w:r w:rsidRPr="007E666D">
        <w:rPr>
          <w:rFonts w:ascii="Verdana" w:hAnsi="Verdana"/>
          <w:i/>
          <w:spacing w:val="-4"/>
          <w:sz w:val="16"/>
          <w:szCs w:val="16"/>
          <w:lang w:val="es-PR"/>
        </w:rPr>
        <w:t>Caso Velásquez Rodríguez Vs. Honduras. Excepciones Preliminares.</w:t>
      </w:r>
      <w:r w:rsidRPr="007E666D">
        <w:rPr>
          <w:rFonts w:ascii="Verdana" w:hAnsi="Verdana"/>
          <w:spacing w:val="-4"/>
          <w:sz w:val="16"/>
          <w:szCs w:val="16"/>
          <w:lang w:val="es-PR"/>
        </w:rPr>
        <w:t xml:space="preserve"> Sentencia de 26 de junio de 1987. Serie C No. 1, párr. </w:t>
      </w:r>
      <w:r w:rsidRPr="00773AE5">
        <w:rPr>
          <w:rFonts w:ascii="Verdana" w:hAnsi="Verdana"/>
          <w:spacing w:val="-4"/>
          <w:sz w:val="16"/>
          <w:szCs w:val="16"/>
          <w:lang w:val="es-PR"/>
        </w:rPr>
        <w:t xml:space="preserve">85, </w:t>
      </w:r>
      <w:r w:rsidR="00F33A3C" w:rsidRPr="00773AE5">
        <w:rPr>
          <w:rFonts w:ascii="Verdana" w:hAnsi="Verdana"/>
          <w:iCs/>
          <w:sz w:val="16"/>
          <w:szCs w:val="16"/>
          <w:lang w:val="es-MX"/>
        </w:rPr>
        <w:t>y</w:t>
      </w:r>
      <w:r w:rsidR="00F33A3C" w:rsidRPr="00773AE5">
        <w:rPr>
          <w:rFonts w:ascii="Verdana" w:hAnsi="Verdana"/>
          <w:i/>
          <w:sz w:val="16"/>
          <w:szCs w:val="16"/>
          <w:lang w:val="es-MX"/>
        </w:rPr>
        <w:t xml:space="preserve"> </w:t>
      </w:r>
      <w:r w:rsidRPr="00773AE5">
        <w:rPr>
          <w:rFonts w:ascii="Verdana" w:hAnsi="Verdana"/>
          <w:i/>
          <w:iCs/>
          <w:sz w:val="16"/>
          <w:szCs w:val="16"/>
          <w:lang w:val="es-ES"/>
        </w:rPr>
        <w:t>Caso Sales Pimenta Vs. Brasil. Excepciones preliminares, Fondo, Reparaciones y Costas</w:t>
      </w:r>
      <w:r w:rsidRPr="00773AE5">
        <w:rPr>
          <w:rFonts w:ascii="Verdana" w:hAnsi="Verdana"/>
          <w:sz w:val="16"/>
          <w:szCs w:val="16"/>
          <w:lang w:val="es-ES"/>
        </w:rPr>
        <w:t>. Sentencia de 30 de junio de 2022. Serie C No. 454, párr</w:t>
      </w:r>
      <w:r w:rsidR="002D760D" w:rsidRPr="00773AE5">
        <w:rPr>
          <w:rFonts w:ascii="Verdana" w:hAnsi="Verdana"/>
          <w:sz w:val="16"/>
          <w:szCs w:val="16"/>
          <w:lang w:val="es-ES"/>
        </w:rPr>
        <w:t>s</w:t>
      </w:r>
      <w:r w:rsidRPr="00773AE5">
        <w:rPr>
          <w:rFonts w:ascii="Verdana" w:hAnsi="Verdana"/>
          <w:sz w:val="16"/>
          <w:szCs w:val="16"/>
          <w:lang w:val="es-ES"/>
        </w:rPr>
        <w:t>. 26 y 27.</w:t>
      </w:r>
    </w:p>
  </w:footnote>
  <w:footnote w:id="14">
    <w:p w14:paraId="040A8430" w14:textId="66636E4C" w:rsidR="00AC124E" w:rsidRPr="007C693A" w:rsidRDefault="00AC124E" w:rsidP="00014203">
      <w:pPr>
        <w:jc w:val="both"/>
        <w:rPr>
          <w:rFonts w:ascii="Verdana" w:hAnsi="Verdana"/>
          <w:sz w:val="16"/>
          <w:szCs w:val="16"/>
          <w:lang w:val="es-ES"/>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B594B">
        <w:rPr>
          <w:rFonts w:ascii="Verdana" w:hAnsi="Verdana"/>
          <w:i/>
          <w:iCs/>
          <w:sz w:val="16"/>
          <w:szCs w:val="16"/>
          <w:lang w:val="es-ES"/>
        </w:rPr>
        <w:t>Cfr</w:t>
      </w:r>
      <w:r w:rsidRPr="007B594B">
        <w:rPr>
          <w:rFonts w:ascii="Verdana" w:hAnsi="Verdana"/>
          <w:sz w:val="16"/>
          <w:szCs w:val="16"/>
          <w:lang w:val="es-ES"/>
        </w:rPr>
        <w:t xml:space="preserve">. </w:t>
      </w:r>
      <w:r w:rsidRPr="007B594B">
        <w:rPr>
          <w:rFonts w:ascii="Verdana" w:hAnsi="Verdana"/>
          <w:i/>
          <w:iCs/>
          <w:sz w:val="16"/>
          <w:szCs w:val="16"/>
          <w:lang w:val="es-ES"/>
        </w:rPr>
        <w:t>Caso Vel</w:t>
      </w:r>
      <w:r w:rsidRPr="00773AE5">
        <w:rPr>
          <w:rFonts w:ascii="Verdana" w:hAnsi="Verdana"/>
          <w:i/>
          <w:iCs/>
          <w:sz w:val="16"/>
          <w:szCs w:val="16"/>
          <w:lang w:val="es-ES"/>
        </w:rPr>
        <w:t>ásquez Rodríguez Vs. Honduras. Excepciones Preliminares</w:t>
      </w:r>
      <w:r w:rsidR="004A4C00" w:rsidRPr="00773AE5">
        <w:rPr>
          <w:rFonts w:ascii="Verdana" w:hAnsi="Verdana"/>
          <w:sz w:val="16"/>
          <w:szCs w:val="16"/>
          <w:lang w:val="es-ES"/>
        </w:rPr>
        <w:t xml:space="preserve">, </w:t>
      </w:r>
      <w:r w:rsidR="004A4C00" w:rsidRPr="00773AE5">
        <w:rPr>
          <w:rFonts w:ascii="Verdana" w:hAnsi="Verdana"/>
          <w:i/>
          <w:iCs/>
          <w:sz w:val="16"/>
          <w:szCs w:val="16"/>
          <w:lang w:val="es-ES"/>
        </w:rPr>
        <w:t>supra</w:t>
      </w:r>
      <w:r w:rsidR="004A4C00" w:rsidRPr="00773AE5">
        <w:rPr>
          <w:rFonts w:ascii="Verdana" w:hAnsi="Verdana"/>
          <w:sz w:val="16"/>
          <w:szCs w:val="16"/>
          <w:lang w:val="es-ES"/>
        </w:rPr>
        <w:t xml:space="preserve">, </w:t>
      </w:r>
      <w:r w:rsidRPr="00773AE5">
        <w:rPr>
          <w:rFonts w:ascii="Verdana" w:hAnsi="Verdana"/>
          <w:sz w:val="16"/>
          <w:szCs w:val="16"/>
          <w:lang w:val="es-ES"/>
        </w:rPr>
        <w:t>párr. 88</w:t>
      </w:r>
      <w:r w:rsidR="0062061D">
        <w:rPr>
          <w:rFonts w:ascii="Verdana" w:hAnsi="Verdana"/>
          <w:sz w:val="16"/>
          <w:szCs w:val="16"/>
          <w:lang w:val="es-ES"/>
        </w:rPr>
        <w:t>, y</w:t>
      </w:r>
      <w:r w:rsidRPr="00773AE5">
        <w:rPr>
          <w:rFonts w:ascii="Verdana" w:hAnsi="Verdana"/>
          <w:sz w:val="16"/>
          <w:szCs w:val="16"/>
          <w:lang w:val="es-ES"/>
        </w:rPr>
        <w:t xml:space="preserve"> </w:t>
      </w:r>
      <w:r w:rsidR="00DB6A24" w:rsidRPr="00773AE5">
        <w:rPr>
          <w:rFonts w:ascii="Verdana" w:hAnsi="Verdana"/>
          <w:i/>
          <w:iCs/>
          <w:sz w:val="16"/>
          <w:szCs w:val="16"/>
          <w:lang w:val="es-ES"/>
        </w:rPr>
        <w:t>Caso Sales Pimenta Vs. Brasil</w:t>
      </w:r>
      <w:r w:rsidR="004A4C00" w:rsidRPr="00773AE5">
        <w:rPr>
          <w:rFonts w:ascii="Verdana" w:hAnsi="Verdana"/>
          <w:i/>
          <w:iCs/>
          <w:sz w:val="16"/>
          <w:szCs w:val="16"/>
          <w:lang w:val="es-ES"/>
        </w:rPr>
        <w:t>, supra</w:t>
      </w:r>
      <w:r w:rsidR="00DB6A24" w:rsidRPr="00773AE5">
        <w:rPr>
          <w:rFonts w:ascii="Verdana" w:hAnsi="Verdana"/>
          <w:sz w:val="16"/>
          <w:szCs w:val="16"/>
          <w:lang w:val="es-ES"/>
        </w:rPr>
        <w:t>, párr. 27</w:t>
      </w:r>
      <w:r w:rsidRPr="00773AE5">
        <w:rPr>
          <w:rFonts w:ascii="Verdana" w:hAnsi="Verdana"/>
          <w:sz w:val="16"/>
          <w:szCs w:val="16"/>
          <w:lang w:val="es-ES"/>
        </w:rPr>
        <w:t>.</w:t>
      </w:r>
    </w:p>
  </w:footnote>
  <w:footnote w:id="15">
    <w:p w14:paraId="752CC439" w14:textId="1FDAE86E" w:rsidR="00AC124E" w:rsidRPr="007C693A" w:rsidRDefault="00AC124E" w:rsidP="00014203">
      <w:pPr>
        <w:jc w:val="both"/>
        <w:rPr>
          <w:rFonts w:ascii="Verdana" w:hAnsi="Verdana" w:cstheme="minorBidi"/>
          <w:sz w:val="16"/>
          <w:szCs w:val="16"/>
          <w:lang w:val="es-MX"/>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CR"/>
        </w:rPr>
        <w:t>Cfr. Caso Velásquez Rodríguez Vs. Honduras</w:t>
      </w:r>
      <w:r w:rsidRPr="007C693A">
        <w:rPr>
          <w:rFonts w:ascii="Verdana" w:hAnsi="Verdana"/>
          <w:sz w:val="16"/>
          <w:szCs w:val="16"/>
          <w:lang w:val="es-CR"/>
        </w:rPr>
        <w:t xml:space="preserve">. </w:t>
      </w:r>
      <w:r w:rsidRPr="007C693A">
        <w:rPr>
          <w:rFonts w:ascii="Verdana" w:hAnsi="Verdana"/>
          <w:i/>
          <w:sz w:val="16"/>
          <w:szCs w:val="16"/>
          <w:lang w:val="es-CR"/>
        </w:rPr>
        <w:t>Fondo</w:t>
      </w:r>
      <w:r w:rsidRPr="007C693A">
        <w:rPr>
          <w:rFonts w:ascii="Verdana" w:hAnsi="Verdana"/>
          <w:sz w:val="16"/>
          <w:szCs w:val="16"/>
          <w:lang w:val="es-CR"/>
        </w:rPr>
        <w:t>, párr. 14</w:t>
      </w:r>
      <w:r w:rsidRPr="00773AE5">
        <w:rPr>
          <w:rFonts w:ascii="Verdana" w:hAnsi="Verdana"/>
          <w:sz w:val="16"/>
          <w:szCs w:val="16"/>
          <w:lang w:val="es-CR"/>
        </w:rPr>
        <w:t>0</w:t>
      </w:r>
      <w:r w:rsidR="00C11C9B" w:rsidRPr="00773AE5">
        <w:rPr>
          <w:rFonts w:ascii="Verdana" w:hAnsi="Verdana"/>
          <w:sz w:val="16"/>
          <w:szCs w:val="16"/>
          <w:lang w:val="es-CR"/>
        </w:rPr>
        <w:t>,</w:t>
      </w:r>
      <w:r w:rsidRPr="00773AE5">
        <w:rPr>
          <w:rFonts w:ascii="Verdana" w:hAnsi="Verdana"/>
          <w:sz w:val="16"/>
          <w:szCs w:val="16"/>
          <w:lang w:val="es-CR"/>
        </w:rPr>
        <w:t xml:space="preserve"> y</w:t>
      </w:r>
      <w:r w:rsidR="002D760D" w:rsidRPr="00773AE5">
        <w:rPr>
          <w:rFonts w:ascii="Verdana" w:hAnsi="Verdana"/>
          <w:i/>
          <w:iCs/>
          <w:sz w:val="16"/>
          <w:szCs w:val="16"/>
          <w:lang w:val="es-ES"/>
        </w:rPr>
        <w:t xml:space="preserve"> Caso Sales Pimenta Vs. Brasil</w:t>
      </w:r>
      <w:r w:rsidR="004A4C00" w:rsidRPr="00773AE5">
        <w:rPr>
          <w:rFonts w:ascii="Verdana" w:hAnsi="Verdana"/>
          <w:i/>
          <w:iCs/>
          <w:sz w:val="16"/>
          <w:szCs w:val="16"/>
          <w:lang w:val="es-ES"/>
        </w:rPr>
        <w:t>, supra</w:t>
      </w:r>
      <w:r w:rsidR="002D760D" w:rsidRPr="00773AE5">
        <w:rPr>
          <w:rFonts w:ascii="Verdana" w:hAnsi="Verdana"/>
          <w:sz w:val="16"/>
          <w:szCs w:val="16"/>
          <w:lang w:val="es-ES"/>
        </w:rPr>
        <w:t>, párr.</w:t>
      </w:r>
      <w:r w:rsidR="0052109A" w:rsidRPr="00773AE5">
        <w:rPr>
          <w:rFonts w:ascii="Verdana" w:hAnsi="Verdana"/>
          <w:sz w:val="16"/>
          <w:szCs w:val="16"/>
          <w:lang w:val="es-ES"/>
        </w:rPr>
        <w:t xml:space="preserve"> 37</w:t>
      </w:r>
      <w:r w:rsidRPr="00773AE5">
        <w:rPr>
          <w:rFonts w:ascii="Verdana" w:hAnsi="Verdana"/>
          <w:sz w:val="16"/>
          <w:szCs w:val="16"/>
          <w:lang w:val="es-CR"/>
        </w:rPr>
        <w:t>.</w:t>
      </w:r>
    </w:p>
  </w:footnote>
  <w:footnote w:id="16">
    <w:p w14:paraId="5C4336D1" w14:textId="4AED355E" w:rsidR="00AC124E" w:rsidRPr="007C693A" w:rsidRDefault="00AC124E" w:rsidP="00014203">
      <w:pPr>
        <w:jc w:val="both"/>
        <w:rPr>
          <w:rFonts w:ascii="Verdana" w:hAnsi="Verdana"/>
          <w:sz w:val="16"/>
          <w:szCs w:val="16"/>
          <w:lang w:val="es-ES"/>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B594B">
        <w:rPr>
          <w:rFonts w:ascii="Verdana" w:hAnsi="Verdana"/>
          <w:sz w:val="16"/>
          <w:szCs w:val="16"/>
          <w:lang w:val="es-ES"/>
        </w:rPr>
        <w:t>A saber: Resolución No. 043/2022 del Juzgado Segundo de Ejecución Penal, de 2 de marzo de 2022</w:t>
      </w:r>
      <w:r w:rsidR="005465C7" w:rsidRPr="007B594B">
        <w:rPr>
          <w:rFonts w:ascii="Verdana" w:hAnsi="Verdana"/>
          <w:sz w:val="16"/>
          <w:szCs w:val="16"/>
          <w:lang w:val="es-ES"/>
        </w:rPr>
        <w:t xml:space="preserve"> (expediente de prueba, fs. 9276 a 9279)</w:t>
      </w:r>
      <w:r w:rsidR="009D4541">
        <w:rPr>
          <w:rFonts w:ascii="Verdana" w:hAnsi="Verdana"/>
          <w:sz w:val="16"/>
          <w:szCs w:val="16"/>
          <w:lang w:val="es-ES"/>
        </w:rPr>
        <w:t xml:space="preserve">; </w:t>
      </w:r>
      <w:r w:rsidRPr="007B594B">
        <w:rPr>
          <w:rFonts w:ascii="Verdana" w:hAnsi="Verdana"/>
          <w:sz w:val="16"/>
          <w:szCs w:val="16"/>
          <w:lang w:val="es-ES"/>
        </w:rPr>
        <w:t>Informe de Sarina Guardia Guardia, Fiscal de Materia respecto a las Inspecciones Oculares de 16 y 17 de diciembre de 2021</w:t>
      </w:r>
      <w:r w:rsidR="009D4541">
        <w:rPr>
          <w:rFonts w:ascii="Verdana" w:hAnsi="Verdana"/>
          <w:sz w:val="16"/>
          <w:szCs w:val="16"/>
          <w:lang w:val="es-ES"/>
        </w:rPr>
        <w:t>,</w:t>
      </w:r>
      <w:r w:rsidRPr="007B594B">
        <w:rPr>
          <w:rFonts w:ascii="Verdana" w:hAnsi="Verdana"/>
          <w:sz w:val="16"/>
          <w:szCs w:val="16"/>
          <w:lang w:val="es-ES"/>
        </w:rPr>
        <w:t xml:space="preserve"> y registro fotográfico, de 3 de febrero de 2022</w:t>
      </w:r>
      <w:r w:rsidR="005465C7" w:rsidRPr="007B594B">
        <w:rPr>
          <w:rFonts w:ascii="Verdana" w:hAnsi="Verdana"/>
          <w:sz w:val="16"/>
          <w:szCs w:val="16"/>
          <w:lang w:val="es-ES"/>
        </w:rPr>
        <w:t xml:space="preserve"> (expediente de prueba, fs. 9283 a 9310)</w:t>
      </w:r>
      <w:r w:rsidR="00D7296A" w:rsidRPr="007B594B">
        <w:rPr>
          <w:rFonts w:ascii="Verdana" w:hAnsi="Verdana"/>
          <w:sz w:val="16"/>
          <w:szCs w:val="16"/>
          <w:lang w:val="es-ES"/>
        </w:rPr>
        <w:t>.</w:t>
      </w:r>
      <w:r w:rsidRPr="007C693A">
        <w:rPr>
          <w:rFonts w:ascii="Verdana" w:hAnsi="Verdana"/>
          <w:sz w:val="16"/>
          <w:szCs w:val="16"/>
          <w:lang w:val="es-ES"/>
        </w:rPr>
        <w:t xml:space="preserve"> </w:t>
      </w:r>
    </w:p>
  </w:footnote>
  <w:footnote w:id="17">
    <w:p w14:paraId="199ADE5F" w14:textId="16C00AF8" w:rsidR="00AC124E" w:rsidRPr="007B594B" w:rsidRDefault="00AC124E" w:rsidP="00014203">
      <w:pPr>
        <w:jc w:val="both"/>
        <w:rPr>
          <w:rFonts w:ascii="Verdana" w:hAnsi="Verdana"/>
          <w:sz w:val="16"/>
          <w:szCs w:val="16"/>
          <w:lang w:val="es-ES"/>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B594B">
        <w:rPr>
          <w:rFonts w:ascii="Verdana" w:hAnsi="Verdana"/>
          <w:sz w:val="16"/>
          <w:szCs w:val="16"/>
          <w:lang w:val="es-ES"/>
        </w:rPr>
        <w:t xml:space="preserve">A saber: Comisión de la Verdad, Memoria Histórica de las Investigaciones Dictaduras 1964-1982 y </w:t>
      </w:r>
      <w:r w:rsidR="00FA5904" w:rsidRPr="007B594B">
        <w:rPr>
          <w:rFonts w:ascii="Verdana" w:hAnsi="Verdana"/>
          <w:sz w:val="16"/>
          <w:szCs w:val="16"/>
          <w:lang w:val="es-ES"/>
        </w:rPr>
        <w:t xml:space="preserve">Comisión de la Verdad. Informe. Tomo I. Metodología. </w:t>
      </w:r>
      <w:r w:rsidRPr="007B594B">
        <w:rPr>
          <w:rFonts w:ascii="Verdana" w:hAnsi="Verdana"/>
          <w:sz w:val="16"/>
          <w:szCs w:val="16"/>
          <w:lang w:val="es-ES"/>
        </w:rPr>
        <w:t>Esquema General del Archivo de la Comisión de la Verdad</w:t>
      </w:r>
      <w:r w:rsidR="009A078F" w:rsidRPr="007B594B">
        <w:rPr>
          <w:rFonts w:ascii="Verdana" w:hAnsi="Verdana"/>
          <w:sz w:val="16"/>
          <w:szCs w:val="16"/>
          <w:lang w:val="es-ES"/>
        </w:rPr>
        <w:t xml:space="preserve"> (expediente de prueba, fs. 8391 a 9185 y</w:t>
      </w:r>
      <w:r w:rsidR="00FA5904" w:rsidRPr="007B594B">
        <w:rPr>
          <w:rFonts w:ascii="Verdana" w:hAnsi="Verdana"/>
          <w:sz w:val="16"/>
          <w:szCs w:val="16"/>
          <w:lang w:val="es-ES"/>
        </w:rPr>
        <w:t xml:space="preserve"> 9322 a 9323, respectivamente).</w:t>
      </w:r>
    </w:p>
  </w:footnote>
  <w:footnote w:id="18">
    <w:p w14:paraId="44C3CE40" w14:textId="255E80E7" w:rsidR="00AC124E" w:rsidRPr="007C693A" w:rsidRDefault="00AC124E" w:rsidP="00014203">
      <w:pPr>
        <w:jc w:val="both"/>
        <w:rPr>
          <w:rFonts w:ascii="Verdana" w:hAnsi="Verdana"/>
          <w:sz w:val="16"/>
          <w:szCs w:val="16"/>
          <w:lang w:val="es-ES"/>
        </w:rPr>
      </w:pPr>
      <w:r w:rsidRPr="007B594B">
        <w:rPr>
          <w:rStyle w:val="Refdenotaalpie"/>
        </w:rPr>
        <w:footnoteRef/>
      </w:r>
      <w:r w:rsidRPr="007B594B">
        <w:rPr>
          <w:rFonts w:ascii="Verdana" w:hAnsi="Verdana"/>
          <w:sz w:val="16"/>
          <w:szCs w:val="16"/>
          <w:lang w:val="es-ES"/>
        </w:rPr>
        <w:t xml:space="preserve"> </w:t>
      </w:r>
      <w:r w:rsidRPr="007B594B">
        <w:rPr>
          <w:rFonts w:ascii="Verdana" w:hAnsi="Verdana"/>
          <w:sz w:val="16"/>
          <w:szCs w:val="16"/>
          <w:lang w:val="es-ES"/>
        </w:rPr>
        <w:tab/>
        <w:t>A saber: Certificado de defunción de Juan Carlos Flores Bedregal emitido el 17 de agosto de 2011. Este documento no certifica ni incluye información alguna sobre: el lugar del fallecimiento; la causa de la muerte; el nombre de la persona que certifica el fallecimiento; el número de matrícula o de folio donde está inscrito el fallecimiento.</w:t>
      </w:r>
    </w:p>
  </w:footnote>
  <w:footnote w:id="19">
    <w:p w14:paraId="6EBB37F5" w14:textId="0B7EF359" w:rsidR="00AC124E" w:rsidRPr="007C693A" w:rsidRDefault="00AC124E" w:rsidP="00014203">
      <w:pPr>
        <w:jc w:val="both"/>
        <w:rPr>
          <w:rFonts w:ascii="Verdana" w:eastAsia="Arial" w:hAnsi="Verdana" w:cs="Arial"/>
          <w:strike/>
          <w:sz w:val="16"/>
          <w:szCs w:val="16"/>
          <w:lang w:val="es-ES"/>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r>
      <w:r w:rsidRPr="007C693A">
        <w:rPr>
          <w:rFonts w:ascii="Verdana" w:hAnsi="Verdana"/>
          <w:sz w:val="16"/>
          <w:szCs w:val="16"/>
          <w:lang w:val="es-ES"/>
        </w:rPr>
        <w:t xml:space="preserve">El </w:t>
      </w:r>
      <w:r w:rsidRPr="007C693A">
        <w:rPr>
          <w:rFonts w:ascii="Verdana" w:hAnsi="Verdana"/>
          <w:iCs/>
          <w:sz w:val="16"/>
          <w:szCs w:val="16"/>
          <w:lang w:val="es-ES"/>
        </w:rPr>
        <w:t xml:space="preserve">Estado </w:t>
      </w:r>
      <w:r w:rsidRPr="007C693A">
        <w:rPr>
          <w:rFonts w:ascii="Verdana" w:hAnsi="Verdana"/>
          <w:sz w:val="16"/>
          <w:szCs w:val="16"/>
          <w:lang w:val="es-ES"/>
        </w:rPr>
        <w:t xml:space="preserve">presentó los siguientes documentos que </w:t>
      </w:r>
      <w:r w:rsidRPr="00B50CD5">
        <w:rPr>
          <w:rFonts w:ascii="Verdana" w:hAnsi="Verdana"/>
          <w:sz w:val="16"/>
          <w:szCs w:val="16"/>
          <w:lang w:val="es-ES"/>
        </w:rPr>
        <w:t>ya constaban</w:t>
      </w:r>
      <w:r w:rsidRPr="007C693A">
        <w:rPr>
          <w:rFonts w:ascii="Verdana" w:hAnsi="Verdana"/>
          <w:sz w:val="16"/>
          <w:szCs w:val="16"/>
          <w:lang w:val="es-ES"/>
        </w:rPr>
        <w:t xml:space="preserve"> </w:t>
      </w:r>
      <w:r w:rsidRPr="00BB7208">
        <w:rPr>
          <w:rFonts w:ascii="Verdana" w:hAnsi="Verdana"/>
          <w:sz w:val="16"/>
          <w:szCs w:val="16"/>
          <w:lang w:val="es-ES"/>
        </w:rPr>
        <w:t>en el expediente:</w:t>
      </w:r>
      <w:r w:rsidR="002F4106" w:rsidRPr="00BB7208">
        <w:rPr>
          <w:rFonts w:ascii="Verdana" w:hAnsi="Verdana"/>
          <w:sz w:val="16"/>
          <w:szCs w:val="16"/>
          <w:lang w:val="es-ES"/>
        </w:rPr>
        <w:t xml:space="preserve"> Sentencia de la Corte Suprema de Justicia de la Nación de 15 de abril de 1993, emitida en los Juicios de Responsabilidad acumulados seguidos por el Ministerio Público y sus coadyuvantes contra Luis García Meza Tejada y sus colaboradores</w:t>
      </w:r>
      <w:r w:rsidRPr="00BB7208">
        <w:rPr>
          <w:rFonts w:ascii="Verdana" w:hAnsi="Verdana"/>
          <w:sz w:val="16"/>
          <w:szCs w:val="16"/>
          <w:lang w:val="es-ES"/>
        </w:rPr>
        <w:t xml:space="preserve">; </w:t>
      </w:r>
      <w:r w:rsidR="009A078F" w:rsidRPr="00BB7208">
        <w:rPr>
          <w:rFonts w:ascii="Verdana" w:hAnsi="Verdana"/>
          <w:sz w:val="16"/>
          <w:szCs w:val="16"/>
          <w:lang w:val="es-ES"/>
        </w:rPr>
        <w:t xml:space="preserve">documento titulado </w:t>
      </w:r>
      <w:r w:rsidR="00FA5904" w:rsidRPr="00BB7208">
        <w:rPr>
          <w:rFonts w:ascii="Verdana" w:hAnsi="Verdana"/>
          <w:sz w:val="16"/>
          <w:szCs w:val="16"/>
          <w:lang w:val="es-ES"/>
        </w:rPr>
        <w:t>“P</w:t>
      </w:r>
      <w:r w:rsidR="009A078F" w:rsidRPr="00BB7208">
        <w:rPr>
          <w:rFonts w:ascii="Verdana" w:hAnsi="Verdana"/>
          <w:sz w:val="16"/>
          <w:szCs w:val="16"/>
          <w:lang w:val="es-ES"/>
        </w:rPr>
        <w:t>rotocolo</w:t>
      </w:r>
      <w:r w:rsidRPr="00BB7208">
        <w:rPr>
          <w:rFonts w:ascii="Verdana" w:hAnsi="Verdana"/>
          <w:sz w:val="16"/>
          <w:szCs w:val="16"/>
          <w:lang w:val="es-ES"/>
        </w:rPr>
        <w:t xml:space="preserve"> </w:t>
      </w:r>
      <w:r w:rsidR="009A078F" w:rsidRPr="00BB7208">
        <w:rPr>
          <w:rFonts w:ascii="Verdana" w:hAnsi="Verdana"/>
          <w:sz w:val="16"/>
          <w:szCs w:val="16"/>
          <w:lang w:val="es-ES"/>
        </w:rPr>
        <w:t>de</w:t>
      </w:r>
      <w:r w:rsidRPr="00BB7208">
        <w:rPr>
          <w:rFonts w:ascii="Verdana" w:hAnsi="Verdana"/>
          <w:sz w:val="16"/>
          <w:szCs w:val="16"/>
          <w:lang w:val="es-ES"/>
        </w:rPr>
        <w:t xml:space="preserve"> levantamiento de</w:t>
      </w:r>
      <w:r w:rsidR="009A078F" w:rsidRPr="00BB7208">
        <w:rPr>
          <w:rFonts w:ascii="Verdana" w:hAnsi="Verdana"/>
          <w:sz w:val="16"/>
          <w:szCs w:val="16"/>
          <w:lang w:val="es-ES"/>
        </w:rPr>
        <w:t>l</w:t>
      </w:r>
      <w:r w:rsidRPr="00BB7208">
        <w:rPr>
          <w:rFonts w:ascii="Verdana" w:hAnsi="Verdana"/>
          <w:sz w:val="16"/>
          <w:szCs w:val="16"/>
          <w:lang w:val="es-ES"/>
        </w:rPr>
        <w:t xml:space="preserve"> cadáver</w:t>
      </w:r>
      <w:r w:rsidR="00FA5904" w:rsidRPr="00BB7208">
        <w:rPr>
          <w:rFonts w:ascii="Verdana" w:hAnsi="Verdana"/>
          <w:sz w:val="16"/>
          <w:szCs w:val="16"/>
          <w:lang w:val="es-ES"/>
        </w:rPr>
        <w:t>”</w:t>
      </w:r>
      <w:r w:rsidR="009A078F" w:rsidRPr="00BB7208">
        <w:rPr>
          <w:rFonts w:ascii="Verdana" w:hAnsi="Verdana"/>
          <w:sz w:val="16"/>
          <w:szCs w:val="16"/>
          <w:lang w:val="es-ES"/>
        </w:rPr>
        <w:t xml:space="preserve">, referente a </w:t>
      </w:r>
      <w:r w:rsidRPr="00BB7208">
        <w:rPr>
          <w:rFonts w:ascii="Verdana" w:hAnsi="Verdana"/>
          <w:sz w:val="16"/>
          <w:szCs w:val="16"/>
          <w:lang w:val="es-ES"/>
        </w:rPr>
        <w:t>Juan Carlos Flores Bedregal y Marcelo Quiroga Santa Cruz, con fecha 18 de julio de 1980</w:t>
      </w:r>
      <w:r w:rsidR="00FA5904" w:rsidRPr="00BB7208">
        <w:rPr>
          <w:rFonts w:ascii="Verdana" w:hAnsi="Verdana"/>
          <w:sz w:val="16"/>
          <w:szCs w:val="16"/>
          <w:lang w:val="es-ES"/>
        </w:rPr>
        <w:t xml:space="preserve"> y</w:t>
      </w:r>
      <w:r w:rsidRPr="00BB7208">
        <w:rPr>
          <w:rFonts w:ascii="Verdana" w:hAnsi="Verdana"/>
          <w:sz w:val="16"/>
          <w:szCs w:val="16"/>
          <w:lang w:val="es-ES"/>
        </w:rPr>
        <w:t xml:space="preserve"> </w:t>
      </w:r>
      <w:r w:rsidR="009A078F" w:rsidRPr="00BB7208">
        <w:rPr>
          <w:rFonts w:ascii="Verdana" w:hAnsi="Verdana"/>
          <w:sz w:val="16"/>
          <w:szCs w:val="16"/>
          <w:lang w:val="es-ES"/>
        </w:rPr>
        <w:t xml:space="preserve">Orden para examen médico legal; </w:t>
      </w:r>
      <w:r w:rsidRPr="00BB7208">
        <w:rPr>
          <w:rFonts w:ascii="Verdana" w:hAnsi="Verdana"/>
          <w:sz w:val="16"/>
          <w:szCs w:val="16"/>
          <w:lang w:val="es-ES"/>
        </w:rPr>
        <w:t xml:space="preserve">Informe Técnico No. 0915/98 – Inspección Técnica Ocular, de marzo de 1998; Mandamiento de Captura contra Felipe Froilán Molina Bustamante, de 14 de abril de 2015; Resolución Ministerial No. 316/2009, </w:t>
      </w:r>
      <w:r w:rsidR="002F4106" w:rsidRPr="00BB7208">
        <w:rPr>
          <w:rFonts w:ascii="Verdana" w:hAnsi="Verdana"/>
          <w:sz w:val="16"/>
          <w:szCs w:val="16"/>
          <w:lang w:val="es-ES"/>
        </w:rPr>
        <w:t xml:space="preserve">dictada por el Ministerio de Defensa </w:t>
      </w:r>
      <w:r w:rsidRPr="00BB7208">
        <w:rPr>
          <w:rFonts w:ascii="Verdana" w:hAnsi="Verdana"/>
          <w:sz w:val="16"/>
          <w:szCs w:val="16"/>
          <w:lang w:val="es-ES"/>
        </w:rPr>
        <w:t>de 19 de mayo de 2009; Resolución No. 93/2010, de 12 de mayo de 2010, y Ley No. 879 “Ley de la Comisión de la Verdad” de 23 de diciembre de 2016.</w:t>
      </w:r>
      <w:r w:rsidR="00283F2B" w:rsidRPr="00B50CD5">
        <w:rPr>
          <w:rFonts w:ascii="Verdana" w:hAnsi="Verdana"/>
          <w:sz w:val="16"/>
          <w:szCs w:val="16"/>
          <w:lang w:val="es-CR"/>
        </w:rPr>
        <w:t xml:space="preserve"> </w:t>
      </w:r>
    </w:p>
  </w:footnote>
  <w:footnote w:id="20">
    <w:p w14:paraId="4D8109D2" w14:textId="242A3341" w:rsidR="00AC124E" w:rsidRPr="007B594B" w:rsidRDefault="00AC124E" w:rsidP="00014203">
      <w:pPr>
        <w:jc w:val="both"/>
        <w:rPr>
          <w:rFonts w:ascii="Verdana" w:hAnsi="Verdana"/>
          <w:sz w:val="16"/>
          <w:szCs w:val="16"/>
          <w:lang w:val="es-CR"/>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t xml:space="preserve">El representante presentó los siguientes comprobantes de erogaciones: </w:t>
      </w:r>
      <w:r w:rsidRPr="007B594B">
        <w:rPr>
          <w:rFonts w:ascii="Verdana" w:hAnsi="Verdana"/>
          <w:sz w:val="16"/>
          <w:szCs w:val="16"/>
          <w:lang w:val="es-CR"/>
        </w:rPr>
        <w:t>Facturas de gastos de papelería erogados en litigio ante la Corte; Pases de abordaje Cochabamba – La Paz (ida y vuelta) de 17 de julio de 2019; facturas emitidas por el representante Rafael Subieta a nombre de la Sra. Olga Flores Bedregal, segunda y tercera cuota; Ticket aéreo Santiago de Chile – San José - Costa Rica (ida y vuelta), de Karinna Fernández Neira; ticket aéreo Santa Cruz – Bolivia - San José - Costa Rica (ida y vuelta), de André Lange S; Factura Hotel Casa Cambranes – San José de Costa Rica: Karinna Fernández Neira; Factura Hotel Casa Cambranes – San José de Costa Rica: André Lange S y factura boleto aéreo Cochabamba – Santa Cruz- Bolivia (ida y vuelta): André Lange S. (</w:t>
      </w:r>
      <w:r w:rsidR="00E06E1D" w:rsidRPr="007B594B">
        <w:rPr>
          <w:rFonts w:ascii="Verdana" w:hAnsi="Verdana"/>
          <w:sz w:val="16"/>
          <w:szCs w:val="16"/>
          <w:lang w:val="es-CR"/>
        </w:rPr>
        <w:t xml:space="preserve">expediente de prueba, </w:t>
      </w:r>
      <w:r w:rsidR="00A73955" w:rsidRPr="007B594B">
        <w:rPr>
          <w:rFonts w:ascii="Verdana" w:hAnsi="Verdana"/>
          <w:sz w:val="16"/>
          <w:szCs w:val="16"/>
          <w:lang w:val="es-CR"/>
        </w:rPr>
        <w:t>fs. 9405 a 9425</w:t>
      </w:r>
      <w:r w:rsidRPr="007B594B">
        <w:rPr>
          <w:rFonts w:ascii="Verdana" w:hAnsi="Verdana"/>
          <w:sz w:val="16"/>
          <w:szCs w:val="16"/>
          <w:lang w:val="es-CR"/>
        </w:rPr>
        <w:t>)</w:t>
      </w:r>
      <w:r w:rsidR="00A73955" w:rsidRPr="007B594B">
        <w:rPr>
          <w:rFonts w:ascii="Verdana" w:hAnsi="Verdana"/>
          <w:sz w:val="16"/>
          <w:szCs w:val="16"/>
          <w:lang w:val="es-CR"/>
        </w:rPr>
        <w:t>.</w:t>
      </w:r>
    </w:p>
  </w:footnote>
  <w:footnote w:id="21">
    <w:p w14:paraId="6A62AF1A" w14:textId="7428D840" w:rsidR="00AC124E" w:rsidRPr="007B594B" w:rsidRDefault="00AC124E" w:rsidP="00014203">
      <w:pPr>
        <w:jc w:val="both"/>
        <w:rPr>
          <w:rFonts w:ascii="Verdana" w:hAnsi="Verdana"/>
          <w:sz w:val="16"/>
          <w:szCs w:val="16"/>
          <w:lang w:val="es-CR"/>
        </w:rPr>
      </w:pPr>
      <w:r w:rsidRPr="007B594B">
        <w:rPr>
          <w:rStyle w:val="Refdenotaalpie"/>
        </w:rPr>
        <w:footnoteRef/>
      </w:r>
      <w:r w:rsidRPr="007B594B">
        <w:rPr>
          <w:rFonts w:ascii="Verdana" w:hAnsi="Verdana"/>
          <w:sz w:val="16"/>
          <w:szCs w:val="16"/>
          <w:lang w:val="es-ES"/>
        </w:rPr>
        <w:t xml:space="preserve"> </w:t>
      </w:r>
      <w:r w:rsidRPr="007B594B">
        <w:rPr>
          <w:rFonts w:ascii="Verdana" w:hAnsi="Verdana"/>
          <w:sz w:val="16"/>
          <w:szCs w:val="16"/>
          <w:lang w:val="es-ES"/>
        </w:rPr>
        <w:tab/>
      </w:r>
      <w:r w:rsidRPr="007B594B">
        <w:rPr>
          <w:rFonts w:ascii="Verdana" w:hAnsi="Verdana"/>
          <w:sz w:val="16"/>
          <w:szCs w:val="16"/>
          <w:lang w:val="es-CR"/>
        </w:rPr>
        <w:t>El representante presentó los siguientes documentos: Certificado emitido por el Penal de San Pedro de La Paz 10 de febrero de 2022, y Carta de la Procuraduría General del Estado de Bolivia de 20 de abril de 2021 (notificada el 22 de abril de 2021) dirigida a la Biblioteca de la Asamblea Legislativa Plurinacional</w:t>
      </w:r>
      <w:r w:rsidR="00A73955" w:rsidRPr="007B594B">
        <w:rPr>
          <w:rFonts w:ascii="Verdana" w:hAnsi="Verdana"/>
          <w:sz w:val="16"/>
          <w:szCs w:val="16"/>
          <w:lang w:val="es-CR"/>
        </w:rPr>
        <w:t xml:space="preserve"> (expediente de prueba, fs. 9374 a 9376 y 9378 a 9379, respectivamente).</w:t>
      </w:r>
    </w:p>
  </w:footnote>
  <w:footnote w:id="22">
    <w:p w14:paraId="46A3AE1E" w14:textId="5F8D1286" w:rsidR="00A73955" w:rsidRPr="007B594B" w:rsidRDefault="00AC124E" w:rsidP="00014203">
      <w:pPr>
        <w:jc w:val="both"/>
        <w:rPr>
          <w:rFonts w:ascii="Verdana" w:hAnsi="Verdana"/>
          <w:sz w:val="16"/>
          <w:szCs w:val="16"/>
          <w:lang w:val="es-CR"/>
        </w:rPr>
      </w:pPr>
      <w:r w:rsidRPr="007B594B">
        <w:rPr>
          <w:rStyle w:val="Refdenotaalpie"/>
        </w:rPr>
        <w:footnoteRef/>
      </w:r>
      <w:r w:rsidRPr="007B594B">
        <w:rPr>
          <w:rFonts w:ascii="Verdana" w:hAnsi="Verdana"/>
          <w:sz w:val="16"/>
          <w:szCs w:val="16"/>
          <w:lang w:val="es-ES"/>
        </w:rPr>
        <w:t xml:space="preserve"> </w:t>
      </w:r>
      <w:r w:rsidRPr="007B594B">
        <w:rPr>
          <w:rFonts w:ascii="Verdana" w:hAnsi="Verdana"/>
          <w:sz w:val="16"/>
          <w:szCs w:val="16"/>
          <w:lang w:val="es-CR"/>
        </w:rPr>
        <w:t xml:space="preserve"> </w:t>
      </w:r>
      <w:r w:rsidRPr="007B594B">
        <w:rPr>
          <w:rFonts w:ascii="Verdana" w:hAnsi="Verdana"/>
          <w:sz w:val="16"/>
          <w:szCs w:val="16"/>
          <w:lang w:val="es-CR"/>
        </w:rPr>
        <w:tab/>
        <w:t>Los representantes presentaron el anexo 5 correspondiente a la Carta de hijo de la señora Verónica Flores: Nemanja Lukic Flores (1972 -2001), dirigida a la señora Olga Flores y en el anexo 6 su traducción</w:t>
      </w:r>
      <w:r w:rsidR="00A73955" w:rsidRPr="007B594B">
        <w:rPr>
          <w:rFonts w:ascii="Verdana" w:hAnsi="Verdana"/>
          <w:sz w:val="16"/>
          <w:szCs w:val="16"/>
          <w:lang w:val="es-CR"/>
        </w:rPr>
        <w:t xml:space="preserve"> (expediente de prueba, fs. 9381 y 9383).</w:t>
      </w:r>
    </w:p>
  </w:footnote>
  <w:footnote w:id="23">
    <w:p w14:paraId="6573EFCB" w14:textId="77777777" w:rsidR="00AC124E" w:rsidRPr="007C693A" w:rsidRDefault="00AC124E" w:rsidP="00014203">
      <w:pPr>
        <w:jc w:val="both"/>
        <w:rPr>
          <w:rFonts w:ascii="Verdana" w:hAnsi="Verdana"/>
          <w:sz w:val="16"/>
          <w:szCs w:val="16"/>
          <w:lang w:val="es-CR"/>
        </w:rPr>
      </w:pPr>
      <w:r w:rsidRPr="007B594B">
        <w:rPr>
          <w:rStyle w:val="Refdenotaalpie"/>
        </w:rPr>
        <w:footnoteRef/>
      </w:r>
      <w:r w:rsidRPr="007B594B">
        <w:rPr>
          <w:rFonts w:ascii="Verdana" w:hAnsi="Verdana"/>
          <w:sz w:val="16"/>
          <w:szCs w:val="16"/>
          <w:lang w:val="es-ES"/>
        </w:rPr>
        <w:t xml:space="preserve"> </w:t>
      </w:r>
      <w:r w:rsidRPr="007B594B">
        <w:rPr>
          <w:rFonts w:ascii="Verdana" w:hAnsi="Verdana"/>
          <w:sz w:val="16"/>
          <w:szCs w:val="16"/>
          <w:lang w:val="es-CR"/>
        </w:rPr>
        <w:t xml:space="preserve"> </w:t>
      </w:r>
      <w:r w:rsidRPr="007B594B">
        <w:rPr>
          <w:rFonts w:ascii="Verdana" w:hAnsi="Verdana"/>
          <w:sz w:val="16"/>
          <w:szCs w:val="16"/>
          <w:lang w:val="es-CR"/>
        </w:rPr>
        <w:tab/>
        <w:t>Los documentos son los siguientes: Documento sobre “Expresas opiniones” de las presuntas víctimas; Cuadros generales y comparativos de procesos judiciales; Presupuesto de Ana Llacer para película bibliográfica; Sinopsis de la película bibliográfica, y Manuscrito de proyecto de Ley medio ambiental.</w:t>
      </w:r>
      <w:r w:rsidRPr="007C693A">
        <w:rPr>
          <w:rFonts w:ascii="Verdana" w:hAnsi="Verdana"/>
          <w:sz w:val="16"/>
          <w:szCs w:val="16"/>
          <w:lang w:val="es-CR"/>
        </w:rPr>
        <w:t xml:space="preserve"> </w:t>
      </w:r>
    </w:p>
  </w:footnote>
  <w:footnote w:id="24">
    <w:p w14:paraId="7F3A6ADF" w14:textId="7440B935" w:rsidR="00AC124E" w:rsidRPr="007C693A" w:rsidRDefault="00AC124E" w:rsidP="00014203">
      <w:pPr>
        <w:jc w:val="both"/>
        <w:rPr>
          <w:rFonts w:ascii="Verdana" w:hAnsi="Verdana"/>
          <w:sz w:val="16"/>
          <w:szCs w:val="16"/>
          <w:lang w:val="es-CR"/>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t>En audiencia pública, la Corte recibió la declaración de la presunta víctima Olga Beatriz Flores Bedregal, ofrecida por el representante; el testigo Eduardo Germán Domínguez Bohrt, ofrecido por el Estado</w:t>
      </w:r>
      <w:r w:rsidR="00325B33">
        <w:rPr>
          <w:rFonts w:ascii="Verdana" w:hAnsi="Verdana"/>
          <w:sz w:val="16"/>
          <w:szCs w:val="16"/>
          <w:lang w:val="es-CR"/>
        </w:rPr>
        <w:t>,</w:t>
      </w:r>
      <w:r w:rsidRPr="007C693A">
        <w:rPr>
          <w:rFonts w:ascii="Verdana" w:hAnsi="Verdana"/>
          <w:sz w:val="16"/>
          <w:szCs w:val="16"/>
          <w:lang w:val="es-CR"/>
        </w:rPr>
        <w:t xml:space="preserve"> y de la perita Kate Doyle, propuesta por la Comisión. Asimismo, la Corte recibió las declaraciones ante fedatario público de las presuntas víctimas Verónica y Lilian Teresa, ambas Flores Bedregal y los dictámenes periciales de Federico </w:t>
      </w:r>
      <w:r>
        <w:rPr>
          <w:rFonts w:ascii="Verdana" w:hAnsi="Verdana"/>
          <w:sz w:val="16"/>
          <w:szCs w:val="16"/>
          <w:lang w:val="es-CR"/>
        </w:rPr>
        <w:t xml:space="preserve">Andrés Paulo </w:t>
      </w:r>
      <w:r w:rsidRPr="007C693A">
        <w:rPr>
          <w:rFonts w:ascii="Verdana" w:hAnsi="Verdana"/>
          <w:sz w:val="16"/>
          <w:szCs w:val="16"/>
          <w:lang w:val="es-CR"/>
        </w:rPr>
        <w:t>Andreu Guzmán, Guiomar Hylea Bejarano Gerke y Marcelo Pablo Pacheco Camacho. El objeto de las referidas declaraciones está establecido en las Resoluciones de la Presidencia de la Corte emitidas el 13 de febrero de 2020 y 8 de diciembre de 2021</w:t>
      </w:r>
      <w:r w:rsidR="00325B33">
        <w:rPr>
          <w:rFonts w:ascii="Verdana" w:hAnsi="Verdana"/>
          <w:sz w:val="16"/>
          <w:szCs w:val="16"/>
          <w:lang w:val="es-CR"/>
        </w:rPr>
        <w:t xml:space="preserve">, </w:t>
      </w:r>
      <w:r w:rsidR="00325B33" w:rsidRPr="00B50CD5">
        <w:rPr>
          <w:rFonts w:ascii="Verdana" w:hAnsi="Verdana"/>
          <w:i/>
          <w:iCs/>
          <w:sz w:val="16"/>
          <w:szCs w:val="16"/>
          <w:lang w:val="es-CR"/>
        </w:rPr>
        <w:t>supra</w:t>
      </w:r>
      <w:r w:rsidR="00325B33">
        <w:rPr>
          <w:rFonts w:ascii="Verdana" w:hAnsi="Verdana"/>
          <w:sz w:val="16"/>
          <w:szCs w:val="16"/>
          <w:lang w:val="es-CR"/>
        </w:rPr>
        <w:t>.</w:t>
      </w:r>
      <w:r>
        <w:rPr>
          <w:rFonts w:ascii="Verdana" w:hAnsi="Verdana"/>
          <w:sz w:val="16"/>
          <w:szCs w:val="16"/>
          <w:lang w:val="es-CR"/>
        </w:rPr>
        <w:t xml:space="preserve"> </w:t>
      </w:r>
    </w:p>
  </w:footnote>
  <w:footnote w:id="25">
    <w:p w14:paraId="279FD2EA" w14:textId="739AD279" w:rsidR="00AC124E" w:rsidRPr="00C11C9B" w:rsidRDefault="00AC124E" w:rsidP="00014203">
      <w:pPr>
        <w:tabs>
          <w:tab w:val="left" w:pos="720"/>
          <w:tab w:val="left" w:pos="810"/>
        </w:tabs>
        <w:jc w:val="both"/>
        <w:rPr>
          <w:rFonts w:ascii="Verdana" w:hAnsi="Verdana"/>
          <w:sz w:val="16"/>
          <w:szCs w:val="16"/>
          <w:lang w:val="es-MX"/>
        </w:rPr>
      </w:pPr>
      <w:r w:rsidRPr="00E843C8">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EC75AF">
        <w:rPr>
          <w:rFonts w:ascii="Verdana" w:hAnsi="Verdana"/>
          <w:i/>
          <w:sz w:val="16"/>
          <w:szCs w:val="16"/>
          <w:lang w:val="es-MX"/>
        </w:rPr>
        <w:t>Cfr.</w:t>
      </w:r>
      <w:r>
        <w:rPr>
          <w:rFonts w:ascii="Verdana" w:hAnsi="Verdana"/>
          <w:sz w:val="16"/>
          <w:szCs w:val="16"/>
          <w:lang w:val="es-MX"/>
        </w:rPr>
        <w:t xml:space="preserve"> </w:t>
      </w:r>
      <w:r w:rsidRPr="007C693A">
        <w:rPr>
          <w:rFonts w:ascii="Verdana" w:hAnsi="Verdana"/>
          <w:sz w:val="16"/>
          <w:szCs w:val="16"/>
          <w:lang w:val="es-MX"/>
        </w:rPr>
        <w:t>Certificado de nacimiento del señor Juan Carlos Flores Bedregal (expediente de prueba, f. 113).</w:t>
      </w:r>
    </w:p>
  </w:footnote>
  <w:footnote w:id="26">
    <w:p w14:paraId="396B12AE" w14:textId="46B16F49" w:rsidR="00AC124E" w:rsidRPr="007C693A" w:rsidRDefault="00AC124E" w:rsidP="00014203">
      <w:pPr>
        <w:jc w:val="both"/>
        <w:rPr>
          <w:rFonts w:ascii="Verdana" w:hAnsi="Verdana"/>
          <w:sz w:val="16"/>
          <w:szCs w:val="16"/>
          <w:lang w:val="es-ES"/>
        </w:rPr>
      </w:pPr>
      <w:r w:rsidRPr="00E843C8">
        <w:rPr>
          <w:rStyle w:val="Refdenotaalpie"/>
        </w:rPr>
        <w:footnoteRef/>
      </w:r>
      <w:r w:rsidRPr="00E57AF1">
        <w:rPr>
          <w:rStyle w:val="Refdenotaalpie"/>
          <w:lang w:val="es-CR"/>
        </w:rPr>
        <w:t xml:space="preserve"> </w:t>
      </w:r>
      <w:r w:rsidRPr="007C693A">
        <w:rPr>
          <w:rFonts w:ascii="Verdana" w:hAnsi="Verdana"/>
          <w:sz w:val="16"/>
          <w:szCs w:val="16"/>
          <w:lang w:val="es-ES"/>
        </w:rPr>
        <w:tab/>
        <w:t xml:space="preserve">La señora Eliana Isbelia Flores Bedregal falleció el 2 de julio de 2017, en La Paz, Bolivia. </w:t>
      </w:r>
      <w:r w:rsidRPr="007C693A">
        <w:rPr>
          <w:rFonts w:ascii="Verdana" w:hAnsi="Verdana"/>
          <w:i/>
          <w:iCs/>
          <w:sz w:val="16"/>
          <w:szCs w:val="16"/>
          <w:lang w:val="es-ES"/>
        </w:rPr>
        <w:t>Cfr</w:t>
      </w:r>
      <w:r w:rsidRPr="007C693A">
        <w:rPr>
          <w:rFonts w:ascii="Verdana" w:hAnsi="Verdana"/>
          <w:sz w:val="16"/>
          <w:szCs w:val="16"/>
          <w:lang w:val="es-ES"/>
        </w:rPr>
        <w:t xml:space="preserve">. Certificado de defunción de Eliana Isbelia Flores Bedregal (expediente de prueba, </w:t>
      </w:r>
      <w:r w:rsidR="00EC75AF">
        <w:rPr>
          <w:rFonts w:ascii="Verdana" w:hAnsi="Verdana"/>
          <w:sz w:val="16"/>
          <w:szCs w:val="16"/>
          <w:lang w:val="es-ES"/>
        </w:rPr>
        <w:t>f</w:t>
      </w:r>
      <w:r w:rsidRPr="007C693A">
        <w:rPr>
          <w:rFonts w:ascii="Verdana" w:hAnsi="Verdana"/>
          <w:sz w:val="16"/>
          <w:szCs w:val="16"/>
          <w:lang w:val="es-ES"/>
        </w:rPr>
        <w:t xml:space="preserve">. 5160).  </w:t>
      </w:r>
    </w:p>
  </w:footnote>
  <w:footnote w:id="27">
    <w:p w14:paraId="5BB8757A" w14:textId="6627691A" w:rsidR="00AC124E" w:rsidRPr="007C693A" w:rsidRDefault="00AC124E" w:rsidP="00014203">
      <w:pPr>
        <w:jc w:val="both"/>
        <w:rPr>
          <w:rFonts w:ascii="Verdana" w:hAnsi="Verdana"/>
          <w:sz w:val="16"/>
          <w:szCs w:val="16"/>
          <w:lang w:val="es-ES"/>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Certificados de nacimiento de Olga</w:t>
      </w:r>
      <w:r w:rsidR="00363EFA">
        <w:rPr>
          <w:rFonts w:ascii="Verdana" w:hAnsi="Verdana"/>
          <w:sz w:val="16"/>
          <w:szCs w:val="16"/>
          <w:lang w:val="es-ES"/>
        </w:rPr>
        <w:t xml:space="preserve"> </w:t>
      </w:r>
      <w:r w:rsidR="00363EFA" w:rsidRPr="006B1CC6">
        <w:rPr>
          <w:rFonts w:ascii="Verdana" w:hAnsi="Verdana"/>
          <w:sz w:val="16"/>
          <w:szCs w:val="16"/>
          <w:lang w:val="es-ES"/>
        </w:rPr>
        <w:t>Beatriz</w:t>
      </w:r>
      <w:r w:rsidRPr="007C693A">
        <w:rPr>
          <w:rFonts w:ascii="Verdana" w:hAnsi="Verdana"/>
          <w:sz w:val="16"/>
          <w:szCs w:val="16"/>
          <w:lang w:val="es-ES"/>
        </w:rPr>
        <w:t>, Eliana Isbelia, Verónica y Lilian Teresa, todas Flores Bedregal (expediente de prueba, fs. 115 a 118).</w:t>
      </w:r>
    </w:p>
  </w:footnote>
  <w:footnote w:id="28">
    <w:p w14:paraId="6BA3DAA7" w14:textId="4E53F33C" w:rsidR="00AC124E" w:rsidRPr="007C693A" w:rsidRDefault="00AC124E" w:rsidP="00014203">
      <w:pPr>
        <w:jc w:val="both"/>
        <w:rPr>
          <w:rFonts w:ascii="Verdana" w:hAnsi="Verdana"/>
          <w:sz w:val="16"/>
          <w:szCs w:val="16"/>
          <w:lang w:val="es-CR"/>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48273A">
        <w:rPr>
          <w:rFonts w:ascii="Verdana" w:hAnsi="Verdana"/>
          <w:sz w:val="16"/>
          <w:szCs w:val="16"/>
          <w:lang w:val="es-CR"/>
        </w:rPr>
        <w:t>La señora Adela Hortensia Villamil no fue peticionaria en el reclamo P-616/06 ante la Comisión Interamericana ni es parte del presente caso ante la Corte. Se ha tomado conocimiento de que la señora Adela Hortensia Villamil se constituyó como peticionaria ante la Comisión mediante el r</w:t>
      </w:r>
      <w:r w:rsidRPr="0018697E">
        <w:rPr>
          <w:rFonts w:ascii="Verdana" w:hAnsi="Verdana"/>
          <w:sz w:val="16"/>
          <w:szCs w:val="16"/>
          <w:lang w:val="es-CR"/>
        </w:rPr>
        <w:t>eclamo registrado bajo el número P-1186/09 y tramitado en forma separada de la petición anteriormente presentada por las hermanas Flores Bedregal. A raíz de dicha petición, la señora Villamil y el Estado llegaron a un acuerdo sobre el otorgamiento de una pensión y otras reparaciones, a</w:t>
      </w:r>
      <w:r w:rsidRPr="0048273A">
        <w:rPr>
          <w:rFonts w:ascii="Verdana" w:hAnsi="Verdana"/>
          <w:sz w:val="16"/>
          <w:szCs w:val="16"/>
          <w:lang w:val="es-CR"/>
        </w:rPr>
        <w:t xml:space="preserve"> cambio del desistimiento del reclamo. Dicho acuerdo no fue homologado por la Comisión por resultar incompatible con las conclusiones de hecho y de derecho establecidas en el Informe de Fondo N</w:t>
      </w:r>
      <w:r w:rsidR="00FC3D09" w:rsidRPr="0048273A">
        <w:rPr>
          <w:rFonts w:ascii="Verdana" w:hAnsi="Verdana"/>
          <w:sz w:val="16"/>
          <w:szCs w:val="16"/>
          <w:lang w:val="es-ES"/>
        </w:rPr>
        <w:t>o.</w:t>
      </w:r>
      <w:r w:rsidRPr="0048273A">
        <w:rPr>
          <w:rFonts w:ascii="Verdana" w:hAnsi="Verdana"/>
          <w:sz w:val="16"/>
          <w:szCs w:val="16"/>
          <w:lang w:val="es-CR"/>
        </w:rPr>
        <w:t xml:space="preserve"> 60/18 en el presente caso.</w:t>
      </w:r>
    </w:p>
  </w:footnote>
  <w:footnote w:id="29">
    <w:p w14:paraId="4E7FA21C" w14:textId="2DE603C1" w:rsidR="00AC124E" w:rsidRPr="007C693A" w:rsidRDefault="00AC124E" w:rsidP="00014203">
      <w:pPr>
        <w:tabs>
          <w:tab w:val="left" w:pos="720"/>
          <w:tab w:val="left" w:pos="810"/>
        </w:tabs>
        <w:jc w:val="both"/>
        <w:rPr>
          <w:rFonts w:ascii="Verdana" w:hAnsi="Verdana"/>
          <w:sz w:val="16"/>
          <w:szCs w:val="16"/>
          <w:lang w:val="es-MX"/>
        </w:rPr>
      </w:pPr>
      <w:r w:rsidRPr="00E843C8">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Declaración de Verónica Flores Bedregal rendida mediante affid</w:t>
      </w:r>
      <w:r w:rsidR="008667D4">
        <w:rPr>
          <w:rFonts w:ascii="Verdana" w:hAnsi="Verdana"/>
          <w:sz w:val="16"/>
          <w:szCs w:val="16"/>
          <w:lang w:val="es-MX"/>
        </w:rPr>
        <w:t>á</w:t>
      </w:r>
      <w:r w:rsidRPr="007C693A">
        <w:rPr>
          <w:rFonts w:ascii="Verdana" w:hAnsi="Verdana"/>
          <w:sz w:val="16"/>
          <w:szCs w:val="16"/>
          <w:lang w:val="es-MX"/>
        </w:rPr>
        <w:t xml:space="preserve">vit el </w:t>
      </w:r>
      <w:r w:rsidR="00B11E0B">
        <w:rPr>
          <w:rFonts w:ascii="Verdana" w:hAnsi="Verdana"/>
          <w:sz w:val="16"/>
          <w:szCs w:val="16"/>
          <w:lang w:val="es-MX"/>
        </w:rPr>
        <w:t>3</w:t>
      </w:r>
      <w:r w:rsidRPr="007C693A">
        <w:rPr>
          <w:rFonts w:ascii="Verdana" w:hAnsi="Verdana"/>
          <w:sz w:val="16"/>
          <w:szCs w:val="16"/>
          <w:lang w:val="es-MX"/>
        </w:rPr>
        <w:t xml:space="preserve"> de marzo de 2020 (expediente de prueba, fs. 8926 a 8957), y Publicación titulada </w:t>
      </w:r>
      <w:r w:rsidR="008667D4">
        <w:rPr>
          <w:rFonts w:ascii="Verdana" w:hAnsi="Verdana"/>
          <w:sz w:val="16"/>
          <w:szCs w:val="16"/>
          <w:lang w:val="es-MX"/>
        </w:rPr>
        <w:t>“</w:t>
      </w:r>
      <w:r w:rsidRPr="007C693A">
        <w:rPr>
          <w:rFonts w:ascii="Verdana" w:hAnsi="Verdana"/>
          <w:sz w:val="16"/>
          <w:szCs w:val="16"/>
          <w:lang w:val="es-MX"/>
        </w:rPr>
        <w:t>Carta inconclusa a mi hermano Carlos</w:t>
      </w:r>
      <w:r w:rsidR="008667D4">
        <w:rPr>
          <w:rFonts w:ascii="Verdana" w:hAnsi="Verdana"/>
          <w:sz w:val="16"/>
          <w:szCs w:val="16"/>
          <w:lang w:val="es-MX"/>
        </w:rPr>
        <w:t>”</w:t>
      </w:r>
      <w:r w:rsidRPr="007C693A">
        <w:rPr>
          <w:rFonts w:ascii="Verdana" w:hAnsi="Verdana"/>
          <w:sz w:val="16"/>
          <w:szCs w:val="16"/>
          <w:lang w:val="es-MX"/>
        </w:rPr>
        <w:t>, autoría de Olga Flores Bedregal (expediente de prueba</w:t>
      </w:r>
      <w:r w:rsidR="000665D5">
        <w:rPr>
          <w:rFonts w:ascii="Verdana" w:hAnsi="Verdana"/>
          <w:sz w:val="16"/>
          <w:szCs w:val="16"/>
          <w:lang w:val="es-MX"/>
        </w:rPr>
        <w:t xml:space="preserve">, </w:t>
      </w:r>
      <w:r w:rsidRPr="007C693A">
        <w:rPr>
          <w:rFonts w:ascii="Verdana" w:hAnsi="Verdana"/>
          <w:sz w:val="16"/>
          <w:szCs w:val="16"/>
          <w:lang w:val="es-MX"/>
        </w:rPr>
        <w:t>fs. 120 a 206).</w:t>
      </w:r>
    </w:p>
  </w:footnote>
  <w:footnote w:id="30">
    <w:p w14:paraId="117AEF61" w14:textId="1F9F82B3" w:rsidR="00AC124E" w:rsidRPr="007C693A" w:rsidRDefault="00AC124E" w:rsidP="00014203">
      <w:pPr>
        <w:jc w:val="both"/>
        <w:rPr>
          <w:rFonts w:ascii="Verdana" w:hAnsi="Verdana"/>
          <w:sz w:val="16"/>
          <w:szCs w:val="16"/>
          <w:lang w:val="es-ES"/>
        </w:rPr>
      </w:pPr>
      <w:r w:rsidRPr="00E843C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Declaración de Lilian Teresa Flores Bedregal rendida mediante affidávit de 5 de marzo de 2020 (expediente de prueba, fs. 8959 a 8982).</w:t>
      </w:r>
    </w:p>
  </w:footnote>
  <w:footnote w:id="31">
    <w:p w14:paraId="343E2299" w14:textId="717814D7" w:rsidR="00AC124E" w:rsidRPr="007C693A" w:rsidRDefault="00AC124E" w:rsidP="00014203">
      <w:pPr>
        <w:tabs>
          <w:tab w:val="left" w:pos="720"/>
          <w:tab w:val="left" w:pos="810"/>
        </w:tabs>
        <w:jc w:val="both"/>
        <w:rPr>
          <w:rFonts w:ascii="Verdana" w:hAnsi="Verdana"/>
          <w:sz w:val="16"/>
          <w:szCs w:val="16"/>
          <w:lang w:val="es-MX"/>
        </w:rPr>
      </w:pPr>
      <w:r w:rsidRPr="00E843C8">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Declaraciones de Lilian Teresa y Verónica Flores Bedregal</w:t>
      </w:r>
      <w:r w:rsidR="00B11E0B">
        <w:rPr>
          <w:rFonts w:ascii="Verdana" w:hAnsi="Verdana"/>
          <w:sz w:val="16"/>
          <w:szCs w:val="16"/>
          <w:lang w:val="es-MX"/>
        </w:rPr>
        <w:t xml:space="preserve">, </w:t>
      </w:r>
      <w:r w:rsidR="00B11E0B" w:rsidRPr="00B11E0B">
        <w:rPr>
          <w:rFonts w:ascii="Verdana" w:hAnsi="Verdana"/>
          <w:i/>
          <w:iCs/>
          <w:sz w:val="16"/>
          <w:szCs w:val="16"/>
          <w:lang w:val="es-MX"/>
        </w:rPr>
        <w:t>supra</w:t>
      </w:r>
      <w:r w:rsidRPr="007C693A">
        <w:rPr>
          <w:rFonts w:ascii="Verdana" w:hAnsi="Verdana"/>
          <w:sz w:val="16"/>
          <w:szCs w:val="16"/>
          <w:lang w:val="es-MX"/>
        </w:rPr>
        <w:t>, y</w:t>
      </w:r>
      <w:r w:rsidRPr="007C693A">
        <w:rPr>
          <w:rFonts w:ascii="Verdana" w:hAnsi="Verdana"/>
          <w:b/>
          <w:sz w:val="16"/>
          <w:szCs w:val="16"/>
          <w:lang w:val="es-MX"/>
        </w:rPr>
        <w:t xml:space="preserve"> </w:t>
      </w:r>
      <w:r w:rsidRPr="007C693A">
        <w:rPr>
          <w:rFonts w:ascii="Verdana" w:hAnsi="Verdana"/>
          <w:sz w:val="16"/>
          <w:szCs w:val="16"/>
          <w:lang w:val="es-MX"/>
        </w:rPr>
        <w:t>Publicación titulada “Carta inconclusa a mi hermano Carlos”,</w:t>
      </w:r>
      <w:r w:rsidR="004A4C00">
        <w:rPr>
          <w:rFonts w:ascii="Verdana" w:hAnsi="Verdana"/>
          <w:sz w:val="16"/>
          <w:szCs w:val="16"/>
          <w:lang w:val="es-MX"/>
        </w:rPr>
        <w:t xml:space="preserve"> </w:t>
      </w:r>
      <w:r w:rsidR="004A4C00" w:rsidRPr="004A4C00">
        <w:rPr>
          <w:rFonts w:ascii="Verdana" w:hAnsi="Verdana"/>
          <w:i/>
          <w:iCs/>
          <w:sz w:val="16"/>
          <w:szCs w:val="16"/>
          <w:lang w:val="es-MX"/>
        </w:rPr>
        <w:t>supra</w:t>
      </w:r>
      <w:r w:rsidRPr="007C693A">
        <w:rPr>
          <w:rFonts w:ascii="Verdana" w:hAnsi="Verdana"/>
          <w:sz w:val="16"/>
          <w:szCs w:val="16"/>
          <w:lang w:val="es-MX"/>
        </w:rPr>
        <w:t>.</w:t>
      </w:r>
    </w:p>
  </w:footnote>
  <w:footnote w:id="32">
    <w:p w14:paraId="4EC21090" w14:textId="740F3C01" w:rsidR="00AC124E" w:rsidRPr="007C693A" w:rsidRDefault="00AC124E" w:rsidP="00014203">
      <w:pPr>
        <w:tabs>
          <w:tab w:val="left" w:pos="720"/>
          <w:tab w:val="left" w:pos="810"/>
        </w:tabs>
        <w:jc w:val="both"/>
        <w:rPr>
          <w:rFonts w:ascii="Verdana" w:hAnsi="Verdana"/>
          <w:color w:val="FF0000"/>
          <w:sz w:val="16"/>
          <w:szCs w:val="16"/>
          <w:lang w:val="es-MX"/>
        </w:rPr>
      </w:pPr>
      <w:r w:rsidRPr="00E843C8">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Publicación titulada “Carta inconclusa a mi hermano Carlos”,</w:t>
      </w:r>
      <w:r w:rsidR="000C45E9">
        <w:rPr>
          <w:rFonts w:ascii="Verdana" w:hAnsi="Verdana"/>
          <w:sz w:val="16"/>
          <w:szCs w:val="16"/>
          <w:lang w:val="es-MX"/>
        </w:rPr>
        <w:t xml:space="preserve"> </w:t>
      </w:r>
      <w:r w:rsidR="000C45E9" w:rsidRPr="000C45E9">
        <w:rPr>
          <w:rFonts w:ascii="Verdana" w:hAnsi="Verdana"/>
          <w:i/>
          <w:iCs/>
          <w:sz w:val="16"/>
          <w:szCs w:val="16"/>
          <w:lang w:val="es-MX"/>
        </w:rPr>
        <w:t>supra</w:t>
      </w:r>
      <w:r w:rsidRPr="007C693A">
        <w:rPr>
          <w:rFonts w:ascii="Verdana" w:hAnsi="Verdana"/>
          <w:sz w:val="16"/>
          <w:szCs w:val="16"/>
          <w:lang w:val="es-MX"/>
        </w:rPr>
        <w:t xml:space="preserve">. </w:t>
      </w:r>
    </w:p>
  </w:footnote>
  <w:footnote w:id="33">
    <w:p w14:paraId="5D8BA522" w14:textId="1614BC29" w:rsidR="00AC124E" w:rsidRPr="000665D5" w:rsidRDefault="00AC124E" w:rsidP="00014203">
      <w:pPr>
        <w:jc w:val="both"/>
        <w:rPr>
          <w:rFonts w:ascii="Verdana" w:hAnsi="Verdana"/>
          <w:iCs/>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r>
      <w:r w:rsidRPr="000665D5">
        <w:rPr>
          <w:rFonts w:ascii="Verdana" w:hAnsi="Verdana"/>
          <w:i/>
          <w:sz w:val="16"/>
          <w:szCs w:val="16"/>
          <w:lang w:val="es-ES"/>
        </w:rPr>
        <w:t xml:space="preserve">Cfr. Caso Ticona Estrada y otros Vs. Bolivia. Fondo, Reparaciones y Costas. </w:t>
      </w:r>
      <w:r w:rsidRPr="000665D5">
        <w:rPr>
          <w:rFonts w:ascii="Verdana" w:hAnsi="Verdana"/>
          <w:iCs/>
          <w:sz w:val="16"/>
          <w:szCs w:val="16"/>
          <w:lang w:val="es-ES"/>
        </w:rPr>
        <w:t xml:space="preserve">Sentencia de 27 de noviembre de 2008. Serie C No. 191. </w:t>
      </w:r>
    </w:p>
  </w:footnote>
  <w:footnote w:id="34">
    <w:p w14:paraId="1A82FCEF" w14:textId="2768E460" w:rsidR="00AC124E" w:rsidRPr="000665D5" w:rsidRDefault="00AC124E" w:rsidP="00014203">
      <w:pPr>
        <w:jc w:val="both"/>
        <w:rPr>
          <w:rFonts w:ascii="Verdana" w:hAnsi="Verdana"/>
          <w:sz w:val="16"/>
          <w:szCs w:val="16"/>
          <w:lang w:val="es-ES"/>
        </w:rPr>
      </w:pPr>
      <w:r w:rsidRPr="000665D5">
        <w:rPr>
          <w:rStyle w:val="Refdenotaalpie"/>
        </w:rPr>
        <w:footnoteRef/>
      </w:r>
      <w:r w:rsidRPr="000665D5">
        <w:rPr>
          <w:rFonts w:ascii="Verdana" w:hAnsi="Verdana"/>
          <w:sz w:val="16"/>
          <w:szCs w:val="16"/>
          <w:lang w:val="es-ES"/>
        </w:rPr>
        <w:t xml:space="preserve"> </w:t>
      </w:r>
      <w:r w:rsidRPr="000665D5">
        <w:rPr>
          <w:rFonts w:ascii="Verdana" w:hAnsi="Verdana"/>
          <w:sz w:val="16"/>
          <w:szCs w:val="16"/>
          <w:lang w:val="es-ES"/>
        </w:rPr>
        <w:tab/>
      </w:r>
      <w:r w:rsidRPr="000665D5">
        <w:rPr>
          <w:rFonts w:ascii="Verdana" w:hAnsi="Verdana"/>
          <w:i/>
          <w:sz w:val="16"/>
          <w:szCs w:val="16"/>
          <w:lang w:val="es-ES"/>
        </w:rPr>
        <w:t>Cfr. Caso Ticona Estrada y otros Vs. Bolivia</w:t>
      </w:r>
      <w:r w:rsidR="000C45E9">
        <w:rPr>
          <w:rFonts w:ascii="Verdana" w:hAnsi="Verdana"/>
          <w:i/>
          <w:sz w:val="16"/>
          <w:szCs w:val="16"/>
          <w:lang w:val="es-ES"/>
        </w:rPr>
        <w:t>, supra</w:t>
      </w:r>
      <w:r w:rsidRPr="000665D5">
        <w:rPr>
          <w:rFonts w:ascii="Verdana" w:hAnsi="Verdana"/>
          <w:iCs/>
          <w:sz w:val="16"/>
          <w:szCs w:val="16"/>
          <w:lang w:val="es-ES"/>
        </w:rPr>
        <w:t>, párr. 46.</w:t>
      </w:r>
      <w:r w:rsidRPr="000665D5">
        <w:rPr>
          <w:rFonts w:ascii="Verdana" w:hAnsi="Verdana"/>
          <w:sz w:val="16"/>
          <w:szCs w:val="16"/>
          <w:lang w:val="es-ES"/>
        </w:rPr>
        <w:t xml:space="preserve"> </w:t>
      </w:r>
    </w:p>
  </w:footnote>
  <w:footnote w:id="35">
    <w:p w14:paraId="3900E087" w14:textId="4142344D" w:rsidR="00AC124E" w:rsidRPr="007C693A" w:rsidRDefault="00AC124E" w:rsidP="00014203">
      <w:pPr>
        <w:jc w:val="both"/>
        <w:rPr>
          <w:rFonts w:ascii="Verdana" w:hAnsi="Verdana"/>
          <w:sz w:val="16"/>
          <w:szCs w:val="16"/>
          <w:lang w:val="es-ES"/>
        </w:rPr>
      </w:pPr>
      <w:r w:rsidRPr="000665D5">
        <w:rPr>
          <w:rStyle w:val="Refdenotaalpie"/>
        </w:rPr>
        <w:footnoteRef/>
      </w:r>
      <w:r w:rsidRPr="000665D5">
        <w:rPr>
          <w:rFonts w:ascii="Verdana" w:hAnsi="Verdana"/>
          <w:sz w:val="16"/>
          <w:szCs w:val="16"/>
          <w:lang w:val="es-ES"/>
        </w:rPr>
        <w:t xml:space="preserve"> </w:t>
      </w:r>
      <w:r w:rsidRPr="000665D5">
        <w:rPr>
          <w:rFonts w:ascii="Verdana" w:hAnsi="Verdana"/>
          <w:sz w:val="16"/>
          <w:szCs w:val="16"/>
          <w:lang w:val="es-ES"/>
        </w:rPr>
        <w:tab/>
      </w:r>
      <w:r w:rsidRPr="000665D5">
        <w:rPr>
          <w:rFonts w:ascii="Verdana" w:hAnsi="Verdana"/>
          <w:i/>
          <w:sz w:val="16"/>
          <w:szCs w:val="16"/>
          <w:lang w:val="es-ES"/>
        </w:rPr>
        <w:t>Cfr</w:t>
      </w:r>
      <w:r w:rsidRPr="000665D5">
        <w:rPr>
          <w:rFonts w:ascii="Verdana" w:hAnsi="Verdana"/>
          <w:sz w:val="16"/>
          <w:szCs w:val="16"/>
          <w:lang w:val="es-ES"/>
        </w:rPr>
        <w:t xml:space="preserve">. Sentencia de la Corte Suprema de Justicia de la Nación de 15 de abril de 1993, emitida en los </w:t>
      </w:r>
      <w:r w:rsidR="00280E4D">
        <w:rPr>
          <w:rFonts w:ascii="Verdana" w:hAnsi="Verdana"/>
          <w:sz w:val="16"/>
          <w:szCs w:val="16"/>
          <w:lang w:val="es-ES"/>
        </w:rPr>
        <w:t>J</w:t>
      </w:r>
      <w:r w:rsidRPr="000665D5">
        <w:rPr>
          <w:rFonts w:ascii="Verdana" w:hAnsi="Verdana"/>
          <w:sz w:val="16"/>
          <w:szCs w:val="16"/>
          <w:lang w:val="es-ES"/>
        </w:rPr>
        <w:t xml:space="preserve">uicios de </w:t>
      </w:r>
      <w:r w:rsidR="00280E4D">
        <w:rPr>
          <w:rFonts w:ascii="Verdana" w:hAnsi="Verdana"/>
          <w:sz w:val="16"/>
          <w:szCs w:val="16"/>
          <w:lang w:val="es-ES"/>
        </w:rPr>
        <w:t>R</w:t>
      </w:r>
      <w:r w:rsidRPr="000665D5">
        <w:rPr>
          <w:rFonts w:ascii="Verdana" w:hAnsi="Verdana"/>
          <w:sz w:val="16"/>
          <w:szCs w:val="16"/>
          <w:lang w:val="es-ES"/>
        </w:rPr>
        <w:t>esponsabilidad acumulados seguidos por el Ministerio Público y sus coadyuvantes contra Luis García Meza Tej</w:t>
      </w:r>
      <w:r w:rsidR="002B18E1">
        <w:rPr>
          <w:rFonts w:ascii="Verdana" w:hAnsi="Verdana"/>
          <w:sz w:val="16"/>
          <w:szCs w:val="16"/>
          <w:lang w:val="es-ES"/>
        </w:rPr>
        <w:t>a</w:t>
      </w:r>
      <w:r w:rsidRPr="000665D5">
        <w:rPr>
          <w:rFonts w:ascii="Verdana" w:hAnsi="Verdana"/>
          <w:sz w:val="16"/>
          <w:szCs w:val="16"/>
          <w:lang w:val="es-ES"/>
        </w:rPr>
        <w:t xml:space="preserve">da y sus colaboradores (expediente de prueba, fs. 8 a 111). </w:t>
      </w:r>
    </w:p>
  </w:footnote>
  <w:footnote w:id="36">
    <w:p w14:paraId="48AE9250" w14:textId="437D0691"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 xml:space="preserve">Las autoridades judiciales determinaron que la presunta víctima se encontraba en la sede de la COB al momento del asalto armado el 17 de julio de 1980, en el marco del golpe </w:t>
      </w:r>
      <w:r w:rsidRPr="00E16922">
        <w:rPr>
          <w:rFonts w:ascii="Verdana" w:hAnsi="Verdana"/>
          <w:sz w:val="16"/>
          <w:szCs w:val="16"/>
          <w:lang w:val="es-ES"/>
        </w:rPr>
        <w:t>militar.  El diputado nacional y líder socialista Marcelo Quiroga Santa Cruz y el diputado Juan Carlos Flores Bedregal se encontraba reunidos e</w:t>
      </w:r>
      <w:r w:rsidR="00363EFA" w:rsidRPr="00E16922">
        <w:rPr>
          <w:rFonts w:ascii="Verdana" w:hAnsi="Verdana"/>
          <w:sz w:val="16"/>
          <w:szCs w:val="16"/>
          <w:lang w:val="es-ES"/>
        </w:rPr>
        <w:t>n la COB</w:t>
      </w:r>
      <w:r w:rsidRPr="00E16922">
        <w:rPr>
          <w:rFonts w:ascii="Verdana" w:hAnsi="Verdana"/>
          <w:sz w:val="16"/>
          <w:szCs w:val="16"/>
          <w:lang w:val="es-ES"/>
        </w:rPr>
        <w:t xml:space="preserve">. Estos hechos no fueron controvertidos por el Estado. </w:t>
      </w:r>
      <w:r w:rsidRPr="00E16922">
        <w:rPr>
          <w:rFonts w:ascii="Verdana" w:hAnsi="Verdana"/>
          <w:i/>
          <w:sz w:val="16"/>
          <w:szCs w:val="16"/>
          <w:lang w:val="es-ES"/>
        </w:rPr>
        <w:t>Cfr</w:t>
      </w:r>
      <w:r w:rsidRPr="00E16922">
        <w:rPr>
          <w:rFonts w:ascii="Verdana" w:hAnsi="Verdana"/>
          <w:sz w:val="16"/>
          <w:szCs w:val="16"/>
          <w:lang w:val="es-ES"/>
        </w:rPr>
        <w:t xml:space="preserve">. </w:t>
      </w:r>
      <w:r w:rsidR="00A93AA6" w:rsidRPr="00E16922">
        <w:rPr>
          <w:rFonts w:ascii="Verdana" w:hAnsi="Verdana"/>
          <w:sz w:val="16"/>
          <w:szCs w:val="16"/>
          <w:lang w:val="es-ES"/>
        </w:rPr>
        <w:t>Resolución 129/2007</w:t>
      </w:r>
      <w:r w:rsidR="00B50CD5" w:rsidRPr="00E16922">
        <w:rPr>
          <w:rFonts w:ascii="Verdana" w:hAnsi="Verdana"/>
          <w:sz w:val="16"/>
          <w:szCs w:val="16"/>
          <w:lang w:val="es-ES"/>
        </w:rPr>
        <w:t xml:space="preserve"> </w:t>
      </w:r>
      <w:r w:rsidR="00A93AA6" w:rsidRPr="00E16922">
        <w:rPr>
          <w:rFonts w:ascii="Verdana" w:hAnsi="Verdana"/>
          <w:sz w:val="16"/>
          <w:szCs w:val="16"/>
          <w:lang w:val="es-ES"/>
        </w:rPr>
        <w:t>d</w:t>
      </w:r>
      <w:r w:rsidRPr="00E16922">
        <w:rPr>
          <w:rFonts w:ascii="Verdana" w:hAnsi="Verdana"/>
          <w:sz w:val="16"/>
          <w:szCs w:val="16"/>
          <w:lang w:val="es-ES"/>
        </w:rPr>
        <w:t>el Juzgado Segundo de Partido en lo Penal Liquidador de la Corte Superior del Distrito de La Paz,</w:t>
      </w:r>
      <w:r w:rsidR="0018697E" w:rsidRPr="00E16922">
        <w:rPr>
          <w:rFonts w:ascii="Verdana" w:hAnsi="Verdana"/>
          <w:sz w:val="16"/>
          <w:szCs w:val="16"/>
          <w:lang w:val="es-ES"/>
        </w:rPr>
        <w:t xml:space="preserve"> de</w:t>
      </w:r>
      <w:r w:rsidRPr="00E16922">
        <w:rPr>
          <w:rFonts w:ascii="Verdana" w:hAnsi="Verdana"/>
          <w:sz w:val="16"/>
          <w:szCs w:val="16"/>
          <w:lang w:val="es-ES"/>
        </w:rPr>
        <w:t xml:space="preserve"> 12 de diciembre de 2007</w:t>
      </w:r>
      <w:r w:rsidR="00615BFF" w:rsidRPr="00E16922">
        <w:rPr>
          <w:rFonts w:ascii="Verdana" w:hAnsi="Verdana"/>
          <w:sz w:val="16"/>
          <w:szCs w:val="16"/>
          <w:lang w:val="es-ES"/>
        </w:rPr>
        <w:t>. Proceso en contra de Franz Pizarro Solano y otros por los delitos de alzamiento armado contra la seguridad y soberanía del Estado y otros</w:t>
      </w:r>
      <w:r w:rsidRPr="00E16922">
        <w:rPr>
          <w:rFonts w:ascii="Verdana" w:hAnsi="Verdana"/>
          <w:sz w:val="16"/>
          <w:szCs w:val="16"/>
          <w:lang w:val="es-ES"/>
        </w:rPr>
        <w:t xml:space="preserve"> (expediente de prueba, fs. 210 a 252).</w:t>
      </w:r>
    </w:p>
  </w:footnote>
  <w:footnote w:id="37">
    <w:p w14:paraId="050481E3" w14:textId="2CBB8720"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Sentencia de la Corte Suprema de Justicia de la Nación de 15 de abril de 1993</w:t>
      </w:r>
      <w:r w:rsidR="00937CF0">
        <w:rPr>
          <w:rFonts w:ascii="Verdana" w:hAnsi="Verdana"/>
          <w:sz w:val="16"/>
          <w:szCs w:val="16"/>
          <w:lang w:val="es-ES"/>
        </w:rPr>
        <w:t xml:space="preserve">, </w:t>
      </w:r>
      <w:r w:rsidR="00937CF0" w:rsidRPr="00B50CD5">
        <w:rPr>
          <w:rFonts w:ascii="Verdana" w:hAnsi="Verdana"/>
          <w:i/>
          <w:iCs/>
          <w:sz w:val="16"/>
          <w:szCs w:val="16"/>
          <w:lang w:val="es-ES"/>
        </w:rPr>
        <w:t>supra</w:t>
      </w:r>
      <w:r w:rsidR="009241FE">
        <w:rPr>
          <w:rFonts w:ascii="Verdana" w:hAnsi="Verdana"/>
          <w:i/>
          <w:iCs/>
          <w:sz w:val="16"/>
          <w:szCs w:val="16"/>
          <w:lang w:val="es-ES"/>
        </w:rPr>
        <w:t>.</w:t>
      </w:r>
    </w:p>
  </w:footnote>
  <w:footnote w:id="38">
    <w:p w14:paraId="1A5F1637" w14:textId="2CE3BC6D" w:rsidR="00AC124E" w:rsidRPr="007C693A" w:rsidRDefault="00AC124E" w:rsidP="00014203">
      <w:pPr>
        <w:jc w:val="both"/>
        <w:rPr>
          <w:rFonts w:ascii="Verdana" w:hAnsi="Verdana"/>
          <w:sz w:val="16"/>
          <w:szCs w:val="16"/>
          <w:lang w:val="es-CR"/>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 xml:space="preserve">Las referencias a los hechos relacionados con </w:t>
      </w:r>
      <w:r w:rsidRPr="007C693A">
        <w:rPr>
          <w:rFonts w:ascii="Verdana" w:hAnsi="Verdana"/>
          <w:sz w:val="16"/>
          <w:szCs w:val="16"/>
          <w:lang w:val="es-MX"/>
        </w:rPr>
        <w:t xml:space="preserve">Marcelo Quiroga Santa Cruz son parte de los </w:t>
      </w:r>
      <w:r w:rsidRPr="007C693A">
        <w:rPr>
          <w:rFonts w:ascii="Verdana" w:hAnsi="Verdana"/>
          <w:sz w:val="16"/>
          <w:szCs w:val="16"/>
          <w:lang w:val="es-ES"/>
        </w:rPr>
        <w:t>antecedentes y el contexto del presente caso y no constituyen análisis o determinaciones jurídicas alguna por parte de la Corte.</w:t>
      </w:r>
    </w:p>
  </w:footnote>
  <w:footnote w:id="39">
    <w:p w14:paraId="2DE10967" w14:textId="406C2C10" w:rsidR="00AC124E" w:rsidRPr="000665D5" w:rsidRDefault="00AC124E" w:rsidP="00014203">
      <w:pPr>
        <w:tabs>
          <w:tab w:val="left" w:pos="720"/>
          <w:tab w:val="left" w:pos="810"/>
        </w:tabs>
        <w:jc w:val="both"/>
        <w:rPr>
          <w:rFonts w:ascii="Verdana" w:hAnsi="Verdana"/>
          <w:sz w:val="16"/>
          <w:szCs w:val="16"/>
          <w:lang w:val="es-MX"/>
        </w:rPr>
      </w:pPr>
      <w:r w:rsidRPr="000665D5">
        <w:rPr>
          <w:rStyle w:val="Refdenotaalpie"/>
        </w:rPr>
        <w:footnoteRef/>
      </w:r>
      <w:r w:rsidRPr="000665D5">
        <w:rPr>
          <w:rFonts w:ascii="Verdana" w:hAnsi="Verdana"/>
          <w:sz w:val="16"/>
          <w:szCs w:val="16"/>
          <w:lang w:val="es-MX"/>
        </w:rPr>
        <w:t xml:space="preserve"> </w:t>
      </w:r>
      <w:r w:rsidRPr="000665D5">
        <w:rPr>
          <w:rFonts w:ascii="Verdana" w:hAnsi="Verdana"/>
          <w:sz w:val="16"/>
          <w:szCs w:val="16"/>
          <w:lang w:val="es-MX"/>
        </w:rPr>
        <w:tab/>
      </w:r>
      <w:r w:rsidRPr="000665D5">
        <w:rPr>
          <w:rFonts w:ascii="Verdana" w:hAnsi="Verdana"/>
          <w:i/>
          <w:sz w:val="16"/>
          <w:szCs w:val="16"/>
          <w:lang w:val="es-ES"/>
        </w:rPr>
        <w:t>Cfr</w:t>
      </w:r>
      <w:r w:rsidRPr="000665D5">
        <w:rPr>
          <w:rFonts w:ascii="Verdana" w:hAnsi="Verdana"/>
          <w:sz w:val="16"/>
          <w:szCs w:val="16"/>
          <w:lang w:val="es-ES"/>
        </w:rPr>
        <w:t>. Declaración de</w:t>
      </w:r>
      <w:r w:rsidR="00F535A8">
        <w:rPr>
          <w:rFonts w:ascii="Verdana" w:hAnsi="Verdana"/>
          <w:sz w:val="16"/>
          <w:szCs w:val="16"/>
          <w:lang w:val="es-ES"/>
        </w:rPr>
        <w:t xml:space="preserve"> </w:t>
      </w:r>
      <w:r w:rsidRPr="000665D5">
        <w:rPr>
          <w:rFonts w:ascii="Verdana" w:hAnsi="Verdana"/>
          <w:sz w:val="16"/>
          <w:szCs w:val="16"/>
          <w:lang w:val="es-ES"/>
        </w:rPr>
        <w:t>Eduardo Germán Domínguez Bohrt, de 13 de mayo de 2019, con base en declaración rendida ante la Comisión de la Verdad, el 11 de abril de 2019 (expediente de prueba, fs. 8873 a 8876), y Declaración de</w:t>
      </w:r>
      <w:r w:rsidR="00F535A8">
        <w:rPr>
          <w:rFonts w:ascii="Verdana" w:hAnsi="Verdana"/>
          <w:sz w:val="16"/>
          <w:szCs w:val="16"/>
          <w:lang w:val="es-ES"/>
        </w:rPr>
        <w:t xml:space="preserve"> </w:t>
      </w:r>
      <w:r w:rsidRPr="000665D5">
        <w:rPr>
          <w:rFonts w:ascii="Verdana" w:hAnsi="Verdana"/>
          <w:sz w:val="16"/>
          <w:szCs w:val="16"/>
          <w:lang w:val="es-ES"/>
        </w:rPr>
        <w:t xml:space="preserve">Eduardo Germán Domínguez Bohrt rendida ante la Corte durante la audiencia pública celebrada el 10 de febrero de 2022. </w:t>
      </w:r>
    </w:p>
  </w:footnote>
  <w:footnote w:id="40">
    <w:p w14:paraId="43954191" w14:textId="18D8BBD1" w:rsidR="00AC124E" w:rsidRPr="000665D5" w:rsidRDefault="00AC124E" w:rsidP="00014203">
      <w:pPr>
        <w:jc w:val="both"/>
        <w:rPr>
          <w:rFonts w:ascii="Verdana" w:hAnsi="Verdana"/>
          <w:color w:val="7030A0"/>
          <w:sz w:val="16"/>
          <w:szCs w:val="16"/>
          <w:lang w:val="es-ES"/>
        </w:rPr>
      </w:pPr>
      <w:r w:rsidRPr="000665D5">
        <w:rPr>
          <w:rStyle w:val="Refdenotaalpie"/>
        </w:rPr>
        <w:footnoteRef/>
      </w:r>
      <w:r w:rsidRPr="000665D5">
        <w:rPr>
          <w:rFonts w:ascii="Verdana" w:hAnsi="Verdana"/>
          <w:color w:val="8064A2" w:themeColor="accent4"/>
          <w:sz w:val="16"/>
          <w:szCs w:val="16"/>
          <w:lang w:val="es-ES"/>
        </w:rPr>
        <w:t xml:space="preserve"> </w:t>
      </w:r>
      <w:r w:rsidRPr="000665D5">
        <w:rPr>
          <w:rFonts w:ascii="Verdana" w:hAnsi="Verdana"/>
          <w:color w:val="8064A2" w:themeColor="accent4"/>
          <w:sz w:val="16"/>
          <w:szCs w:val="16"/>
          <w:lang w:val="es-ES"/>
        </w:rPr>
        <w:tab/>
      </w:r>
      <w:r w:rsidRPr="000665D5">
        <w:rPr>
          <w:rFonts w:ascii="Verdana" w:hAnsi="Verdana"/>
          <w:sz w:val="16"/>
          <w:szCs w:val="16"/>
          <w:lang w:val="es-ES"/>
        </w:rPr>
        <w:t xml:space="preserve">En el proceso interno constan las declaraciones de los señores Joaquín Quisbert Quiroga y Rogelio Gómez Espinoza, funcionarios de la Jefatura de la Dirección de Investigación Criminal, quienes indicaron que junto a otras personas procedieron al levantamiento de los cadáveres de Juan Carlos Flores Bedregal y Marcelo Quiroga en las inmediaciones del camino a Mallasa, en la ciudad de La Paz. Señalaron que “ambos cuerpos habían sido despeñados y que presentaban heridas de bala”. Rogelio Gómez Espinoza declaró además que depositaron los cuerpos en la Morgue del Hospital de Clínicas, y media hora después de ello se enteraron de que los cadáveres habían sido robados. </w:t>
      </w:r>
      <w:r w:rsidRPr="000665D5">
        <w:rPr>
          <w:rFonts w:ascii="Verdana" w:hAnsi="Verdana"/>
          <w:i/>
          <w:iCs/>
          <w:sz w:val="16"/>
          <w:szCs w:val="16"/>
          <w:lang w:val="es-ES"/>
        </w:rPr>
        <w:t>Cfr</w:t>
      </w:r>
      <w:r w:rsidRPr="000665D5">
        <w:rPr>
          <w:rFonts w:ascii="Verdana" w:hAnsi="Verdana"/>
          <w:sz w:val="16"/>
          <w:szCs w:val="16"/>
          <w:lang w:val="es-ES"/>
        </w:rPr>
        <w:t>. Sentencia de la Corte Suprema de Justicia de la Nación de 15 de abril de 1993</w:t>
      </w:r>
      <w:r w:rsidR="00615BFF">
        <w:rPr>
          <w:rFonts w:ascii="Verdana" w:hAnsi="Verdana"/>
          <w:sz w:val="16"/>
          <w:szCs w:val="16"/>
          <w:lang w:val="es-ES"/>
        </w:rPr>
        <w:t xml:space="preserve">, </w:t>
      </w:r>
      <w:r w:rsidR="00615BFF" w:rsidRPr="00B50CD5">
        <w:rPr>
          <w:rFonts w:ascii="Verdana" w:hAnsi="Verdana"/>
          <w:i/>
          <w:iCs/>
          <w:sz w:val="16"/>
          <w:szCs w:val="16"/>
          <w:lang w:val="es-ES"/>
        </w:rPr>
        <w:t>supra</w:t>
      </w:r>
      <w:r w:rsidR="000665D5" w:rsidRPr="000665D5">
        <w:rPr>
          <w:rFonts w:ascii="Verdana" w:hAnsi="Verdana"/>
          <w:sz w:val="16"/>
          <w:szCs w:val="16"/>
          <w:lang w:val="es-ES"/>
        </w:rPr>
        <w:t>,</w:t>
      </w:r>
      <w:r w:rsidRPr="000665D5">
        <w:rPr>
          <w:rFonts w:ascii="Verdana" w:hAnsi="Verdana"/>
          <w:sz w:val="16"/>
          <w:szCs w:val="16"/>
          <w:lang w:val="es-ES"/>
        </w:rPr>
        <w:t xml:space="preserve"> y Resolución No. 129/2007 del Juzgado Segundo de Partido en lo </w:t>
      </w:r>
      <w:r w:rsidR="00A93AA6">
        <w:rPr>
          <w:rFonts w:ascii="Verdana" w:hAnsi="Verdana"/>
          <w:sz w:val="16"/>
          <w:szCs w:val="16"/>
          <w:lang w:val="es-ES"/>
        </w:rPr>
        <w:t>P</w:t>
      </w:r>
      <w:r w:rsidRPr="000665D5">
        <w:rPr>
          <w:rFonts w:ascii="Verdana" w:hAnsi="Verdana"/>
          <w:sz w:val="16"/>
          <w:szCs w:val="16"/>
          <w:lang w:val="es-ES"/>
        </w:rPr>
        <w:t xml:space="preserve">enal </w:t>
      </w:r>
      <w:r w:rsidR="00A93AA6">
        <w:rPr>
          <w:rFonts w:ascii="Verdana" w:hAnsi="Verdana"/>
          <w:sz w:val="16"/>
          <w:szCs w:val="16"/>
          <w:lang w:val="es-ES"/>
        </w:rPr>
        <w:t>L</w:t>
      </w:r>
      <w:r w:rsidRPr="000665D5">
        <w:rPr>
          <w:rFonts w:ascii="Verdana" w:hAnsi="Verdana"/>
          <w:sz w:val="16"/>
          <w:szCs w:val="16"/>
          <w:lang w:val="es-ES"/>
        </w:rPr>
        <w:t>iquidador, de 12 de diciembre de 2007</w:t>
      </w:r>
      <w:r w:rsidR="00615BFF">
        <w:rPr>
          <w:rFonts w:ascii="Verdana" w:hAnsi="Verdana"/>
          <w:sz w:val="16"/>
          <w:szCs w:val="16"/>
          <w:lang w:val="es-ES"/>
        </w:rPr>
        <w:t xml:space="preserve">, </w:t>
      </w:r>
      <w:r w:rsidR="00615BFF" w:rsidRPr="00B50CD5">
        <w:rPr>
          <w:rFonts w:ascii="Verdana" w:hAnsi="Verdana"/>
          <w:i/>
          <w:iCs/>
          <w:sz w:val="16"/>
          <w:szCs w:val="16"/>
          <w:lang w:val="es-ES"/>
        </w:rPr>
        <w:t>supra</w:t>
      </w:r>
      <w:r w:rsidR="00005CF5">
        <w:rPr>
          <w:rFonts w:ascii="Verdana" w:hAnsi="Verdana"/>
          <w:i/>
          <w:iCs/>
          <w:sz w:val="16"/>
          <w:szCs w:val="16"/>
          <w:lang w:val="es-ES"/>
        </w:rPr>
        <w:t xml:space="preserve">. </w:t>
      </w:r>
      <w:r w:rsidR="00005CF5" w:rsidRPr="000665D5">
        <w:rPr>
          <w:rFonts w:ascii="Verdana" w:hAnsi="Verdana"/>
          <w:sz w:val="16"/>
          <w:szCs w:val="16"/>
          <w:lang w:val="es-ES"/>
        </w:rPr>
        <w:t>Estas declaraciones fueron controvertidas por los representantes bajo el argumento de que dichos oficiales de policía fueron posteriormente condenados por los delitos de encubrimiento y falso testimonio.</w:t>
      </w:r>
    </w:p>
  </w:footnote>
  <w:footnote w:id="41">
    <w:p w14:paraId="4ECC53A7" w14:textId="2D09535F" w:rsidR="00AC124E" w:rsidRPr="007C693A" w:rsidRDefault="00AC124E" w:rsidP="00014203">
      <w:pPr>
        <w:jc w:val="both"/>
        <w:rPr>
          <w:rFonts w:ascii="Verdana" w:hAnsi="Verdana"/>
          <w:sz w:val="16"/>
          <w:szCs w:val="16"/>
          <w:lang w:val="es-ES"/>
        </w:rPr>
      </w:pPr>
      <w:r w:rsidRPr="000665D5">
        <w:rPr>
          <w:rStyle w:val="Refdenotaalpie"/>
        </w:rPr>
        <w:footnoteRef/>
      </w:r>
      <w:r w:rsidRPr="000665D5">
        <w:rPr>
          <w:rFonts w:ascii="Verdana" w:hAnsi="Verdana"/>
          <w:color w:val="7030A0"/>
          <w:sz w:val="16"/>
          <w:szCs w:val="16"/>
          <w:lang w:val="es-ES"/>
        </w:rPr>
        <w:t xml:space="preserve"> </w:t>
      </w:r>
      <w:r w:rsidRPr="000665D5">
        <w:rPr>
          <w:rFonts w:ascii="Verdana" w:hAnsi="Verdana"/>
          <w:color w:val="7030A0"/>
          <w:sz w:val="16"/>
          <w:szCs w:val="16"/>
          <w:lang w:val="es-ES"/>
        </w:rPr>
        <w:tab/>
      </w:r>
      <w:r w:rsidRPr="000665D5">
        <w:rPr>
          <w:rFonts w:ascii="Verdana" w:hAnsi="Verdana"/>
          <w:i/>
          <w:iCs/>
          <w:color w:val="000000" w:themeColor="text1"/>
          <w:sz w:val="16"/>
          <w:szCs w:val="16"/>
          <w:lang w:val="es-ES"/>
        </w:rPr>
        <w:t>Cfr</w:t>
      </w:r>
      <w:r w:rsidRPr="000665D5">
        <w:rPr>
          <w:rFonts w:ascii="Verdana" w:hAnsi="Verdana"/>
          <w:color w:val="000000" w:themeColor="text1"/>
          <w:sz w:val="16"/>
          <w:szCs w:val="16"/>
          <w:lang w:val="es-ES"/>
        </w:rPr>
        <w:t>. Formulario de levantamiento del cadáver, Form</w:t>
      </w:r>
      <w:r w:rsidR="00F33A3C">
        <w:rPr>
          <w:rFonts w:ascii="Verdana" w:hAnsi="Verdana"/>
          <w:color w:val="000000" w:themeColor="text1"/>
          <w:sz w:val="16"/>
          <w:szCs w:val="16"/>
          <w:lang w:val="es-ES"/>
        </w:rPr>
        <w:t>a</w:t>
      </w:r>
      <w:r w:rsidRPr="000665D5">
        <w:rPr>
          <w:rFonts w:ascii="Verdana" w:hAnsi="Verdana"/>
          <w:color w:val="000000" w:themeColor="text1"/>
          <w:sz w:val="16"/>
          <w:szCs w:val="16"/>
          <w:lang w:val="es-ES"/>
        </w:rPr>
        <w:t xml:space="preserve"> D4, de 18 de julio de 1980 (expediente de prueba, fs. 7372 a 7374).</w:t>
      </w:r>
      <w:r w:rsidRPr="007C693A">
        <w:rPr>
          <w:rFonts w:ascii="Verdana" w:hAnsi="Verdana"/>
          <w:color w:val="000000" w:themeColor="text1"/>
          <w:sz w:val="16"/>
          <w:szCs w:val="16"/>
          <w:lang w:val="es-ES"/>
        </w:rPr>
        <w:t xml:space="preserve"> </w:t>
      </w:r>
    </w:p>
  </w:footnote>
  <w:footnote w:id="42">
    <w:p w14:paraId="5C17C5CB" w14:textId="10E3409A"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AC4FA9">
        <w:rPr>
          <w:rFonts w:ascii="Verdana" w:hAnsi="Verdana"/>
          <w:i/>
          <w:iCs/>
          <w:sz w:val="16"/>
          <w:szCs w:val="16"/>
          <w:lang w:val="es-ES"/>
        </w:rPr>
        <w:t>Cfr.</w:t>
      </w:r>
      <w:r w:rsidRPr="007C693A">
        <w:rPr>
          <w:rFonts w:ascii="Verdana" w:hAnsi="Verdana"/>
          <w:sz w:val="16"/>
          <w:szCs w:val="16"/>
          <w:lang w:val="es-ES"/>
        </w:rPr>
        <w:t xml:space="preserve"> Sentencia de la Corte Suprema de Justicia de la Nación de 15 de abril de 1993</w:t>
      </w:r>
      <w:r w:rsidR="00615BFF">
        <w:rPr>
          <w:rFonts w:ascii="Verdana" w:hAnsi="Verdana"/>
          <w:sz w:val="16"/>
          <w:szCs w:val="16"/>
          <w:lang w:val="es-ES"/>
        </w:rPr>
        <w:t xml:space="preserve">, </w:t>
      </w:r>
      <w:r w:rsidR="00615BFF" w:rsidRPr="00B50CD5">
        <w:rPr>
          <w:rFonts w:ascii="Verdana" w:hAnsi="Verdana"/>
          <w:i/>
          <w:iCs/>
          <w:sz w:val="16"/>
          <w:szCs w:val="16"/>
          <w:lang w:val="es-ES"/>
        </w:rPr>
        <w:t>supra</w:t>
      </w:r>
      <w:r w:rsidRPr="007C693A">
        <w:rPr>
          <w:rFonts w:ascii="Verdana" w:hAnsi="Verdana"/>
          <w:sz w:val="16"/>
          <w:szCs w:val="16"/>
          <w:lang w:val="es-ES"/>
        </w:rPr>
        <w:t xml:space="preserve">, y Resolución No. 129/2007 del Juzgado Segundo de Partido en lo </w:t>
      </w:r>
      <w:r w:rsidR="00615BFF">
        <w:rPr>
          <w:rFonts w:ascii="Verdana" w:hAnsi="Verdana"/>
          <w:sz w:val="16"/>
          <w:szCs w:val="16"/>
          <w:lang w:val="es-ES"/>
        </w:rPr>
        <w:t>P</w:t>
      </w:r>
      <w:r w:rsidRPr="007C693A">
        <w:rPr>
          <w:rFonts w:ascii="Verdana" w:hAnsi="Verdana"/>
          <w:sz w:val="16"/>
          <w:szCs w:val="16"/>
          <w:lang w:val="es-ES"/>
        </w:rPr>
        <w:t xml:space="preserve">enal </w:t>
      </w:r>
      <w:r w:rsidR="00615BFF">
        <w:rPr>
          <w:rFonts w:ascii="Verdana" w:hAnsi="Verdana"/>
          <w:sz w:val="16"/>
          <w:szCs w:val="16"/>
          <w:lang w:val="es-ES"/>
        </w:rPr>
        <w:t>Li</w:t>
      </w:r>
      <w:r w:rsidRPr="007C693A">
        <w:rPr>
          <w:rFonts w:ascii="Verdana" w:hAnsi="Verdana"/>
          <w:sz w:val="16"/>
          <w:szCs w:val="16"/>
          <w:lang w:val="es-ES"/>
        </w:rPr>
        <w:t>quidador</w:t>
      </w:r>
      <w:r w:rsidR="00615BFF">
        <w:rPr>
          <w:rFonts w:ascii="Verdana" w:hAnsi="Verdana"/>
          <w:sz w:val="16"/>
          <w:szCs w:val="16"/>
          <w:lang w:val="es-ES"/>
        </w:rPr>
        <w:t>,</w:t>
      </w:r>
      <w:r w:rsidRPr="007C693A">
        <w:rPr>
          <w:rFonts w:ascii="Verdana" w:hAnsi="Verdana"/>
          <w:sz w:val="16"/>
          <w:szCs w:val="16"/>
          <w:lang w:val="es-ES"/>
        </w:rPr>
        <w:t xml:space="preserve"> de 12 de diciembre de 2007</w:t>
      </w:r>
      <w:r w:rsidR="00615BFF">
        <w:rPr>
          <w:rFonts w:ascii="Verdana" w:hAnsi="Verdana"/>
          <w:sz w:val="16"/>
          <w:szCs w:val="16"/>
          <w:lang w:val="es-ES"/>
        </w:rPr>
        <w:t>,</w:t>
      </w:r>
      <w:r w:rsidR="00615BFF" w:rsidRPr="00B50CD5">
        <w:rPr>
          <w:rFonts w:ascii="Verdana" w:hAnsi="Verdana"/>
          <w:i/>
          <w:iCs/>
          <w:sz w:val="16"/>
          <w:szCs w:val="16"/>
          <w:lang w:val="es-ES"/>
        </w:rPr>
        <w:t xml:space="preserve"> supra</w:t>
      </w:r>
      <w:r w:rsidR="00B50CD5">
        <w:rPr>
          <w:rFonts w:ascii="Verdana" w:hAnsi="Verdana"/>
          <w:sz w:val="16"/>
          <w:szCs w:val="16"/>
          <w:lang w:val="es-ES"/>
        </w:rPr>
        <w:t>.</w:t>
      </w:r>
    </w:p>
  </w:footnote>
  <w:footnote w:id="43">
    <w:p w14:paraId="33D065DE" w14:textId="77777777" w:rsidR="006B2078" w:rsidRPr="007C693A" w:rsidRDefault="006B2078" w:rsidP="006B2078">
      <w:pPr>
        <w:jc w:val="both"/>
        <w:rPr>
          <w:rFonts w:ascii="Verdana" w:hAnsi="Verdana"/>
          <w:sz w:val="16"/>
          <w:szCs w:val="16"/>
          <w:lang w:val="es-CR"/>
        </w:rPr>
      </w:pPr>
      <w:r w:rsidRPr="00A54DDB">
        <w:rPr>
          <w:rStyle w:val="Refdenotaalpie"/>
        </w:rPr>
        <w:footnoteRef/>
      </w:r>
      <w:r w:rsidRPr="00A54DDB">
        <w:rPr>
          <w:rFonts w:ascii="Verdana" w:hAnsi="Verdana"/>
          <w:color w:val="8064A2" w:themeColor="accent4"/>
          <w:sz w:val="16"/>
          <w:szCs w:val="16"/>
          <w:lang w:val="es-ES"/>
        </w:rPr>
        <w:t xml:space="preserve"> </w:t>
      </w:r>
      <w:r w:rsidRPr="00A54DDB">
        <w:rPr>
          <w:rFonts w:ascii="Verdana" w:hAnsi="Verdana"/>
          <w:color w:val="8064A2" w:themeColor="accent4"/>
          <w:sz w:val="16"/>
          <w:szCs w:val="16"/>
          <w:lang w:val="es-CR"/>
        </w:rPr>
        <w:tab/>
      </w:r>
      <w:r w:rsidRPr="00A54DDB">
        <w:rPr>
          <w:rFonts w:ascii="Verdana" w:hAnsi="Verdana"/>
          <w:sz w:val="16"/>
          <w:szCs w:val="16"/>
          <w:lang w:val="es-CR"/>
        </w:rPr>
        <w:t xml:space="preserve">Al respecto, la Comisión no hace mención del traslado en ambulancia del señor Flores Bedregal al Estado Mayor. </w:t>
      </w:r>
      <w:r w:rsidRPr="007C693A">
        <w:rPr>
          <w:rFonts w:ascii="Verdana" w:hAnsi="Verdana"/>
          <w:sz w:val="16"/>
          <w:szCs w:val="16"/>
          <w:lang w:val="es-CR"/>
        </w:rPr>
        <w:t xml:space="preserve"> </w:t>
      </w:r>
    </w:p>
  </w:footnote>
  <w:footnote w:id="44">
    <w:p w14:paraId="2109BAC4" w14:textId="37BFA23B"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xml:space="preserve">. </w:t>
      </w:r>
      <w:r w:rsidR="006B2078" w:rsidRPr="000665D5">
        <w:rPr>
          <w:rFonts w:ascii="Verdana" w:hAnsi="Verdana"/>
          <w:sz w:val="16"/>
          <w:szCs w:val="16"/>
          <w:lang w:val="es-ES"/>
        </w:rPr>
        <w:t>Declaración de</w:t>
      </w:r>
      <w:r w:rsidR="006B2078">
        <w:rPr>
          <w:rFonts w:ascii="Verdana" w:hAnsi="Verdana"/>
          <w:sz w:val="16"/>
          <w:szCs w:val="16"/>
          <w:lang w:val="es-ES"/>
        </w:rPr>
        <w:t xml:space="preserve"> Olga Beatriz Flores Bedregal </w:t>
      </w:r>
      <w:r w:rsidR="006B2078" w:rsidRPr="000665D5">
        <w:rPr>
          <w:rFonts w:ascii="Verdana" w:hAnsi="Verdana"/>
          <w:sz w:val="16"/>
          <w:szCs w:val="16"/>
          <w:lang w:val="es-ES"/>
        </w:rPr>
        <w:t>rendida ante la Corte durante la audiencia pública celebrada el 10 de febrero de 2022</w:t>
      </w:r>
      <w:r w:rsidR="006B2078">
        <w:rPr>
          <w:rFonts w:ascii="Verdana" w:hAnsi="Verdana"/>
          <w:sz w:val="16"/>
          <w:szCs w:val="16"/>
          <w:lang w:val="es-ES"/>
        </w:rPr>
        <w:t>, y d</w:t>
      </w:r>
      <w:r w:rsidRPr="007C693A">
        <w:rPr>
          <w:rFonts w:ascii="Verdana" w:hAnsi="Verdana"/>
          <w:sz w:val="16"/>
          <w:szCs w:val="16"/>
          <w:lang w:val="es-ES"/>
        </w:rPr>
        <w:t>eclaración de Verónica Flores Bedregal</w:t>
      </w:r>
      <w:r w:rsidR="00B11E0B">
        <w:rPr>
          <w:rFonts w:ascii="Verdana" w:hAnsi="Verdana"/>
          <w:sz w:val="16"/>
          <w:szCs w:val="16"/>
          <w:lang w:val="es-ES"/>
        </w:rPr>
        <w:t xml:space="preserve">, </w:t>
      </w:r>
      <w:r w:rsidR="00B11E0B" w:rsidRPr="00B11E0B">
        <w:rPr>
          <w:rFonts w:ascii="Verdana" w:hAnsi="Verdana"/>
          <w:i/>
          <w:iCs/>
          <w:sz w:val="16"/>
          <w:szCs w:val="16"/>
          <w:lang w:val="es-ES"/>
        </w:rPr>
        <w:t>supra</w:t>
      </w:r>
      <w:r w:rsidR="00B11E0B">
        <w:rPr>
          <w:rFonts w:ascii="Verdana" w:hAnsi="Verdana"/>
          <w:sz w:val="16"/>
          <w:szCs w:val="16"/>
          <w:lang w:val="es-ES"/>
        </w:rPr>
        <w:t>.</w:t>
      </w:r>
      <w:r w:rsidR="00A54DDB" w:rsidRPr="00B50CD5">
        <w:rPr>
          <w:rFonts w:ascii="Verdana" w:hAnsi="Verdana"/>
          <w:sz w:val="16"/>
          <w:szCs w:val="16"/>
          <w:lang w:val="es-ES"/>
        </w:rPr>
        <w:t xml:space="preserve"> </w:t>
      </w:r>
    </w:p>
  </w:footnote>
  <w:footnote w:id="45">
    <w:p w14:paraId="7ACFDCF6" w14:textId="1C867AE2"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iCs/>
          <w:sz w:val="16"/>
          <w:szCs w:val="16"/>
          <w:lang w:val="es-ES"/>
        </w:rPr>
        <w:t>Caso Ticona Estrada y otros Vs. Bolivia</w:t>
      </w:r>
      <w:r w:rsidR="000C45E9">
        <w:rPr>
          <w:rFonts w:ascii="Verdana" w:hAnsi="Verdana"/>
          <w:i/>
          <w:iCs/>
          <w:sz w:val="16"/>
          <w:szCs w:val="16"/>
          <w:lang w:val="es-ES"/>
        </w:rPr>
        <w:t>, supra</w:t>
      </w:r>
      <w:r w:rsidRPr="007C693A">
        <w:rPr>
          <w:rFonts w:ascii="Verdana" w:hAnsi="Verdana"/>
          <w:sz w:val="16"/>
          <w:szCs w:val="16"/>
          <w:lang w:val="es-ES"/>
        </w:rPr>
        <w:t>, párr. 45.</w:t>
      </w:r>
    </w:p>
  </w:footnote>
  <w:footnote w:id="46">
    <w:p w14:paraId="135CCE71" w14:textId="10F6A426"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iCs/>
          <w:sz w:val="16"/>
          <w:szCs w:val="16"/>
          <w:lang w:val="es-ES"/>
        </w:rPr>
        <w:t>Caso Ticona Estrada y otros Vs. Bolivia</w:t>
      </w:r>
      <w:r w:rsidR="000C45E9">
        <w:rPr>
          <w:rFonts w:ascii="Verdana" w:hAnsi="Verdana"/>
          <w:i/>
          <w:iCs/>
          <w:sz w:val="16"/>
          <w:szCs w:val="16"/>
          <w:lang w:val="es-ES"/>
        </w:rPr>
        <w:t>, supra</w:t>
      </w:r>
      <w:r w:rsidRPr="007C693A">
        <w:rPr>
          <w:rFonts w:ascii="Verdana" w:hAnsi="Verdana"/>
          <w:sz w:val="16"/>
          <w:szCs w:val="16"/>
          <w:lang w:val="es-ES"/>
        </w:rPr>
        <w:t>, párr. 4</w:t>
      </w:r>
      <w:r>
        <w:rPr>
          <w:rFonts w:ascii="Verdana" w:hAnsi="Verdana"/>
          <w:sz w:val="16"/>
          <w:szCs w:val="16"/>
          <w:lang w:val="es-ES"/>
        </w:rPr>
        <w:t>8</w:t>
      </w:r>
      <w:r w:rsidR="00A54DDB">
        <w:rPr>
          <w:rFonts w:ascii="Verdana" w:hAnsi="Verdana"/>
          <w:sz w:val="16"/>
          <w:szCs w:val="16"/>
          <w:lang w:val="es-ES"/>
        </w:rPr>
        <w:t>.</w:t>
      </w:r>
      <w:r>
        <w:rPr>
          <w:rFonts w:ascii="Verdana" w:hAnsi="Verdana"/>
          <w:sz w:val="16"/>
          <w:szCs w:val="16"/>
          <w:lang w:val="es-ES"/>
        </w:rPr>
        <w:t xml:space="preserve"> </w:t>
      </w:r>
    </w:p>
  </w:footnote>
  <w:footnote w:id="47">
    <w:p w14:paraId="627C2338" w14:textId="356B435D"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iCs/>
          <w:sz w:val="16"/>
          <w:szCs w:val="16"/>
          <w:lang w:val="es-ES"/>
        </w:rPr>
        <w:t>Caso Ticona Estrada y otros Vs. Bolivia</w:t>
      </w:r>
      <w:r w:rsidR="000C45E9">
        <w:rPr>
          <w:rFonts w:ascii="Verdana" w:hAnsi="Verdana"/>
          <w:i/>
          <w:iCs/>
          <w:sz w:val="16"/>
          <w:szCs w:val="16"/>
          <w:lang w:val="es-ES"/>
        </w:rPr>
        <w:t>, supra</w:t>
      </w:r>
      <w:r w:rsidRPr="007C693A">
        <w:rPr>
          <w:rFonts w:ascii="Verdana" w:hAnsi="Verdana"/>
          <w:sz w:val="16"/>
          <w:szCs w:val="16"/>
          <w:lang w:val="es-ES"/>
        </w:rPr>
        <w:t>, párr. 4</w:t>
      </w:r>
      <w:r>
        <w:rPr>
          <w:rFonts w:ascii="Verdana" w:hAnsi="Verdana"/>
          <w:sz w:val="16"/>
          <w:szCs w:val="16"/>
          <w:lang w:val="es-ES"/>
        </w:rPr>
        <w:t>9</w:t>
      </w:r>
      <w:r w:rsidR="00A54DDB">
        <w:rPr>
          <w:rFonts w:ascii="Verdana" w:hAnsi="Verdana"/>
          <w:sz w:val="16"/>
          <w:szCs w:val="16"/>
          <w:lang w:val="es-ES"/>
        </w:rPr>
        <w:t>.</w:t>
      </w:r>
      <w:r>
        <w:rPr>
          <w:rFonts w:ascii="Verdana" w:hAnsi="Verdana"/>
          <w:sz w:val="16"/>
          <w:szCs w:val="16"/>
          <w:lang w:val="es-ES"/>
        </w:rPr>
        <w:t xml:space="preserve"> </w:t>
      </w:r>
    </w:p>
  </w:footnote>
  <w:footnote w:id="48">
    <w:p w14:paraId="4E9C714F" w14:textId="40CAD16D"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MX"/>
        </w:rPr>
        <w:t>Cfr.</w:t>
      </w:r>
      <w:r w:rsidRPr="007C693A">
        <w:rPr>
          <w:rFonts w:ascii="Verdana" w:hAnsi="Verdana"/>
          <w:sz w:val="16"/>
          <w:szCs w:val="16"/>
          <w:lang w:val="es-MX"/>
        </w:rPr>
        <w:t xml:space="preserve"> Sentencia de la Corte Suprema de Justicia de la Nación de 15 de abril de 1993</w:t>
      </w:r>
      <w:r w:rsidR="00615BFF">
        <w:rPr>
          <w:rFonts w:ascii="Verdana" w:hAnsi="Verdana"/>
          <w:sz w:val="16"/>
          <w:szCs w:val="16"/>
          <w:lang w:val="es-MX"/>
        </w:rPr>
        <w:t xml:space="preserve">, </w:t>
      </w:r>
      <w:r w:rsidR="00615BFF" w:rsidRPr="00B50CD5">
        <w:rPr>
          <w:rFonts w:ascii="Verdana" w:hAnsi="Verdana"/>
          <w:i/>
          <w:iCs/>
          <w:sz w:val="16"/>
          <w:szCs w:val="16"/>
          <w:lang w:val="es-MX"/>
        </w:rPr>
        <w:t>supra</w:t>
      </w:r>
      <w:r w:rsidRPr="007C693A">
        <w:rPr>
          <w:rFonts w:ascii="Verdana" w:hAnsi="Verdana"/>
          <w:sz w:val="16"/>
          <w:szCs w:val="16"/>
          <w:lang w:val="es-MX"/>
        </w:rPr>
        <w:t>.</w:t>
      </w:r>
    </w:p>
  </w:footnote>
  <w:footnote w:id="49">
    <w:p w14:paraId="1823EE61" w14:textId="7220834A" w:rsidR="0038418B" w:rsidRPr="007C693A" w:rsidRDefault="0038418B" w:rsidP="0038418B">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Resolución No. 129/2007 del Juzgado Segundo de Partido en lo </w:t>
      </w:r>
      <w:r>
        <w:rPr>
          <w:rFonts w:ascii="Verdana" w:hAnsi="Verdana"/>
          <w:sz w:val="16"/>
          <w:szCs w:val="16"/>
          <w:lang w:val="es-ES"/>
        </w:rPr>
        <w:t>P</w:t>
      </w:r>
      <w:r w:rsidRPr="007C693A">
        <w:rPr>
          <w:rFonts w:ascii="Verdana" w:hAnsi="Verdana"/>
          <w:sz w:val="16"/>
          <w:szCs w:val="16"/>
          <w:lang w:val="es-ES"/>
        </w:rPr>
        <w:t xml:space="preserve">enal </w:t>
      </w:r>
      <w:r>
        <w:rPr>
          <w:rFonts w:ascii="Verdana" w:hAnsi="Verdana"/>
          <w:sz w:val="16"/>
          <w:szCs w:val="16"/>
          <w:lang w:val="es-ES"/>
        </w:rPr>
        <w:t>Li</w:t>
      </w:r>
      <w:r w:rsidRPr="007C693A">
        <w:rPr>
          <w:rFonts w:ascii="Verdana" w:hAnsi="Verdana"/>
          <w:sz w:val="16"/>
          <w:szCs w:val="16"/>
          <w:lang w:val="es-ES"/>
        </w:rPr>
        <w:t>quidador, de 12 de diciembre de 2007</w:t>
      </w:r>
      <w:r>
        <w:rPr>
          <w:rFonts w:ascii="Verdana" w:hAnsi="Verdana"/>
          <w:sz w:val="16"/>
          <w:szCs w:val="16"/>
          <w:lang w:val="es-ES"/>
        </w:rPr>
        <w:t xml:space="preserve">, </w:t>
      </w:r>
      <w:r w:rsidRPr="00B50CD5">
        <w:rPr>
          <w:rFonts w:ascii="Verdana" w:hAnsi="Verdana"/>
          <w:i/>
          <w:iCs/>
          <w:sz w:val="16"/>
          <w:szCs w:val="16"/>
          <w:lang w:val="es-ES"/>
        </w:rPr>
        <w:t>supra</w:t>
      </w:r>
      <w:r w:rsidR="00B50CD5">
        <w:rPr>
          <w:rFonts w:ascii="Verdana" w:hAnsi="Verdana"/>
          <w:i/>
          <w:iCs/>
          <w:sz w:val="16"/>
          <w:szCs w:val="16"/>
          <w:lang w:val="es-ES"/>
        </w:rPr>
        <w:t>.</w:t>
      </w:r>
      <w:r w:rsidRPr="007C693A">
        <w:rPr>
          <w:rFonts w:ascii="Verdana" w:hAnsi="Verdana"/>
          <w:sz w:val="16"/>
          <w:szCs w:val="16"/>
          <w:lang w:val="es-ES"/>
        </w:rPr>
        <w:t xml:space="preserve"> </w:t>
      </w:r>
    </w:p>
  </w:footnote>
  <w:footnote w:id="50">
    <w:p w14:paraId="26A53DFA" w14:textId="7E0E0685"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xml:space="preserve">. </w:t>
      </w:r>
      <w:r w:rsidR="00A54DDB" w:rsidRPr="007C693A">
        <w:rPr>
          <w:rFonts w:ascii="Verdana" w:hAnsi="Verdana"/>
          <w:sz w:val="16"/>
          <w:szCs w:val="16"/>
          <w:lang w:val="es-MX"/>
        </w:rPr>
        <w:t>Resolución de</w:t>
      </w:r>
      <w:r w:rsidRPr="007C693A">
        <w:rPr>
          <w:rFonts w:ascii="Verdana" w:hAnsi="Verdana"/>
          <w:sz w:val="16"/>
          <w:szCs w:val="16"/>
          <w:lang w:val="es-MX"/>
        </w:rPr>
        <w:t xml:space="preserve"> la Cámara de Diputados de Bolivia, de 3 de septiembre de 1997 (expediente de prueba, f. 268). </w:t>
      </w:r>
    </w:p>
  </w:footnote>
  <w:footnote w:id="51">
    <w:p w14:paraId="2C476DBF" w14:textId="264DF8B2"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t xml:space="preserve">Se solicitó </w:t>
      </w:r>
      <w:r w:rsidR="00FA61D8">
        <w:rPr>
          <w:rFonts w:ascii="Verdana" w:hAnsi="Verdana"/>
          <w:sz w:val="16"/>
          <w:szCs w:val="16"/>
          <w:lang w:val="es-MX"/>
        </w:rPr>
        <w:t>a</w:t>
      </w:r>
      <w:r w:rsidRPr="007C693A">
        <w:rPr>
          <w:rFonts w:ascii="Verdana" w:hAnsi="Verdana"/>
          <w:sz w:val="16"/>
          <w:szCs w:val="16"/>
          <w:lang w:val="es-MX"/>
        </w:rPr>
        <w:t xml:space="preserve">uto </w:t>
      </w:r>
      <w:r w:rsidR="00FA61D8">
        <w:rPr>
          <w:rFonts w:ascii="Verdana" w:hAnsi="Verdana"/>
          <w:sz w:val="16"/>
          <w:szCs w:val="16"/>
          <w:lang w:val="es-MX"/>
        </w:rPr>
        <w:t>i</w:t>
      </w:r>
      <w:r w:rsidRPr="007C693A">
        <w:rPr>
          <w:rFonts w:ascii="Verdana" w:hAnsi="Verdana"/>
          <w:sz w:val="16"/>
          <w:szCs w:val="16"/>
          <w:lang w:val="es-MX"/>
        </w:rPr>
        <w:t xml:space="preserve">nicial de </w:t>
      </w:r>
      <w:r w:rsidR="00FA61D8">
        <w:rPr>
          <w:rFonts w:ascii="Verdana" w:hAnsi="Verdana"/>
          <w:sz w:val="16"/>
          <w:szCs w:val="16"/>
          <w:lang w:val="es-MX"/>
        </w:rPr>
        <w:t>i</w:t>
      </w:r>
      <w:r w:rsidRPr="007C693A">
        <w:rPr>
          <w:rFonts w:ascii="Verdana" w:hAnsi="Verdana"/>
          <w:sz w:val="16"/>
          <w:szCs w:val="16"/>
          <w:lang w:val="es-MX"/>
        </w:rPr>
        <w:t>nstrucción por existir suficientes indicios de culpabilidad contra</w:t>
      </w:r>
      <w:r>
        <w:rPr>
          <w:rFonts w:ascii="Verdana" w:hAnsi="Verdana"/>
          <w:sz w:val="16"/>
          <w:szCs w:val="16"/>
          <w:lang w:val="es-MX"/>
        </w:rPr>
        <w:t>:</w:t>
      </w:r>
      <w:r w:rsidRPr="007C693A">
        <w:rPr>
          <w:rFonts w:ascii="Verdana" w:hAnsi="Verdana"/>
          <w:sz w:val="16"/>
          <w:szCs w:val="16"/>
          <w:lang w:val="es-MX"/>
        </w:rPr>
        <w:t xml:space="preserve"> Franz Pizarro Solano, Felipe Froilan Molina Bustamante, José Luis Ormachea España, por los delitos de asesinato, alzamiento armado contra la seguridad y soberanía del Estado, asociación delictuosa, terrorismo y encubrimiento. Asimismo, contra Raúl Solano Medina, David Humberto Alarcón Romero, César Altamirano La</w:t>
      </w:r>
      <w:r>
        <w:rPr>
          <w:rFonts w:ascii="Verdana" w:hAnsi="Verdana"/>
          <w:sz w:val="16"/>
          <w:szCs w:val="16"/>
          <w:lang w:val="es-MX"/>
        </w:rPr>
        <w:t>b</w:t>
      </w:r>
      <w:r w:rsidRPr="007C693A">
        <w:rPr>
          <w:rFonts w:ascii="Verdana" w:hAnsi="Verdana"/>
          <w:sz w:val="16"/>
          <w:szCs w:val="16"/>
          <w:lang w:val="es-MX"/>
        </w:rPr>
        <w:t>a</w:t>
      </w:r>
      <w:r>
        <w:rPr>
          <w:rFonts w:ascii="Verdana" w:hAnsi="Verdana"/>
          <w:sz w:val="16"/>
          <w:szCs w:val="16"/>
          <w:lang w:val="es-MX"/>
        </w:rPr>
        <w:t>d</w:t>
      </w:r>
      <w:r w:rsidRPr="007C693A">
        <w:rPr>
          <w:rFonts w:ascii="Verdana" w:hAnsi="Verdana"/>
          <w:sz w:val="16"/>
          <w:szCs w:val="16"/>
          <w:lang w:val="es-MX"/>
        </w:rPr>
        <w:t>enz, Juan Aqui</w:t>
      </w:r>
      <w:r>
        <w:rPr>
          <w:rFonts w:ascii="Verdana" w:hAnsi="Verdana"/>
          <w:sz w:val="16"/>
          <w:szCs w:val="16"/>
          <w:lang w:val="es-MX"/>
        </w:rPr>
        <w:t>z</w:t>
      </w:r>
      <w:r w:rsidRPr="007C693A">
        <w:rPr>
          <w:rFonts w:ascii="Verdana" w:hAnsi="Verdana"/>
          <w:sz w:val="16"/>
          <w:szCs w:val="16"/>
          <w:lang w:val="es-MX"/>
        </w:rPr>
        <w:t>e Rada, Rogelio Gómez Espinoza, Joaquín Quisberth Quiroga, Marcos Erminio Mena Vargas, Damian Guti</w:t>
      </w:r>
      <w:r w:rsidR="00B74644">
        <w:rPr>
          <w:rFonts w:ascii="Verdana" w:hAnsi="Verdana"/>
          <w:sz w:val="16"/>
          <w:szCs w:val="16"/>
          <w:lang w:val="es-MX"/>
        </w:rPr>
        <w:t>é</w:t>
      </w:r>
      <w:r w:rsidRPr="007C693A">
        <w:rPr>
          <w:rFonts w:ascii="Verdana" w:hAnsi="Verdana"/>
          <w:sz w:val="16"/>
          <w:szCs w:val="16"/>
          <w:lang w:val="es-MX"/>
        </w:rPr>
        <w:t>rrez Castro y Sebast</w:t>
      </w:r>
      <w:r w:rsidR="00B74644">
        <w:rPr>
          <w:rFonts w:ascii="Verdana" w:hAnsi="Verdana"/>
          <w:sz w:val="16"/>
          <w:szCs w:val="16"/>
          <w:lang w:val="es-MX"/>
        </w:rPr>
        <w:t>i</w:t>
      </w:r>
      <w:r w:rsidRPr="007C693A">
        <w:rPr>
          <w:rFonts w:ascii="Verdana" w:hAnsi="Verdana"/>
          <w:sz w:val="16"/>
          <w:szCs w:val="16"/>
          <w:lang w:val="es-MX"/>
        </w:rPr>
        <w:t xml:space="preserve">an Quispe Apaza, por los delitos de asociación delictuosa, encubrimiento, y falso testimonio. </w:t>
      </w:r>
      <w:r w:rsidRPr="007C693A">
        <w:rPr>
          <w:rFonts w:ascii="Verdana" w:hAnsi="Verdana"/>
          <w:i/>
          <w:sz w:val="16"/>
          <w:szCs w:val="16"/>
          <w:lang w:val="es-MX"/>
        </w:rPr>
        <w:t>Cfr</w:t>
      </w:r>
      <w:r w:rsidRPr="007C693A">
        <w:rPr>
          <w:rFonts w:ascii="Verdana" w:hAnsi="Verdana"/>
          <w:sz w:val="16"/>
          <w:szCs w:val="16"/>
          <w:lang w:val="es-MX"/>
        </w:rPr>
        <w:t>. Requerimiento Camaral de la Cámara de Diputados de Bolivia, de 17 de noviembre de 1998 (expediente de prueba, fs. 272 y 273).</w:t>
      </w:r>
    </w:p>
  </w:footnote>
  <w:footnote w:id="52">
    <w:p w14:paraId="4B4A0EA1" w14:textId="67982FD4"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t xml:space="preserve">Se dictó </w:t>
      </w:r>
      <w:r w:rsidR="00FA61D8">
        <w:rPr>
          <w:rFonts w:ascii="Verdana" w:hAnsi="Verdana"/>
          <w:sz w:val="16"/>
          <w:szCs w:val="16"/>
          <w:lang w:val="es-MX"/>
        </w:rPr>
        <w:t>a</w:t>
      </w:r>
      <w:r w:rsidRPr="007C693A">
        <w:rPr>
          <w:rFonts w:ascii="Verdana" w:hAnsi="Verdana"/>
          <w:sz w:val="16"/>
          <w:szCs w:val="16"/>
          <w:lang w:val="es-MX"/>
        </w:rPr>
        <w:t xml:space="preserve">uto </w:t>
      </w:r>
      <w:r w:rsidR="00FA61D8">
        <w:rPr>
          <w:rFonts w:ascii="Verdana" w:hAnsi="Verdana"/>
          <w:sz w:val="16"/>
          <w:szCs w:val="16"/>
          <w:lang w:val="es-MX"/>
        </w:rPr>
        <w:t>i</w:t>
      </w:r>
      <w:r w:rsidRPr="007C693A">
        <w:rPr>
          <w:rFonts w:ascii="Verdana" w:hAnsi="Verdana"/>
          <w:sz w:val="16"/>
          <w:szCs w:val="16"/>
          <w:lang w:val="es-MX"/>
        </w:rPr>
        <w:t xml:space="preserve">nicial de </w:t>
      </w:r>
      <w:r w:rsidR="00FA61D8">
        <w:rPr>
          <w:rFonts w:ascii="Verdana" w:hAnsi="Verdana"/>
          <w:sz w:val="16"/>
          <w:szCs w:val="16"/>
          <w:lang w:val="es-MX"/>
        </w:rPr>
        <w:t>i</w:t>
      </w:r>
      <w:r w:rsidRPr="007C693A">
        <w:rPr>
          <w:rFonts w:ascii="Verdana" w:hAnsi="Verdana"/>
          <w:sz w:val="16"/>
          <w:szCs w:val="16"/>
          <w:lang w:val="es-MX"/>
        </w:rPr>
        <w:t>nstrucción, Resolución No. 45/99, por los delitos de asesinato, alzamiento armado contra la seguridad, terrorismo y encubrimiento contra Franz Pizarro Solano, Felipe Froilan Molina Bustamante y José Luis Ormachea España. Asimismo, por los delitos de falso testimonio, encubrimiento y asociación delictuosa, contra Raúl Solano Medina, David Humberto Alarcón Romero, Cesar Altamirano Labadenz, Juan Aqui</w:t>
      </w:r>
      <w:r>
        <w:rPr>
          <w:rFonts w:ascii="Verdana" w:hAnsi="Verdana"/>
          <w:sz w:val="16"/>
          <w:szCs w:val="16"/>
          <w:lang w:val="es-MX"/>
        </w:rPr>
        <w:t>z</w:t>
      </w:r>
      <w:r w:rsidRPr="007C693A">
        <w:rPr>
          <w:rFonts w:ascii="Verdana" w:hAnsi="Verdana"/>
          <w:sz w:val="16"/>
          <w:szCs w:val="16"/>
          <w:lang w:val="es-MX"/>
        </w:rPr>
        <w:t>e Rada, Rogelio Gómez Espinoza, Joaquin Quisberth Quiroga, Marcos Erminio Mena Vargas, Damian Guti</w:t>
      </w:r>
      <w:r w:rsidR="009241FE">
        <w:rPr>
          <w:rFonts w:ascii="Verdana" w:hAnsi="Verdana"/>
          <w:sz w:val="16"/>
          <w:szCs w:val="16"/>
          <w:lang w:val="es-MX"/>
        </w:rPr>
        <w:t>é</w:t>
      </w:r>
      <w:r w:rsidRPr="007C693A">
        <w:rPr>
          <w:rFonts w:ascii="Verdana" w:hAnsi="Verdana"/>
          <w:sz w:val="16"/>
          <w:szCs w:val="16"/>
          <w:lang w:val="es-MX"/>
        </w:rPr>
        <w:t xml:space="preserve">rrez Castro, y Sebastián Quispe Apaza. </w:t>
      </w:r>
      <w:r w:rsidRPr="007C693A">
        <w:rPr>
          <w:rFonts w:ascii="Verdana" w:hAnsi="Verdana"/>
          <w:i/>
          <w:sz w:val="16"/>
          <w:szCs w:val="16"/>
          <w:lang w:val="es-MX"/>
        </w:rPr>
        <w:t>Cfr</w:t>
      </w:r>
      <w:r w:rsidRPr="007C693A">
        <w:rPr>
          <w:rFonts w:ascii="Verdana" w:hAnsi="Verdana"/>
          <w:sz w:val="16"/>
          <w:szCs w:val="16"/>
          <w:lang w:val="es-MX"/>
        </w:rPr>
        <w:t xml:space="preserve">. Auto </w:t>
      </w:r>
      <w:r w:rsidR="008F7A8D">
        <w:rPr>
          <w:rFonts w:ascii="Verdana" w:hAnsi="Verdana"/>
          <w:sz w:val="16"/>
          <w:szCs w:val="16"/>
          <w:lang w:val="es-MX"/>
        </w:rPr>
        <w:t>i</w:t>
      </w:r>
      <w:r w:rsidRPr="007C693A">
        <w:rPr>
          <w:rFonts w:ascii="Verdana" w:hAnsi="Verdana"/>
          <w:sz w:val="16"/>
          <w:szCs w:val="16"/>
          <w:lang w:val="es-MX"/>
        </w:rPr>
        <w:t xml:space="preserve">nicial de la </w:t>
      </w:r>
      <w:r w:rsidR="008F7A8D">
        <w:rPr>
          <w:rFonts w:ascii="Verdana" w:hAnsi="Verdana"/>
          <w:sz w:val="16"/>
          <w:szCs w:val="16"/>
          <w:lang w:val="es-MX"/>
        </w:rPr>
        <w:t>i</w:t>
      </w:r>
      <w:r w:rsidRPr="007C693A">
        <w:rPr>
          <w:rFonts w:ascii="Verdana" w:hAnsi="Verdana"/>
          <w:sz w:val="16"/>
          <w:szCs w:val="16"/>
          <w:lang w:val="es-MX"/>
        </w:rPr>
        <w:t xml:space="preserve">nstrucción emitido por el Juzgado Tercero </w:t>
      </w:r>
      <w:r w:rsidR="000108A1">
        <w:rPr>
          <w:rFonts w:ascii="Verdana" w:hAnsi="Verdana"/>
          <w:sz w:val="16"/>
          <w:szCs w:val="16"/>
          <w:lang w:val="es-MX"/>
        </w:rPr>
        <w:t xml:space="preserve">en lo Penal </w:t>
      </w:r>
      <w:r w:rsidRPr="007C693A">
        <w:rPr>
          <w:rFonts w:ascii="Verdana" w:hAnsi="Verdana"/>
          <w:sz w:val="16"/>
          <w:szCs w:val="16"/>
          <w:lang w:val="es-MX"/>
        </w:rPr>
        <w:t xml:space="preserve">de la Paz dentro del sumario penal contra Franz Pizarro </w:t>
      </w:r>
      <w:r w:rsidR="009241FE">
        <w:rPr>
          <w:rFonts w:ascii="Verdana" w:hAnsi="Verdana"/>
          <w:sz w:val="16"/>
          <w:szCs w:val="16"/>
          <w:lang w:val="es-MX"/>
        </w:rPr>
        <w:t>So</w:t>
      </w:r>
      <w:r w:rsidR="00C007C1">
        <w:rPr>
          <w:rFonts w:ascii="Verdana" w:hAnsi="Verdana"/>
          <w:sz w:val="16"/>
          <w:szCs w:val="16"/>
          <w:lang w:val="es-MX"/>
        </w:rPr>
        <w:t xml:space="preserve">lano </w:t>
      </w:r>
      <w:r w:rsidRPr="007C693A">
        <w:rPr>
          <w:rFonts w:ascii="Verdana" w:hAnsi="Verdana"/>
          <w:sz w:val="16"/>
          <w:szCs w:val="16"/>
          <w:lang w:val="es-MX"/>
        </w:rPr>
        <w:t xml:space="preserve">y otros, por los delitos de asesinato y otros, de 18 de febrero de 1999 (expediente de prueba, fs. 275 y 276). </w:t>
      </w:r>
    </w:p>
  </w:footnote>
  <w:footnote w:id="53">
    <w:p w14:paraId="732012F2" w14:textId="6EFD085E" w:rsidR="00AC124E" w:rsidRPr="007C693A" w:rsidRDefault="00AC124E" w:rsidP="00014203">
      <w:pPr>
        <w:jc w:val="both"/>
        <w:rPr>
          <w:rFonts w:ascii="Verdana" w:hAnsi="Verdana"/>
          <w:sz w:val="16"/>
          <w:szCs w:val="16"/>
          <w:lang w:val="es-ES"/>
        </w:rPr>
      </w:pPr>
      <w:r w:rsidRPr="002A72F4">
        <w:rPr>
          <w:rStyle w:val="Refdenotaalpie"/>
        </w:rPr>
        <w:footnoteRef/>
      </w:r>
      <w:r w:rsidRPr="00E57AF1">
        <w:rPr>
          <w:rStyle w:val="Refdenotaalpie"/>
          <w:lang w:val="es-CR"/>
        </w:rPr>
        <w:t xml:space="preserve"> </w:t>
      </w:r>
      <w:r w:rsidRPr="007C693A">
        <w:rPr>
          <w:rFonts w:ascii="Verdana" w:hAnsi="Verdana"/>
          <w:sz w:val="16"/>
          <w:szCs w:val="16"/>
          <w:lang w:val="es-ES"/>
        </w:rPr>
        <w:tab/>
        <w:t>En</w:t>
      </w:r>
      <w:r>
        <w:rPr>
          <w:rFonts w:ascii="Verdana" w:hAnsi="Verdana"/>
          <w:sz w:val="16"/>
          <w:szCs w:val="16"/>
          <w:lang w:val="es-ES"/>
        </w:rPr>
        <w:t xml:space="preserve"> el</w:t>
      </w:r>
      <w:r w:rsidRPr="007C693A">
        <w:rPr>
          <w:rFonts w:ascii="Verdana" w:hAnsi="Verdana"/>
          <w:sz w:val="16"/>
          <w:szCs w:val="16"/>
          <w:lang w:val="es-ES"/>
        </w:rPr>
        <w:t xml:space="preserve"> </w:t>
      </w:r>
      <w:r w:rsidR="00FA61D8">
        <w:rPr>
          <w:rFonts w:ascii="Verdana" w:hAnsi="Verdana"/>
          <w:sz w:val="16"/>
          <w:szCs w:val="16"/>
          <w:lang w:val="es-ES"/>
        </w:rPr>
        <w:t>a</w:t>
      </w:r>
      <w:r w:rsidRPr="007C693A">
        <w:rPr>
          <w:rFonts w:ascii="Verdana" w:hAnsi="Verdana"/>
          <w:sz w:val="16"/>
          <w:szCs w:val="16"/>
          <w:lang w:val="es-ES"/>
        </w:rPr>
        <w:t xml:space="preserve">uto </w:t>
      </w:r>
      <w:r w:rsidR="00FA61D8">
        <w:rPr>
          <w:rFonts w:ascii="Verdana" w:hAnsi="Verdana"/>
          <w:sz w:val="16"/>
          <w:szCs w:val="16"/>
          <w:lang w:val="es-ES"/>
        </w:rPr>
        <w:t>a</w:t>
      </w:r>
      <w:r w:rsidRPr="007C693A">
        <w:rPr>
          <w:rFonts w:ascii="Verdana" w:hAnsi="Verdana"/>
          <w:sz w:val="16"/>
          <w:szCs w:val="16"/>
          <w:lang w:val="es-ES"/>
        </w:rPr>
        <w:t xml:space="preserve">mpliatorio de </w:t>
      </w:r>
      <w:r w:rsidR="00FA61D8">
        <w:rPr>
          <w:rFonts w:ascii="Verdana" w:hAnsi="Verdana"/>
          <w:sz w:val="16"/>
          <w:szCs w:val="16"/>
          <w:lang w:val="es-ES"/>
        </w:rPr>
        <w:t>i</w:t>
      </w:r>
      <w:r w:rsidRPr="007C693A">
        <w:rPr>
          <w:rFonts w:ascii="Verdana" w:hAnsi="Verdana"/>
          <w:sz w:val="16"/>
          <w:szCs w:val="16"/>
          <w:lang w:val="es-ES"/>
        </w:rPr>
        <w:t>nstrucción de 20 de mayo de 1999 se acusa a Faustino Rico Toro Herbas por los delitos de alzamiento armado, asociación delictuosa y encubrimiento</w:t>
      </w:r>
      <w:r w:rsidR="00C007C1">
        <w:rPr>
          <w:rFonts w:ascii="Verdana" w:hAnsi="Verdana"/>
          <w:sz w:val="16"/>
          <w:szCs w:val="16"/>
          <w:lang w:val="es-ES"/>
        </w:rPr>
        <w:t xml:space="preserve">, y </w:t>
      </w:r>
      <w:r w:rsidRPr="007C693A">
        <w:rPr>
          <w:rFonts w:ascii="Verdana" w:hAnsi="Verdana"/>
          <w:sz w:val="16"/>
          <w:szCs w:val="16"/>
          <w:lang w:val="es-ES"/>
        </w:rPr>
        <w:t xml:space="preserve">a Willy Arriaza Monje por los delitos de encubrimiento, asociación delictuosa y falso testimonio. Asimismo, en </w:t>
      </w:r>
      <w:r>
        <w:rPr>
          <w:rFonts w:ascii="Verdana" w:hAnsi="Verdana"/>
          <w:sz w:val="16"/>
          <w:szCs w:val="16"/>
          <w:lang w:val="es-ES"/>
        </w:rPr>
        <w:t xml:space="preserve">el </w:t>
      </w:r>
      <w:r w:rsidRPr="007C693A">
        <w:rPr>
          <w:rFonts w:ascii="Verdana" w:hAnsi="Verdana"/>
          <w:sz w:val="16"/>
          <w:szCs w:val="16"/>
          <w:lang w:val="es-ES"/>
        </w:rPr>
        <w:t xml:space="preserve">Auto Ampliatorio de Instrucción de 9 junio de 1999 se acusa a Antonio Arnez, Adolfo Ustares Ferreira, Antonio Gutiérrez Estrada, Carlos Rodrigo Lea Plaza, Gregorio Loza Balza, Javier Hinojosa Valdez y Daniel Dammy Cuentas Valenzuela, por los delitos de alzamiento armado, terrorismo, encubrimiento y asociación delictuosa. </w:t>
      </w:r>
      <w:r w:rsidRPr="007C693A">
        <w:rPr>
          <w:rFonts w:ascii="Verdana" w:hAnsi="Verdana"/>
          <w:i/>
          <w:iCs/>
          <w:sz w:val="16"/>
          <w:szCs w:val="16"/>
          <w:lang w:val="es-ES"/>
        </w:rPr>
        <w:t>Cfr</w:t>
      </w:r>
      <w:r w:rsidRPr="007C693A">
        <w:rPr>
          <w:rFonts w:ascii="Verdana" w:hAnsi="Verdana"/>
          <w:sz w:val="16"/>
          <w:szCs w:val="16"/>
          <w:lang w:val="es-ES"/>
        </w:rPr>
        <w:t xml:space="preserve">. Autos ampliatorios de </w:t>
      </w:r>
      <w:r w:rsidR="00FA61D8">
        <w:rPr>
          <w:rFonts w:ascii="Verdana" w:hAnsi="Verdana"/>
          <w:sz w:val="16"/>
          <w:szCs w:val="16"/>
          <w:lang w:val="es-ES"/>
        </w:rPr>
        <w:t>i</w:t>
      </w:r>
      <w:r w:rsidRPr="007C693A">
        <w:rPr>
          <w:rFonts w:ascii="Verdana" w:hAnsi="Verdana"/>
          <w:sz w:val="16"/>
          <w:szCs w:val="16"/>
          <w:lang w:val="es-ES"/>
        </w:rPr>
        <w:t xml:space="preserve">nstrucción emitidos por el Juzgado Tercero de Instrucción en lo </w:t>
      </w:r>
      <w:r w:rsidR="008F7A8D">
        <w:rPr>
          <w:rFonts w:ascii="Verdana" w:hAnsi="Verdana"/>
          <w:sz w:val="16"/>
          <w:szCs w:val="16"/>
          <w:lang w:val="es-ES"/>
        </w:rPr>
        <w:t>P</w:t>
      </w:r>
      <w:r w:rsidRPr="007C693A">
        <w:rPr>
          <w:rFonts w:ascii="Verdana" w:hAnsi="Verdana"/>
          <w:sz w:val="16"/>
          <w:szCs w:val="16"/>
          <w:lang w:val="es-ES"/>
        </w:rPr>
        <w:t xml:space="preserve">enal, dentro del sumario penal seguido contra Franz Pizarro </w:t>
      </w:r>
      <w:r w:rsidR="00C007C1">
        <w:rPr>
          <w:rFonts w:ascii="Verdana" w:hAnsi="Verdana"/>
          <w:sz w:val="16"/>
          <w:szCs w:val="16"/>
          <w:lang w:val="es-ES"/>
        </w:rPr>
        <w:t>Solano</w:t>
      </w:r>
      <w:r w:rsidRPr="007C693A">
        <w:rPr>
          <w:rFonts w:ascii="Verdana" w:hAnsi="Verdana"/>
          <w:sz w:val="16"/>
          <w:szCs w:val="16"/>
          <w:lang w:val="es-ES"/>
        </w:rPr>
        <w:t xml:space="preserve"> y otros por el delito de asesinato y otros, de 20 de mayo de 1999 </w:t>
      </w:r>
      <w:r>
        <w:rPr>
          <w:rFonts w:ascii="Verdana" w:hAnsi="Verdana"/>
          <w:sz w:val="16"/>
          <w:szCs w:val="16"/>
          <w:lang w:val="es-ES"/>
        </w:rPr>
        <w:t xml:space="preserve">No. 14/98 </w:t>
      </w:r>
      <w:r w:rsidRPr="007C693A">
        <w:rPr>
          <w:rFonts w:ascii="Verdana" w:hAnsi="Verdana"/>
          <w:sz w:val="16"/>
          <w:szCs w:val="16"/>
          <w:lang w:val="es-ES"/>
        </w:rPr>
        <w:t>y de 9 de junio de 1999</w:t>
      </w:r>
      <w:r>
        <w:rPr>
          <w:rFonts w:ascii="Verdana" w:hAnsi="Verdana"/>
          <w:sz w:val="16"/>
          <w:szCs w:val="16"/>
          <w:lang w:val="es-ES"/>
        </w:rPr>
        <w:t xml:space="preserve"> No. 190/99</w:t>
      </w:r>
      <w:r w:rsidRPr="007C693A">
        <w:rPr>
          <w:rFonts w:ascii="Verdana" w:hAnsi="Verdana"/>
          <w:sz w:val="16"/>
          <w:szCs w:val="16"/>
          <w:lang w:val="es-ES"/>
        </w:rPr>
        <w:t xml:space="preserve"> (expediente de prueba, fs. 7479 a 7482). </w:t>
      </w:r>
    </w:p>
  </w:footnote>
  <w:footnote w:id="54">
    <w:p w14:paraId="3083D3AA" w14:textId="090C51DF"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xml:space="preserve">. Escrito de apersonamiento presentado por Verónica y Lilian Teresa Flores Bedregal el 30 de marzo de 2000 (expediente de prueba, fs. 7612 y 7613).  </w:t>
      </w:r>
    </w:p>
  </w:footnote>
  <w:footnote w:id="55">
    <w:p w14:paraId="4C5BDD13" w14:textId="261B27F9"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t xml:space="preserve">En este </w:t>
      </w:r>
      <w:r w:rsidR="00936D7B">
        <w:rPr>
          <w:rFonts w:ascii="Verdana" w:hAnsi="Verdana"/>
          <w:sz w:val="16"/>
          <w:szCs w:val="16"/>
          <w:lang w:val="es-MX"/>
        </w:rPr>
        <w:t>a</w:t>
      </w:r>
      <w:r w:rsidRPr="007C693A">
        <w:rPr>
          <w:rFonts w:ascii="Verdana" w:hAnsi="Verdana"/>
          <w:sz w:val="16"/>
          <w:szCs w:val="16"/>
          <w:lang w:val="es-MX"/>
        </w:rPr>
        <w:t>uto se amplió el auto inicial contra Faustino Rico Toro Herbas, Willy Arriaza Monje, Adolfo Ustarez Ferreira, José Gregorio Loza Balza, y Javier Hinojosa Valdez y se dictó sobreseimiento provisional a favor de Antonio Arnez, Manuel Antonio Gutiérrez Gutiérrez, Carlos Rodrigo Lea Plaza y Daniel Dammy Cuentas Valenzuela</w:t>
      </w:r>
      <w:r w:rsidRPr="007C693A">
        <w:rPr>
          <w:rFonts w:ascii="Verdana" w:hAnsi="Verdana"/>
          <w:sz w:val="16"/>
          <w:szCs w:val="16"/>
          <w:lang w:val="es-ES"/>
        </w:rPr>
        <w:t xml:space="preserve">, porque no había pruebas para presumir su participación en los hechos. </w:t>
      </w:r>
      <w:r w:rsidRPr="007B594B">
        <w:rPr>
          <w:rFonts w:ascii="Verdana" w:hAnsi="Verdana"/>
          <w:i/>
          <w:sz w:val="16"/>
          <w:szCs w:val="16"/>
          <w:lang w:val="es-MX"/>
        </w:rPr>
        <w:t>Cfr</w:t>
      </w:r>
      <w:r w:rsidRPr="007B594B">
        <w:rPr>
          <w:rFonts w:ascii="Verdana" w:hAnsi="Verdana"/>
          <w:sz w:val="16"/>
          <w:szCs w:val="16"/>
          <w:lang w:val="es-MX"/>
        </w:rPr>
        <w:t xml:space="preserve">. </w:t>
      </w:r>
      <w:r w:rsidRPr="00B50CD5">
        <w:rPr>
          <w:rFonts w:ascii="Verdana" w:hAnsi="Verdana"/>
          <w:sz w:val="16"/>
          <w:szCs w:val="16"/>
          <w:lang w:val="es-MX"/>
        </w:rPr>
        <w:t>Resolución No. 158/2001.</w:t>
      </w:r>
      <w:r w:rsidRPr="00210A69">
        <w:rPr>
          <w:rFonts w:ascii="Verdana" w:hAnsi="Verdana"/>
          <w:sz w:val="16"/>
          <w:szCs w:val="16"/>
          <w:lang w:val="es-MX"/>
        </w:rPr>
        <w:t xml:space="preserve"> </w:t>
      </w:r>
      <w:r w:rsidRPr="00B50CD5">
        <w:rPr>
          <w:rFonts w:ascii="Verdana" w:hAnsi="Verdana"/>
          <w:sz w:val="16"/>
          <w:szCs w:val="16"/>
          <w:lang w:val="es-MX"/>
        </w:rPr>
        <w:t xml:space="preserve">Auto </w:t>
      </w:r>
      <w:r w:rsidR="00FA61D8">
        <w:rPr>
          <w:rFonts w:ascii="Verdana" w:hAnsi="Verdana"/>
          <w:sz w:val="16"/>
          <w:szCs w:val="16"/>
          <w:lang w:val="es-MX"/>
        </w:rPr>
        <w:t>f</w:t>
      </w:r>
      <w:r w:rsidRPr="00B50CD5">
        <w:rPr>
          <w:rFonts w:ascii="Verdana" w:hAnsi="Verdana"/>
          <w:sz w:val="16"/>
          <w:szCs w:val="16"/>
          <w:lang w:val="es-MX"/>
        </w:rPr>
        <w:t xml:space="preserve">inal de </w:t>
      </w:r>
      <w:r w:rsidR="00FA61D8">
        <w:rPr>
          <w:rFonts w:ascii="Verdana" w:hAnsi="Verdana"/>
          <w:sz w:val="16"/>
          <w:szCs w:val="16"/>
          <w:lang w:val="es-MX"/>
        </w:rPr>
        <w:t>i</w:t>
      </w:r>
      <w:r w:rsidRPr="00B50CD5">
        <w:rPr>
          <w:rFonts w:ascii="Verdana" w:hAnsi="Verdana"/>
          <w:sz w:val="16"/>
          <w:szCs w:val="16"/>
          <w:lang w:val="es-MX"/>
        </w:rPr>
        <w:t>nstrucción dictado por el Juzgado Tercero de Instrucción en lo Penal de la Paz dentro del sumario penal contra Franz Pizarro y otros por los delitos de asesinato y otros, de 18 de abril de 2001 (expediente de prueba, fs. 278 a 297).</w:t>
      </w:r>
    </w:p>
  </w:footnote>
  <w:footnote w:id="56">
    <w:p w14:paraId="6ED74B14" w14:textId="355CECE8" w:rsidR="00AC124E" w:rsidRPr="007C693A" w:rsidRDefault="00AC124E" w:rsidP="00973FC8">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 xml:space="preserve">La querella y constitución como parte civil se tuvieron por formalizadas el 13 de septiembre de 2002, el escrito de querella es de 11 de septiembre de </w:t>
      </w:r>
      <w:r w:rsidRPr="00E16922">
        <w:rPr>
          <w:rFonts w:ascii="Verdana" w:hAnsi="Verdana"/>
          <w:sz w:val="16"/>
          <w:szCs w:val="16"/>
          <w:lang w:val="es-ES"/>
        </w:rPr>
        <w:t>2002</w:t>
      </w:r>
      <w:r w:rsidR="00C007C1" w:rsidRPr="00E16922">
        <w:rPr>
          <w:rFonts w:ascii="Verdana" w:hAnsi="Verdana"/>
          <w:sz w:val="16"/>
          <w:szCs w:val="16"/>
          <w:lang w:val="es-ES"/>
        </w:rPr>
        <w:t>.</w:t>
      </w:r>
      <w:r w:rsidR="00FE180D" w:rsidRPr="00E16922">
        <w:rPr>
          <w:rFonts w:ascii="Verdana" w:hAnsi="Verdana"/>
          <w:sz w:val="16"/>
          <w:szCs w:val="16"/>
          <w:lang w:val="es-ES"/>
        </w:rPr>
        <w:t xml:space="preserve"> En dicho escrito se señaló que “tuvieron el cinismo indicar que  fue ametrallado el diputado FLORES […] actualmente no se sabe donde se encuentra su cuerpo, ya que las hermanas no tiene</w:t>
      </w:r>
      <w:r w:rsidR="00226E39" w:rsidRPr="00E16922">
        <w:rPr>
          <w:rFonts w:ascii="Verdana" w:hAnsi="Verdana"/>
          <w:sz w:val="16"/>
          <w:szCs w:val="16"/>
          <w:lang w:val="es-ES"/>
        </w:rPr>
        <w:t>[n]</w:t>
      </w:r>
      <w:r w:rsidR="00FE180D" w:rsidRPr="00E16922">
        <w:rPr>
          <w:rFonts w:ascii="Verdana" w:hAnsi="Verdana"/>
          <w:sz w:val="16"/>
          <w:szCs w:val="16"/>
          <w:lang w:val="es-ES"/>
        </w:rPr>
        <w:t xml:space="preserve"> donde ir a rezarle un padre nuestro ni dejarle flore</w:t>
      </w:r>
      <w:r w:rsidR="00226E39" w:rsidRPr="00E16922">
        <w:rPr>
          <w:rFonts w:ascii="Verdana" w:hAnsi="Verdana"/>
          <w:sz w:val="16"/>
          <w:szCs w:val="16"/>
          <w:lang w:val="es-ES"/>
        </w:rPr>
        <w:t>s</w:t>
      </w:r>
      <w:r w:rsidR="00FE180D" w:rsidRPr="00E16922">
        <w:rPr>
          <w:rFonts w:ascii="Verdana" w:hAnsi="Verdana"/>
          <w:sz w:val="16"/>
          <w:szCs w:val="16"/>
          <w:lang w:val="es-ES"/>
        </w:rPr>
        <w:t xml:space="preserve"> […</w:t>
      </w:r>
      <w:r w:rsidR="00226E39" w:rsidRPr="00E16922">
        <w:rPr>
          <w:rFonts w:ascii="Verdana" w:hAnsi="Verdana"/>
          <w:sz w:val="16"/>
          <w:szCs w:val="16"/>
          <w:lang w:val="es-ES"/>
        </w:rPr>
        <w:t xml:space="preserve"> su</w:t>
      </w:r>
      <w:r w:rsidR="00FE180D" w:rsidRPr="00E16922">
        <w:rPr>
          <w:rFonts w:ascii="Verdana" w:hAnsi="Verdana"/>
          <w:sz w:val="16"/>
          <w:szCs w:val="16"/>
          <w:lang w:val="es-ES"/>
        </w:rPr>
        <w:t>] único hermano varón, se debe tomar en cuenta que la desaparición forzada [</w:t>
      </w:r>
      <w:r w:rsidR="00C007C1" w:rsidRPr="00E16922">
        <w:rPr>
          <w:rFonts w:ascii="Verdana" w:hAnsi="Verdana"/>
          <w:sz w:val="16"/>
          <w:szCs w:val="16"/>
          <w:lang w:val="es-ES"/>
        </w:rPr>
        <w:t>…</w:t>
      </w:r>
      <w:r w:rsidR="00FE180D" w:rsidRPr="00E16922">
        <w:rPr>
          <w:rFonts w:ascii="Verdana" w:hAnsi="Verdana"/>
          <w:sz w:val="16"/>
          <w:szCs w:val="16"/>
          <w:lang w:val="es-ES"/>
        </w:rPr>
        <w:t>]</w:t>
      </w:r>
      <w:r w:rsidR="00A2619F" w:rsidRPr="00E16922">
        <w:rPr>
          <w:rFonts w:ascii="Verdana" w:hAnsi="Verdana"/>
          <w:sz w:val="16"/>
          <w:szCs w:val="16"/>
          <w:lang w:val="es-ES"/>
        </w:rPr>
        <w:t xml:space="preserve"> </w:t>
      </w:r>
      <w:r w:rsidR="00FE180D" w:rsidRPr="00E16922">
        <w:rPr>
          <w:rFonts w:ascii="Verdana" w:hAnsi="Verdana"/>
          <w:sz w:val="16"/>
          <w:szCs w:val="16"/>
          <w:lang w:val="es-ES"/>
        </w:rPr>
        <w:t>es un delito de le</w:t>
      </w:r>
      <w:r w:rsidR="00F53016" w:rsidRPr="00E16922">
        <w:rPr>
          <w:rFonts w:ascii="Verdana" w:hAnsi="Verdana"/>
          <w:sz w:val="16"/>
          <w:szCs w:val="16"/>
          <w:lang w:val="es-ES"/>
        </w:rPr>
        <w:t>s</w:t>
      </w:r>
      <w:r w:rsidR="00FE180D" w:rsidRPr="00E16922">
        <w:rPr>
          <w:rFonts w:ascii="Verdana" w:hAnsi="Verdana"/>
          <w:sz w:val="16"/>
          <w:szCs w:val="16"/>
          <w:lang w:val="es-ES"/>
        </w:rPr>
        <w:t xml:space="preserve">a Humanidad y no </w:t>
      </w:r>
      <w:r w:rsidR="00226E39" w:rsidRPr="00E16922">
        <w:rPr>
          <w:rFonts w:ascii="Verdana" w:hAnsi="Verdana"/>
          <w:sz w:val="16"/>
          <w:szCs w:val="16"/>
          <w:lang w:val="es-ES"/>
        </w:rPr>
        <w:t>p</w:t>
      </w:r>
      <w:r w:rsidR="00FE180D" w:rsidRPr="00E16922">
        <w:rPr>
          <w:rFonts w:ascii="Verdana" w:hAnsi="Verdana"/>
          <w:sz w:val="16"/>
          <w:szCs w:val="16"/>
          <w:lang w:val="es-ES"/>
        </w:rPr>
        <w:t>rescribe, de acuerdo [</w:t>
      </w:r>
      <w:r w:rsidR="00226E39" w:rsidRPr="00E16922">
        <w:rPr>
          <w:rFonts w:ascii="Verdana" w:hAnsi="Verdana"/>
          <w:sz w:val="16"/>
          <w:szCs w:val="16"/>
          <w:lang w:val="es-ES"/>
        </w:rPr>
        <w:t>a</w:t>
      </w:r>
      <w:r w:rsidR="00FE180D" w:rsidRPr="00E16922">
        <w:rPr>
          <w:rFonts w:ascii="Verdana" w:hAnsi="Verdana"/>
          <w:sz w:val="16"/>
          <w:szCs w:val="16"/>
          <w:lang w:val="es-ES"/>
        </w:rPr>
        <w:t>…]</w:t>
      </w:r>
      <w:r w:rsidR="00226E39" w:rsidRPr="00E16922">
        <w:rPr>
          <w:rFonts w:ascii="Verdana" w:hAnsi="Verdana"/>
          <w:sz w:val="16"/>
          <w:szCs w:val="16"/>
          <w:lang w:val="es-ES"/>
        </w:rPr>
        <w:t xml:space="preserve"> </w:t>
      </w:r>
      <w:r w:rsidR="00FE180D" w:rsidRPr="00E16922">
        <w:rPr>
          <w:rFonts w:ascii="Verdana" w:hAnsi="Verdana"/>
          <w:sz w:val="16"/>
          <w:szCs w:val="16"/>
          <w:lang w:val="es-ES"/>
        </w:rPr>
        <w:t>su última parte del Código de Procedimiento Penal (nuevo) se toma en cuenta Convenciones y Tratados Internacionales plenamente vigentes […]”</w:t>
      </w:r>
      <w:r w:rsidRPr="00E16922">
        <w:rPr>
          <w:rFonts w:ascii="Verdana" w:hAnsi="Verdana"/>
          <w:sz w:val="16"/>
          <w:szCs w:val="16"/>
          <w:lang w:val="es-ES"/>
        </w:rPr>
        <w:t>.</w:t>
      </w:r>
      <w:r w:rsidRPr="007C693A">
        <w:rPr>
          <w:rFonts w:ascii="Verdana" w:hAnsi="Verdana"/>
          <w:sz w:val="16"/>
          <w:szCs w:val="16"/>
          <w:lang w:val="es-ES"/>
        </w:rPr>
        <w:t xml:space="preserve"> </w:t>
      </w:r>
      <w:r w:rsidRPr="007C693A">
        <w:rPr>
          <w:rFonts w:ascii="Verdana" w:hAnsi="Verdana"/>
          <w:i/>
          <w:iCs/>
          <w:sz w:val="16"/>
          <w:szCs w:val="16"/>
          <w:lang w:val="es-ES"/>
        </w:rPr>
        <w:t>Cfr</w:t>
      </w:r>
      <w:r w:rsidRPr="007C693A">
        <w:rPr>
          <w:rFonts w:ascii="Verdana" w:hAnsi="Verdana"/>
          <w:sz w:val="16"/>
          <w:szCs w:val="16"/>
          <w:lang w:val="es-ES"/>
        </w:rPr>
        <w:t>. Escrito de interposición de querella, presentado por la abogada Eulogia Pantoja Vacaflor en representación de las hermanas Flores Bedregal ante el J</w:t>
      </w:r>
      <w:r w:rsidRPr="00A32DBE">
        <w:rPr>
          <w:rFonts w:ascii="Verdana" w:hAnsi="Verdana"/>
          <w:sz w:val="16"/>
          <w:szCs w:val="16"/>
          <w:lang w:val="es-ES"/>
        </w:rPr>
        <w:t>u</w:t>
      </w:r>
      <w:r w:rsidR="00FA61D8" w:rsidRPr="00A32DBE">
        <w:rPr>
          <w:rFonts w:ascii="Verdana" w:hAnsi="Verdana"/>
          <w:sz w:val="16"/>
          <w:szCs w:val="16"/>
          <w:lang w:val="es-ES"/>
        </w:rPr>
        <w:t>zgado</w:t>
      </w:r>
      <w:r w:rsidRPr="00A32DBE">
        <w:rPr>
          <w:rFonts w:ascii="Verdana" w:hAnsi="Verdana"/>
          <w:sz w:val="16"/>
          <w:szCs w:val="16"/>
          <w:lang w:val="es-ES"/>
        </w:rPr>
        <w:t xml:space="preserve"> </w:t>
      </w:r>
      <w:r w:rsidRPr="007C693A">
        <w:rPr>
          <w:rFonts w:ascii="Verdana" w:hAnsi="Verdana"/>
          <w:sz w:val="16"/>
          <w:szCs w:val="16"/>
          <w:lang w:val="es-ES"/>
        </w:rPr>
        <w:t>Sexto de Partido en lo Penal, de 11 de septiembre de 2022 (expediente de prueba, fs. 7466 a 7473), Proveído de 13 de septiembre de 2002 (expediente de prueba, f. 7474)</w:t>
      </w:r>
      <w:r w:rsidR="00FA61D8">
        <w:rPr>
          <w:rFonts w:ascii="Verdana" w:hAnsi="Verdana"/>
          <w:sz w:val="16"/>
          <w:szCs w:val="16"/>
          <w:lang w:val="es-ES"/>
        </w:rPr>
        <w:t xml:space="preserve">, </w:t>
      </w:r>
      <w:r w:rsidRPr="007C693A">
        <w:rPr>
          <w:rFonts w:ascii="Verdana" w:hAnsi="Verdana"/>
          <w:sz w:val="16"/>
          <w:szCs w:val="16"/>
          <w:lang w:val="es-ES"/>
        </w:rPr>
        <w:t xml:space="preserve">y </w:t>
      </w:r>
      <w:r w:rsidRPr="00B50CD5">
        <w:rPr>
          <w:rFonts w:ascii="Verdana" w:hAnsi="Verdana"/>
          <w:sz w:val="16"/>
          <w:szCs w:val="16"/>
          <w:lang w:val="es-ES"/>
        </w:rPr>
        <w:t xml:space="preserve">Resolución No. 129/2007 del Juzgado Segundo de Partido en lo </w:t>
      </w:r>
      <w:r w:rsidR="00C62C1C" w:rsidRPr="00B50CD5">
        <w:rPr>
          <w:rFonts w:ascii="Verdana" w:hAnsi="Verdana"/>
          <w:sz w:val="16"/>
          <w:szCs w:val="16"/>
          <w:lang w:val="es-ES"/>
        </w:rPr>
        <w:t>P</w:t>
      </w:r>
      <w:r w:rsidRPr="00B50CD5">
        <w:rPr>
          <w:rFonts w:ascii="Verdana" w:hAnsi="Verdana"/>
          <w:sz w:val="16"/>
          <w:szCs w:val="16"/>
          <w:lang w:val="es-ES"/>
        </w:rPr>
        <w:t xml:space="preserve">enal </w:t>
      </w:r>
      <w:r w:rsidR="00C62C1C" w:rsidRPr="00B50CD5">
        <w:rPr>
          <w:rFonts w:ascii="Verdana" w:hAnsi="Verdana"/>
          <w:sz w:val="16"/>
          <w:szCs w:val="16"/>
          <w:lang w:val="es-ES"/>
        </w:rPr>
        <w:t>L</w:t>
      </w:r>
      <w:r w:rsidRPr="00B50CD5">
        <w:rPr>
          <w:rFonts w:ascii="Verdana" w:hAnsi="Verdana"/>
          <w:sz w:val="16"/>
          <w:szCs w:val="16"/>
          <w:lang w:val="es-ES"/>
        </w:rPr>
        <w:t>iquidador, de 12 de diciembre de 2007</w:t>
      </w:r>
      <w:r w:rsidR="00615BFF" w:rsidRPr="00B50CD5">
        <w:rPr>
          <w:rFonts w:ascii="Verdana" w:hAnsi="Verdana"/>
          <w:sz w:val="16"/>
          <w:szCs w:val="16"/>
          <w:lang w:val="es-ES"/>
        </w:rPr>
        <w:t xml:space="preserve">, </w:t>
      </w:r>
      <w:r w:rsidR="00615BFF" w:rsidRPr="00B50CD5">
        <w:rPr>
          <w:rFonts w:ascii="Verdana" w:hAnsi="Verdana"/>
          <w:i/>
          <w:iCs/>
          <w:sz w:val="16"/>
          <w:szCs w:val="16"/>
          <w:lang w:val="es-ES"/>
        </w:rPr>
        <w:t>supra</w:t>
      </w:r>
      <w:r w:rsidR="00973FC8">
        <w:rPr>
          <w:rFonts w:ascii="Verdana" w:hAnsi="Verdana"/>
          <w:i/>
          <w:iCs/>
          <w:sz w:val="16"/>
          <w:szCs w:val="16"/>
          <w:lang w:val="es-ES"/>
        </w:rPr>
        <w:t>.</w:t>
      </w:r>
    </w:p>
  </w:footnote>
  <w:footnote w:id="57">
    <w:p w14:paraId="3D56DD2B" w14:textId="6C96C45C"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iCs/>
          <w:sz w:val="16"/>
          <w:szCs w:val="16"/>
          <w:lang w:val="es-MX"/>
        </w:rPr>
        <w:t>Cfr</w:t>
      </w:r>
      <w:r w:rsidRPr="007C693A">
        <w:rPr>
          <w:rFonts w:ascii="Verdana" w:hAnsi="Verdana"/>
          <w:sz w:val="16"/>
          <w:szCs w:val="16"/>
          <w:lang w:val="es-MX"/>
        </w:rPr>
        <w:t>. Escrito de las familiares del señor Juan Carlos Flores Bedregal de 12 de mayo de 2006 (expediente de prueba, fs. 316 y 317).</w:t>
      </w:r>
    </w:p>
  </w:footnote>
  <w:footnote w:id="58">
    <w:p w14:paraId="223CBCEF" w14:textId="41C0626C" w:rsidR="00710CCA" w:rsidRPr="00710CCA" w:rsidRDefault="00AC124E" w:rsidP="00014203">
      <w:pPr>
        <w:jc w:val="both"/>
        <w:rPr>
          <w:rFonts w:ascii="Verdana" w:hAnsi="Verdana"/>
          <w:i/>
          <w:iCs/>
          <w:color w:val="000000"/>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Escrito de la abogada Eulogia Pantoja Vacaflor en representación de la familia Flores Bedregal, de 22 de</w:t>
      </w:r>
      <w:r w:rsidRPr="00E16922">
        <w:rPr>
          <w:rFonts w:ascii="Verdana" w:hAnsi="Verdana"/>
          <w:sz w:val="16"/>
          <w:szCs w:val="16"/>
          <w:lang w:val="es-ES"/>
        </w:rPr>
        <w:t xml:space="preserve"> agosto de 2006, presentado en la misma fecha (expediente de prueba, f. 8491)</w:t>
      </w:r>
      <w:r w:rsidRPr="00E16922">
        <w:rPr>
          <w:rFonts w:ascii="Verdana" w:hAnsi="Verdana"/>
          <w:sz w:val="16"/>
          <w:szCs w:val="16"/>
          <w:lang w:val="es-CR"/>
        </w:rPr>
        <w:t xml:space="preserve">. Anteriormente, el 27 de abril de 1999 el </w:t>
      </w:r>
      <w:r w:rsidR="00121975" w:rsidRPr="00E16922">
        <w:rPr>
          <w:rFonts w:ascii="Verdana" w:hAnsi="Verdana"/>
          <w:sz w:val="16"/>
          <w:szCs w:val="16"/>
          <w:lang w:val="es-CR"/>
        </w:rPr>
        <w:t>Ju</w:t>
      </w:r>
      <w:r w:rsidR="008D6730" w:rsidRPr="00E16922">
        <w:rPr>
          <w:rFonts w:ascii="Verdana" w:hAnsi="Verdana"/>
          <w:sz w:val="16"/>
          <w:szCs w:val="16"/>
          <w:lang w:val="es-CR"/>
        </w:rPr>
        <w:t>zgado</w:t>
      </w:r>
      <w:r w:rsidR="00121975">
        <w:rPr>
          <w:rFonts w:ascii="Verdana" w:hAnsi="Verdana"/>
          <w:sz w:val="16"/>
          <w:szCs w:val="16"/>
          <w:lang w:val="es-CR"/>
        </w:rPr>
        <w:t xml:space="preserve"> Tercero </w:t>
      </w:r>
      <w:r w:rsidR="008D6730">
        <w:rPr>
          <w:rFonts w:ascii="Verdana" w:hAnsi="Verdana"/>
          <w:sz w:val="16"/>
          <w:szCs w:val="16"/>
          <w:lang w:val="es-CR"/>
        </w:rPr>
        <w:t xml:space="preserve">de </w:t>
      </w:r>
      <w:r w:rsidR="008D6730" w:rsidRPr="007C693A">
        <w:rPr>
          <w:rFonts w:ascii="Verdana" w:hAnsi="Verdana"/>
          <w:sz w:val="16"/>
          <w:szCs w:val="16"/>
          <w:lang w:val="es-CR"/>
        </w:rPr>
        <w:t>Instrucción</w:t>
      </w:r>
      <w:r w:rsidRPr="007C693A">
        <w:rPr>
          <w:rFonts w:ascii="Verdana" w:hAnsi="Verdana"/>
          <w:sz w:val="16"/>
          <w:szCs w:val="16"/>
          <w:lang w:val="es-CR"/>
        </w:rPr>
        <w:t xml:space="preserve"> </w:t>
      </w:r>
      <w:r w:rsidR="000400FB" w:rsidRPr="00C47E3D">
        <w:rPr>
          <w:rFonts w:ascii="Verdana" w:hAnsi="Verdana"/>
          <w:sz w:val="16"/>
          <w:szCs w:val="16"/>
          <w:lang w:val="es-CR"/>
        </w:rPr>
        <w:t xml:space="preserve">dentro del </w:t>
      </w:r>
      <w:r w:rsidR="000400FB" w:rsidRPr="00C47E3D">
        <w:rPr>
          <w:rFonts w:ascii="Verdana" w:hAnsi="Verdana"/>
          <w:color w:val="000000" w:themeColor="text1"/>
          <w:sz w:val="16"/>
          <w:szCs w:val="16"/>
          <w:lang w:val="es-ES"/>
        </w:rPr>
        <w:t>proceso penal “Ministerio Público c/Franz Pizarro Solano y otros”</w:t>
      </w:r>
      <w:r w:rsidR="00710CCA">
        <w:rPr>
          <w:rFonts w:ascii="Verdana" w:hAnsi="Verdana"/>
          <w:color w:val="000000" w:themeColor="text1"/>
          <w:sz w:val="16"/>
          <w:szCs w:val="16"/>
          <w:lang w:val="es-ES"/>
        </w:rPr>
        <w:t xml:space="preserve"> </w:t>
      </w:r>
      <w:r w:rsidRPr="007C693A">
        <w:rPr>
          <w:rFonts w:ascii="Verdana" w:hAnsi="Verdana"/>
          <w:sz w:val="16"/>
          <w:szCs w:val="16"/>
          <w:lang w:val="es-CR"/>
        </w:rPr>
        <w:t xml:space="preserve">solicitó a las FFAA los Archivos del Departamento II del Estado Mayor del Ejército. </w:t>
      </w:r>
      <w:r w:rsidRPr="00C62C1C">
        <w:rPr>
          <w:rFonts w:ascii="Verdana" w:hAnsi="Verdana"/>
          <w:i/>
          <w:iCs/>
          <w:sz w:val="16"/>
          <w:szCs w:val="16"/>
          <w:lang w:val="es-CR"/>
        </w:rPr>
        <w:t>Cfr.</w:t>
      </w:r>
      <w:r w:rsidRPr="007C693A">
        <w:rPr>
          <w:rFonts w:ascii="Verdana" w:hAnsi="Verdana"/>
          <w:sz w:val="16"/>
          <w:szCs w:val="16"/>
          <w:lang w:val="es-CR"/>
        </w:rPr>
        <w:t xml:space="preserve"> escrito de 27 de abril de 1999</w:t>
      </w:r>
      <w:r w:rsidR="00121975">
        <w:rPr>
          <w:rFonts w:ascii="Verdana" w:hAnsi="Verdana"/>
          <w:sz w:val="16"/>
          <w:szCs w:val="16"/>
          <w:lang w:val="es-CR"/>
        </w:rPr>
        <w:t xml:space="preserve"> del </w:t>
      </w:r>
      <w:r>
        <w:rPr>
          <w:rFonts w:ascii="Verdana" w:hAnsi="Verdana"/>
          <w:sz w:val="16"/>
          <w:szCs w:val="16"/>
          <w:lang w:val="es-CR"/>
        </w:rPr>
        <w:t>Ju</w:t>
      </w:r>
      <w:r w:rsidR="000400FB">
        <w:rPr>
          <w:rFonts w:ascii="Verdana" w:hAnsi="Verdana"/>
          <w:sz w:val="16"/>
          <w:szCs w:val="16"/>
          <w:lang w:val="es-CR"/>
        </w:rPr>
        <w:t>zgado</w:t>
      </w:r>
      <w:r>
        <w:rPr>
          <w:rFonts w:ascii="Verdana" w:hAnsi="Verdana"/>
          <w:sz w:val="16"/>
          <w:szCs w:val="16"/>
          <w:lang w:val="es-CR"/>
        </w:rPr>
        <w:t xml:space="preserve"> </w:t>
      </w:r>
      <w:r w:rsidR="00121975">
        <w:rPr>
          <w:rFonts w:ascii="Verdana" w:hAnsi="Verdana"/>
          <w:sz w:val="16"/>
          <w:szCs w:val="16"/>
          <w:lang w:val="es-CR"/>
        </w:rPr>
        <w:t>Tercero</w:t>
      </w:r>
      <w:r w:rsidR="00B50CD5">
        <w:rPr>
          <w:rFonts w:ascii="Verdana" w:hAnsi="Verdana"/>
          <w:sz w:val="16"/>
          <w:szCs w:val="16"/>
          <w:lang w:val="es-CR"/>
        </w:rPr>
        <w:t xml:space="preserve"> </w:t>
      </w:r>
      <w:r>
        <w:rPr>
          <w:rFonts w:ascii="Verdana" w:hAnsi="Verdana"/>
          <w:sz w:val="16"/>
          <w:szCs w:val="16"/>
          <w:lang w:val="es-CR"/>
        </w:rPr>
        <w:t xml:space="preserve">de Instrucción en lo Penal </w:t>
      </w:r>
      <w:r w:rsidRPr="007C693A">
        <w:rPr>
          <w:rFonts w:ascii="Verdana" w:hAnsi="Verdana"/>
          <w:color w:val="000000" w:themeColor="text1"/>
          <w:sz w:val="16"/>
          <w:szCs w:val="16"/>
          <w:lang w:val="es-ES"/>
        </w:rPr>
        <w:t xml:space="preserve">(expediente de prueba, f. 8493). En respuesta a dicha comunicación, </w:t>
      </w:r>
      <w:r w:rsidRPr="00B179B1">
        <w:rPr>
          <w:rFonts w:ascii="Verdana" w:hAnsi="Verdana"/>
          <w:color w:val="000000" w:themeColor="text1"/>
          <w:sz w:val="16"/>
          <w:szCs w:val="16"/>
          <w:lang w:val="es-ES"/>
        </w:rPr>
        <w:t xml:space="preserve">el </w:t>
      </w:r>
      <w:r w:rsidR="00C62C1C" w:rsidRPr="00B50CD5">
        <w:rPr>
          <w:rFonts w:ascii="Verdana" w:hAnsi="Verdana"/>
          <w:color w:val="000000" w:themeColor="text1"/>
          <w:sz w:val="16"/>
          <w:szCs w:val="16"/>
          <w:lang w:val="es-ES"/>
        </w:rPr>
        <w:t>9</w:t>
      </w:r>
      <w:r w:rsidRPr="007C693A">
        <w:rPr>
          <w:rFonts w:ascii="Verdana" w:hAnsi="Verdana"/>
          <w:color w:val="000000" w:themeColor="text1"/>
          <w:sz w:val="16"/>
          <w:szCs w:val="16"/>
          <w:lang w:val="es-ES"/>
        </w:rPr>
        <w:t xml:space="preserve"> de junio de 1999 el Comandante en Jefe de las FFAA de la Nación </w:t>
      </w:r>
      <w:r w:rsidR="00710CCA">
        <w:rPr>
          <w:rFonts w:ascii="Verdana" w:hAnsi="Verdana"/>
          <w:color w:val="000000" w:themeColor="text1"/>
          <w:sz w:val="16"/>
          <w:szCs w:val="16"/>
          <w:lang w:val="es-ES"/>
        </w:rPr>
        <w:t xml:space="preserve">señaló: </w:t>
      </w:r>
      <w:r w:rsidRPr="007C693A">
        <w:rPr>
          <w:rFonts w:ascii="Verdana" w:hAnsi="Verdana"/>
          <w:color w:val="000000" w:themeColor="text1"/>
          <w:sz w:val="16"/>
          <w:szCs w:val="16"/>
          <w:lang w:val="es-ES"/>
        </w:rPr>
        <w:t xml:space="preserve">“hago llegar a usted la documentación requerida por ese Juzgado en fojas (339) útiles debidamente foliadas; el </w:t>
      </w:r>
      <w:r w:rsidRPr="00E16922">
        <w:rPr>
          <w:rFonts w:ascii="Verdana" w:hAnsi="Verdana"/>
          <w:color w:val="000000" w:themeColor="text1"/>
          <w:sz w:val="16"/>
          <w:szCs w:val="16"/>
          <w:lang w:val="es-ES"/>
        </w:rPr>
        <w:t>mismo que en virtud a lo dispuesto por el Artículo 98 del Capítulo V de la Ley Orgánica de las FF.AA. de la Nación (LOFA), esta documentación es de carácter SECRETO e INVIOLABLE, debiendo mantenerse la misma en Reserva, en tal sentido agradeceré a usted, su devolución a mi despacho una vez evaluada para los fines consiguientes”. (negritas y mayúsculas del original)</w:t>
      </w:r>
      <w:r w:rsidR="00710CCA" w:rsidRPr="00E16922">
        <w:rPr>
          <w:rFonts w:ascii="Verdana" w:hAnsi="Verdana"/>
          <w:color w:val="000000" w:themeColor="text1"/>
          <w:sz w:val="16"/>
          <w:szCs w:val="16"/>
          <w:lang w:val="es-ES"/>
        </w:rPr>
        <w:t>.</w:t>
      </w:r>
      <w:r w:rsidR="00BB0BD2" w:rsidRPr="00E16922">
        <w:rPr>
          <w:rFonts w:ascii="Verdana" w:hAnsi="Verdana"/>
          <w:color w:val="000000" w:themeColor="text1"/>
          <w:sz w:val="16"/>
          <w:szCs w:val="16"/>
          <w:lang w:val="es-ES"/>
        </w:rPr>
        <w:t xml:space="preserve"> </w:t>
      </w:r>
      <w:r w:rsidR="00710CCA" w:rsidRPr="00E16922">
        <w:rPr>
          <w:rFonts w:ascii="Verdana" w:hAnsi="Verdana"/>
          <w:i/>
          <w:iCs/>
          <w:color w:val="000000"/>
          <w:sz w:val="16"/>
          <w:szCs w:val="16"/>
          <w:lang w:val="es-ES"/>
        </w:rPr>
        <w:t>Cfr</w:t>
      </w:r>
      <w:r w:rsidR="00710CCA" w:rsidRPr="00E16922">
        <w:rPr>
          <w:rFonts w:ascii="Verdana" w:hAnsi="Verdana"/>
          <w:color w:val="000000"/>
          <w:sz w:val="16"/>
          <w:szCs w:val="16"/>
          <w:lang w:val="es-ES"/>
        </w:rPr>
        <w:t>. Comunicación del Comandante en Jefe de las FFAA, Nota Dpto.II-Icia.EMG.Secc-“A” No. 261/99, de 9 de junio de 1999 (expediente de prueba, f. 8495)</w:t>
      </w:r>
      <w:r w:rsidR="00710CCA" w:rsidRPr="00E16922">
        <w:rPr>
          <w:rFonts w:ascii="Verdana" w:hAnsi="Verdana"/>
          <w:color w:val="000000" w:themeColor="text1"/>
          <w:sz w:val="16"/>
          <w:szCs w:val="16"/>
          <w:lang w:val="es-ES"/>
        </w:rPr>
        <w:t>.</w:t>
      </w:r>
    </w:p>
  </w:footnote>
  <w:footnote w:id="59">
    <w:p w14:paraId="7CA0B397" w14:textId="6247374A"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xml:space="preserve"> Providencia de Vista Fiscal del Ju</w:t>
      </w:r>
      <w:r w:rsidR="008D6730" w:rsidRPr="00E16922">
        <w:rPr>
          <w:rFonts w:ascii="Verdana" w:hAnsi="Verdana"/>
          <w:sz w:val="16"/>
          <w:szCs w:val="16"/>
          <w:lang w:val="es-ES"/>
        </w:rPr>
        <w:t>zgad</w:t>
      </w:r>
      <w:r w:rsidR="008D6730">
        <w:rPr>
          <w:rFonts w:ascii="Verdana" w:hAnsi="Verdana"/>
          <w:sz w:val="16"/>
          <w:szCs w:val="16"/>
          <w:lang w:val="es-ES"/>
        </w:rPr>
        <w:t>o</w:t>
      </w:r>
      <w:r w:rsidRPr="007C693A">
        <w:rPr>
          <w:rFonts w:ascii="Verdana" w:hAnsi="Verdana"/>
          <w:sz w:val="16"/>
          <w:szCs w:val="16"/>
          <w:lang w:val="es-ES"/>
        </w:rPr>
        <w:t xml:space="preserve"> Segundo de Partido en lo Penal de 23 de agosto de 2006 (expediente de prueba, fs. 8491)</w:t>
      </w:r>
      <w:r w:rsidR="00C62C1C">
        <w:rPr>
          <w:rFonts w:ascii="Verdana" w:hAnsi="Verdana"/>
          <w:sz w:val="16"/>
          <w:szCs w:val="16"/>
          <w:lang w:val="es-ES"/>
        </w:rPr>
        <w:t>.</w:t>
      </w:r>
    </w:p>
  </w:footnote>
  <w:footnote w:id="60">
    <w:p w14:paraId="3C16AB21" w14:textId="27CD4C1F"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xml:space="preserve">. Escrito de </w:t>
      </w:r>
      <w:bookmarkStart w:id="113" w:name="_Hlk98327684"/>
      <w:r w:rsidRPr="007C693A">
        <w:rPr>
          <w:rFonts w:ascii="Verdana" w:hAnsi="Verdana"/>
          <w:sz w:val="16"/>
          <w:szCs w:val="16"/>
          <w:lang w:val="es-MX"/>
        </w:rPr>
        <w:t>la abogada Eulogia Pantoja Vacaflor en representación de la familia Flores Bedregal, de 28 de agosto de 2006</w:t>
      </w:r>
      <w:bookmarkEnd w:id="113"/>
      <w:r w:rsidRPr="007C693A">
        <w:rPr>
          <w:rFonts w:ascii="Verdana" w:hAnsi="Verdana"/>
          <w:sz w:val="16"/>
          <w:szCs w:val="16"/>
          <w:lang w:val="es-MX"/>
        </w:rPr>
        <w:t>, presentado en la misma fecha (expediente de prueba, fs. 485 y 486).</w:t>
      </w:r>
    </w:p>
  </w:footnote>
  <w:footnote w:id="61">
    <w:p w14:paraId="4CAFF3D1" w14:textId="7FA14803"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291C7D">
        <w:rPr>
          <w:rFonts w:ascii="Verdana" w:hAnsi="Verdana"/>
          <w:i/>
          <w:iCs/>
          <w:sz w:val="16"/>
          <w:szCs w:val="16"/>
          <w:lang w:val="es-ES"/>
        </w:rPr>
        <w:t>Cfr</w:t>
      </w:r>
      <w:r w:rsidRPr="00291C7D">
        <w:rPr>
          <w:rFonts w:ascii="Verdana" w:hAnsi="Verdana"/>
          <w:sz w:val="16"/>
          <w:szCs w:val="16"/>
          <w:lang w:val="es-ES"/>
        </w:rPr>
        <w:t>. Providencia de Vista Fiscal del Ju</w:t>
      </w:r>
      <w:r w:rsidR="008F7A8D" w:rsidRPr="00E16922">
        <w:rPr>
          <w:rFonts w:ascii="Verdana" w:hAnsi="Verdana"/>
          <w:sz w:val="16"/>
          <w:szCs w:val="16"/>
          <w:lang w:val="es-ES"/>
        </w:rPr>
        <w:t>zgado</w:t>
      </w:r>
      <w:r w:rsidRPr="00E16922">
        <w:rPr>
          <w:rFonts w:ascii="Verdana" w:hAnsi="Verdana"/>
          <w:sz w:val="16"/>
          <w:szCs w:val="16"/>
          <w:lang w:val="es-ES"/>
        </w:rPr>
        <w:t xml:space="preserve"> </w:t>
      </w:r>
      <w:r w:rsidRPr="00291C7D">
        <w:rPr>
          <w:rFonts w:ascii="Verdana" w:hAnsi="Verdana"/>
          <w:sz w:val="16"/>
          <w:szCs w:val="16"/>
          <w:lang w:val="es-ES"/>
        </w:rPr>
        <w:t xml:space="preserve">Segundo de Partido en lo Penal </w:t>
      </w:r>
      <w:r w:rsidR="00291C7D">
        <w:rPr>
          <w:rFonts w:ascii="Verdana" w:hAnsi="Verdana"/>
          <w:sz w:val="16"/>
          <w:szCs w:val="16"/>
          <w:lang w:val="es-ES"/>
        </w:rPr>
        <w:t xml:space="preserve">Liquidador </w:t>
      </w:r>
      <w:r w:rsidRPr="00291C7D">
        <w:rPr>
          <w:rFonts w:ascii="Verdana" w:hAnsi="Verdana"/>
          <w:sz w:val="16"/>
          <w:szCs w:val="16"/>
          <w:lang w:val="es-ES"/>
        </w:rPr>
        <w:t>de 29 de agosto de 2006 (expediente de prueba, f</w:t>
      </w:r>
      <w:r w:rsidR="00291C7D" w:rsidRPr="00291C7D">
        <w:rPr>
          <w:rFonts w:ascii="Verdana" w:hAnsi="Verdana"/>
          <w:sz w:val="16"/>
          <w:szCs w:val="16"/>
          <w:lang w:val="es-ES"/>
        </w:rPr>
        <w:t>.</w:t>
      </w:r>
      <w:r w:rsidRPr="00291C7D">
        <w:rPr>
          <w:rFonts w:ascii="Verdana" w:hAnsi="Verdana"/>
          <w:sz w:val="16"/>
          <w:szCs w:val="16"/>
          <w:lang w:val="es-ES"/>
        </w:rPr>
        <w:t xml:space="preserve"> 8501).</w:t>
      </w:r>
      <w:r w:rsidRPr="007C693A">
        <w:rPr>
          <w:rFonts w:ascii="Verdana" w:hAnsi="Verdana"/>
          <w:sz w:val="16"/>
          <w:szCs w:val="16"/>
          <w:lang w:val="es-ES"/>
        </w:rPr>
        <w:t xml:space="preserve">  </w:t>
      </w:r>
    </w:p>
  </w:footnote>
  <w:footnote w:id="62">
    <w:p w14:paraId="1529892C" w14:textId="40C72313"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xml:space="preserve">. Escrito de la abogada Eulogia Pantoja Vacaflor </w:t>
      </w:r>
      <w:r>
        <w:rPr>
          <w:rFonts w:ascii="Verdana" w:hAnsi="Verdana"/>
          <w:sz w:val="16"/>
          <w:szCs w:val="16"/>
          <w:lang w:val="es-ES"/>
        </w:rPr>
        <w:t>dirigido al Juzgado Segundo de Partido en lo Penal Liquidador de La Paz</w:t>
      </w:r>
      <w:r w:rsidR="00236CB2">
        <w:rPr>
          <w:rFonts w:ascii="Verdana" w:hAnsi="Verdana"/>
          <w:sz w:val="16"/>
          <w:szCs w:val="16"/>
          <w:lang w:val="es-ES"/>
        </w:rPr>
        <w:t>,</w:t>
      </w:r>
      <w:r>
        <w:rPr>
          <w:rFonts w:ascii="Verdana" w:hAnsi="Verdana"/>
          <w:sz w:val="16"/>
          <w:szCs w:val="16"/>
          <w:lang w:val="es-ES"/>
        </w:rPr>
        <w:t xml:space="preserve"> </w:t>
      </w:r>
      <w:r w:rsidRPr="007C693A">
        <w:rPr>
          <w:rFonts w:ascii="Verdana" w:hAnsi="Verdana"/>
          <w:sz w:val="16"/>
          <w:szCs w:val="16"/>
          <w:lang w:val="es-ES"/>
        </w:rPr>
        <w:t xml:space="preserve">en representación de la familia Flores Bedregal, </w:t>
      </w:r>
      <w:r>
        <w:rPr>
          <w:rFonts w:ascii="Verdana" w:hAnsi="Verdana"/>
          <w:sz w:val="16"/>
          <w:szCs w:val="16"/>
          <w:lang w:val="es-ES"/>
        </w:rPr>
        <w:t>recibido el</w:t>
      </w:r>
      <w:r w:rsidRPr="007C693A">
        <w:rPr>
          <w:rFonts w:ascii="Verdana" w:hAnsi="Verdana"/>
          <w:sz w:val="16"/>
          <w:szCs w:val="16"/>
          <w:lang w:val="es-ES"/>
        </w:rPr>
        <w:t xml:space="preserve"> </w:t>
      </w:r>
      <w:r w:rsidR="00202EC6">
        <w:rPr>
          <w:rFonts w:ascii="Verdana" w:hAnsi="Verdana"/>
          <w:sz w:val="16"/>
          <w:szCs w:val="16"/>
          <w:lang w:val="es-ES"/>
        </w:rPr>
        <w:t>23</w:t>
      </w:r>
      <w:r w:rsidRPr="007C693A">
        <w:rPr>
          <w:rFonts w:ascii="Verdana" w:hAnsi="Verdana"/>
          <w:sz w:val="16"/>
          <w:szCs w:val="16"/>
          <w:lang w:val="es-ES"/>
        </w:rPr>
        <w:t xml:space="preserve"> de septiembre de 2006, con fecha 2</w:t>
      </w:r>
      <w:r w:rsidR="00202EC6">
        <w:rPr>
          <w:rFonts w:ascii="Verdana" w:hAnsi="Verdana"/>
          <w:sz w:val="16"/>
          <w:szCs w:val="16"/>
          <w:lang w:val="es-ES"/>
        </w:rPr>
        <w:t>2</w:t>
      </w:r>
      <w:r w:rsidRPr="007C693A">
        <w:rPr>
          <w:rFonts w:ascii="Verdana" w:hAnsi="Verdana"/>
          <w:sz w:val="16"/>
          <w:szCs w:val="16"/>
          <w:lang w:val="es-ES"/>
        </w:rPr>
        <w:t xml:space="preserve"> de septiembre de 2006</w:t>
      </w:r>
      <w:r w:rsidR="00C62C1C">
        <w:rPr>
          <w:rFonts w:ascii="Verdana" w:hAnsi="Verdana"/>
          <w:sz w:val="16"/>
          <w:szCs w:val="16"/>
          <w:lang w:val="es-ES"/>
        </w:rPr>
        <w:t xml:space="preserve"> </w:t>
      </w:r>
      <w:r w:rsidRPr="007C693A">
        <w:rPr>
          <w:rFonts w:ascii="Verdana" w:hAnsi="Verdana"/>
          <w:sz w:val="16"/>
          <w:szCs w:val="16"/>
          <w:lang w:val="es-ES"/>
        </w:rPr>
        <w:t xml:space="preserve">(expediente de prueba, fs. 299 y 300). </w:t>
      </w:r>
    </w:p>
  </w:footnote>
  <w:footnote w:id="63">
    <w:p w14:paraId="511DF6D3" w14:textId="296FDA42"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615BFF">
        <w:rPr>
          <w:rFonts w:ascii="Verdana" w:hAnsi="Verdana"/>
          <w:i/>
          <w:sz w:val="16"/>
          <w:szCs w:val="16"/>
          <w:lang w:val="es-MX"/>
        </w:rPr>
        <w:t>Cfr.</w:t>
      </w:r>
      <w:r w:rsidRPr="00615BFF">
        <w:rPr>
          <w:rFonts w:ascii="Verdana" w:hAnsi="Verdana"/>
          <w:sz w:val="16"/>
          <w:szCs w:val="16"/>
          <w:lang w:val="es-MX"/>
        </w:rPr>
        <w:t xml:space="preserve"> </w:t>
      </w:r>
      <w:r w:rsidRPr="00B50CD5">
        <w:rPr>
          <w:rFonts w:ascii="Verdana" w:hAnsi="Verdana"/>
          <w:sz w:val="16"/>
          <w:szCs w:val="16"/>
          <w:lang w:val="es-ES"/>
        </w:rPr>
        <w:t xml:space="preserve">Resolución No. 129/2007 del Juzgado Segundo de Partido en lo </w:t>
      </w:r>
      <w:r w:rsidR="00C62C1C" w:rsidRPr="00B50CD5">
        <w:rPr>
          <w:rFonts w:ascii="Verdana" w:hAnsi="Verdana"/>
          <w:sz w:val="16"/>
          <w:szCs w:val="16"/>
          <w:lang w:val="es-ES"/>
        </w:rPr>
        <w:t>P</w:t>
      </w:r>
      <w:r w:rsidRPr="00B50CD5">
        <w:rPr>
          <w:rFonts w:ascii="Verdana" w:hAnsi="Verdana"/>
          <w:sz w:val="16"/>
          <w:szCs w:val="16"/>
          <w:lang w:val="es-ES"/>
        </w:rPr>
        <w:t xml:space="preserve">enal </w:t>
      </w:r>
      <w:r w:rsidR="00C62C1C" w:rsidRPr="00B50CD5">
        <w:rPr>
          <w:rFonts w:ascii="Verdana" w:hAnsi="Verdana"/>
          <w:sz w:val="16"/>
          <w:szCs w:val="16"/>
          <w:lang w:val="es-ES"/>
        </w:rPr>
        <w:t>L</w:t>
      </w:r>
      <w:r w:rsidRPr="00B50CD5">
        <w:rPr>
          <w:rFonts w:ascii="Verdana" w:hAnsi="Verdana"/>
          <w:sz w:val="16"/>
          <w:szCs w:val="16"/>
          <w:lang w:val="es-ES"/>
        </w:rPr>
        <w:t>iquidador, de 12 de diciembre de 2007</w:t>
      </w:r>
      <w:r w:rsidR="00615BFF" w:rsidRPr="00B50CD5">
        <w:rPr>
          <w:rFonts w:ascii="Verdana" w:hAnsi="Verdana"/>
          <w:sz w:val="16"/>
          <w:szCs w:val="16"/>
          <w:lang w:val="es-ES"/>
        </w:rPr>
        <w:t xml:space="preserve">, </w:t>
      </w:r>
      <w:r w:rsidR="00615BFF" w:rsidRPr="00B50CD5">
        <w:rPr>
          <w:rFonts w:ascii="Verdana" w:hAnsi="Verdana"/>
          <w:i/>
          <w:iCs/>
          <w:sz w:val="16"/>
          <w:szCs w:val="16"/>
          <w:lang w:val="es-ES"/>
        </w:rPr>
        <w:t>supra</w:t>
      </w:r>
      <w:r w:rsidR="00C62C1C" w:rsidRPr="00615BFF">
        <w:rPr>
          <w:rFonts w:ascii="Verdana" w:hAnsi="Verdana"/>
          <w:sz w:val="16"/>
          <w:szCs w:val="16"/>
          <w:lang w:val="es-MX"/>
        </w:rPr>
        <w:t>.</w:t>
      </w:r>
      <w:r w:rsidRPr="007C693A">
        <w:rPr>
          <w:rFonts w:ascii="Verdana" w:hAnsi="Verdana"/>
          <w:sz w:val="16"/>
          <w:szCs w:val="16"/>
          <w:lang w:val="es-MX"/>
        </w:rPr>
        <w:t xml:space="preserve"> </w:t>
      </w:r>
    </w:p>
  </w:footnote>
  <w:footnote w:id="64">
    <w:p w14:paraId="3DF56057" w14:textId="27578694" w:rsidR="00AC124E" w:rsidRPr="000D4A61"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Fueron absueltos David Humberto Alarcón Romero, César Altamirano Lavadenz, Juan Gualberto Aqui</w:t>
      </w:r>
      <w:r>
        <w:rPr>
          <w:rFonts w:ascii="Verdana" w:hAnsi="Verdana"/>
          <w:sz w:val="16"/>
          <w:szCs w:val="16"/>
          <w:lang w:val="es-ES"/>
        </w:rPr>
        <w:t>z</w:t>
      </w:r>
      <w:r w:rsidRPr="007C693A">
        <w:rPr>
          <w:rFonts w:ascii="Verdana" w:hAnsi="Verdana"/>
          <w:sz w:val="16"/>
          <w:szCs w:val="16"/>
          <w:lang w:val="es-ES"/>
        </w:rPr>
        <w:t xml:space="preserve">e Rada, Marcos </w:t>
      </w:r>
      <w:r w:rsidRPr="00615BFF">
        <w:rPr>
          <w:rFonts w:ascii="Verdana" w:hAnsi="Verdana"/>
          <w:sz w:val="16"/>
          <w:szCs w:val="16"/>
          <w:lang w:val="es-ES"/>
        </w:rPr>
        <w:t xml:space="preserve">Herminio Mena Vargas, Damián Gutiérrez Castro y Sebastián Quispe Apaza. </w:t>
      </w:r>
      <w:r w:rsidRPr="00615BFF">
        <w:rPr>
          <w:rFonts w:ascii="Verdana" w:hAnsi="Verdana"/>
          <w:i/>
          <w:iCs/>
          <w:sz w:val="16"/>
          <w:szCs w:val="16"/>
          <w:lang w:val="es-ES"/>
        </w:rPr>
        <w:t>Cfr</w:t>
      </w:r>
      <w:r w:rsidRPr="00615BFF">
        <w:rPr>
          <w:rFonts w:ascii="Verdana" w:hAnsi="Verdana"/>
          <w:sz w:val="16"/>
          <w:szCs w:val="16"/>
          <w:lang w:val="es-ES"/>
        </w:rPr>
        <w:t xml:space="preserve">. </w:t>
      </w:r>
      <w:r w:rsidRPr="00B50CD5">
        <w:rPr>
          <w:rFonts w:ascii="Verdana" w:hAnsi="Verdana"/>
          <w:sz w:val="16"/>
          <w:szCs w:val="16"/>
          <w:lang w:val="es-ES"/>
        </w:rPr>
        <w:t xml:space="preserve">Resolución No. 129/2007 del Juzgado Segundo de Partido en lo </w:t>
      </w:r>
      <w:r w:rsidR="00236CB2">
        <w:rPr>
          <w:rFonts w:ascii="Verdana" w:hAnsi="Verdana"/>
          <w:sz w:val="16"/>
          <w:szCs w:val="16"/>
          <w:lang w:val="es-ES"/>
        </w:rPr>
        <w:t>P</w:t>
      </w:r>
      <w:r w:rsidRPr="00B50CD5">
        <w:rPr>
          <w:rFonts w:ascii="Verdana" w:hAnsi="Verdana"/>
          <w:sz w:val="16"/>
          <w:szCs w:val="16"/>
          <w:lang w:val="es-ES"/>
        </w:rPr>
        <w:t xml:space="preserve">enal </w:t>
      </w:r>
      <w:r w:rsidR="00236CB2">
        <w:rPr>
          <w:rFonts w:ascii="Verdana" w:hAnsi="Verdana"/>
          <w:sz w:val="16"/>
          <w:szCs w:val="16"/>
          <w:lang w:val="es-ES"/>
        </w:rPr>
        <w:t>L</w:t>
      </w:r>
      <w:r w:rsidRPr="00B50CD5">
        <w:rPr>
          <w:rFonts w:ascii="Verdana" w:hAnsi="Verdana"/>
          <w:sz w:val="16"/>
          <w:szCs w:val="16"/>
          <w:lang w:val="es-ES"/>
        </w:rPr>
        <w:t>iquidador, de 12 de diciembre de 2007</w:t>
      </w:r>
      <w:r w:rsidR="00615BFF" w:rsidRPr="00B50CD5">
        <w:rPr>
          <w:rFonts w:ascii="Verdana" w:hAnsi="Verdana"/>
          <w:sz w:val="16"/>
          <w:szCs w:val="16"/>
          <w:lang w:val="es-ES"/>
        </w:rPr>
        <w:t xml:space="preserve">, </w:t>
      </w:r>
      <w:r w:rsidR="00615BFF" w:rsidRPr="00B50CD5">
        <w:rPr>
          <w:rFonts w:ascii="Verdana" w:hAnsi="Verdana"/>
          <w:i/>
          <w:iCs/>
          <w:sz w:val="16"/>
          <w:szCs w:val="16"/>
          <w:lang w:val="es-ES"/>
        </w:rPr>
        <w:t>supra</w:t>
      </w:r>
      <w:r w:rsidR="00B50CD5">
        <w:rPr>
          <w:rFonts w:ascii="Verdana" w:hAnsi="Verdana"/>
          <w:i/>
          <w:iCs/>
          <w:sz w:val="16"/>
          <w:szCs w:val="16"/>
          <w:lang w:val="es-ES"/>
        </w:rPr>
        <w:t>.</w:t>
      </w:r>
    </w:p>
  </w:footnote>
  <w:footnote w:id="65">
    <w:p w14:paraId="26415402" w14:textId="3E36C0D0" w:rsidR="00AC124E" w:rsidRPr="000D4A61" w:rsidRDefault="00AC124E" w:rsidP="00014203">
      <w:pPr>
        <w:jc w:val="both"/>
        <w:rPr>
          <w:rFonts w:ascii="Verdana" w:hAnsi="Verdana"/>
          <w:sz w:val="16"/>
          <w:szCs w:val="16"/>
          <w:lang w:val="es-ES"/>
        </w:rPr>
      </w:pPr>
      <w:r w:rsidRPr="000D4A61">
        <w:rPr>
          <w:rStyle w:val="Refdenotaalpie"/>
        </w:rPr>
        <w:footnoteRef/>
      </w:r>
      <w:r w:rsidRPr="000D4A61">
        <w:rPr>
          <w:rFonts w:ascii="Verdana" w:hAnsi="Verdana"/>
          <w:sz w:val="16"/>
          <w:szCs w:val="16"/>
          <w:lang w:val="es-ES"/>
        </w:rPr>
        <w:t xml:space="preserve"> </w:t>
      </w:r>
      <w:r w:rsidRPr="000D4A61">
        <w:rPr>
          <w:rFonts w:ascii="Verdana" w:hAnsi="Verdana"/>
          <w:sz w:val="16"/>
          <w:szCs w:val="16"/>
          <w:lang w:val="es-ES"/>
        </w:rPr>
        <w:tab/>
      </w:r>
      <w:r w:rsidRPr="000D4A61">
        <w:rPr>
          <w:rFonts w:ascii="Verdana" w:hAnsi="Verdana"/>
          <w:i/>
          <w:iCs/>
          <w:sz w:val="16"/>
          <w:szCs w:val="16"/>
          <w:lang w:val="es-ES"/>
        </w:rPr>
        <w:t>Cfr.</w:t>
      </w:r>
      <w:r w:rsidRPr="000D4A61">
        <w:rPr>
          <w:rFonts w:ascii="Verdana" w:hAnsi="Verdana"/>
          <w:sz w:val="16"/>
          <w:szCs w:val="16"/>
          <w:lang w:val="es-ES"/>
        </w:rPr>
        <w:t xml:space="preserve"> Resolución No. 129/2007 del Juzgado Segundo de Partido en lo </w:t>
      </w:r>
      <w:r w:rsidR="008F7A8D">
        <w:rPr>
          <w:rFonts w:ascii="Verdana" w:hAnsi="Verdana"/>
          <w:sz w:val="16"/>
          <w:szCs w:val="16"/>
          <w:lang w:val="es-ES"/>
        </w:rPr>
        <w:t>P</w:t>
      </w:r>
      <w:r w:rsidRPr="000D4A61">
        <w:rPr>
          <w:rFonts w:ascii="Verdana" w:hAnsi="Verdana"/>
          <w:sz w:val="16"/>
          <w:szCs w:val="16"/>
          <w:lang w:val="es-ES"/>
        </w:rPr>
        <w:t xml:space="preserve">enal </w:t>
      </w:r>
      <w:r w:rsidR="008F7A8D">
        <w:rPr>
          <w:rFonts w:ascii="Verdana" w:hAnsi="Verdana"/>
          <w:sz w:val="16"/>
          <w:szCs w:val="16"/>
          <w:lang w:val="es-ES"/>
        </w:rPr>
        <w:t>Li</w:t>
      </w:r>
      <w:r w:rsidRPr="000D4A61">
        <w:rPr>
          <w:rFonts w:ascii="Verdana" w:hAnsi="Verdana"/>
          <w:sz w:val="16"/>
          <w:szCs w:val="16"/>
          <w:lang w:val="es-ES"/>
        </w:rPr>
        <w:t>quidador, de 12 de diciembre de 2007</w:t>
      </w:r>
      <w:r w:rsidR="00615BFF" w:rsidRPr="000D4A61">
        <w:rPr>
          <w:rFonts w:ascii="Verdana" w:hAnsi="Verdana"/>
          <w:sz w:val="16"/>
          <w:szCs w:val="16"/>
          <w:lang w:val="es-ES"/>
        </w:rPr>
        <w:t xml:space="preserve">, </w:t>
      </w:r>
      <w:r w:rsidR="00615BFF" w:rsidRPr="00C007C1">
        <w:rPr>
          <w:rFonts w:ascii="Verdana" w:hAnsi="Verdana"/>
          <w:i/>
          <w:iCs/>
          <w:sz w:val="16"/>
          <w:szCs w:val="16"/>
          <w:lang w:val="es-ES"/>
        </w:rPr>
        <w:t>supra</w:t>
      </w:r>
      <w:r w:rsidR="00C007C1">
        <w:rPr>
          <w:rFonts w:ascii="Verdana" w:hAnsi="Verdana"/>
          <w:i/>
          <w:iCs/>
          <w:sz w:val="16"/>
          <w:szCs w:val="16"/>
          <w:lang w:val="es-ES"/>
        </w:rPr>
        <w:t>.</w:t>
      </w:r>
    </w:p>
  </w:footnote>
  <w:footnote w:id="66">
    <w:p w14:paraId="4782C242" w14:textId="5642F0EF" w:rsidR="00AC124E" w:rsidRPr="007C693A" w:rsidRDefault="00AC124E" w:rsidP="00014203">
      <w:pPr>
        <w:tabs>
          <w:tab w:val="left" w:pos="720"/>
          <w:tab w:val="left" w:pos="810"/>
        </w:tabs>
        <w:jc w:val="both"/>
        <w:rPr>
          <w:rFonts w:ascii="Verdana" w:hAnsi="Verdana"/>
          <w:sz w:val="16"/>
          <w:szCs w:val="16"/>
          <w:lang w:val="es-MX"/>
        </w:rPr>
      </w:pPr>
      <w:r w:rsidRPr="000D4A61">
        <w:rPr>
          <w:rStyle w:val="Refdenotaalpie"/>
        </w:rPr>
        <w:footnoteRef/>
      </w:r>
      <w:r w:rsidRPr="000D4A61">
        <w:rPr>
          <w:rFonts w:ascii="Verdana" w:hAnsi="Verdana"/>
          <w:sz w:val="16"/>
          <w:szCs w:val="16"/>
          <w:lang w:val="es-MX"/>
        </w:rPr>
        <w:t xml:space="preserve"> </w:t>
      </w:r>
      <w:r w:rsidRPr="000D4A61">
        <w:rPr>
          <w:rFonts w:ascii="Verdana" w:hAnsi="Verdana"/>
          <w:sz w:val="16"/>
          <w:szCs w:val="16"/>
          <w:lang w:val="es-MX"/>
        </w:rPr>
        <w:tab/>
      </w:r>
      <w:r w:rsidRPr="000D4A61">
        <w:rPr>
          <w:rFonts w:ascii="Verdana" w:hAnsi="Verdana"/>
          <w:i/>
          <w:sz w:val="16"/>
          <w:szCs w:val="16"/>
          <w:lang w:val="es-MX"/>
        </w:rPr>
        <w:t>Cfr.</w:t>
      </w:r>
      <w:r w:rsidRPr="000D4A61">
        <w:rPr>
          <w:rFonts w:ascii="Verdana" w:hAnsi="Verdana"/>
          <w:sz w:val="16"/>
          <w:szCs w:val="16"/>
          <w:lang w:val="es-MX"/>
        </w:rPr>
        <w:t xml:space="preserve"> </w:t>
      </w:r>
      <w:r w:rsidRPr="000D4A61">
        <w:rPr>
          <w:rFonts w:ascii="Verdana" w:hAnsi="Verdana"/>
          <w:sz w:val="16"/>
          <w:szCs w:val="16"/>
          <w:lang w:val="es-ES"/>
        </w:rPr>
        <w:t xml:space="preserve">Resolución No. 129/2007 del Juzgado Segundo de Partido en lo </w:t>
      </w:r>
      <w:r w:rsidR="008F7A8D">
        <w:rPr>
          <w:rFonts w:ascii="Verdana" w:hAnsi="Verdana"/>
          <w:sz w:val="16"/>
          <w:szCs w:val="16"/>
          <w:lang w:val="es-ES"/>
        </w:rPr>
        <w:t>P</w:t>
      </w:r>
      <w:r w:rsidRPr="000D4A61">
        <w:rPr>
          <w:rFonts w:ascii="Verdana" w:hAnsi="Verdana"/>
          <w:sz w:val="16"/>
          <w:szCs w:val="16"/>
          <w:lang w:val="es-ES"/>
        </w:rPr>
        <w:t xml:space="preserve">enal </w:t>
      </w:r>
      <w:r w:rsidR="008F7A8D">
        <w:rPr>
          <w:rFonts w:ascii="Verdana" w:hAnsi="Verdana"/>
          <w:sz w:val="16"/>
          <w:szCs w:val="16"/>
          <w:lang w:val="es-ES"/>
        </w:rPr>
        <w:t>L</w:t>
      </w:r>
      <w:r w:rsidRPr="000D4A61">
        <w:rPr>
          <w:rFonts w:ascii="Verdana" w:hAnsi="Verdana"/>
          <w:sz w:val="16"/>
          <w:szCs w:val="16"/>
          <w:lang w:val="es-ES"/>
        </w:rPr>
        <w:t>iquidador, de 12 de diciembre de 2007</w:t>
      </w:r>
      <w:r w:rsidR="00615BFF" w:rsidRPr="000D4A61">
        <w:rPr>
          <w:rFonts w:ascii="Verdana" w:hAnsi="Verdana"/>
          <w:sz w:val="16"/>
          <w:szCs w:val="16"/>
          <w:lang w:val="es-ES"/>
        </w:rPr>
        <w:t xml:space="preserve">, </w:t>
      </w:r>
      <w:r w:rsidR="00615BFF" w:rsidRPr="000D4A61">
        <w:rPr>
          <w:rFonts w:ascii="Verdana" w:hAnsi="Verdana"/>
          <w:i/>
          <w:iCs/>
          <w:sz w:val="16"/>
          <w:szCs w:val="16"/>
          <w:lang w:val="es-ES"/>
        </w:rPr>
        <w:t>supra</w:t>
      </w:r>
      <w:r w:rsidR="00615BFF" w:rsidRPr="000D4A61">
        <w:rPr>
          <w:rFonts w:ascii="Verdana" w:hAnsi="Verdana"/>
          <w:sz w:val="16"/>
          <w:szCs w:val="16"/>
          <w:lang w:val="es-ES"/>
        </w:rPr>
        <w:t>.</w:t>
      </w:r>
    </w:p>
  </w:footnote>
  <w:footnote w:id="67">
    <w:p w14:paraId="7E6326CE" w14:textId="6D1BC2EA"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t>Entre los procesados recurrentes se encuentran Rogelio Gómez Espinoza, Raúl Solano Medina, Marcos Herninio Mena</w:t>
      </w:r>
      <w:r>
        <w:rPr>
          <w:rFonts w:ascii="Verdana" w:hAnsi="Verdana"/>
          <w:sz w:val="16"/>
          <w:szCs w:val="16"/>
          <w:lang w:val="es-MX"/>
        </w:rPr>
        <w:t xml:space="preserve"> Vargas</w:t>
      </w:r>
      <w:r w:rsidRPr="007C693A">
        <w:rPr>
          <w:rFonts w:ascii="Verdana" w:hAnsi="Verdana"/>
          <w:sz w:val="16"/>
          <w:szCs w:val="16"/>
          <w:lang w:val="es-MX"/>
        </w:rPr>
        <w:t>, Juan Gualberto Aqui</w:t>
      </w:r>
      <w:r>
        <w:rPr>
          <w:rFonts w:ascii="Verdana" w:hAnsi="Verdana"/>
          <w:sz w:val="16"/>
          <w:szCs w:val="16"/>
          <w:lang w:val="es-MX"/>
        </w:rPr>
        <w:t>z</w:t>
      </w:r>
      <w:r w:rsidRPr="007C693A">
        <w:rPr>
          <w:rFonts w:ascii="Verdana" w:hAnsi="Verdana"/>
          <w:sz w:val="16"/>
          <w:szCs w:val="16"/>
          <w:lang w:val="es-MX"/>
        </w:rPr>
        <w:t xml:space="preserve">e Rada, David Humberto Alarcón Romero, </w:t>
      </w:r>
      <w:r>
        <w:rPr>
          <w:rFonts w:ascii="Verdana" w:hAnsi="Verdana"/>
          <w:sz w:val="16"/>
          <w:szCs w:val="16"/>
          <w:lang w:val="es-MX"/>
        </w:rPr>
        <w:t xml:space="preserve">José </w:t>
      </w:r>
      <w:r w:rsidRPr="007C693A">
        <w:rPr>
          <w:rFonts w:ascii="Verdana" w:hAnsi="Verdana"/>
          <w:sz w:val="16"/>
          <w:szCs w:val="16"/>
          <w:lang w:val="es-MX"/>
        </w:rPr>
        <w:t>Gregori</w:t>
      </w:r>
      <w:r>
        <w:rPr>
          <w:rFonts w:ascii="Verdana" w:hAnsi="Verdana"/>
          <w:sz w:val="16"/>
          <w:szCs w:val="16"/>
          <w:lang w:val="es-MX"/>
        </w:rPr>
        <w:t>o</w:t>
      </w:r>
      <w:r w:rsidRPr="007C693A">
        <w:rPr>
          <w:rFonts w:ascii="Verdana" w:hAnsi="Verdana"/>
          <w:sz w:val="16"/>
          <w:szCs w:val="16"/>
          <w:lang w:val="es-MX"/>
        </w:rPr>
        <w:t xml:space="preserve"> Loza Balsa, </w:t>
      </w:r>
      <w:r>
        <w:rPr>
          <w:rFonts w:ascii="Verdana" w:hAnsi="Verdana"/>
          <w:sz w:val="16"/>
          <w:szCs w:val="16"/>
          <w:lang w:val="es-MX"/>
        </w:rPr>
        <w:t>Adolfo</w:t>
      </w:r>
      <w:r w:rsidRPr="007C693A">
        <w:rPr>
          <w:rFonts w:ascii="Verdana" w:hAnsi="Verdana"/>
          <w:sz w:val="16"/>
          <w:szCs w:val="16"/>
          <w:lang w:val="es-MX"/>
        </w:rPr>
        <w:t xml:space="preserve"> Ustarez Ferreira, Joaquín Quisbert</w:t>
      </w:r>
      <w:r>
        <w:rPr>
          <w:rFonts w:ascii="Verdana" w:hAnsi="Verdana"/>
          <w:sz w:val="16"/>
          <w:szCs w:val="16"/>
          <w:lang w:val="es-MX"/>
        </w:rPr>
        <w:t xml:space="preserve"> Quiroga</w:t>
      </w:r>
      <w:r w:rsidRPr="007C693A">
        <w:rPr>
          <w:rFonts w:ascii="Verdana" w:hAnsi="Verdana"/>
          <w:sz w:val="16"/>
          <w:szCs w:val="16"/>
          <w:lang w:val="es-MX"/>
        </w:rPr>
        <w:t>, Raúl Hinojosa, Franz Pizarro Solano, José Luis Ormachea</w:t>
      </w:r>
      <w:r>
        <w:rPr>
          <w:rFonts w:ascii="Verdana" w:hAnsi="Verdana"/>
          <w:sz w:val="16"/>
          <w:szCs w:val="16"/>
          <w:lang w:val="es-MX"/>
        </w:rPr>
        <w:t xml:space="preserve"> España</w:t>
      </w:r>
      <w:r w:rsidRPr="007C693A">
        <w:rPr>
          <w:rFonts w:ascii="Verdana" w:hAnsi="Verdana"/>
          <w:sz w:val="16"/>
          <w:szCs w:val="16"/>
          <w:lang w:val="es-MX"/>
        </w:rPr>
        <w:t>, Sebastián Quispe</w:t>
      </w:r>
      <w:r>
        <w:rPr>
          <w:rFonts w:ascii="Verdana" w:hAnsi="Verdana"/>
          <w:sz w:val="16"/>
          <w:szCs w:val="16"/>
          <w:lang w:val="es-MX"/>
        </w:rPr>
        <w:t xml:space="preserve"> Apaza</w:t>
      </w:r>
      <w:r w:rsidRPr="007C693A">
        <w:rPr>
          <w:rFonts w:ascii="Verdana" w:hAnsi="Verdana"/>
          <w:sz w:val="16"/>
          <w:szCs w:val="16"/>
          <w:lang w:val="es-MX"/>
        </w:rPr>
        <w:t>, Damián Gutiérrez</w:t>
      </w:r>
      <w:r>
        <w:rPr>
          <w:rFonts w:ascii="Verdana" w:hAnsi="Verdana"/>
          <w:sz w:val="16"/>
          <w:szCs w:val="16"/>
          <w:lang w:val="es-MX"/>
        </w:rPr>
        <w:t xml:space="preserve"> Castro</w:t>
      </w:r>
      <w:r w:rsidRPr="007C693A">
        <w:rPr>
          <w:rFonts w:ascii="Verdana" w:hAnsi="Verdana"/>
          <w:sz w:val="16"/>
          <w:szCs w:val="16"/>
          <w:lang w:val="es-MX"/>
        </w:rPr>
        <w:t xml:space="preserve">, René Javier Hinojosa </w:t>
      </w:r>
      <w:r w:rsidR="007B594B" w:rsidRPr="007C693A">
        <w:rPr>
          <w:rFonts w:ascii="Verdana" w:hAnsi="Verdana"/>
          <w:sz w:val="16"/>
          <w:szCs w:val="16"/>
          <w:lang w:val="es-MX"/>
        </w:rPr>
        <w:t>Valdez</w:t>
      </w:r>
      <w:r w:rsidR="007B594B">
        <w:rPr>
          <w:rFonts w:ascii="Verdana" w:hAnsi="Verdana"/>
          <w:sz w:val="16"/>
          <w:szCs w:val="16"/>
          <w:lang w:val="es-MX"/>
        </w:rPr>
        <w:t xml:space="preserve"> </w:t>
      </w:r>
      <w:r w:rsidR="007B594B" w:rsidRPr="007C693A">
        <w:rPr>
          <w:rFonts w:ascii="Verdana" w:hAnsi="Verdana"/>
          <w:sz w:val="16"/>
          <w:szCs w:val="16"/>
          <w:lang w:val="es-MX"/>
        </w:rPr>
        <w:t>y</w:t>
      </w:r>
      <w:r w:rsidRPr="007C693A">
        <w:rPr>
          <w:rFonts w:ascii="Verdana" w:hAnsi="Verdana"/>
          <w:sz w:val="16"/>
          <w:szCs w:val="16"/>
          <w:lang w:val="es-MX"/>
        </w:rPr>
        <w:t xml:space="preserve"> </w:t>
      </w:r>
      <w:r>
        <w:rPr>
          <w:rFonts w:ascii="Verdana" w:hAnsi="Verdana"/>
          <w:sz w:val="16"/>
          <w:szCs w:val="16"/>
          <w:lang w:val="es-MX"/>
        </w:rPr>
        <w:t xml:space="preserve">José </w:t>
      </w:r>
      <w:r w:rsidRPr="007C693A">
        <w:rPr>
          <w:rFonts w:ascii="Verdana" w:hAnsi="Verdana"/>
          <w:sz w:val="16"/>
          <w:szCs w:val="16"/>
          <w:lang w:val="es-MX"/>
        </w:rPr>
        <w:t xml:space="preserve">Faustino Rico Toro. </w:t>
      </w:r>
      <w:r w:rsidRPr="007C693A">
        <w:rPr>
          <w:rFonts w:ascii="Verdana" w:hAnsi="Verdana"/>
          <w:i/>
          <w:sz w:val="16"/>
          <w:szCs w:val="16"/>
          <w:lang w:val="es-MX"/>
        </w:rPr>
        <w:t xml:space="preserve">Cfr. </w:t>
      </w:r>
      <w:r w:rsidRPr="007C693A">
        <w:rPr>
          <w:rFonts w:ascii="Verdana" w:hAnsi="Verdana"/>
          <w:sz w:val="16"/>
          <w:szCs w:val="16"/>
          <w:lang w:val="es-MX"/>
        </w:rPr>
        <w:t>Resolución No. 103/2008,</w:t>
      </w:r>
      <w:r w:rsidR="0092097C">
        <w:rPr>
          <w:rFonts w:ascii="Verdana" w:hAnsi="Verdana"/>
          <w:sz w:val="16"/>
          <w:szCs w:val="16"/>
          <w:lang w:val="es-MX"/>
        </w:rPr>
        <w:t xml:space="preserve"> </w:t>
      </w:r>
      <w:r w:rsidR="0092097C" w:rsidRPr="000D4A61">
        <w:rPr>
          <w:rFonts w:ascii="Verdana" w:hAnsi="Verdana"/>
          <w:iCs/>
          <w:sz w:val="16"/>
          <w:szCs w:val="16"/>
          <w:lang w:val="es-MX"/>
        </w:rPr>
        <w:t xml:space="preserve">de </w:t>
      </w:r>
      <w:r w:rsidRPr="007C693A">
        <w:rPr>
          <w:rFonts w:ascii="Verdana" w:hAnsi="Verdana"/>
          <w:sz w:val="16"/>
          <w:szCs w:val="16"/>
          <w:lang w:val="es-MX"/>
        </w:rPr>
        <w:t>la Sala Penal</w:t>
      </w:r>
      <w:r>
        <w:rPr>
          <w:rFonts w:ascii="Verdana" w:hAnsi="Verdana"/>
          <w:sz w:val="16"/>
          <w:szCs w:val="16"/>
          <w:lang w:val="es-MX"/>
        </w:rPr>
        <w:t xml:space="preserve"> Tercera</w:t>
      </w:r>
      <w:r w:rsidRPr="007C693A">
        <w:rPr>
          <w:rFonts w:ascii="Verdana" w:hAnsi="Verdana"/>
          <w:sz w:val="16"/>
          <w:szCs w:val="16"/>
          <w:lang w:val="es-MX"/>
        </w:rPr>
        <w:t xml:space="preserve"> de la Corte Superior del Distrito Judicial de la Paz</w:t>
      </w:r>
      <w:r w:rsidR="0092097C">
        <w:rPr>
          <w:rFonts w:ascii="Verdana" w:hAnsi="Verdana"/>
          <w:sz w:val="16"/>
          <w:szCs w:val="16"/>
          <w:lang w:val="es-MX"/>
        </w:rPr>
        <w:t xml:space="preserve">, </w:t>
      </w:r>
      <w:r w:rsidR="00A912AC">
        <w:rPr>
          <w:rFonts w:ascii="Verdana" w:hAnsi="Verdana"/>
          <w:sz w:val="16"/>
          <w:szCs w:val="16"/>
          <w:lang w:val="es-MX"/>
        </w:rPr>
        <w:t>de 22 de agosto de 2008 (expediente de prueba, fs. 333 a 355).</w:t>
      </w:r>
    </w:p>
  </w:footnote>
  <w:footnote w:id="68">
    <w:p w14:paraId="3CD49BF5" w14:textId="60B0F0C2"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t xml:space="preserve">La representante de la familia Flores Bedregal reclamó que “la </w:t>
      </w:r>
      <w:r w:rsidRPr="00E16922">
        <w:rPr>
          <w:rFonts w:ascii="Verdana" w:hAnsi="Verdana"/>
          <w:sz w:val="16"/>
          <w:szCs w:val="16"/>
          <w:lang w:val="es-MX"/>
        </w:rPr>
        <w:t xml:space="preserve">absolución de algunos de los imputados [era] ilegal e injusta”, fundamentándose en que no se hizo una valoración adecuada de </w:t>
      </w:r>
      <w:r w:rsidR="00685E2E" w:rsidRPr="00E16922">
        <w:rPr>
          <w:rFonts w:ascii="Verdana" w:hAnsi="Verdana"/>
          <w:sz w:val="16"/>
          <w:szCs w:val="16"/>
          <w:lang w:val="es-MX"/>
        </w:rPr>
        <w:t>su participación en los hechos</w:t>
      </w:r>
      <w:r w:rsidRPr="00E16922">
        <w:rPr>
          <w:rFonts w:ascii="Verdana" w:hAnsi="Verdana"/>
          <w:sz w:val="16"/>
          <w:szCs w:val="16"/>
          <w:lang w:val="es-MX"/>
        </w:rPr>
        <w:t xml:space="preserve">. </w:t>
      </w:r>
      <w:r w:rsidRPr="00E16922">
        <w:rPr>
          <w:rFonts w:ascii="Verdana" w:hAnsi="Verdana"/>
          <w:i/>
          <w:sz w:val="16"/>
          <w:szCs w:val="16"/>
          <w:lang w:val="es-MX"/>
        </w:rPr>
        <w:t xml:space="preserve">Cfr. </w:t>
      </w:r>
      <w:r w:rsidRPr="00E16922">
        <w:rPr>
          <w:rFonts w:ascii="Verdana" w:hAnsi="Verdana"/>
          <w:sz w:val="16"/>
          <w:szCs w:val="16"/>
          <w:lang w:val="es-MX"/>
        </w:rPr>
        <w:t>Resolución No. 103/2008,</w:t>
      </w:r>
      <w:r w:rsidRPr="00E16922">
        <w:rPr>
          <w:rFonts w:ascii="Verdana" w:hAnsi="Verdana"/>
          <w:i/>
          <w:sz w:val="16"/>
          <w:szCs w:val="16"/>
          <w:lang w:val="es-MX"/>
        </w:rPr>
        <w:t xml:space="preserve"> </w:t>
      </w:r>
      <w:r w:rsidR="00685E2E" w:rsidRPr="00E16922">
        <w:rPr>
          <w:rFonts w:ascii="Verdana" w:hAnsi="Verdana"/>
          <w:iCs/>
          <w:sz w:val="16"/>
          <w:szCs w:val="16"/>
          <w:lang w:val="es-MX"/>
        </w:rPr>
        <w:t>de</w:t>
      </w:r>
      <w:r w:rsidR="000D4A61" w:rsidRPr="00E16922">
        <w:rPr>
          <w:rFonts w:ascii="Verdana" w:hAnsi="Verdana"/>
          <w:iCs/>
          <w:sz w:val="16"/>
          <w:szCs w:val="16"/>
          <w:lang w:val="es-MX"/>
        </w:rPr>
        <w:t xml:space="preserve"> </w:t>
      </w:r>
      <w:r w:rsidR="007B594B" w:rsidRPr="00E16922">
        <w:rPr>
          <w:rFonts w:ascii="Verdana" w:hAnsi="Verdana"/>
          <w:sz w:val="16"/>
          <w:szCs w:val="16"/>
          <w:lang w:val="es-MX"/>
        </w:rPr>
        <w:t>la Sala</w:t>
      </w:r>
      <w:r w:rsidRPr="00E16922">
        <w:rPr>
          <w:rFonts w:ascii="Verdana" w:hAnsi="Verdana"/>
          <w:sz w:val="16"/>
          <w:szCs w:val="16"/>
          <w:lang w:val="es-MX"/>
        </w:rPr>
        <w:t xml:space="preserve"> Penal Tercera de la Corte Superior del Distrito Judicial de la Paz,</w:t>
      </w:r>
      <w:r w:rsidR="00685E2E" w:rsidRPr="00E16922">
        <w:rPr>
          <w:rFonts w:ascii="Verdana" w:hAnsi="Verdana"/>
          <w:sz w:val="16"/>
          <w:szCs w:val="16"/>
          <w:lang w:val="es-MX"/>
        </w:rPr>
        <w:t xml:space="preserve"> </w:t>
      </w:r>
      <w:r w:rsidR="00685E2E" w:rsidRPr="00E16922">
        <w:rPr>
          <w:rFonts w:ascii="Verdana" w:hAnsi="Verdana"/>
          <w:i/>
          <w:iCs/>
          <w:sz w:val="16"/>
          <w:szCs w:val="16"/>
          <w:lang w:val="es-MX"/>
        </w:rPr>
        <w:t>supra</w:t>
      </w:r>
      <w:r w:rsidR="00685E2E" w:rsidRPr="00E16922">
        <w:rPr>
          <w:rFonts w:ascii="Verdana" w:hAnsi="Verdana"/>
          <w:sz w:val="16"/>
          <w:szCs w:val="16"/>
          <w:lang w:val="es-MX"/>
        </w:rPr>
        <w:t>.</w:t>
      </w:r>
    </w:p>
  </w:footnote>
  <w:footnote w:id="69">
    <w:p w14:paraId="08F449AE" w14:textId="01194FA7"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 xml:space="preserve">Se condenó a David Humberto Alarcón Romero, César Altamirano Lavadenz, </w:t>
      </w:r>
      <w:r>
        <w:rPr>
          <w:rFonts w:ascii="Verdana" w:hAnsi="Verdana"/>
          <w:sz w:val="16"/>
          <w:szCs w:val="16"/>
          <w:lang w:val="es-ES"/>
        </w:rPr>
        <w:t xml:space="preserve">Juan </w:t>
      </w:r>
      <w:r w:rsidRPr="007C693A">
        <w:rPr>
          <w:rFonts w:ascii="Verdana" w:hAnsi="Verdana"/>
          <w:sz w:val="16"/>
          <w:szCs w:val="16"/>
          <w:lang w:val="es-ES"/>
        </w:rPr>
        <w:t>Gualberto Aqui</w:t>
      </w:r>
      <w:r>
        <w:rPr>
          <w:rFonts w:ascii="Verdana" w:hAnsi="Verdana"/>
          <w:sz w:val="16"/>
          <w:szCs w:val="16"/>
          <w:lang w:val="es-ES"/>
        </w:rPr>
        <w:t>z</w:t>
      </w:r>
      <w:r w:rsidRPr="007C693A">
        <w:rPr>
          <w:rFonts w:ascii="Verdana" w:hAnsi="Verdana"/>
          <w:sz w:val="16"/>
          <w:szCs w:val="16"/>
          <w:lang w:val="es-ES"/>
        </w:rPr>
        <w:t>e Rada y Marcos Herminio Mena</w:t>
      </w:r>
      <w:r>
        <w:rPr>
          <w:rFonts w:ascii="Verdana" w:hAnsi="Verdana"/>
          <w:sz w:val="16"/>
          <w:szCs w:val="16"/>
          <w:lang w:val="es-ES"/>
        </w:rPr>
        <w:t xml:space="preserve"> Vargas</w:t>
      </w:r>
      <w:r w:rsidRPr="007C693A">
        <w:rPr>
          <w:rFonts w:ascii="Verdana" w:hAnsi="Verdana"/>
          <w:sz w:val="16"/>
          <w:szCs w:val="16"/>
          <w:lang w:val="es-ES"/>
        </w:rPr>
        <w:t xml:space="preserve"> por el delito de encubrimiento. </w:t>
      </w:r>
      <w:r w:rsidRPr="007C693A">
        <w:rPr>
          <w:rFonts w:ascii="Verdana" w:hAnsi="Verdana"/>
          <w:i/>
          <w:iCs/>
          <w:sz w:val="16"/>
          <w:szCs w:val="16"/>
          <w:lang w:val="es-ES"/>
        </w:rPr>
        <w:t>Cfr</w:t>
      </w:r>
      <w:r w:rsidRPr="007C693A">
        <w:rPr>
          <w:rFonts w:ascii="Verdana" w:hAnsi="Verdana"/>
          <w:sz w:val="16"/>
          <w:szCs w:val="16"/>
          <w:lang w:val="es-ES"/>
        </w:rPr>
        <w:t xml:space="preserve">. Resolución No. 103/2008, </w:t>
      </w:r>
      <w:r w:rsidR="00685E2E">
        <w:rPr>
          <w:rFonts w:ascii="Verdana" w:hAnsi="Verdana"/>
          <w:sz w:val="16"/>
          <w:szCs w:val="16"/>
          <w:lang w:val="es-ES"/>
        </w:rPr>
        <w:t>de</w:t>
      </w:r>
      <w:r w:rsidR="000D4A61">
        <w:rPr>
          <w:rFonts w:ascii="Verdana" w:hAnsi="Verdana"/>
          <w:sz w:val="16"/>
          <w:szCs w:val="16"/>
          <w:lang w:val="es-ES"/>
        </w:rPr>
        <w:t xml:space="preserve"> </w:t>
      </w:r>
      <w:r w:rsidRPr="007C693A">
        <w:rPr>
          <w:rFonts w:ascii="Verdana" w:hAnsi="Verdana"/>
          <w:sz w:val="16"/>
          <w:szCs w:val="16"/>
          <w:lang w:val="es-ES"/>
        </w:rPr>
        <w:t>la Tercera Sala Penal de la Corte Superior del Distrito Judicial de la Paz</w:t>
      </w:r>
      <w:r w:rsidR="00685E2E">
        <w:rPr>
          <w:rFonts w:ascii="Verdana" w:hAnsi="Verdana"/>
          <w:sz w:val="16"/>
          <w:szCs w:val="16"/>
          <w:lang w:val="es-ES"/>
        </w:rPr>
        <w:t>,</w:t>
      </w:r>
      <w:r w:rsidR="00685E2E" w:rsidRPr="000D4A61">
        <w:rPr>
          <w:rFonts w:ascii="Verdana" w:hAnsi="Verdana"/>
          <w:i/>
          <w:iCs/>
          <w:sz w:val="16"/>
          <w:szCs w:val="16"/>
          <w:lang w:val="es-ES"/>
        </w:rPr>
        <w:t xml:space="preserve"> supra</w:t>
      </w:r>
      <w:r w:rsidR="00685E2E">
        <w:rPr>
          <w:rFonts w:ascii="Verdana" w:hAnsi="Verdana"/>
          <w:sz w:val="16"/>
          <w:szCs w:val="16"/>
          <w:lang w:val="es-ES"/>
        </w:rPr>
        <w:t>.</w:t>
      </w:r>
    </w:p>
  </w:footnote>
  <w:footnote w:id="70">
    <w:p w14:paraId="32535C87" w14:textId="67667CE4"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bookmarkStart w:id="114" w:name="_Hlk100071839"/>
      <w:r w:rsidRPr="000D4A61">
        <w:rPr>
          <w:rFonts w:ascii="Verdana" w:hAnsi="Verdana"/>
          <w:i/>
          <w:sz w:val="16"/>
          <w:szCs w:val="16"/>
          <w:lang w:val="es-MX"/>
        </w:rPr>
        <w:t xml:space="preserve">Cfr. </w:t>
      </w:r>
      <w:r w:rsidRPr="000D4A61">
        <w:rPr>
          <w:rFonts w:ascii="Verdana" w:hAnsi="Verdana"/>
          <w:sz w:val="16"/>
          <w:szCs w:val="16"/>
          <w:lang w:val="es-MX"/>
        </w:rPr>
        <w:t>Resolución No. 103/2008</w:t>
      </w:r>
      <w:r w:rsidR="003F1CC2" w:rsidRPr="000D4A61">
        <w:rPr>
          <w:rFonts w:ascii="Verdana" w:hAnsi="Verdana"/>
          <w:sz w:val="16"/>
          <w:szCs w:val="16"/>
          <w:lang w:val="es-MX"/>
        </w:rPr>
        <w:t xml:space="preserve"> de</w:t>
      </w:r>
      <w:r w:rsidR="000D4A61">
        <w:rPr>
          <w:rFonts w:ascii="Verdana" w:hAnsi="Verdana"/>
          <w:sz w:val="16"/>
          <w:szCs w:val="16"/>
          <w:lang w:val="es-MX"/>
        </w:rPr>
        <w:t xml:space="preserve"> </w:t>
      </w:r>
      <w:r w:rsidRPr="000D4A61">
        <w:rPr>
          <w:rFonts w:ascii="Verdana" w:hAnsi="Verdana"/>
          <w:sz w:val="16"/>
          <w:szCs w:val="16"/>
          <w:lang w:val="es-MX"/>
        </w:rPr>
        <w:t>la Sala Penal Tercera de la Corte Superior de la Paz,</w:t>
      </w:r>
      <w:r w:rsidRPr="000D4A61">
        <w:rPr>
          <w:rFonts w:ascii="Verdana" w:hAnsi="Verdana"/>
          <w:i/>
          <w:iCs/>
          <w:sz w:val="16"/>
          <w:szCs w:val="16"/>
          <w:lang w:val="es-MX"/>
        </w:rPr>
        <w:t xml:space="preserve"> </w:t>
      </w:r>
      <w:r w:rsidR="00685E2E" w:rsidRPr="000D4A61">
        <w:rPr>
          <w:rFonts w:ascii="Verdana" w:hAnsi="Verdana"/>
          <w:i/>
          <w:iCs/>
          <w:sz w:val="16"/>
          <w:szCs w:val="16"/>
          <w:lang w:val="es-MX"/>
        </w:rPr>
        <w:t>supra</w:t>
      </w:r>
      <w:r w:rsidR="00685E2E" w:rsidRPr="00685E2E">
        <w:rPr>
          <w:rFonts w:ascii="Verdana" w:hAnsi="Verdana"/>
          <w:sz w:val="16"/>
          <w:szCs w:val="16"/>
          <w:lang w:val="es-MX"/>
        </w:rPr>
        <w:t>.</w:t>
      </w:r>
      <w:bookmarkEnd w:id="114"/>
    </w:p>
  </w:footnote>
  <w:footnote w:id="71">
    <w:p w14:paraId="2E5AD4FF" w14:textId="5EAF688C"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MX"/>
        </w:rPr>
        <w:t xml:space="preserve">Cfr. </w:t>
      </w:r>
      <w:r w:rsidRPr="007C693A">
        <w:rPr>
          <w:rFonts w:ascii="Verdana" w:hAnsi="Verdana"/>
          <w:sz w:val="16"/>
          <w:szCs w:val="16"/>
          <w:lang w:val="es-MX"/>
        </w:rPr>
        <w:t>Resolución No. 103/2008</w:t>
      </w:r>
      <w:r w:rsidR="003F1CC2">
        <w:rPr>
          <w:rFonts w:ascii="Verdana" w:hAnsi="Verdana"/>
          <w:sz w:val="16"/>
          <w:szCs w:val="16"/>
          <w:lang w:val="es-MX"/>
        </w:rPr>
        <w:t xml:space="preserve"> de </w:t>
      </w:r>
      <w:r w:rsidRPr="007C693A">
        <w:rPr>
          <w:rFonts w:ascii="Verdana" w:hAnsi="Verdana"/>
          <w:sz w:val="16"/>
          <w:szCs w:val="16"/>
          <w:lang w:val="es-MX"/>
        </w:rPr>
        <w:t>la Sala Penal</w:t>
      </w:r>
      <w:r>
        <w:rPr>
          <w:rFonts w:ascii="Verdana" w:hAnsi="Verdana"/>
          <w:sz w:val="16"/>
          <w:szCs w:val="16"/>
          <w:lang w:val="es-MX"/>
        </w:rPr>
        <w:t xml:space="preserve"> Tercera</w:t>
      </w:r>
      <w:r w:rsidRPr="007C693A">
        <w:rPr>
          <w:rFonts w:ascii="Verdana" w:hAnsi="Verdana"/>
          <w:sz w:val="16"/>
          <w:szCs w:val="16"/>
          <w:lang w:val="es-MX"/>
        </w:rPr>
        <w:t xml:space="preserve"> de la Corte Superior de la Paz</w:t>
      </w:r>
      <w:r w:rsidRPr="000D4A61">
        <w:rPr>
          <w:rFonts w:ascii="Verdana" w:hAnsi="Verdana"/>
          <w:i/>
          <w:iCs/>
          <w:sz w:val="16"/>
          <w:szCs w:val="16"/>
          <w:lang w:val="es-MX"/>
        </w:rPr>
        <w:t xml:space="preserve">, </w:t>
      </w:r>
      <w:r w:rsidR="003F1CC2" w:rsidRPr="000D4A61">
        <w:rPr>
          <w:rFonts w:ascii="Verdana" w:hAnsi="Verdana"/>
          <w:i/>
          <w:iCs/>
          <w:sz w:val="16"/>
          <w:szCs w:val="16"/>
          <w:lang w:val="es-MX"/>
        </w:rPr>
        <w:t>supra</w:t>
      </w:r>
      <w:r w:rsidR="003F1CC2">
        <w:rPr>
          <w:rFonts w:ascii="Verdana" w:hAnsi="Verdana"/>
          <w:sz w:val="16"/>
          <w:szCs w:val="16"/>
          <w:lang w:val="es-MX"/>
        </w:rPr>
        <w:t>.</w:t>
      </w:r>
    </w:p>
  </w:footnote>
  <w:footnote w:id="72">
    <w:p w14:paraId="2CD2ACAE" w14:textId="558FCDDE"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xml:space="preserve">. Escrito de interposición de denuncia por faltas graves y muy grave, presentado por Olga Flores Bedregal, contra la Fiscal de Distrito Teresa Vera Loza, de 8 de mayo de 2008 (expediente de prueba, fs. 365 a 370). </w:t>
      </w:r>
    </w:p>
  </w:footnote>
  <w:footnote w:id="73">
    <w:p w14:paraId="29376036" w14:textId="5EB18584"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Escrito de solicitud de convocatoria de Fiscal de Distrito ante la Comisión de Derechos Humanos de la Cámara de Diputados, presentado por Olga Flores Bedregal, de 14 de abril de 2008 (expediente de prueba, fs. 372 a 374).</w:t>
      </w:r>
    </w:p>
  </w:footnote>
  <w:footnote w:id="74">
    <w:p w14:paraId="4C72B8A8" w14:textId="77777777"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Resolución T.N.D. No. 006/2010, emitida por el Tribunal Nacional de Disciplina el 19 de febrero de 2010 (expediente de prueba, fs. 396 a 399).</w:t>
      </w:r>
    </w:p>
  </w:footnote>
  <w:footnote w:id="75">
    <w:p w14:paraId="5742F163" w14:textId="11E587FF" w:rsidR="00AC124E" w:rsidRPr="007C693A" w:rsidRDefault="00AC124E" w:rsidP="00014203">
      <w:pPr>
        <w:jc w:val="both"/>
        <w:rPr>
          <w:rFonts w:ascii="Verdana" w:hAnsi="Verdana"/>
          <w:sz w:val="16"/>
          <w:szCs w:val="16"/>
          <w:lang w:val="es-ES"/>
        </w:rPr>
      </w:pPr>
      <w:r w:rsidRPr="002A72F4">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Escrito de presentación y solicitud de nuevas pruebas, de la abogada Ximena A. Prudencio Bilbao, representante de la familia de Marcelo Quiroga</w:t>
      </w:r>
      <w:r w:rsidR="00C007C1">
        <w:rPr>
          <w:rFonts w:ascii="Verdana" w:hAnsi="Verdana"/>
          <w:sz w:val="16"/>
          <w:szCs w:val="16"/>
          <w:lang w:val="es-ES"/>
        </w:rPr>
        <w:t xml:space="preserve"> Santa Cruz</w:t>
      </w:r>
      <w:r w:rsidRPr="007C693A">
        <w:rPr>
          <w:rFonts w:ascii="Verdana" w:hAnsi="Verdana"/>
          <w:sz w:val="16"/>
          <w:szCs w:val="16"/>
          <w:lang w:val="es-ES"/>
        </w:rPr>
        <w:t xml:space="preserve">, de 7 de febrero de 2008 (expediente de prueba, fs. 8503 a 8508). </w:t>
      </w:r>
    </w:p>
  </w:footnote>
  <w:footnote w:id="76">
    <w:p w14:paraId="4F17F7DA" w14:textId="00AF4063"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Oficio 496/2008, suscrito por la Presidenta de la Sala Penal Tercera de la Corte Superior de Justicia de la Paz, de 2</w:t>
      </w:r>
      <w:r w:rsidR="008205CA">
        <w:rPr>
          <w:rFonts w:ascii="Verdana" w:hAnsi="Verdana"/>
          <w:sz w:val="16"/>
          <w:szCs w:val="16"/>
          <w:lang w:val="es-MX"/>
        </w:rPr>
        <w:t>5</w:t>
      </w:r>
      <w:r w:rsidRPr="007C693A">
        <w:rPr>
          <w:rFonts w:ascii="Verdana" w:hAnsi="Verdana"/>
          <w:sz w:val="16"/>
          <w:szCs w:val="16"/>
          <w:lang w:val="es-MX"/>
        </w:rPr>
        <w:t xml:space="preserve"> de </w:t>
      </w:r>
      <w:r w:rsidR="008205CA">
        <w:rPr>
          <w:rFonts w:ascii="Verdana" w:hAnsi="Verdana"/>
          <w:sz w:val="16"/>
          <w:szCs w:val="16"/>
          <w:lang w:val="es-MX"/>
        </w:rPr>
        <w:t>julio</w:t>
      </w:r>
      <w:r w:rsidRPr="007C693A">
        <w:rPr>
          <w:rFonts w:ascii="Verdana" w:hAnsi="Verdana"/>
          <w:sz w:val="16"/>
          <w:szCs w:val="16"/>
          <w:lang w:val="es-MX"/>
        </w:rPr>
        <w:t xml:space="preserve"> de 2008 (expediente de prueba, fs. 488 a 498).</w:t>
      </w:r>
    </w:p>
  </w:footnote>
  <w:footnote w:id="77">
    <w:p w14:paraId="0FACBFF7" w14:textId="52897CBE"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iCs/>
          <w:sz w:val="16"/>
          <w:szCs w:val="16"/>
          <w:lang w:val="es-MX"/>
        </w:rPr>
        <w:t>Cfr.</w:t>
      </w:r>
      <w:r w:rsidRPr="007C693A">
        <w:rPr>
          <w:rFonts w:ascii="Verdana" w:hAnsi="Verdana"/>
          <w:sz w:val="16"/>
          <w:szCs w:val="16"/>
          <w:lang w:val="es-MX"/>
        </w:rPr>
        <w:t xml:space="preserve"> Recurso de nulidad y casación interpuesto por Olga Beatriz Flores Bedregal, de 24 de enero de 2009 (expediente de prueba, fs. 434 a 455).</w:t>
      </w:r>
    </w:p>
  </w:footnote>
  <w:footnote w:id="78">
    <w:p w14:paraId="5783E201" w14:textId="15DFCB6C"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 xml:space="preserve">Cfr. </w:t>
      </w:r>
      <w:r w:rsidRPr="007C693A">
        <w:rPr>
          <w:rFonts w:ascii="Verdana" w:hAnsi="Verdana"/>
          <w:iCs/>
          <w:sz w:val="16"/>
          <w:szCs w:val="16"/>
          <w:lang w:val="es-MX"/>
        </w:rPr>
        <w:t xml:space="preserve">Escrito de solicitud de auto motivado, presentado por Olga Flores Bedregal, de 15 de febrero de 2010 (expediente de prueba, fs. 8524 a 8527), y </w:t>
      </w:r>
      <w:r w:rsidRPr="007C693A">
        <w:rPr>
          <w:rFonts w:ascii="Verdana" w:hAnsi="Verdana"/>
          <w:sz w:val="16"/>
          <w:szCs w:val="16"/>
          <w:lang w:val="es-MX"/>
        </w:rPr>
        <w:t>Auto Supremo No. 125 emitido por la Sala Penal Primera de la Corte Suprema de Justicia, de 1 de abril de 2010 (expediente de prueba, fs. 524 a 527).</w:t>
      </w:r>
    </w:p>
  </w:footnote>
  <w:footnote w:id="79">
    <w:p w14:paraId="79821E3F" w14:textId="3B7C35FE"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Escrito de vista del Fiscal de Recursos de la Fiscalía General de la República, de 12 de marzo de 2010 (expediente de prueba, fs. 561 a 564).</w:t>
      </w:r>
    </w:p>
  </w:footnote>
  <w:footnote w:id="80">
    <w:p w14:paraId="0FCF4795" w14:textId="173D9EE0" w:rsidR="00AC124E" w:rsidRPr="007C693A" w:rsidRDefault="00AC124E" w:rsidP="00014203">
      <w:pPr>
        <w:tabs>
          <w:tab w:val="left" w:pos="720"/>
          <w:tab w:val="left" w:pos="810"/>
        </w:tabs>
        <w:jc w:val="both"/>
        <w:rPr>
          <w:rFonts w:ascii="Verdana" w:hAnsi="Verdana"/>
          <w:sz w:val="16"/>
          <w:szCs w:val="16"/>
          <w:lang w:val="es-MX"/>
        </w:rPr>
      </w:pPr>
      <w:r w:rsidRPr="002A72F4">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 xml:space="preserve">Cfr. </w:t>
      </w:r>
      <w:r w:rsidRPr="007C693A">
        <w:rPr>
          <w:rFonts w:ascii="Verdana" w:hAnsi="Verdana"/>
          <w:sz w:val="16"/>
          <w:szCs w:val="16"/>
          <w:lang w:val="es-MX"/>
        </w:rPr>
        <w:t>Auto Supremo No. 125 emitido por la Sala Penal Primera de la Corte Suprema de Justicia</w:t>
      </w:r>
      <w:r w:rsidR="00E3208B">
        <w:rPr>
          <w:rFonts w:ascii="Verdana" w:hAnsi="Verdana"/>
          <w:sz w:val="16"/>
          <w:szCs w:val="16"/>
          <w:lang w:val="es-MX"/>
        </w:rPr>
        <w:t xml:space="preserve">, </w:t>
      </w:r>
      <w:r w:rsidR="00E3208B" w:rsidRPr="00FB5A4F">
        <w:rPr>
          <w:rFonts w:ascii="Verdana" w:hAnsi="Verdana"/>
          <w:i/>
          <w:iCs/>
          <w:sz w:val="16"/>
          <w:szCs w:val="16"/>
          <w:lang w:val="es-MX"/>
        </w:rPr>
        <w:t>supra</w:t>
      </w:r>
      <w:r w:rsidR="00E3208B">
        <w:rPr>
          <w:rFonts w:ascii="Verdana" w:hAnsi="Verdana"/>
          <w:sz w:val="16"/>
          <w:szCs w:val="16"/>
          <w:lang w:val="es-MX"/>
        </w:rPr>
        <w:t>.</w:t>
      </w:r>
    </w:p>
  </w:footnote>
  <w:footnote w:id="81">
    <w:p w14:paraId="1DF9D9CD" w14:textId="6A8A72C2"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t xml:space="preserve">La señora Olga Flores Bedregal el 14 de abril de 2010 solicitó complementación del Auto Supremo No. 125, de forma tal que se ordenara el acceso a la documentación clasificada, siendo esta el escalafón del personal de las Fuerzas Armadas. </w:t>
      </w:r>
      <w:r w:rsidRPr="007C693A">
        <w:rPr>
          <w:rFonts w:ascii="Verdana" w:hAnsi="Verdana"/>
          <w:i/>
          <w:sz w:val="16"/>
          <w:szCs w:val="16"/>
          <w:lang w:val="es-MX"/>
        </w:rPr>
        <w:t xml:space="preserve">Cfr. </w:t>
      </w:r>
      <w:r w:rsidRPr="007C693A">
        <w:rPr>
          <w:rFonts w:ascii="Verdana" w:hAnsi="Verdana"/>
          <w:iCs/>
          <w:sz w:val="16"/>
          <w:szCs w:val="16"/>
          <w:lang w:val="es-MX"/>
        </w:rPr>
        <w:t xml:space="preserve">Escrito de solicitud de complementación de Auto Supremo, presentado por la señora Olga Flores Bedregal, de 14 de abril de 2010 (expediente de prueba, fs. 8535 y 8536), y </w:t>
      </w:r>
      <w:r w:rsidRPr="007C693A">
        <w:rPr>
          <w:rFonts w:ascii="Verdana" w:hAnsi="Verdana"/>
          <w:sz w:val="16"/>
          <w:szCs w:val="16"/>
          <w:lang w:val="es-MX"/>
        </w:rPr>
        <w:t>Auto Supremo No. 167 emitido por la Sala Penal Primera de la Corte Suprema de Justicia, de 16 de abril de 2010 (expediente de prueba, fs</w:t>
      </w:r>
      <w:r w:rsidR="00626E10">
        <w:rPr>
          <w:rFonts w:ascii="Verdana" w:hAnsi="Verdana"/>
          <w:sz w:val="16"/>
          <w:szCs w:val="16"/>
          <w:lang w:val="es-MX"/>
        </w:rPr>
        <w:t xml:space="preserve">. </w:t>
      </w:r>
      <w:r w:rsidRPr="007C693A">
        <w:rPr>
          <w:rFonts w:ascii="Verdana" w:hAnsi="Verdana"/>
          <w:sz w:val="16"/>
          <w:szCs w:val="16"/>
          <w:lang w:val="es-MX"/>
        </w:rPr>
        <w:t>566 a 567).</w:t>
      </w:r>
    </w:p>
  </w:footnote>
  <w:footnote w:id="82">
    <w:p w14:paraId="1937A533" w14:textId="7D724AEB" w:rsidR="00AC124E" w:rsidRPr="007C693A" w:rsidRDefault="00AC124E" w:rsidP="00014203">
      <w:pPr>
        <w:jc w:val="both"/>
        <w:rPr>
          <w:rFonts w:ascii="Verdana" w:hAnsi="Verdana"/>
          <w:sz w:val="16"/>
          <w:szCs w:val="16"/>
          <w:lang w:val="es-CR"/>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r>
      <w:r w:rsidR="00996AA5" w:rsidRPr="00BB7208">
        <w:rPr>
          <w:rFonts w:ascii="Verdana" w:hAnsi="Verdana"/>
          <w:i/>
          <w:iCs/>
          <w:sz w:val="16"/>
          <w:szCs w:val="16"/>
          <w:lang w:val="es-CR"/>
        </w:rPr>
        <w:t>Cfr</w:t>
      </w:r>
      <w:r w:rsidR="00996AA5">
        <w:rPr>
          <w:rFonts w:ascii="Verdana" w:hAnsi="Verdana"/>
          <w:sz w:val="16"/>
          <w:szCs w:val="16"/>
          <w:lang w:val="es-CR"/>
        </w:rPr>
        <w:t xml:space="preserve">. </w:t>
      </w:r>
      <w:r w:rsidRPr="007C693A">
        <w:rPr>
          <w:rFonts w:ascii="Verdana" w:hAnsi="Verdana"/>
          <w:sz w:val="16"/>
          <w:szCs w:val="16"/>
          <w:lang w:val="es-CR"/>
        </w:rPr>
        <w:t>Oficio de 24 de septiembre de 2010 dirigido al Comandante de las FFAA (</w:t>
      </w:r>
      <w:r w:rsidRPr="007C693A">
        <w:rPr>
          <w:rFonts w:ascii="Verdana" w:hAnsi="Verdana"/>
          <w:sz w:val="16"/>
          <w:szCs w:val="16"/>
          <w:lang w:val="es-ES"/>
        </w:rPr>
        <w:t>expediente de prueba, fs. 569)</w:t>
      </w:r>
      <w:r w:rsidR="00626E10">
        <w:rPr>
          <w:rFonts w:ascii="Verdana" w:hAnsi="Verdana"/>
          <w:sz w:val="16"/>
          <w:szCs w:val="16"/>
          <w:lang w:val="es-ES"/>
        </w:rPr>
        <w:t>.</w:t>
      </w:r>
    </w:p>
  </w:footnote>
  <w:footnote w:id="83">
    <w:p w14:paraId="06C9622F" w14:textId="63544334"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xml:space="preserve">. Acta de inspección ocular e inventario, de 28 de septiembre de 2010 (expediente de prueba, fs. 571 a 573) e Informe del Fiscal Superior hacia el Fiscal General, sobre las actuaciones del 28 de septiembre de 2010, recibido el 28 de octubre de 2013 en la Fiscalía General (expediente de prueba, fs. 8542 a 8544). </w:t>
      </w:r>
    </w:p>
  </w:footnote>
  <w:footnote w:id="84">
    <w:p w14:paraId="76C85194" w14:textId="1336D93A" w:rsidR="00AC124E" w:rsidRPr="007C693A" w:rsidRDefault="00AC124E" w:rsidP="00014203">
      <w:pPr>
        <w:jc w:val="both"/>
        <w:rPr>
          <w:rFonts w:ascii="Verdana" w:hAnsi="Verdana" w:cs="Arial"/>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Comunicado del Comando en Jefe de las Fuerzas Armadas del Estado Mayor General, dirigido al Fiscal de Recursos de la Fiscalía General del Estado, de 19 de octubre de 2010 (expediente de prueba, fs. 575 a 576). </w:t>
      </w:r>
    </w:p>
  </w:footnote>
  <w:footnote w:id="85">
    <w:p w14:paraId="714D2DE9" w14:textId="125E377F" w:rsidR="00AC124E" w:rsidRPr="007C693A" w:rsidRDefault="00AC124E" w:rsidP="00014203">
      <w:pPr>
        <w:jc w:val="both"/>
        <w:rPr>
          <w:rFonts w:ascii="Verdana" w:hAnsi="Verdana"/>
          <w:sz w:val="16"/>
          <w:szCs w:val="16"/>
          <w:lang w:val="es-ES"/>
        </w:rPr>
      </w:pPr>
      <w:r w:rsidRPr="00B60EF7">
        <w:rPr>
          <w:rStyle w:val="Refdenotaalpie"/>
        </w:rPr>
        <w:footnoteRef/>
      </w:r>
      <w:r w:rsidRPr="00E57AF1">
        <w:rPr>
          <w:rStyle w:val="Refdenotaalpie"/>
          <w:lang w:val="es-CR"/>
        </w:rPr>
        <w:t xml:space="preserve"> </w:t>
      </w:r>
      <w:r w:rsidRPr="007C693A">
        <w:rPr>
          <w:rFonts w:ascii="Verdana" w:hAnsi="Verdana"/>
          <w:sz w:val="16"/>
          <w:szCs w:val="16"/>
          <w:lang w:val="es-ES"/>
        </w:rPr>
        <w:tab/>
        <w:t xml:space="preserve">Presentaron medios impugnatorios César Altamirano Lavadenz, Rogelio Gómez Espinoza, Faustino Rico Toro, Marcos Herminio Mena Vargas, Felipe Froilán Molina Bustamante, David Humberto Alarcón Romero, Gregorio Loza Balsa y Gerardo Gianni Prado Herrera; así como María Soledad Quiroga Trigo, como familiar constituida como parte civil ofendida en el proceso penal. </w:t>
      </w:r>
      <w:r w:rsidRPr="007C693A">
        <w:rPr>
          <w:rFonts w:ascii="Verdana" w:hAnsi="Verdana"/>
          <w:i/>
          <w:sz w:val="16"/>
          <w:szCs w:val="16"/>
          <w:lang w:val="es-ES"/>
        </w:rPr>
        <w:t>Cfr</w:t>
      </w:r>
      <w:r w:rsidRPr="007C693A">
        <w:rPr>
          <w:rFonts w:ascii="Verdana" w:hAnsi="Verdana"/>
          <w:sz w:val="16"/>
          <w:szCs w:val="16"/>
          <w:lang w:val="es-ES"/>
        </w:rPr>
        <w:t xml:space="preserve">. Auto Supremo No. 504 </w:t>
      </w:r>
      <w:r w:rsidR="003F1CC2">
        <w:rPr>
          <w:rFonts w:ascii="Verdana" w:hAnsi="Verdana"/>
          <w:sz w:val="16"/>
          <w:szCs w:val="16"/>
          <w:lang w:val="es-ES"/>
        </w:rPr>
        <w:t>de</w:t>
      </w:r>
      <w:r w:rsidRPr="007C693A">
        <w:rPr>
          <w:rFonts w:ascii="Verdana" w:hAnsi="Verdana"/>
          <w:sz w:val="16"/>
          <w:szCs w:val="16"/>
          <w:lang w:val="es-ES"/>
        </w:rPr>
        <w:t xml:space="preserve"> la Sala Penal Primera</w:t>
      </w:r>
      <w:r w:rsidR="008D4192">
        <w:rPr>
          <w:rFonts w:ascii="Verdana" w:hAnsi="Verdana"/>
          <w:sz w:val="16"/>
          <w:szCs w:val="16"/>
          <w:lang w:val="es-ES"/>
        </w:rPr>
        <w:t xml:space="preserve"> de la Corte</w:t>
      </w:r>
      <w:r w:rsidRPr="007C693A">
        <w:rPr>
          <w:rFonts w:ascii="Verdana" w:hAnsi="Verdana"/>
          <w:sz w:val="16"/>
          <w:szCs w:val="16"/>
          <w:lang w:val="es-ES"/>
        </w:rPr>
        <w:t>, de 25 de octubre de 2010 (expediente de prueba, fs. 457 a 469).</w:t>
      </w:r>
    </w:p>
  </w:footnote>
  <w:footnote w:id="86">
    <w:p w14:paraId="38E732EA" w14:textId="09CC27AA"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t xml:space="preserve">Se incluyó en la condena los nombres de Damián Gutiérrez Castro y Sebastián Quispe Apaza, quienes se señaló habrían sido “omitidos sin justificación”. </w:t>
      </w:r>
      <w:r w:rsidRPr="007C693A">
        <w:rPr>
          <w:rFonts w:ascii="Verdana" w:hAnsi="Verdana"/>
          <w:i/>
          <w:sz w:val="16"/>
          <w:szCs w:val="16"/>
          <w:lang w:val="es-MX"/>
        </w:rPr>
        <w:t xml:space="preserve">Cfr. </w:t>
      </w:r>
      <w:r w:rsidRPr="007C693A">
        <w:rPr>
          <w:rFonts w:ascii="Verdana" w:hAnsi="Verdana"/>
          <w:sz w:val="16"/>
          <w:szCs w:val="16"/>
          <w:lang w:val="es-MX"/>
        </w:rPr>
        <w:t xml:space="preserve">Auto Supremo No. 504 </w:t>
      </w:r>
      <w:r w:rsidR="003F1CC2">
        <w:rPr>
          <w:rFonts w:ascii="Verdana" w:hAnsi="Verdana"/>
          <w:sz w:val="16"/>
          <w:szCs w:val="16"/>
          <w:lang w:val="es-MX"/>
        </w:rPr>
        <w:t>de</w:t>
      </w:r>
      <w:r w:rsidRPr="007C693A">
        <w:rPr>
          <w:rFonts w:ascii="Verdana" w:hAnsi="Verdana"/>
          <w:sz w:val="16"/>
          <w:szCs w:val="16"/>
          <w:lang w:val="es-MX"/>
        </w:rPr>
        <w:t xml:space="preserve"> la Sala Penal Primera</w:t>
      </w:r>
      <w:r w:rsidR="003F1CC2">
        <w:rPr>
          <w:rFonts w:ascii="Verdana" w:hAnsi="Verdana"/>
          <w:sz w:val="16"/>
          <w:szCs w:val="16"/>
          <w:lang w:val="es-MX"/>
        </w:rPr>
        <w:t xml:space="preserve">, </w:t>
      </w:r>
      <w:r w:rsidR="003F1CC2" w:rsidRPr="000D4A61">
        <w:rPr>
          <w:rFonts w:ascii="Verdana" w:hAnsi="Verdana"/>
          <w:i/>
          <w:iCs/>
          <w:sz w:val="16"/>
          <w:szCs w:val="16"/>
          <w:lang w:val="es-MX"/>
        </w:rPr>
        <w:t>supra</w:t>
      </w:r>
      <w:r w:rsidR="003F1CC2">
        <w:rPr>
          <w:rFonts w:ascii="Verdana" w:hAnsi="Verdana"/>
          <w:sz w:val="16"/>
          <w:szCs w:val="16"/>
          <w:lang w:val="es-MX"/>
        </w:rPr>
        <w:t>.</w:t>
      </w:r>
    </w:p>
  </w:footnote>
  <w:footnote w:id="87">
    <w:p w14:paraId="18990ACF" w14:textId="48A63BF5"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xml:space="preserve">. Mandamientos de captura emitidos por el Juzgado Segundo de Ejecución Penal del Tribunal Departamental de Justicia de la Paz, de 27 de noviembre de 2013, contra </w:t>
      </w:r>
      <w:r w:rsidRPr="007C693A">
        <w:rPr>
          <w:rFonts w:ascii="Verdana" w:hAnsi="Verdana"/>
          <w:sz w:val="16"/>
          <w:szCs w:val="16"/>
          <w:lang w:val="es-ES"/>
        </w:rPr>
        <w:t>Franz Pizarro Solano, José Luis Ormachea España y Felipe Froilán Molina Bustamante</w:t>
      </w:r>
      <w:r w:rsidRPr="007C693A">
        <w:rPr>
          <w:rFonts w:ascii="Verdana" w:hAnsi="Verdana"/>
          <w:sz w:val="16"/>
          <w:szCs w:val="16"/>
          <w:lang w:val="es-MX"/>
        </w:rPr>
        <w:t xml:space="preserve"> (expediente de prueba, fs. 471 a 475).</w:t>
      </w:r>
    </w:p>
  </w:footnote>
  <w:footnote w:id="88">
    <w:p w14:paraId="3F85ED65" w14:textId="77777777" w:rsidR="001E1A5F" w:rsidRPr="007C693A" w:rsidRDefault="001E1A5F" w:rsidP="001E1A5F">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Informe No. 04/2014 de la Secretaría del Departamento de Análisis Criminal e Inteligencia, de 3 de febrero de 2014 (expediente de prueba, fs. 477 a 478).</w:t>
      </w:r>
    </w:p>
  </w:footnote>
  <w:footnote w:id="89">
    <w:p w14:paraId="14EEFC5A" w14:textId="030A8F70" w:rsidR="00AC124E" w:rsidRPr="007C693A" w:rsidRDefault="00AC124E" w:rsidP="00014203">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Resolución Ministerial No. 316</w:t>
      </w:r>
      <w:r w:rsidR="001E1A5F">
        <w:rPr>
          <w:rFonts w:ascii="Verdana" w:hAnsi="Verdana"/>
          <w:sz w:val="16"/>
          <w:szCs w:val="16"/>
          <w:lang w:val="es-ES"/>
        </w:rPr>
        <w:t>/09</w:t>
      </w:r>
      <w:r w:rsidRPr="007C693A">
        <w:rPr>
          <w:rFonts w:ascii="Verdana" w:hAnsi="Verdana"/>
          <w:sz w:val="16"/>
          <w:szCs w:val="16"/>
          <w:lang w:val="es-ES"/>
        </w:rPr>
        <w:t xml:space="preserve">, dictada por el Ministerio de Defensa, de 19 de mayo de 2009 (expediente de prueba, fs. 531 a 533). </w:t>
      </w:r>
    </w:p>
  </w:footnote>
  <w:footnote w:id="90">
    <w:p w14:paraId="2F53D653" w14:textId="77777777"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Escrito de Verónica Flores Bedregal de 28 de mayo de 2009, presentado el 1 de junio de 2009 (expediente de prueba, f. 529).</w:t>
      </w:r>
    </w:p>
  </w:footnote>
  <w:footnote w:id="91">
    <w:p w14:paraId="3E51E886" w14:textId="2E51438C" w:rsidR="00AC124E" w:rsidRPr="007C693A" w:rsidRDefault="00AC124E" w:rsidP="00014203">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Pr>
          <w:rFonts w:ascii="Verdana" w:hAnsi="Verdana"/>
          <w:sz w:val="16"/>
          <w:szCs w:val="16"/>
          <w:lang w:val="es-ES"/>
        </w:rPr>
        <w:t xml:space="preserve">No. 341/09, </w:t>
      </w:r>
      <w:r w:rsidRPr="007C693A">
        <w:rPr>
          <w:rFonts w:ascii="Verdana" w:hAnsi="Verdana"/>
          <w:sz w:val="16"/>
          <w:szCs w:val="16"/>
          <w:lang w:val="es-ES"/>
        </w:rPr>
        <w:t>Comunicado del Comando en Jefe de las Fuerzas Armadas del Estado Mayor General, dirigido a Verónica Flores Bedregal, de 5 de junio de 2009</w:t>
      </w:r>
      <w:r w:rsidR="00BA52A3">
        <w:rPr>
          <w:rFonts w:ascii="Verdana" w:hAnsi="Verdana"/>
          <w:sz w:val="16"/>
          <w:szCs w:val="16"/>
          <w:lang w:val="es-ES"/>
        </w:rPr>
        <w:t xml:space="preserve"> recibido el 22 de junio de 2009</w:t>
      </w:r>
      <w:r w:rsidRPr="007C693A">
        <w:rPr>
          <w:rFonts w:ascii="Verdana" w:hAnsi="Verdana"/>
          <w:sz w:val="16"/>
          <w:szCs w:val="16"/>
          <w:lang w:val="es-ES"/>
        </w:rPr>
        <w:t xml:space="preserve"> (expediente de prueba, fs. 535 y 536). </w:t>
      </w:r>
    </w:p>
  </w:footnote>
  <w:footnote w:id="92">
    <w:p w14:paraId="67522343" w14:textId="6B9489B8"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xml:space="preserve">. Escrito </w:t>
      </w:r>
      <w:r w:rsidR="000C45E9">
        <w:rPr>
          <w:rFonts w:ascii="Verdana" w:hAnsi="Verdana"/>
          <w:sz w:val="16"/>
          <w:szCs w:val="16"/>
          <w:lang w:val="es-MX"/>
        </w:rPr>
        <w:t xml:space="preserve">de </w:t>
      </w:r>
      <w:r w:rsidRPr="007C693A">
        <w:rPr>
          <w:rFonts w:ascii="Verdana" w:hAnsi="Verdana"/>
          <w:sz w:val="16"/>
          <w:szCs w:val="16"/>
          <w:lang w:val="es-MX"/>
        </w:rPr>
        <w:t>las hermanas Verónica y Olga Flores Bedregal, de 25 de junio de 2009, presentado el 29 de junio de 2009 (expediente de prueba, f. 538).</w:t>
      </w:r>
    </w:p>
  </w:footnote>
  <w:footnote w:id="93">
    <w:p w14:paraId="551F9F39" w14:textId="1B264A72"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xml:space="preserve">. </w:t>
      </w:r>
      <w:r>
        <w:rPr>
          <w:rFonts w:ascii="Verdana" w:hAnsi="Verdana"/>
          <w:sz w:val="16"/>
          <w:szCs w:val="16"/>
          <w:lang w:val="es-MX"/>
        </w:rPr>
        <w:t xml:space="preserve">No. 397/09, </w:t>
      </w:r>
      <w:r w:rsidRPr="007C693A">
        <w:rPr>
          <w:rFonts w:ascii="Verdana" w:hAnsi="Verdana"/>
          <w:sz w:val="16"/>
          <w:szCs w:val="16"/>
          <w:lang w:val="es-MX"/>
        </w:rPr>
        <w:t>Comunicado del Comando en Jefe de las Fuerzas Armadas del Estado Mayor General, dirigido a Verónica y Olga Flores Bedregal, de 6 de julio de 2009</w:t>
      </w:r>
      <w:r w:rsidR="00BA52A3">
        <w:rPr>
          <w:rFonts w:ascii="Verdana" w:hAnsi="Verdana"/>
          <w:sz w:val="16"/>
          <w:szCs w:val="16"/>
          <w:lang w:val="es-MX"/>
        </w:rPr>
        <w:t xml:space="preserve"> recibido el 23 de julio de 2009</w:t>
      </w:r>
      <w:r w:rsidRPr="007C693A">
        <w:rPr>
          <w:rFonts w:ascii="Verdana" w:hAnsi="Verdana"/>
          <w:sz w:val="16"/>
          <w:szCs w:val="16"/>
          <w:lang w:val="es-MX"/>
        </w:rPr>
        <w:t xml:space="preserve"> (expediente de prueba, f. 539).</w:t>
      </w:r>
    </w:p>
  </w:footnote>
  <w:footnote w:id="94">
    <w:p w14:paraId="392C3E66" w14:textId="42CA4C4C"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E57AF1">
        <w:rPr>
          <w:rStyle w:val="Refdenotaalpie"/>
          <w:lang w:val="es-CR"/>
        </w:rPr>
        <w:t xml:space="preserve"> </w:t>
      </w:r>
      <w:r w:rsidRPr="007C693A">
        <w:rPr>
          <w:rFonts w:ascii="Verdana" w:hAnsi="Verdana"/>
          <w:sz w:val="16"/>
          <w:szCs w:val="16"/>
          <w:lang w:val="es-MX"/>
        </w:rPr>
        <w:tab/>
      </w:r>
      <w:r w:rsidRPr="007C693A">
        <w:rPr>
          <w:rFonts w:ascii="Verdana" w:hAnsi="Verdana"/>
          <w:i/>
          <w:sz w:val="16"/>
          <w:szCs w:val="16"/>
          <w:lang w:val="es-MX"/>
        </w:rPr>
        <w:t>Cfr</w:t>
      </w:r>
      <w:r w:rsidRPr="007C693A">
        <w:rPr>
          <w:rFonts w:ascii="Verdana" w:hAnsi="Verdana"/>
          <w:sz w:val="16"/>
          <w:szCs w:val="16"/>
          <w:lang w:val="es-MX"/>
        </w:rPr>
        <w:t>. Acción de amparo constitucional promovida por las hermanas Verónica y Olga Flores Bedregal, de 10 de noviembre de 2009, presentada el 10 de diciembre de 2009 (expediente de prueba, fs. 541 a 556).</w:t>
      </w:r>
    </w:p>
  </w:footnote>
  <w:footnote w:id="95">
    <w:p w14:paraId="7162B016" w14:textId="1BAD35AD" w:rsidR="00AC124E" w:rsidRPr="007C693A" w:rsidRDefault="00AC124E" w:rsidP="00014203">
      <w:pPr>
        <w:tabs>
          <w:tab w:val="left" w:pos="720"/>
          <w:tab w:val="left" w:pos="810"/>
        </w:tabs>
        <w:jc w:val="both"/>
        <w:rPr>
          <w:rFonts w:ascii="Verdana" w:hAnsi="Verdana"/>
          <w:sz w:val="16"/>
          <w:szCs w:val="16"/>
          <w:lang w:val="es-MX"/>
        </w:rPr>
      </w:pPr>
      <w:r w:rsidRPr="00B60EF7">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 xml:space="preserve">Cfr. </w:t>
      </w:r>
      <w:r w:rsidRPr="007C693A">
        <w:rPr>
          <w:rFonts w:ascii="Verdana" w:hAnsi="Verdana"/>
          <w:sz w:val="16"/>
          <w:szCs w:val="16"/>
          <w:lang w:val="es-MX"/>
        </w:rPr>
        <w:t xml:space="preserve">Resolución </w:t>
      </w:r>
      <w:r>
        <w:rPr>
          <w:rFonts w:ascii="Verdana" w:hAnsi="Verdana"/>
          <w:sz w:val="16"/>
          <w:szCs w:val="16"/>
          <w:lang w:val="es-MX"/>
        </w:rPr>
        <w:t xml:space="preserve">No. 88/2009 </w:t>
      </w:r>
      <w:r w:rsidRPr="007C693A">
        <w:rPr>
          <w:rFonts w:ascii="Verdana" w:hAnsi="Verdana"/>
          <w:sz w:val="16"/>
          <w:szCs w:val="16"/>
          <w:lang w:val="es-MX"/>
        </w:rPr>
        <w:t>de la Sala Penal Segunda de la Corte Superior del Distrito de La Paz, de 12 de diciembre de 2009 (expediente de prueba, fs. 558 a 559).</w:t>
      </w:r>
    </w:p>
  </w:footnote>
  <w:footnote w:id="96">
    <w:p w14:paraId="26A6C2A5" w14:textId="2B99911D" w:rsidR="00AC124E" w:rsidRPr="007C693A" w:rsidRDefault="00AC124E" w:rsidP="008E6945">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 xml:space="preserve">Resolución </w:t>
      </w:r>
      <w:r>
        <w:rPr>
          <w:rFonts w:ascii="Verdana" w:hAnsi="Verdana"/>
          <w:sz w:val="16"/>
          <w:szCs w:val="16"/>
          <w:lang w:val="es-ES"/>
        </w:rPr>
        <w:t>Defensorial</w:t>
      </w:r>
      <w:r w:rsidRPr="007C693A">
        <w:rPr>
          <w:rFonts w:ascii="Verdana" w:hAnsi="Verdana"/>
          <w:sz w:val="16"/>
          <w:szCs w:val="16"/>
          <w:lang w:val="es-ES"/>
        </w:rPr>
        <w:t xml:space="preserve"> No. RD/00016/LPZ/2010 de 22 de febrero de 2010 (expediente de prueba, fs. 304 a 310)</w:t>
      </w:r>
    </w:p>
  </w:footnote>
  <w:footnote w:id="97">
    <w:p w14:paraId="14DA73AD" w14:textId="1ED67BF5" w:rsidR="00AC124E" w:rsidRPr="007C693A" w:rsidRDefault="00AC124E" w:rsidP="00014203">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xml:space="preserve">. Declaración de Verónica Flores Bedregal, </w:t>
      </w:r>
      <w:r w:rsidRPr="007C693A">
        <w:rPr>
          <w:rFonts w:ascii="Verdana" w:hAnsi="Verdana"/>
          <w:i/>
          <w:iCs/>
          <w:sz w:val="16"/>
          <w:szCs w:val="16"/>
          <w:lang w:val="es-ES"/>
        </w:rPr>
        <w:t>supra</w:t>
      </w:r>
      <w:r w:rsidRPr="007C693A">
        <w:rPr>
          <w:rFonts w:ascii="Verdana" w:hAnsi="Verdana"/>
          <w:sz w:val="16"/>
          <w:szCs w:val="16"/>
          <w:lang w:val="es-ES"/>
        </w:rPr>
        <w:t xml:space="preserve">. </w:t>
      </w:r>
    </w:p>
  </w:footnote>
  <w:footnote w:id="98">
    <w:p w14:paraId="1B945F4F" w14:textId="7A1F07CB" w:rsidR="00AC124E" w:rsidRPr="007C693A" w:rsidRDefault="00AC124E" w:rsidP="00014203">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Comunicación de las hermanas Flores Bedregal a la Comisión Interamericana, de 30 de junio de 2008 (expediente de prueba, fs. 626 a 633); Declaraciones de Lilian Teresa y Verónica Flores Bedregal</w:t>
      </w:r>
      <w:r w:rsidR="00C7523F">
        <w:rPr>
          <w:rFonts w:ascii="Verdana" w:hAnsi="Verdana"/>
          <w:sz w:val="16"/>
          <w:szCs w:val="16"/>
          <w:lang w:val="es-ES"/>
        </w:rPr>
        <w:t xml:space="preserve">, </w:t>
      </w:r>
      <w:r w:rsidR="00C7523F" w:rsidRPr="00C7523F">
        <w:rPr>
          <w:rFonts w:ascii="Verdana" w:hAnsi="Verdana"/>
          <w:i/>
          <w:iCs/>
          <w:sz w:val="16"/>
          <w:szCs w:val="16"/>
          <w:lang w:val="es-ES"/>
        </w:rPr>
        <w:t>supra</w:t>
      </w:r>
      <w:r w:rsidR="00C7523F">
        <w:rPr>
          <w:rFonts w:ascii="Verdana" w:hAnsi="Verdana"/>
          <w:sz w:val="16"/>
          <w:szCs w:val="16"/>
          <w:lang w:val="es-ES"/>
        </w:rPr>
        <w:t xml:space="preserve">, </w:t>
      </w:r>
      <w:r w:rsidRPr="007C693A">
        <w:rPr>
          <w:rFonts w:ascii="Verdana" w:hAnsi="Verdana"/>
          <w:sz w:val="16"/>
          <w:szCs w:val="16"/>
          <w:lang w:val="es-ES"/>
        </w:rPr>
        <w:t>y Declaración de Olga Flores Bedregal</w:t>
      </w:r>
      <w:r w:rsidR="00626F9A">
        <w:rPr>
          <w:rFonts w:ascii="Verdana" w:hAnsi="Verdana"/>
          <w:sz w:val="16"/>
          <w:szCs w:val="16"/>
          <w:lang w:val="es-ES"/>
        </w:rPr>
        <w:t xml:space="preserve">, </w:t>
      </w:r>
      <w:r w:rsidR="00626F9A" w:rsidRPr="000D4A61">
        <w:rPr>
          <w:rFonts w:ascii="Verdana" w:hAnsi="Verdana"/>
          <w:i/>
          <w:iCs/>
          <w:sz w:val="16"/>
          <w:szCs w:val="16"/>
          <w:lang w:val="es-ES"/>
        </w:rPr>
        <w:t>supra.</w:t>
      </w:r>
    </w:p>
  </w:footnote>
  <w:footnote w:id="99">
    <w:p w14:paraId="2C20B1BE" w14:textId="74D394B7" w:rsidR="00AC124E" w:rsidRPr="007C693A" w:rsidRDefault="00AC124E" w:rsidP="00014203">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0D4A61">
        <w:rPr>
          <w:rFonts w:ascii="Verdana" w:hAnsi="Verdana"/>
          <w:i/>
          <w:iCs/>
          <w:sz w:val="16"/>
          <w:szCs w:val="16"/>
          <w:lang w:val="es-ES"/>
        </w:rPr>
        <w:t>Cfr</w:t>
      </w:r>
      <w:r w:rsidRPr="000D4A61">
        <w:rPr>
          <w:rFonts w:ascii="Verdana" w:hAnsi="Verdana"/>
          <w:sz w:val="16"/>
          <w:szCs w:val="16"/>
          <w:lang w:val="es-ES"/>
        </w:rPr>
        <w:t>. Declaraciones de Lilian Teresa</w:t>
      </w:r>
      <w:r w:rsidR="00C007C1">
        <w:rPr>
          <w:rFonts w:ascii="Verdana" w:hAnsi="Verdana"/>
          <w:sz w:val="16"/>
          <w:szCs w:val="16"/>
          <w:lang w:val="es-ES"/>
        </w:rPr>
        <w:t xml:space="preserve">, </w:t>
      </w:r>
      <w:r w:rsidRPr="000D4A61">
        <w:rPr>
          <w:rFonts w:ascii="Verdana" w:hAnsi="Verdana"/>
          <w:sz w:val="16"/>
          <w:szCs w:val="16"/>
          <w:lang w:val="es-ES"/>
        </w:rPr>
        <w:t>Verónica</w:t>
      </w:r>
      <w:r w:rsidR="00C007C1">
        <w:rPr>
          <w:rFonts w:ascii="Verdana" w:hAnsi="Verdana"/>
          <w:sz w:val="16"/>
          <w:szCs w:val="16"/>
          <w:lang w:val="es-ES"/>
        </w:rPr>
        <w:t xml:space="preserve"> y Olga, todas Flores Bedregal, </w:t>
      </w:r>
      <w:r w:rsidR="000C45E9" w:rsidRPr="000D4A61">
        <w:rPr>
          <w:rFonts w:ascii="Verdana" w:hAnsi="Verdana"/>
          <w:i/>
          <w:iCs/>
          <w:sz w:val="16"/>
          <w:szCs w:val="16"/>
          <w:lang w:val="es-ES"/>
        </w:rPr>
        <w:t>supra</w:t>
      </w:r>
      <w:r w:rsidR="00C007C1">
        <w:rPr>
          <w:rFonts w:ascii="Verdana" w:hAnsi="Verdana"/>
          <w:sz w:val="16"/>
          <w:szCs w:val="16"/>
          <w:lang w:val="es-ES"/>
        </w:rPr>
        <w:t>.</w:t>
      </w:r>
      <w:r w:rsidRPr="007C693A">
        <w:rPr>
          <w:rFonts w:ascii="Verdana" w:hAnsi="Verdana"/>
          <w:sz w:val="16"/>
          <w:szCs w:val="16"/>
          <w:lang w:val="es-ES"/>
        </w:rPr>
        <w:t xml:space="preserve"> </w:t>
      </w:r>
    </w:p>
  </w:footnote>
  <w:footnote w:id="100">
    <w:p w14:paraId="7BE953AD" w14:textId="4C7590D5" w:rsidR="000D4A61" w:rsidRPr="00A0036E" w:rsidRDefault="000D4A61" w:rsidP="000D4A61">
      <w:pPr>
        <w:jc w:val="both"/>
        <w:rPr>
          <w:rFonts w:ascii="Verdana" w:hAnsi="Verdana"/>
          <w:sz w:val="16"/>
          <w:szCs w:val="16"/>
          <w:lang w:val="es-ES"/>
        </w:rPr>
      </w:pPr>
      <w:r w:rsidRPr="00A0036E">
        <w:rPr>
          <w:rStyle w:val="Refdenotaalpie"/>
        </w:rPr>
        <w:footnoteRef/>
      </w:r>
      <w:r w:rsidRPr="00A0036E">
        <w:rPr>
          <w:rFonts w:ascii="Verdana" w:hAnsi="Verdana"/>
          <w:sz w:val="16"/>
          <w:szCs w:val="16"/>
          <w:lang w:val="es-ES"/>
        </w:rPr>
        <w:t xml:space="preserve"> </w:t>
      </w:r>
      <w:r>
        <w:rPr>
          <w:rFonts w:ascii="Verdana" w:hAnsi="Verdana"/>
          <w:sz w:val="16"/>
          <w:szCs w:val="16"/>
          <w:lang w:val="es-ES"/>
        </w:rPr>
        <w:tab/>
        <w:t>De acuerdo a lo señalado por el Estado en sus alegatos finales escritos</w:t>
      </w:r>
      <w:r w:rsidR="00C007C1">
        <w:rPr>
          <w:rFonts w:ascii="Verdana" w:hAnsi="Verdana"/>
          <w:sz w:val="16"/>
          <w:szCs w:val="16"/>
          <w:lang w:val="es-ES"/>
        </w:rPr>
        <w:t>,</w:t>
      </w:r>
      <w:r w:rsidR="00823121">
        <w:rPr>
          <w:rFonts w:ascii="Verdana" w:hAnsi="Verdana"/>
          <w:sz w:val="16"/>
          <w:szCs w:val="16"/>
          <w:lang w:val="es-ES"/>
        </w:rPr>
        <w:t xml:space="preserve"> </w:t>
      </w:r>
      <w:r w:rsidR="00823121" w:rsidRPr="00D835F5">
        <w:rPr>
          <w:rFonts w:ascii="Verdana" w:hAnsi="Verdana"/>
          <w:sz w:val="16"/>
          <w:szCs w:val="16"/>
          <w:lang w:val="es-ES"/>
        </w:rPr>
        <w:t xml:space="preserve">y </w:t>
      </w:r>
      <w:r w:rsidR="00C007C1">
        <w:rPr>
          <w:rFonts w:ascii="Verdana" w:hAnsi="Verdana"/>
          <w:sz w:val="16"/>
          <w:szCs w:val="16"/>
          <w:lang w:val="es-ES"/>
        </w:rPr>
        <w:t xml:space="preserve">el </w:t>
      </w:r>
      <w:r w:rsidR="00823121" w:rsidRPr="00D835F5">
        <w:rPr>
          <w:rFonts w:ascii="Verdana" w:hAnsi="Verdana"/>
          <w:sz w:val="16"/>
          <w:szCs w:val="16"/>
          <w:lang w:val="es-ES"/>
        </w:rPr>
        <w:t xml:space="preserve">Juzgado Octavo </w:t>
      </w:r>
      <w:r w:rsidR="00DF4F35" w:rsidRPr="00D835F5">
        <w:rPr>
          <w:rFonts w:ascii="Verdana" w:hAnsi="Verdana"/>
          <w:sz w:val="16"/>
          <w:szCs w:val="16"/>
          <w:lang w:val="es-ES"/>
        </w:rPr>
        <w:t xml:space="preserve">Instrucción </w:t>
      </w:r>
      <w:r w:rsidR="00D835F5" w:rsidRPr="00D835F5">
        <w:rPr>
          <w:rFonts w:ascii="Verdana" w:hAnsi="Verdana"/>
          <w:sz w:val="16"/>
          <w:szCs w:val="16"/>
          <w:lang w:val="es-ES"/>
        </w:rPr>
        <w:t xml:space="preserve">en </w:t>
      </w:r>
      <w:r w:rsidR="00823121" w:rsidRPr="00D835F5">
        <w:rPr>
          <w:rFonts w:ascii="Verdana" w:hAnsi="Verdana"/>
          <w:sz w:val="16"/>
          <w:szCs w:val="16"/>
          <w:lang w:val="es-ES"/>
        </w:rPr>
        <w:t xml:space="preserve">lo Penal Cautelar, </w:t>
      </w:r>
      <w:r w:rsidR="0018321B" w:rsidRPr="00D835F5">
        <w:rPr>
          <w:rFonts w:ascii="Verdana" w:hAnsi="Verdana"/>
          <w:sz w:val="16"/>
          <w:szCs w:val="16"/>
          <w:lang w:val="es-ES"/>
        </w:rPr>
        <w:t xml:space="preserve">dentro del </w:t>
      </w:r>
      <w:r w:rsidR="00823121" w:rsidRPr="00D835F5">
        <w:rPr>
          <w:rFonts w:ascii="Verdana" w:hAnsi="Verdana"/>
          <w:sz w:val="16"/>
          <w:szCs w:val="16"/>
          <w:lang w:val="es-ES"/>
        </w:rPr>
        <w:t>proceso No. 6441/09</w:t>
      </w:r>
      <w:r w:rsidR="0018321B" w:rsidRPr="00D835F5">
        <w:rPr>
          <w:rFonts w:ascii="Verdana" w:hAnsi="Verdana"/>
          <w:sz w:val="16"/>
          <w:szCs w:val="16"/>
          <w:lang w:val="es-ES"/>
        </w:rPr>
        <w:t xml:space="preserve"> que sigue el Ministerio Público a instancia de oficio contra Luis Arce Gómez y otros por el delito</w:t>
      </w:r>
      <w:r w:rsidR="0018321B" w:rsidRPr="0018321B">
        <w:rPr>
          <w:rFonts w:ascii="Verdana" w:hAnsi="Verdana"/>
          <w:sz w:val="16"/>
          <w:szCs w:val="16"/>
          <w:lang w:val="es-ES"/>
        </w:rPr>
        <w:t xml:space="preserve"> de desaparición forzada de personas, Informe de la Fiscalía Especializada en delitos de trata y tráfico de personas de La Paz, 3 de febrero de 2022</w:t>
      </w:r>
      <w:r w:rsidR="00823121" w:rsidRPr="0018321B">
        <w:rPr>
          <w:rFonts w:ascii="Verdana" w:hAnsi="Verdana"/>
          <w:sz w:val="16"/>
          <w:szCs w:val="16"/>
          <w:lang w:val="es-ES"/>
        </w:rPr>
        <w:t xml:space="preserve"> (expediente de prueba, fs. 9284 a 9286)</w:t>
      </w:r>
      <w:r w:rsidRPr="0018321B">
        <w:rPr>
          <w:rFonts w:ascii="Verdana" w:hAnsi="Verdana"/>
          <w:sz w:val="16"/>
          <w:szCs w:val="16"/>
          <w:lang w:val="es-ES"/>
        </w:rPr>
        <w:t>.</w:t>
      </w:r>
    </w:p>
  </w:footnote>
  <w:footnote w:id="101">
    <w:p w14:paraId="24F97DEE" w14:textId="77777777" w:rsidR="007B594B" w:rsidRPr="007C693A" w:rsidRDefault="007B594B" w:rsidP="007B594B">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DB0202">
        <w:rPr>
          <w:rFonts w:ascii="Verdana" w:hAnsi="Verdana"/>
          <w:sz w:val="16"/>
          <w:szCs w:val="16"/>
          <w:lang w:val="es-ES"/>
        </w:rPr>
        <w:t>Artículos 3, 4, 5, 7 y 1.1</w:t>
      </w:r>
      <w:r w:rsidRPr="00DB0202">
        <w:rPr>
          <w:rFonts w:ascii="Verdana" w:hAnsi="Verdana"/>
          <w:i/>
          <w:sz w:val="16"/>
          <w:szCs w:val="16"/>
          <w:lang w:val="es-ES"/>
        </w:rPr>
        <w:t xml:space="preserve"> </w:t>
      </w:r>
      <w:r w:rsidRPr="00DB0202">
        <w:rPr>
          <w:rFonts w:ascii="Verdana" w:hAnsi="Verdana"/>
          <w:iCs/>
          <w:sz w:val="16"/>
          <w:szCs w:val="16"/>
          <w:lang w:val="es-ES"/>
        </w:rPr>
        <w:t>de la Convención Americana, respectivamente</w:t>
      </w:r>
      <w:r w:rsidRPr="00DB0202">
        <w:rPr>
          <w:rFonts w:ascii="Verdana" w:hAnsi="Verdana"/>
          <w:sz w:val="16"/>
          <w:szCs w:val="16"/>
          <w:lang w:val="es-ES"/>
        </w:rPr>
        <w:t>.</w:t>
      </w:r>
    </w:p>
  </w:footnote>
  <w:footnote w:id="102">
    <w:p w14:paraId="1260CC7C" w14:textId="77777777" w:rsidR="007B594B" w:rsidRPr="007C693A" w:rsidRDefault="007B594B" w:rsidP="007B594B">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 xml:space="preserve">Cfr. </w:t>
      </w:r>
      <w:r w:rsidRPr="007C693A">
        <w:rPr>
          <w:rFonts w:ascii="Verdana" w:hAnsi="Verdana" w:cs="Open Sans"/>
          <w:i/>
          <w:sz w:val="16"/>
          <w:szCs w:val="16"/>
          <w:shd w:val="clear" w:color="auto" w:fill="FFFFFF"/>
          <w:lang w:val="es-ES"/>
        </w:rPr>
        <w:t>Caso Goiburú y otros Vs. Paraguay. Fondo, Reparaciones y Costas.</w:t>
      </w:r>
      <w:r w:rsidRPr="007C693A">
        <w:rPr>
          <w:rFonts w:ascii="Verdana" w:hAnsi="Verdana" w:cs="Open Sans"/>
          <w:sz w:val="16"/>
          <w:szCs w:val="16"/>
          <w:shd w:val="clear" w:color="auto" w:fill="FFFFFF"/>
          <w:lang w:val="es-ES"/>
        </w:rPr>
        <w:t xml:space="preserve"> Sentencia de 22 de septiembre de 2006. Serie C No. 153</w:t>
      </w:r>
      <w:r w:rsidRPr="007C693A">
        <w:rPr>
          <w:rFonts w:ascii="Verdana" w:hAnsi="Verdana"/>
          <w:sz w:val="16"/>
          <w:szCs w:val="16"/>
          <w:lang w:val="es-ES"/>
        </w:rPr>
        <w:t xml:space="preserve">, párr. 84, y </w:t>
      </w:r>
      <w:r w:rsidRPr="007373ED">
        <w:rPr>
          <w:rFonts w:ascii="Verdana" w:hAnsi="Verdana" w:cs="Open Sans"/>
          <w:i/>
          <w:iCs/>
          <w:sz w:val="16"/>
          <w:szCs w:val="16"/>
          <w:shd w:val="clear" w:color="auto" w:fill="FFFFFF"/>
          <w:lang w:val="es-ES"/>
        </w:rPr>
        <w:t>Caso Maidanik y otros Vs. Uruguay.</w:t>
      </w:r>
      <w:r>
        <w:rPr>
          <w:rFonts w:ascii="Verdana" w:hAnsi="Verdana" w:cs="Open Sans"/>
          <w:i/>
          <w:iCs/>
          <w:sz w:val="16"/>
          <w:szCs w:val="16"/>
          <w:shd w:val="clear" w:color="auto" w:fill="FFFFFF"/>
          <w:lang w:val="es-ES"/>
        </w:rPr>
        <w:t xml:space="preserve"> </w:t>
      </w:r>
      <w:r w:rsidRPr="007373ED">
        <w:rPr>
          <w:rFonts w:ascii="Verdana" w:hAnsi="Verdana" w:cs="Open Sans"/>
          <w:i/>
          <w:iCs/>
          <w:sz w:val="16"/>
          <w:szCs w:val="16"/>
          <w:shd w:val="clear" w:color="auto" w:fill="FFFFFF"/>
          <w:lang w:val="es-ES"/>
        </w:rPr>
        <w:t>Fondo y Reparaciones.</w:t>
      </w:r>
      <w:r>
        <w:rPr>
          <w:rFonts w:ascii="Verdana" w:hAnsi="Verdana" w:cs="Open Sans"/>
          <w:sz w:val="16"/>
          <w:szCs w:val="16"/>
          <w:shd w:val="clear" w:color="auto" w:fill="FFFFFF"/>
          <w:lang w:val="es-ES"/>
        </w:rPr>
        <w:t xml:space="preserve"> Sentencia de 15 de noviembre de 2021. Serie C No. 444, párr. 112.</w:t>
      </w:r>
    </w:p>
  </w:footnote>
  <w:footnote w:id="103">
    <w:p w14:paraId="26916D4B" w14:textId="77777777" w:rsidR="007B594B" w:rsidRPr="007C693A" w:rsidRDefault="007B594B" w:rsidP="007B594B">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 xml:space="preserve">Cfr. </w:t>
      </w:r>
      <w:r w:rsidRPr="007C693A">
        <w:rPr>
          <w:rFonts w:ascii="Verdana" w:hAnsi="Verdana" w:cs="Open Sans"/>
          <w:i/>
          <w:sz w:val="16"/>
          <w:szCs w:val="16"/>
          <w:shd w:val="clear" w:color="auto" w:fill="FFFFFF"/>
          <w:lang w:val="es-ES"/>
        </w:rPr>
        <w:t>Caso Gómez Palomino Vs. Perú. Fondo, Reparaciones y Costas</w:t>
      </w:r>
      <w:r w:rsidRPr="007C693A">
        <w:rPr>
          <w:rFonts w:ascii="Verdana" w:hAnsi="Verdana" w:cs="Open Sans"/>
          <w:sz w:val="16"/>
          <w:szCs w:val="16"/>
          <w:shd w:val="clear" w:color="auto" w:fill="FFFFFF"/>
          <w:lang w:val="es-ES"/>
        </w:rPr>
        <w:t>. Sentencia de 22 de noviembre de 2005. Serie C No. 136, párr. 97</w:t>
      </w:r>
      <w:r>
        <w:rPr>
          <w:rFonts w:ascii="Verdana" w:hAnsi="Verdana" w:cs="Open Sans"/>
          <w:sz w:val="16"/>
          <w:szCs w:val="16"/>
          <w:shd w:val="clear" w:color="auto" w:fill="FFFFFF"/>
          <w:lang w:val="es-ES"/>
        </w:rPr>
        <w:t>, y Caso</w:t>
      </w:r>
      <w:r w:rsidRPr="007373ED">
        <w:rPr>
          <w:rFonts w:ascii="Verdana" w:hAnsi="Verdana" w:cs="Open Sans"/>
          <w:i/>
          <w:iCs/>
          <w:sz w:val="16"/>
          <w:szCs w:val="16"/>
          <w:shd w:val="clear" w:color="auto" w:fill="FFFFFF"/>
          <w:lang w:val="es-ES"/>
        </w:rPr>
        <w:t xml:space="preserve"> Movilla Galarcio y otros Vs. Colombia. Fondo, Reparaciones y Costas</w:t>
      </w:r>
      <w:r>
        <w:rPr>
          <w:rFonts w:ascii="Verdana" w:hAnsi="Verdana" w:cs="Open Sans"/>
          <w:sz w:val="16"/>
          <w:szCs w:val="16"/>
          <w:shd w:val="clear" w:color="auto" w:fill="FFFFFF"/>
          <w:lang w:val="es-ES"/>
        </w:rPr>
        <w:t>. Sentencia de 22 de junio de 2022. Serie C No. 452, párr. 119.</w:t>
      </w:r>
    </w:p>
  </w:footnote>
  <w:footnote w:id="104">
    <w:p w14:paraId="341A8B39" w14:textId="1B7AA92B" w:rsidR="007B594B" w:rsidRPr="007C693A" w:rsidRDefault="007B594B" w:rsidP="007B594B">
      <w:pPr>
        <w:spacing w:before="60" w:after="60"/>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023994">
        <w:rPr>
          <w:rFonts w:ascii="Verdana" w:hAnsi="Verdana"/>
          <w:i/>
          <w:sz w:val="16"/>
          <w:szCs w:val="16"/>
          <w:lang w:val="es-ES"/>
        </w:rPr>
        <w:t>Cfr</w:t>
      </w:r>
      <w:r w:rsidRPr="00023994">
        <w:rPr>
          <w:rFonts w:ascii="Verdana" w:hAnsi="Verdana"/>
          <w:sz w:val="16"/>
          <w:szCs w:val="16"/>
          <w:lang w:val="es-ES"/>
        </w:rPr>
        <w:t xml:space="preserve">. </w:t>
      </w:r>
      <w:r w:rsidRPr="00023994">
        <w:rPr>
          <w:rFonts w:ascii="Verdana" w:hAnsi="Verdana"/>
          <w:i/>
          <w:sz w:val="16"/>
          <w:szCs w:val="16"/>
          <w:lang w:val="es-ES"/>
        </w:rPr>
        <w:t>Inter alia</w:t>
      </w:r>
      <w:r w:rsidRPr="00023994">
        <w:rPr>
          <w:rFonts w:ascii="Verdana" w:hAnsi="Verdana"/>
          <w:sz w:val="16"/>
          <w:szCs w:val="16"/>
          <w:lang w:val="es-ES"/>
        </w:rPr>
        <w:t xml:space="preserve">, </w:t>
      </w:r>
      <w:r w:rsidRPr="00023994">
        <w:rPr>
          <w:rFonts w:ascii="Verdana" w:hAnsi="Verdana"/>
          <w:i/>
          <w:sz w:val="16"/>
          <w:szCs w:val="16"/>
          <w:lang w:val="es-ES"/>
        </w:rPr>
        <w:t>Caso Velásquez Rodríguez Vs. Honduras. Fondo</w:t>
      </w:r>
      <w:r w:rsidRPr="00023994">
        <w:rPr>
          <w:rFonts w:ascii="Verdana" w:hAnsi="Verdana" w:cs="Arial"/>
          <w:sz w:val="16"/>
          <w:szCs w:val="16"/>
          <w:shd w:val="clear" w:color="auto" w:fill="FFFFFF"/>
          <w:lang w:val="es-ES"/>
        </w:rPr>
        <w:t xml:space="preserve">, </w:t>
      </w:r>
      <w:r w:rsidRPr="00023994">
        <w:rPr>
          <w:rFonts w:ascii="Verdana" w:hAnsi="Verdana" w:cs="Arial"/>
          <w:i/>
          <w:sz w:val="16"/>
          <w:szCs w:val="16"/>
          <w:shd w:val="clear" w:color="auto" w:fill="FFFFFF"/>
          <w:lang w:val="es-ES"/>
        </w:rPr>
        <w:t>supra</w:t>
      </w:r>
      <w:r w:rsidRPr="00023994">
        <w:rPr>
          <w:rFonts w:ascii="Verdana" w:hAnsi="Verdana" w:cs="Arial"/>
          <w:sz w:val="16"/>
          <w:szCs w:val="16"/>
          <w:shd w:val="clear" w:color="auto" w:fill="FFFFFF"/>
          <w:lang w:val="es-ES"/>
        </w:rPr>
        <w:t>,</w:t>
      </w:r>
      <w:r w:rsidRPr="00023994">
        <w:rPr>
          <w:rFonts w:ascii="Verdana" w:hAnsi="Verdana"/>
          <w:sz w:val="16"/>
          <w:szCs w:val="16"/>
          <w:lang w:val="es-ES"/>
        </w:rPr>
        <w:t xml:space="preserve"> párrs. 155 a 157</w:t>
      </w:r>
      <w:r>
        <w:rPr>
          <w:rFonts w:ascii="Verdana" w:hAnsi="Verdana"/>
          <w:sz w:val="16"/>
          <w:szCs w:val="16"/>
          <w:lang w:val="es-ES"/>
        </w:rPr>
        <w:t>, y</w:t>
      </w:r>
      <w:r w:rsidRPr="00023994">
        <w:rPr>
          <w:rFonts w:ascii="Verdana" w:hAnsi="Verdana"/>
          <w:color w:val="00B050"/>
          <w:sz w:val="16"/>
          <w:szCs w:val="16"/>
          <w:lang w:val="es-ES"/>
        </w:rPr>
        <w:t xml:space="preserve"> </w:t>
      </w:r>
      <w:r w:rsidRPr="00023994">
        <w:rPr>
          <w:rFonts w:ascii="Verdana" w:hAnsi="Verdana" w:cs="Arial"/>
          <w:i/>
          <w:sz w:val="16"/>
          <w:szCs w:val="16"/>
          <w:shd w:val="clear" w:color="auto" w:fill="FFFFFF"/>
          <w:lang w:val="es-ES"/>
        </w:rPr>
        <w:t xml:space="preserve">Caso Masacre de la Aldea Los Josefinos Vs. Guatemala. Excepción Preliminar, Fondo, Reparaciones y Costas. </w:t>
      </w:r>
      <w:r w:rsidRPr="00023994">
        <w:rPr>
          <w:rFonts w:ascii="Verdana" w:hAnsi="Verdana" w:cs="Arial"/>
          <w:sz w:val="16"/>
          <w:szCs w:val="16"/>
          <w:shd w:val="clear" w:color="auto" w:fill="FFFFFF"/>
          <w:lang w:val="es-ES"/>
        </w:rPr>
        <w:t xml:space="preserve">Sentencia de 3 de noviembre de 2021. Serie C No. 442, párr. </w:t>
      </w:r>
      <w:r w:rsidR="00584616">
        <w:rPr>
          <w:rFonts w:ascii="Verdana" w:hAnsi="Verdana" w:cs="Arial"/>
          <w:sz w:val="16"/>
          <w:szCs w:val="16"/>
          <w:shd w:val="clear" w:color="auto" w:fill="FFFFFF"/>
          <w:lang w:val="es-ES"/>
        </w:rPr>
        <w:t>69</w:t>
      </w:r>
      <w:r w:rsidRPr="007373ED">
        <w:rPr>
          <w:rFonts w:ascii="Verdana" w:hAnsi="Verdana"/>
          <w:sz w:val="16"/>
          <w:szCs w:val="16"/>
          <w:lang w:val="es-ES"/>
        </w:rPr>
        <w:t>.</w:t>
      </w:r>
    </w:p>
  </w:footnote>
  <w:footnote w:id="105">
    <w:p w14:paraId="795BCD4A" w14:textId="2BF8848D" w:rsidR="007B594B" w:rsidRPr="007C693A" w:rsidRDefault="007B594B" w:rsidP="007B594B">
      <w:pPr>
        <w:spacing w:before="60" w:after="60"/>
        <w:jc w:val="both"/>
        <w:rPr>
          <w:rFonts w:ascii="Verdana" w:hAnsi="Verdana"/>
          <w:strike/>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00CC6BF7" w:rsidRPr="00BB7208">
        <w:rPr>
          <w:rFonts w:ascii="Verdana" w:hAnsi="Verdana"/>
          <w:i/>
          <w:iCs/>
          <w:sz w:val="16"/>
          <w:szCs w:val="16"/>
          <w:lang w:val="es-ES"/>
        </w:rPr>
        <w:t>Cfr. Caso Maidanik y otros Vs. Paraguay,</w:t>
      </w:r>
      <w:r w:rsidR="00CC6BF7">
        <w:rPr>
          <w:rFonts w:ascii="Verdana" w:hAnsi="Verdana"/>
          <w:sz w:val="16"/>
          <w:szCs w:val="16"/>
          <w:lang w:val="es-ES"/>
        </w:rPr>
        <w:t xml:space="preserve"> </w:t>
      </w:r>
      <w:r w:rsidR="00CC6BF7" w:rsidRPr="00BB7208">
        <w:rPr>
          <w:rFonts w:ascii="Verdana" w:hAnsi="Verdana"/>
          <w:i/>
          <w:iCs/>
          <w:sz w:val="16"/>
          <w:szCs w:val="16"/>
          <w:lang w:val="es-ES"/>
        </w:rPr>
        <w:t>supra</w:t>
      </w:r>
      <w:r w:rsidR="00CC6BF7">
        <w:rPr>
          <w:rFonts w:ascii="Verdana" w:hAnsi="Verdana"/>
          <w:sz w:val="16"/>
          <w:szCs w:val="16"/>
          <w:lang w:val="es-ES"/>
        </w:rPr>
        <w:t xml:space="preserve">, párrs. </w:t>
      </w:r>
      <w:r w:rsidR="00CC6BF7" w:rsidRPr="00CC6BF7">
        <w:rPr>
          <w:rFonts w:ascii="Verdana" w:hAnsi="Verdana"/>
          <w:sz w:val="16"/>
          <w:szCs w:val="16"/>
          <w:lang w:val="es-ES"/>
        </w:rPr>
        <w:t xml:space="preserve">113 y 114. </w:t>
      </w:r>
      <w:r w:rsidRPr="00CC6BF7">
        <w:rPr>
          <w:rFonts w:ascii="Verdana" w:hAnsi="Verdana"/>
          <w:sz w:val="16"/>
          <w:szCs w:val="16"/>
          <w:lang w:val="es-ES"/>
        </w:rPr>
        <w:t xml:space="preserve">Esa caracterización deriva no solo de la definición del artículo III de la CIDFP, sino de diferentes instrumentos internacionales. Véase, ONU, </w:t>
      </w:r>
      <w:r w:rsidRPr="00CC6BF7">
        <w:rPr>
          <w:rFonts w:ascii="Verdana" w:hAnsi="Verdana"/>
          <w:i/>
          <w:iCs/>
          <w:sz w:val="16"/>
          <w:szCs w:val="16"/>
          <w:lang w:val="es-ES"/>
        </w:rPr>
        <w:t>Declaración sobre la Protección de Todas las Personas contra las Desapariciones Forzadas</w:t>
      </w:r>
      <w:r w:rsidRPr="00CC6BF7">
        <w:rPr>
          <w:rFonts w:ascii="Verdana" w:hAnsi="Verdana"/>
          <w:sz w:val="16"/>
          <w:szCs w:val="16"/>
          <w:lang w:val="es-ES"/>
        </w:rPr>
        <w:t>, Asamblea General de las Naciones Unidas. Resolución 47/133,18 de diciembre 1992, art. 1, 4 y 17, y ONU. Convención Internacional para la Protección de Todas las Personas contra las Desapariciones Forzadas, adoptada por la Asamblea General de las Naciones Unidas el 20 de diciembre de 2006, arts. 2 y 8.</w:t>
      </w:r>
      <w:r w:rsidRPr="00CC6BF7">
        <w:rPr>
          <w:rFonts w:ascii="Verdana" w:hAnsi="Verdana"/>
          <w:color w:val="00B050"/>
          <w:sz w:val="16"/>
          <w:szCs w:val="16"/>
          <w:lang w:val="es-ES"/>
        </w:rPr>
        <w:t xml:space="preserve"> </w:t>
      </w:r>
    </w:p>
  </w:footnote>
  <w:footnote w:id="106">
    <w:p w14:paraId="51DF89F1" w14:textId="74BC7ED9" w:rsidR="007B594B" w:rsidRPr="007373ED" w:rsidRDefault="007B594B" w:rsidP="007B594B">
      <w:pPr>
        <w:jc w:val="both"/>
        <w:rPr>
          <w:rFonts w:ascii="Verdana" w:hAnsi="Verdana"/>
          <w:sz w:val="16"/>
          <w:szCs w:val="16"/>
          <w:lang w:val="es-ES"/>
        </w:rPr>
      </w:pPr>
      <w:r w:rsidRPr="00DC276B">
        <w:rPr>
          <w:rStyle w:val="Refdenotaalpie"/>
        </w:rPr>
        <w:footnoteRef/>
      </w:r>
      <w:r w:rsidRPr="007373ED">
        <w:rPr>
          <w:rFonts w:ascii="Verdana" w:hAnsi="Verdana"/>
          <w:sz w:val="16"/>
          <w:szCs w:val="16"/>
          <w:lang w:val="es-ES"/>
        </w:rPr>
        <w:t xml:space="preserve"> </w:t>
      </w:r>
      <w:r w:rsidRPr="007373ED">
        <w:rPr>
          <w:rFonts w:ascii="Verdana" w:hAnsi="Verdana"/>
          <w:sz w:val="16"/>
          <w:szCs w:val="16"/>
          <w:lang w:val="es-ES"/>
        </w:rPr>
        <w:tab/>
      </w:r>
      <w:r w:rsidRPr="007373ED">
        <w:rPr>
          <w:rFonts w:ascii="Verdana" w:hAnsi="Verdana"/>
          <w:i/>
          <w:iCs/>
          <w:sz w:val="16"/>
          <w:szCs w:val="16"/>
          <w:lang w:val="es-ES"/>
        </w:rPr>
        <w:t>Cfr</w:t>
      </w:r>
      <w:r w:rsidRPr="007373ED">
        <w:rPr>
          <w:rFonts w:ascii="Verdana" w:hAnsi="Verdana"/>
          <w:sz w:val="16"/>
          <w:szCs w:val="16"/>
          <w:lang w:val="es-ES"/>
        </w:rPr>
        <w:t xml:space="preserve">. TEDH, </w:t>
      </w:r>
      <w:r w:rsidRPr="007373ED">
        <w:rPr>
          <w:rFonts w:ascii="Verdana" w:hAnsi="Verdana"/>
          <w:i/>
          <w:iCs/>
          <w:sz w:val="16"/>
          <w:szCs w:val="16"/>
          <w:lang w:val="es-ES"/>
        </w:rPr>
        <w:t>Caso Kurt Vs. Turquía</w:t>
      </w:r>
      <w:r w:rsidRPr="007373ED">
        <w:rPr>
          <w:rFonts w:ascii="Verdana" w:hAnsi="Verdana"/>
          <w:sz w:val="16"/>
          <w:szCs w:val="16"/>
          <w:lang w:val="es-ES"/>
        </w:rPr>
        <w:t xml:space="preserve">, No. 15/1997/799/1002. Sentencia de 25 de mayo de 1998, párr. 124; </w:t>
      </w:r>
      <w:r w:rsidRPr="007373ED">
        <w:rPr>
          <w:rFonts w:ascii="Verdana" w:hAnsi="Verdana"/>
          <w:i/>
          <w:iCs/>
          <w:sz w:val="16"/>
          <w:szCs w:val="16"/>
          <w:lang w:val="es-ES"/>
        </w:rPr>
        <w:t>Caso Chipre Vs. Turquía</w:t>
      </w:r>
      <w:r w:rsidRPr="007373ED">
        <w:rPr>
          <w:rFonts w:ascii="Verdana" w:hAnsi="Verdana"/>
          <w:sz w:val="16"/>
          <w:szCs w:val="16"/>
          <w:lang w:val="es-ES"/>
        </w:rPr>
        <w:t xml:space="preserve"> [GS], No. 25781/94. Sentencia de 10 de mayo de 2001, párrs. 132 a 134 y 147; </w:t>
      </w:r>
      <w:r w:rsidRPr="007373ED">
        <w:rPr>
          <w:rFonts w:ascii="Verdana" w:hAnsi="Verdana"/>
          <w:i/>
          <w:iCs/>
          <w:sz w:val="16"/>
          <w:szCs w:val="16"/>
          <w:lang w:val="es-ES"/>
        </w:rPr>
        <w:t>Caso Varnava y otros Vs. Turquía</w:t>
      </w:r>
      <w:r w:rsidRPr="007373ED">
        <w:rPr>
          <w:rFonts w:ascii="Verdana" w:hAnsi="Verdana"/>
          <w:sz w:val="16"/>
          <w:szCs w:val="16"/>
          <w:lang w:val="es-ES"/>
        </w:rPr>
        <w:t xml:space="preserve"> [GS], No. 16064/90, 16065/90, 16066/90, 16068/90, 16069/90, 16070/90, 16071/90, 16072/90 y 16073/90. Sentencia de 18 de septiembre de 2009, párrs. 111 a 113, 117, 118, 133, 138 y 145; </w:t>
      </w:r>
      <w:r w:rsidRPr="007373ED">
        <w:rPr>
          <w:rFonts w:ascii="Verdana" w:hAnsi="Verdana"/>
          <w:i/>
          <w:iCs/>
          <w:sz w:val="16"/>
          <w:szCs w:val="16"/>
          <w:lang w:val="es-ES"/>
        </w:rPr>
        <w:t>Caso El-Masri Vs. Ex República</w:t>
      </w:r>
      <w:r>
        <w:rPr>
          <w:rFonts w:ascii="Verdana" w:hAnsi="Verdana"/>
          <w:i/>
          <w:iCs/>
          <w:sz w:val="16"/>
          <w:szCs w:val="16"/>
          <w:lang w:val="es-ES"/>
        </w:rPr>
        <w:t xml:space="preserve"> </w:t>
      </w:r>
      <w:r w:rsidRPr="007373ED">
        <w:rPr>
          <w:rFonts w:ascii="Verdana" w:hAnsi="Verdana"/>
          <w:i/>
          <w:iCs/>
          <w:sz w:val="16"/>
          <w:szCs w:val="16"/>
          <w:lang w:val="es-ES"/>
        </w:rPr>
        <w:t xml:space="preserve">Yugoslava de Macedonia </w:t>
      </w:r>
      <w:r w:rsidRPr="007373ED">
        <w:rPr>
          <w:rFonts w:ascii="Verdana" w:hAnsi="Verdana"/>
          <w:sz w:val="16"/>
          <w:szCs w:val="16"/>
          <w:lang w:val="es-ES"/>
        </w:rPr>
        <w:t xml:space="preserve">[GS], No. 39630/09. Sentencia de 13 de diciembre de 2012, párrs. 240 y 241, y </w:t>
      </w:r>
      <w:r w:rsidRPr="007373ED">
        <w:rPr>
          <w:rFonts w:ascii="Verdana" w:hAnsi="Verdana"/>
          <w:i/>
          <w:iCs/>
          <w:sz w:val="16"/>
          <w:szCs w:val="16"/>
          <w:lang w:val="es-ES"/>
        </w:rPr>
        <w:t>Caso Aslakhanova y otros Vs. Rusia</w:t>
      </w:r>
      <w:r w:rsidRPr="007373ED">
        <w:rPr>
          <w:rFonts w:ascii="Verdana" w:hAnsi="Verdana"/>
          <w:sz w:val="16"/>
          <w:szCs w:val="16"/>
          <w:lang w:val="es-ES"/>
        </w:rPr>
        <w:t>, No. 2944/06, 8300/07, 50184/07, 332/08 y 42509/10. Sentencia de 18 de diciembre de 2012, párr</w:t>
      </w:r>
      <w:r w:rsidR="00470238">
        <w:rPr>
          <w:rFonts w:ascii="Verdana" w:hAnsi="Verdana"/>
          <w:sz w:val="16"/>
          <w:szCs w:val="16"/>
          <w:lang w:val="es-ES"/>
        </w:rPr>
        <w:t>s</w:t>
      </w:r>
      <w:r w:rsidRPr="007373ED">
        <w:rPr>
          <w:rFonts w:ascii="Verdana" w:hAnsi="Verdana"/>
          <w:sz w:val="16"/>
          <w:szCs w:val="16"/>
          <w:lang w:val="es-ES"/>
        </w:rPr>
        <w:t xml:space="preserve">. 122, 131 y 132. </w:t>
      </w:r>
    </w:p>
  </w:footnote>
  <w:footnote w:id="107">
    <w:p w14:paraId="07BBB859" w14:textId="3E1AC9E7" w:rsidR="007B594B" w:rsidRPr="007373ED" w:rsidRDefault="007B594B" w:rsidP="007B594B">
      <w:pPr>
        <w:spacing w:before="60"/>
        <w:jc w:val="both"/>
        <w:rPr>
          <w:rFonts w:ascii="Verdana" w:hAnsi="Verdana"/>
          <w:sz w:val="16"/>
          <w:szCs w:val="16"/>
          <w:lang w:val="es-ES"/>
        </w:rPr>
      </w:pPr>
      <w:r w:rsidRPr="008A192E">
        <w:rPr>
          <w:rStyle w:val="Refdenotaalpie"/>
        </w:rPr>
        <w:footnoteRef/>
      </w:r>
      <w:r w:rsidRPr="007373ED">
        <w:rPr>
          <w:rFonts w:ascii="Verdana" w:hAnsi="Verdana"/>
          <w:sz w:val="16"/>
          <w:szCs w:val="16"/>
          <w:lang w:val="es-ES"/>
        </w:rPr>
        <w:t xml:space="preserve"> </w:t>
      </w:r>
      <w:r w:rsidRPr="007373ED">
        <w:rPr>
          <w:rFonts w:ascii="Verdana" w:hAnsi="Verdana"/>
          <w:sz w:val="16"/>
          <w:szCs w:val="16"/>
          <w:lang w:val="es-ES"/>
        </w:rPr>
        <w:tab/>
      </w:r>
      <w:r w:rsidRPr="007373ED">
        <w:rPr>
          <w:rFonts w:ascii="Verdana" w:hAnsi="Verdana"/>
          <w:i/>
          <w:iCs/>
          <w:sz w:val="16"/>
          <w:szCs w:val="16"/>
          <w:lang w:val="es-ES"/>
        </w:rPr>
        <w:t>Cfr</w:t>
      </w:r>
      <w:r w:rsidRPr="007373ED">
        <w:rPr>
          <w:rFonts w:ascii="Verdana" w:hAnsi="Verdana"/>
          <w:sz w:val="16"/>
          <w:szCs w:val="16"/>
          <w:lang w:val="es-ES"/>
        </w:rPr>
        <w:t xml:space="preserve">. Comisión de Derechos Humanos, Informe del Grupo de Trabajo sobre las Desapariciones Forzadas o Involuntarias, Observación General al artículo 4 de la Declaración sobre la Protección de Todas las Personas contra las Desapariciones Forzadas, 15 de enero de 1996, U.N. Doc. E/CN. 4/1996/38, párr. 55; Comisión de Derechos Humanos, Informe presentado por Manfred Nowak, Experto independiente encargado de examinar el marco internacional existente en materia penal y de derechos humanos para la protección de las personas contra las desapariciones forzadas o involuntarias, de conformidad con el párrafo 11 de la resolución 2001/46 de la Comisión de Derechos Humanos. </w:t>
      </w:r>
      <w:r w:rsidRPr="008A192E">
        <w:rPr>
          <w:rFonts w:ascii="Verdana" w:hAnsi="Verdana"/>
          <w:sz w:val="16"/>
          <w:szCs w:val="16"/>
          <w:lang w:val="es-ES"/>
        </w:rPr>
        <w:t xml:space="preserve">U.N. </w:t>
      </w:r>
      <w:r w:rsidRPr="007373ED">
        <w:rPr>
          <w:rFonts w:ascii="Verdana" w:hAnsi="Verdana"/>
          <w:sz w:val="16"/>
          <w:szCs w:val="16"/>
          <w:lang w:val="es-ES"/>
        </w:rPr>
        <w:t>Doc. E/CN.4/2002/71, 8 de enero de 2002, párrs. 84 y 89; Consejo de Derechos Humanos, Informe del Grupo de Trabajo sobre las Desapariciones Forzadas o Involuntarias, Comentario general sobre la desaparición forzada como delito continuado</w:t>
      </w:r>
      <w:r>
        <w:rPr>
          <w:rFonts w:ascii="Verdana" w:hAnsi="Verdana"/>
          <w:sz w:val="16"/>
          <w:szCs w:val="16"/>
          <w:lang w:val="es-ES"/>
        </w:rPr>
        <w:t>,</w:t>
      </w:r>
      <w:r w:rsidRPr="007373ED">
        <w:rPr>
          <w:rFonts w:ascii="Verdana" w:hAnsi="Verdana"/>
          <w:sz w:val="16"/>
          <w:szCs w:val="16"/>
          <w:lang w:val="es-ES"/>
        </w:rPr>
        <w:t xml:space="preserve"> </w:t>
      </w:r>
      <w:r w:rsidRPr="008A192E">
        <w:rPr>
          <w:rFonts w:ascii="Verdana" w:hAnsi="Verdana"/>
          <w:sz w:val="16"/>
          <w:szCs w:val="16"/>
          <w:lang w:val="es-ES"/>
        </w:rPr>
        <w:t xml:space="preserve">U.N. </w:t>
      </w:r>
      <w:r w:rsidRPr="007373ED">
        <w:rPr>
          <w:rFonts w:ascii="Verdana" w:hAnsi="Verdana"/>
          <w:sz w:val="16"/>
          <w:szCs w:val="16"/>
          <w:lang w:val="es-ES"/>
        </w:rPr>
        <w:t>Doc. A/HRC/16/48, 26 de enero de 2011, párr. 39</w:t>
      </w:r>
      <w:r>
        <w:rPr>
          <w:rFonts w:ascii="Verdana" w:hAnsi="Verdana"/>
          <w:sz w:val="16"/>
          <w:szCs w:val="16"/>
          <w:lang w:val="es-ES"/>
        </w:rPr>
        <w:t>.</w:t>
      </w:r>
      <w:r w:rsidRPr="007373ED">
        <w:rPr>
          <w:rFonts w:ascii="Verdana" w:hAnsi="Verdana"/>
          <w:sz w:val="16"/>
          <w:szCs w:val="16"/>
          <w:lang w:val="es-ES"/>
        </w:rPr>
        <w:t xml:space="preserve"> Comité de Derechos Humanos, </w:t>
      </w:r>
      <w:r w:rsidRPr="007373ED">
        <w:rPr>
          <w:rFonts w:ascii="Verdana" w:hAnsi="Verdana"/>
          <w:i/>
          <w:iCs/>
          <w:sz w:val="16"/>
          <w:szCs w:val="16"/>
          <w:lang w:val="es-ES"/>
        </w:rPr>
        <w:t>inter alia</w:t>
      </w:r>
      <w:r w:rsidRPr="007373ED">
        <w:rPr>
          <w:rFonts w:ascii="Verdana" w:hAnsi="Verdana"/>
          <w:sz w:val="16"/>
          <w:szCs w:val="16"/>
          <w:lang w:val="es-ES"/>
        </w:rPr>
        <w:t xml:space="preserve">, Gyan Devi Bolakhe Vs. Nepal, U.N. Doc. CCPR/C/123/D/2658/2015, Comunicación No. 2658/2015, </w:t>
      </w:r>
      <w:r w:rsidRPr="008A192E">
        <w:rPr>
          <w:rFonts w:ascii="Verdana" w:hAnsi="Verdana"/>
          <w:sz w:val="16"/>
          <w:szCs w:val="16"/>
          <w:lang w:val="es-ES"/>
        </w:rPr>
        <w:t>8</w:t>
      </w:r>
      <w:r w:rsidRPr="007373ED">
        <w:rPr>
          <w:rFonts w:ascii="Verdana" w:hAnsi="Verdana"/>
          <w:sz w:val="16"/>
          <w:szCs w:val="16"/>
          <w:lang w:val="es-ES"/>
        </w:rPr>
        <w:t xml:space="preserve"> de </w:t>
      </w:r>
      <w:r w:rsidRPr="008A192E">
        <w:rPr>
          <w:rFonts w:ascii="Verdana" w:hAnsi="Verdana"/>
          <w:sz w:val="16"/>
          <w:szCs w:val="16"/>
          <w:lang w:val="es-ES"/>
        </w:rPr>
        <w:t>agosto</w:t>
      </w:r>
      <w:r w:rsidRPr="007373ED">
        <w:rPr>
          <w:rFonts w:ascii="Verdana" w:hAnsi="Verdana"/>
          <w:sz w:val="16"/>
          <w:szCs w:val="16"/>
          <w:lang w:val="es-ES"/>
        </w:rPr>
        <w:t xml:space="preserve"> de 2018, párrs. 7.7, 7.8, 7.15 y 7.18; Tikanath y Ramhari Kandel Vs. Nepal, U.N. Doc. CCPR/C/126/D/2560/2015, Comunicación No. 2560/2015, 16 de agosto de 2019, párrs. 7.7, 7.8 y 7.13; Midiam Iricelda Valdez Cantú y María Hortensia Rivas Rodríguez Vs. México, U.N. Doc. CCPR/C/127/D/2766/2016, Comunicación No. 2766/2016, 23 de diciembre de 2019, párrs. 12.5, 12.7, 12.8, y 12.10, y Malika y Merouane Bendjael Vs. Argelia, U.N. Doc. CCPR/C/128/D/2893/2016, Comunicación No. 2893/2016, 3 de noviembre de 2020, párrs. 8.4 a 8.6 y 8.12</w:t>
      </w:r>
      <w:r>
        <w:rPr>
          <w:rFonts w:ascii="Verdana" w:hAnsi="Verdana"/>
          <w:i/>
          <w:iCs/>
          <w:sz w:val="16"/>
          <w:szCs w:val="16"/>
          <w:lang w:val="es-ES"/>
        </w:rPr>
        <w:t>.</w:t>
      </w:r>
      <w:r w:rsidR="00236CB2">
        <w:rPr>
          <w:rFonts w:ascii="Verdana" w:hAnsi="Verdana"/>
          <w:i/>
          <w:iCs/>
          <w:sz w:val="16"/>
          <w:szCs w:val="16"/>
          <w:lang w:val="es-ES"/>
        </w:rPr>
        <w:t xml:space="preserve"> Cfr.</w:t>
      </w:r>
      <w:r w:rsidR="009C331C">
        <w:rPr>
          <w:rFonts w:ascii="Verdana" w:hAnsi="Verdana"/>
          <w:i/>
          <w:iCs/>
          <w:sz w:val="16"/>
          <w:szCs w:val="16"/>
          <w:lang w:val="es-ES"/>
        </w:rPr>
        <w:t xml:space="preserve"> </w:t>
      </w:r>
      <w:r w:rsidRPr="007C693A">
        <w:rPr>
          <w:rFonts w:ascii="Verdana" w:hAnsi="Verdana" w:cs="Arial"/>
          <w:i/>
          <w:sz w:val="16"/>
          <w:szCs w:val="16"/>
          <w:shd w:val="clear" w:color="auto" w:fill="FFFFFF"/>
          <w:lang w:val="es-ES"/>
        </w:rPr>
        <w:t>Caso Masacre de la Aldea Los Josefinos Vs. Guatemala</w:t>
      </w:r>
      <w:r w:rsidR="009C331C">
        <w:rPr>
          <w:rFonts w:ascii="Verdana" w:hAnsi="Verdana" w:cs="Arial"/>
          <w:i/>
          <w:sz w:val="16"/>
          <w:szCs w:val="16"/>
          <w:shd w:val="clear" w:color="auto" w:fill="FFFFFF"/>
          <w:lang w:val="es-ES"/>
        </w:rPr>
        <w:t>, supra</w:t>
      </w:r>
      <w:r w:rsidRPr="007C693A">
        <w:rPr>
          <w:rFonts w:ascii="Verdana" w:hAnsi="Verdana" w:cs="Arial"/>
          <w:sz w:val="16"/>
          <w:szCs w:val="16"/>
          <w:shd w:val="clear" w:color="auto" w:fill="FFFFFF"/>
          <w:lang w:val="es-ES"/>
        </w:rPr>
        <w:t xml:space="preserve">, párr. </w:t>
      </w:r>
      <w:r>
        <w:rPr>
          <w:rFonts w:ascii="Verdana" w:hAnsi="Verdana" w:cs="Arial"/>
          <w:sz w:val="16"/>
          <w:szCs w:val="16"/>
          <w:shd w:val="clear" w:color="auto" w:fill="FFFFFF"/>
          <w:lang w:val="es-ES"/>
        </w:rPr>
        <w:t>69</w:t>
      </w:r>
      <w:r w:rsidRPr="007C693A">
        <w:rPr>
          <w:rFonts w:ascii="Verdana" w:hAnsi="Verdana" w:cs="Arial"/>
          <w:sz w:val="16"/>
          <w:szCs w:val="16"/>
          <w:shd w:val="clear" w:color="auto" w:fill="FFFFFF"/>
          <w:lang w:val="es-ES"/>
        </w:rPr>
        <w:t>.</w:t>
      </w:r>
    </w:p>
  </w:footnote>
  <w:footnote w:id="108">
    <w:p w14:paraId="479BE0FC" w14:textId="5C8004E4" w:rsidR="007B594B" w:rsidRPr="007C693A" w:rsidRDefault="007B594B" w:rsidP="007B594B">
      <w:pPr>
        <w:jc w:val="both"/>
        <w:rPr>
          <w:rFonts w:ascii="Verdana" w:hAnsi="Verdana"/>
          <w:sz w:val="16"/>
          <w:szCs w:val="16"/>
          <w:lang w:val="es-CR"/>
        </w:rPr>
      </w:pPr>
      <w:r w:rsidRPr="007964BB">
        <w:rPr>
          <w:rStyle w:val="Refdenotaalpie"/>
        </w:rPr>
        <w:footnoteRef/>
      </w:r>
      <w:r w:rsidRPr="007373ED">
        <w:rPr>
          <w:rFonts w:ascii="Verdana" w:hAnsi="Verdana"/>
          <w:sz w:val="16"/>
          <w:szCs w:val="16"/>
          <w:lang w:val="es-ES"/>
        </w:rPr>
        <w:t xml:space="preserve"> </w:t>
      </w:r>
      <w:r w:rsidRPr="007373ED">
        <w:rPr>
          <w:rFonts w:ascii="Verdana" w:hAnsi="Verdana"/>
          <w:sz w:val="16"/>
          <w:szCs w:val="16"/>
          <w:lang w:val="es-ES"/>
        </w:rPr>
        <w:tab/>
      </w:r>
      <w:r w:rsidRPr="00BB7208">
        <w:rPr>
          <w:rFonts w:ascii="Verdana" w:hAnsi="Verdana"/>
          <w:i/>
          <w:iCs/>
          <w:sz w:val="16"/>
          <w:szCs w:val="16"/>
          <w:lang w:val="es-ES"/>
        </w:rPr>
        <w:t>Cfr.</w:t>
      </w:r>
      <w:r w:rsidR="002D16E1">
        <w:rPr>
          <w:rFonts w:ascii="Verdana" w:hAnsi="Verdana"/>
          <w:sz w:val="16"/>
          <w:szCs w:val="16"/>
          <w:lang w:val="es-ES"/>
        </w:rPr>
        <w:t>,</w:t>
      </w:r>
      <w:r w:rsidRPr="007373ED">
        <w:rPr>
          <w:rFonts w:ascii="Verdana" w:hAnsi="Verdana"/>
          <w:sz w:val="16"/>
          <w:szCs w:val="16"/>
          <w:lang w:val="es-ES"/>
        </w:rPr>
        <w:t xml:space="preserve"> </w:t>
      </w:r>
      <w:r w:rsidR="002D16E1">
        <w:rPr>
          <w:rFonts w:ascii="Verdana" w:hAnsi="Verdana"/>
          <w:i/>
          <w:iCs/>
          <w:sz w:val="16"/>
          <w:szCs w:val="16"/>
          <w:lang w:val="es-ES"/>
        </w:rPr>
        <w:t>i</w:t>
      </w:r>
      <w:r w:rsidRPr="007373ED">
        <w:rPr>
          <w:rFonts w:ascii="Verdana" w:hAnsi="Verdana"/>
          <w:i/>
          <w:iCs/>
          <w:sz w:val="16"/>
          <w:szCs w:val="16"/>
          <w:lang w:val="es-ES"/>
        </w:rPr>
        <w:t>nter alia</w:t>
      </w:r>
      <w:r w:rsidRPr="007373ED">
        <w:rPr>
          <w:rFonts w:ascii="Verdana" w:hAnsi="Verdana"/>
          <w:sz w:val="16"/>
          <w:szCs w:val="16"/>
          <w:lang w:val="es-ES"/>
        </w:rPr>
        <w:t xml:space="preserve">, Corte Suprema de Justicia de la Nación de la República Argentina, Sentencia de 31 de agosto de 1999, causa “Tarnopolsky, Daniel c/ Estado Nacional y otros s/ proceso de conocimiento”, y Sentencia de 3 de mayo de 2017, causa No. 1574/2014/RH1, “Bignone, Reynaldo Benito Antonio y otros/ recurso extraordinario”; Tribunal Constitucional Plurinacional de Bolivia, Sentencia constitucional No. 1190/01-R de 12 de noviembre de 2001; Corte Constitucional de la República de Colombia, Sentencia C-580/02 de 31 de julio de 2002; Suprema Corte de Justicia de la Nación de México, 1 de septiembre de 2004, Tesis: P./J. 87/2004 (Desaparición forzada de personas. El plazo para que opere su prescripción inicia hasta que aparece la víctima o se establece su destino); Tribunal Constitucional de la República del Perú, Sentencia de </w:t>
      </w:r>
      <w:r w:rsidRPr="00C765C5">
        <w:rPr>
          <w:rFonts w:ascii="Verdana" w:hAnsi="Verdana"/>
          <w:sz w:val="16"/>
          <w:szCs w:val="16"/>
          <w:lang w:val="es-ES"/>
        </w:rPr>
        <w:t xml:space="preserve">18 de marzo de 2004, </w:t>
      </w:r>
      <w:r w:rsidRPr="007373ED">
        <w:rPr>
          <w:rFonts w:ascii="Verdana" w:hAnsi="Verdana"/>
          <w:sz w:val="16"/>
          <w:szCs w:val="16"/>
          <w:lang w:val="es-ES"/>
        </w:rPr>
        <w:t>Exp. No. 2488-2002-HC/TC, y Corte de Constitucionalidad de la República de Guatemala, Sentencia de 7 de julio de 2009, expediente 929-2008.</w:t>
      </w:r>
    </w:p>
  </w:footnote>
  <w:footnote w:id="109">
    <w:p w14:paraId="4212F54B" w14:textId="6E91FA43" w:rsidR="007B594B" w:rsidRPr="00917D2C" w:rsidRDefault="007B594B" w:rsidP="007B594B">
      <w:pPr>
        <w:jc w:val="both"/>
        <w:rPr>
          <w:rFonts w:ascii="Verdana" w:hAnsi="Verdana"/>
          <w:sz w:val="16"/>
          <w:szCs w:val="16"/>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520944">
        <w:rPr>
          <w:rFonts w:ascii="Verdana" w:hAnsi="Verdana"/>
          <w:i/>
          <w:iCs/>
          <w:sz w:val="16"/>
          <w:szCs w:val="16"/>
          <w:lang w:val="es-ES"/>
        </w:rPr>
        <w:t>Cfr.</w:t>
      </w:r>
      <w:r w:rsidRPr="00520944">
        <w:rPr>
          <w:rFonts w:ascii="Verdana" w:hAnsi="Verdana"/>
          <w:sz w:val="16"/>
          <w:szCs w:val="16"/>
          <w:lang w:val="es-ES"/>
        </w:rPr>
        <w:t xml:space="preserve"> Res AG N</w:t>
      </w:r>
      <w:r w:rsidR="009C331C">
        <w:rPr>
          <w:rFonts w:ascii="Verdana" w:hAnsi="Verdana"/>
          <w:sz w:val="16"/>
          <w:szCs w:val="16"/>
          <w:lang w:val="es-ES"/>
        </w:rPr>
        <w:t xml:space="preserve">o. </w:t>
      </w:r>
      <w:r w:rsidRPr="00520944">
        <w:rPr>
          <w:rFonts w:ascii="Verdana" w:hAnsi="Verdana"/>
          <w:sz w:val="16"/>
          <w:szCs w:val="16"/>
          <w:lang w:val="es-ES"/>
        </w:rPr>
        <w:t>33/173 de 20 de diciembre de 1978 y subsiguientes.</w:t>
      </w:r>
      <w:r>
        <w:rPr>
          <w:rFonts w:ascii="Verdana" w:hAnsi="Verdana"/>
          <w:sz w:val="16"/>
          <w:szCs w:val="16"/>
          <w:lang w:val="es-ES"/>
        </w:rPr>
        <w:t xml:space="preserve"> </w:t>
      </w:r>
    </w:p>
  </w:footnote>
  <w:footnote w:id="110">
    <w:p w14:paraId="6C591E9A" w14:textId="77777777" w:rsidR="007B594B" w:rsidRPr="00E86B67" w:rsidRDefault="007B594B" w:rsidP="007B594B">
      <w:pPr>
        <w:jc w:val="both"/>
        <w:rPr>
          <w:rFonts w:ascii="Verdana" w:hAnsi="Verdana"/>
          <w:sz w:val="16"/>
          <w:szCs w:val="16"/>
          <w:u w:val="single"/>
          <w:lang w:val="es-ES"/>
        </w:rPr>
      </w:pPr>
      <w:r w:rsidRPr="006F266D">
        <w:rPr>
          <w:rStyle w:val="Refdenotaalpie"/>
        </w:rPr>
        <w:footnoteRef/>
      </w:r>
      <w:r w:rsidRPr="006F266D">
        <w:rPr>
          <w:rFonts w:ascii="Verdana" w:hAnsi="Verdana"/>
          <w:sz w:val="16"/>
          <w:szCs w:val="16"/>
          <w:lang w:val="es-ES"/>
        </w:rPr>
        <w:t xml:space="preserve"> </w:t>
      </w:r>
      <w:r w:rsidRPr="006F266D">
        <w:rPr>
          <w:rFonts w:ascii="Verdana" w:hAnsi="Verdana"/>
          <w:sz w:val="16"/>
          <w:szCs w:val="16"/>
          <w:lang w:val="es-ES"/>
        </w:rPr>
        <w:tab/>
      </w:r>
      <w:r w:rsidRPr="006F266D">
        <w:rPr>
          <w:rFonts w:ascii="Verdana" w:hAnsi="Verdana"/>
          <w:i/>
          <w:iCs/>
          <w:sz w:val="16"/>
          <w:szCs w:val="16"/>
          <w:lang w:val="es-ES"/>
        </w:rPr>
        <w:t>Cfr.</w:t>
      </w:r>
      <w:r w:rsidRPr="006F266D">
        <w:rPr>
          <w:rFonts w:ascii="Verdana" w:hAnsi="Verdana"/>
          <w:sz w:val="16"/>
          <w:szCs w:val="16"/>
          <w:lang w:val="es-ES"/>
        </w:rPr>
        <w:t xml:space="preserve"> Resoluciones AG/RES 2231 (</w:t>
      </w:r>
      <w:r w:rsidRPr="00E86B67">
        <w:rPr>
          <w:rFonts w:ascii="Verdana" w:hAnsi="Verdana"/>
          <w:sz w:val="16"/>
          <w:szCs w:val="16"/>
          <w:lang w:val="es-ES"/>
        </w:rPr>
        <w:t>XXXVI-O/06), AG/RES</w:t>
      </w:r>
      <w:r w:rsidRPr="007373ED">
        <w:rPr>
          <w:rFonts w:ascii="Verdana" w:hAnsi="Verdana"/>
          <w:sz w:val="16"/>
          <w:szCs w:val="16"/>
          <w:lang w:val="es-ES"/>
        </w:rPr>
        <w:t xml:space="preserve"> 2513</w:t>
      </w:r>
      <w:r w:rsidRPr="00E86B67">
        <w:rPr>
          <w:rFonts w:ascii="Verdana" w:hAnsi="Verdana"/>
          <w:sz w:val="16"/>
          <w:szCs w:val="16"/>
          <w:lang w:val="es-ES"/>
        </w:rPr>
        <w:t xml:space="preserve"> (XXXIX-O/09), AG/RES. 2864 (XLIV-O/14), AG/RES. 2928 (XLVIII-O/18) de la Asamblea General de la Organización de Estados Americanos.</w:t>
      </w:r>
      <w:r w:rsidRPr="00E86B67">
        <w:rPr>
          <w:rFonts w:ascii="Verdana" w:hAnsi="Verdana"/>
          <w:sz w:val="16"/>
          <w:szCs w:val="16"/>
          <w:u w:val="single"/>
          <w:lang w:val="es-ES"/>
        </w:rPr>
        <w:t xml:space="preserve"> </w:t>
      </w:r>
    </w:p>
  </w:footnote>
  <w:footnote w:id="111">
    <w:p w14:paraId="31F7EA6A" w14:textId="77777777" w:rsidR="007B594B" w:rsidRPr="00E86B67" w:rsidRDefault="007B594B" w:rsidP="007B594B">
      <w:pPr>
        <w:jc w:val="both"/>
        <w:rPr>
          <w:rFonts w:ascii="Verdana" w:hAnsi="Verdana"/>
          <w:sz w:val="16"/>
          <w:szCs w:val="16"/>
          <w:lang w:val="es-ES"/>
        </w:rPr>
      </w:pPr>
      <w:r w:rsidRPr="00E86B67">
        <w:rPr>
          <w:rStyle w:val="Refdenotaalpie"/>
        </w:rPr>
        <w:footnoteRef/>
      </w:r>
      <w:r w:rsidRPr="00E86B67">
        <w:rPr>
          <w:rFonts w:ascii="Verdana" w:hAnsi="Verdana"/>
          <w:sz w:val="16"/>
          <w:szCs w:val="16"/>
          <w:lang w:val="es-ES"/>
        </w:rPr>
        <w:t xml:space="preserve"> </w:t>
      </w:r>
      <w:r w:rsidRPr="00E86B67">
        <w:rPr>
          <w:rFonts w:ascii="Verdana" w:hAnsi="Verdana"/>
          <w:sz w:val="16"/>
          <w:szCs w:val="16"/>
          <w:lang w:val="es-ES"/>
        </w:rPr>
        <w:tab/>
        <w:t xml:space="preserve">Declaración sobre la protección de todas las personas contra las desapariciones forzadas, aprobada por la Asamblea General de la Organización de las Naciones Unidas en su resolución 47/133 de 18 de diciembre 1992, artículos 9, 10 y 13. </w:t>
      </w:r>
    </w:p>
  </w:footnote>
  <w:footnote w:id="112">
    <w:p w14:paraId="0EE8B0B7" w14:textId="77777777" w:rsidR="007B594B" w:rsidRPr="00E86B67" w:rsidRDefault="007B594B" w:rsidP="007B594B">
      <w:pPr>
        <w:jc w:val="both"/>
        <w:rPr>
          <w:rFonts w:ascii="Verdana" w:hAnsi="Verdana"/>
          <w:sz w:val="16"/>
          <w:szCs w:val="16"/>
          <w:lang w:val="es-ES"/>
        </w:rPr>
      </w:pPr>
      <w:r w:rsidRPr="00E86B67">
        <w:rPr>
          <w:rStyle w:val="Refdenotaalpie"/>
        </w:rPr>
        <w:footnoteRef/>
      </w:r>
      <w:r w:rsidRPr="00E86B67">
        <w:rPr>
          <w:rFonts w:ascii="Verdana" w:hAnsi="Verdana"/>
          <w:sz w:val="16"/>
          <w:szCs w:val="16"/>
          <w:lang w:val="es-ES"/>
        </w:rPr>
        <w:t xml:space="preserve"> </w:t>
      </w:r>
      <w:r w:rsidRPr="00E86B67">
        <w:rPr>
          <w:rFonts w:ascii="Verdana" w:hAnsi="Verdana"/>
          <w:sz w:val="16"/>
          <w:szCs w:val="16"/>
          <w:lang w:val="es-ES"/>
        </w:rPr>
        <w:tab/>
        <w:t xml:space="preserve">Convención Interamericana sobre Desaparición Forzada de Personas, adoptada en Belém do Pará, Brasil el 9 de junio de 1994, en el vigésimo cuarto período ordinario de sesiones de la Asamblea General, artículos X, XI, y XII. </w:t>
      </w:r>
    </w:p>
  </w:footnote>
  <w:footnote w:id="113">
    <w:p w14:paraId="0FD0058B" w14:textId="2EB754F8" w:rsidR="007B594B" w:rsidRPr="007C693A" w:rsidRDefault="007B594B" w:rsidP="007B594B">
      <w:pPr>
        <w:jc w:val="both"/>
        <w:rPr>
          <w:rFonts w:ascii="Verdana" w:hAnsi="Verdana"/>
          <w:sz w:val="16"/>
          <w:szCs w:val="16"/>
          <w:lang w:val="es-ES"/>
        </w:rPr>
      </w:pPr>
      <w:r w:rsidRPr="00E86B67">
        <w:rPr>
          <w:rStyle w:val="Refdenotaalpie"/>
        </w:rPr>
        <w:footnoteRef/>
      </w:r>
      <w:r w:rsidRPr="00E86B67">
        <w:rPr>
          <w:rFonts w:ascii="Verdana" w:hAnsi="Verdana"/>
          <w:sz w:val="16"/>
          <w:szCs w:val="16"/>
          <w:lang w:val="es-ES"/>
        </w:rPr>
        <w:t xml:space="preserve"> </w:t>
      </w:r>
      <w:r w:rsidRPr="00E86B67">
        <w:rPr>
          <w:rFonts w:ascii="Verdana" w:hAnsi="Verdana"/>
          <w:sz w:val="16"/>
          <w:szCs w:val="16"/>
          <w:lang w:val="es-ES"/>
        </w:rPr>
        <w:tab/>
        <w:t xml:space="preserve">Convención Internacional para la </w:t>
      </w:r>
      <w:r w:rsidR="00470238">
        <w:rPr>
          <w:rFonts w:ascii="Verdana" w:hAnsi="Verdana"/>
          <w:sz w:val="16"/>
          <w:szCs w:val="16"/>
          <w:lang w:val="es-ES"/>
        </w:rPr>
        <w:t>P</w:t>
      </w:r>
      <w:r w:rsidRPr="00E86B67">
        <w:rPr>
          <w:rFonts w:ascii="Verdana" w:hAnsi="Verdana"/>
          <w:sz w:val="16"/>
          <w:szCs w:val="16"/>
          <w:lang w:val="es-ES"/>
        </w:rPr>
        <w:t xml:space="preserve">rotección de </w:t>
      </w:r>
      <w:r w:rsidR="00470238">
        <w:rPr>
          <w:rFonts w:ascii="Verdana" w:hAnsi="Verdana"/>
          <w:sz w:val="16"/>
          <w:szCs w:val="16"/>
          <w:lang w:val="es-ES"/>
        </w:rPr>
        <w:t>T</w:t>
      </w:r>
      <w:r w:rsidRPr="00E86B67">
        <w:rPr>
          <w:rFonts w:ascii="Verdana" w:hAnsi="Verdana"/>
          <w:sz w:val="16"/>
          <w:szCs w:val="16"/>
          <w:lang w:val="es-ES"/>
        </w:rPr>
        <w:t xml:space="preserve">odas las </w:t>
      </w:r>
      <w:r w:rsidR="00470238">
        <w:rPr>
          <w:rFonts w:ascii="Verdana" w:hAnsi="Verdana"/>
          <w:sz w:val="16"/>
          <w:szCs w:val="16"/>
          <w:lang w:val="es-ES"/>
        </w:rPr>
        <w:t>P</w:t>
      </w:r>
      <w:r w:rsidRPr="00E86B67">
        <w:rPr>
          <w:rFonts w:ascii="Verdana" w:hAnsi="Verdana"/>
          <w:sz w:val="16"/>
          <w:szCs w:val="16"/>
          <w:lang w:val="es-ES"/>
        </w:rPr>
        <w:t xml:space="preserve">ersonas contra las </w:t>
      </w:r>
      <w:r w:rsidR="00470238">
        <w:rPr>
          <w:rFonts w:ascii="Verdana" w:hAnsi="Verdana"/>
          <w:sz w:val="16"/>
          <w:szCs w:val="16"/>
          <w:lang w:val="es-ES"/>
        </w:rPr>
        <w:t>D</w:t>
      </w:r>
      <w:r w:rsidRPr="00E86B67">
        <w:rPr>
          <w:rFonts w:ascii="Verdana" w:hAnsi="Verdana"/>
          <w:sz w:val="16"/>
          <w:szCs w:val="16"/>
          <w:lang w:val="es-ES"/>
        </w:rPr>
        <w:t xml:space="preserve">esapariciones </w:t>
      </w:r>
      <w:r w:rsidR="00470238">
        <w:rPr>
          <w:rFonts w:ascii="Verdana" w:hAnsi="Verdana"/>
          <w:sz w:val="16"/>
          <w:szCs w:val="16"/>
          <w:lang w:val="es-ES"/>
        </w:rPr>
        <w:t>F</w:t>
      </w:r>
      <w:r w:rsidRPr="00E86B67">
        <w:rPr>
          <w:rFonts w:ascii="Verdana" w:hAnsi="Verdana"/>
          <w:sz w:val="16"/>
          <w:szCs w:val="16"/>
          <w:lang w:val="es-ES"/>
        </w:rPr>
        <w:t>orzadas, adoptada por la Asamblea General de la Organización de las Naciones Unidas el 20 de diciembre de 2006, artículos 12, 15, 17, 18, 19, 20 y 24.</w:t>
      </w:r>
      <w:r w:rsidRPr="007C693A">
        <w:rPr>
          <w:rFonts w:ascii="Verdana" w:hAnsi="Verdana"/>
          <w:sz w:val="16"/>
          <w:szCs w:val="16"/>
          <w:lang w:val="es-ES"/>
        </w:rPr>
        <w:t xml:space="preserve"> </w:t>
      </w:r>
    </w:p>
  </w:footnote>
  <w:footnote w:id="114">
    <w:p w14:paraId="3A716DA7" w14:textId="77777777" w:rsidR="007B594B" w:rsidRPr="007373ED" w:rsidRDefault="007B594B" w:rsidP="007B594B">
      <w:pPr>
        <w:jc w:val="both"/>
        <w:rPr>
          <w:rFonts w:ascii="Verdana" w:hAnsi="Verdana"/>
          <w:sz w:val="16"/>
          <w:szCs w:val="16"/>
          <w:highlight w:val="cyan"/>
          <w:lang w:val="es-ES"/>
        </w:rPr>
      </w:pPr>
      <w:r w:rsidRPr="00B60EF7">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373ED">
        <w:rPr>
          <w:rFonts w:ascii="Verdana" w:hAnsi="Verdana"/>
          <w:sz w:val="16"/>
          <w:szCs w:val="16"/>
          <w:lang w:val="es-ES"/>
        </w:rPr>
        <w:t xml:space="preserve">Comisión de Derechos Humanos de la Organización de Naciones Unidas, </w:t>
      </w:r>
      <w:r w:rsidRPr="00BA4E41">
        <w:rPr>
          <w:rFonts w:ascii="Verdana" w:hAnsi="Verdana"/>
          <w:sz w:val="16"/>
          <w:szCs w:val="16"/>
          <w:lang w:val="es-ES"/>
        </w:rPr>
        <w:t>Conjunto de principios actualizados para la protección y la promoción de los derechos humanos mediante la lucha contra la impunidad,</w:t>
      </w:r>
      <w:r>
        <w:rPr>
          <w:rFonts w:ascii="Verdana" w:hAnsi="Verdana"/>
          <w:sz w:val="16"/>
          <w:szCs w:val="16"/>
          <w:lang w:val="es-ES"/>
        </w:rPr>
        <w:t xml:space="preserve"> </w:t>
      </w:r>
      <w:r w:rsidRPr="00BA4E41">
        <w:rPr>
          <w:rFonts w:ascii="Verdana" w:hAnsi="Verdana"/>
          <w:sz w:val="16"/>
          <w:szCs w:val="16"/>
          <w:lang w:val="es-ES"/>
        </w:rPr>
        <w:t>8 de febrero de 2005, E/CN.4/2005/102/Add. 1. Principios 2, 3</w:t>
      </w:r>
      <w:r w:rsidRPr="007373ED">
        <w:rPr>
          <w:rFonts w:ascii="Verdana" w:hAnsi="Verdana"/>
          <w:sz w:val="16"/>
          <w:szCs w:val="16"/>
          <w:lang w:val="es-ES"/>
        </w:rPr>
        <w:t xml:space="preserve"> y</w:t>
      </w:r>
      <w:r w:rsidRPr="00BA4E41">
        <w:rPr>
          <w:rFonts w:ascii="Verdana" w:hAnsi="Verdana"/>
          <w:sz w:val="16"/>
          <w:szCs w:val="16"/>
          <w:lang w:val="es-ES"/>
        </w:rPr>
        <w:t xml:space="preserve"> 4</w:t>
      </w:r>
      <w:r w:rsidRPr="007373ED">
        <w:rPr>
          <w:rFonts w:ascii="Verdana" w:hAnsi="Verdana"/>
          <w:sz w:val="16"/>
          <w:szCs w:val="16"/>
          <w:lang w:val="es-ES"/>
        </w:rPr>
        <w:t>.</w:t>
      </w:r>
      <w:r w:rsidRPr="00BA4E41">
        <w:rPr>
          <w:rFonts w:ascii="Verdana" w:hAnsi="Verdana"/>
          <w:sz w:val="16"/>
          <w:szCs w:val="16"/>
          <w:lang w:val="es-ES"/>
        </w:rPr>
        <w:t xml:space="preserve"> </w:t>
      </w:r>
    </w:p>
  </w:footnote>
  <w:footnote w:id="115">
    <w:p w14:paraId="2C887670" w14:textId="77777777" w:rsidR="007B594B" w:rsidRPr="007373ED" w:rsidRDefault="007B594B" w:rsidP="007B594B">
      <w:pPr>
        <w:jc w:val="both"/>
        <w:rPr>
          <w:rFonts w:ascii="Verdana" w:hAnsi="Verdana"/>
          <w:sz w:val="16"/>
          <w:szCs w:val="16"/>
          <w:highlight w:val="cyan"/>
          <w:lang w:val="es-ES"/>
        </w:rPr>
      </w:pPr>
      <w:r w:rsidRPr="00205064">
        <w:rPr>
          <w:rStyle w:val="Refdenotaalpie"/>
        </w:rPr>
        <w:footnoteRef/>
      </w:r>
      <w:r w:rsidRPr="00205064">
        <w:rPr>
          <w:rFonts w:ascii="Verdana" w:hAnsi="Verdana"/>
          <w:sz w:val="16"/>
          <w:szCs w:val="16"/>
          <w:lang w:val="es-ES"/>
        </w:rPr>
        <w:t xml:space="preserve"> </w:t>
      </w:r>
      <w:r w:rsidRPr="00205064">
        <w:rPr>
          <w:rFonts w:ascii="Verdana" w:hAnsi="Verdana"/>
          <w:sz w:val="16"/>
          <w:szCs w:val="16"/>
          <w:lang w:val="es-ES"/>
        </w:rPr>
        <w:tab/>
      </w:r>
      <w:r w:rsidRPr="007373ED">
        <w:rPr>
          <w:rFonts w:ascii="Verdana" w:hAnsi="Verdana"/>
          <w:sz w:val="16"/>
          <w:szCs w:val="16"/>
          <w:lang w:val="es-ES"/>
        </w:rPr>
        <w:t xml:space="preserve">Asamblea General de la Organización de Naciones Unidas, </w:t>
      </w:r>
      <w:r w:rsidRPr="00205064">
        <w:rPr>
          <w:rFonts w:ascii="Verdana" w:hAnsi="Verdana"/>
          <w:sz w:val="16"/>
          <w:szCs w:val="16"/>
          <w:lang w:val="es-ES"/>
        </w:rPr>
        <w:t>Principios y directrices básicos sobre el derecho de las víctimas de violaciones manifiestas a las normas internacionales de derechos humanos y de violaciones graves del derecho internacional humanitario a interponer recursos y obtener reparaciones, 16 de diciembre de 2005</w:t>
      </w:r>
      <w:r w:rsidRPr="007373ED">
        <w:rPr>
          <w:rFonts w:ascii="Verdana" w:hAnsi="Verdana"/>
          <w:sz w:val="16"/>
          <w:szCs w:val="16"/>
          <w:lang w:val="es-ES"/>
        </w:rPr>
        <w:t>, Resolución 60/147,</w:t>
      </w:r>
      <w:r w:rsidRPr="00205064">
        <w:rPr>
          <w:rFonts w:ascii="Verdana" w:hAnsi="Verdana"/>
          <w:sz w:val="16"/>
          <w:szCs w:val="16"/>
          <w:lang w:val="es-ES"/>
        </w:rPr>
        <w:t xml:space="preserve"> Artículos 22 y 24. </w:t>
      </w:r>
    </w:p>
  </w:footnote>
  <w:footnote w:id="116">
    <w:p w14:paraId="0A346734" w14:textId="77777777" w:rsidR="007B594B" w:rsidRPr="00CC3BC2" w:rsidRDefault="007B594B" w:rsidP="007B594B">
      <w:pPr>
        <w:jc w:val="both"/>
        <w:rPr>
          <w:rFonts w:ascii="Verdana" w:hAnsi="Verdana"/>
          <w:sz w:val="16"/>
          <w:szCs w:val="16"/>
          <w:lang w:val="es-ES"/>
        </w:rPr>
      </w:pPr>
      <w:r w:rsidRPr="00CF24F4">
        <w:rPr>
          <w:rStyle w:val="Refdenotaalpie"/>
        </w:rPr>
        <w:footnoteRef/>
      </w:r>
      <w:r w:rsidRPr="00CF24F4">
        <w:rPr>
          <w:rFonts w:ascii="Verdana" w:hAnsi="Verdana"/>
          <w:sz w:val="16"/>
          <w:szCs w:val="16"/>
          <w:lang w:val="es-ES"/>
        </w:rPr>
        <w:t xml:space="preserve"> </w:t>
      </w:r>
      <w:r w:rsidRPr="00CF24F4">
        <w:rPr>
          <w:rFonts w:ascii="Verdana" w:hAnsi="Verdana"/>
          <w:sz w:val="16"/>
          <w:szCs w:val="16"/>
          <w:lang w:val="es-ES"/>
        </w:rPr>
        <w:tab/>
        <w:t>Consenso mundial de principios y normas mínimas sobre trabajo psicosocial en procesos de búsqueda e investigaciones forenses para casos de desapariciones forzadas, ejecuciones arbitrarias o extrajudiciales. Guatemala: I Congreso Mundial de Trabajo Psicosocial en Desaparición Forzada, Procesos de Búsqueda, Exhumación, Justicia y Verdad, Antigua, Guatemala. Recomendados por la Asamblea General de la Organización de los Estados Americanos, mediante las Resoluciones AG/RES. 2717 (XLII-O/12) de 4 de junio de 2012 y AG/RES. 2794 (XLIII-O/13) de 5 de juni</w:t>
      </w:r>
      <w:r w:rsidRPr="00CC3BC2">
        <w:rPr>
          <w:rFonts w:ascii="Verdana" w:hAnsi="Verdana"/>
          <w:sz w:val="16"/>
          <w:szCs w:val="16"/>
          <w:lang w:val="es-ES"/>
        </w:rPr>
        <w:t xml:space="preserve">o de 2013. </w:t>
      </w:r>
    </w:p>
  </w:footnote>
  <w:footnote w:id="117">
    <w:p w14:paraId="1767F86E" w14:textId="71C98189" w:rsidR="007B594B" w:rsidRPr="00A64289" w:rsidRDefault="007B594B" w:rsidP="007B594B">
      <w:pPr>
        <w:jc w:val="both"/>
        <w:rPr>
          <w:rFonts w:ascii="Verdana" w:hAnsi="Verdana"/>
          <w:color w:val="FF0000"/>
          <w:sz w:val="16"/>
          <w:szCs w:val="16"/>
          <w:highlight w:val="cyan"/>
          <w:lang w:val="es-ES"/>
        </w:rPr>
      </w:pPr>
      <w:r w:rsidRPr="00CC3BC2">
        <w:rPr>
          <w:rStyle w:val="Refdenotaalpie"/>
        </w:rPr>
        <w:footnoteRef/>
      </w:r>
      <w:r w:rsidRPr="00CC3BC2">
        <w:rPr>
          <w:rFonts w:ascii="Verdana" w:hAnsi="Verdana"/>
          <w:sz w:val="16"/>
          <w:szCs w:val="16"/>
          <w:lang w:val="es-ES"/>
        </w:rPr>
        <w:t xml:space="preserve"> </w:t>
      </w:r>
      <w:r w:rsidRPr="00CC3BC2">
        <w:rPr>
          <w:rFonts w:ascii="Verdana" w:hAnsi="Verdana"/>
          <w:sz w:val="16"/>
          <w:szCs w:val="16"/>
          <w:lang w:val="es-ES"/>
        </w:rPr>
        <w:tab/>
      </w:r>
      <w:r w:rsidRPr="00B42992">
        <w:rPr>
          <w:rFonts w:ascii="Verdana" w:hAnsi="Verdana"/>
          <w:sz w:val="16"/>
          <w:szCs w:val="16"/>
          <w:lang w:val="es-ES"/>
        </w:rPr>
        <w:t>Protocolo de Minnesota sobre la Investigación de Muertes Potencialmente Ilícitas (2016), Oficina del Alto Comisionado de las Naciones Unidas para los Derechos Humanos, Nueva York y Ginebra, 2017.</w:t>
      </w:r>
      <w:r w:rsidR="00ED1D67">
        <w:rPr>
          <w:rFonts w:ascii="Verdana" w:hAnsi="Verdana"/>
          <w:sz w:val="16"/>
          <w:szCs w:val="16"/>
          <w:lang w:val="es-ES"/>
        </w:rPr>
        <w:t xml:space="preserve"> </w:t>
      </w:r>
    </w:p>
  </w:footnote>
  <w:footnote w:id="118">
    <w:p w14:paraId="0AB252D4" w14:textId="54237FC8" w:rsidR="007B594B" w:rsidRPr="00354604" w:rsidRDefault="007B594B" w:rsidP="007B594B">
      <w:pPr>
        <w:jc w:val="both"/>
        <w:rPr>
          <w:rFonts w:ascii="Verdana" w:hAnsi="Verdana"/>
          <w:sz w:val="16"/>
          <w:szCs w:val="16"/>
          <w:highlight w:val="cyan"/>
          <w:lang w:val="es-ES"/>
        </w:rPr>
      </w:pPr>
      <w:r w:rsidRPr="00556B5D">
        <w:rPr>
          <w:rStyle w:val="Refdenotaalpie"/>
        </w:rPr>
        <w:footnoteRef/>
      </w:r>
      <w:r w:rsidRPr="00556B5D">
        <w:rPr>
          <w:rFonts w:ascii="Verdana" w:hAnsi="Verdana"/>
          <w:sz w:val="16"/>
          <w:szCs w:val="16"/>
          <w:lang w:val="es-ES"/>
        </w:rPr>
        <w:t xml:space="preserve"> </w:t>
      </w:r>
      <w:r w:rsidRPr="007373ED">
        <w:rPr>
          <w:rFonts w:ascii="Verdana" w:hAnsi="Verdana"/>
          <w:sz w:val="16"/>
          <w:szCs w:val="16"/>
          <w:lang w:val="es-ES"/>
        </w:rPr>
        <w:tab/>
      </w:r>
      <w:r w:rsidRPr="009C331C">
        <w:rPr>
          <w:rFonts w:ascii="Verdana" w:hAnsi="Verdana"/>
          <w:i/>
          <w:iCs/>
          <w:sz w:val="16"/>
          <w:szCs w:val="16"/>
          <w:lang w:val="es-ES"/>
        </w:rPr>
        <w:t xml:space="preserve">Caso Rodríguez Vera y otros (Desaparecidos del Palacio de Justicia) </w:t>
      </w:r>
      <w:r w:rsidR="00236CB2">
        <w:rPr>
          <w:rFonts w:ascii="Verdana" w:hAnsi="Verdana"/>
          <w:i/>
          <w:iCs/>
          <w:sz w:val="16"/>
          <w:szCs w:val="16"/>
          <w:lang w:val="es-ES"/>
        </w:rPr>
        <w:t>Vs</w:t>
      </w:r>
      <w:r w:rsidRPr="009C331C">
        <w:rPr>
          <w:rFonts w:ascii="Verdana" w:hAnsi="Verdana"/>
          <w:i/>
          <w:iCs/>
          <w:sz w:val="16"/>
          <w:szCs w:val="16"/>
          <w:lang w:val="es-ES"/>
        </w:rPr>
        <w:t>. Colombia</w:t>
      </w:r>
      <w:r w:rsidR="008213EC" w:rsidRPr="00113E46">
        <w:rPr>
          <w:rFonts w:ascii="Verdana" w:hAnsi="Verdana"/>
          <w:i/>
          <w:iCs/>
          <w:sz w:val="16"/>
          <w:szCs w:val="16"/>
          <w:lang w:val="es-ES"/>
        </w:rPr>
        <w:t>. Excepciones Preliminares, Fondo, Reparaciones y Costas</w:t>
      </w:r>
      <w:r w:rsidR="001C7D88">
        <w:rPr>
          <w:rFonts w:ascii="Verdana" w:hAnsi="Verdana"/>
          <w:sz w:val="16"/>
          <w:szCs w:val="16"/>
          <w:lang w:val="es-ES"/>
        </w:rPr>
        <w:t>.</w:t>
      </w:r>
      <w:r w:rsidR="008213EC" w:rsidRPr="00113E46">
        <w:rPr>
          <w:rFonts w:ascii="Verdana" w:hAnsi="Verdana"/>
          <w:sz w:val="16"/>
          <w:szCs w:val="16"/>
          <w:lang w:val="es-ES"/>
        </w:rPr>
        <w:t xml:space="preserve"> Sentencia de 14 de noviembre de 2014</w:t>
      </w:r>
      <w:r w:rsidR="008213EC">
        <w:rPr>
          <w:rFonts w:ascii="Verdana" w:hAnsi="Verdana"/>
          <w:sz w:val="16"/>
          <w:szCs w:val="16"/>
          <w:lang w:val="es-ES"/>
        </w:rPr>
        <w:t xml:space="preserve">. </w:t>
      </w:r>
      <w:r w:rsidRPr="009C331C">
        <w:rPr>
          <w:rFonts w:ascii="Verdana" w:hAnsi="Verdana"/>
          <w:sz w:val="16"/>
          <w:szCs w:val="16"/>
          <w:lang w:val="es-ES"/>
        </w:rPr>
        <w:t>Serie C No. 287, párr. 478.</w:t>
      </w:r>
      <w:r w:rsidRPr="00556B5D">
        <w:rPr>
          <w:rFonts w:ascii="Verdana" w:hAnsi="Verdana"/>
          <w:sz w:val="16"/>
          <w:szCs w:val="16"/>
          <w:lang w:val="es-ES"/>
        </w:rPr>
        <w:t xml:space="preserve"> </w:t>
      </w:r>
    </w:p>
  </w:footnote>
  <w:footnote w:id="119">
    <w:p w14:paraId="762051B3" w14:textId="77777777" w:rsidR="007B594B" w:rsidRPr="002347B4" w:rsidRDefault="007B594B" w:rsidP="007B594B">
      <w:pPr>
        <w:jc w:val="both"/>
        <w:rPr>
          <w:rFonts w:ascii="Verdana" w:hAnsi="Verdana"/>
          <w:sz w:val="16"/>
          <w:szCs w:val="16"/>
          <w:lang w:val="es-ES"/>
        </w:rPr>
      </w:pPr>
      <w:r w:rsidRPr="002347B4">
        <w:rPr>
          <w:rStyle w:val="Refdenotaalpie"/>
        </w:rPr>
        <w:footnoteRef/>
      </w:r>
      <w:r w:rsidRPr="002347B4">
        <w:rPr>
          <w:rFonts w:ascii="Verdana" w:hAnsi="Verdana"/>
          <w:sz w:val="16"/>
          <w:szCs w:val="16"/>
          <w:lang w:val="es-ES"/>
        </w:rPr>
        <w:t xml:space="preserve"> </w:t>
      </w:r>
      <w:r w:rsidRPr="007373ED">
        <w:rPr>
          <w:rFonts w:ascii="Verdana" w:hAnsi="Verdana"/>
          <w:sz w:val="16"/>
          <w:szCs w:val="16"/>
          <w:lang w:val="es-ES"/>
        </w:rPr>
        <w:tab/>
      </w:r>
      <w:r w:rsidRPr="002347B4">
        <w:rPr>
          <w:rFonts w:ascii="Verdana" w:hAnsi="Verdana"/>
          <w:sz w:val="16"/>
          <w:szCs w:val="16"/>
          <w:lang w:val="es-ES"/>
        </w:rPr>
        <w:t xml:space="preserve">Comité de DDHH ONU, </w:t>
      </w:r>
      <w:r w:rsidRPr="002347B4">
        <w:rPr>
          <w:rFonts w:ascii="Verdana" w:hAnsi="Verdana"/>
          <w:i/>
          <w:iCs/>
          <w:sz w:val="16"/>
          <w:szCs w:val="16"/>
          <w:lang w:val="es-ES"/>
        </w:rPr>
        <w:t>Caso Sankara y otros v. Burkina Fasso</w:t>
      </w:r>
      <w:r w:rsidRPr="002347B4">
        <w:rPr>
          <w:rFonts w:ascii="Verdana" w:hAnsi="Verdana"/>
          <w:sz w:val="16"/>
          <w:szCs w:val="16"/>
          <w:lang w:val="es-ES"/>
        </w:rPr>
        <w:t>, Comunicación No., Decisión del 26 de marzo de 2006</w:t>
      </w:r>
      <w:r w:rsidRPr="007373ED">
        <w:rPr>
          <w:rFonts w:ascii="Verdana" w:hAnsi="Verdana"/>
          <w:sz w:val="16"/>
          <w:szCs w:val="16"/>
          <w:lang w:val="es-ES"/>
        </w:rPr>
        <w:t>, párr. 12.2</w:t>
      </w:r>
      <w:r>
        <w:rPr>
          <w:rFonts w:ascii="Verdana" w:hAnsi="Verdana"/>
          <w:sz w:val="16"/>
          <w:szCs w:val="16"/>
          <w:lang w:val="es-ES"/>
        </w:rPr>
        <w:t>.</w:t>
      </w:r>
    </w:p>
  </w:footnote>
  <w:footnote w:id="120">
    <w:p w14:paraId="50EB3331" w14:textId="77777777" w:rsidR="007B594B" w:rsidRPr="002347B4" w:rsidRDefault="007B594B" w:rsidP="007B594B">
      <w:pPr>
        <w:jc w:val="both"/>
        <w:rPr>
          <w:rFonts w:ascii="Verdana" w:hAnsi="Verdana"/>
          <w:sz w:val="16"/>
          <w:szCs w:val="16"/>
          <w:lang w:val="es-ES"/>
        </w:rPr>
      </w:pPr>
      <w:r w:rsidRPr="002347B4">
        <w:rPr>
          <w:rStyle w:val="Refdenotaalpie"/>
        </w:rPr>
        <w:footnoteRef/>
      </w:r>
      <w:r w:rsidRPr="002347B4">
        <w:rPr>
          <w:rFonts w:ascii="Verdana" w:hAnsi="Verdana"/>
          <w:sz w:val="16"/>
          <w:szCs w:val="16"/>
          <w:lang w:val="es-ES"/>
        </w:rPr>
        <w:t xml:space="preserve"> </w:t>
      </w:r>
      <w:r w:rsidRPr="007373ED">
        <w:rPr>
          <w:rFonts w:ascii="Verdana" w:hAnsi="Verdana"/>
          <w:sz w:val="16"/>
          <w:szCs w:val="16"/>
          <w:lang w:val="es-ES"/>
        </w:rPr>
        <w:tab/>
        <w:t xml:space="preserve">Comité de las Naciones Unidas sobre Desaparición de Personas, </w:t>
      </w:r>
      <w:r w:rsidRPr="002347B4">
        <w:rPr>
          <w:rFonts w:ascii="Verdana" w:hAnsi="Verdana"/>
          <w:sz w:val="16"/>
          <w:szCs w:val="16"/>
          <w:lang w:val="es-ES"/>
        </w:rPr>
        <w:t>Principios Rectores para la Búsqueda de Personas Desaparecidas, adoptado</w:t>
      </w:r>
      <w:r w:rsidRPr="007373ED">
        <w:rPr>
          <w:rFonts w:ascii="Verdana" w:hAnsi="Verdana"/>
          <w:sz w:val="16"/>
          <w:szCs w:val="16"/>
          <w:lang w:val="es-ES"/>
        </w:rPr>
        <w:t>s</w:t>
      </w:r>
      <w:r w:rsidRPr="002347B4">
        <w:rPr>
          <w:rFonts w:ascii="Verdana" w:hAnsi="Verdana"/>
          <w:sz w:val="16"/>
          <w:szCs w:val="16"/>
          <w:lang w:val="es-ES"/>
        </w:rPr>
        <w:t xml:space="preserve"> </w:t>
      </w:r>
      <w:r w:rsidRPr="007373ED">
        <w:rPr>
          <w:rFonts w:ascii="Verdana" w:hAnsi="Verdana"/>
          <w:sz w:val="16"/>
          <w:szCs w:val="16"/>
          <w:lang w:val="es-ES"/>
        </w:rPr>
        <w:t xml:space="preserve">el 16 de abril de 2019 </w:t>
      </w:r>
      <w:r w:rsidRPr="002347B4">
        <w:rPr>
          <w:rFonts w:ascii="Verdana" w:hAnsi="Verdana"/>
          <w:sz w:val="16"/>
          <w:szCs w:val="16"/>
          <w:lang w:val="es-ES"/>
        </w:rPr>
        <w:t xml:space="preserve">en </w:t>
      </w:r>
      <w:r w:rsidRPr="007373ED">
        <w:rPr>
          <w:rFonts w:ascii="Verdana" w:hAnsi="Verdana"/>
          <w:sz w:val="16"/>
          <w:szCs w:val="16"/>
          <w:lang w:val="es-ES"/>
        </w:rPr>
        <w:t>el</w:t>
      </w:r>
      <w:r w:rsidRPr="002347B4">
        <w:rPr>
          <w:rFonts w:ascii="Verdana" w:hAnsi="Verdana"/>
          <w:sz w:val="16"/>
          <w:szCs w:val="16"/>
          <w:lang w:val="es-ES"/>
        </w:rPr>
        <w:t xml:space="preserve"> </w:t>
      </w:r>
      <w:r w:rsidRPr="007373ED">
        <w:rPr>
          <w:rFonts w:ascii="Verdana" w:hAnsi="Verdana"/>
          <w:sz w:val="16"/>
          <w:szCs w:val="16"/>
          <w:lang w:val="es-ES"/>
        </w:rPr>
        <w:t>per</w:t>
      </w:r>
      <w:r>
        <w:rPr>
          <w:rFonts w:ascii="Verdana" w:hAnsi="Verdana"/>
          <w:sz w:val="16"/>
          <w:szCs w:val="16"/>
          <w:lang w:val="es-ES"/>
        </w:rPr>
        <w:t>í</w:t>
      </w:r>
      <w:r w:rsidRPr="007373ED">
        <w:rPr>
          <w:rFonts w:ascii="Verdana" w:hAnsi="Verdana"/>
          <w:sz w:val="16"/>
          <w:szCs w:val="16"/>
          <w:lang w:val="es-ES"/>
        </w:rPr>
        <w:t>odo</w:t>
      </w:r>
      <w:r w:rsidRPr="002347B4">
        <w:rPr>
          <w:rFonts w:ascii="Verdana" w:hAnsi="Verdana"/>
          <w:sz w:val="16"/>
          <w:szCs w:val="16"/>
          <w:lang w:val="es-ES"/>
        </w:rPr>
        <w:t xml:space="preserve"> </w:t>
      </w:r>
      <w:r w:rsidRPr="007373ED">
        <w:rPr>
          <w:rFonts w:ascii="Verdana" w:hAnsi="Verdana"/>
          <w:sz w:val="16"/>
          <w:szCs w:val="16"/>
          <w:lang w:val="es-ES"/>
        </w:rPr>
        <w:t xml:space="preserve">de sesiones no. </w:t>
      </w:r>
      <w:r w:rsidRPr="002347B4">
        <w:rPr>
          <w:rFonts w:ascii="Verdana" w:hAnsi="Verdana"/>
          <w:sz w:val="16"/>
          <w:szCs w:val="16"/>
          <w:lang w:val="es-ES"/>
        </w:rPr>
        <w:t xml:space="preserve">16, </w:t>
      </w:r>
      <w:r w:rsidRPr="007373ED">
        <w:rPr>
          <w:rFonts w:ascii="Verdana" w:hAnsi="Verdana"/>
          <w:sz w:val="16"/>
          <w:szCs w:val="16"/>
          <w:lang w:val="es-ES"/>
        </w:rPr>
        <w:t>p</w:t>
      </w:r>
      <w:r w:rsidRPr="002347B4">
        <w:rPr>
          <w:rFonts w:ascii="Verdana" w:hAnsi="Verdana"/>
          <w:sz w:val="16"/>
          <w:szCs w:val="16"/>
          <w:lang w:val="es-ES"/>
        </w:rPr>
        <w:t>rincipio 13.</w:t>
      </w:r>
      <w:r w:rsidRPr="007373ED">
        <w:rPr>
          <w:rFonts w:ascii="Verdana" w:hAnsi="Verdana"/>
          <w:sz w:val="16"/>
          <w:szCs w:val="16"/>
          <w:lang w:val="es-ES"/>
        </w:rPr>
        <w:t>4</w:t>
      </w:r>
      <w:r>
        <w:rPr>
          <w:rFonts w:ascii="Verdana" w:hAnsi="Verdana"/>
          <w:sz w:val="16"/>
          <w:szCs w:val="16"/>
          <w:lang w:val="es-ES"/>
        </w:rPr>
        <w:t>.</w:t>
      </w:r>
      <w:r w:rsidRPr="002347B4">
        <w:rPr>
          <w:rFonts w:ascii="Verdana" w:hAnsi="Verdana"/>
          <w:sz w:val="16"/>
          <w:szCs w:val="16"/>
          <w:lang w:val="es-ES"/>
        </w:rPr>
        <w:t xml:space="preserve"> </w:t>
      </w:r>
    </w:p>
  </w:footnote>
  <w:footnote w:id="121">
    <w:p w14:paraId="6A17BFAE" w14:textId="59E381A9" w:rsidR="007B594B" w:rsidRPr="007C693A" w:rsidRDefault="007B594B" w:rsidP="007B594B">
      <w:pPr>
        <w:jc w:val="both"/>
        <w:rPr>
          <w:rFonts w:ascii="Verdana" w:hAnsi="Verdana"/>
          <w:sz w:val="16"/>
          <w:szCs w:val="16"/>
          <w:lang w:val="es-ES"/>
        </w:rPr>
      </w:pPr>
      <w:r w:rsidRPr="00886353">
        <w:rPr>
          <w:rStyle w:val="Refdenotaalpie"/>
        </w:rPr>
        <w:footnoteRef/>
      </w:r>
      <w:r w:rsidRPr="00886353">
        <w:rPr>
          <w:rFonts w:ascii="Verdana" w:hAnsi="Verdana"/>
          <w:sz w:val="16"/>
          <w:szCs w:val="16"/>
          <w:lang w:val="es-ES"/>
        </w:rPr>
        <w:t xml:space="preserve"> </w:t>
      </w:r>
      <w:r w:rsidRPr="007373ED">
        <w:rPr>
          <w:rFonts w:ascii="Verdana" w:hAnsi="Verdana"/>
          <w:sz w:val="16"/>
          <w:szCs w:val="16"/>
          <w:lang w:val="es-ES"/>
        </w:rPr>
        <w:tab/>
      </w:r>
      <w:r w:rsidRPr="009C331C">
        <w:rPr>
          <w:rFonts w:ascii="Verdana" w:hAnsi="Verdana"/>
          <w:i/>
          <w:iCs/>
          <w:sz w:val="16"/>
          <w:szCs w:val="16"/>
          <w:lang w:val="es-ES"/>
        </w:rPr>
        <w:t>Cfr</w:t>
      </w:r>
      <w:r w:rsidRPr="009C331C">
        <w:rPr>
          <w:rFonts w:ascii="Verdana" w:hAnsi="Verdana"/>
          <w:sz w:val="16"/>
          <w:szCs w:val="16"/>
          <w:lang w:val="es-ES"/>
        </w:rPr>
        <w:t xml:space="preserve">. </w:t>
      </w:r>
      <w:r w:rsidRPr="009C331C">
        <w:rPr>
          <w:rFonts w:ascii="Verdana" w:hAnsi="Verdana"/>
          <w:i/>
          <w:iCs/>
          <w:sz w:val="16"/>
          <w:szCs w:val="16"/>
          <w:lang w:val="es-ES"/>
        </w:rPr>
        <w:t>Caso Goiburú y otros</w:t>
      </w:r>
      <w:r w:rsidR="00236CB2">
        <w:rPr>
          <w:rFonts w:ascii="Verdana" w:hAnsi="Verdana"/>
          <w:sz w:val="16"/>
          <w:szCs w:val="16"/>
          <w:lang w:val="es-ES"/>
        </w:rPr>
        <w:t xml:space="preserve"> Vs. Paraguay,</w:t>
      </w:r>
      <w:r w:rsidRPr="009C331C">
        <w:rPr>
          <w:rFonts w:ascii="Verdana" w:hAnsi="Verdana"/>
          <w:i/>
          <w:iCs/>
          <w:sz w:val="16"/>
          <w:szCs w:val="16"/>
          <w:lang w:val="es-ES"/>
        </w:rPr>
        <w:t>supra</w:t>
      </w:r>
      <w:r w:rsidRPr="009C331C">
        <w:rPr>
          <w:rFonts w:ascii="Verdana" w:hAnsi="Verdana"/>
          <w:sz w:val="16"/>
          <w:szCs w:val="16"/>
          <w:lang w:val="es-ES"/>
        </w:rPr>
        <w:t>, párrs. 84</w:t>
      </w:r>
      <w:r w:rsidRPr="00E03D2D">
        <w:rPr>
          <w:rFonts w:ascii="Verdana" w:hAnsi="Verdana"/>
          <w:sz w:val="16"/>
          <w:szCs w:val="16"/>
          <w:lang w:val="es-ES"/>
        </w:rPr>
        <w:t xml:space="preserve"> y 131</w:t>
      </w:r>
      <w:r w:rsidR="00A117BB">
        <w:rPr>
          <w:rFonts w:ascii="Verdana" w:hAnsi="Verdana"/>
          <w:sz w:val="16"/>
          <w:szCs w:val="16"/>
          <w:lang w:val="es-ES"/>
        </w:rPr>
        <w:t>;</w:t>
      </w:r>
      <w:r w:rsidRPr="00E03D2D">
        <w:rPr>
          <w:rFonts w:ascii="Verdana" w:hAnsi="Verdana"/>
          <w:sz w:val="16"/>
          <w:szCs w:val="16"/>
          <w:lang w:val="es-ES"/>
        </w:rPr>
        <w:t xml:space="preserve"> </w:t>
      </w:r>
      <w:r w:rsidRPr="00E03D2D">
        <w:rPr>
          <w:rFonts w:ascii="Verdana" w:hAnsi="Verdana"/>
          <w:i/>
          <w:iCs/>
          <w:sz w:val="16"/>
          <w:szCs w:val="16"/>
          <w:lang w:val="es-ES"/>
        </w:rPr>
        <w:t>Caso Maidanik y otros Vs. Uruguay</w:t>
      </w:r>
      <w:r w:rsidRPr="00E03D2D">
        <w:rPr>
          <w:rFonts w:ascii="Verdana" w:hAnsi="Verdana"/>
          <w:sz w:val="16"/>
          <w:szCs w:val="16"/>
          <w:lang w:val="es-ES"/>
        </w:rPr>
        <w:t>,</w:t>
      </w:r>
      <w:r w:rsidR="009C331C">
        <w:rPr>
          <w:rFonts w:ascii="Verdana" w:hAnsi="Verdana"/>
          <w:sz w:val="16"/>
          <w:szCs w:val="16"/>
          <w:lang w:val="es-ES"/>
        </w:rPr>
        <w:t xml:space="preserve"> </w:t>
      </w:r>
      <w:r w:rsidR="009C331C" w:rsidRPr="009C331C">
        <w:rPr>
          <w:rFonts w:ascii="Verdana" w:hAnsi="Verdana"/>
          <w:i/>
          <w:iCs/>
          <w:sz w:val="16"/>
          <w:szCs w:val="16"/>
          <w:lang w:val="es-ES"/>
        </w:rPr>
        <w:t>supra</w:t>
      </w:r>
      <w:r w:rsidR="009C331C">
        <w:rPr>
          <w:rFonts w:ascii="Verdana" w:hAnsi="Verdana"/>
          <w:sz w:val="16"/>
          <w:szCs w:val="16"/>
          <w:lang w:val="es-ES"/>
        </w:rPr>
        <w:t>,</w:t>
      </w:r>
      <w:r w:rsidRPr="00E03D2D">
        <w:rPr>
          <w:rFonts w:ascii="Verdana" w:hAnsi="Verdana"/>
          <w:sz w:val="16"/>
          <w:szCs w:val="16"/>
          <w:lang w:val="es-ES"/>
        </w:rPr>
        <w:t xml:space="preserve"> párr. 116, y peritaje de Federico Andreu Guzmán rendido por affidavit el 6 de marzo de 2020 (expediente de prueba, fs. 8983</w:t>
      </w:r>
      <w:r w:rsidR="00A117BB">
        <w:rPr>
          <w:rFonts w:ascii="Verdana" w:hAnsi="Verdana"/>
          <w:sz w:val="16"/>
          <w:szCs w:val="16"/>
          <w:lang w:val="es-ES"/>
        </w:rPr>
        <w:t xml:space="preserve"> a</w:t>
      </w:r>
      <w:r w:rsidR="00B440BF">
        <w:rPr>
          <w:rFonts w:ascii="Verdana" w:hAnsi="Verdana"/>
          <w:sz w:val="16"/>
          <w:szCs w:val="16"/>
          <w:lang w:val="es-ES"/>
        </w:rPr>
        <w:t xml:space="preserve"> </w:t>
      </w:r>
      <w:r w:rsidRPr="00E03D2D">
        <w:rPr>
          <w:rFonts w:ascii="Verdana" w:hAnsi="Verdana"/>
          <w:sz w:val="16"/>
          <w:szCs w:val="16"/>
          <w:lang w:val="es-ES"/>
        </w:rPr>
        <w:t xml:space="preserve">9012). </w:t>
      </w:r>
    </w:p>
  </w:footnote>
  <w:footnote w:id="122">
    <w:p w14:paraId="2C217118" w14:textId="032FE5F9" w:rsidR="007B594B" w:rsidRPr="007C693A" w:rsidRDefault="007B594B" w:rsidP="007B594B">
      <w:pPr>
        <w:spacing w:before="60"/>
        <w:jc w:val="both"/>
        <w:rPr>
          <w:rFonts w:ascii="Verdana" w:hAnsi="Verdana"/>
          <w:sz w:val="16"/>
          <w:szCs w:val="16"/>
          <w:lang w:val="es-ES"/>
        </w:rPr>
      </w:pPr>
      <w:r w:rsidRPr="00F83FF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w:t>
      </w:r>
      <w:r w:rsidR="005417B1">
        <w:rPr>
          <w:rFonts w:ascii="Verdana" w:hAnsi="Verdana"/>
          <w:sz w:val="16"/>
          <w:szCs w:val="16"/>
          <w:lang w:val="es-ES"/>
        </w:rPr>
        <w:t>,</w:t>
      </w:r>
      <w:r w:rsidRPr="007C693A">
        <w:rPr>
          <w:rFonts w:ascii="Verdana" w:hAnsi="Verdana"/>
          <w:sz w:val="16"/>
          <w:szCs w:val="16"/>
          <w:lang w:val="es-ES"/>
        </w:rPr>
        <w:t xml:space="preserve"> </w:t>
      </w:r>
      <w:r w:rsidR="00AC4FA9">
        <w:rPr>
          <w:rFonts w:ascii="Verdana" w:hAnsi="Verdana"/>
          <w:i/>
          <w:sz w:val="16"/>
          <w:szCs w:val="16"/>
          <w:lang w:val="es-ES"/>
        </w:rPr>
        <w:t>I</w:t>
      </w:r>
      <w:r w:rsidRPr="007C693A">
        <w:rPr>
          <w:rFonts w:ascii="Verdana" w:hAnsi="Verdana"/>
          <w:i/>
          <w:sz w:val="16"/>
          <w:szCs w:val="16"/>
          <w:lang w:val="es-ES"/>
        </w:rPr>
        <w:t>nter alia, Caso Velásquez Rodríguez Vs. Honduras</w:t>
      </w:r>
      <w:r w:rsidRPr="007C693A">
        <w:rPr>
          <w:rFonts w:ascii="Verdana" w:hAnsi="Verdana"/>
          <w:sz w:val="16"/>
          <w:szCs w:val="16"/>
          <w:lang w:val="es-ES"/>
        </w:rPr>
        <w:t xml:space="preserve">. </w:t>
      </w:r>
      <w:r w:rsidRPr="007C693A">
        <w:rPr>
          <w:rFonts w:ascii="Verdana" w:hAnsi="Verdana"/>
          <w:i/>
          <w:sz w:val="16"/>
          <w:szCs w:val="16"/>
          <w:lang w:val="es-ES"/>
        </w:rPr>
        <w:t>Fondo</w:t>
      </w:r>
      <w:r w:rsidRPr="007C693A">
        <w:rPr>
          <w:rFonts w:ascii="Verdana" w:hAnsi="Verdana"/>
          <w:sz w:val="16"/>
          <w:szCs w:val="16"/>
          <w:lang w:val="es-ES"/>
        </w:rPr>
        <w:t xml:space="preserve">, </w:t>
      </w:r>
      <w:r w:rsidRPr="007C693A">
        <w:rPr>
          <w:rFonts w:ascii="Verdana" w:hAnsi="Verdana"/>
          <w:i/>
          <w:sz w:val="16"/>
          <w:szCs w:val="16"/>
          <w:lang w:val="es-ES"/>
        </w:rPr>
        <w:t>supra</w:t>
      </w:r>
      <w:r w:rsidRPr="007C693A">
        <w:rPr>
          <w:rFonts w:ascii="Verdana" w:hAnsi="Verdana"/>
          <w:sz w:val="16"/>
          <w:szCs w:val="16"/>
          <w:lang w:val="es-ES"/>
        </w:rPr>
        <w:t xml:space="preserve">, párrs. 150, 155 a 158, 186 y 187; </w:t>
      </w:r>
      <w:r w:rsidRPr="007C693A">
        <w:rPr>
          <w:rFonts w:ascii="Verdana" w:hAnsi="Verdana" w:cs="Arial"/>
          <w:i/>
          <w:sz w:val="16"/>
          <w:szCs w:val="16"/>
          <w:shd w:val="clear" w:color="auto" w:fill="FFFFFF"/>
          <w:lang w:val="es-ES"/>
        </w:rPr>
        <w:t>Caso Godínez Cruz Vs. Honduras</w:t>
      </w:r>
      <w:r w:rsidR="00236CB2">
        <w:rPr>
          <w:rFonts w:ascii="Verdana" w:hAnsi="Verdana" w:cs="Arial"/>
          <w:i/>
          <w:sz w:val="16"/>
          <w:szCs w:val="16"/>
          <w:shd w:val="clear" w:color="auto" w:fill="FFFFFF"/>
          <w:lang w:val="es-ES"/>
        </w:rPr>
        <w:t>, supra</w:t>
      </w:r>
      <w:r w:rsidRPr="007C693A">
        <w:rPr>
          <w:rFonts w:ascii="Verdana" w:hAnsi="Verdana" w:cs="Arial"/>
          <w:sz w:val="16"/>
          <w:szCs w:val="16"/>
          <w:shd w:val="clear" w:color="auto" w:fill="FFFFFF"/>
          <w:lang w:val="es-ES"/>
        </w:rPr>
        <w:t xml:space="preserve">, párrs. </w:t>
      </w:r>
      <w:r w:rsidRPr="007C693A">
        <w:rPr>
          <w:rFonts w:ascii="Verdana" w:hAnsi="Verdana"/>
          <w:sz w:val="16"/>
          <w:szCs w:val="16"/>
          <w:lang w:val="es-ES"/>
        </w:rPr>
        <w:t xml:space="preserve">158, 163 a 167, 196 y 197; </w:t>
      </w:r>
      <w:r w:rsidRPr="007C693A">
        <w:rPr>
          <w:rFonts w:ascii="Verdana" w:hAnsi="Verdana" w:cs="Arial"/>
          <w:i/>
          <w:sz w:val="16"/>
          <w:szCs w:val="16"/>
          <w:shd w:val="clear" w:color="auto" w:fill="FFFFFF"/>
          <w:lang w:val="es-ES"/>
        </w:rPr>
        <w:t>Caso Anzualdo Castro Vs. Perú. Excepción Preliminar, Fondo, Reparaciones y Costas.</w:t>
      </w:r>
      <w:r w:rsidRPr="007C693A">
        <w:rPr>
          <w:rFonts w:ascii="Verdana" w:hAnsi="Verdana" w:cs="Arial"/>
          <w:sz w:val="16"/>
          <w:szCs w:val="16"/>
          <w:shd w:val="clear" w:color="auto" w:fill="FFFFFF"/>
          <w:lang w:val="es-ES"/>
        </w:rPr>
        <w:t xml:space="preserve"> Sentencia de 22 de septiembre de 2009. Serie C No. 202, párrs. </w:t>
      </w:r>
      <w:r w:rsidRPr="007C693A">
        <w:rPr>
          <w:rFonts w:ascii="Verdana" w:hAnsi="Verdana"/>
          <w:sz w:val="16"/>
          <w:szCs w:val="16"/>
          <w:lang w:val="es-ES"/>
        </w:rPr>
        <w:t>68 a 103</w:t>
      </w:r>
      <w:r>
        <w:rPr>
          <w:rFonts w:ascii="Verdana" w:hAnsi="Verdana"/>
          <w:sz w:val="16"/>
          <w:szCs w:val="16"/>
          <w:lang w:val="es-ES"/>
        </w:rPr>
        <w:t>;</w:t>
      </w:r>
      <w:r w:rsidRPr="007C693A">
        <w:rPr>
          <w:rFonts w:ascii="Verdana" w:hAnsi="Verdana"/>
          <w:sz w:val="16"/>
          <w:szCs w:val="16"/>
          <w:lang w:val="es-ES"/>
        </w:rPr>
        <w:t xml:space="preserve"> </w:t>
      </w:r>
      <w:r w:rsidRPr="007C693A">
        <w:rPr>
          <w:rFonts w:ascii="Verdana" w:hAnsi="Verdana" w:cs="Arial"/>
          <w:i/>
          <w:sz w:val="16"/>
          <w:szCs w:val="16"/>
          <w:shd w:val="clear" w:color="auto" w:fill="FFFFFF"/>
          <w:lang w:val="es-ES"/>
        </w:rPr>
        <w:t>Caso Isaza Uribe y otros Vs. Colombia. Fondo, Reparaciones y Costas.</w:t>
      </w:r>
      <w:r w:rsidRPr="007C693A">
        <w:rPr>
          <w:rFonts w:ascii="Verdana" w:hAnsi="Verdana" w:cs="Arial"/>
          <w:sz w:val="16"/>
          <w:szCs w:val="16"/>
          <w:shd w:val="clear" w:color="auto" w:fill="FFFFFF"/>
          <w:lang w:val="es-ES"/>
        </w:rPr>
        <w:t xml:space="preserve"> Sentencia de 20 de noviembre de 2018. Serie C No. 363, párr. 81</w:t>
      </w:r>
      <w:r w:rsidR="00131A99">
        <w:rPr>
          <w:rFonts w:ascii="Verdana" w:hAnsi="Verdana" w:cs="Arial"/>
          <w:sz w:val="16"/>
          <w:szCs w:val="16"/>
          <w:shd w:val="clear" w:color="auto" w:fill="FFFFFF"/>
          <w:lang w:val="es-ES"/>
        </w:rPr>
        <w:t>,</w:t>
      </w:r>
      <w:r>
        <w:rPr>
          <w:rFonts w:ascii="Verdana" w:hAnsi="Verdana" w:cs="Arial"/>
          <w:sz w:val="16"/>
          <w:szCs w:val="16"/>
          <w:shd w:val="clear" w:color="auto" w:fill="FFFFFF"/>
          <w:lang w:val="es-ES"/>
        </w:rPr>
        <w:t xml:space="preserve"> y</w:t>
      </w:r>
      <w:r w:rsidRPr="007C693A">
        <w:rPr>
          <w:rFonts w:ascii="Verdana" w:hAnsi="Verdana" w:cs="Arial"/>
          <w:sz w:val="16"/>
          <w:szCs w:val="16"/>
          <w:shd w:val="clear" w:color="auto" w:fill="FFFFFF"/>
          <w:lang w:val="es-ES"/>
        </w:rPr>
        <w:t xml:space="preserve"> </w:t>
      </w:r>
      <w:r w:rsidRPr="007C693A">
        <w:rPr>
          <w:rFonts w:ascii="Verdana" w:hAnsi="Verdana" w:cs="Arial"/>
          <w:i/>
          <w:sz w:val="16"/>
          <w:szCs w:val="16"/>
          <w:shd w:val="clear" w:color="auto" w:fill="FFFFFF"/>
          <w:lang w:val="es-ES"/>
        </w:rPr>
        <w:t>Caso Masacre de la Aldea Los Josefinos Vs. Guatemala</w:t>
      </w:r>
      <w:r w:rsidR="009C331C">
        <w:rPr>
          <w:rFonts w:ascii="Verdana" w:hAnsi="Verdana" w:cs="Arial"/>
          <w:i/>
          <w:sz w:val="16"/>
          <w:szCs w:val="16"/>
          <w:shd w:val="clear" w:color="auto" w:fill="FFFFFF"/>
          <w:lang w:val="es-ES"/>
        </w:rPr>
        <w:t>, supra</w:t>
      </w:r>
      <w:r w:rsidRPr="007C693A">
        <w:rPr>
          <w:rFonts w:ascii="Verdana" w:hAnsi="Verdana" w:cs="Arial"/>
          <w:sz w:val="16"/>
          <w:szCs w:val="16"/>
          <w:shd w:val="clear" w:color="auto" w:fill="FFFFFF"/>
          <w:lang w:val="es-ES"/>
        </w:rPr>
        <w:t xml:space="preserve">, párr. 70. </w:t>
      </w:r>
    </w:p>
  </w:footnote>
  <w:footnote w:id="123">
    <w:p w14:paraId="19FC7B5D" w14:textId="3691D64C" w:rsidR="007B594B" w:rsidRPr="007C693A" w:rsidRDefault="007B594B" w:rsidP="007B594B">
      <w:pPr>
        <w:jc w:val="both"/>
        <w:rPr>
          <w:rFonts w:ascii="Verdana" w:hAnsi="Verdana"/>
          <w:sz w:val="16"/>
          <w:szCs w:val="16"/>
          <w:lang w:val="es-ES"/>
        </w:rPr>
      </w:pPr>
      <w:r w:rsidRPr="00F83FF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 xml:space="preserve">Caso </w:t>
      </w:r>
      <w:r w:rsidRPr="00FC3D09">
        <w:rPr>
          <w:rFonts w:ascii="Verdana" w:hAnsi="Verdana"/>
          <w:i/>
          <w:sz w:val="16"/>
          <w:szCs w:val="16"/>
          <w:lang w:val="es-ES"/>
        </w:rPr>
        <w:t>Goiburú y otros Vs. Paraguay</w:t>
      </w:r>
      <w:r w:rsidRPr="00FC3D09">
        <w:rPr>
          <w:rFonts w:ascii="Verdana" w:hAnsi="Verdana"/>
          <w:sz w:val="16"/>
          <w:szCs w:val="16"/>
          <w:lang w:val="es-ES"/>
        </w:rPr>
        <w:t xml:space="preserve">, </w:t>
      </w:r>
      <w:r w:rsidR="009C331C" w:rsidRPr="009C331C">
        <w:rPr>
          <w:rFonts w:ascii="Verdana" w:hAnsi="Verdana"/>
          <w:i/>
          <w:iCs/>
          <w:sz w:val="16"/>
          <w:szCs w:val="16"/>
          <w:lang w:val="es-ES"/>
        </w:rPr>
        <w:t>supra</w:t>
      </w:r>
      <w:r w:rsidR="009C331C">
        <w:rPr>
          <w:rFonts w:ascii="Verdana" w:hAnsi="Verdana"/>
          <w:sz w:val="16"/>
          <w:szCs w:val="16"/>
          <w:lang w:val="es-ES"/>
        </w:rPr>
        <w:t xml:space="preserve">, </w:t>
      </w:r>
      <w:r w:rsidRPr="00FC3D09">
        <w:rPr>
          <w:rFonts w:ascii="Verdana" w:hAnsi="Verdana"/>
          <w:sz w:val="16"/>
          <w:szCs w:val="16"/>
          <w:lang w:val="es-ES"/>
        </w:rPr>
        <w:t>párr. 85,</w:t>
      </w:r>
      <w:r w:rsidRPr="007C693A">
        <w:rPr>
          <w:rFonts w:ascii="Verdana" w:hAnsi="Verdana"/>
          <w:sz w:val="16"/>
          <w:szCs w:val="16"/>
          <w:lang w:val="es-ES"/>
        </w:rPr>
        <w:t xml:space="preserve"> y </w:t>
      </w:r>
      <w:r w:rsidRPr="007C693A">
        <w:rPr>
          <w:rFonts w:ascii="Verdana" w:hAnsi="Verdana"/>
          <w:i/>
          <w:iCs/>
          <w:sz w:val="16"/>
          <w:szCs w:val="16"/>
          <w:lang w:val="es-ES"/>
        </w:rPr>
        <w:t>Caso Maidanik y otros Vs. Uruguay</w:t>
      </w:r>
      <w:r w:rsidR="009C331C">
        <w:rPr>
          <w:rFonts w:ascii="Verdana" w:hAnsi="Verdana"/>
          <w:i/>
          <w:iCs/>
          <w:sz w:val="16"/>
          <w:szCs w:val="16"/>
          <w:lang w:val="es-ES"/>
        </w:rPr>
        <w:t>, supra</w:t>
      </w:r>
      <w:r w:rsidRPr="007C693A">
        <w:rPr>
          <w:rFonts w:ascii="Verdana" w:hAnsi="Verdana"/>
          <w:sz w:val="16"/>
          <w:szCs w:val="16"/>
          <w:lang w:val="es-ES"/>
        </w:rPr>
        <w:t>, párr. 1</w:t>
      </w:r>
      <w:r>
        <w:rPr>
          <w:rFonts w:ascii="Verdana" w:hAnsi="Verdana"/>
          <w:sz w:val="16"/>
          <w:szCs w:val="16"/>
          <w:lang w:val="es-ES"/>
        </w:rPr>
        <w:t>17</w:t>
      </w:r>
      <w:r w:rsidRPr="007C693A">
        <w:rPr>
          <w:rFonts w:ascii="Verdana" w:hAnsi="Verdana"/>
          <w:sz w:val="16"/>
          <w:szCs w:val="16"/>
          <w:lang w:val="es-ES"/>
        </w:rPr>
        <w:t xml:space="preserve">. </w:t>
      </w:r>
    </w:p>
  </w:footnote>
  <w:footnote w:id="124">
    <w:p w14:paraId="061569DE" w14:textId="77777777" w:rsidR="007B594B" w:rsidRPr="00354604" w:rsidRDefault="007B594B" w:rsidP="007B594B">
      <w:pPr>
        <w:tabs>
          <w:tab w:val="left" w:pos="720"/>
          <w:tab w:val="left" w:pos="810"/>
        </w:tabs>
        <w:jc w:val="both"/>
        <w:rPr>
          <w:rFonts w:ascii="Verdana" w:hAnsi="Verdana"/>
          <w:sz w:val="16"/>
          <w:szCs w:val="16"/>
          <w:highlight w:val="cyan"/>
          <w:lang w:val="es-MX"/>
        </w:rPr>
      </w:pPr>
      <w:r w:rsidRPr="00F83FF8">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257215">
        <w:rPr>
          <w:rFonts w:ascii="Verdana" w:hAnsi="Verdana"/>
          <w:sz w:val="16"/>
          <w:szCs w:val="16"/>
          <w:lang w:val="es-MX"/>
        </w:rPr>
        <w:t>OEA, Informe sobre la Situación de los Derechos Humanos de la República de Bolivia, OEA/Ser.L/V/II.53. Capítulo IV. Derechos políticos, Inciso D, párr. 2</w:t>
      </w:r>
      <w:r w:rsidRPr="00917D2C">
        <w:rPr>
          <w:rFonts w:ascii="Verdana" w:hAnsi="Verdana"/>
          <w:sz w:val="16"/>
          <w:szCs w:val="16"/>
          <w:lang w:val="es-MX"/>
        </w:rPr>
        <w:t xml:space="preserve">, y </w:t>
      </w:r>
      <w:r w:rsidRPr="00917D2C">
        <w:rPr>
          <w:rFonts w:ascii="Verdana" w:hAnsi="Verdana"/>
          <w:i/>
          <w:iCs/>
          <w:sz w:val="16"/>
          <w:szCs w:val="16"/>
          <w:lang w:val="es-MX"/>
        </w:rPr>
        <w:t>supra</w:t>
      </w:r>
      <w:r w:rsidRPr="00917D2C">
        <w:rPr>
          <w:rFonts w:ascii="Verdana" w:hAnsi="Verdana"/>
          <w:sz w:val="16"/>
          <w:szCs w:val="16"/>
          <w:lang w:val="es-MX"/>
        </w:rPr>
        <w:t xml:space="preserve"> párrs. 40 y 41 de la presente Sentencia.</w:t>
      </w:r>
    </w:p>
  </w:footnote>
  <w:footnote w:id="125">
    <w:p w14:paraId="7E8B1D45" w14:textId="285619E2" w:rsidR="007B594B" w:rsidRPr="00113E46" w:rsidRDefault="007B594B" w:rsidP="007B594B">
      <w:pPr>
        <w:jc w:val="both"/>
        <w:rPr>
          <w:rFonts w:ascii="Verdana" w:hAnsi="Verdana"/>
          <w:sz w:val="16"/>
          <w:szCs w:val="16"/>
          <w:highlight w:val="cyan"/>
          <w:lang w:val="es-CR"/>
        </w:rPr>
      </w:pPr>
      <w:r w:rsidRPr="00A81DF1">
        <w:rPr>
          <w:rStyle w:val="Refdenotaalpie"/>
        </w:rPr>
        <w:footnoteRef/>
      </w:r>
      <w:r w:rsidRPr="00A81DF1">
        <w:rPr>
          <w:rFonts w:ascii="Verdana" w:hAnsi="Verdana"/>
          <w:sz w:val="16"/>
          <w:szCs w:val="16"/>
          <w:lang w:val="es-ES"/>
        </w:rPr>
        <w:t xml:space="preserve"> </w:t>
      </w:r>
      <w:r w:rsidRPr="00A81DF1">
        <w:rPr>
          <w:rFonts w:ascii="Verdana" w:hAnsi="Verdana"/>
          <w:sz w:val="16"/>
          <w:szCs w:val="16"/>
          <w:lang w:val="es-ES"/>
        </w:rPr>
        <w:tab/>
      </w:r>
      <w:r w:rsidRPr="00A81DF1">
        <w:rPr>
          <w:rFonts w:ascii="Verdana" w:eastAsia="Verdana" w:hAnsi="Verdana" w:cs="Arial"/>
          <w:sz w:val="16"/>
          <w:szCs w:val="16"/>
          <w:lang w:val="es-MX"/>
        </w:rPr>
        <w:t xml:space="preserve">Respecto a lo sucedido a Juan Carlos Flores Bedregal el día de los hechos, en su declaración testimonial Eduardo Germán Domínguez Bohrt manifestó que él bajaba las escaleras con “vista al mar”; y que Juan Carlos iba delante suyo y recibió una ráfaga de disparos. </w:t>
      </w:r>
      <w:r w:rsidRPr="00A81DF1">
        <w:rPr>
          <w:rFonts w:ascii="Verdana" w:hAnsi="Verdana"/>
          <w:sz w:val="16"/>
          <w:szCs w:val="16"/>
          <w:lang w:val="es-MX"/>
        </w:rPr>
        <w:t>En su declaración precisa que “vista al mar” significa “estar con la vista al piso”</w:t>
      </w:r>
      <w:r w:rsidR="00A117BB">
        <w:rPr>
          <w:rFonts w:ascii="Verdana" w:hAnsi="Verdana"/>
          <w:sz w:val="16"/>
          <w:szCs w:val="16"/>
          <w:lang w:val="es-MX"/>
        </w:rPr>
        <w:t>. D</w:t>
      </w:r>
      <w:r w:rsidR="00A117BB" w:rsidRPr="00A81DF1">
        <w:rPr>
          <w:rFonts w:ascii="Verdana" w:hAnsi="Verdana"/>
          <w:sz w:val="16"/>
          <w:szCs w:val="16"/>
          <w:lang w:val="es-CR"/>
        </w:rPr>
        <w:t xml:space="preserve">eclaración de Eduardo Germán Domínguez Bohrt </w:t>
      </w:r>
      <w:r w:rsidR="00A117BB">
        <w:rPr>
          <w:rFonts w:ascii="Verdana" w:hAnsi="Verdana"/>
          <w:sz w:val="16"/>
          <w:szCs w:val="16"/>
          <w:lang w:val="es-CR"/>
        </w:rPr>
        <w:t xml:space="preserve">de 13 de mayo de 2019, </w:t>
      </w:r>
      <w:r w:rsidR="00A117BB" w:rsidRPr="00FB5A4F">
        <w:rPr>
          <w:rFonts w:ascii="Verdana" w:hAnsi="Verdana"/>
          <w:i/>
          <w:iCs/>
          <w:sz w:val="16"/>
          <w:szCs w:val="16"/>
          <w:lang w:val="es-CR"/>
        </w:rPr>
        <w:t>supra</w:t>
      </w:r>
      <w:r w:rsidRPr="00A81DF1">
        <w:rPr>
          <w:rFonts w:ascii="Verdana" w:hAnsi="Verdana"/>
          <w:sz w:val="16"/>
          <w:szCs w:val="16"/>
          <w:lang w:val="es-CR"/>
        </w:rPr>
        <w:t>, y declaración de Eduardo Germán Domínguez Bohrt rendida</w:t>
      </w:r>
      <w:r w:rsidR="00823FE1">
        <w:rPr>
          <w:rFonts w:ascii="Verdana" w:hAnsi="Verdana"/>
          <w:sz w:val="16"/>
          <w:szCs w:val="16"/>
          <w:lang w:val="es-CR"/>
        </w:rPr>
        <w:t xml:space="preserve"> </w:t>
      </w:r>
      <w:r w:rsidR="00A117BB">
        <w:rPr>
          <w:rFonts w:ascii="Verdana" w:hAnsi="Verdana"/>
          <w:sz w:val="16"/>
          <w:szCs w:val="16"/>
          <w:lang w:val="es-CR"/>
        </w:rPr>
        <w:t xml:space="preserve">ante la Corte, </w:t>
      </w:r>
      <w:r w:rsidR="00A117BB" w:rsidRPr="00FB5A4F">
        <w:rPr>
          <w:rFonts w:ascii="Verdana" w:hAnsi="Verdana"/>
          <w:i/>
          <w:iCs/>
          <w:sz w:val="16"/>
          <w:szCs w:val="16"/>
          <w:lang w:val="es-CR"/>
        </w:rPr>
        <w:t>supra</w:t>
      </w:r>
      <w:r w:rsidR="00A117BB">
        <w:rPr>
          <w:rFonts w:ascii="Verdana" w:hAnsi="Verdana"/>
          <w:sz w:val="16"/>
          <w:szCs w:val="16"/>
          <w:lang w:val="es-CR"/>
        </w:rPr>
        <w:t>.</w:t>
      </w:r>
    </w:p>
  </w:footnote>
  <w:footnote w:id="126">
    <w:p w14:paraId="1CFBDEC8" w14:textId="21804838" w:rsidR="007B594B" w:rsidRPr="007C693A" w:rsidRDefault="007B594B" w:rsidP="007B594B">
      <w:pPr>
        <w:jc w:val="both"/>
        <w:rPr>
          <w:rFonts w:ascii="Verdana" w:hAnsi="Verdana"/>
          <w:sz w:val="16"/>
          <w:szCs w:val="16"/>
          <w:lang w:val="es-ES"/>
        </w:rPr>
      </w:pPr>
      <w:r w:rsidRPr="00ED2398">
        <w:rPr>
          <w:rStyle w:val="Refdenotaalpie"/>
        </w:rPr>
        <w:footnoteRef/>
      </w:r>
      <w:r w:rsidRPr="00ED2398">
        <w:rPr>
          <w:rFonts w:ascii="Verdana" w:hAnsi="Verdana"/>
          <w:sz w:val="16"/>
          <w:szCs w:val="16"/>
          <w:lang w:val="es-ES"/>
        </w:rPr>
        <w:t xml:space="preserve"> </w:t>
      </w:r>
      <w:r w:rsidRPr="00113E46">
        <w:rPr>
          <w:rFonts w:ascii="Verdana" w:hAnsi="Verdana"/>
          <w:sz w:val="16"/>
          <w:szCs w:val="16"/>
          <w:lang w:val="es-ES"/>
        </w:rPr>
        <w:tab/>
      </w:r>
      <w:r w:rsidRPr="00ED2398">
        <w:rPr>
          <w:rFonts w:ascii="Verdana" w:hAnsi="Verdana"/>
          <w:i/>
          <w:iCs/>
          <w:sz w:val="16"/>
          <w:szCs w:val="16"/>
          <w:lang w:val="es-ES"/>
        </w:rPr>
        <w:t>Cfr. Caso Juan Humberto Sánchez Vs. Honduras. Excepción Preliminar, Fondo, Reparaciones y Costas.</w:t>
      </w:r>
      <w:r w:rsidRPr="00ED2398">
        <w:rPr>
          <w:rFonts w:ascii="Verdana" w:hAnsi="Verdana"/>
          <w:sz w:val="16"/>
          <w:szCs w:val="16"/>
          <w:lang w:val="es-ES"/>
        </w:rPr>
        <w:t xml:space="preserve"> Sentencia de 7 de junio de 2003. Serie C No. 99, párr. 127; </w:t>
      </w:r>
      <w:r w:rsidRPr="00ED2398">
        <w:rPr>
          <w:rFonts w:ascii="Verdana" w:hAnsi="Verdana"/>
          <w:i/>
          <w:iCs/>
          <w:sz w:val="16"/>
          <w:szCs w:val="16"/>
          <w:lang w:val="es-ES"/>
        </w:rPr>
        <w:t>Caso Velásquez Paiz y otros Vs. Guatemala. Excepciones Preliminares, Fondo, Reparaciones y Costas</w:t>
      </w:r>
      <w:r w:rsidRPr="00ED2398">
        <w:rPr>
          <w:rFonts w:ascii="Verdana" w:hAnsi="Verdana"/>
          <w:sz w:val="16"/>
          <w:szCs w:val="16"/>
          <w:lang w:val="es-ES"/>
        </w:rPr>
        <w:t xml:space="preserve">. Sentencia de 19 de noviembre de 2015. Serie C No. 307, párr. 150; </w:t>
      </w:r>
      <w:r w:rsidRPr="00ED2398">
        <w:rPr>
          <w:rFonts w:ascii="Verdana" w:hAnsi="Verdana"/>
          <w:i/>
          <w:iCs/>
          <w:sz w:val="16"/>
          <w:szCs w:val="16"/>
          <w:lang w:val="es-ES"/>
        </w:rPr>
        <w:t>Caso Ruiz Fuentes y otra Vs. Guatemala. Excepción Preliminar, Fondo, Reparaciones y Costas</w:t>
      </w:r>
      <w:r w:rsidRPr="00ED2398">
        <w:rPr>
          <w:rFonts w:ascii="Verdana" w:hAnsi="Verdana"/>
          <w:sz w:val="16"/>
          <w:szCs w:val="16"/>
          <w:lang w:val="es-ES"/>
        </w:rPr>
        <w:t>. Sentencia de 10 de octubre de 2019. Serie C No. 38</w:t>
      </w:r>
      <w:r w:rsidRPr="00113E46">
        <w:rPr>
          <w:rFonts w:ascii="Verdana" w:hAnsi="Verdana"/>
          <w:sz w:val="16"/>
          <w:szCs w:val="16"/>
          <w:lang w:val="es-ES"/>
        </w:rPr>
        <w:t>4</w:t>
      </w:r>
      <w:r w:rsidRPr="00ED2398">
        <w:rPr>
          <w:rFonts w:ascii="Verdana" w:hAnsi="Verdana"/>
          <w:sz w:val="16"/>
          <w:szCs w:val="16"/>
          <w:lang w:val="es-ES"/>
        </w:rPr>
        <w:t>, párr. 180</w:t>
      </w:r>
      <w:r w:rsidR="00B440BF">
        <w:rPr>
          <w:rFonts w:ascii="Verdana" w:hAnsi="Verdana"/>
          <w:sz w:val="16"/>
          <w:szCs w:val="16"/>
          <w:lang w:val="es-ES"/>
        </w:rPr>
        <w:t>,</w:t>
      </w:r>
      <w:r w:rsidRPr="00ED2398">
        <w:rPr>
          <w:rFonts w:ascii="Verdana" w:hAnsi="Verdana"/>
          <w:sz w:val="16"/>
          <w:szCs w:val="16"/>
          <w:lang w:val="es-ES"/>
        </w:rPr>
        <w:t xml:space="preserve"> y </w:t>
      </w:r>
      <w:r w:rsidRPr="00ED2398">
        <w:rPr>
          <w:rFonts w:ascii="Verdana" w:hAnsi="Verdana"/>
          <w:i/>
          <w:iCs/>
          <w:sz w:val="16"/>
          <w:szCs w:val="16"/>
          <w:lang w:val="es-ES"/>
        </w:rPr>
        <w:t xml:space="preserve">Caso Olivares Muñoz y otros Vs. Venezuela. Fondo, Reparaciones y Costas. </w:t>
      </w:r>
      <w:r w:rsidRPr="00ED2398">
        <w:rPr>
          <w:rFonts w:ascii="Verdana" w:hAnsi="Verdana"/>
          <w:sz w:val="16"/>
          <w:szCs w:val="16"/>
          <w:lang w:val="es-ES"/>
        </w:rPr>
        <w:t>Sentencia de 10 de noviembre de 2020. Serie C No. 415, pie de página 154.</w:t>
      </w:r>
    </w:p>
  </w:footnote>
  <w:footnote w:id="127">
    <w:p w14:paraId="059E6DA2" w14:textId="6FB4A746" w:rsidR="007B594B" w:rsidRPr="00CC3BC2" w:rsidRDefault="007B594B" w:rsidP="007B594B">
      <w:pPr>
        <w:jc w:val="both"/>
        <w:rPr>
          <w:rFonts w:ascii="Verdana" w:hAnsi="Verdana"/>
          <w:sz w:val="16"/>
          <w:szCs w:val="16"/>
          <w:lang w:val="es-GT"/>
        </w:rPr>
      </w:pPr>
      <w:r w:rsidRPr="00F83FF8">
        <w:rPr>
          <w:rStyle w:val="Refdenotaalpie"/>
        </w:rPr>
        <w:footnoteRef/>
      </w:r>
      <w:r w:rsidRPr="00E57AF1">
        <w:rPr>
          <w:rStyle w:val="Refdenotaalpie"/>
          <w:lang w:val="es-CR"/>
        </w:rPr>
        <w:t xml:space="preserve"> </w:t>
      </w:r>
      <w:r w:rsidRPr="007C693A">
        <w:rPr>
          <w:rFonts w:ascii="Verdana" w:hAnsi="Verdana"/>
          <w:sz w:val="16"/>
          <w:szCs w:val="16"/>
          <w:lang w:val="es-GT"/>
        </w:rPr>
        <w:tab/>
      </w:r>
      <w:r w:rsidRPr="002518C2">
        <w:rPr>
          <w:rFonts w:ascii="Verdana" w:hAnsi="Verdana"/>
          <w:i/>
          <w:spacing w:val="-4"/>
          <w:sz w:val="16"/>
          <w:szCs w:val="16"/>
          <w:lang w:val="es-ES"/>
        </w:rPr>
        <w:t>Cfr.</w:t>
      </w:r>
      <w:r w:rsidRPr="002518C2">
        <w:rPr>
          <w:rFonts w:ascii="Verdana" w:hAnsi="Verdana"/>
          <w:spacing w:val="-4"/>
          <w:sz w:val="16"/>
          <w:szCs w:val="16"/>
          <w:lang w:val="es-ES"/>
        </w:rPr>
        <w:t xml:space="preserve"> </w:t>
      </w:r>
      <w:r w:rsidRPr="002518C2">
        <w:rPr>
          <w:rFonts w:ascii="Verdana" w:hAnsi="Verdana"/>
          <w:i/>
          <w:spacing w:val="-4"/>
          <w:sz w:val="16"/>
          <w:szCs w:val="16"/>
          <w:lang w:val="es-ES"/>
        </w:rPr>
        <w:t>Caso González y otras (“Campo Algodonero”) Vs. México</w:t>
      </w:r>
      <w:r w:rsidR="009C331C">
        <w:rPr>
          <w:rFonts w:ascii="Verdana" w:hAnsi="Verdana"/>
          <w:i/>
          <w:spacing w:val="-4"/>
          <w:sz w:val="16"/>
          <w:szCs w:val="16"/>
          <w:lang w:val="es-ES"/>
        </w:rPr>
        <w:t xml:space="preserve">. </w:t>
      </w:r>
      <w:r w:rsidR="00A47C0A" w:rsidRPr="00FB5A4F">
        <w:rPr>
          <w:rFonts w:ascii="Verdana" w:hAnsi="Verdana"/>
          <w:i/>
          <w:spacing w:val="-4"/>
          <w:sz w:val="16"/>
          <w:szCs w:val="16"/>
          <w:lang w:val="es-ES"/>
        </w:rPr>
        <w:t>Excepción Preliminar, Fondo, Reparaciones y Costas</w:t>
      </w:r>
      <w:r w:rsidR="00A47C0A">
        <w:rPr>
          <w:rFonts w:ascii="Verdana" w:hAnsi="Verdana"/>
          <w:iCs/>
          <w:spacing w:val="-4"/>
          <w:sz w:val="16"/>
          <w:szCs w:val="16"/>
          <w:lang w:val="es-ES"/>
        </w:rPr>
        <w:t>. Sentencia de 16 de noviembre de 2009. Serie C No. 205,</w:t>
      </w:r>
      <w:r w:rsidR="009C331C">
        <w:rPr>
          <w:rFonts w:ascii="Verdana" w:hAnsi="Verdana"/>
          <w:i/>
          <w:spacing w:val="-4"/>
          <w:sz w:val="16"/>
          <w:szCs w:val="16"/>
          <w:lang w:val="es-ES"/>
        </w:rPr>
        <w:t xml:space="preserve"> </w:t>
      </w:r>
      <w:r w:rsidRPr="002518C2">
        <w:rPr>
          <w:rFonts w:ascii="Verdana" w:hAnsi="Verdana"/>
          <w:spacing w:val="-4"/>
          <w:sz w:val="16"/>
          <w:szCs w:val="16"/>
          <w:lang w:val="es-ES"/>
        </w:rPr>
        <w:t>párr. 3</w:t>
      </w:r>
      <w:r w:rsidRPr="00113E46">
        <w:rPr>
          <w:rFonts w:ascii="Verdana" w:hAnsi="Verdana"/>
          <w:spacing w:val="-4"/>
          <w:sz w:val="16"/>
          <w:szCs w:val="16"/>
          <w:lang w:val="es-ES"/>
        </w:rPr>
        <w:t>1</w:t>
      </w:r>
      <w:r w:rsidRPr="002518C2">
        <w:rPr>
          <w:rFonts w:ascii="Verdana" w:hAnsi="Verdana"/>
          <w:spacing w:val="-4"/>
          <w:sz w:val="16"/>
          <w:szCs w:val="16"/>
          <w:lang w:val="es-ES"/>
        </w:rPr>
        <w:t>0</w:t>
      </w:r>
      <w:r>
        <w:rPr>
          <w:rFonts w:ascii="Verdana" w:hAnsi="Verdana"/>
          <w:sz w:val="16"/>
          <w:szCs w:val="16"/>
          <w:lang w:val="es-ES"/>
        </w:rPr>
        <w:t xml:space="preserve">; </w:t>
      </w:r>
      <w:r w:rsidRPr="00354604">
        <w:rPr>
          <w:rFonts w:ascii="Verdana" w:hAnsi="Verdana"/>
          <w:i/>
          <w:iCs/>
          <w:spacing w:val="-4"/>
          <w:sz w:val="16"/>
          <w:szCs w:val="16"/>
          <w:lang w:val="es-ES"/>
        </w:rPr>
        <w:t>Caso Velásquez Paiz y otros Vs. Guatemala</w:t>
      </w:r>
      <w:r w:rsidRPr="002518C2">
        <w:rPr>
          <w:rFonts w:ascii="Verdana" w:hAnsi="Verdana"/>
          <w:spacing w:val="-4"/>
          <w:sz w:val="16"/>
          <w:szCs w:val="16"/>
          <w:lang w:val="es-ES"/>
        </w:rPr>
        <w:t>,</w:t>
      </w:r>
      <w:r w:rsidR="00236CB2">
        <w:rPr>
          <w:rFonts w:ascii="Verdana" w:hAnsi="Verdana"/>
          <w:spacing w:val="-4"/>
          <w:sz w:val="16"/>
          <w:szCs w:val="16"/>
          <w:lang w:val="es-ES"/>
        </w:rPr>
        <w:t xml:space="preserve"> </w:t>
      </w:r>
      <w:r w:rsidR="00236CB2" w:rsidRPr="00BB7208">
        <w:rPr>
          <w:rFonts w:ascii="Verdana" w:hAnsi="Verdana"/>
          <w:i/>
          <w:iCs/>
          <w:spacing w:val="-4"/>
          <w:sz w:val="16"/>
          <w:szCs w:val="16"/>
          <w:lang w:val="es-ES"/>
        </w:rPr>
        <w:t>supra</w:t>
      </w:r>
      <w:r w:rsidR="00236CB2">
        <w:rPr>
          <w:rFonts w:ascii="Verdana" w:hAnsi="Verdana"/>
          <w:spacing w:val="-4"/>
          <w:sz w:val="16"/>
          <w:szCs w:val="16"/>
          <w:lang w:val="es-ES"/>
        </w:rPr>
        <w:t>,</w:t>
      </w:r>
      <w:r w:rsidRPr="002518C2">
        <w:rPr>
          <w:rFonts w:ascii="Verdana" w:hAnsi="Verdana"/>
          <w:spacing w:val="-4"/>
          <w:sz w:val="16"/>
          <w:szCs w:val="16"/>
          <w:lang w:val="es-ES"/>
        </w:rPr>
        <w:t xml:space="preserve"> párr. 151</w:t>
      </w:r>
      <w:r>
        <w:rPr>
          <w:rFonts w:ascii="Verdana" w:hAnsi="Verdana"/>
          <w:spacing w:val="-4"/>
          <w:sz w:val="16"/>
          <w:szCs w:val="16"/>
          <w:lang w:val="es-ES"/>
        </w:rPr>
        <w:t xml:space="preserve">, </w:t>
      </w:r>
      <w:r w:rsidRPr="00E03D2D">
        <w:rPr>
          <w:rFonts w:ascii="Verdana" w:hAnsi="Verdana"/>
          <w:spacing w:val="-4"/>
          <w:sz w:val="16"/>
          <w:szCs w:val="16"/>
          <w:lang w:val="es-ES"/>
        </w:rPr>
        <w:t>citando el</w:t>
      </w:r>
      <w:r w:rsidRPr="00E03D2D">
        <w:rPr>
          <w:rFonts w:ascii="Verdana" w:hAnsi="Verdana"/>
          <w:i/>
          <w:spacing w:val="-4"/>
          <w:sz w:val="16"/>
          <w:szCs w:val="16"/>
          <w:lang w:val="es-ES"/>
        </w:rPr>
        <w:t xml:space="preserve"> </w:t>
      </w:r>
      <w:r w:rsidRPr="00CC3BC2">
        <w:rPr>
          <w:rFonts w:ascii="Verdana" w:hAnsi="Verdana"/>
          <w:i/>
          <w:spacing w:val="-4"/>
          <w:sz w:val="16"/>
          <w:szCs w:val="16"/>
          <w:lang w:val="es-ES"/>
        </w:rPr>
        <w:t xml:space="preserve">Manual sobre la Prevención e Investigación Efectiva de Ejecuciones Extrajudiciales, Arbitrarias y Sumarias de Naciones Unidas </w:t>
      </w:r>
      <w:r w:rsidRPr="00CC3BC2">
        <w:rPr>
          <w:rFonts w:ascii="Verdana" w:hAnsi="Verdana"/>
          <w:i/>
          <w:sz w:val="16"/>
          <w:szCs w:val="16"/>
          <w:lang w:val="es-ES"/>
        </w:rPr>
        <w:t>(Protocolo de Minnesota)</w:t>
      </w:r>
      <w:r w:rsidRPr="00CC3BC2">
        <w:rPr>
          <w:rFonts w:ascii="Verdana" w:hAnsi="Verdana"/>
          <w:sz w:val="16"/>
          <w:szCs w:val="16"/>
          <w:lang w:val="es-ES"/>
        </w:rPr>
        <w:t xml:space="preserve">, </w:t>
      </w:r>
      <w:r w:rsidRPr="00CC3BC2">
        <w:rPr>
          <w:rFonts w:ascii="Verdana" w:hAnsi="Verdana"/>
          <w:i/>
          <w:sz w:val="16"/>
          <w:szCs w:val="16"/>
          <w:lang w:val="es-ES"/>
        </w:rPr>
        <w:t>supra</w:t>
      </w:r>
      <w:r w:rsidRPr="00CC3BC2">
        <w:rPr>
          <w:rFonts w:ascii="Verdana" w:hAnsi="Verdana"/>
          <w:spacing w:val="-4"/>
          <w:sz w:val="16"/>
          <w:szCs w:val="16"/>
          <w:lang w:val="es-ES"/>
        </w:rPr>
        <w:t xml:space="preserve">; </w:t>
      </w:r>
      <w:r w:rsidRPr="00CC3BC2">
        <w:rPr>
          <w:rFonts w:ascii="Verdana" w:hAnsi="Verdana"/>
          <w:bCs/>
          <w:i/>
          <w:iCs/>
          <w:spacing w:val="-4"/>
          <w:sz w:val="16"/>
          <w:szCs w:val="16"/>
          <w:lang w:val="es-GT"/>
        </w:rPr>
        <w:t>Caso Defensor de Derechos Humanos y otros Vs. Guatemala</w:t>
      </w:r>
      <w:r w:rsidR="009C331C">
        <w:rPr>
          <w:rFonts w:ascii="Verdana" w:hAnsi="Verdana"/>
          <w:bCs/>
          <w:spacing w:val="-4"/>
          <w:sz w:val="16"/>
          <w:szCs w:val="16"/>
          <w:lang w:val="es-GT"/>
        </w:rPr>
        <w:t xml:space="preserve">. </w:t>
      </w:r>
      <w:r w:rsidR="006F0663">
        <w:rPr>
          <w:rFonts w:ascii="Verdana" w:hAnsi="Verdana"/>
          <w:i/>
          <w:sz w:val="16"/>
          <w:szCs w:val="16"/>
          <w:lang w:val="es-ES"/>
        </w:rPr>
        <w:t xml:space="preserve">Excepciones Preliminares, Fondo, Reparaciones y Costas. </w:t>
      </w:r>
      <w:r w:rsidR="006F0663">
        <w:rPr>
          <w:rFonts w:ascii="Verdana" w:hAnsi="Verdana"/>
          <w:sz w:val="16"/>
          <w:szCs w:val="16"/>
          <w:lang w:val="es-ES"/>
        </w:rPr>
        <w:t>Sentencia de 28 de agosto de 2014. Serie C No. 283</w:t>
      </w:r>
      <w:r w:rsidR="009C331C">
        <w:rPr>
          <w:rFonts w:ascii="Verdana" w:hAnsi="Verdana"/>
          <w:bCs/>
          <w:spacing w:val="-4"/>
          <w:sz w:val="16"/>
          <w:szCs w:val="16"/>
          <w:lang w:val="es-GT"/>
        </w:rPr>
        <w:t xml:space="preserve">, </w:t>
      </w:r>
      <w:r w:rsidRPr="00CC3BC2">
        <w:rPr>
          <w:rFonts w:ascii="Verdana" w:hAnsi="Verdana"/>
          <w:bCs/>
          <w:spacing w:val="-4"/>
          <w:sz w:val="16"/>
          <w:szCs w:val="16"/>
          <w:lang w:val="es-GT"/>
        </w:rPr>
        <w:t>párr. 207</w:t>
      </w:r>
      <w:r w:rsidRPr="00CC3BC2">
        <w:rPr>
          <w:rFonts w:ascii="Verdana" w:hAnsi="Verdana"/>
          <w:spacing w:val="-4"/>
          <w:sz w:val="16"/>
          <w:szCs w:val="16"/>
          <w:lang w:val="es-ES"/>
        </w:rPr>
        <w:t xml:space="preserve">; </w:t>
      </w:r>
      <w:r w:rsidRPr="00CC3BC2">
        <w:rPr>
          <w:rFonts w:ascii="Verdana" w:hAnsi="Verdana"/>
          <w:i/>
          <w:iCs/>
          <w:spacing w:val="-4"/>
          <w:sz w:val="16"/>
          <w:szCs w:val="16"/>
          <w:lang w:val="es-ES"/>
        </w:rPr>
        <w:t>Caso Velásquez Paiz y otros Vs. Guatemala</w:t>
      </w:r>
      <w:r w:rsidRPr="00CC3BC2">
        <w:rPr>
          <w:rFonts w:ascii="Verdana" w:hAnsi="Verdana"/>
          <w:spacing w:val="-4"/>
          <w:sz w:val="16"/>
          <w:szCs w:val="16"/>
          <w:lang w:val="es-ES"/>
        </w:rPr>
        <w:t xml:space="preserve">, </w:t>
      </w:r>
      <w:r w:rsidRPr="00CC3BC2">
        <w:rPr>
          <w:rFonts w:ascii="Verdana" w:hAnsi="Verdana"/>
          <w:i/>
          <w:iCs/>
          <w:spacing w:val="-4"/>
          <w:sz w:val="16"/>
          <w:szCs w:val="16"/>
          <w:lang w:val="es-ES"/>
        </w:rPr>
        <w:t>supra</w:t>
      </w:r>
      <w:r w:rsidRPr="00CC3BC2">
        <w:rPr>
          <w:rFonts w:ascii="Verdana" w:hAnsi="Verdana"/>
          <w:spacing w:val="-4"/>
          <w:sz w:val="16"/>
          <w:szCs w:val="16"/>
          <w:lang w:val="es-ES"/>
        </w:rPr>
        <w:t>, párr. 153</w:t>
      </w:r>
      <w:r w:rsidR="00A117BB">
        <w:rPr>
          <w:rFonts w:ascii="Verdana" w:hAnsi="Verdana"/>
          <w:spacing w:val="-4"/>
          <w:sz w:val="16"/>
          <w:szCs w:val="16"/>
          <w:lang w:val="es-ES"/>
        </w:rPr>
        <w:t>,</w:t>
      </w:r>
      <w:r w:rsidRPr="00CC3BC2">
        <w:rPr>
          <w:rFonts w:ascii="Verdana" w:hAnsi="Verdana"/>
          <w:spacing w:val="-4"/>
          <w:sz w:val="16"/>
          <w:szCs w:val="16"/>
          <w:lang w:val="es-ES"/>
        </w:rPr>
        <w:t xml:space="preserve"> y </w:t>
      </w:r>
      <w:r w:rsidRPr="00CC3BC2">
        <w:rPr>
          <w:rFonts w:ascii="Verdana" w:hAnsi="Verdana"/>
          <w:i/>
          <w:iCs/>
          <w:sz w:val="16"/>
          <w:szCs w:val="16"/>
          <w:lang w:val="es-ES"/>
        </w:rPr>
        <w:t>Caso Olivares Muñoz y otros Vs. Venezuela</w:t>
      </w:r>
      <w:r w:rsidR="009C331C">
        <w:rPr>
          <w:rFonts w:ascii="Verdana" w:hAnsi="Verdana"/>
          <w:i/>
          <w:iCs/>
          <w:sz w:val="16"/>
          <w:szCs w:val="16"/>
          <w:lang w:val="es-ES"/>
        </w:rPr>
        <w:t>, supra</w:t>
      </w:r>
      <w:r w:rsidRPr="00CC3BC2">
        <w:rPr>
          <w:rFonts w:ascii="Verdana" w:hAnsi="Verdana"/>
          <w:sz w:val="16"/>
          <w:szCs w:val="16"/>
          <w:lang w:val="es-ES"/>
        </w:rPr>
        <w:t>, párr. 126.</w:t>
      </w:r>
    </w:p>
  </w:footnote>
  <w:footnote w:id="128">
    <w:p w14:paraId="29E0A490" w14:textId="6F0482B1" w:rsidR="007B594B" w:rsidRPr="00CC3BC2" w:rsidRDefault="007B594B" w:rsidP="007B594B">
      <w:pPr>
        <w:jc w:val="both"/>
        <w:rPr>
          <w:rFonts w:ascii="Verdana" w:hAnsi="Verdana"/>
          <w:sz w:val="16"/>
          <w:szCs w:val="16"/>
          <w:lang w:val="es-ES"/>
        </w:rPr>
      </w:pPr>
      <w:r w:rsidRPr="00CC3BC2">
        <w:rPr>
          <w:rStyle w:val="Refdenotaalpie"/>
        </w:rPr>
        <w:footnoteRef/>
      </w:r>
      <w:r w:rsidRPr="00CC3BC2">
        <w:rPr>
          <w:rFonts w:ascii="Verdana" w:hAnsi="Verdana"/>
          <w:sz w:val="16"/>
          <w:szCs w:val="16"/>
          <w:lang w:val="es-ES"/>
        </w:rPr>
        <w:t xml:space="preserve"> </w:t>
      </w:r>
      <w:r w:rsidRPr="00CC3BC2">
        <w:rPr>
          <w:rFonts w:ascii="Verdana" w:hAnsi="Verdana"/>
          <w:sz w:val="16"/>
          <w:szCs w:val="16"/>
          <w:lang w:val="es-ES"/>
        </w:rPr>
        <w:tab/>
      </w:r>
      <w:r w:rsidRPr="00CC3BC2">
        <w:rPr>
          <w:rFonts w:ascii="Verdana" w:hAnsi="Verdana"/>
          <w:i/>
          <w:sz w:val="16"/>
          <w:szCs w:val="16"/>
          <w:lang w:val="es-ES"/>
        </w:rPr>
        <w:t>Cfr</w:t>
      </w:r>
      <w:r w:rsidRPr="00CC3BC2">
        <w:rPr>
          <w:rFonts w:ascii="Verdana" w:hAnsi="Verdana"/>
          <w:sz w:val="16"/>
          <w:szCs w:val="16"/>
          <w:lang w:val="es-ES"/>
        </w:rPr>
        <w:t xml:space="preserve">. </w:t>
      </w:r>
      <w:r w:rsidRPr="00CC3BC2">
        <w:rPr>
          <w:rFonts w:ascii="Verdana" w:hAnsi="Verdana"/>
          <w:i/>
          <w:sz w:val="16"/>
          <w:szCs w:val="16"/>
          <w:lang w:val="es-ES"/>
        </w:rPr>
        <w:t>Caso González y otras (“Campo Algodonero”) Vs. México, supra,</w:t>
      </w:r>
      <w:r w:rsidRPr="00CC3BC2">
        <w:rPr>
          <w:rFonts w:ascii="Verdana" w:hAnsi="Verdana"/>
          <w:sz w:val="16"/>
          <w:szCs w:val="16"/>
          <w:lang w:val="es-ES"/>
        </w:rPr>
        <w:t xml:space="preserve"> párr. 310, </w:t>
      </w:r>
      <w:r w:rsidRPr="00CC3BC2">
        <w:rPr>
          <w:rFonts w:ascii="Verdana" w:eastAsia="Calibri" w:hAnsi="Verdana"/>
          <w:sz w:val="16"/>
          <w:szCs w:val="16"/>
          <w:lang w:val="es-ES"/>
        </w:rPr>
        <w:t>y</w:t>
      </w:r>
      <w:r w:rsidRPr="00CC3BC2">
        <w:rPr>
          <w:rFonts w:ascii="Verdana" w:hAnsi="Verdana"/>
          <w:sz w:val="16"/>
          <w:szCs w:val="16"/>
          <w:lang w:val="es-ES"/>
        </w:rPr>
        <w:t xml:space="preserve"> </w:t>
      </w:r>
      <w:r w:rsidRPr="00CC3BC2">
        <w:rPr>
          <w:rFonts w:ascii="Verdana" w:eastAsia="Calibri" w:hAnsi="Verdana"/>
          <w:i/>
          <w:iCs/>
          <w:sz w:val="16"/>
          <w:szCs w:val="16"/>
          <w:lang w:val="es-ES"/>
        </w:rPr>
        <w:t>Caso Olivares Muñoz y otros Vs. Venezuela</w:t>
      </w:r>
      <w:r w:rsidR="009C331C">
        <w:rPr>
          <w:rFonts w:ascii="Verdana" w:eastAsia="Calibri" w:hAnsi="Verdana"/>
          <w:i/>
          <w:iCs/>
          <w:sz w:val="16"/>
          <w:szCs w:val="16"/>
          <w:lang w:val="es-ES"/>
        </w:rPr>
        <w:t>, supra</w:t>
      </w:r>
      <w:r w:rsidRPr="00CC3BC2">
        <w:rPr>
          <w:rFonts w:ascii="Verdana" w:eastAsia="Calibri" w:hAnsi="Verdana"/>
          <w:sz w:val="16"/>
          <w:szCs w:val="16"/>
          <w:lang w:val="es-ES"/>
        </w:rPr>
        <w:t xml:space="preserve">, párr. 126. </w:t>
      </w:r>
    </w:p>
  </w:footnote>
  <w:footnote w:id="129">
    <w:p w14:paraId="2A15F172" w14:textId="370DCB21" w:rsidR="007B594B" w:rsidRPr="007C693A" w:rsidRDefault="007B594B" w:rsidP="007B594B">
      <w:pPr>
        <w:jc w:val="both"/>
        <w:rPr>
          <w:rFonts w:ascii="Verdana" w:hAnsi="Verdana"/>
          <w:iCs/>
          <w:spacing w:val="-4"/>
          <w:sz w:val="16"/>
          <w:szCs w:val="16"/>
          <w:lang w:val="es-ES"/>
        </w:rPr>
      </w:pPr>
      <w:r w:rsidRPr="00CC3BC2">
        <w:rPr>
          <w:rStyle w:val="Refdenotaalpie"/>
        </w:rPr>
        <w:footnoteRef/>
      </w:r>
      <w:r w:rsidRPr="00CC3BC2">
        <w:rPr>
          <w:rStyle w:val="Refdenotaalpie"/>
          <w:lang w:val="es-CR"/>
        </w:rPr>
        <w:t xml:space="preserve"> </w:t>
      </w:r>
      <w:r w:rsidRPr="00CC3BC2">
        <w:rPr>
          <w:rFonts w:ascii="Verdana" w:hAnsi="Verdana"/>
          <w:spacing w:val="-4"/>
          <w:sz w:val="16"/>
          <w:szCs w:val="16"/>
          <w:lang w:val="es-ES"/>
        </w:rPr>
        <w:tab/>
      </w:r>
      <w:r w:rsidRPr="00CC3BC2">
        <w:rPr>
          <w:rFonts w:ascii="Verdana" w:hAnsi="Verdana"/>
          <w:i/>
          <w:spacing w:val="-4"/>
          <w:sz w:val="16"/>
          <w:szCs w:val="16"/>
          <w:lang w:val="es-ES"/>
        </w:rPr>
        <w:t xml:space="preserve">Cfr. </w:t>
      </w:r>
      <w:r w:rsidRPr="00CC3BC2">
        <w:rPr>
          <w:rFonts w:ascii="Verdana" w:hAnsi="Verdana"/>
          <w:i/>
          <w:iCs/>
          <w:spacing w:val="-4"/>
          <w:sz w:val="16"/>
          <w:szCs w:val="16"/>
          <w:lang w:val="es-ES"/>
        </w:rPr>
        <w:t>Ca</w:t>
      </w:r>
      <w:r w:rsidRPr="00CC3BC2">
        <w:rPr>
          <w:rFonts w:ascii="Verdana" w:hAnsi="Verdana"/>
          <w:i/>
          <w:spacing w:val="-4"/>
          <w:sz w:val="16"/>
          <w:szCs w:val="16"/>
          <w:lang w:val="es-ES"/>
        </w:rPr>
        <w:t>so</w:t>
      </w:r>
      <w:r w:rsidRPr="00CC3BC2">
        <w:rPr>
          <w:rFonts w:ascii="Verdana" w:hAnsi="Verdana" w:cs="Arial"/>
          <w:i/>
          <w:spacing w:val="-4"/>
          <w:sz w:val="16"/>
          <w:szCs w:val="16"/>
          <w:lang w:val="es-ES"/>
        </w:rPr>
        <w:t xml:space="preserve"> Juan Humberto Sánchez </w:t>
      </w:r>
      <w:r w:rsidRPr="00CC3BC2">
        <w:rPr>
          <w:rFonts w:ascii="Verdana" w:hAnsi="Verdana" w:cs="Arial"/>
          <w:bCs/>
          <w:i/>
          <w:spacing w:val="-4"/>
          <w:sz w:val="16"/>
          <w:szCs w:val="16"/>
          <w:lang w:val="es-ES"/>
        </w:rPr>
        <w:t>Vs. Honduras</w:t>
      </w:r>
      <w:r w:rsidRPr="00CC3BC2">
        <w:rPr>
          <w:rFonts w:ascii="Verdana" w:hAnsi="Verdana"/>
          <w:i/>
          <w:sz w:val="16"/>
          <w:szCs w:val="16"/>
          <w:lang w:val="es-ES"/>
        </w:rPr>
        <w:t>, supra</w:t>
      </w:r>
      <w:r w:rsidRPr="00CC3BC2">
        <w:rPr>
          <w:rFonts w:ascii="Verdana" w:hAnsi="Verdana"/>
          <w:sz w:val="16"/>
          <w:szCs w:val="16"/>
          <w:lang w:val="es-ES"/>
        </w:rPr>
        <w:t xml:space="preserve">, </w:t>
      </w:r>
      <w:r w:rsidRPr="00CC3BC2">
        <w:rPr>
          <w:rFonts w:ascii="Verdana" w:hAnsi="Verdana"/>
          <w:bCs/>
          <w:spacing w:val="-4"/>
          <w:sz w:val="16"/>
          <w:szCs w:val="16"/>
          <w:lang w:val="es-ES"/>
        </w:rPr>
        <w:t>párr.</w:t>
      </w:r>
      <w:r w:rsidRPr="00CC3BC2">
        <w:rPr>
          <w:rFonts w:ascii="Verdana" w:hAnsi="Verdana"/>
          <w:spacing w:val="-4"/>
          <w:sz w:val="16"/>
          <w:szCs w:val="16"/>
          <w:lang w:val="es-ES"/>
        </w:rPr>
        <w:t xml:space="preserve"> 127</w:t>
      </w:r>
      <w:r w:rsidRPr="00CC3BC2">
        <w:rPr>
          <w:rFonts w:ascii="Verdana" w:hAnsi="Verdana" w:cs="Verdana"/>
          <w:spacing w:val="-4"/>
          <w:sz w:val="16"/>
          <w:szCs w:val="16"/>
          <w:lang w:val="es-ES"/>
        </w:rPr>
        <w:t>;</w:t>
      </w:r>
      <w:r w:rsidRPr="00CC3BC2">
        <w:rPr>
          <w:rFonts w:ascii="Verdana" w:hAnsi="Verdana" w:cs="Verdana"/>
          <w:iCs/>
          <w:spacing w:val="-4"/>
          <w:sz w:val="16"/>
          <w:szCs w:val="16"/>
          <w:lang w:val="es-ES"/>
        </w:rPr>
        <w:t xml:space="preserve"> </w:t>
      </w:r>
      <w:r w:rsidRPr="00CC3BC2">
        <w:rPr>
          <w:rFonts w:ascii="Verdana" w:eastAsia="Calibri" w:hAnsi="Verdana"/>
          <w:i/>
          <w:iCs/>
          <w:sz w:val="16"/>
          <w:szCs w:val="16"/>
          <w:lang w:val="es-ES"/>
        </w:rPr>
        <w:t>Caso Olivares Muñoz y otros Vs. Venezuela, supra</w:t>
      </w:r>
      <w:r w:rsidRPr="00CC3BC2">
        <w:rPr>
          <w:rFonts w:ascii="Verdana" w:eastAsia="Calibri" w:hAnsi="Verdana"/>
          <w:sz w:val="16"/>
          <w:szCs w:val="16"/>
          <w:lang w:val="es-ES"/>
        </w:rPr>
        <w:t xml:space="preserve">, párr. </w:t>
      </w:r>
      <w:r w:rsidRPr="008B73FE">
        <w:rPr>
          <w:rFonts w:ascii="Verdana" w:eastAsia="Calibri" w:hAnsi="Verdana"/>
          <w:sz w:val="16"/>
          <w:szCs w:val="16"/>
          <w:lang w:val="es-ES"/>
        </w:rPr>
        <w:t>121, y</w:t>
      </w:r>
      <w:r w:rsidRPr="008B73FE">
        <w:rPr>
          <w:rFonts w:ascii="Verdana" w:hAnsi="Verdana"/>
          <w:sz w:val="16"/>
          <w:szCs w:val="16"/>
          <w:lang w:val="es-ES"/>
        </w:rPr>
        <w:t xml:space="preserve"> Protocolo de Minnesota sobre la Investigación de Muertes Potencialmente Ilícitas</w:t>
      </w:r>
      <w:r w:rsidR="00A117BB" w:rsidRPr="008B73FE">
        <w:rPr>
          <w:rFonts w:ascii="Verdana" w:hAnsi="Verdana"/>
          <w:i/>
          <w:iCs/>
          <w:sz w:val="16"/>
          <w:szCs w:val="16"/>
          <w:lang w:val="es-ES"/>
        </w:rPr>
        <w:t>, supra</w:t>
      </w:r>
      <w:r w:rsidRPr="008B73FE">
        <w:rPr>
          <w:rFonts w:ascii="Verdana" w:hAnsi="Verdana"/>
          <w:sz w:val="16"/>
          <w:szCs w:val="16"/>
          <w:lang w:val="es-ES"/>
        </w:rPr>
        <w:t>.</w:t>
      </w:r>
      <w:r w:rsidR="00A64289">
        <w:rPr>
          <w:rFonts w:ascii="Verdana" w:hAnsi="Verdana"/>
          <w:sz w:val="16"/>
          <w:szCs w:val="16"/>
          <w:lang w:val="es-ES"/>
        </w:rPr>
        <w:t xml:space="preserve"> </w:t>
      </w:r>
    </w:p>
  </w:footnote>
  <w:footnote w:id="130">
    <w:p w14:paraId="26DC60AE" w14:textId="685F2922" w:rsidR="007B594B" w:rsidRPr="007C693A" w:rsidRDefault="007B594B" w:rsidP="007B594B">
      <w:pPr>
        <w:jc w:val="both"/>
        <w:rPr>
          <w:rFonts w:ascii="Verdana" w:hAnsi="Verdana"/>
          <w:sz w:val="16"/>
          <w:szCs w:val="16"/>
          <w:lang w:val="es-ES"/>
        </w:rPr>
      </w:pPr>
      <w:r w:rsidRPr="00441A32">
        <w:rPr>
          <w:rStyle w:val="Refdenotaalpie"/>
        </w:rPr>
        <w:footnoteRef/>
      </w:r>
      <w:r w:rsidRPr="005B3F7F">
        <w:rPr>
          <w:rFonts w:ascii="Verdana" w:hAnsi="Verdana"/>
          <w:color w:val="7030A0"/>
          <w:sz w:val="16"/>
          <w:szCs w:val="16"/>
          <w:lang w:val="es-ES"/>
        </w:rPr>
        <w:t xml:space="preserve"> </w:t>
      </w:r>
      <w:r w:rsidRPr="005B3F7F">
        <w:rPr>
          <w:rFonts w:ascii="Verdana" w:hAnsi="Verdana"/>
          <w:color w:val="7030A0"/>
          <w:sz w:val="16"/>
          <w:szCs w:val="16"/>
          <w:lang w:val="es-ES"/>
        </w:rPr>
        <w:tab/>
      </w:r>
      <w:r w:rsidRPr="005B3F7F">
        <w:rPr>
          <w:rFonts w:ascii="Verdana" w:hAnsi="Verdana"/>
          <w:i/>
          <w:iCs/>
          <w:color w:val="000000" w:themeColor="text1"/>
          <w:sz w:val="16"/>
          <w:szCs w:val="16"/>
          <w:lang w:val="es-ES"/>
        </w:rPr>
        <w:t>Cfr</w:t>
      </w:r>
      <w:r w:rsidRPr="005B3F7F">
        <w:rPr>
          <w:rFonts w:ascii="Verdana" w:hAnsi="Verdana"/>
          <w:color w:val="000000" w:themeColor="text1"/>
          <w:sz w:val="16"/>
          <w:szCs w:val="16"/>
          <w:lang w:val="es-ES"/>
        </w:rPr>
        <w:t>. Formulario de levantamiento del cad</w:t>
      </w:r>
      <w:r w:rsidRPr="00E03D2D">
        <w:rPr>
          <w:rFonts w:ascii="Verdana" w:hAnsi="Verdana"/>
          <w:color w:val="000000" w:themeColor="text1"/>
          <w:sz w:val="16"/>
          <w:szCs w:val="16"/>
          <w:lang w:val="es-ES"/>
        </w:rPr>
        <w:t>áver, Forma</w:t>
      </w:r>
      <w:r w:rsidRPr="005B3F7F">
        <w:rPr>
          <w:rFonts w:ascii="Verdana" w:hAnsi="Verdana"/>
          <w:color w:val="000000" w:themeColor="text1"/>
          <w:sz w:val="16"/>
          <w:szCs w:val="16"/>
          <w:lang w:val="es-ES"/>
        </w:rPr>
        <w:t xml:space="preserve"> D4</w:t>
      </w:r>
      <w:r w:rsidR="009C331C" w:rsidRPr="009C331C">
        <w:rPr>
          <w:rFonts w:ascii="Verdana" w:hAnsi="Verdana"/>
          <w:i/>
          <w:iCs/>
          <w:color w:val="000000" w:themeColor="text1"/>
          <w:sz w:val="16"/>
          <w:szCs w:val="16"/>
          <w:lang w:val="es-ES"/>
        </w:rPr>
        <w:t>, supra</w:t>
      </w:r>
      <w:r w:rsidRPr="005B3F7F">
        <w:rPr>
          <w:rFonts w:ascii="Verdana" w:hAnsi="Verdana"/>
          <w:color w:val="000000" w:themeColor="text1"/>
          <w:sz w:val="16"/>
          <w:szCs w:val="16"/>
          <w:lang w:val="es-ES"/>
        </w:rPr>
        <w:t>.</w:t>
      </w:r>
      <w:r w:rsidRPr="007C693A">
        <w:rPr>
          <w:rFonts w:ascii="Verdana" w:hAnsi="Verdana"/>
          <w:color w:val="000000" w:themeColor="text1"/>
          <w:sz w:val="16"/>
          <w:szCs w:val="16"/>
          <w:lang w:val="es-ES"/>
        </w:rPr>
        <w:t xml:space="preserve"> </w:t>
      </w:r>
    </w:p>
  </w:footnote>
  <w:footnote w:id="131">
    <w:p w14:paraId="6F75CAE0" w14:textId="5143DD76" w:rsidR="007B594B" w:rsidRPr="007C693A" w:rsidRDefault="007B594B" w:rsidP="007B594B">
      <w:pPr>
        <w:jc w:val="both"/>
        <w:rPr>
          <w:rFonts w:ascii="Verdana" w:hAnsi="Verdana"/>
          <w:sz w:val="16"/>
          <w:szCs w:val="16"/>
          <w:lang w:val="es-ES"/>
        </w:rPr>
      </w:pPr>
      <w:r w:rsidRPr="00F83FF8">
        <w:rPr>
          <w:rStyle w:val="Refdenotaalpie"/>
        </w:rPr>
        <w:footnoteRef/>
      </w:r>
      <w:r w:rsidRPr="007C693A">
        <w:rPr>
          <w:rFonts w:ascii="Verdana" w:hAnsi="Verdana"/>
          <w:sz w:val="16"/>
          <w:szCs w:val="16"/>
          <w:lang w:val="es-ES"/>
        </w:rPr>
        <w:t xml:space="preserve"> </w:t>
      </w:r>
      <w:r>
        <w:rPr>
          <w:rFonts w:ascii="Verdana" w:hAnsi="Verdana"/>
          <w:sz w:val="16"/>
          <w:szCs w:val="16"/>
          <w:lang w:val="es-ES"/>
        </w:rPr>
        <w:tab/>
      </w:r>
      <w:r w:rsidRPr="00113E46">
        <w:rPr>
          <w:rFonts w:ascii="Verdana" w:hAnsi="Verdana"/>
          <w:sz w:val="16"/>
          <w:szCs w:val="16"/>
          <w:lang w:val="es-ES"/>
        </w:rPr>
        <w:t xml:space="preserve">Rogelio Gómez Espinoza declaró ante los tribunales internos que el cuerpo fue depositado en la Morgue del Hospital de Clínicas y media hora después se enteró de que había sido robado. Estas declaraciones fueron controvertidas por los representantes con el argumento de que los oficiales de policía fueron posteriormente condenados por los delitos de encubrimiento y falso testimonio. </w:t>
      </w:r>
      <w:r w:rsidRPr="00113E46">
        <w:rPr>
          <w:rFonts w:ascii="Verdana" w:hAnsi="Verdana"/>
          <w:i/>
          <w:iCs/>
          <w:sz w:val="16"/>
          <w:szCs w:val="16"/>
          <w:lang w:val="es-ES"/>
        </w:rPr>
        <w:t>Cfr</w:t>
      </w:r>
      <w:r w:rsidRPr="00113E46">
        <w:rPr>
          <w:rFonts w:ascii="Verdana" w:hAnsi="Verdana"/>
          <w:sz w:val="16"/>
          <w:szCs w:val="16"/>
          <w:lang w:val="es-ES"/>
        </w:rPr>
        <w:t>.</w:t>
      </w:r>
      <w:r>
        <w:rPr>
          <w:rFonts w:ascii="Verdana" w:hAnsi="Verdana"/>
          <w:sz w:val="16"/>
          <w:szCs w:val="16"/>
          <w:lang w:val="es-ES"/>
        </w:rPr>
        <w:t xml:space="preserve"> </w:t>
      </w:r>
      <w:r w:rsidRPr="00113E46">
        <w:rPr>
          <w:rFonts w:ascii="Verdana" w:hAnsi="Verdana"/>
          <w:sz w:val="16"/>
          <w:szCs w:val="16"/>
          <w:lang w:val="es-ES"/>
        </w:rPr>
        <w:t xml:space="preserve">Resolución No. 129/2007 del Juzgado Segundo de Partido en lo </w:t>
      </w:r>
      <w:r w:rsidR="00A117BB">
        <w:rPr>
          <w:rFonts w:ascii="Verdana" w:hAnsi="Verdana"/>
          <w:sz w:val="16"/>
          <w:szCs w:val="16"/>
          <w:lang w:val="es-ES"/>
        </w:rPr>
        <w:t>P</w:t>
      </w:r>
      <w:r w:rsidRPr="00113E46">
        <w:rPr>
          <w:rFonts w:ascii="Verdana" w:hAnsi="Verdana"/>
          <w:sz w:val="16"/>
          <w:szCs w:val="16"/>
          <w:lang w:val="es-ES"/>
        </w:rPr>
        <w:t xml:space="preserve">enal </w:t>
      </w:r>
      <w:r w:rsidR="00A117BB">
        <w:rPr>
          <w:rFonts w:ascii="Verdana" w:hAnsi="Verdana"/>
          <w:sz w:val="16"/>
          <w:szCs w:val="16"/>
          <w:lang w:val="es-ES"/>
        </w:rPr>
        <w:t>L</w:t>
      </w:r>
      <w:r w:rsidRPr="00113E46">
        <w:rPr>
          <w:rFonts w:ascii="Verdana" w:hAnsi="Verdana"/>
          <w:sz w:val="16"/>
          <w:szCs w:val="16"/>
          <w:lang w:val="es-ES"/>
        </w:rPr>
        <w:t>iquidador, de 12 de diciembre de 2007</w:t>
      </w:r>
      <w:r w:rsidR="003F1CC2">
        <w:rPr>
          <w:rFonts w:ascii="Verdana" w:hAnsi="Verdana"/>
          <w:sz w:val="16"/>
          <w:szCs w:val="16"/>
          <w:lang w:val="es-ES"/>
        </w:rPr>
        <w:t xml:space="preserve">, </w:t>
      </w:r>
      <w:r w:rsidR="003F1CC2" w:rsidRPr="000D4A61">
        <w:rPr>
          <w:rFonts w:ascii="Verdana" w:hAnsi="Verdana"/>
          <w:i/>
          <w:iCs/>
          <w:sz w:val="16"/>
          <w:szCs w:val="16"/>
          <w:lang w:val="es-ES"/>
        </w:rPr>
        <w:t>supra</w:t>
      </w:r>
      <w:r w:rsidRPr="008F50FD">
        <w:rPr>
          <w:rFonts w:ascii="Verdana" w:hAnsi="Verdana"/>
          <w:sz w:val="16"/>
          <w:szCs w:val="16"/>
          <w:lang w:val="es-ES"/>
        </w:rPr>
        <w:t>.</w:t>
      </w:r>
    </w:p>
  </w:footnote>
  <w:footnote w:id="132">
    <w:p w14:paraId="14F4E126" w14:textId="56ABC545" w:rsidR="007B594B" w:rsidRPr="007C693A" w:rsidRDefault="007B594B" w:rsidP="007B594B">
      <w:pPr>
        <w:jc w:val="both"/>
        <w:rPr>
          <w:rFonts w:ascii="Verdana" w:hAnsi="Verdana"/>
          <w:sz w:val="16"/>
          <w:szCs w:val="16"/>
          <w:lang w:val="es-GT"/>
        </w:rPr>
      </w:pPr>
      <w:r w:rsidRPr="00F83FF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113E46">
        <w:rPr>
          <w:rFonts w:ascii="Verdana" w:hAnsi="Verdana"/>
          <w:sz w:val="16"/>
          <w:szCs w:val="16"/>
          <w:lang w:val="es-ES"/>
        </w:rPr>
        <w:t xml:space="preserve">Los estándares internacionales indican que la escena del crimen y la zona contigua al cadáver debe ser asegurada y que sólo debe admitirse el ingreso del investigador y su equipo; debe ser mantenida bajo custodia y evitar cualquier contaminación; debe ser fotografiada antes y después de la remoción del cuerpo; las muestras de sangre, cabello, fibras, hilos u otras pistas deben ser recogidas y conservadas; debe examinarse el área en busca de huellas de zapatos o cualquier otra que tenga naturaleza de evidencia; y debe prepararse un informe con el detalle de las observaciones, las acciones de los investigadores y la prueba recolectada. El cuerpo sólo debe ser manipulado por profesionales capacitados para examinarlo y moverlo adecuadamente. Ver </w:t>
      </w:r>
      <w:r w:rsidRPr="00917D2C">
        <w:rPr>
          <w:rFonts w:ascii="Verdana" w:hAnsi="Verdana"/>
          <w:sz w:val="16"/>
          <w:szCs w:val="16"/>
          <w:lang w:val="es-ES"/>
        </w:rPr>
        <w:t>Protocolo de Minnesota sobre la Investigación de Muertes Potencialmente Ilícitas</w:t>
      </w:r>
      <w:r w:rsidR="00A117BB">
        <w:rPr>
          <w:rFonts w:ascii="Verdana" w:hAnsi="Verdana"/>
          <w:sz w:val="16"/>
          <w:szCs w:val="16"/>
          <w:lang w:val="es-ES"/>
        </w:rPr>
        <w:t xml:space="preserve">, </w:t>
      </w:r>
      <w:r w:rsidR="00A117BB" w:rsidRPr="00FB5A4F">
        <w:rPr>
          <w:rFonts w:ascii="Verdana" w:hAnsi="Verdana"/>
          <w:i/>
          <w:iCs/>
          <w:sz w:val="16"/>
          <w:szCs w:val="16"/>
          <w:lang w:val="es-ES"/>
        </w:rPr>
        <w:t>supra</w:t>
      </w:r>
      <w:r w:rsidRPr="00917D2C">
        <w:rPr>
          <w:rFonts w:ascii="Verdana" w:hAnsi="Verdana"/>
          <w:sz w:val="16"/>
          <w:szCs w:val="16"/>
          <w:lang w:val="es-ES"/>
        </w:rPr>
        <w:t>.</w:t>
      </w:r>
    </w:p>
  </w:footnote>
  <w:footnote w:id="133">
    <w:p w14:paraId="116E2654" w14:textId="6EBFFB3E" w:rsidR="007B594B" w:rsidRPr="00113E46" w:rsidRDefault="007B594B" w:rsidP="007B594B">
      <w:pPr>
        <w:jc w:val="both"/>
        <w:rPr>
          <w:rFonts w:ascii="Verdana" w:hAnsi="Verdana"/>
          <w:sz w:val="16"/>
          <w:szCs w:val="16"/>
          <w:lang w:val="es-ES"/>
        </w:rPr>
      </w:pPr>
      <w:r w:rsidRPr="00F83FF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113E46">
        <w:rPr>
          <w:rFonts w:ascii="Verdana" w:hAnsi="Verdana"/>
          <w:i/>
          <w:sz w:val="16"/>
          <w:szCs w:val="16"/>
          <w:lang w:val="es-MX"/>
        </w:rPr>
        <w:t>Cfr.</w:t>
      </w:r>
      <w:r w:rsidRPr="00113E46">
        <w:rPr>
          <w:rFonts w:ascii="Verdana" w:hAnsi="Verdana"/>
          <w:sz w:val="16"/>
          <w:szCs w:val="16"/>
          <w:lang w:val="es-MX"/>
        </w:rPr>
        <w:t xml:space="preserve"> Sentencia de la Corte Suprema de Justicia de la Nación de 15 de abril de 1993</w:t>
      </w:r>
      <w:r w:rsidR="003F1CC2">
        <w:rPr>
          <w:rFonts w:ascii="Verdana" w:hAnsi="Verdana"/>
          <w:sz w:val="16"/>
          <w:szCs w:val="16"/>
          <w:lang w:val="es-MX"/>
        </w:rPr>
        <w:t xml:space="preserve">, </w:t>
      </w:r>
      <w:r w:rsidR="003F1CC2" w:rsidRPr="000D4A61">
        <w:rPr>
          <w:rFonts w:ascii="Verdana" w:hAnsi="Verdana"/>
          <w:i/>
          <w:iCs/>
          <w:sz w:val="16"/>
          <w:szCs w:val="16"/>
          <w:lang w:val="es-MX"/>
        </w:rPr>
        <w:t>supra</w:t>
      </w:r>
      <w:r w:rsidR="003F1CC2">
        <w:rPr>
          <w:rFonts w:ascii="Verdana" w:hAnsi="Verdana"/>
          <w:sz w:val="16"/>
          <w:szCs w:val="16"/>
          <w:lang w:val="es-MX"/>
        </w:rPr>
        <w:t>.</w:t>
      </w:r>
    </w:p>
  </w:footnote>
  <w:footnote w:id="134">
    <w:p w14:paraId="49C12ED8" w14:textId="51ADD8E8" w:rsidR="007B594B" w:rsidRPr="007C693A" w:rsidRDefault="007B594B" w:rsidP="007B594B">
      <w:pPr>
        <w:jc w:val="both"/>
        <w:rPr>
          <w:rFonts w:ascii="Verdana" w:hAnsi="Verdana"/>
          <w:sz w:val="16"/>
          <w:szCs w:val="16"/>
          <w:lang w:val="es-ES"/>
        </w:rPr>
      </w:pPr>
      <w:r w:rsidRPr="00DA6A93">
        <w:rPr>
          <w:rStyle w:val="Refdenotaalpie"/>
        </w:rPr>
        <w:footnoteRef/>
      </w:r>
      <w:r w:rsidRPr="00113E46">
        <w:rPr>
          <w:rFonts w:ascii="Verdana" w:hAnsi="Verdana"/>
          <w:sz w:val="16"/>
          <w:szCs w:val="16"/>
          <w:lang w:val="es-ES"/>
        </w:rPr>
        <w:t xml:space="preserve"> </w:t>
      </w:r>
      <w:r w:rsidRPr="00113E46">
        <w:rPr>
          <w:rFonts w:ascii="Verdana" w:hAnsi="Verdana"/>
          <w:sz w:val="16"/>
          <w:szCs w:val="16"/>
          <w:lang w:val="es-ES"/>
        </w:rPr>
        <w:tab/>
      </w:r>
      <w:r w:rsidR="003F1CC2" w:rsidRPr="008F44A0">
        <w:rPr>
          <w:rFonts w:ascii="Verdana" w:hAnsi="Verdana"/>
          <w:sz w:val="16"/>
          <w:szCs w:val="16"/>
          <w:lang w:val="es-ES"/>
        </w:rPr>
        <w:t xml:space="preserve">Resolución No. 129/2007 del Juzgado Segundo de Partido en lo Penal Liquidador, de 12 de diciembre de 2007, </w:t>
      </w:r>
      <w:r w:rsidR="003F1CC2" w:rsidRPr="00626F9A">
        <w:rPr>
          <w:rFonts w:ascii="Verdana" w:hAnsi="Verdana"/>
          <w:i/>
          <w:iCs/>
          <w:sz w:val="16"/>
          <w:szCs w:val="16"/>
          <w:lang w:val="es-ES"/>
        </w:rPr>
        <w:t>supra</w:t>
      </w:r>
      <w:r w:rsidR="003F1CC2" w:rsidRPr="000D4A61">
        <w:rPr>
          <w:rFonts w:ascii="Verdana" w:hAnsi="Verdana"/>
          <w:sz w:val="16"/>
          <w:szCs w:val="16"/>
          <w:lang w:val="es-ES"/>
        </w:rPr>
        <w:t>.</w:t>
      </w:r>
    </w:p>
  </w:footnote>
  <w:footnote w:id="135">
    <w:p w14:paraId="132EF581" w14:textId="351740C8" w:rsidR="007B594B" w:rsidRPr="007C693A" w:rsidRDefault="007B594B" w:rsidP="007B594B">
      <w:pPr>
        <w:jc w:val="both"/>
        <w:rPr>
          <w:rFonts w:ascii="Verdana" w:hAnsi="Verdana"/>
          <w:sz w:val="16"/>
          <w:szCs w:val="16"/>
          <w:lang w:val="es-ES"/>
        </w:rPr>
      </w:pPr>
      <w:r w:rsidRPr="00DA6A93">
        <w:rPr>
          <w:rStyle w:val="Refdenotaalpie"/>
        </w:rPr>
        <w:footnoteRef/>
      </w:r>
      <w:r w:rsidRPr="00113E46">
        <w:rPr>
          <w:rFonts w:ascii="Verdana" w:hAnsi="Verdana"/>
          <w:sz w:val="16"/>
          <w:szCs w:val="16"/>
          <w:lang w:val="es-ES"/>
        </w:rPr>
        <w:t xml:space="preserve"> </w:t>
      </w:r>
      <w:r w:rsidRPr="00113E46">
        <w:rPr>
          <w:rFonts w:ascii="Verdana" w:hAnsi="Verdana"/>
          <w:sz w:val="16"/>
          <w:szCs w:val="16"/>
          <w:lang w:val="es-ES"/>
        </w:rPr>
        <w:tab/>
        <w:t>La Corte recuerda que</w:t>
      </w:r>
      <w:r w:rsidR="007003BA">
        <w:rPr>
          <w:rFonts w:ascii="Verdana" w:hAnsi="Verdana"/>
          <w:sz w:val="16"/>
          <w:szCs w:val="16"/>
          <w:lang w:val="es-ES"/>
        </w:rPr>
        <w:t>,</w:t>
      </w:r>
      <w:r w:rsidRPr="00113E46">
        <w:rPr>
          <w:rFonts w:ascii="Verdana" w:hAnsi="Verdana"/>
          <w:sz w:val="16"/>
          <w:szCs w:val="16"/>
          <w:lang w:val="es-ES"/>
        </w:rPr>
        <w:t xml:space="preserve"> a fin de caracterizar la desaparición forzada, la determinación de la privación de la libertad no se limita a los casos de privación ilegal de la libertad. Ver </w:t>
      </w:r>
      <w:r w:rsidRPr="00113E46">
        <w:rPr>
          <w:rFonts w:ascii="Verdana" w:hAnsi="Verdana"/>
          <w:i/>
          <w:iCs/>
          <w:sz w:val="16"/>
          <w:szCs w:val="16"/>
          <w:lang w:val="es-ES"/>
        </w:rPr>
        <w:t>Caso Blanco Romero y otros Vs. Venezuela, Fondo, Reparaciones y Costas,</w:t>
      </w:r>
      <w:r w:rsidRPr="00113E46">
        <w:rPr>
          <w:rFonts w:ascii="Verdana" w:hAnsi="Verdana"/>
          <w:sz w:val="16"/>
          <w:szCs w:val="16"/>
          <w:lang w:val="es-ES"/>
        </w:rPr>
        <w:t xml:space="preserve"> Sentencia de 28 de noviembre de 2005, Serie C No. 138, párr. 105</w:t>
      </w:r>
      <w:r>
        <w:rPr>
          <w:rFonts w:ascii="Verdana" w:hAnsi="Verdana"/>
          <w:sz w:val="16"/>
          <w:szCs w:val="16"/>
          <w:lang w:val="es-ES"/>
        </w:rPr>
        <w:t>,</w:t>
      </w:r>
      <w:r w:rsidRPr="00113E46">
        <w:rPr>
          <w:rFonts w:ascii="Verdana" w:hAnsi="Verdana"/>
          <w:sz w:val="16"/>
          <w:szCs w:val="16"/>
          <w:lang w:val="es-ES"/>
        </w:rPr>
        <w:t xml:space="preserve"> y </w:t>
      </w:r>
      <w:r w:rsidRPr="00113E46">
        <w:rPr>
          <w:rFonts w:ascii="Verdana" w:hAnsi="Verdana"/>
          <w:i/>
          <w:iCs/>
          <w:sz w:val="16"/>
          <w:szCs w:val="16"/>
          <w:lang w:val="es-ES"/>
        </w:rPr>
        <w:t>Caso Rodríguez Vera y otros (Desaparecidos del Palacio de Justicia) Vs. Colombia</w:t>
      </w:r>
      <w:r w:rsidR="0054671F">
        <w:rPr>
          <w:rFonts w:ascii="Verdana" w:hAnsi="Verdana"/>
          <w:i/>
          <w:iCs/>
          <w:sz w:val="16"/>
          <w:szCs w:val="16"/>
          <w:lang w:val="es-ES"/>
        </w:rPr>
        <w:t>, supra</w:t>
      </w:r>
      <w:r w:rsidRPr="00113E46">
        <w:rPr>
          <w:rFonts w:ascii="Verdana" w:hAnsi="Verdana"/>
          <w:sz w:val="16"/>
          <w:szCs w:val="16"/>
          <w:lang w:val="es-ES"/>
        </w:rPr>
        <w:t>, párr. 232.</w:t>
      </w:r>
      <w:r w:rsidRPr="007C693A">
        <w:rPr>
          <w:rFonts w:ascii="Verdana" w:hAnsi="Verdana"/>
          <w:sz w:val="16"/>
          <w:szCs w:val="16"/>
          <w:lang w:val="es-ES"/>
        </w:rPr>
        <w:t xml:space="preserve"> </w:t>
      </w:r>
    </w:p>
  </w:footnote>
  <w:footnote w:id="136">
    <w:p w14:paraId="0B8D11F6" w14:textId="77777777" w:rsidR="007B594B" w:rsidRPr="007C693A" w:rsidRDefault="007B594B" w:rsidP="007B594B">
      <w:pPr>
        <w:tabs>
          <w:tab w:val="left" w:pos="720"/>
          <w:tab w:val="left" w:pos="810"/>
        </w:tabs>
        <w:jc w:val="both"/>
        <w:rPr>
          <w:rFonts w:ascii="Verdana" w:hAnsi="Verdana"/>
          <w:sz w:val="16"/>
          <w:szCs w:val="16"/>
          <w:lang w:val="es-MX"/>
        </w:rPr>
      </w:pPr>
      <w:r w:rsidRPr="00F83FF8">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7C693A">
        <w:rPr>
          <w:rFonts w:ascii="Verdana" w:hAnsi="Verdana"/>
          <w:i/>
          <w:sz w:val="16"/>
          <w:szCs w:val="16"/>
          <w:lang w:val="es-MX"/>
        </w:rPr>
        <w:t>Cfr. Caso González Medina y familiares Vs. República Dominicana. Excepciones preliminares, Fondo, Reparaciones y Costas.</w:t>
      </w:r>
      <w:r w:rsidRPr="007C693A">
        <w:rPr>
          <w:rFonts w:ascii="Verdana" w:hAnsi="Verdana"/>
          <w:sz w:val="16"/>
          <w:szCs w:val="16"/>
          <w:lang w:val="es-MX"/>
        </w:rPr>
        <w:t xml:space="preserve"> Sentencia de 27 de febrero de 2012, Serie C No. 240, párr. 193. </w:t>
      </w:r>
    </w:p>
  </w:footnote>
  <w:footnote w:id="137">
    <w:p w14:paraId="3DF6B168" w14:textId="77777777" w:rsidR="007B594B" w:rsidRPr="007C693A" w:rsidRDefault="007B594B" w:rsidP="007B594B">
      <w:pPr>
        <w:jc w:val="both"/>
        <w:rPr>
          <w:rFonts w:ascii="Verdana" w:hAnsi="Verdana"/>
          <w:sz w:val="16"/>
          <w:szCs w:val="16"/>
          <w:lang w:val="es-CR"/>
        </w:rPr>
      </w:pPr>
      <w:r w:rsidRPr="00F83FF8">
        <w:rPr>
          <w:rStyle w:val="Refdenotaalpie"/>
        </w:rPr>
        <w:footnoteRef/>
      </w:r>
      <w:r w:rsidRPr="007C693A">
        <w:rPr>
          <w:rFonts w:ascii="Verdana" w:hAnsi="Verdana"/>
          <w:sz w:val="16"/>
          <w:szCs w:val="16"/>
          <w:lang w:val="es-CR"/>
        </w:rPr>
        <w:t xml:space="preserve"> </w:t>
      </w:r>
      <w:r w:rsidRPr="007C693A">
        <w:rPr>
          <w:rFonts w:ascii="Verdana" w:hAnsi="Verdana"/>
          <w:sz w:val="16"/>
          <w:szCs w:val="16"/>
          <w:lang w:val="es-CR"/>
        </w:rPr>
        <w:tab/>
        <w:t>Los artículos 8.1</w:t>
      </w:r>
      <w:r>
        <w:rPr>
          <w:rFonts w:ascii="Verdana" w:hAnsi="Verdana"/>
          <w:sz w:val="16"/>
          <w:szCs w:val="16"/>
          <w:lang w:val="es-CR"/>
        </w:rPr>
        <w:t xml:space="preserve">, </w:t>
      </w:r>
      <w:r w:rsidRPr="007C693A">
        <w:rPr>
          <w:rFonts w:ascii="Verdana" w:hAnsi="Verdana"/>
          <w:sz w:val="16"/>
          <w:szCs w:val="16"/>
          <w:lang w:val="es-CR"/>
        </w:rPr>
        <w:t>25.</w:t>
      </w:r>
      <w:r w:rsidRPr="00584616">
        <w:rPr>
          <w:rFonts w:ascii="Verdana" w:hAnsi="Verdana"/>
          <w:sz w:val="16"/>
          <w:szCs w:val="16"/>
          <w:lang w:val="es-CR"/>
        </w:rPr>
        <w:t>1 y 1.1</w:t>
      </w:r>
      <w:r>
        <w:rPr>
          <w:rFonts w:ascii="Verdana" w:hAnsi="Verdana"/>
          <w:sz w:val="16"/>
          <w:szCs w:val="16"/>
          <w:lang w:val="es-CR"/>
        </w:rPr>
        <w:t xml:space="preserve"> </w:t>
      </w:r>
      <w:r w:rsidRPr="007C693A">
        <w:rPr>
          <w:rFonts w:ascii="Verdana" w:hAnsi="Verdana"/>
          <w:sz w:val="16"/>
          <w:szCs w:val="16"/>
          <w:lang w:val="es-CR"/>
        </w:rPr>
        <w:t>de la Convención Americana</w:t>
      </w:r>
      <w:r>
        <w:rPr>
          <w:rFonts w:ascii="Verdana" w:hAnsi="Verdana"/>
          <w:sz w:val="16"/>
          <w:szCs w:val="16"/>
          <w:lang w:val="es-CR"/>
        </w:rPr>
        <w:t>, respectivamente.</w:t>
      </w:r>
    </w:p>
  </w:footnote>
  <w:footnote w:id="138">
    <w:p w14:paraId="435CB0AE" w14:textId="77777777" w:rsidR="0099343A" w:rsidRPr="007C693A" w:rsidRDefault="0099343A" w:rsidP="0099343A">
      <w:pPr>
        <w:tabs>
          <w:tab w:val="left" w:pos="720"/>
          <w:tab w:val="left" w:pos="810"/>
        </w:tabs>
        <w:jc w:val="both"/>
        <w:rPr>
          <w:rFonts w:ascii="Verdana" w:hAnsi="Verdana"/>
          <w:sz w:val="16"/>
          <w:szCs w:val="16"/>
          <w:lang w:val="es-MX"/>
        </w:rPr>
      </w:pPr>
      <w:r w:rsidRPr="00F83FF8">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E03D2D">
        <w:rPr>
          <w:rFonts w:ascii="Verdana" w:hAnsi="Verdana"/>
          <w:i/>
          <w:sz w:val="16"/>
          <w:szCs w:val="16"/>
          <w:lang w:val="es-MX"/>
        </w:rPr>
        <w:t>Cfr.</w:t>
      </w:r>
      <w:r w:rsidRPr="00E03D2D">
        <w:rPr>
          <w:rFonts w:ascii="Verdana" w:hAnsi="Verdana"/>
          <w:sz w:val="16"/>
          <w:szCs w:val="16"/>
          <w:lang w:val="es-MX"/>
        </w:rPr>
        <w:t xml:space="preserve"> Documento de información de inicio de investigación del Ministerio Público, dirigido al Juez Instructor de Turno en lo Penal, de 27 de julio de 2009 (expediente de prueba, f. 7570). </w:t>
      </w:r>
    </w:p>
  </w:footnote>
  <w:footnote w:id="139">
    <w:p w14:paraId="0137699F" w14:textId="7D2F702D" w:rsidR="007B594B" w:rsidRPr="007C693A" w:rsidRDefault="007B594B" w:rsidP="007B594B">
      <w:pPr>
        <w:jc w:val="both"/>
        <w:rPr>
          <w:rFonts w:ascii="Verdana" w:hAnsi="Verdana"/>
          <w:sz w:val="16"/>
          <w:szCs w:val="16"/>
          <w:lang w:val="es-ES"/>
        </w:rPr>
      </w:pPr>
      <w:r w:rsidRPr="00F83FF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4B5F3E">
        <w:rPr>
          <w:rFonts w:ascii="Verdana" w:hAnsi="Verdana"/>
          <w:sz w:val="16"/>
          <w:szCs w:val="16"/>
          <w:lang w:val="es-ES"/>
        </w:rPr>
        <w:t xml:space="preserve">La Comisión lo adujo tanto para los </w:t>
      </w:r>
      <w:r w:rsidR="00280E4D" w:rsidRPr="004B5F3E">
        <w:rPr>
          <w:rFonts w:ascii="Verdana" w:hAnsi="Verdana"/>
          <w:sz w:val="16"/>
          <w:szCs w:val="16"/>
          <w:lang w:val="es-ES"/>
        </w:rPr>
        <w:t>J</w:t>
      </w:r>
      <w:r w:rsidRPr="004B5F3E">
        <w:rPr>
          <w:rFonts w:ascii="Verdana" w:hAnsi="Verdana"/>
          <w:sz w:val="16"/>
          <w:szCs w:val="16"/>
          <w:lang w:val="es-ES"/>
        </w:rPr>
        <w:t xml:space="preserve">uicios de </w:t>
      </w:r>
      <w:r w:rsidR="00280E4D" w:rsidRPr="004B5F3E">
        <w:rPr>
          <w:rFonts w:ascii="Verdana" w:hAnsi="Verdana"/>
          <w:sz w:val="16"/>
          <w:szCs w:val="16"/>
          <w:lang w:val="es-ES"/>
        </w:rPr>
        <w:t>R</w:t>
      </w:r>
      <w:r w:rsidR="00777115" w:rsidRPr="004B5F3E">
        <w:rPr>
          <w:rFonts w:ascii="Verdana" w:hAnsi="Verdana"/>
          <w:sz w:val="16"/>
          <w:szCs w:val="16"/>
          <w:lang w:val="es-ES"/>
        </w:rPr>
        <w:t>esponsabilidad acumulados seguidos por el Ministerio Público y sus coadyuvantes contra el ex Presidente de facto Luis García Meza Tejada y sus colaboradores</w:t>
      </w:r>
      <w:r w:rsidRPr="004B5F3E">
        <w:rPr>
          <w:rFonts w:ascii="Verdana" w:hAnsi="Verdana"/>
          <w:sz w:val="16"/>
          <w:szCs w:val="16"/>
          <w:lang w:val="es-ES"/>
        </w:rPr>
        <w:t xml:space="preserve"> como para el proceso penal ordinario.</w:t>
      </w:r>
      <w:r w:rsidRPr="007C693A">
        <w:rPr>
          <w:rFonts w:ascii="Verdana" w:hAnsi="Verdana"/>
          <w:sz w:val="16"/>
          <w:szCs w:val="16"/>
          <w:lang w:val="es-ES"/>
        </w:rPr>
        <w:t xml:space="preserve"> </w:t>
      </w:r>
    </w:p>
  </w:footnote>
  <w:footnote w:id="140">
    <w:p w14:paraId="45DBAF29" w14:textId="77777777" w:rsidR="007B594B" w:rsidRPr="007C693A" w:rsidRDefault="007B594B" w:rsidP="007B594B">
      <w:pPr>
        <w:jc w:val="both"/>
        <w:rPr>
          <w:rFonts w:ascii="Verdana" w:hAnsi="Verdana"/>
          <w:sz w:val="16"/>
          <w:szCs w:val="16"/>
          <w:lang w:val="es-CR"/>
        </w:rPr>
      </w:pPr>
      <w:r w:rsidRPr="00F83FF8">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 Caso Velásquez Rodríguez Vs. Honduras. Fondo</w:t>
      </w:r>
      <w:r w:rsidRPr="007C693A">
        <w:rPr>
          <w:rFonts w:ascii="Verdana" w:hAnsi="Verdana"/>
          <w:sz w:val="16"/>
          <w:szCs w:val="16"/>
          <w:lang w:val="es-ES"/>
        </w:rPr>
        <w:t xml:space="preserve">, </w:t>
      </w:r>
      <w:r w:rsidRPr="007C693A">
        <w:rPr>
          <w:rFonts w:ascii="Verdana" w:hAnsi="Verdana"/>
          <w:i/>
          <w:sz w:val="16"/>
          <w:szCs w:val="16"/>
          <w:lang w:val="es-ES"/>
        </w:rPr>
        <w:t>supra</w:t>
      </w:r>
      <w:r w:rsidRPr="007C693A">
        <w:rPr>
          <w:rFonts w:ascii="Verdana" w:hAnsi="Verdana"/>
          <w:sz w:val="16"/>
          <w:szCs w:val="16"/>
          <w:lang w:val="es-ES"/>
        </w:rPr>
        <w:t>, párr. 166</w:t>
      </w:r>
      <w:r>
        <w:rPr>
          <w:rFonts w:ascii="Verdana" w:hAnsi="Verdana"/>
          <w:sz w:val="16"/>
          <w:szCs w:val="16"/>
          <w:lang w:val="es-ES"/>
        </w:rPr>
        <w:t>,</w:t>
      </w:r>
      <w:r w:rsidRPr="007C693A">
        <w:rPr>
          <w:rFonts w:ascii="Verdana" w:hAnsi="Verdana"/>
          <w:sz w:val="16"/>
          <w:szCs w:val="16"/>
          <w:lang w:val="es-ES"/>
        </w:rPr>
        <w:t xml:space="preserve"> y </w:t>
      </w:r>
      <w:r w:rsidRPr="007C693A">
        <w:rPr>
          <w:rFonts w:ascii="Verdana" w:hAnsi="Verdana"/>
          <w:i/>
          <w:iCs/>
          <w:sz w:val="16"/>
          <w:szCs w:val="16"/>
          <w:lang w:val="es-ES"/>
        </w:rPr>
        <w:t>Caso Familia Julien Grisonas Vs. Argentina</w:t>
      </w:r>
      <w:r w:rsidRPr="007C693A">
        <w:rPr>
          <w:rFonts w:ascii="Verdana" w:hAnsi="Verdana"/>
          <w:sz w:val="16"/>
          <w:szCs w:val="16"/>
          <w:lang w:val="es-ES"/>
        </w:rPr>
        <w:t>,</w:t>
      </w:r>
      <w:r>
        <w:rPr>
          <w:rFonts w:ascii="Verdana" w:hAnsi="Verdana"/>
          <w:sz w:val="16"/>
          <w:szCs w:val="16"/>
          <w:lang w:val="es-ES"/>
        </w:rPr>
        <w:t xml:space="preserve"> </w:t>
      </w:r>
      <w:r w:rsidRPr="009C1FAB">
        <w:rPr>
          <w:rFonts w:ascii="Verdana" w:hAnsi="Verdana"/>
          <w:i/>
          <w:iCs/>
          <w:sz w:val="16"/>
          <w:szCs w:val="16"/>
          <w:lang w:val="es-ES"/>
        </w:rPr>
        <w:t>supra</w:t>
      </w:r>
      <w:r>
        <w:rPr>
          <w:rFonts w:ascii="Verdana" w:hAnsi="Verdana"/>
          <w:i/>
          <w:iCs/>
          <w:sz w:val="16"/>
          <w:szCs w:val="16"/>
          <w:lang w:val="es-ES"/>
        </w:rPr>
        <w:t>,</w:t>
      </w:r>
      <w:r w:rsidRPr="007C693A">
        <w:rPr>
          <w:rFonts w:ascii="Verdana" w:hAnsi="Verdana"/>
          <w:sz w:val="16"/>
          <w:szCs w:val="16"/>
          <w:lang w:val="es-ES"/>
        </w:rPr>
        <w:t xml:space="preserve"> párr. 164.</w:t>
      </w:r>
    </w:p>
  </w:footnote>
  <w:footnote w:id="141">
    <w:p w14:paraId="5CB4FEF8" w14:textId="543480A8" w:rsidR="007B594B" w:rsidRPr="007C693A" w:rsidRDefault="007B594B" w:rsidP="007B594B">
      <w:pPr>
        <w:spacing w:before="39"/>
        <w:jc w:val="both"/>
        <w:rPr>
          <w:rFonts w:ascii="Verdana" w:hAnsi="Verdana"/>
          <w:sz w:val="16"/>
          <w:szCs w:val="16"/>
          <w:lang w:val="es-ES"/>
        </w:rPr>
      </w:pPr>
      <w:r w:rsidRPr="00F83FF8">
        <w:rPr>
          <w:rStyle w:val="Refdenotaalpie"/>
        </w:rPr>
        <w:footnoteRef/>
      </w:r>
      <w:r w:rsidRPr="00E57AF1">
        <w:rPr>
          <w:rStyle w:val="Refdenotaalpie"/>
          <w:lang w:val="es-CR"/>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iCs/>
          <w:sz w:val="16"/>
          <w:szCs w:val="16"/>
          <w:lang w:val="es-ES"/>
        </w:rPr>
        <w:t>Caso Familia Julien Grisonas</w:t>
      </w:r>
      <w:r>
        <w:rPr>
          <w:rFonts w:ascii="Verdana" w:hAnsi="Verdana"/>
          <w:i/>
          <w:iCs/>
          <w:sz w:val="16"/>
          <w:szCs w:val="16"/>
          <w:lang w:val="es-ES"/>
        </w:rPr>
        <w:t xml:space="preserve"> Vs. Argentina</w:t>
      </w:r>
      <w:r w:rsidRPr="007C693A">
        <w:rPr>
          <w:rFonts w:ascii="Verdana" w:hAnsi="Verdana"/>
          <w:sz w:val="16"/>
          <w:szCs w:val="16"/>
          <w:lang w:val="es-ES"/>
        </w:rPr>
        <w:t xml:space="preserve">, </w:t>
      </w:r>
      <w:r w:rsidR="001C7D88" w:rsidRPr="00FB5A4F">
        <w:rPr>
          <w:rFonts w:ascii="Verdana" w:hAnsi="Verdana"/>
          <w:i/>
          <w:iCs/>
          <w:sz w:val="16"/>
          <w:szCs w:val="16"/>
          <w:lang w:val="es-ES"/>
        </w:rPr>
        <w:t>supra</w:t>
      </w:r>
      <w:r w:rsidR="001C7D88">
        <w:rPr>
          <w:rFonts w:ascii="Verdana" w:hAnsi="Verdana"/>
          <w:sz w:val="16"/>
          <w:szCs w:val="16"/>
          <w:lang w:val="es-ES"/>
        </w:rPr>
        <w:t xml:space="preserve">, </w:t>
      </w:r>
      <w:r w:rsidRPr="007C693A">
        <w:rPr>
          <w:rFonts w:ascii="Verdana" w:hAnsi="Verdana"/>
          <w:sz w:val="16"/>
          <w:szCs w:val="16"/>
          <w:lang w:val="es-ES"/>
        </w:rPr>
        <w:t>párr. 165.</w:t>
      </w:r>
    </w:p>
  </w:footnote>
  <w:footnote w:id="142">
    <w:p w14:paraId="26A644EA" w14:textId="2850631A" w:rsidR="007B594B" w:rsidRPr="007C693A" w:rsidRDefault="007B594B" w:rsidP="007B594B">
      <w:pPr>
        <w:spacing w:before="39"/>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Carpio Nicolle y otros Vs.</w:t>
      </w:r>
      <w:r w:rsidRPr="007C693A">
        <w:rPr>
          <w:rFonts w:ascii="Verdana" w:hAnsi="Verdana"/>
          <w:i/>
          <w:spacing w:val="1"/>
          <w:sz w:val="16"/>
          <w:szCs w:val="16"/>
          <w:lang w:val="es-ES"/>
        </w:rPr>
        <w:t xml:space="preserve"> </w:t>
      </w:r>
      <w:r w:rsidRPr="007C693A">
        <w:rPr>
          <w:rFonts w:ascii="Verdana" w:hAnsi="Verdana"/>
          <w:i/>
          <w:sz w:val="16"/>
          <w:szCs w:val="16"/>
          <w:lang w:val="es-ES"/>
        </w:rPr>
        <w:t xml:space="preserve">Guatemala. Fondo, Reparaciones y Costas. </w:t>
      </w:r>
      <w:r w:rsidRPr="007C693A">
        <w:rPr>
          <w:rFonts w:ascii="Verdana" w:hAnsi="Verdana"/>
          <w:sz w:val="16"/>
          <w:szCs w:val="16"/>
          <w:lang w:val="es-ES"/>
        </w:rPr>
        <w:t>Sentencia de 22 de noviembre de 2004. Serie C No. 117, párr. 128, y</w:t>
      </w:r>
      <w:r w:rsidRPr="007C693A">
        <w:rPr>
          <w:rFonts w:ascii="Verdana" w:hAnsi="Verdana"/>
          <w:spacing w:val="1"/>
          <w:sz w:val="16"/>
          <w:szCs w:val="16"/>
          <w:lang w:val="es-ES"/>
        </w:rPr>
        <w:t xml:space="preserve"> </w:t>
      </w:r>
      <w:r w:rsidRPr="00131A99">
        <w:rPr>
          <w:rFonts w:ascii="Verdana" w:hAnsi="Verdana"/>
          <w:i/>
          <w:iCs/>
          <w:sz w:val="16"/>
          <w:szCs w:val="16"/>
          <w:lang w:val="es-ES"/>
        </w:rPr>
        <w:t>Caso</w:t>
      </w:r>
      <w:r w:rsidRPr="007C693A">
        <w:rPr>
          <w:rFonts w:ascii="Verdana" w:hAnsi="Verdana" w:cs="Arial"/>
          <w:i/>
          <w:sz w:val="16"/>
          <w:szCs w:val="16"/>
          <w:shd w:val="clear" w:color="auto" w:fill="FFFFFF"/>
          <w:lang w:val="es-ES"/>
        </w:rPr>
        <w:t xml:space="preserve"> Masacre de la Aldea Los Josefinos Vs. Guatemala</w:t>
      </w:r>
      <w:r w:rsidR="0054671F">
        <w:rPr>
          <w:rFonts w:ascii="Verdana" w:hAnsi="Verdana" w:cs="Arial"/>
          <w:i/>
          <w:sz w:val="16"/>
          <w:szCs w:val="16"/>
          <w:shd w:val="clear" w:color="auto" w:fill="FFFFFF"/>
          <w:lang w:val="es-ES"/>
        </w:rPr>
        <w:t>, supra</w:t>
      </w:r>
      <w:r w:rsidRPr="007C693A">
        <w:rPr>
          <w:rFonts w:ascii="Verdana" w:hAnsi="Verdana" w:cs="Arial"/>
          <w:sz w:val="16"/>
          <w:szCs w:val="16"/>
          <w:shd w:val="clear" w:color="auto" w:fill="FFFFFF"/>
          <w:lang w:val="es-ES"/>
        </w:rPr>
        <w:t>, párr. 10</w:t>
      </w:r>
      <w:r>
        <w:rPr>
          <w:rFonts w:ascii="Verdana" w:hAnsi="Verdana" w:cs="Arial"/>
          <w:sz w:val="16"/>
          <w:szCs w:val="16"/>
          <w:shd w:val="clear" w:color="auto" w:fill="FFFFFF"/>
          <w:lang w:val="es-ES"/>
        </w:rPr>
        <w:t>0.</w:t>
      </w:r>
    </w:p>
  </w:footnote>
  <w:footnote w:id="143">
    <w:p w14:paraId="53AE9029" w14:textId="296FAD8A" w:rsidR="007B594B" w:rsidRPr="009D58DE" w:rsidRDefault="007B594B" w:rsidP="007B594B">
      <w:pPr>
        <w:spacing w:before="39"/>
        <w:jc w:val="both"/>
        <w:rPr>
          <w:rFonts w:ascii="Verdana" w:hAnsi="Verdana"/>
          <w:sz w:val="16"/>
          <w:szCs w:val="16"/>
          <w:lang w:val="pt-BR"/>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w:t>
      </w:r>
      <w:r w:rsidRPr="007C693A">
        <w:rPr>
          <w:rFonts w:ascii="Verdana" w:hAnsi="Verdana"/>
          <w:spacing w:val="-6"/>
          <w:sz w:val="16"/>
          <w:szCs w:val="16"/>
          <w:lang w:val="es-ES"/>
        </w:rPr>
        <w:t xml:space="preserve"> </w:t>
      </w:r>
      <w:r w:rsidRPr="007C693A">
        <w:rPr>
          <w:rFonts w:ascii="Verdana" w:hAnsi="Verdana"/>
          <w:i/>
          <w:sz w:val="16"/>
          <w:szCs w:val="16"/>
          <w:lang w:val="es-ES"/>
        </w:rPr>
        <w:t>Caso</w:t>
      </w:r>
      <w:r w:rsidRPr="007C693A">
        <w:rPr>
          <w:rFonts w:ascii="Verdana" w:hAnsi="Verdana"/>
          <w:i/>
          <w:spacing w:val="-3"/>
          <w:sz w:val="16"/>
          <w:szCs w:val="16"/>
          <w:lang w:val="es-ES"/>
        </w:rPr>
        <w:t xml:space="preserve"> </w:t>
      </w:r>
      <w:r w:rsidRPr="007C693A">
        <w:rPr>
          <w:rFonts w:ascii="Verdana" w:hAnsi="Verdana"/>
          <w:i/>
          <w:sz w:val="16"/>
          <w:szCs w:val="16"/>
          <w:lang w:val="es-ES"/>
        </w:rPr>
        <w:t>Bulacio</w:t>
      </w:r>
      <w:r w:rsidRPr="007C693A">
        <w:rPr>
          <w:rFonts w:ascii="Verdana" w:hAnsi="Verdana"/>
          <w:i/>
          <w:spacing w:val="-6"/>
          <w:sz w:val="16"/>
          <w:szCs w:val="16"/>
          <w:lang w:val="es-ES"/>
        </w:rPr>
        <w:t xml:space="preserve"> </w:t>
      </w:r>
      <w:r w:rsidRPr="007C693A">
        <w:rPr>
          <w:rFonts w:ascii="Verdana" w:hAnsi="Verdana"/>
          <w:i/>
          <w:sz w:val="16"/>
          <w:szCs w:val="16"/>
          <w:lang w:val="es-ES"/>
        </w:rPr>
        <w:t>Vs.</w:t>
      </w:r>
      <w:r w:rsidRPr="007C693A">
        <w:rPr>
          <w:rFonts w:ascii="Verdana" w:hAnsi="Verdana"/>
          <w:i/>
          <w:spacing w:val="-7"/>
          <w:sz w:val="16"/>
          <w:szCs w:val="16"/>
          <w:lang w:val="es-ES"/>
        </w:rPr>
        <w:t xml:space="preserve"> </w:t>
      </w:r>
      <w:r w:rsidRPr="007C693A">
        <w:rPr>
          <w:rFonts w:ascii="Verdana" w:hAnsi="Verdana"/>
          <w:i/>
          <w:sz w:val="16"/>
          <w:szCs w:val="16"/>
          <w:lang w:val="es-ES"/>
        </w:rPr>
        <w:t>Argentina.</w:t>
      </w:r>
      <w:r w:rsidRPr="007C693A">
        <w:rPr>
          <w:rFonts w:ascii="Verdana" w:hAnsi="Verdana"/>
          <w:i/>
          <w:spacing w:val="-6"/>
          <w:sz w:val="16"/>
          <w:szCs w:val="16"/>
          <w:lang w:val="es-ES"/>
        </w:rPr>
        <w:t xml:space="preserve"> </w:t>
      </w:r>
      <w:r w:rsidRPr="007C693A">
        <w:rPr>
          <w:rFonts w:ascii="Verdana" w:hAnsi="Verdana"/>
          <w:i/>
          <w:sz w:val="16"/>
          <w:szCs w:val="16"/>
          <w:lang w:val="es-ES"/>
        </w:rPr>
        <w:t>Fondo,</w:t>
      </w:r>
      <w:r w:rsidRPr="007C693A">
        <w:rPr>
          <w:rFonts w:ascii="Verdana" w:hAnsi="Verdana"/>
          <w:i/>
          <w:spacing w:val="-7"/>
          <w:sz w:val="16"/>
          <w:szCs w:val="16"/>
          <w:lang w:val="es-ES"/>
        </w:rPr>
        <w:t xml:space="preserve"> </w:t>
      </w:r>
      <w:r w:rsidRPr="007C693A">
        <w:rPr>
          <w:rFonts w:ascii="Verdana" w:hAnsi="Verdana"/>
          <w:i/>
          <w:sz w:val="16"/>
          <w:szCs w:val="16"/>
          <w:lang w:val="es-ES"/>
        </w:rPr>
        <w:t>Reparaciones</w:t>
      </w:r>
      <w:r w:rsidRPr="007C693A">
        <w:rPr>
          <w:rFonts w:ascii="Verdana" w:hAnsi="Verdana"/>
          <w:i/>
          <w:spacing w:val="-6"/>
          <w:sz w:val="16"/>
          <w:szCs w:val="16"/>
          <w:lang w:val="es-ES"/>
        </w:rPr>
        <w:t xml:space="preserve"> </w:t>
      </w:r>
      <w:r w:rsidRPr="007C693A">
        <w:rPr>
          <w:rFonts w:ascii="Verdana" w:hAnsi="Verdana"/>
          <w:i/>
          <w:sz w:val="16"/>
          <w:szCs w:val="16"/>
          <w:lang w:val="es-ES"/>
        </w:rPr>
        <w:t>y</w:t>
      </w:r>
      <w:r w:rsidRPr="007C693A">
        <w:rPr>
          <w:rFonts w:ascii="Verdana" w:hAnsi="Verdana"/>
          <w:i/>
          <w:spacing w:val="-3"/>
          <w:sz w:val="16"/>
          <w:szCs w:val="16"/>
          <w:lang w:val="es-ES"/>
        </w:rPr>
        <w:t xml:space="preserve"> </w:t>
      </w:r>
      <w:r w:rsidRPr="007C693A">
        <w:rPr>
          <w:rFonts w:ascii="Verdana" w:hAnsi="Verdana"/>
          <w:i/>
          <w:sz w:val="16"/>
          <w:szCs w:val="16"/>
          <w:lang w:val="es-ES"/>
        </w:rPr>
        <w:t>Costas.</w:t>
      </w:r>
      <w:r w:rsidRPr="007C693A">
        <w:rPr>
          <w:rFonts w:ascii="Verdana" w:hAnsi="Verdana"/>
          <w:i/>
          <w:spacing w:val="-5"/>
          <w:sz w:val="16"/>
          <w:szCs w:val="16"/>
          <w:lang w:val="es-ES"/>
        </w:rPr>
        <w:t xml:space="preserve"> </w:t>
      </w:r>
      <w:r w:rsidRPr="007C693A">
        <w:rPr>
          <w:rFonts w:ascii="Verdana" w:hAnsi="Verdana"/>
          <w:sz w:val="16"/>
          <w:szCs w:val="16"/>
          <w:lang w:val="es-ES"/>
        </w:rPr>
        <w:t>Sentencia</w:t>
      </w:r>
      <w:r w:rsidRPr="007C693A">
        <w:rPr>
          <w:rFonts w:ascii="Verdana" w:hAnsi="Verdana"/>
          <w:spacing w:val="-6"/>
          <w:sz w:val="16"/>
          <w:szCs w:val="16"/>
          <w:lang w:val="es-ES"/>
        </w:rPr>
        <w:t xml:space="preserve"> </w:t>
      </w:r>
      <w:r w:rsidRPr="007C693A">
        <w:rPr>
          <w:rFonts w:ascii="Verdana" w:hAnsi="Verdana"/>
          <w:sz w:val="16"/>
          <w:szCs w:val="16"/>
          <w:lang w:val="es-ES"/>
        </w:rPr>
        <w:t>de</w:t>
      </w:r>
      <w:r w:rsidRPr="007C693A">
        <w:rPr>
          <w:rFonts w:ascii="Verdana" w:hAnsi="Verdana"/>
          <w:spacing w:val="-4"/>
          <w:sz w:val="16"/>
          <w:szCs w:val="16"/>
          <w:lang w:val="es-ES"/>
        </w:rPr>
        <w:t xml:space="preserve"> </w:t>
      </w:r>
      <w:r w:rsidRPr="007C693A">
        <w:rPr>
          <w:rFonts w:ascii="Verdana" w:hAnsi="Verdana"/>
          <w:sz w:val="16"/>
          <w:szCs w:val="16"/>
          <w:lang w:val="es-ES"/>
        </w:rPr>
        <w:t>18</w:t>
      </w:r>
      <w:r w:rsidRPr="007C693A">
        <w:rPr>
          <w:rFonts w:ascii="Verdana" w:hAnsi="Verdana"/>
          <w:spacing w:val="-5"/>
          <w:sz w:val="16"/>
          <w:szCs w:val="16"/>
          <w:lang w:val="es-ES"/>
        </w:rPr>
        <w:t xml:space="preserve"> </w:t>
      </w:r>
      <w:r w:rsidRPr="007C693A">
        <w:rPr>
          <w:rFonts w:ascii="Verdana" w:hAnsi="Verdana"/>
          <w:sz w:val="16"/>
          <w:szCs w:val="16"/>
          <w:lang w:val="es-ES"/>
        </w:rPr>
        <w:t>de</w:t>
      </w:r>
      <w:r w:rsidRPr="007C693A">
        <w:rPr>
          <w:rFonts w:ascii="Verdana" w:hAnsi="Verdana"/>
          <w:spacing w:val="-6"/>
          <w:sz w:val="16"/>
          <w:szCs w:val="16"/>
          <w:lang w:val="es-ES"/>
        </w:rPr>
        <w:t xml:space="preserve"> </w:t>
      </w:r>
      <w:r w:rsidRPr="007C693A">
        <w:rPr>
          <w:rFonts w:ascii="Verdana" w:hAnsi="Verdana"/>
          <w:sz w:val="16"/>
          <w:szCs w:val="16"/>
          <w:lang w:val="es-ES"/>
        </w:rPr>
        <w:t>septiembre</w:t>
      </w:r>
      <w:r w:rsidRPr="007C693A">
        <w:rPr>
          <w:rFonts w:ascii="Verdana" w:hAnsi="Verdana"/>
          <w:spacing w:val="-6"/>
          <w:sz w:val="16"/>
          <w:szCs w:val="16"/>
          <w:lang w:val="es-ES"/>
        </w:rPr>
        <w:t xml:space="preserve"> </w:t>
      </w:r>
      <w:r w:rsidRPr="007C693A">
        <w:rPr>
          <w:rFonts w:ascii="Verdana" w:hAnsi="Verdana"/>
          <w:sz w:val="16"/>
          <w:szCs w:val="16"/>
          <w:lang w:val="es-ES"/>
        </w:rPr>
        <w:t>de</w:t>
      </w:r>
      <w:r w:rsidRPr="007C693A">
        <w:rPr>
          <w:rFonts w:ascii="Verdana" w:hAnsi="Verdana"/>
          <w:spacing w:val="-7"/>
          <w:sz w:val="16"/>
          <w:szCs w:val="16"/>
          <w:lang w:val="es-ES"/>
        </w:rPr>
        <w:t xml:space="preserve"> </w:t>
      </w:r>
      <w:r w:rsidRPr="007C693A">
        <w:rPr>
          <w:rFonts w:ascii="Verdana" w:hAnsi="Verdana"/>
          <w:sz w:val="16"/>
          <w:szCs w:val="16"/>
          <w:lang w:val="es-ES"/>
        </w:rPr>
        <w:t>2003.</w:t>
      </w:r>
      <w:r w:rsidRPr="007C693A">
        <w:rPr>
          <w:rFonts w:ascii="Verdana" w:hAnsi="Verdana"/>
          <w:spacing w:val="-7"/>
          <w:sz w:val="16"/>
          <w:szCs w:val="16"/>
          <w:lang w:val="es-ES"/>
        </w:rPr>
        <w:t xml:space="preserve"> </w:t>
      </w:r>
      <w:r w:rsidRPr="007C693A">
        <w:rPr>
          <w:rFonts w:ascii="Verdana" w:hAnsi="Verdana"/>
          <w:sz w:val="16"/>
          <w:szCs w:val="16"/>
          <w:lang w:val="es-ES"/>
        </w:rPr>
        <w:t>Serie</w:t>
      </w:r>
      <w:r w:rsidR="00236CB2">
        <w:rPr>
          <w:rFonts w:ascii="Verdana" w:hAnsi="Verdana"/>
          <w:sz w:val="16"/>
          <w:szCs w:val="16"/>
          <w:lang w:val="es-ES"/>
        </w:rPr>
        <w:t xml:space="preserve"> </w:t>
      </w:r>
      <w:r w:rsidRPr="007C693A">
        <w:rPr>
          <w:rFonts w:ascii="Verdana" w:hAnsi="Verdana"/>
          <w:spacing w:val="-54"/>
          <w:sz w:val="16"/>
          <w:szCs w:val="16"/>
          <w:lang w:val="es-ES"/>
        </w:rPr>
        <w:t xml:space="preserve"> </w:t>
      </w:r>
      <w:r w:rsidRPr="007C693A">
        <w:rPr>
          <w:rFonts w:ascii="Verdana" w:hAnsi="Verdana"/>
          <w:sz w:val="16"/>
          <w:szCs w:val="16"/>
          <w:lang w:val="es-ES"/>
        </w:rPr>
        <w:t>C</w:t>
      </w:r>
      <w:r w:rsidRPr="007C693A">
        <w:rPr>
          <w:rFonts w:ascii="Verdana" w:hAnsi="Verdana"/>
          <w:spacing w:val="1"/>
          <w:sz w:val="16"/>
          <w:szCs w:val="16"/>
          <w:lang w:val="es-ES"/>
        </w:rPr>
        <w:t xml:space="preserve"> </w:t>
      </w:r>
      <w:r w:rsidRPr="007C693A">
        <w:rPr>
          <w:rFonts w:ascii="Verdana" w:hAnsi="Verdana"/>
          <w:sz w:val="16"/>
          <w:szCs w:val="16"/>
          <w:lang w:val="es-ES"/>
        </w:rPr>
        <w:t>No.</w:t>
      </w:r>
      <w:r w:rsidRPr="007C693A">
        <w:rPr>
          <w:rFonts w:ascii="Verdana" w:hAnsi="Verdana"/>
          <w:spacing w:val="-2"/>
          <w:sz w:val="16"/>
          <w:szCs w:val="16"/>
          <w:lang w:val="es-ES"/>
        </w:rPr>
        <w:t xml:space="preserve"> </w:t>
      </w:r>
      <w:r w:rsidRPr="007C693A">
        <w:rPr>
          <w:rFonts w:ascii="Verdana" w:hAnsi="Verdana"/>
          <w:sz w:val="16"/>
          <w:szCs w:val="16"/>
          <w:lang w:val="es-ES"/>
        </w:rPr>
        <w:t>100,</w:t>
      </w:r>
      <w:r w:rsidRPr="007C693A">
        <w:rPr>
          <w:rFonts w:ascii="Verdana" w:hAnsi="Verdana"/>
          <w:spacing w:val="-2"/>
          <w:sz w:val="16"/>
          <w:szCs w:val="16"/>
          <w:lang w:val="es-ES"/>
        </w:rPr>
        <w:t xml:space="preserve"> </w:t>
      </w:r>
      <w:r w:rsidRPr="007C693A">
        <w:rPr>
          <w:rFonts w:ascii="Verdana" w:hAnsi="Verdana"/>
          <w:sz w:val="16"/>
          <w:szCs w:val="16"/>
          <w:lang w:val="es-ES"/>
        </w:rPr>
        <w:t>párr.</w:t>
      </w:r>
      <w:r w:rsidRPr="007C693A">
        <w:rPr>
          <w:rFonts w:ascii="Verdana" w:hAnsi="Verdana"/>
          <w:spacing w:val="-2"/>
          <w:sz w:val="16"/>
          <w:szCs w:val="16"/>
          <w:lang w:val="es-ES"/>
        </w:rPr>
        <w:t xml:space="preserve"> </w:t>
      </w:r>
      <w:r w:rsidRPr="007C693A">
        <w:rPr>
          <w:rFonts w:ascii="Verdana" w:hAnsi="Verdana"/>
          <w:sz w:val="16"/>
          <w:szCs w:val="16"/>
          <w:lang w:val="es-ES"/>
        </w:rPr>
        <w:t>114,</w:t>
      </w:r>
      <w:r w:rsidRPr="007C693A">
        <w:rPr>
          <w:rFonts w:ascii="Verdana" w:hAnsi="Verdana"/>
          <w:spacing w:val="-2"/>
          <w:sz w:val="16"/>
          <w:szCs w:val="16"/>
          <w:lang w:val="es-ES"/>
        </w:rPr>
        <w:t xml:space="preserve"> </w:t>
      </w:r>
      <w:r w:rsidRPr="007C693A">
        <w:rPr>
          <w:rFonts w:ascii="Verdana" w:hAnsi="Verdana"/>
          <w:sz w:val="16"/>
          <w:szCs w:val="16"/>
          <w:lang w:val="es-ES"/>
        </w:rPr>
        <w:t>y</w:t>
      </w:r>
      <w:r w:rsidRPr="007C693A">
        <w:rPr>
          <w:rFonts w:ascii="Verdana" w:hAnsi="Verdana"/>
          <w:spacing w:val="-1"/>
          <w:sz w:val="16"/>
          <w:szCs w:val="16"/>
          <w:lang w:val="es-ES"/>
        </w:rPr>
        <w:t xml:space="preserve"> </w:t>
      </w:r>
      <w:r w:rsidRPr="0054671F">
        <w:rPr>
          <w:rFonts w:ascii="Verdana" w:hAnsi="Verdana"/>
          <w:i/>
          <w:iCs/>
          <w:sz w:val="16"/>
          <w:szCs w:val="16"/>
          <w:lang w:val="es-ES"/>
        </w:rPr>
        <w:t>Caso</w:t>
      </w:r>
      <w:r w:rsidRPr="007C693A">
        <w:rPr>
          <w:rFonts w:ascii="Verdana" w:hAnsi="Verdana"/>
          <w:sz w:val="16"/>
          <w:szCs w:val="16"/>
          <w:lang w:val="es-ES"/>
        </w:rPr>
        <w:t xml:space="preserve"> </w:t>
      </w:r>
      <w:r w:rsidRPr="00922737">
        <w:rPr>
          <w:rFonts w:ascii="Verdana" w:hAnsi="Verdana"/>
          <w:i/>
          <w:iCs/>
          <w:sz w:val="16"/>
          <w:szCs w:val="16"/>
          <w:lang w:val="es-ES"/>
        </w:rPr>
        <w:t xml:space="preserve">Sales Pimenta Vs. </w:t>
      </w:r>
      <w:r w:rsidRPr="00E20335">
        <w:rPr>
          <w:rFonts w:ascii="Verdana" w:hAnsi="Verdana"/>
          <w:i/>
          <w:iCs/>
          <w:sz w:val="16"/>
          <w:szCs w:val="16"/>
          <w:lang w:val="es-ES"/>
        </w:rPr>
        <w:t>B</w:t>
      </w:r>
      <w:r w:rsidR="00236CB2" w:rsidRPr="00E20335">
        <w:rPr>
          <w:rFonts w:ascii="Verdana" w:hAnsi="Verdana"/>
          <w:i/>
          <w:iCs/>
          <w:sz w:val="16"/>
          <w:szCs w:val="16"/>
          <w:lang w:val="es-ES"/>
        </w:rPr>
        <w:t>r</w:t>
      </w:r>
      <w:r w:rsidRPr="00E20335">
        <w:rPr>
          <w:rFonts w:ascii="Verdana" w:hAnsi="Verdana"/>
          <w:i/>
          <w:iCs/>
          <w:sz w:val="16"/>
          <w:szCs w:val="16"/>
          <w:lang w:val="es-ES"/>
        </w:rPr>
        <w:t>asil</w:t>
      </w:r>
      <w:r w:rsidR="0054671F" w:rsidRPr="00E20335">
        <w:rPr>
          <w:rFonts w:ascii="Verdana" w:hAnsi="Verdana"/>
          <w:i/>
          <w:iCs/>
          <w:sz w:val="16"/>
          <w:szCs w:val="16"/>
          <w:lang w:val="es-ES"/>
        </w:rPr>
        <w:t>, supra</w:t>
      </w:r>
      <w:r w:rsidRPr="00E20335">
        <w:rPr>
          <w:rFonts w:ascii="Verdana" w:hAnsi="Verdana"/>
          <w:sz w:val="16"/>
          <w:szCs w:val="16"/>
          <w:lang w:val="es-ES"/>
        </w:rPr>
        <w:t xml:space="preserve">, párr. </w:t>
      </w:r>
      <w:r w:rsidRPr="009D58DE">
        <w:rPr>
          <w:rFonts w:ascii="Verdana" w:hAnsi="Verdana"/>
          <w:sz w:val="16"/>
          <w:szCs w:val="16"/>
          <w:lang w:val="pt-BR"/>
        </w:rPr>
        <w:t>83.</w:t>
      </w:r>
    </w:p>
  </w:footnote>
  <w:footnote w:id="144">
    <w:p w14:paraId="6ADD55D9" w14:textId="77777777" w:rsidR="007B594B" w:rsidRPr="007C693A" w:rsidRDefault="007B594B" w:rsidP="007B594B">
      <w:pPr>
        <w:jc w:val="both"/>
        <w:rPr>
          <w:rFonts w:ascii="Verdana" w:hAnsi="Verdana" w:cs="Times-Roman"/>
          <w:sz w:val="16"/>
          <w:szCs w:val="16"/>
          <w:lang w:val="es-CL" w:bidi="en-US"/>
        </w:rPr>
      </w:pPr>
      <w:r w:rsidRPr="00EE33B2">
        <w:rPr>
          <w:rStyle w:val="Refdenotaalpie"/>
        </w:rPr>
        <w:footnoteRef/>
      </w:r>
      <w:r w:rsidRPr="009D58DE">
        <w:rPr>
          <w:rFonts w:ascii="Verdana" w:hAnsi="Verdana"/>
          <w:sz w:val="16"/>
          <w:szCs w:val="16"/>
          <w:lang w:val="pt-BR"/>
        </w:rPr>
        <w:tab/>
      </w:r>
      <w:r w:rsidRPr="009D58DE">
        <w:rPr>
          <w:rFonts w:ascii="Verdana" w:hAnsi="Verdana"/>
          <w:i/>
          <w:sz w:val="16"/>
          <w:szCs w:val="16"/>
          <w:lang w:val="pt-BR"/>
        </w:rPr>
        <w:t>Cfr</w:t>
      </w:r>
      <w:r w:rsidRPr="009D58DE">
        <w:rPr>
          <w:rFonts w:ascii="Verdana" w:hAnsi="Verdana"/>
          <w:sz w:val="16"/>
          <w:szCs w:val="16"/>
          <w:lang w:val="pt-BR"/>
        </w:rPr>
        <w:t xml:space="preserve">. ONU, </w:t>
      </w:r>
      <w:r w:rsidRPr="009D58DE">
        <w:rPr>
          <w:rFonts w:ascii="Verdana" w:hAnsi="Verdana" w:cs="Times-Roman"/>
          <w:sz w:val="16"/>
          <w:szCs w:val="16"/>
          <w:lang w:val="pt-BR" w:bidi="en-US"/>
        </w:rPr>
        <w:t xml:space="preserve">Comité de Derechos Humanos, </w:t>
      </w:r>
      <w:r w:rsidRPr="009D58DE">
        <w:rPr>
          <w:rFonts w:ascii="Verdana" w:hAnsi="Verdana" w:cs="Times-Roman"/>
          <w:i/>
          <w:sz w:val="16"/>
          <w:szCs w:val="16"/>
          <w:lang w:val="pt-BR" w:bidi="en-US"/>
        </w:rPr>
        <w:t xml:space="preserve">Casos </w:t>
      </w:r>
      <w:r w:rsidRPr="009D58DE">
        <w:rPr>
          <w:rFonts w:ascii="Verdana" w:hAnsi="Verdana" w:cs="Verdana"/>
          <w:i/>
          <w:sz w:val="16"/>
          <w:szCs w:val="16"/>
          <w:lang w:val="pt-BR" w:bidi="en-US"/>
        </w:rPr>
        <w:t xml:space="preserve">Larrosa </w:t>
      </w:r>
      <w:r w:rsidRPr="009D58DE">
        <w:rPr>
          <w:rFonts w:ascii="Verdana" w:hAnsi="Verdana" w:cs="Times-Roman"/>
          <w:i/>
          <w:sz w:val="16"/>
          <w:szCs w:val="16"/>
          <w:lang w:val="pt-BR" w:bidi="en-US"/>
        </w:rPr>
        <w:t xml:space="preserve">Vs. </w:t>
      </w:r>
      <w:r w:rsidRPr="007C693A">
        <w:rPr>
          <w:rFonts w:ascii="Verdana" w:hAnsi="Verdana" w:cs="Times-Roman"/>
          <w:i/>
          <w:sz w:val="16"/>
          <w:szCs w:val="16"/>
          <w:lang w:val="es-CL" w:bidi="en-US"/>
        </w:rPr>
        <w:t>Uruguay</w:t>
      </w:r>
      <w:r>
        <w:rPr>
          <w:rFonts w:ascii="Verdana" w:hAnsi="Verdana" w:cs="Times-Roman"/>
          <w:sz w:val="16"/>
          <w:szCs w:val="16"/>
          <w:lang w:val="es-CL" w:bidi="en-US"/>
        </w:rPr>
        <w:t>,</w:t>
      </w:r>
      <w:r w:rsidRPr="007C693A">
        <w:rPr>
          <w:rFonts w:ascii="Verdana" w:hAnsi="Verdana" w:cs="Times-Roman"/>
          <w:sz w:val="16"/>
          <w:szCs w:val="16"/>
          <w:lang w:val="es-CL" w:bidi="en-US"/>
        </w:rPr>
        <w:t xml:space="preserve"> Comunicación No. 88/1981,</w:t>
      </w:r>
      <w:r>
        <w:rPr>
          <w:rFonts w:ascii="Verdana" w:hAnsi="Verdana" w:cs="Times-Roman"/>
          <w:sz w:val="16"/>
          <w:szCs w:val="16"/>
          <w:lang w:val="es-CL" w:bidi="en-US"/>
        </w:rPr>
        <w:t xml:space="preserve"> UN Doc. CCPR/C/OP/2 at 176 (1990),</w:t>
      </w:r>
      <w:r w:rsidRPr="007C693A">
        <w:rPr>
          <w:rFonts w:ascii="Verdana" w:hAnsi="Verdana" w:cs="Times-Roman"/>
          <w:sz w:val="16"/>
          <w:szCs w:val="16"/>
          <w:lang w:val="es-CL" w:bidi="en-US"/>
        </w:rPr>
        <w:t xml:space="preserve"> Dictamen de 2</w:t>
      </w:r>
      <w:r>
        <w:rPr>
          <w:rFonts w:ascii="Verdana" w:hAnsi="Verdana" w:cs="Times-Roman"/>
          <w:sz w:val="16"/>
          <w:szCs w:val="16"/>
          <w:lang w:val="es-CL" w:bidi="en-US"/>
        </w:rPr>
        <w:t>9</w:t>
      </w:r>
      <w:r w:rsidRPr="007C693A">
        <w:rPr>
          <w:rFonts w:ascii="Verdana" w:hAnsi="Verdana" w:cs="Times-Roman"/>
          <w:sz w:val="16"/>
          <w:szCs w:val="16"/>
          <w:lang w:val="es-CL" w:bidi="en-US"/>
        </w:rPr>
        <w:t xml:space="preserve"> de marzo de 1983, párr. 11.5, y</w:t>
      </w:r>
      <w:r>
        <w:rPr>
          <w:rFonts w:ascii="Verdana" w:hAnsi="Verdana" w:cs="Times-Roman"/>
          <w:i/>
          <w:sz w:val="16"/>
          <w:szCs w:val="16"/>
          <w:lang w:val="es-CL" w:bidi="en-US"/>
        </w:rPr>
        <w:t xml:space="preserve"> </w:t>
      </w:r>
      <w:r w:rsidRPr="007C693A">
        <w:rPr>
          <w:rFonts w:ascii="Verdana" w:hAnsi="Verdana" w:cs="Verdana"/>
          <w:i/>
          <w:sz w:val="16"/>
          <w:szCs w:val="16"/>
          <w:lang w:val="es-CL" w:bidi="en-US"/>
        </w:rPr>
        <w:t xml:space="preserve">Gilboa </w:t>
      </w:r>
      <w:r w:rsidRPr="007C693A">
        <w:rPr>
          <w:rFonts w:ascii="Verdana" w:hAnsi="Verdana" w:cs="Times-Roman"/>
          <w:i/>
          <w:sz w:val="16"/>
          <w:szCs w:val="16"/>
          <w:lang w:val="es-CL" w:bidi="en-US"/>
        </w:rPr>
        <w:t>Vs. Uruguay</w:t>
      </w:r>
      <w:r>
        <w:rPr>
          <w:rFonts w:ascii="Verdana" w:hAnsi="Verdana" w:cs="Times-Roman"/>
          <w:sz w:val="16"/>
          <w:szCs w:val="16"/>
          <w:lang w:val="es-CL" w:bidi="en-US"/>
        </w:rPr>
        <w:t>,</w:t>
      </w:r>
      <w:r w:rsidRPr="007C693A">
        <w:rPr>
          <w:rFonts w:ascii="Verdana" w:hAnsi="Verdana" w:cs="Times-Roman"/>
          <w:sz w:val="16"/>
          <w:szCs w:val="16"/>
          <w:lang w:val="es-CL" w:bidi="en-US"/>
        </w:rPr>
        <w:t xml:space="preserve"> Comunicación No. 147/1983, Dictamen de 1 de noviembre de 1985, párr. 7.2.</w:t>
      </w:r>
      <w:r>
        <w:rPr>
          <w:rFonts w:ascii="Verdana" w:hAnsi="Verdana" w:cs="Times-Roman"/>
          <w:sz w:val="16"/>
          <w:szCs w:val="16"/>
          <w:lang w:val="es-CL" w:bidi="en-US"/>
        </w:rPr>
        <w:t xml:space="preserve"> </w:t>
      </w:r>
    </w:p>
  </w:footnote>
  <w:footnote w:id="145">
    <w:p w14:paraId="483367AF" w14:textId="77777777" w:rsidR="007B594B" w:rsidRPr="007C693A" w:rsidRDefault="007B594B" w:rsidP="007B594B">
      <w:pPr>
        <w:jc w:val="both"/>
        <w:rPr>
          <w:rFonts w:ascii="Verdana" w:hAnsi="Verdana" w:cs="Times-Roman"/>
          <w:sz w:val="16"/>
          <w:szCs w:val="16"/>
          <w:lang w:val="es-CL" w:bidi="en-US"/>
        </w:rPr>
      </w:pPr>
      <w:r w:rsidRPr="00EE33B2">
        <w:rPr>
          <w:rStyle w:val="Refdenotaalpie"/>
        </w:rPr>
        <w:footnoteRef/>
      </w:r>
      <w:r w:rsidRPr="007C693A">
        <w:rPr>
          <w:rFonts w:ascii="Verdana" w:hAnsi="Verdana"/>
          <w:sz w:val="16"/>
          <w:szCs w:val="16"/>
          <w:lang w:val="es-CL"/>
        </w:rPr>
        <w:t xml:space="preserve"> </w:t>
      </w:r>
      <w:r w:rsidRPr="007C693A">
        <w:rPr>
          <w:rFonts w:ascii="Verdana" w:hAnsi="Verdana"/>
          <w:sz w:val="16"/>
          <w:szCs w:val="16"/>
          <w:lang w:val="es-CL"/>
        </w:rPr>
        <w:tab/>
      </w:r>
      <w:r w:rsidRPr="00922737">
        <w:rPr>
          <w:rFonts w:ascii="Verdana" w:hAnsi="Verdana"/>
          <w:i/>
          <w:sz w:val="16"/>
          <w:szCs w:val="16"/>
          <w:lang w:val="es-CL"/>
        </w:rPr>
        <w:t>Cfr</w:t>
      </w:r>
      <w:r w:rsidRPr="00922737">
        <w:rPr>
          <w:rFonts w:ascii="Verdana" w:hAnsi="Verdana"/>
          <w:sz w:val="16"/>
          <w:szCs w:val="16"/>
          <w:lang w:val="es-CL"/>
        </w:rPr>
        <w:t xml:space="preserve">. </w:t>
      </w:r>
      <w:r w:rsidRPr="002D1D09">
        <w:rPr>
          <w:rFonts w:ascii="Verdana" w:hAnsi="Verdana"/>
          <w:sz w:val="16"/>
          <w:szCs w:val="16"/>
          <w:lang w:val="es-CL"/>
        </w:rPr>
        <w:t xml:space="preserve">ONU, </w:t>
      </w:r>
      <w:r w:rsidRPr="002D1D09">
        <w:rPr>
          <w:rFonts w:ascii="Verdana" w:hAnsi="Verdana" w:cs="Times-Roman"/>
          <w:sz w:val="16"/>
          <w:szCs w:val="16"/>
          <w:lang w:val="es-CL" w:bidi="en-US"/>
        </w:rPr>
        <w:t>Comité de Derechos Humanos</w:t>
      </w:r>
      <w:r w:rsidRPr="00922737">
        <w:rPr>
          <w:rFonts w:ascii="Verdana" w:hAnsi="Verdana" w:cs="Times-Roman"/>
          <w:sz w:val="16"/>
          <w:szCs w:val="16"/>
          <w:lang w:val="es-CL" w:bidi="en-US"/>
        </w:rPr>
        <w:t xml:space="preserve">, </w:t>
      </w:r>
      <w:r w:rsidRPr="00922737">
        <w:rPr>
          <w:rFonts w:ascii="Verdana" w:hAnsi="Verdana" w:cs="Times-Roman"/>
          <w:i/>
          <w:sz w:val="16"/>
          <w:szCs w:val="16"/>
          <w:lang w:val="es-CL" w:bidi="en-US"/>
        </w:rPr>
        <w:t xml:space="preserve">Casos </w:t>
      </w:r>
      <w:r w:rsidRPr="00922737">
        <w:rPr>
          <w:rFonts w:ascii="Verdana" w:hAnsi="Verdana" w:cs="Times-Italic"/>
          <w:i/>
          <w:iCs/>
          <w:sz w:val="16"/>
          <w:szCs w:val="16"/>
          <w:lang w:val="es-CL" w:bidi="en-US"/>
        </w:rPr>
        <w:t xml:space="preserve">Sathasivam </w:t>
      </w:r>
      <w:r w:rsidRPr="00922737">
        <w:rPr>
          <w:rFonts w:ascii="Verdana" w:hAnsi="Verdana" w:cs="Times-Roman"/>
          <w:i/>
          <w:sz w:val="16"/>
          <w:szCs w:val="16"/>
          <w:lang w:val="es-CL" w:bidi="en-US"/>
        </w:rPr>
        <w:t>Vs. Sri Lanka</w:t>
      </w:r>
      <w:r w:rsidRPr="00922737">
        <w:rPr>
          <w:rFonts w:ascii="Verdana" w:hAnsi="Verdana" w:cs="Times-Italic"/>
          <w:iCs/>
          <w:sz w:val="16"/>
          <w:szCs w:val="16"/>
          <w:lang w:val="es-CL" w:bidi="en-US"/>
        </w:rPr>
        <w:t xml:space="preserve">, </w:t>
      </w:r>
      <w:r w:rsidRPr="00922737">
        <w:rPr>
          <w:rFonts w:ascii="Verdana" w:hAnsi="Verdana" w:cs="Times-Roman"/>
          <w:sz w:val="16"/>
          <w:szCs w:val="16"/>
          <w:lang w:val="es-CL" w:bidi="en-US"/>
        </w:rPr>
        <w:t>Comunicación No. 1436/2005</w:t>
      </w:r>
      <w:r w:rsidRPr="00922737">
        <w:rPr>
          <w:rFonts w:ascii="Verdana" w:hAnsi="Verdana" w:cs="Times-Italic"/>
          <w:i/>
          <w:iCs/>
          <w:sz w:val="16"/>
          <w:szCs w:val="16"/>
          <w:lang w:val="es-CL" w:bidi="en-US"/>
        </w:rPr>
        <w:t xml:space="preserve">, </w:t>
      </w:r>
      <w:r w:rsidRPr="00922737">
        <w:rPr>
          <w:rFonts w:ascii="Verdana" w:hAnsi="Verdana" w:cs="Times-Roman"/>
          <w:sz w:val="16"/>
          <w:szCs w:val="16"/>
          <w:lang w:val="es-CL" w:bidi="en-US"/>
        </w:rPr>
        <w:t xml:space="preserve">Dictamen de 8 de julio de 2008, párr. 6.4; </w:t>
      </w:r>
      <w:r w:rsidRPr="00922737">
        <w:rPr>
          <w:rFonts w:ascii="Verdana" w:hAnsi="Verdana" w:cs="Times-Italic"/>
          <w:i/>
          <w:iCs/>
          <w:sz w:val="16"/>
          <w:szCs w:val="16"/>
          <w:lang w:val="es-CL" w:bidi="en-US"/>
        </w:rPr>
        <w:t xml:space="preserve">Amirov </w:t>
      </w:r>
      <w:r w:rsidRPr="00922737">
        <w:rPr>
          <w:rFonts w:ascii="Verdana" w:hAnsi="Verdana" w:cs="Times-Roman"/>
          <w:i/>
          <w:sz w:val="16"/>
          <w:szCs w:val="16"/>
          <w:lang w:val="es-CL" w:bidi="en-US"/>
        </w:rPr>
        <w:t>Vs.</w:t>
      </w:r>
      <w:r w:rsidRPr="00922737">
        <w:rPr>
          <w:rFonts w:ascii="Verdana" w:hAnsi="Verdana" w:cs="Times-Roman"/>
          <w:sz w:val="16"/>
          <w:szCs w:val="16"/>
          <w:lang w:val="es-CL" w:bidi="en-US"/>
        </w:rPr>
        <w:t xml:space="preserve"> </w:t>
      </w:r>
      <w:r w:rsidRPr="00922737">
        <w:rPr>
          <w:rFonts w:ascii="Verdana" w:hAnsi="Verdana" w:cs="Times-Italic"/>
          <w:i/>
          <w:iCs/>
          <w:sz w:val="16"/>
          <w:szCs w:val="16"/>
          <w:lang w:val="es-CL" w:bidi="en-US"/>
        </w:rPr>
        <w:t>Federación de Rusia</w:t>
      </w:r>
      <w:r w:rsidRPr="00922737">
        <w:rPr>
          <w:rFonts w:ascii="Verdana" w:hAnsi="Verdana" w:cs="Times-Italic"/>
          <w:iCs/>
          <w:sz w:val="16"/>
          <w:szCs w:val="16"/>
          <w:lang w:val="es-CL" w:bidi="en-US"/>
        </w:rPr>
        <w:t xml:space="preserve">. </w:t>
      </w:r>
      <w:r w:rsidRPr="00922737">
        <w:rPr>
          <w:rFonts w:ascii="Verdana" w:hAnsi="Verdana" w:cs="Times-Roman"/>
          <w:sz w:val="16"/>
          <w:szCs w:val="16"/>
          <w:lang w:val="es-CL" w:bidi="en-US"/>
        </w:rPr>
        <w:t>Comunicación No. 1447/2006</w:t>
      </w:r>
      <w:r w:rsidRPr="00922737">
        <w:rPr>
          <w:rFonts w:ascii="Verdana" w:hAnsi="Verdana" w:cs="Times-Italic"/>
          <w:i/>
          <w:iCs/>
          <w:sz w:val="16"/>
          <w:szCs w:val="16"/>
          <w:lang w:val="es-CL" w:bidi="en-US"/>
        </w:rPr>
        <w:t xml:space="preserve">, </w:t>
      </w:r>
      <w:r w:rsidRPr="00922737">
        <w:rPr>
          <w:rFonts w:ascii="Verdana" w:hAnsi="Verdana" w:cs="Times-Roman"/>
          <w:sz w:val="16"/>
          <w:szCs w:val="16"/>
          <w:lang w:val="es-CL" w:bidi="en-US"/>
        </w:rPr>
        <w:t xml:space="preserve">Dictamen de 2 de abril de 2009, párr. 11.2, y </w:t>
      </w:r>
      <w:r w:rsidRPr="00922737">
        <w:rPr>
          <w:rFonts w:ascii="Verdana" w:hAnsi="Verdana" w:cs="Verdana"/>
          <w:i/>
          <w:sz w:val="16"/>
          <w:szCs w:val="16"/>
          <w:lang w:val="es-CL" w:bidi="en-US"/>
        </w:rPr>
        <w:t xml:space="preserve">Felipe y Evelyn Pestaño </w:t>
      </w:r>
      <w:r w:rsidRPr="00922737">
        <w:rPr>
          <w:rFonts w:ascii="Verdana" w:hAnsi="Verdana" w:cs="Times-Roman"/>
          <w:i/>
          <w:sz w:val="16"/>
          <w:szCs w:val="16"/>
          <w:lang w:val="es-CL" w:bidi="en-US"/>
        </w:rPr>
        <w:t>Vs. Filipinas</w:t>
      </w:r>
      <w:r w:rsidRPr="00922737">
        <w:rPr>
          <w:rFonts w:ascii="Verdana" w:hAnsi="Verdana" w:cs="Times-Roman"/>
          <w:sz w:val="16"/>
          <w:szCs w:val="16"/>
          <w:lang w:val="es-CL" w:bidi="en-US"/>
        </w:rPr>
        <w:t>. Comunicación No. 1619/2007, Dictamen de 23 de marzo de 2010, párr. 7.2.</w:t>
      </w:r>
      <w:r>
        <w:rPr>
          <w:rFonts w:ascii="Verdana" w:hAnsi="Verdana" w:cs="Times-Roman"/>
          <w:sz w:val="16"/>
          <w:szCs w:val="16"/>
          <w:lang w:val="es-CL" w:bidi="en-US"/>
        </w:rPr>
        <w:t xml:space="preserve"> </w:t>
      </w:r>
    </w:p>
  </w:footnote>
  <w:footnote w:id="146">
    <w:p w14:paraId="771D762B" w14:textId="2FB84F80"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CR"/>
        </w:rPr>
        <w:t xml:space="preserve"> </w:t>
      </w:r>
      <w:r w:rsidRPr="007C693A">
        <w:rPr>
          <w:rFonts w:ascii="Verdana" w:hAnsi="Verdana"/>
          <w:sz w:val="16"/>
          <w:szCs w:val="16"/>
          <w:lang w:val="es-CR"/>
        </w:rPr>
        <w:tab/>
      </w:r>
      <w:r w:rsidRPr="007C693A">
        <w:rPr>
          <w:rFonts w:ascii="Verdana" w:hAnsi="Verdana"/>
          <w:i/>
          <w:sz w:val="16"/>
          <w:szCs w:val="16"/>
          <w:lang w:val="es-CR"/>
        </w:rPr>
        <w:t xml:space="preserve">Cfr. Caso de los “Niños de la Calle” (Villagrán Morales y otros) </w:t>
      </w:r>
      <w:r w:rsidR="00236CB2">
        <w:rPr>
          <w:rFonts w:ascii="Verdana" w:hAnsi="Verdana"/>
          <w:i/>
          <w:sz w:val="16"/>
          <w:szCs w:val="16"/>
          <w:lang w:val="es-CR"/>
        </w:rPr>
        <w:t>V</w:t>
      </w:r>
      <w:r w:rsidRPr="007C693A">
        <w:rPr>
          <w:rFonts w:ascii="Verdana" w:hAnsi="Verdana"/>
          <w:i/>
          <w:sz w:val="16"/>
          <w:szCs w:val="16"/>
          <w:lang w:val="es-CR"/>
        </w:rPr>
        <w:t>s. Guatemala</w:t>
      </w:r>
      <w:r w:rsidR="0054671F">
        <w:rPr>
          <w:rFonts w:ascii="Verdana" w:hAnsi="Verdana"/>
          <w:i/>
          <w:sz w:val="16"/>
          <w:szCs w:val="16"/>
          <w:lang w:val="es-CR"/>
        </w:rPr>
        <w:t xml:space="preserve">. </w:t>
      </w:r>
      <w:r w:rsidR="00A47C0A">
        <w:rPr>
          <w:rFonts w:ascii="Verdana" w:hAnsi="Verdana"/>
          <w:iCs/>
          <w:sz w:val="16"/>
          <w:szCs w:val="16"/>
          <w:lang w:val="es-CR"/>
        </w:rPr>
        <w:t>Fondo. Sentencia de 19 de noviembre de 1999. Serie C No. 63</w:t>
      </w:r>
      <w:r w:rsidR="0054671F">
        <w:rPr>
          <w:rFonts w:ascii="Verdana" w:hAnsi="Verdana"/>
          <w:i/>
          <w:sz w:val="16"/>
          <w:szCs w:val="16"/>
          <w:lang w:val="es-CR"/>
        </w:rPr>
        <w:t xml:space="preserve">, </w:t>
      </w:r>
      <w:r w:rsidRPr="007C693A">
        <w:rPr>
          <w:rFonts w:ascii="Verdana" w:hAnsi="Verdana"/>
          <w:sz w:val="16"/>
          <w:szCs w:val="16"/>
          <w:lang w:val="es-CR"/>
        </w:rPr>
        <w:t xml:space="preserve">párr. 222, y </w:t>
      </w:r>
      <w:r w:rsidRPr="00B77138">
        <w:rPr>
          <w:rFonts w:ascii="Verdana" w:hAnsi="Verdana"/>
          <w:i/>
          <w:iCs/>
          <w:sz w:val="16"/>
          <w:szCs w:val="16"/>
          <w:lang w:val="es-CR"/>
        </w:rPr>
        <w:t>Caso Sales Pimenta Vs. Brasil, supra,</w:t>
      </w:r>
      <w:r w:rsidRPr="002853BF">
        <w:rPr>
          <w:rFonts w:ascii="Verdana" w:hAnsi="Verdana"/>
          <w:sz w:val="16"/>
          <w:szCs w:val="16"/>
          <w:lang w:val="es-CR"/>
        </w:rPr>
        <w:t xml:space="preserve"> </w:t>
      </w:r>
      <w:r w:rsidRPr="007C693A">
        <w:rPr>
          <w:rFonts w:ascii="Verdana" w:hAnsi="Verdana" w:cs="Arial"/>
          <w:sz w:val="16"/>
          <w:szCs w:val="16"/>
          <w:shd w:val="clear" w:color="auto" w:fill="FFFFFF"/>
          <w:lang w:val="es-ES"/>
        </w:rPr>
        <w:t xml:space="preserve">párr. </w:t>
      </w:r>
      <w:r>
        <w:rPr>
          <w:rFonts w:ascii="Verdana" w:hAnsi="Verdana" w:cs="Arial"/>
          <w:sz w:val="16"/>
          <w:szCs w:val="16"/>
          <w:shd w:val="clear" w:color="auto" w:fill="FFFFFF"/>
          <w:lang w:val="es-ES"/>
        </w:rPr>
        <w:t>32</w:t>
      </w:r>
      <w:r w:rsidRPr="007C693A">
        <w:rPr>
          <w:rFonts w:ascii="Verdana" w:hAnsi="Verdana" w:cs="Arial"/>
          <w:sz w:val="16"/>
          <w:szCs w:val="16"/>
          <w:shd w:val="clear" w:color="auto" w:fill="FFFFFF"/>
          <w:lang w:val="es-ES"/>
        </w:rPr>
        <w:t>.</w:t>
      </w:r>
    </w:p>
  </w:footnote>
  <w:footnote w:id="147">
    <w:p w14:paraId="404B4868" w14:textId="77777777" w:rsidR="007B594B" w:rsidRPr="007C693A" w:rsidRDefault="007B594B" w:rsidP="007B594B">
      <w:pPr>
        <w:jc w:val="both"/>
        <w:rPr>
          <w:rFonts w:ascii="Verdana" w:hAnsi="Verdana"/>
          <w:spacing w:val="-3"/>
          <w:sz w:val="16"/>
          <w:szCs w:val="16"/>
          <w:lang w:val="es-CR"/>
        </w:rPr>
      </w:pPr>
      <w:r w:rsidRPr="00EE33B2">
        <w:rPr>
          <w:rStyle w:val="Refdenotaalpie"/>
        </w:rPr>
        <w:footnoteRef/>
      </w:r>
      <w:r w:rsidRPr="007C693A">
        <w:rPr>
          <w:rFonts w:ascii="Verdana" w:hAnsi="Verdana"/>
          <w:i/>
          <w:spacing w:val="-3"/>
          <w:sz w:val="16"/>
          <w:szCs w:val="16"/>
          <w:lang w:val="es-CR"/>
        </w:rPr>
        <w:t xml:space="preserve"> </w:t>
      </w:r>
      <w:r w:rsidRPr="007C693A">
        <w:rPr>
          <w:rFonts w:ascii="Verdana" w:hAnsi="Verdana"/>
          <w:i/>
          <w:spacing w:val="-3"/>
          <w:sz w:val="16"/>
          <w:szCs w:val="16"/>
          <w:lang w:val="es-CR"/>
        </w:rPr>
        <w:tab/>
        <w:t>Cfr</w:t>
      </w:r>
      <w:r w:rsidRPr="007C693A">
        <w:rPr>
          <w:rFonts w:ascii="Verdana" w:hAnsi="Verdana"/>
          <w:spacing w:val="-3"/>
          <w:sz w:val="16"/>
          <w:szCs w:val="16"/>
          <w:lang w:val="es-CR"/>
        </w:rPr>
        <w:t xml:space="preserve">. </w:t>
      </w:r>
      <w:r w:rsidRPr="007C693A">
        <w:rPr>
          <w:rFonts w:ascii="Verdana" w:hAnsi="Verdana" w:cs="Arial"/>
          <w:i/>
          <w:spacing w:val="-3"/>
          <w:sz w:val="16"/>
          <w:szCs w:val="16"/>
          <w:lang w:val="es-CR"/>
        </w:rPr>
        <w:t xml:space="preserve">Caso Ibsen </w:t>
      </w:r>
      <w:r w:rsidRPr="007C693A">
        <w:rPr>
          <w:rFonts w:ascii="Verdana" w:hAnsi="Verdana"/>
          <w:bCs/>
          <w:i/>
          <w:spacing w:val="-3"/>
          <w:sz w:val="16"/>
          <w:szCs w:val="16"/>
          <w:lang w:val="es-GT"/>
        </w:rPr>
        <w:t>Cárdenas</w:t>
      </w:r>
      <w:r w:rsidRPr="007C693A">
        <w:rPr>
          <w:rFonts w:ascii="Verdana" w:hAnsi="Verdana" w:cs="Arial"/>
          <w:i/>
          <w:spacing w:val="-3"/>
          <w:sz w:val="16"/>
          <w:szCs w:val="16"/>
          <w:lang w:val="es-CR"/>
        </w:rPr>
        <w:t xml:space="preserve"> e Ibsen Peña Vs. Bolivia. Fondo, Reparaciones y Costas.</w:t>
      </w:r>
      <w:r w:rsidRPr="007C693A">
        <w:rPr>
          <w:rFonts w:ascii="Verdana" w:hAnsi="Verdana" w:cs="Arial"/>
          <w:spacing w:val="-3"/>
          <w:sz w:val="16"/>
          <w:szCs w:val="16"/>
          <w:lang w:val="es-CR"/>
        </w:rPr>
        <w:t xml:space="preserve"> Sentencia de 1 de septiembre de 2010. Serie C No. 217</w:t>
      </w:r>
      <w:r w:rsidRPr="007C693A">
        <w:rPr>
          <w:rFonts w:ascii="Verdana" w:hAnsi="Verdana"/>
          <w:spacing w:val="-3"/>
          <w:sz w:val="16"/>
          <w:szCs w:val="16"/>
          <w:lang w:val="es-CR"/>
        </w:rPr>
        <w:t xml:space="preserve">, párr. 172, y </w:t>
      </w:r>
      <w:r w:rsidRPr="007C693A">
        <w:rPr>
          <w:rFonts w:ascii="Verdana" w:hAnsi="Verdana" w:cs="Arial"/>
          <w:i/>
          <w:sz w:val="16"/>
          <w:szCs w:val="16"/>
          <w:shd w:val="clear" w:color="auto" w:fill="FFFFFF"/>
          <w:lang w:val="es-ES"/>
        </w:rPr>
        <w:t>Caso Masacre de la Aldea Los Josefinos Vs. Guatemala</w:t>
      </w:r>
      <w:r>
        <w:rPr>
          <w:rFonts w:ascii="Verdana" w:hAnsi="Verdana" w:cs="Arial"/>
          <w:i/>
          <w:sz w:val="16"/>
          <w:szCs w:val="16"/>
          <w:shd w:val="clear" w:color="auto" w:fill="FFFFFF"/>
          <w:lang w:val="es-ES"/>
        </w:rPr>
        <w:t>, supra</w:t>
      </w:r>
      <w:r w:rsidRPr="007C693A">
        <w:rPr>
          <w:rFonts w:ascii="Verdana" w:hAnsi="Verdana" w:cs="Arial"/>
          <w:sz w:val="16"/>
          <w:szCs w:val="16"/>
          <w:shd w:val="clear" w:color="auto" w:fill="FFFFFF"/>
          <w:lang w:val="es-ES"/>
        </w:rPr>
        <w:t>, párr. 103.</w:t>
      </w:r>
    </w:p>
  </w:footnote>
  <w:footnote w:id="148">
    <w:p w14:paraId="23259021" w14:textId="77777777" w:rsidR="007B594B" w:rsidRPr="00BC5D78" w:rsidRDefault="007B594B" w:rsidP="007B594B">
      <w:pPr>
        <w:tabs>
          <w:tab w:val="left" w:pos="360"/>
        </w:tabs>
        <w:autoSpaceDE w:val="0"/>
        <w:autoSpaceDN w:val="0"/>
        <w:ind w:right="4"/>
        <w:jc w:val="both"/>
        <w:rPr>
          <w:rFonts w:ascii="Verdana" w:hAnsi="Verdana"/>
          <w:sz w:val="16"/>
          <w:szCs w:val="16"/>
          <w:lang w:val="pt-BR"/>
        </w:rPr>
      </w:pPr>
      <w:r w:rsidRPr="00EE33B2">
        <w:rPr>
          <w:rStyle w:val="Refdenotaalpie"/>
        </w:rPr>
        <w:footnoteRef/>
      </w:r>
      <w:r w:rsidRPr="007C693A">
        <w:rPr>
          <w:rFonts w:ascii="Verdana" w:hAnsi="Verdana"/>
          <w:sz w:val="16"/>
          <w:szCs w:val="16"/>
          <w:lang w:val="es-PR"/>
        </w:rPr>
        <w:t xml:space="preserve"> </w:t>
      </w:r>
      <w:r w:rsidRPr="007C693A">
        <w:rPr>
          <w:rFonts w:ascii="Verdana" w:hAnsi="Verdana"/>
          <w:sz w:val="16"/>
          <w:szCs w:val="16"/>
          <w:lang w:val="es-PR"/>
        </w:rPr>
        <w:tab/>
      </w:r>
      <w:r w:rsidRPr="007C693A">
        <w:rPr>
          <w:rFonts w:ascii="Verdana" w:hAnsi="Verdana"/>
          <w:sz w:val="16"/>
          <w:szCs w:val="16"/>
          <w:lang w:val="es-PR"/>
        </w:rPr>
        <w:tab/>
      </w:r>
      <w:r w:rsidRPr="007C693A">
        <w:rPr>
          <w:rFonts w:ascii="Verdana" w:hAnsi="Verdana"/>
          <w:i/>
          <w:sz w:val="16"/>
          <w:szCs w:val="16"/>
          <w:lang w:val="es-PR"/>
        </w:rPr>
        <w:t>Cfr.</w:t>
      </w:r>
      <w:r w:rsidRPr="007C693A">
        <w:rPr>
          <w:rFonts w:ascii="Verdana" w:hAnsi="Verdana"/>
          <w:sz w:val="16"/>
          <w:szCs w:val="16"/>
          <w:lang w:val="es-PR"/>
        </w:rPr>
        <w:t xml:space="preserve"> </w:t>
      </w:r>
      <w:r w:rsidRPr="007C693A">
        <w:rPr>
          <w:rFonts w:ascii="Verdana" w:hAnsi="Verdana"/>
          <w:i/>
          <w:sz w:val="16"/>
          <w:szCs w:val="16"/>
          <w:lang w:val="es-ES"/>
        </w:rPr>
        <w:t xml:space="preserve">Caso Hilaire, Constantine y Benjamin y otros Vs. Trinidad y Tobago. Fondo, Reparaciones y Costas. </w:t>
      </w:r>
      <w:r w:rsidRPr="007C693A">
        <w:rPr>
          <w:rFonts w:ascii="Verdana" w:hAnsi="Verdana"/>
          <w:sz w:val="16"/>
          <w:szCs w:val="16"/>
          <w:lang w:val="es-ES"/>
        </w:rPr>
        <w:t>Sentencia de 21 de junio de 2002. Serie C No. 94, párr. 145</w:t>
      </w:r>
      <w:r w:rsidRPr="007C693A">
        <w:rPr>
          <w:rFonts w:ascii="Verdana" w:hAnsi="Verdana"/>
          <w:sz w:val="16"/>
          <w:szCs w:val="16"/>
          <w:lang w:val="es-PR"/>
        </w:rPr>
        <w:t xml:space="preserve">, y </w:t>
      </w:r>
      <w:r w:rsidRPr="0054671F">
        <w:rPr>
          <w:rFonts w:ascii="Verdana" w:hAnsi="Verdana"/>
          <w:i/>
          <w:iCs/>
          <w:sz w:val="16"/>
          <w:szCs w:val="16"/>
          <w:lang w:val="es-PR"/>
        </w:rPr>
        <w:t>Caso</w:t>
      </w:r>
      <w:r w:rsidRPr="009C1FAB">
        <w:rPr>
          <w:rFonts w:ascii="Verdana" w:hAnsi="Verdana"/>
          <w:i/>
          <w:iCs/>
          <w:sz w:val="16"/>
          <w:szCs w:val="16"/>
          <w:lang w:val="es-CR"/>
        </w:rPr>
        <w:t xml:space="preserve"> Sales Pimenta Vs. </w:t>
      </w:r>
      <w:r w:rsidRPr="005E070D">
        <w:rPr>
          <w:rFonts w:ascii="Verdana" w:hAnsi="Verdana"/>
          <w:i/>
          <w:iCs/>
          <w:sz w:val="16"/>
          <w:szCs w:val="16"/>
          <w:lang w:val="pt-BR"/>
        </w:rPr>
        <w:t>Brasil, supra,</w:t>
      </w:r>
      <w:r w:rsidRPr="005E070D">
        <w:rPr>
          <w:rFonts w:ascii="Verdana" w:hAnsi="Verdana"/>
          <w:sz w:val="16"/>
          <w:szCs w:val="16"/>
          <w:lang w:val="pt-BR"/>
        </w:rPr>
        <w:t xml:space="preserve"> </w:t>
      </w:r>
      <w:r w:rsidRPr="005E070D">
        <w:rPr>
          <w:rFonts w:ascii="Verdana" w:hAnsi="Verdana" w:cs="Arial"/>
          <w:sz w:val="16"/>
          <w:szCs w:val="16"/>
          <w:shd w:val="clear" w:color="auto" w:fill="FFFFFF"/>
          <w:lang w:val="pt-BR"/>
        </w:rPr>
        <w:t>párr. 106.</w:t>
      </w:r>
    </w:p>
  </w:footnote>
  <w:footnote w:id="149">
    <w:p w14:paraId="73170D5D" w14:textId="19BED8FE" w:rsidR="007B594B" w:rsidRPr="007C693A" w:rsidRDefault="007B594B" w:rsidP="007B594B">
      <w:pPr>
        <w:jc w:val="both"/>
        <w:rPr>
          <w:rFonts w:ascii="Verdana" w:hAnsi="Verdana"/>
          <w:sz w:val="16"/>
          <w:szCs w:val="16"/>
          <w:lang w:val="es-ES"/>
        </w:rPr>
      </w:pPr>
      <w:r w:rsidRPr="00EE33B2">
        <w:rPr>
          <w:rStyle w:val="Refdenotaalpie"/>
        </w:rPr>
        <w:footnoteRef/>
      </w:r>
      <w:r w:rsidRPr="005E070D">
        <w:rPr>
          <w:rFonts w:ascii="Verdana" w:hAnsi="Verdana"/>
          <w:sz w:val="16"/>
          <w:szCs w:val="16"/>
          <w:lang w:val="pt-BR"/>
        </w:rPr>
        <w:t xml:space="preserve"> </w:t>
      </w:r>
      <w:r w:rsidRPr="005E070D">
        <w:rPr>
          <w:rFonts w:ascii="Verdana" w:hAnsi="Verdana"/>
          <w:sz w:val="16"/>
          <w:szCs w:val="16"/>
          <w:lang w:val="pt-BR"/>
        </w:rPr>
        <w:tab/>
      </w:r>
      <w:r w:rsidRPr="005E070D">
        <w:rPr>
          <w:rFonts w:ascii="Verdana" w:hAnsi="Verdana"/>
          <w:i/>
          <w:iCs/>
          <w:sz w:val="16"/>
          <w:szCs w:val="16"/>
          <w:lang w:val="pt-BR"/>
        </w:rPr>
        <w:t>Cfr. Caso Anzualdo Castro Vs. Perú</w:t>
      </w:r>
      <w:r w:rsidR="0054671F" w:rsidRPr="005E070D">
        <w:rPr>
          <w:rFonts w:ascii="Verdana" w:hAnsi="Verdana"/>
          <w:i/>
          <w:iCs/>
          <w:sz w:val="16"/>
          <w:szCs w:val="16"/>
          <w:lang w:val="pt-BR"/>
        </w:rPr>
        <w:t>, supra</w:t>
      </w:r>
      <w:r w:rsidRPr="005E070D">
        <w:rPr>
          <w:rFonts w:ascii="Verdana" w:hAnsi="Verdana"/>
          <w:sz w:val="16"/>
          <w:szCs w:val="16"/>
          <w:lang w:val="pt-BR"/>
        </w:rPr>
        <w:t xml:space="preserve">, párr. </w:t>
      </w:r>
      <w:r w:rsidRPr="007C693A">
        <w:rPr>
          <w:rFonts w:ascii="Verdana" w:hAnsi="Verdana"/>
          <w:sz w:val="16"/>
          <w:szCs w:val="16"/>
          <w:lang w:val="es-ES"/>
        </w:rPr>
        <w:t>156, y</w:t>
      </w:r>
      <w:r>
        <w:rPr>
          <w:rFonts w:ascii="Verdana" w:hAnsi="Verdana"/>
          <w:sz w:val="16"/>
          <w:szCs w:val="16"/>
          <w:lang w:val="es-ES"/>
        </w:rPr>
        <w:t xml:space="preserve"> </w:t>
      </w:r>
      <w:r w:rsidRPr="009C1FAB">
        <w:rPr>
          <w:rFonts w:ascii="Verdana" w:hAnsi="Verdana"/>
          <w:i/>
          <w:iCs/>
          <w:sz w:val="16"/>
          <w:szCs w:val="16"/>
          <w:lang w:val="es-CR"/>
        </w:rPr>
        <w:t>Caso Sales Pimenta Vs. Brasil, supra,</w:t>
      </w:r>
      <w:r w:rsidRPr="002853BF">
        <w:rPr>
          <w:rFonts w:ascii="Verdana" w:hAnsi="Verdana"/>
          <w:sz w:val="16"/>
          <w:szCs w:val="16"/>
          <w:lang w:val="es-CR"/>
        </w:rPr>
        <w:t xml:space="preserve"> </w:t>
      </w:r>
      <w:r w:rsidRPr="007C693A">
        <w:rPr>
          <w:rFonts w:ascii="Verdana" w:hAnsi="Verdana" w:cs="Arial"/>
          <w:sz w:val="16"/>
          <w:szCs w:val="16"/>
          <w:shd w:val="clear" w:color="auto" w:fill="FFFFFF"/>
          <w:lang w:val="es-ES"/>
        </w:rPr>
        <w:t xml:space="preserve">párr. </w:t>
      </w:r>
      <w:r>
        <w:rPr>
          <w:rFonts w:ascii="Verdana" w:hAnsi="Verdana" w:cs="Arial"/>
          <w:sz w:val="16"/>
          <w:szCs w:val="16"/>
          <w:shd w:val="clear" w:color="auto" w:fill="FFFFFF"/>
          <w:lang w:val="es-ES"/>
        </w:rPr>
        <w:t>107</w:t>
      </w:r>
      <w:r w:rsidRPr="007C693A">
        <w:rPr>
          <w:rFonts w:ascii="Verdana" w:hAnsi="Verdana"/>
          <w:sz w:val="16"/>
          <w:szCs w:val="16"/>
          <w:lang w:val="es-ES"/>
        </w:rPr>
        <w:t xml:space="preserve">. </w:t>
      </w:r>
    </w:p>
  </w:footnote>
  <w:footnote w:id="150">
    <w:p w14:paraId="56689EA5" w14:textId="77777777" w:rsidR="007B594B" w:rsidRPr="007C693A" w:rsidRDefault="007B594B" w:rsidP="007B594B">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Memoli Vs. Argentina. Excepciones Preliminares, Fondo, Reparaciones y Costas.</w:t>
      </w:r>
      <w:r w:rsidRPr="007C693A">
        <w:rPr>
          <w:rFonts w:ascii="Verdana" w:hAnsi="Verdana"/>
          <w:sz w:val="16"/>
          <w:szCs w:val="16"/>
          <w:lang w:val="es-ES"/>
        </w:rPr>
        <w:t xml:space="preserve"> Sentencia de 22 de agosto de 2013. Serie C No. 265, párr. 174, y </w:t>
      </w:r>
      <w:r w:rsidRPr="00354604">
        <w:rPr>
          <w:rFonts w:ascii="Verdana" w:hAnsi="Verdana"/>
          <w:i/>
          <w:sz w:val="16"/>
          <w:szCs w:val="16"/>
          <w:lang w:val="es-ES"/>
        </w:rPr>
        <w:t>Caso Grijalva</w:t>
      </w:r>
      <w:r w:rsidRPr="00354604" w:rsidDel="0050535B">
        <w:rPr>
          <w:rFonts w:ascii="Verdana" w:hAnsi="Verdana"/>
          <w:i/>
          <w:sz w:val="16"/>
          <w:szCs w:val="16"/>
          <w:lang w:val="es-ES"/>
        </w:rPr>
        <w:t xml:space="preserve"> </w:t>
      </w:r>
      <w:r w:rsidRPr="00354604">
        <w:rPr>
          <w:rFonts w:ascii="Verdana" w:hAnsi="Verdana"/>
          <w:i/>
          <w:sz w:val="16"/>
          <w:szCs w:val="16"/>
          <w:lang w:val="es-ES"/>
        </w:rPr>
        <w:t>Bueno Vs. Ecuador.</w:t>
      </w:r>
      <w:r w:rsidRPr="007C693A">
        <w:rPr>
          <w:rFonts w:ascii="Verdana" w:hAnsi="Verdana"/>
          <w:i/>
          <w:sz w:val="16"/>
          <w:szCs w:val="16"/>
          <w:lang w:val="es-ES"/>
        </w:rPr>
        <w:t xml:space="preserve"> Excepciones Preliminares, Fondo, Reparaciones y Costas</w:t>
      </w:r>
      <w:r w:rsidRPr="002F0723">
        <w:rPr>
          <w:rFonts w:ascii="Verdana" w:hAnsi="Verdana"/>
          <w:iCs/>
          <w:sz w:val="16"/>
          <w:szCs w:val="16"/>
          <w:lang w:val="es-ES"/>
        </w:rPr>
        <w:t>. Sentencia de 3 de junio de 2021. Serie C No. 426</w:t>
      </w:r>
      <w:r w:rsidRPr="007C693A">
        <w:rPr>
          <w:rFonts w:ascii="Verdana" w:hAnsi="Verdana"/>
          <w:i/>
          <w:sz w:val="16"/>
          <w:szCs w:val="16"/>
          <w:lang w:val="es-ES"/>
        </w:rPr>
        <w:t>,</w:t>
      </w:r>
      <w:r w:rsidRPr="007C693A">
        <w:rPr>
          <w:rFonts w:ascii="Verdana" w:hAnsi="Verdana"/>
          <w:sz w:val="16"/>
          <w:szCs w:val="16"/>
          <w:lang w:val="es-ES"/>
        </w:rPr>
        <w:t xml:space="preserve"> párr. 184</w:t>
      </w:r>
      <w:r>
        <w:rPr>
          <w:rFonts w:ascii="Verdana" w:hAnsi="Verdana"/>
          <w:sz w:val="16"/>
          <w:szCs w:val="16"/>
          <w:lang w:val="es-ES"/>
        </w:rPr>
        <w:t>, párr.</w:t>
      </w:r>
      <w:r w:rsidRPr="007C693A">
        <w:rPr>
          <w:rFonts w:ascii="Verdana" w:hAnsi="Verdana"/>
          <w:sz w:val="16"/>
          <w:szCs w:val="16"/>
          <w:lang w:val="es-ES"/>
        </w:rPr>
        <w:t xml:space="preserve"> 142.</w:t>
      </w:r>
    </w:p>
  </w:footnote>
  <w:footnote w:id="151">
    <w:p w14:paraId="069B1582" w14:textId="0445299A" w:rsidR="007B594B" w:rsidRPr="007C693A" w:rsidRDefault="007B594B" w:rsidP="007B594B">
      <w:pPr>
        <w:tabs>
          <w:tab w:val="left" w:pos="567"/>
        </w:tabs>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 xml:space="preserve">Cfr. Caso </w:t>
      </w:r>
      <w:r w:rsidRPr="007C693A">
        <w:rPr>
          <w:rFonts w:ascii="Verdana" w:hAnsi="Verdana"/>
          <w:i/>
          <w:sz w:val="16"/>
          <w:szCs w:val="16"/>
          <w:lang w:val="es-ES"/>
        </w:rPr>
        <w:t>Suárez</w:t>
      </w:r>
      <w:r w:rsidRPr="007C693A">
        <w:rPr>
          <w:rFonts w:ascii="Verdana" w:hAnsi="Verdana"/>
          <w:i/>
          <w:iCs/>
          <w:sz w:val="16"/>
          <w:szCs w:val="16"/>
          <w:lang w:val="es-ES"/>
        </w:rPr>
        <w:t xml:space="preserve"> Rosero Vs. Ecuador. Fondo</w:t>
      </w:r>
      <w:r w:rsidR="0054671F">
        <w:rPr>
          <w:rFonts w:ascii="Verdana" w:hAnsi="Verdana"/>
          <w:sz w:val="16"/>
          <w:szCs w:val="16"/>
          <w:lang w:val="es-ES"/>
        </w:rPr>
        <w:t xml:space="preserve">. </w:t>
      </w:r>
      <w:r w:rsidR="00A47C0A">
        <w:rPr>
          <w:rFonts w:ascii="Verdana" w:hAnsi="Verdana"/>
          <w:sz w:val="16"/>
          <w:szCs w:val="16"/>
          <w:lang w:val="es-ES"/>
        </w:rPr>
        <w:t>Sentencia de 12 de noviembre de 1997. Serie C No. 35</w:t>
      </w:r>
      <w:r w:rsidR="0054671F">
        <w:rPr>
          <w:rFonts w:ascii="Verdana" w:hAnsi="Verdana"/>
          <w:sz w:val="16"/>
          <w:szCs w:val="16"/>
          <w:lang w:val="es-ES"/>
        </w:rPr>
        <w:t xml:space="preserve">, </w:t>
      </w:r>
      <w:r w:rsidRPr="007C693A">
        <w:rPr>
          <w:rFonts w:ascii="Verdana" w:hAnsi="Verdana"/>
          <w:sz w:val="16"/>
          <w:szCs w:val="16"/>
          <w:lang w:val="es-ES"/>
        </w:rPr>
        <w:t xml:space="preserve">párr. 71, y </w:t>
      </w:r>
      <w:r w:rsidRPr="009C1FAB">
        <w:rPr>
          <w:rFonts w:ascii="Verdana" w:hAnsi="Verdana"/>
          <w:i/>
          <w:iCs/>
          <w:sz w:val="16"/>
          <w:szCs w:val="16"/>
          <w:lang w:val="es-CR"/>
        </w:rPr>
        <w:t>Caso Sales Pimenta Vs. Brasil, supra,</w:t>
      </w:r>
      <w:r w:rsidRPr="002853BF">
        <w:rPr>
          <w:rFonts w:ascii="Verdana" w:hAnsi="Verdana"/>
          <w:sz w:val="16"/>
          <w:szCs w:val="16"/>
          <w:lang w:val="es-CR"/>
        </w:rPr>
        <w:t xml:space="preserve"> </w:t>
      </w:r>
      <w:r w:rsidRPr="007C693A">
        <w:rPr>
          <w:rFonts w:ascii="Verdana" w:hAnsi="Verdana" w:cs="Arial"/>
          <w:sz w:val="16"/>
          <w:szCs w:val="16"/>
          <w:shd w:val="clear" w:color="auto" w:fill="FFFFFF"/>
          <w:lang w:val="es-ES"/>
        </w:rPr>
        <w:t xml:space="preserve">párr. </w:t>
      </w:r>
      <w:r>
        <w:rPr>
          <w:rFonts w:ascii="Verdana" w:hAnsi="Verdana" w:cs="Arial"/>
          <w:sz w:val="16"/>
          <w:szCs w:val="16"/>
          <w:shd w:val="clear" w:color="auto" w:fill="FFFFFF"/>
          <w:lang w:val="es-ES"/>
        </w:rPr>
        <w:t>107.</w:t>
      </w:r>
    </w:p>
  </w:footnote>
  <w:footnote w:id="152">
    <w:p w14:paraId="0694CF7B" w14:textId="77777777" w:rsidR="007B594B" w:rsidRPr="007C693A" w:rsidRDefault="007B594B" w:rsidP="007B594B">
      <w:pPr>
        <w:tabs>
          <w:tab w:val="left" w:pos="567"/>
        </w:tabs>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 xml:space="preserve">Caso de las Comunidades Afrodescendientes desplazadas de la Cuenca del Río Cacarica (Operación Génesis) Vs. Colombia. Excepciones Preliminares, Fondo, Reparaciones y Costas. </w:t>
      </w:r>
      <w:r w:rsidRPr="007C693A">
        <w:rPr>
          <w:rFonts w:ascii="Verdana" w:hAnsi="Verdana"/>
          <w:sz w:val="16"/>
          <w:szCs w:val="16"/>
          <w:lang w:val="es-ES"/>
        </w:rPr>
        <w:t>Sentencia de 20 de noviembre de 2013. Serie C No. 270, párr. 403, y</w:t>
      </w:r>
      <w:r>
        <w:rPr>
          <w:rFonts w:ascii="Verdana" w:hAnsi="Verdana"/>
          <w:sz w:val="16"/>
          <w:szCs w:val="16"/>
          <w:lang w:val="es-ES"/>
        </w:rPr>
        <w:t xml:space="preserve"> </w:t>
      </w:r>
      <w:r w:rsidRPr="009C1FAB">
        <w:rPr>
          <w:rFonts w:ascii="Verdana" w:hAnsi="Verdana"/>
          <w:i/>
          <w:iCs/>
          <w:sz w:val="16"/>
          <w:szCs w:val="16"/>
          <w:lang w:val="es-CR"/>
        </w:rPr>
        <w:t>Caso Sales Pimenta Vs. Brasil, supra,</w:t>
      </w:r>
      <w:r w:rsidRPr="002853BF">
        <w:rPr>
          <w:rFonts w:ascii="Verdana" w:hAnsi="Verdana"/>
          <w:sz w:val="16"/>
          <w:szCs w:val="16"/>
          <w:lang w:val="es-CR"/>
        </w:rPr>
        <w:t xml:space="preserve"> </w:t>
      </w:r>
      <w:r w:rsidRPr="007C693A">
        <w:rPr>
          <w:rFonts w:ascii="Verdana" w:hAnsi="Verdana" w:cs="Arial"/>
          <w:sz w:val="16"/>
          <w:szCs w:val="16"/>
          <w:shd w:val="clear" w:color="auto" w:fill="FFFFFF"/>
          <w:lang w:val="es-ES"/>
        </w:rPr>
        <w:t xml:space="preserve">párr. </w:t>
      </w:r>
      <w:r>
        <w:rPr>
          <w:rFonts w:ascii="Verdana" w:hAnsi="Verdana" w:cs="Arial"/>
          <w:sz w:val="16"/>
          <w:szCs w:val="16"/>
          <w:shd w:val="clear" w:color="auto" w:fill="FFFFFF"/>
          <w:lang w:val="es-ES"/>
        </w:rPr>
        <w:t>109.</w:t>
      </w:r>
    </w:p>
  </w:footnote>
  <w:footnote w:id="153">
    <w:p w14:paraId="15E85E74" w14:textId="77777777"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t xml:space="preserve"> Al respecto, en un informe de la Corte Superior de Justicia se indicó que “el proceso se tornó más complejo,</w:t>
      </w:r>
      <w:r>
        <w:rPr>
          <w:rFonts w:ascii="Verdana" w:hAnsi="Verdana"/>
          <w:sz w:val="16"/>
          <w:szCs w:val="16"/>
          <w:lang w:val="es-CR"/>
        </w:rPr>
        <w:t xml:space="preserve"> prueba de ello se puede evidenciar</w:t>
      </w:r>
      <w:r w:rsidRPr="007C693A">
        <w:rPr>
          <w:rFonts w:ascii="Verdana" w:hAnsi="Verdana"/>
          <w:sz w:val="16"/>
          <w:szCs w:val="16"/>
          <w:lang w:val="es-CR"/>
        </w:rPr>
        <w:t xml:space="preserve"> por la voluminosidad del expediente que </w:t>
      </w:r>
      <w:r>
        <w:rPr>
          <w:rFonts w:ascii="Verdana" w:hAnsi="Verdana"/>
          <w:sz w:val="16"/>
          <w:szCs w:val="16"/>
          <w:lang w:val="es-CR"/>
        </w:rPr>
        <w:t xml:space="preserve">[…] </w:t>
      </w:r>
      <w:r w:rsidRPr="007C693A">
        <w:rPr>
          <w:rFonts w:ascii="Verdana" w:hAnsi="Verdana"/>
          <w:sz w:val="16"/>
          <w:szCs w:val="16"/>
          <w:lang w:val="es-CR"/>
        </w:rPr>
        <w:t>se traduce en pruebas de cargo y descargo, reiterativa y otros petitorios con el único fin de dilatar la cusa y evitar el pronunciamiento de la sentencia, que el presente ya existe y se encuentra pendiente de recurso de casación</w:t>
      </w:r>
      <w:r>
        <w:rPr>
          <w:rFonts w:ascii="Verdana" w:hAnsi="Verdana"/>
          <w:sz w:val="16"/>
          <w:szCs w:val="16"/>
          <w:lang w:val="es-CR"/>
        </w:rPr>
        <w:t>”</w:t>
      </w:r>
      <w:r w:rsidRPr="007C693A">
        <w:rPr>
          <w:rFonts w:ascii="Verdana" w:hAnsi="Verdana"/>
          <w:sz w:val="16"/>
          <w:szCs w:val="16"/>
          <w:lang w:val="es-CR"/>
        </w:rPr>
        <w:t xml:space="preserve"> y cita a manera de ejemplo distintos aspectos. </w:t>
      </w:r>
      <w:r w:rsidRPr="00D901A1">
        <w:rPr>
          <w:rFonts w:ascii="Verdana" w:hAnsi="Verdana"/>
          <w:i/>
          <w:iCs/>
          <w:sz w:val="16"/>
          <w:szCs w:val="16"/>
          <w:lang w:val="es-CR"/>
        </w:rPr>
        <w:t>Cfr.</w:t>
      </w:r>
      <w:r w:rsidRPr="007C693A">
        <w:rPr>
          <w:rFonts w:ascii="Verdana" w:hAnsi="Verdana"/>
          <w:sz w:val="16"/>
          <w:szCs w:val="16"/>
          <w:lang w:val="es-CR"/>
        </w:rPr>
        <w:t xml:space="preserve"> Informe de la Sala Tercera de la Corte Superior de Distrito de 13 de octubre de 2008 (expediente de prueba, fs. 256 a 266)</w:t>
      </w:r>
      <w:r>
        <w:rPr>
          <w:rFonts w:ascii="Verdana" w:hAnsi="Verdana"/>
          <w:sz w:val="16"/>
          <w:szCs w:val="16"/>
          <w:lang w:val="es-CR"/>
        </w:rPr>
        <w:t>.</w:t>
      </w:r>
      <w:r w:rsidRPr="007C693A">
        <w:rPr>
          <w:rFonts w:ascii="Verdana" w:hAnsi="Verdana"/>
          <w:sz w:val="16"/>
          <w:szCs w:val="16"/>
          <w:lang w:val="es-CR"/>
        </w:rPr>
        <w:t xml:space="preserve"> </w:t>
      </w:r>
    </w:p>
  </w:footnote>
  <w:footnote w:id="154">
    <w:p w14:paraId="0E7C4789" w14:textId="77777777" w:rsidR="007B594B" w:rsidRPr="007C693A" w:rsidRDefault="007B594B" w:rsidP="007B594B">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368FD">
        <w:rPr>
          <w:rFonts w:ascii="Verdana" w:hAnsi="Verdana"/>
          <w:sz w:val="16"/>
          <w:szCs w:val="16"/>
          <w:lang w:val="es-ES"/>
        </w:rPr>
        <w:t>Pese a que la sentencia dejó firmes tres condenas, las órdenes de captura fueron remitidas tres años después, el 27 de noviembre de 2013 (expediente de prueba, fs. 477 a 478). Franz Pizarro Solano fue declarado en rebeldía y no se conocen las diligencias destinadas a detenerlo por lo que permanece en libertad. José Luis Ormachea España se encuentra registrado como fallecido. Por último, Felipe Froilán Molina Bustamante fue capturado en La Paz, seis años después de dictada la sentencia (</w:t>
      </w:r>
      <w:r w:rsidRPr="007368FD">
        <w:rPr>
          <w:rFonts w:ascii="Verdana" w:hAnsi="Verdana"/>
          <w:i/>
          <w:iCs/>
          <w:sz w:val="16"/>
          <w:szCs w:val="16"/>
          <w:lang w:val="es-ES"/>
        </w:rPr>
        <w:t>supra</w:t>
      </w:r>
      <w:r w:rsidRPr="007368FD">
        <w:rPr>
          <w:rFonts w:ascii="Verdana" w:hAnsi="Verdana"/>
          <w:sz w:val="16"/>
          <w:szCs w:val="16"/>
          <w:lang w:val="es-ES"/>
        </w:rPr>
        <w:t xml:space="preserve"> párr. 62).</w:t>
      </w:r>
    </w:p>
  </w:footnote>
  <w:footnote w:id="155">
    <w:p w14:paraId="50D0F982" w14:textId="1CB502EF" w:rsidR="007B594B" w:rsidRPr="007C693A" w:rsidRDefault="007B594B" w:rsidP="007B594B">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368FD">
        <w:rPr>
          <w:rFonts w:ascii="Verdana" w:hAnsi="Verdana"/>
          <w:i/>
          <w:iCs/>
          <w:sz w:val="16"/>
          <w:szCs w:val="16"/>
          <w:lang w:val="es-ES"/>
        </w:rPr>
        <w:t>Cfr</w:t>
      </w:r>
      <w:r>
        <w:rPr>
          <w:rFonts w:ascii="Verdana" w:hAnsi="Verdana"/>
          <w:sz w:val="16"/>
          <w:szCs w:val="16"/>
          <w:lang w:val="es-ES"/>
        </w:rPr>
        <w:t>.</w:t>
      </w:r>
      <w:r w:rsidRPr="007C693A">
        <w:rPr>
          <w:rFonts w:ascii="Verdana" w:hAnsi="Verdana"/>
          <w:sz w:val="16"/>
          <w:szCs w:val="16"/>
          <w:lang w:val="es-ES"/>
        </w:rPr>
        <w:t xml:space="preserve"> </w:t>
      </w:r>
      <w:r w:rsidR="005E4E2D">
        <w:rPr>
          <w:rFonts w:ascii="Verdana" w:hAnsi="Verdana"/>
          <w:sz w:val="16"/>
          <w:szCs w:val="16"/>
          <w:lang w:val="es-ES"/>
        </w:rPr>
        <w:t>E</w:t>
      </w:r>
      <w:r w:rsidRPr="007C693A">
        <w:rPr>
          <w:rFonts w:ascii="Verdana" w:hAnsi="Verdana"/>
          <w:sz w:val="16"/>
          <w:szCs w:val="16"/>
          <w:lang w:val="es-ES"/>
        </w:rPr>
        <w:t>scritos de la abogada Eulogia Pantoja Vacaflo</w:t>
      </w:r>
      <w:r>
        <w:rPr>
          <w:rFonts w:ascii="Verdana" w:hAnsi="Verdana"/>
          <w:sz w:val="16"/>
          <w:szCs w:val="16"/>
          <w:lang w:val="es-ES"/>
        </w:rPr>
        <w:t>r dirigidas</w:t>
      </w:r>
      <w:r w:rsidRPr="007C693A">
        <w:rPr>
          <w:rFonts w:ascii="Verdana" w:hAnsi="Verdana"/>
          <w:sz w:val="16"/>
          <w:szCs w:val="16"/>
          <w:lang w:val="es-ES"/>
        </w:rPr>
        <w:t xml:space="preserve"> </w:t>
      </w:r>
      <w:r>
        <w:rPr>
          <w:rFonts w:ascii="Verdana" w:hAnsi="Verdana"/>
          <w:sz w:val="16"/>
          <w:szCs w:val="16"/>
          <w:lang w:val="es-ES"/>
        </w:rPr>
        <w:t xml:space="preserve">al </w:t>
      </w:r>
      <w:r w:rsidRPr="007C693A">
        <w:rPr>
          <w:rFonts w:ascii="Verdana" w:hAnsi="Verdana"/>
          <w:sz w:val="16"/>
          <w:szCs w:val="16"/>
          <w:lang w:val="es-ES"/>
        </w:rPr>
        <w:t xml:space="preserve">Juez Segundo de Partido en lo Penal, de fechas 22 de septiembre de </w:t>
      </w:r>
      <w:r>
        <w:rPr>
          <w:rFonts w:ascii="Verdana" w:hAnsi="Verdana"/>
          <w:sz w:val="16"/>
          <w:szCs w:val="16"/>
          <w:lang w:val="es-ES"/>
        </w:rPr>
        <w:t>2</w:t>
      </w:r>
      <w:r w:rsidRPr="007C693A">
        <w:rPr>
          <w:rFonts w:ascii="Verdana" w:hAnsi="Verdana"/>
          <w:sz w:val="16"/>
          <w:szCs w:val="16"/>
          <w:lang w:val="es-ES"/>
        </w:rPr>
        <w:t xml:space="preserve">006, presentado el 23 de septiembre de 2006, y de 28 de agosto de 2006, presentado en la misma fecha (expediente de prueba, fs. 299 a 302). </w:t>
      </w:r>
    </w:p>
  </w:footnote>
  <w:footnote w:id="156">
    <w:p w14:paraId="7C00C68A" w14:textId="77777777"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"La Última Tentación de Cristo" (Olmedo Bustos y otros) Vs. Chile. Fondo, Reparaciones y Costas.</w:t>
      </w:r>
      <w:r w:rsidRPr="007C693A">
        <w:rPr>
          <w:rFonts w:ascii="Verdana" w:hAnsi="Verdana"/>
          <w:i/>
          <w:spacing w:val="1"/>
          <w:sz w:val="16"/>
          <w:szCs w:val="16"/>
          <w:lang w:val="es-ES"/>
        </w:rPr>
        <w:t xml:space="preserve"> </w:t>
      </w:r>
      <w:r w:rsidRPr="007C693A">
        <w:rPr>
          <w:rFonts w:ascii="Verdana" w:hAnsi="Verdana"/>
          <w:sz w:val="16"/>
          <w:szCs w:val="16"/>
          <w:lang w:val="es-ES"/>
        </w:rPr>
        <w:t>Sentencia</w:t>
      </w:r>
      <w:r w:rsidRPr="007C693A">
        <w:rPr>
          <w:rFonts w:ascii="Verdana" w:hAnsi="Verdana"/>
          <w:spacing w:val="-6"/>
          <w:sz w:val="16"/>
          <w:szCs w:val="16"/>
          <w:lang w:val="es-ES"/>
        </w:rPr>
        <w:t xml:space="preserve"> </w:t>
      </w:r>
      <w:r w:rsidRPr="007C693A">
        <w:rPr>
          <w:rFonts w:ascii="Verdana" w:hAnsi="Verdana"/>
          <w:sz w:val="16"/>
          <w:szCs w:val="16"/>
          <w:lang w:val="es-ES"/>
        </w:rPr>
        <w:t>de</w:t>
      </w:r>
      <w:r w:rsidRPr="007C693A">
        <w:rPr>
          <w:rFonts w:ascii="Verdana" w:hAnsi="Verdana"/>
          <w:spacing w:val="-6"/>
          <w:sz w:val="16"/>
          <w:szCs w:val="16"/>
          <w:lang w:val="es-ES"/>
        </w:rPr>
        <w:t xml:space="preserve"> </w:t>
      </w:r>
      <w:r w:rsidRPr="007C693A">
        <w:rPr>
          <w:rFonts w:ascii="Verdana" w:hAnsi="Verdana"/>
          <w:sz w:val="16"/>
          <w:szCs w:val="16"/>
          <w:lang w:val="es-ES"/>
        </w:rPr>
        <w:t>5</w:t>
      </w:r>
      <w:r w:rsidRPr="007C693A">
        <w:rPr>
          <w:rFonts w:ascii="Verdana" w:hAnsi="Verdana"/>
          <w:spacing w:val="-5"/>
          <w:sz w:val="16"/>
          <w:szCs w:val="16"/>
          <w:lang w:val="es-ES"/>
        </w:rPr>
        <w:t xml:space="preserve"> </w:t>
      </w:r>
      <w:r w:rsidRPr="007C693A">
        <w:rPr>
          <w:rFonts w:ascii="Verdana" w:hAnsi="Verdana"/>
          <w:sz w:val="16"/>
          <w:szCs w:val="16"/>
          <w:lang w:val="es-ES"/>
        </w:rPr>
        <w:t>de</w:t>
      </w:r>
      <w:r w:rsidRPr="007C693A">
        <w:rPr>
          <w:rFonts w:ascii="Verdana" w:hAnsi="Verdana"/>
          <w:spacing w:val="-6"/>
          <w:sz w:val="16"/>
          <w:szCs w:val="16"/>
          <w:lang w:val="es-ES"/>
        </w:rPr>
        <w:t xml:space="preserve"> </w:t>
      </w:r>
      <w:r w:rsidRPr="007C693A">
        <w:rPr>
          <w:rFonts w:ascii="Verdana" w:hAnsi="Verdana"/>
          <w:sz w:val="16"/>
          <w:szCs w:val="16"/>
          <w:lang w:val="es-ES"/>
        </w:rPr>
        <w:t>febrero</w:t>
      </w:r>
      <w:r w:rsidRPr="007C693A">
        <w:rPr>
          <w:rFonts w:ascii="Verdana" w:hAnsi="Verdana"/>
          <w:spacing w:val="-4"/>
          <w:sz w:val="16"/>
          <w:szCs w:val="16"/>
          <w:lang w:val="es-ES"/>
        </w:rPr>
        <w:t xml:space="preserve"> </w:t>
      </w:r>
      <w:r w:rsidRPr="007C693A">
        <w:rPr>
          <w:rFonts w:ascii="Verdana" w:hAnsi="Verdana"/>
          <w:sz w:val="16"/>
          <w:szCs w:val="16"/>
          <w:lang w:val="es-ES"/>
        </w:rPr>
        <w:t>de</w:t>
      </w:r>
      <w:r w:rsidRPr="007C693A">
        <w:rPr>
          <w:rFonts w:ascii="Verdana" w:hAnsi="Verdana"/>
          <w:spacing w:val="-9"/>
          <w:sz w:val="16"/>
          <w:szCs w:val="16"/>
          <w:lang w:val="es-ES"/>
        </w:rPr>
        <w:t xml:space="preserve"> </w:t>
      </w:r>
      <w:r w:rsidRPr="007C693A">
        <w:rPr>
          <w:rFonts w:ascii="Verdana" w:hAnsi="Verdana"/>
          <w:sz w:val="16"/>
          <w:szCs w:val="16"/>
          <w:lang w:val="es-ES"/>
        </w:rPr>
        <w:t>2001.</w:t>
      </w:r>
      <w:r w:rsidRPr="007C693A">
        <w:rPr>
          <w:rFonts w:ascii="Verdana" w:hAnsi="Verdana"/>
          <w:spacing w:val="-7"/>
          <w:sz w:val="16"/>
          <w:szCs w:val="16"/>
          <w:lang w:val="es-ES"/>
        </w:rPr>
        <w:t xml:space="preserve"> </w:t>
      </w:r>
      <w:r w:rsidRPr="007C693A">
        <w:rPr>
          <w:rFonts w:ascii="Verdana" w:hAnsi="Verdana"/>
          <w:sz w:val="16"/>
          <w:szCs w:val="16"/>
          <w:lang w:val="es-ES"/>
        </w:rPr>
        <w:t>Serie</w:t>
      </w:r>
      <w:r w:rsidRPr="007C693A">
        <w:rPr>
          <w:rFonts w:ascii="Verdana" w:hAnsi="Verdana"/>
          <w:spacing w:val="-4"/>
          <w:sz w:val="16"/>
          <w:szCs w:val="16"/>
          <w:lang w:val="es-ES"/>
        </w:rPr>
        <w:t xml:space="preserve"> </w:t>
      </w:r>
      <w:r w:rsidRPr="007C693A">
        <w:rPr>
          <w:rFonts w:ascii="Verdana" w:hAnsi="Verdana"/>
          <w:sz w:val="16"/>
          <w:szCs w:val="16"/>
          <w:lang w:val="es-ES"/>
        </w:rPr>
        <w:t>C</w:t>
      </w:r>
      <w:r w:rsidRPr="007C693A">
        <w:rPr>
          <w:rFonts w:ascii="Verdana" w:hAnsi="Verdana"/>
          <w:spacing w:val="-7"/>
          <w:sz w:val="16"/>
          <w:szCs w:val="16"/>
          <w:lang w:val="es-ES"/>
        </w:rPr>
        <w:t xml:space="preserve"> </w:t>
      </w:r>
      <w:r w:rsidRPr="007C693A">
        <w:rPr>
          <w:rFonts w:ascii="Verdana" w:hAnsi="Verdana"/>
          <w:sz w:val="16"/>
          <w:szCs w:val="16"/>
          <w:lang w:val="es-ES"/>
        </w:rPr>
        <w:t>No.</w:t>
      </w:r>
      <w:r w:rsidRPr="007C693A">
        <w:rPr>
          <w:rFonts w:ascii="Verdana" w:hAnsi="Verdana"/>
          <w:spacing w:val="-7"/>
          <w:sz w:val="16"/>
          <w:szCs w:val="16"/>
          <w:lang w:val="es-ES"/>
        </w:rPr>
        <w:t xml:space="preserve"> </w:t>
      </w:r>
      <w:r w:rsidRPr="007C693A">
        <w:rPr>
          <w:rFonts w:ascii="Verdana" w:hAnsi="Verdana"/>
          <w:sz w:val="16"/>
          <w:szCs w:val="16"/>
          <w:lang w:val="es-ES"/>
        </w:rPr>
        <w:t>73,</w:t>
      </w:r>
      <w:r w:rsidRPr="007C693A">
        <w:rPr>
          <w:rFonts w:ascii="Verdana" w:hAnsi="Verdana"/>
          <w:spacing w:val="-7"/>
          <w:sz w:val="16"/>
          <w:szCs w:val="16"/>
          <w:lang w:val="es-ES"/>
        </w:rPr>
        <w:t xml:space="preserve"> </w:t>
      </w:r>
      <w:r w:rsidRPr="007C693A">
        <w:rPr>
          <w:rFonts w:ascii="Verdana" w:hAnsi="Verdana"/>
          <w:sz w:val="16"/>
          <w:szCs w:val="16"/>
          <w:lang w:val="es-ES"/>
        </w:rPr>
        <w:t>párr.</w:t>
      </w:r>
      <w:r w:rsidRPr="007C693A">
        <w:rPr>
          <w:rFonts w:ascii="Verdana" w:hAnsi="Verdana"/>
          <w:spacing w:val="-7"/>
          <w:sz w:val="16"/>
          <w:szCs w:val="16"/>
          <w:lang w:val="es-ES"/>
        </w:rPr>
        <w:t xml:space="preserve"> </w:t>
      </w:r>
      <w:r w:rsidRPr="007C693A">
        <w:rPr>
          <w:rFonts w:ascii="Verdana" w:hAnsi="Verdana"/>
          <w:sz w:val="16"/>
          <w:szCs w:val="16"/>
          <w:lang w:val="es-ES"/>
        </w:rPr>
        <w:t>87</w:t>
      </w:r>
      <w:r>
        <w:rPr>
          <w:rFonts w:ascii="Verdana" w:hAnsi="Verdana"/>
          <w:sz w:val="16"/>
          <w:szCs w:val="16"/>
          <w:lang w:val="es-ES"/>
        </w:rPr>
        <w:t>,</w:t>
      </w:r>
      <w:r w:rsidRPr="007C693A">
        <w:rPr>
          <w:rFonts w:ascii="Verdana" w:hAnsi="Verdana"/>
          <w:spacing w:val="-6"/>
          <w:sz w:val="16"/>
          <w:szCs w:val="16"/>
          <w:lang w:val="es-ES"/>
        </w:rPr>
        <w:t xml:space="preserve"> </w:t>
      </w:r>
      <w:r>
        <w:rPr>
          <w:rFonts w:ascii="Verdana" w:hAnsi="Verdana"/>
          <w:spacing w:val="-6"/>
          <w:sz w:val="16"/>
          <w:szCs w:val="16"/>
          <w:lang w:val="es-ES"/>
        </w:rPr>
        <w:t xml:space="preserve">y </w:t>
      </w:r>
      <w:r w:rsidRPr="007368FD">
        <w:rPr>
          <w:rFonts w:ascii="Verdana" w:hAnsi="Verdana"/>
          <w:i/>
          <w:iCs/>
          <w:sz w:val="16"/>
          <w:szCs w:val="16"/>
          <w:lang w:val="es-ES"/>
        </w:rPr>
        <w:t>Caso Maidanik y otros Vs. Uruguay</w:t>
      </w:r>
      <w:r w:rsidRPr="007C693A">
        <w:rPr>
          <w:rFonts w:ascii="Verdana" w:hAnsi="Verdana"/>
          <w:sz w:val="16"/>
          <w:szCs w:val="16"/>
          <w:lang w:val="es-ES"/>
        </w:rPr>
        <w:t>,</w:t>
      </w:r>
      <w:r>
        <w:rPr>
          <w:rFonts w:ascii="Verdana" w:hAnsi="Verdana"/>
          <w:sz w:val="16"/>
          <w:szCs w:val="16"/>
          <w:lang w:val="es-ES"/>
        </w:rPr>
        <w:t xml:space="preserve"> </w:t>
      </w:r>
      <w:r w:rsidRPr="007368FD">
        <w:rPr>
          <w:rFonts w:ascii="Verdana" w:hAnsi="Verdana"/>
          <w:i/>
          <w:iCs/>
          <w:sz w:val="16"/>
          <w:szCs w:val="16"/>
          <w:lang w:val="es-ES"/>
        </w:rPr>
        <w:t>supra</w:t>
      </w:r>
      <w:r>
        <w:rPr>
          <w:rFonts w:ascii="Verdana" w:hAnsi="Verdana"/>
          <w:sz w:val="16"/>
          <w:szCs w:val="16"/>
          <w:lang w:val="es-ES"/>
        </w:rPr>
        <w:t>,</w:t>
      </w:r>
      <w:r w:rsidRPr="007C693A">
        <w:rPr>
          <w:rFonts w:ascii="Verdana" w:hAnsi="Verdana"/>
          <w:sz w:val="16"/>
          <w:szCs w:val="16"/>
          <w:lang w:val="es-ES"/>
        </w:rPr>
        <w:t xml:space="preserve"> párr. 1</w:t>
      </w:r>
      <w:r>
        <w:rPr>
          <w:rFonts w:ascii="Verdana" w:hAnsi="Verdana"/>
          <w:sz w:val="16"/>
          <w:szCs w:val="16"/>
          <w:lang w:val="es-ES"/>
        </w:rPr>
        <w:t>4</w:t>
      </w:r>
      <w:r w:rsidRPr="007C693A">
        <w:rPr>
          <w:rFonts w:ascii="Verdana" w:hAnsi="Verdana"/>
          <w:sz w:val="16"/>
          <w:szCs w:val="16"/>
          <w:lang w:val="es-ES"/>
        </w:rPr>
        <w:t>6.</w:t>
      </w:r>
    </w:p>
  </w:footnote>
  <w:footnote w:id="157">
    <w:p w14:paraId="44CDA5ED" w14:textId="77777777"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Gómez Palomino Vs. Perú</w:t>
      </w:r>
      <w:r w:rsidRPr="007C693A">
        <w:rPr>
          <w:rFonts w:ascii="Verdana" w:hAnsi="Verdana"/>
          <w:sz w:val="16"/>
          <w:szCs w:val="16"/>
          <w:lang w:val="es-ES"/>
        </w:rPr>
        <w:t xml:space="preserve">, </w:t>
      </w:r>
      <w:r w:rsidRPr="007C693A">
        <w:rPr>
          <w:rFonts w:ascii="Verdana" w:hAnsi="Verdana"/>
          <w:i/>
          <w:sz w:val="16"/>
          <w:szCs w:val="16"/>
          <w:lang w:val="es-ES"/>
        </w:rPr>
        <w:t>supra</w:t>
      </w:r>
      <w:r w:rsidRPr="007C693A">
        <w:rPr>
          <w:rFonts w:ascii="Verdana" w:hAnsi="Verdana"/>
          <w:sz w:val="16"/>
          <w:szCs w:val="16"/>
          <w:lang w:val="es-ES"/>
        </w:rPr>
        <w:t>, párr. 92</w:t>
      </w:r>
      <w:r>
        <w:rPr>
          <w:rFonts w:ascii="Verdana" w:hAnsi="Verdana"/>
          <w:sz w:val="16"/>
          <w:szCs w:val="16"/>
          <w:lang w:val="es-ES"/>
        </w:rPr>
        <w:t xml:space="preserve">, </w:t>
      </w:r>
      <w:r w:rsidRPr="007C693A">
        <w:rPr>
          <w:rFonts w:ascii="Verdana" w:hAnsi="Verdana"/>
          <w:sz w:val="16"/>
          <w:szCs w:val="16"/>
          <w:lang w:val="es-ES"/>
        </w:rPr>
        <w:t xml:space="preserve">y </w:t>
      </w:r>
      <w:r w:rsidRPr="007C693A">
        <w:rPr>
          <w:rFonts w:ascii="Verdana" w:hAnsi="Verdana"/>
          <w:i/>
          <w:sz w:val="16"/>
          <w:szCs w:val="16"/>
          <w:lang w:val="es-ES"/>
        </w:rPr>
        <w:t xml:space="preserve">Caso </w:t>
      </w:r>
      <w:r>
        <w:rPr>
          <w:rFonts w:ascii="Verdana" w:hAnsi="Verdana"/>
          <w:i/>
          <w:sz w:val="16"/>
          <w:szCs w:val="16"/>
          <w:lang w:val="es-ES"/>
        </w:rPr>
        <w:t>Familia Julien Grisonas</w:t>
      </w:r>
      <w:r w:rsidRPr="007C693A">
        <w:rPr>
          <w:rFonts w:ascii="Verdana" w:hAnsi="Verdana"/>
          <w:i/>
          <w:sz w:val="16"/>
          <w:szCs w:val="16"/>
          <w:lang w:val="es-ES"/>
        </w:rPr>
        <w:t xml:space="preserve"> Vs. </w:t>
      </w:r>
      <w:r>
        <w:rPr>
          <w:rFonts w:ascii="Verdana" w:hAnsi="Verdana"/>
          <w:i/>
          <w:sz w:val="16"/>
          <w:szCs w:val="16"/>
          <w:lang w:val="es-ES"/>
        </w:rPr>
        <w:t>Argentina</w:t>
      </w:r>
      <w:r w:rsidRPr="007C693A">
        <w:rPr>
          <w:rFonts w:ascii="Verdana" w:hAnsi="Verdana"/>
          <w:sz w:val="16"/>
          <w:szCs w:val="16"/>
          <w:lang w:val="es-ES"/>
        </w:rPr>
        <w:t xml:space="preserve">, </w:t>
      </w:r>
      <w:r w:rsidRPr="007C693A">
        <w:rPr>
          <w:rFonts w:ascii="Verdana" w:hAnsi="Verdana"/>
          <w:i/>
          <w:sz w:val="16"/>
          <w:szCs w:val="16"/>
          <w:lang w:val="es-ES"/>
        </w:rPr>
        <w:t>supra</w:t>
      </w:r>
      <w:r w:rsidRPr="007C693A">
        <w:rPr>
          <w:rFonts w:ascii="Verdana" w:hAnsi="Verdana"/>
          <w:sz w:val="16"/>
          <w:szCs w:val="16"/>
          <w:lang w:val="es-ES"/>
        </w:rPr>
        <w:t xml:space="preserve">, párr. </w:t>
      </w:r>
      <w:r>
        <w:rPr>
          <w:rFonts w:ascii="Verdana" w:hAnsi="Verdana"/>
          <w:sz w:val="16"/>
          <w:szCs w:val="16"/>
          <w:lang w:val="es-ES"/>
        </w:rPr>
        <w:t>196</w:t>
      </w:r>
      <w:r w:rsidRPr="007C693A">
        <w:rPr>
          <w:rFonts w:ascii="Verdana" w:hAnsi="Verdana"/>
          <w:sz w:val="16"/>
          <w:szCs w:val="16"/>
          <w:lang w:val="es-ES"/>
        </w:rPr>
        <w:t>. Véase, Consejo de Derechos Humanos, Informe</w:t>
      </w:r>
      <w:r w:rsidRPr="007C693A">
        <w:rPr>
          <w:rFonts w:ascii="Verdana" w:hAnsi="Verdana"/>
          <w:spacing w:val="1"/>
          <w:sz w:val="16"/>
          <w:szCs w:val="16"/>
          <w:lang w:val="es-ES"/>
        </w:rPr>
        <w:t xml:space="preserve"> </w:t>
      </w:r>
      <w:r w:rsidRPr="007C693A">
        <w:rPr>
          <w:rFonts w:ascii="Verdana" w:hAnsi="Verdana"/>
          <w:sz w:val="16"/>
          <w:szCs w:val="16"/>
          <w:lang w:val="es-ES"/>
        </w:rPr>
        <w:t>del Grupo de Trabajo sobre las Desapariciones Forzadas o Involuntarias, Comentario general sobre la desaparición</w:t>
      </w:r>
      <w:r w:rsidRPr="007C693A">
        <w:rPr>
          <w:rFonts w:ascii="Verdana" w:hAnsi="Verdana"/>
          <w:spacing w:val="1"/>
          <w:sz w:val="16"/>
          <w:szCs w:val="16"/>
          <w:lang w:val="es-ES"/>
        </w:rPr>
        <w:t xml:space="preserve"> </w:t>
      </w:r>
      <w:r w:rsidRPr="007C693A">
        <w:rPr>
          <w:rFonts w:ascii="Verdana" w:hAnsi="Verdana"/>
          <w:sz w:val="16"/>
          <w:szCs w:val="16"/>
          <w:lang w:val="es-ES"/>
        </w:rPr>
        <w:t>forzada</w:t>
      </w:r>
      <w:r w:rsidRPr="007C693A">
        <w:rPr>
          <w:rFonts w:ascii="Verdana" w:hAnsi="Verdana"/>
          <w:spacing w:val="-3"/>
          <w:sz w:val="16"/>
          <w:szCs w:val="16"/>
          <w:lang w:val="es-ES"/>
        </w:rPr>
        <w:t xml:space="preserve"> </w:t>
      </w:r>
      <w:r w:rsidRPr="007C693A">
        <w:rPr>
          <w:rFonts w:ascii="Verdana" w:hAnsi="Verdana"/>
          <w:sz w:val="16"/>
          <w:szCs w:val="16"/>
          <w:lang w:val="es-ES"/>
        </w:rPr>
        <w:t>como</w:t>
      </w:r>
      <w:r w:rsidRPr="007C693A">
        <w:rPr>
          <w:rFonts w:ascii="Verdana" w:hAnsi="Verdana"/>
          <w:spacing w:val="-1"/>
          <w:sz w:val="16"/>
          <w:szCs w:val="16"/>
          <w:lang w:val="es-ES"/>
        </w:rPr>
        <w:t xml:space="preserve"> </w:t>
      </w:r>
      <w:r w:rsidRPr="007C693A">
        <w:rPr>
          <w:rFonts w:ascii="Verdana" w:hAnsi="Verdana"/>
          <w:sz w:val="16"/>
          <w:szCs w:val="16"/>
          <w:lang w:val="es-ES"/>
        </w:rPr>
        <w:t>delito</w:t>
      </w:r>
      <w:r w:rsidRPr="007C693A">
        <w:rPr>
          <w:rFonts w:ascii="Verdana" w:hAnsi="Verdana"/>
          <w:spacing w:val="-1"/>
          <w:sz w:val="16"/>
          <w:szCs w:val="16"/>
          <w:lang w:val="es-ES"/>
        </w:rPr>
        <w:t xml:space="preserve"> </w:t>
      </w:r>
      <w:r w:rsidRPr="007C693A">
        <w:rPr>
          <w:rFonts w:ascii="Verdana" w:hAnsi="Verdana"/>
          <w:sz w:val="16"/>
          <w:szCs w:val="16"/>
          <w:lang w:val="es-ES"/>
        </w:rPr>
        <w:t>continuado, 26</w:t>
      </w:r>
      <w:r w:rsidRPr="007C693A">
        <w:rPr>
          <w:rFonts w:ascii="Verdana" w:hAnsi="Verdana"/>
          <w:spacing w:val="-2"/>
          <w:sz w:val="16"/>
          <w:szCs w:val="16"/>
          <w:lang w:val="es-ES"/>
        </w:rPr>
        <w:t xml:space="preserve"> </w:t>
      </w:r>
      <w:r w:rsidRPr="007C693A">
        <w:rPr>
          <w:rFonts w:ascii="Verdana" w:hAnsi="Verdana"/>
          <w:sz w:val="16"/>
          <w:szCs w:val="16"/>
          <w:lang w:val="es-ES"/>
        </w:rPr>
        <w:t>de</w:t>
      </w:r>
      <w:r w:rsidRPr="007C693A">
        <w:rPr>
          <w:rFonts w:ascii="Verdana" w:hAnsi="Verdana"/>
          <w:spacing w:val="-1"/>
          <w:sz w:val="16"/>
          <w:szCs w:val="16"/>
          <w:lang w:val="es-ES"/>
        </w:rPr>
        <w:t xml:space="preserve"> </w:t>
      </w:r>
      <w:r w:rsidRPr="007C693A">
        <w:rPr>
          <w:rFonts w:ascii="Verdana" w:hAnsi="Verdana"/>
          <w:sz w:val="16"/>
          <w:szCs w:val="16"/>
          <w:lang w:val="es-ES"/>
        </w:rPr>
        <w:t>enero</w:t>
      </w:r>
      <w:r w:rsidRPr="007C693A">
        <w:rPr>
          <w:rFonts w:ascii="Verdana" w:hAnsi="Verdana"/>
          <w:spacing w:val="-1"/>
          <w:sz w:val="16"/>
          <w:szCs w:val="16"/>
          <w:lang w:val="es-ES"/>
        </w:rPr>
        <w:t xml:space="preserve"> </w:t>
      </w:r>
      <w:r w:rsidRPr="007C693A">
        <w:rPr>
          <w:rFonts w:ascii="Verdana" w:hAnsi="Verdana"/>
          <w:sz w:val="16"/>
          <w:szCs w:val="16"/>
          <w:lang w:val="es-ES"/>
        </w:rPr>
        <w:t>de</w:t>
      </w:r>
      <w:r w:rsidRPr="007C693A">
        <w:rPr>
          <w:rFonts w:ascii="Verdana" w:hAnsi="Verdana"/>
          <w:spacing w:val="-1"/>
          <w:sz w:val="16"/>
          <w:szCs w:val="16"/>
          <w:lang w:val="es-ES"/>
        </w:rPr>
        <w:t xml:space="preserve"> </w:t>
      </w:r>
      <w:r w:rsidRPr="007C693A">
        <w:rPr>
          <w:rFonts w:ascii="Verdana" w:hAnsi="Verdana"/>
          <w:sz w:val="16"/>
          <w:szCs w:val="16"/>
          <w:lang w:val="es-ES"/>
        </w:rPr>
        <w:t>2011, U.N.</w:t>
      </w:r>
      <w:r w:rsidRPr="007C693A">
        <w:rPr>
          <w:rFonts w:ascii="Verdana" w:hAnsi="Verdana"/>
          <w:spacing w:val="-3"/>
          <w:sz w:val="16"/>
          <w:szCs w:val="16"/>
          <w:lang w:val="es-ES"/>
        </w:rPr>
        <w:t xml:space="preserve"> </w:t>
      </w:r>
      <w:r w:rsidRPr="007C693A">
        <w:rPr>
          <w:rFonts w:ascii="Verdana" w:hAnsi="Verdana"/>
          <w:sz w:val="16"/>
          <w:szCs w:val="16"/>
          <w:lang w:val="es-ES"/>
        </w:rPr>
        <w:t>Doc.</w:t>
      </w:r>
      <w:r w:rsidRPr="007C693A">
        <w:rPr>
          <w:rFonts w:ascii="Verdana" w:hAnsi="Verdana"/>
          <w:spacing w:val="-2"/>
          <w:sz w:val="16"/>
          <w:szCs w:val="16"/>
          <w:lang w:val="es-ES"/>
        </w:rPr>
        <w:t xml:space="preserve"> </w:t>
      </w:r>
      <w:r w:rsidRPr="007C693A">
        <w:rPr>
          <w:rFonts w:ascii="Verdana" w:hAnsi="Verdana"/>
          <w:sz w:val="16"/>
          <w:szCs w:val="16"/>
          <w:lang w:val="es-ES"/>
        </w:rPr>
        <w:t>A/HRC/16/48,</w:t>
      </w:r>
      <w:r w:rsidRPr="007C693A">
        <w:rPr>
          <w:rFonts w:ascii="Verdana" w:hAnsi="Verdana"/>
          <w:spacing w:val="-2"/>
          <w:sz w:val="16"/>
          <w:szCs w:val="16"/>
          <w:lang w:val="es-ES"/>
        </w:rPr>
        <w:t xml:space="preserve"> </w:t>
      </w:r>
      <w:r w:rsidRPr="007C693A">
        <w:rPr>
          <w:rFonts w:ascii="Verdana" w:hAnsi="Verdana"/>
          <w:sz w:val="16"/>
          <w:szCs w:val="16"/>
          <w:lang w:val="es-ES"/>
        </w:rPr>
        <w:t>párr.</w:t>
      </w:r>
      <w:r w:rsidRPr="007C693A">
        <w:rPr>
          <w:rFonts w:ascii="Verdana" w:hAnsi="Verdana"/>
          <w:spacing w:val="-2"/>
          <w:sz w:val="16"/>
          <w:szCs w:val="16"/>
          <w:lang w:val="es-ES"/>
        </w:rPr>
        <w:t xml:space="preserve"> </w:t>
      </w:r>
      <w:r w:rsidRPr="007C693A">
        <w:rPr>
          <w:rFonts w:ascii="Verdana" w:hAnsi="Verdana"/>
          <w:sz w:val="16"/>
          <w:szCs w:val="16"/>
          <w:lang w:val="es-ES"/>
        </w:rPr>
        <w:t xml:space="preserve">11. </w:t>
      </w:r>
    </w:p>
  </w:footnote>
  <w:footnote w:id="158">
    <w:p w14:paraId="20635070" w14:textId="3E930799"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r>
      <w:r w:rsidRPr="00A04EF3">
        <w:rPr>
          <w:rFonts w:ascii="Verdana" w:hAnsi="Verdana"/>
          <w:i/>
          <w:iCs/>
          <w:sz w:val="16"/>
          <w:szCs w:val="16"/>
          <w:lang w:val="es-CR"/>
        </w:rPr>
        <w:t>Cfr</w:t>
      </w:r>
      <w:r w:rsidRPr="00A04EF3">
        <w:rPr>
          <w:rFonts w:ascii="Verdana" w:hAnsi="Verdana"/>
          <w:sz w:val="16"/>
          <w:szCs w:val="16"/>
          <w:lang w:val="es-CR"/>
        </w:rPr>
        <w:t xml:space="preserve">. Ley </w:t>
      </w:r>
      <w:r w:rsidR="00823523" w:rsidRPr="00A04EF3">
        <w:rPr>
          <w:rFonts w:ascii="Verdana" w:hAnsi="Verdana"/>
          <w:sz w:val="16"/>
          <w:szCs w:val="16"/>
          <w:lang w:val="es-CR"/>
        </w:rPr>
        <w:t xml:space="preserve">No. </w:t>
      </w:r>
      <w:r w:rsidRPr="00A04EF3">
        <w:rPr>
          <w:rFonts w:ascii="Verdana" w:hAnsi="Verdana"/>
          <w:sz w:val="16"/>
          <w:szCs w:val="16"/>
          <w:lang w:val="es-CR"/>
        </w:rPr>
        <w:t>3326 de 18 de enero de 2006, publicada en la Gaceta Oficial el 21 de los mismos mes y año.</w:t>
      </w:r>
      <w:r w:rsidR="008B73FE">
        <w:rPr>
          <w:rFonts w:ascii="Verdana" w:hAnsi="Verdana"/>
          <w:sz w:val="16"/>
          <w:szCs w:val="16"/>
          <w:lang w:val="es-CR"/>
        </w:rPr>
        <w:t xml:space="preserve"> </w:t>
      </w:r>
    </w:p>
  </w:footnote>
  <w:footnote w:id="159">
    <w:p w14:paraId="1D119C46" w14:textId="42A2D3C9"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CR"/>
        </w:rPr>
        <w:t xml:space="preserve"> </w:t>
      </w:r>
      <w:r w:rsidRPr="007C693A">
        <w:rPr>
          <w:rFonts w:ascii="Verdana" w:hAnsi="Verdana"/>
          <w:b/>
          <w:sz w:val="16"/>
          <w:szCs w:val="16"/>
          <w:lang w:val="es-CR"/>
        </w:rPr>
        <w:tab/>
      </w:r>
      <w:r w:rsidRPr="007C693A">
        <w:rPr>
          <w:rFonts w:ascii="Verdana" w:hAnsi="Verdana"/>
          <w:i/>
          <w:sz w:val="16"/>
          <w:szCs w:val="16"/>
          <w:lang w:val="es-CR"/>
        </w:rPr>
        <w:t>Cfr. Caso Trujillo Oroza Vs. Bolivia. Supervisión de Cumplimiento de Sentencia.</w:t>
      </w:r>
      <w:r w:rsidRPr="007C693A">
        <w:rPr>
          <w:rFonts w:ascii="Verdana" w:hAnsi="Verdana"/>
          <w:sz w:val="16"/>
          <w:szCs w:val="16"/>
          <w:lang w:val="es-CR"/>
        </w:rPr>
        <w:t xml:space="preserve"> Resolución de la Corte Interamericana de Derechos Humanos de 16 de noviembre de 2009, Considerando 38</w:t>
      </w:r>
      <w:r>
        <w:rPr>
          <w:rFonts w:ascii="Verdana" w:hAnsi="Verdana"/>
          <w:sz w:val="16"/>
          <w:szCs w:val="16"/>
          <w:lang w:val="es-CR"/>
        </w:rPr>
        <w:t>,</w:t>
      </w:r>
      <w:r w:rsidRPr="007C693A">
        <w:rPr>
          <w:rFonts w:ascii="Verdana" w:hAnsi="Verdana"/>
          <w:sz w:val="16"/>
          <w:szCs w:val="16"/>
          <w:lang w:val="es-CR"/>
        </w:rPr>
        <w:t xml:space="preserve"> y </w:t>
      </w:r>
      <w:r w:rsidRPr="007C693A">
        <w:rPr>
          <w:rFonts w:ascii="Verdana" w:hAnsi="Verdana"/>
          <w:i/>
          <w:color w:val="000000"/>
          <w:sz w:val="16"/>
          <w:szCs w:val="16"/>
          <w:shd w:val="clear" w:color="auto" w:fill="FFFFFF"/>
          <w:lang w:val="es-CR"/>
        </w:rPr>
        <w:t>Caso Ibsen Cárdenas e Ibsen Peña Vs. Bolivia</w:t>
      </w:r>
      <w:r w:rsidR="00823523">
        <w:rPr>
          <w:rFonts w:ascii="Verdana" w:hAnsi="Verdana"/>
          <w:i/>
          <w:color w:val="000000"/>
          <w:sz w:val="16"/>
          <w:szCs w:val="16"/>
          <w:shd w:val="clear" w:color="auto" w:fill="FFFFFF"/>
          <w:lang w:val="es-CR"/>
        </w:rPr>
        <w:t>, supra</w:t>
      </w:r>
      <w:r w:rsidRPr="007C693A">
        <w:rPr>
          <w:rFonts w:ascii="Verdana" w:hAnsi="Verdana"/>
          <w:color w:val="000000"/>
          <w:sz w:val="16"/>
          <w:szCs w:val="16"/>
          <w:shd w:val="clear" w:color="auto" w:fill="FFFFFF"/>
          <w:lang w:val="es-CR"/>
        </w:rPr>
        <w:t>, párr. 201.</w:t>
      </w:r>
    </w:p>
  </w:footnote>
  <w:footnote w:id="160">
    <w:p w14:paraId="47A4FD20" w14:textId="79A31881"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CR"/>
        </w:rPr>
        <w:t xml:space="preserve"> </w:t>
      </w:r>
      <w:r w:rsidRPr="007C693A">
        <w:rPr>
          <w:rFonts w:ascii="Verdana" w:hAnsi="Verdana"/>
          <w:sz w:val="16"/>
          <w:szCs w:val="16"/>
          <w:lang w:val="es-CR"/>
        </w:rPr>
        <w:tab/>
      </w:r>
      <w:r w:rsidRPr="00354604">
        <w:rPr>
          <w:rFonts w:ascii="Verdana" w:hAnsi="Verdana"/>
          <w:i/>
          <w:sz w:val="16"/>
          <w:szCs w:val="16"/>
          <w:lang w:val="es-MX"/>
        </w:rPr>
        <w:t>Cfr</w:t>
      </w:r>
      <w:r w:rsidRPr="00354604">
        <w:rPr>
          <w:rFonts w:ascii="Verdana" w:hAnsi="Verdana"/>
          <w:iCs/>
          <w:sz w:val="16"/>
          <w:szCs w:val="16"/>
          <w:lang w:val="es-MX"/>
        </w:rPr>
        <w:t>. Corte Suprema de Justicia del Perú, sentencia de fecha el 20 de marzo de 2006, Exp: 111-04, D.D Cayo Rivera Schreiber. Tribunal Constitucional de Perú, sentencia de 18 de marzo de 2004, expediente N</w:t>
      </w:r>
      <w:r w:rsidR="00823523">
        <w:rPr>
          <w:rFonts w:ascii="Verdana" w:hAnsi="Verdana"/>
          <w:iCs/>
          <w:sz w:val="16"/>
          <w:szCs w:val="16"/>
          <w:lang w:val="es-MX"/>
        </w:rPr>
        <w:t>o.</w:t>
      </w:r>
      <w:r w:rsidRPr="00354604">
        <w:rPr>
          <w:rFonts w:ascii="Verdana" w:hAnsi="Verdana"/>
          <w:iCs/>
          <w:sz w:val="16"/>
          <w:szCs w:val="16"/>
          <w:lang w:val="es-MX"/>
        </w:rPr>
        <w:t xml:space="preserve"> 2488- 2002-HC/TC, párr. 26 (En http://www.tc.gob.pe/jurisprudencia/2004/02488-2002-HC.html) y sentencia de 9 de diciembre de 2004, expediente N.º 2798-04-HC/TC, párr. 22 (En: http://www.tc.gob.pe/jurisprudencia/2005/02798-2004-HC.html). Suprema Corte de Justicia de México, Tesis: P./J. 49/2004, Semanario Judicial de la Federación y su Gaceta, Novena Época, Pleno. Sala Constitucional del Tribunal Supremo de Justicia de la República Bolivariana de Venezuela, sentencia de 10 de agosto de 2007. Corte Constitucional de Colombia, Sentencia C-580/02 de 31 de julio de 2002. </w:t>
      </w:r>
      <w:r>
        <w:rPr>
          <w:rFonts w:ascii="Verdana" w:hAnsi="Verdana"/>
          <w:iCs/>
          <w:sz w:val="16"/>
          <w:szCs w:val="16"/>
          <w:lang w:val="es-MX"/>
        </w:rPr>
        <w:t xml:space="preserve"> </w:t>
      </w:r>
    </w:p>
  </w:footnote>
  <w:footnote w:id="161">
    <w:p w14:paraId="1F8F8A58" w14:textId="3BF63942"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CR"/>
        </w:rPr>
        <w:t xml:space="preserve"> </w:t>
      </w:r>
      <w:r w:rsidRPr="007C693A">
        <w:rPr>
          <w:rFonts w:ascii="Verdana" w:hAnsi="Verdana"/>
          <w:sz w:val="16"/>
          <w:szCs w:val="16"/>
          <w:lang w:val="es-CR"/>
        </w:rPr>
        <w:tab/>
      </w:r>
      <w:r w:rsidRPr="007C693A">
        <w:rPr>
          <w:rFonts w:ascii="Verdana" w:hAnsi="Verdana"/>
          <w:i/>
          <w:sz w:val="16"/>
          <w:szCs w:val="16"/>
          <w:lang w:val="es-CR"/>
        </w:rPr>
        <w:t>Cfr</w:t>
      </w:r>
      <w:r w:rsidRPr="007C693A">
        <w:rPr>
          <w:rFonts w:ascii="Verdana" w:hAnsi="Verdana"/>
          <w:sz w:val="16"/>
          <w:szCs w:val="16"/>
          <w:lang w:val="es-CR"/>
        </w:rPr>
        <w:t>. Querella presentada por la abogada Eulogia Pantoja Vacaflor</w:t>
      </w:r>
      <w:r w:rsidR="00862C99" w:rsidRPr="00862C99">
        <w:rPr>
          <w:rFonts w:ascii="Verdana" w:hAnsi="Verdana"/>
          <w:b/>
          <w:bCs/>
          <w:i/>
          <w:iCs/>
          <w:sz w:val="16"/>
          <w:szCs w:val="16"/>
          <w:lang w:val="es-CR"/>
        </w:rPr>
        <w:t xml:space="preserve">, </w:t>
      </w:r>
      <w:r w:rsidR="00862C99" w:rsidRPr="004B5F3E">
        <w:rPr>
          <w:rFonts w:ascii="Verdana" w:hAnsi="Verdana"/>
          <w:i/>
          <w:iCs/>
          <w:sz w:val="16"/>
          <w:szCs w:val="16"/>
          <w:lang w:val="es-CR"/>
        </w:rPr>
        <w:t>supra</w:t>
      </w:r>
      <w:r w:rsidR="00862C99" w:rsidRPr="004B5F3E">
        <w:rPr>
          <w:rFonts w:ascii="Verdana" w:hAnsi="Verdana"/>
          <w:sz w:val="16"/>
          <w:szCs w:val="16"/>
          <w:lang w:val="es-CR"/>
        </w:rPr>
        <w:t>, en la cual se menciona que “no se sabe donde se encuentra su cuerpo […] se debe tomar en cuenta que la desaparición forzada en asuntos políticos es un delito de lesa Humanidad y no prescribe, de acuerdo a su última parte del Código de Procedimiento (nuevo) […]”</w:t>
      </w:r>
      <w:r w:rsidRPr="004B5F3E">
        <w:rPr>
          <w:rFonts w:ascii="Verdana" w:eastAsia="Calibri" w:hAnsi="Verdana" w:cs="Calibri"/>
          <w:color w:val="000000"/>
          <w:sz w:val="16"/>
          <w:szCs w:val="16"/>
          <w:lang w:val="es-ES"/>
        </w:rPr>
        <w:t>;</w:t>
      </w:r>
      <w:r w:rsidRPr="007D0F4C">
        <w:rPr>
          <w:rFonts w:ascii="Verdana" w:eastAsia="Calibri" w:hAnsi="Verdana" w:cs="Calibri"/>
          <w:color w:val="000000"/>
          <w:sz w:val="16"/>
          <w:szCs w:val="16"/>
          <w:lang w:val="es-ES"/>
        </w:rPr>
        <w:t xml:space="preserve"> e</w:t>
      </w:r>
      <w:r w:rsidRPr="007D0F4C">
        <w:rPr>
          <w:rFonts w:ascii="Verdana" w:hAnsi="Verdana"/>
          <w:sz w:val="16"/>
          <w:szCs w:val="16"/>
          <w:lang w:val="es-CR"/>
        </w:rPr>
        <w:t>scrito de Verónica y Olga Flores Bedregal dirigido al Vicepresidente de Bolivia como Director del Consejo Interinstitucional para el Esclarecimiento de las Desapariciones Forzadas, de sello de recibido el 5 de agosto de 2003 mediante el cual solicitaron se incluyera también la búsqueda de los restos de Carlos Flores Bedregal (expediente de prueba, f. 254); recursos de nulidad y casación en contra de la Sentencia de 129/2007 y el Auto de Vista No. 103/2008, presentados por Olga Beatriz Flores Bedregal ante la Sala Penal Tercera de la Corte Superior de Justicia de 24 de enero de 2009 (expediente de prueba, fs. 434 a 455), y recurso de casación en contra del Auto de Vista No. 103/2008, presentado por María Soledad Quiroga Trigo ante la Sala Penal Tercera de la Corte Superior de Justicia de 12 de mayo de 2009 (expediente de prueba, fs. 8107 a 8122).</w:t>
      </w:r>
      <w:r w:rsidRPr="007C693A">
        <w:rPr>
          <w:rFonts w:ascii="Verdana" w:hAnsi="Verdana"/>
          <w:sz w:val="16"/>
          <w:szCs w:val="16"/>
          <w:lang w:val="es-CR"/>
        </w:rPr>
        <w:t xml:space="preserve"> </w:t>
      </w:r>
    </w:p>
  </w:footnote>
  <w:footnote w:id="162">
    <w:p w14:paraId="60BB2403" w14:textId="58227F4E"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00236CB2" w:rsidRPr="007C693A">
        <w:rPr>
          <w:rFonts w:ascii="Verdana" w:hAnsi="Verdana"/>
          <w:i/>
          <w:sz w:val="16"/>
          <w:szCs w:val="16"/>
          <w:lang w:val="es-CR"/>
        </w:rPr>
        <w:t xml:space="preserve">Cfr. </w:t>
      </w:r>
      <w:r w:rsidRPr="007C693A">
        <w:rPr>
          <w:rFonts w:ascii="Verdana" w:hAnsi="Verdana"/>
          <w:i/>
          <w:iCs/>
          <w:sz w:val="16"/>
          <w:szCs w:val="16"/>
          <w:lang w:val="es-ES"/>
        </w:rPr>
        <w:t>Caso Familia Julien Grisonas Vs. Argentina</w:t>
      </w:r>
      <w:r w:rsidRPr="007C693A">
        <w:rPr>
          <w:rFonts w:ascii="Verdana" w:hAnsi="Verdana"/>
          <w:sz w:val="16"/>
          <w:szCs w:val="16"/>
          <w:lang w:val="es-ES"/>
        </w:rPr>
        <w:t xml:space="preserve">, </w:t>
      </w:r>
      <w:r w:rsidRPr="007368FD">
        <w:rPr>
          <w:rFonts w:ascii="Verdana" w:hAnsi="Verdana"/>
          <w:i/>
          <w:iCs/>
          <w:sz w:val="16"/>
          <w:szCs w:val="16"/>
          <w:lang w:val="es-ES"/>
        </w:rPr>
        <w:t>supra,</w:t>
      </w:r>
      <w:r>
        <w:rPr>
          <w:rFonts w:ascii="Verdana" w:hAnsi="Verdana"/>
          <w:sz w:val="16"/>
          <w:szCs w:val="16"/>
          <w:lang w:val="es-ES"/>
        </w:rPr>
        <w:t xml:space="preserve"> </w:t>
      </w:r>
      <w:r w:rsidRPr="007C693A">
        <w:rPr>
          <w:rFonts w:ascii="Verdana" w:hAnsi="Verdana"/>
          <w:sz w:val="16"/>
          <w:szCs w:val="16"/>
          <w:lang w:val="es-ES"/>
        </w:rPr>
        <w:t>párr. 206.</w:t>
      </w:r>
    </w:p>
  </w:footnote>
  <w:footnote w:id="163">
    <w:p w14:paraId="06618353" w14:textId="77777777" w:rsidR="007B594B" w:rsidRPr="007C693A" w:rsidRDefault="007B594B" w:rsidP="007B594B">
      <w:pPr>
        <w:jc w:val="both"/>
        <w:rPr>
          <w:rFonts w:ascii="Verdana" w:hAnsi="Verdana"/>
          <w:b/>
          <w:bCs/>
          <w:sz w:val="16"/>
          <w:szCs w:val="16"/>
          <w:lang w:val="es-CR"/>
        </w:rPr>
      </w:pPr>
      <w:r w:rsidRPr="00EE33B2">
        <w:rPr>
          <w:rStyle w:val="Refdenotaalpie"/>
        </w:rPr>
        <w:footnoteRef/>
      </w:r>
      <w:r w:rsidRPr="007C693A">
        <w:rPr>
          <w:rFonts w:ascii="Verdana" w:hAnsi="Verdana"/>
          <w:sz w:val="16"/>
          <w:szCs w:val="16"/>
          <w:lang w:val="es-CR"/>
        </w:rPr>
        <w:t xml:space="preserve"> </w:t>
      </w:r>
      <w:r w:rsidRPr="007C693A">
        <w:rPr>
          <w:rFonts w:ascii="Verdana" w:hAnsi="Verdana"/>
          <w:sz w:val="16"/>
          <w:szCs w:val="16"/>
          <w:lang w:val="es-CR"/>
        </w:rPr>
        <w:tab/>
      </w:r>
      <w:r w:rsidRPr="007C693A">
        <w:rPr>
          <w:rFonts w:ascii="Verdana" w:hAnsi="Verdana"/>
          <w:i/>
          <w:sz w:val="16"/>
          <w:szCs w:val="16"/>
          <w:lang w:val="es-CR"/>
        </w:rPr>
        <w:t>Cfr. Caso Bámaca Velásquez Vs. Guatemala. Supervisión de Cumplimiento de Sentencia,</w:t>
      </w:r>
      <w:r w:rsidRPr="007C693A">
        <w:rPr>
          <w:rFonts w:ascii="Verdana" w:hAnsi="Verdana"/>
          <w:sz w:val="16"/>
          <w:szCs w:val="16"/>
          <w:lang w:val="es-CR"/>
        </w:rPr>
        <w:t xml:space="preserve"> Resolución de la Corte Interamericana de Derechos Humanos de 27 de enero de 2009, Considerando 27, y</w:t>
      </w:r>
      <w:r w:rsidRPr="007C693A">
        <w:rPr>
          <w:rFonts w:ascii="Verdana" w:hAnsi="Verdana"/>
          <w:i/>
          <w:color w:val="000000"/>
          <w:sz w:val="16"/>
          <w:szCs w:val="16"/>
          <w:shd w:val="clear" w:color="auto" w:fill="FFFFFF"/>
          <w:lang w:val="es-CR"/>
        </w:rPr>
        <w:t xml:space="preserve"> Caso Ibsen Cárdenas e Ibsen Peña Vs. Bolivia, supra</w:t>
      </w:r>
      <w:r w:rsidRPr="007C693A">
        <w:rPr>
          <w:rFonts w:ascii="Verdana" w:hAnsi="Verdana"/>
          <w:color w:val="000000"/>
          <w:sz w:val="16"/>
          <w:szCs w:val="16"/>
          <w:shd w:val="clear" w:color="auto" w:fill="FFFFFF"/>
          <w:lang w:val="es-CR"/>
        </w:rPr>
        <w:t>, párr. 197.</w:t>
      </w:r>
    </w:p>
  </w:footnote>
  <w:footnote w:id="164">
    <w:p w14:paraId="65F7C0C5" w14:textId="7C2AFF86" w:rsidR="007B594B" w:rsidRPr="007C693A" w:rsidRDefault="007B594B" w:rsidP="007B594B">
      <w:pPr>
        <w:jc w:val="both"/>
        <w:rPr>
          <w:rFonts w:ascii="Verdana" w:hAnsi="Verdana"/>
          <w:sz w:val="16"/>
          <w:szCs w:val="16"/>
          <w:lang w:val="es-CR"/>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917D2C">
        <w:rPr>
          <w:rFonts w:ascii="Verdana" w:hAnsi="Verdana"/>
          <w:sz w:val="16"/>
          <w:szCs w:val="16"/>
          <w:lang w:val="es-ES"/>
        </w:rPr>
        <w:t xml:space="preserve">Como la </w:t>
      </w:r>
      <w:r w:rsidRPr="00917D2C">
        <w:rPr>
          <w:rFonts w:ascii="Verdana" w:hAnsi="Verdana"/>
          <w:sz w:val="16"/>
          <w:szCs w:val="16"/>
          <w:lang w:val="es-CR"/>
        </w:rPr>
        <w:t>Corte ha señalado, la desaparición forzada de una persona permanece hasta que se encuentra su paradero o se identifican con certeza sus restos (</w:t>
      </w:r>
      <w:r w:rsidRPr="00917D2C">
        <w:rPr>
          <w:rFonts w:ascii="Verdana" w:hAnsi="Verdana"/>
          <w:i/>
          <w:iCs/>
          <w:sz w:val="16"/>
          <w:szCs w:val="16"/>
          <w:lang w:val="es-CR"/>
        </w:rPr>
        <w:t>Cfr</w:t>
      </w:r>
      <w:r w:rsidRPr="00917D2C">
        <w:rPr>
          <w:rFonts w:ascii="Verdana" w:hAnsi="Verdana"/>
          <w:sz w:val="16"/>
          <w:szCs w:val="16"/>
          <w:lang w:val="es-CR"/>
        </w:rPr>
        <w:t xml:space="preserve">. </w:t>
      </w:r>
      <w:r w:rsidRPr="00917D2C">
        <w:rPr>
          <w:rFonts w:ascii="Verdana" w:hAnsi="Verdana"/>
          <w:i/>
          <w:iCs/>
          <w:sz w:val="16"/>
          <w:szCs w:val="16"/>
          <w:lang w:val="es-ES"/>
        </w:rPr>
        <w:t xml:space="preserve">Caso Velásquez Rodríguez Vs. Honduras. Fondo, supra, </w:t>
      </w:r>
      <w:r w:rsidRPr="00917D2C">
        <w:rPr>
          <w:rFonts w:ascii="Verdana" w:hAnsi="Verdana"/>
          <w:sz w:val="16"/>
          <w:szCs w:val="16"/>
          <w:lang w:val="es-ES"/>
        </w:rPr>
        <w:t xml:space="preserve">párrs. 155 a 157, y </w:t>
      </w:r>
      <w:r w:rsidRPr="00917D2C">
        <w:rPr>
          <w:rFonts w:ascii="Verdana" w:hAnsi="Verdana"/>
          <w:i/>
          <w:iCs/>
          <w:sz w:val="16"/>
          <w:szCs w:val="16"/>
          <w:lang w:val="es-CR"/>
        </w:rPr>
        <w:t>Caso Vereda La Esperanza Vs. Colombia</w:t>
      </w:r>
      <w:r w:rsidR="00823523">
        <w:rPr>
          <w:rFonts w:ascii="Verdana" w:hAnsi="Verdana"/>
          <w:i/>
          <w:iCs/>
          <w:sz w:val="16"/>
          <w:szCs w:val="16"/>
          <w:lang w:val="es-CR"/>
        </w:rPr>
        <w:t xml:space="preserve">. </w:t>
      </w:r>
      <w:r w:rsidR="00CF1D8B" w:rsidRPr="007959FF">
        <w:rPr>
          <w:rFonts w:ascii="Verdana" w:hAnsi="Verdana"/>
          <w:i/>
          <w:iCs/>
          <w:sz w:val="16"/>
          <w:szCs w:val="16"/>
          <w:lang w:val="es-ES"/>
        </w:rPr>
        <w:t xml:space="preserve">Excepción Preliminar, </w:t>
      </w:r>
      <w:r w:rsidR="00CF1D8B" w:rsidRPr="007959FF">
        <w:rPr>
          <w:rFonts w:ascii="Verdana" w:hAnsi="Verdana"/>
          <w:i/>
          <w:spacing w:val="-4"/>
          <w:sz w:val="16"/>
          <w:szCs w:val="16"/>
          <w:lang w:val="es-PR"/>
        </w:rPr>
        <w:t>Fondo Reparaciones y Costas</w:t>
      </w:r>
      <w:r w:rsidR="00CF1D8B" w:rsidRPr="007959FF">
        <w:rPr>
          <w:rFonts w:ascii="Verdana" w:hAnsi="Verdana"/>
          <w:spacing w:val="-4"/>
          <w:sz w:val="16"/>
          <w:szCs w:val="16"/>
          <w:lang w:val="es-PR"/>
        </w:rPr>
        <w:t xml:space="preserve">. Sentencia de 31 agosto de 2017, Serie C No. </w:t>
      </w:r>
      <w:r w:rsidR="00CF1D8B">
        <w:rPr>
          <w:rFonts w:ascii="Verdana" w:hAnsi="Verdana"/>
          <w:spacing w:val="-4"/>
          <w:sz w:val="16"/>
          <w:szCs w:val="16"/>
          <w:lang w:val="es-PR"/>
        </w:rPr>
        <w:t>341</w:t>
      </w:r>
      <w:r w:rsidR="00823523">
        <w:rPr>
          <w:rFonts w:ascii="Verdana" w:hAnsi="Verdana"/>
          <w:i/>
          <w:iCs/>
          <w:sz w:val="16"/>
          <w:szCs w:val="16"/>
          <w:lang w:val="es-CR"/>
        </w:rPr>
        <w:t xml:space="preserve">, </w:t>
      </w:r>
      <w:r w:rsidRPr="00917D2C">
        <w:rPr>
          <w:rFonts w:ascii="Verdana" w:hAnsi="Verdana"/>
          <w:sz w:val="16"/>
          <w:szCs w:val="16"/>
          <w:lang w:val="es-CR"/>
        </w:rPr>
        <w:t>párr. 150). Sin embargo, el cese de la desaparición forzada no afecta la calificación de los hechos que la configuraron de ese modo</w:t>
      </w:r>
      <w:r w:rsidRPr="00917D2C">
        <w:rPr>
          <w:rFonts w:ascii="Verdana" w:hAnsi="Verdana"/>
          <w:i/>
          <w:iCs/>
          <w:sz w:val="16"/>
          <w:szCs w:val="16"/>
          <w:lang w:val="es-CR"/>
        </w:rPr>
        <w:t xml:space="preserve"> </w:t>
      </w:r>
      <w:r w:rsidRPr="00917D2C">
        <w:rPr>
          <w:rFonts w:ascii="Verdana" w:hAnsi="Verdana"/>
          <w:sz w:val="16"/>
          <w:szCs w:val="16"/>
          <w:lang w:val="es-CR"/>
        </w:rPr>
        <w:t>(</w:t>
      </w:r>
      <w:r w:rsidRPr="00917D2C">
        <w:rPr>
          <w:rFonts w:ascii="Verdana" w:hAnsi="Verdana"/>
          <w:i/>
          <w:iCs/>
          <w:sz w:val="16"/>
          <w:szCs w:val="16"/>
          <w:lang w:val="es-CR"/>
        </w:rPr>
        <w:t>Cfr. Caso Rodríguez Vera y otros (Desaparecidos del Palacio de Justicia) Vs. Colombia, supra</w:t>
      </w:r>
      <w:r w:rsidRPr="00917D2C">
        <w:rPr>
          <w:rFonts w:ascii="Verdana" w:hAnsi="Verdana"/>
          <w:sz w:val="16"/>
          <w:szCs w:val="16"/>
          <w:lang w:val="es-CR"/>
        </w:rPr>
        <w:t>, párr. 368). Las obligaciones establecidas por la Convención Interamericana sobre Desaparición Forzada son exigibles a partir de su ratificación, aun cuando el inicio de su ejecución fuera anterior (</w:t>
      </w:r>
      <w:r w:rsidRPr="00917D2C">
        <w:rPr>
          <w:rFonts w:ascii="Verdana" w:hAnsi="Verdana"/>
          <w:i/>
          <w:sz w:val="16"/>
          <w:szCs w:val="16"/>
          <w:lang w:val="es-CR"/>
        </w:rPr>
        <w:t>C</w:t>
      </w:r>
      <w:r w:rsidRPr="00917D2C">
        <w:rPr>
          <w:rFonts w:ascii="Verdana" w:hAnsi="Verdana"/>
          <w:i/>
          <w:iCs/>
          <w:sz w:val="16"/>
          <w:szCs w:val="16"/>
          <w:lang w:val="es-ES"/>
        </w:rPr>
        <w:t>fr. Caso De la Masacre de las Dos Erres Vs. Guatemala</w:t>
      </w:r>
      <w:r w:rsidR="00823523">
        <w:rPr>
          <w:rFonts w:ascii="Verdana" w:hAnsi="Verdana"/>
          <w:i/>
          <w:iCs/>
          <w:sz w:val="16"/>
          <w:szCs w:val="16"/>
          <w:lang w:val="es-ES"/>
        </w:rPr>
        <w:t xml:space="preserve">. </w:t>
      </w:r>
      <w:r w:rsidR="008318BC" w:rsidRPr="007C693A">
        <w:rPr>
          <w:rFonts w:ascii="Verdana" w:hAnsi="Verdana"/>
          <w:i/>
          <w:sz w:val="16"/>
          <w:szCs w:val="16"/>
          <w:lang w:val="es-ES"/>
        </w:rPr>
        <w:t>Excepción</w:t>
      </w:r>
      <w:r w:rsidR="008318BC" w:rsidRPr="007C693A">
        <w:rPr>
          <w:rFonts w:ascii="Verdana" w:hAnsi="Verdana"/>
          <w:i/>
          <w:spacing w:val="-8"/>
          <w:sz w:val="16"/>
          <w:szCs w:val="16"/>
          <w:lang w:val="es-ES"/>
        </w:rPr>
        <w:t xml:space="preserve"> </w:t>
      </w:r>
      <w:r w:rsidR="008318BC" w:rsidRPr="007C693A">
        <w:rPr>
          <w:rFonts w:ascii="Verdana" w:hAnsi="Verdana"/>
          <w:i/>
          <w:sz w:val="16"/>
          <w:szCs w:val="16"/>
          <w:lang w:val="es-ES"/>
        </w:rPr>
        <w:t>Preliminar,</w:t>
      </w:r>
      <w:r w:rsidR="008318BC" w:rsidRPr="007C693A">
        <w:rPr>
          <w:rFonts w:ascii="Verdana" w:hAnsi="Verdana"/>
          <w:i/>
          <w:spacing w:val="-7"/>
          <w:sz w:val="16"/>
          <w:szCs w:val="16"/>
          <w:lang w:val="es-ES"/>
        </w:rPr>
        <w:t xml:space="preserve"> </w:t>
      </w:r>
      <w:r w:rsidR="008318BC" w:rsidRPr="007C693A">
        <w:rPr>
          <w:rFonts w:ascii="Verdana" w:hAnsi="Verdana"/>
          <w:i/>
          <w:sz w:val="16"/>
          <w:szCs w:val="16"/>
          <w:lang w:val="es-ES"/>
        </w:rPr>
        <w:t>Fondo,</w:t>
      </w:r>
      <w:r w:rsidR="008318BC" w:rsidRPr="007C693A">
        <w:rPr>
          <w:rFonts w:ascii="Verdana" w:hAnsi="Verdana"/>
          <w:i/>
          <w:spacing w:val="-8"/>
          <w:sz w:val="16"/>
          <w:szCs w:val="16"/>
          <w:lang w:val="es-ES"/>
        </w:rPr>
        <w:t xml:space="preserve"> </w:t>
      </w:r>
      <w:r w:rsidR="008318BC" w:rsidRPr="007C693A">
        <w:rPr>
          <w:rFonts w:ascii="Verdana" w:hAnsi="Verdana"/>
          <w:i/>
          <w:sz w:val="16"/>
          <w:szCs w:val="16"/>
          <w:lang w:val="es-ES"/>
        </w:rPr>
        <w:t>Reparaciones</w:t>
      </w:r>
      <w:r w:rsidR="008318BC" w:rsidRPr="007C693A">
        <w:rPr>
          <w:rFonts w:ascii="Verdana" w:hAnsi="Verdana"/>
          <w:i/>
          <w:spacing w:val="-6"/>
          <w:sz w:val="16"/>
          <w:szCs w:val="16"/>
          <w:lang w:val="es-ES"/>
        </w:rPr>
        <w:t xml:space="preserve"> </w:t>
      </w:r>
      <w:r w:rsidR="008318BC" w:rsidRPr="007C693A">
        <w:rPr>
          <w:rFonts w:ascii="Verdana" w:hAnsi="Verdana"/>
          <w:i/>
          <w:sz w:val="16"/>
          <w:szCs w:val="16"/>
          <w:lang w:val="es-ES"/>
        </w:rPr>
        <w:t>y</w:t>
      </w:r>
      <w:r w:rsidR="008318BC" w:rsidRPr="007C693A">
        <w:rPr>
          <w:rFonts w:ascii="Verdana" w:hAnsi="Verdana"/>
          <w:i/>
          <w:spacing w:val="-6"/>
          <w:sz w:val="16"/>
          <w:szCs w:val="16"/>
          <w:lang w:val="es-ES"/>
        </w:rPr>
        <w:t xml:space="preserve"> </w:t>
      </w:r>
      <w:r w:rsidR="008318BC" w:rsidRPr="007C693A">
        <w:rPr>
          <w:rFonts w:ascii="Verdana" w:hAnsi="Verdana"/>
          <w:i/>
          <w:sz w:val="16"/>
          <w:szCs w:val="16"/>
          <w:lang w:val="es-ES"/>
        </w:rPr>
        <w:t>Costas.</w:t>
      </w:r>
      <w:r w:rsidR="008318BC" w:rsidRPr="007C693A">
        <w:rPr>
          <w:rFonts w:ascii="Verdana" w:hAnsi="Verdana"/>
          <w:i/>
          <w:spacing w:val="-54"/>
          <w:sz w:val="16"/>
          <w:szCs w:val="16"/>
          <w:lang w:val="es-ES"/>
        </w:rPr>
        <w:t xml:space="preserve"> </w:t>
      </w:r>
      <w:r w:rsidR="008318BC" w:rsidRPr="007C693A">
        <w:rPr>
          <w:rFonts w:ascii="Verdana" w:hAnsi="Verdana"/>
          <w:sz w:val="16"/>
          <w:szCs w:val="16"/>
          <w:lang w:val="es-ES"/>
        </w:rPr>
        <w:t>Sentencia de 24 de noviembre de 2009. Serie C No. 211</w:t>
      </w:r>
      <w:r w:rsidR="00823523">
        <w:rPr>
          <w:rFonts w:ascii="Verdana" w:hAnsi="Verdana"/>
          <w:i/>
          <w:iCs/>
          <w:sz w:val="16"/>
          <w:szCs w:val="16"/>
          <w:lang w:val="es-ES"/>
        </w:rPr>
        <w:t>,</w:t>
      </w:r>
      <w:r w:rsidRPr="00917D2C">
        <w:rPr>
          <w:rFonts w:ascii="Verdana" w:hAnsi="Verdana"/>
          <w:i/>
          <w:iCs/>
          <w:sz w:val="16"/>
          <w:szCs w:val="16"/>
          <w:lang w:val="es-ES"/>
        </w:rPr>
        <w:t xml:space="preserve"> </w:t>
      </w:r>
      <w:r w:rsidRPr="00917D2C">
        <w:rPr>
          <w:rFonts w:ascii="Verdana" w:hAnsi="Verdana"/>
          <w:sz w:val="16"/>
          <w:szCs w:val="16"/>
          <w:lang w:val="es-ES"/>
        </w:rPr>
        <w:t xml:space="preserve">párr. 137, y </w:t>
      </w:r>
      <w:r w:rsidRPr="00917D2C">
        <w:rPr>
          <w:rFonts w:ascii="Verdana" w:hAnsi="Verdana"/>
          <w:i/>
          <w:iCs/>
          <w:sz w:val="16"/>
          <w:szCs w:val="16"/>
          <w:lang w:val="es-ES"/>
        </w:rPr>
        <w:t>Caso Rodríguez Vera y otros (Desaparecidos del Palacio de Justicia) Vs. Colombia, supra</w:t>
      </w:r>
      <w:r w:rsidRPr="00917D2C">
        <w:rPr>
          <w:rFonts w:ascii="Verdana" w:hAnsi="Verdana"/>
          <w:sz w:val="16"/>
          <w:szCs w:val="16"/>
          <w:lang w:val="es-ES"/>
        </w:rPr>
        <w:t>, párr. 438)</w:t>
      </w:r>
      <w:r w:rsidRPr="00917D2C">
        <w:rPr>
          <w:rFonts w:ascii="Verdana" w:hAnsi="Verdana"/>
          <w:bCs/>
          <w:sz w:val="16"/>
          <w:szCs w:val="16"/>
          <w:lang w:val="es-CR"/>
        </w:rPr>
        <w:t>.</w:t>
      </w:r>
      <w:r w:rsidRPr="00917D2C">
        <w:rPr>
          <w:rFonts w:ascii="Verdana" w:hAnsi="Verdana"/>
          <w:sz w:val="16"/>
          <w:szCs w:val="16"/>
          <w:lang w:val="es-CR"/>
        </w:rPr>
        <w:t xml:space="preserve"> Por otra parte, aun cuando la desaparición forzada cese con anterioridad a la ratificación indicada, la falta de investigación de la desaparición forzada vulnera la Convención Interamericana sobre Desaparición Forzada, en perjuicio de familiares de la persona que había sido forzosamente desaparecida (</w:t>
      </w:r>
      <w:r w:rsidRPr="00917D2C">
        <w:rPr>
          <w:rFonts w:ascii="Verdana" w:hAnsi="Verdana"/>
          <w:i/>
          <w:sz w:val="16"/>
          <w:szCs w:val="16"/>
          <w:lang w:val="es-CR"/>
        </w:rPr>
        <w:t xml:space="preserve">Cfr. </w:t>
      </w:r>
      <w:r w:rsidRPr="00917D2C">
        <w:rPr>
          <w:rFonts w:ascii="Verdana" w:hAnsi="Verdana"/>
          <w:i/>
          <w:iCs/>
          <w:sz w:val="16"/>
          <w:szCs w:val="16"/>
          <w:lang w:val="es-CR"/>
        </w:rPr>
        <w:t>Caso Rodríguez Vera y otros (Desaparecidos del Palacio de Justicia) Vs. Colombia, supra</w:t>
      </w:r>
      <w:r w:rsidRPr="00917D2C">
        <w:rPr>
          <w:rFonts w:ascii="Verdana" w:hAnsi="Verdana"/>
          <w:sz w:val="16"/>
          <w:szCs w:val="16"/>
          <w:lang w:val="es-CR"/>
        </w:rPr>
        <w:t>, párrs. 438 y 513).</w:t>
      </w:r>
      <w:r w:rsidRPr="007C693A">
        <w:rPr>
          <w:rFonts w:ascii="Verdana" w:hAnsi="Verdana"/>
          <w:sz w:val="16"/>
          <w:szCs w:val="16"/>
          <w:lang w:val="es-CR"/>
        </w:rPr>
        <w:t xml:space="preserve"> </w:t>
      </w:r>
    </w:p>
  </w:footnote>
  <w:footnote w:id="165">
    <w:p w14:paraId="6CAB398E" w14:textId="673E4198" w:rsidR="007B594B" w:rsidRPr="007C693A" w:rsidRDefault="007B594B" w:rsidP="007B594B">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Inter alia</w:t>
      </w:r>
      <w:r w:rsidRPr="007C693A">
        <w:rPr>
          <w:rFonts w:ascii="Verdana" w:hAnsi="Verdana"/>
          <w:sz w:val="16"/>
          <w:szCs w:val="16"/>
          <w:lang w:val="es-ES"/>
        </w:rPr>
        <w:t xml:space="preserve">, </w:t>
      </w:r>
      <w:r w:rsidRPr="007C693A">
        <w:rPr>
          <w:rFonts w:ascii="Verdana" w:hAnsi="Verdana"/>
          <w:i/>
          <w:sz w:val="16"/>
          <w:szCs w:val="16"/>
          <w:lang w:val="es-ES"/>
        </w:rPr>
        <w:t>Caso Contreras y otros Vs. El Salvador</w:t>
      </w:r>
      <w:r w:rsidR="008318BC">
        <w:rPr>
          <w:rFonts w:ascii="Verdana" w:hAnsi="Verdana"/>
          <w:sz w:val="16"/>
          <w:szCs w:val="16"/>
          <w:lang w:val="es-ES"/>
        </w:rPr>
        <w:t xml:space="preserve">. </w:t>
      </w:r>
      <w:r w:rsidR="006D1F8A" w:rsidRPr="007C693A">
        <w:rPr>
          <w:rFonts w:ascii="Verdana" w:hAnsi="Verdana"/>
          <w:i/>
          <w:iCs/>
          <w:sz w:val="16"/>
          <w:szCs w:val="16"/>
          <w:lang w:val="es-ES"/>
        </w:rPr>
        <w:t xml:space="preserve">Fondo, Reparaciones y Costas. </w:t>
      </w:r>
      <w:r w:rsidR="006D1F8A" w:rsidRPr="007C693A">
        <w:rPr>
          <w:rFonts w:ascii="Verdana" w:hAnsi="Verdana"/>
          <w:sz w:val="16"/>
          <w:szCs w:val="16"/>
          <w:lang w:val="es-ES"/>
        </w:rPr>
        <w:t>Sentencia de 31 de agosto de 2011. Serie C No. 232</w:t>
      </w:r>
      <w:r w:rsidR="006D1F8A">
        <w:rPr>
          <w:rFonts w:ascii="Verdana" w:hAnsi="Verdana"/>
          <w:sz w:val="16"/>
          <w:szCs w:val="16"/>
          <w:lang w:val="es-ES"/>
        </w:rPr>
        <w:t xml:space="preserve">, </w:t>
      </w:r>
      <w:r w:rsidRPr="007C693A">
        <w:rPr>
          <w:rFonts w:ascii="Verdana" w:hAnsi="Verdana"/>
          <w:sz w:val="16"/>
          <w:szCs w:val="16"/>
          <w:lang w:val="es-ES"/>
        </w:rPr>
        <w:t xml:space="preserve">párr. 191; </w:t>
      </w:r>
      <w:r w:rsidRPr="007C693A">
        <w:rPr>
          <w:rFonts w:ascii="Verdana" w:hAnsi="Verdana"/>
          <w:i/>
          <w:sz w:val="16"/>
          <w:szCs w:val="16"/>
          <w:lang w:val="es-ES"/>
        </w:rPr>
        <w:t>Caso Gudiel Álvarez y otros ("Diario</w:t>
      </w:r>
      <w:r w:rsidRPr="007C693A">
        <w:rPr>
          <w:rFonts w:ascii="Verdana" w:hAnsi="Verdana"/>
          <w:i/>
          <w:spacing w:val="1"/>
          <w:sz w:val="16"/>
          <w:szCs w:val="16"/>
          <w:lang w:val="es-ES"/>
        </w:rPr>
        <w:t xml:space="preserve"> </w:t>
      </w:r>
      <w:r w:rsidRPr="007C693A">
        <w:rPr>
          <w:rFonts w:ascii="Verdana" w:hAnsi="Verdana"/>
          <w:i/>
          <w:sz w:val="16"/>
          <w:szCs w:val="16"/>
          <w:lang w:val="es-ES"/>
        </w:rPr>
        <w:t xml:space="preserve">Militar") Vs. Guatemala. Fondo, Reparaciones y Costas. </w:t>
      </w:r>
      <w:r w:rsidRPr="007C693A">
        <w:rPr>
          <w:rFonts w:ascii="Verdana" w:hAnsi="Verdana"/>
          <w:sz w:val="16"/>
          <w:szCs w:val="16"/>
          <w:lang w:val="es-ES"/>
        </w:rPr>
        <w:t>Sentencia de 20 noviembre de 2012. Serie C No. 253, párr.</w:t>
      </w:r>
      <w:r w:rsidRPr="007C693A">
        <w:rPr>
          <w:rFonts w:ascii="Verdana" w:hAnsi="Verdana"/>
          <w:spacing w:val="1"/>
          <w:sz w:val="16"/>
          <w:szCs w:val="16"/>
          <w:lang w:val="es-ES"/>
        </w:rPr>
        <w:t xml:space="preserve"> </w:t>
      </w:r>
      <w:r w:rsidRPr="007C693A">
        <w:rPr>
          <w:rFonts w:ascii="Verdana" w:hAnsi="Verdana"/>
          <w:sz w:val="16"/>
          <w:szCs w:val="16"/>
          <w:lang w:val="es-ES"/>
        </w:rPr>
        <w:t xml:space="preserve">334; </w:t>
      </w:r>
      <w:r w:rsidRPr="007C693A">
        <w:rPr>
          <w:rFonts w:ascii="Verdana" w:hAnsi="Verdana"/>
          <w:i/>
          <w:sz w:val="16"/>
          <w:szCs w:val="16"/>
          <w:lang w:val="es-ES"/>
        </w:rPr>
        <w:t>Caso García y familiares Vs. Guatemala. Fondo, Reparaciones y Costas</w:t>
      </w:r>
      <w:r w:rsidRPr="007C693A">
        <w:rPr>
          <w:rFonts w:ascii="Verdana" w:hAnsi="Verdana"/>
          <w:sz w:val="16"/>
          <w:szCs w:val="16"/>
          <w:lang w:val="es-ES"/>
        </w:rPr>
        <w:t>. Sentencia de 29 noviembre de 2012</w:t>
      </w:r>
      <w:r w:rsidRPr="007C693A">
        <w:rPr>
          <w:rFonts w:ascii="Verdana" w:hAnsi="Verdana"/>
          <w:spacing w:val="1"/>
          <w:sz w:val="16"/>
          <w:szCs w:val="16"/>
          <w:lang w:val="es-ES"/>
        </w:rPr>
        <w:t xml:space="preserve"> </w:t>
      </w:r>
      <w:r w:rsidRPr="007C693A">
        <w:rPr>
          <w:rFonts w:ascii="Verdana" w:hAnsi="Verdana"/>
          <w:sz w:val="16"/>
          <w:szCs w:val="16"/>
          <w:lang w:val="es-ES"/>
        </w:rPr>
        <w:t>Serie</w:t>
      </w:r>
      <w:r w:rsidRPr="007C693A">
        <w:rPr>
          <w:rFonts w:ascii="Verdana" w:hAnsi="Verdana"/>
          <w:spacing w:val="-6"/>
          <w:sz w:val="16"/>
          <w:szCs w:val="16"/>
          <w:lang w:val="es-ES"/>
        </w:rPr>
        <w:t xml:space="preserve"> </w:t>
      </w:r>
      <w:r w:rsidRPr="007C693A">
        <w:rPr>
          <w:rFonts w:ascii="Verdana" w:hAnsi="Verdana"/>
          <w:sz w:val="16"/>
          <w:szCs w:val="16"/>
          <w:lang w:val="es-ES"/>
        </w:rPr>
        <w:t>C</w:t>
      </w:r>
      <w:r w:rsidRPr="007C693A">
        <w:rPr>
          <w:rFonts w:ascii="Verdana" w:hAnsi="Verdana"/>
          <w:spacing w:val="-4"/>
          <w:sz w:val="16"/>
          <w:szCs w:val="16"/>
          <w:lang w:val="es-ES"/>
        </w:rPr>
        <w:t xml:space="preserve"> </w:t>
      </w:r>
      <w:r w:rsidRPr="007C693A">
        <w:rPr>
          <w:rFonts w:ascii="Verdana" w:hAnsi="Verdana"/>
          <w:sz w:val="16"/>
          <w:szCs w:val="16"/>
          <w:lang w:val="es-ES"/>
        </w:rPr>
        <w:t>No.</w:t>
      </w:r>
      <w:r w:rsidRPr="007C693A">
        <w:rPr>
          <w:rFonts w:ascii="Verdana" w:hAnsi="Verdana"/>
          <w:spacing w:val="-6"/>
          <w:sz w:val="16"/>
          <w:szCs w:val="16"/>
          <w:lang w:val="es-ES"/>
        </w:rPr>
        <w:t xml:space="preserve"> </w:t>
      </w:r>
      <w:r w:rsidRPr="007C693A">
        <w:rPr>
          <w:rFonts w:ascii="Verdana" w:hAnsi="Verdana"/>
          <w:sz w:val="16"/>
          <w:szCs w:val="16"/>
          <w:lang w:val="es-ES"/>
        </w:rPr>
        <w:t>258,</w:t>
      </w:r>
      <w:r w:rsidRPr="007C693A">
        <w:rPr>
          <w:rFonts w:ascii="Verdana" w:hAnsi="Verdana"/>
          <w:spacing w:val="-6"/>
          <w:sz w:val="16"/>
          <w:szCs w:val="16"/>
          <w:lang w:val="es-ES"/>
        </w:rPr>
        <w:t xml:space="preserve"> </w:t>
      </w:r>
      <w:r w:rsidRPr="007C693A">
        <w:rPr>
          <w:rFonts w:ascii="Verdana" w:hAnsi="Verdana"/>
          <w:sz w:val="16"/>
          <w:szCs w:val="16"/>
          <w:lang w:val="es-ES"/>
        </w:rPr>
        <w:t>párr.</w:t>
      </w:r>
      <w:r w:rsidRPr="007C693A">
        <w:rPr>
          <w:rFonts w:ascii="Verdana" w:hAnsi="Verdana"/>
          <w:spacing w:val="-6"/>
          <w:sz w:val="16"/>
          <w:szCs w:val="16"/>
          <w:lang w:val="es-ES"/>
        </w:rPr>
        <w:t xml:space="preserve"> </w:t>
      </w:r>
      <w:r w:rsidRPr="007C693A">
        <w:rPr>
          <w:rFonts w:ascii="Verdana" w:hAnsi="Verdana"/>
          <w:sz w:val="16"/>
          <w:szCs w:val="16"/>
          <w:lang w:val="es-ES"/>
        </w:rPr>
        <w:t>200;</w:t>
      </w:r>
      <w:r w:rsidRPr="007C693A">
        <w:rPr>
          <w:rFonts w:ascii="Verdana" w:hAnsi="Verdana"/>
          <w:spacing w:val="-4"/>
          <w:sz w:val="16"/>
          <w:szCs w:val="16"/>
          <w:lang w:val="es-ES"/>
        </w:rPr>
        <w:t xml:space="preserve"> </w:t>
      </w:r>
      <w:r w:rsidRPr="007C693A">
        <w:rPr>
          <w:rFonts w:ascii="Verdana" w:hAnsi="Verdana"/>
          <w:i/>
          <w:sz w:val="16"/>
          <w:szCs w:val="16"/>
          <w:lang w:val="es-ES"/>
        </w:rPr>
        <w:t>Caso</w:t>
      </w:r>
      <w:r w:rsidRPr="007C693A">
        <w:rPr>
          <w:rFonts w:ascii="Verdana" w:hAnsi="Verdana"/>
          <w:i/>
          <w:spacing w:val="-4"/>
          <w:sz w:val="16"/>
          <w:szCs w:val="16"/>
          <w:lang w:val="es-ES"/>
        </w:rPr>
        <w:t xml:space="preserve"> </w:t>
      </w:r>
      <w:r w:rsidRPr="007C693A">
        <w:rPr>
          <w:rFonts w:ascii="Verdana" w:hAnsi="Verdana"/>
          <w:i/>
          <w:sz w:val="16"/>
          <w:szCs w:val="16"/>
          <w:lang w:val="es-ES"/>
        </w:rPr>
        <w:t>Osorio</w:t>
      </w:r>
      <w:r w:rsidRPr="007C693A">
        <w:rPr>
          <w:rFonts w:ascii="Verdana" w:hAnsi="Verdana"/>
          <w:i/>
          <w:spacing w:val="-5"/>
          <w:sz w:val="16"/>
          <w:szCs w:val="16"/>
          <w:lang w:val="es-ES"/>
        </w:rPr>
        <w:t xml:space="preserve"> </w:t>
      </w:r>
      <w:r w:rsidRPr="007C693A">
        <w:rPr>
          <w:rFonts w:ascii="Verdana" w:hAnsi="Verdana"/>
          <w:i/>
          <w:sz w:val="16"/>
          <w:szCs w:val="16"/>
          <w:lang w:val="es-ES"/>
        </w:rPr>
        <w:t>Rivera</w:t>
      </w:r>
      <w:r w:rsidRPr="007C693A">
        <w:rPr>
          <w:rFonts w:ascii="Verdana" w:hAnsi="Verdana"/>
          <w:i/>
          <w:spacing w:val="-6"/>
          <w:sz w:val="16"/>
          <w:szCs w:val="16"/>
          <w:lang w:val="es-ES"/>
        </w:rPr>
        <w:t xml:space="preserve"> </w:t>
      </w:r>
      <w:r w:rsidRPr="007C693A">
        <w:rPr>
          <w:rFonts w:ascii="Verdana" w:hAnsi="Verdana"/>
          <w:i/>
          <w:sz w:val="16"/>
          <w:szCs w:val="16"/>
          <w:lang w:val="es-ES"/>
        </w:rPr>
        <w:t>y</w:t>
      </w:r>
      <w:r w:rsidRPr="007C693A">
        <w:rPr>
          <w:rFonts w:ascii="Verdana" w:hAnsi="Verdana"/>
          <w:i/>
          <w:spacing w:val="-4"/>
          <w:sz w:val="16"/>
          <w:szCs w:val="16"/>
          <w:lang w:val="es-ES"/>
        </w:rPr>
        <w:t xml:space="preserve"> </w:t>
      </w:r>
      <w:r w:rsidRPr="007C693A">
        <w:rPr>
          <w:rFonts w:ascii="Verdana" w:hAnsi="Verdana"/>
          <w:i/>
          <w:sz w:val="16"/>
          <w:szCs w:val="16"/>
          <w:lang w:val="es-ES"/>
        </w:rPr>
        <w:t>familiares</w:t>
      </w:r>
      <w:r w:rsidRPr="007C693A">
        <w:rPr>
          <w:rFonts w:ascii="Verdana" w:hAnsi="Verdana"/>
          <w:i/>
          <w:spacing w:val="-5"/>
          <w:sz w:val="16"/>
          <w:szCs w:val="16"/>
          <w:lang w:val="es-ES"/>
        </w:rPr>
        <w:t xml:space="preserve"> </w:t>
      </w:r>
      <w:r w:rsidRPr="007C693A">
        <w:rPr>
          <w:rFonts w:ascii="Verdana" w:hAnsi="Verdana"/>
          <w:i/>
          <w:sz w:val="16"/>
          <w:szCs w:val="16"/>
          <w:lang w:val="es-ES"/>
        </w:rPr>
        <w:t>Vs.</w:t>
      </w:r>
      <w:r w:rsidRPr="007C693A">
        <w:rPr>
          <w:rFonts w:ascii="Verdana" w:hAnsi="Verdana"/>
          <w:i/>
          <w:spacing w:val="-3"/>
          <w:sz w:val="16"/>
          <w:szCs w:val="16"/>
          <w:lang w:val="es-ES"/>
        </w:rPr>
        <w:t xml:space="preserve"> </w:t>
      </w:r>
      <w:r w:rsidRPr="007C693A">
        <w:rPr>
          <w:rFonts w:ascii="Verdana" w:hAnsi="Verdana"/>
          <w:i/>
          <w:sz w:val="16"/>
          <w:szCs w:val="16"/>
          <w:lang w:val="es-ES"/>
        </w:rPr>
        <w:t>Perú.</w:t>
      </w:r>
      <w:r w:rsidRPr="007C693A">
        <w:rPr>
          <w:rFonts w:ascii="Verdana" w:hAnsi="Verdana"/>
          <w:i/>
          <w:spacing w:val="-3"/>
          <w:sz w:val="16"/>
          <w:szCs w:val="16"/>
          <w:lang w:val="es-ES"/>
        </w:rPr>
        <w:t xml:space="preserve"> </w:t>
      </w:r>
      <w:r w:rsidRPr="007C693A">
        <w:rPr>
          <w:rFonts w:ascii="Verdana" w:hAnsi="Verdana"/>
          <w:i/>
          <w:sz w:val="16"/>
          <w:szCs w:val="16"/>
          <w:lang w:val="es-ES"/>
        </w:rPr>
        <w:t>Excepciones</w:t>
      </w:r>
      <w:r w:rsidRPr="007C693A">
        <w:rPr>
          <w:rFonts w:ascii="Verdana" w:hAnsi="Verdana"/>
          <w:i/>
          <w:spacing w:val="-2"/>
          <w:sz w:val="16"/>
          <w:szCs w:val="16"/>
          <w:lang w:val="es-ES"/>
        </w:rPr>
        <w:t xml:space="preserve"> </w:t>
      </w:r>
      <w:r w:rsidRPr="007C693A">
        <w:rPr>
          <w:rFonts w:ascii="Verdana" w:hAnsi="Verdana"/>
          <w:i/>
          <w:sz w:val="16"/>
          <w:szCs w:val="16"/>
          <w:lang w:val="es-ES"/>
        </w:rPr>
        <w:t>Preliminares,</w:t>
      </w:r>
      <w:r w:rsidRPr="007C693A">
        <w:rPr>
          <w:rFonts w:ascii="Verdana" w:hAnsi="Verdana"/>
          <w:i/>
          <w:spacing w:val="-7"/>
          <w:sz w:val="16"/>
          <w:szCs w:val="16"/>
          <w:lang w:val="es-ES"/>
        </w:rPr>
        <w:t xml:space="preserve"> </w:t>
      </w:r>
      <w:r w:rsidRPr="007C693A">
        <w:rPr>
          <w:rFonts w:ascii="Verdana" w:hAnsi="Verdana"/>
          <w:i/>
          <w:sz w:val="16"/>
          <w:szCs w:val="16"/>
          <w:lang w:val="es-ES"/>
        </w:rPr>
        <w:t>Fondo,</w:t>
      </w:r>
      <w:r w:rsidRPr="007C693A">
        <w:rPr>
          <w:rFonts w:ascii="Verdana" w:hAnsi="Verdana"/>
          <w:i/>
          <w:spacing w:val="-6"/>
          <w:sz w:val="16"/>
          <w:szCs w:val="16"/>
          <w:lang w:val="es-ES"/>
        </w:rPr>
        <w:t xml:space="preserve"> </w:t>
      </w:r>
      <w:r w:rsidRPr="007C693A">
        <w:rPr>
          <w:rFonts w:ascii="Verdana" w:hAnsi="Verdana"/>
          <w:i/>
          <w:sz w:val="16"/>
          <w:szCs w:val="16"/>
          <w:lang w:val="es-ES"/>
        </w:rPr>
        <w:t>Reparaciones</w:t>
      </w:r>
      <w:r w:rsidRPr="007C693A">
        <w:rPr>
          <w:rFonts w:ascii="Verdana" w:hAnsi="Verdana"/>
          <w:i/>
          <w:spacing w:val="-53"/>
          <w:sz w:val="16"/>
          <w:szCs w:val="16"/>
          <w:lang w:val="es-ES"/>
        </w:rPr>
        <w:t xml:space="preserve"> </w:t>
      </w:r>
      <w:r w:rsidRPr="007C693A">
        <w:rPr>
          <w:rFonts w:ascii="Verdana" w:hAnsi="Verdana"/>
          <w:i/>
          <w:sz w:val="16"/>
          <w:szCs w:val="16"/>
          <w:lang w:val="es-ES"/>
        </w:rPr>
        <w:t xml:space="preserve">y Costas. </w:t>
      </w:r>
      <w:r w:rsidRPr="007C693A">
        <w:rPr>
          <w:rFonts w:ascii="Verdana" w:hAnsi="Verdana"/>
          <w:sz w:val="16"/>
          <w:szCs w:val="16"/>
          <w:lang w:val="es-ES"/>
        </w:rPr>
        <w:t xml:space="preserve">Sentencia de 26 de noviembre de 2013. Serie C No. 274, párr. 251; </w:t>
      </w:r>
      <w:r w:rsidRPr="007C693A">
        <w:rPr>
          <w:rFonts w:ascii="Verdana" w:hAnsi="Verdana"/>
          <w:i/>
          <w:sz w:val="16"/>
          <w:szCs w:val="16"/>
          <w:lang w:val="es-ES"/>
        </w:rPr>
        <w:t>Caso Munárriz Escobar y otros Vs.</w:t>
      </w:r>
      <w:r w:rsidRPr="007C693A">
        <w:rPr>
          <w:rFonts w:ascii="Verdana" w:hAnsi="Verdana"/>
          <w:i/>
          <w:spacing w:val="1"/>
          <w:sz w:val="16"/>
          <w:szCs w:val="16"/>
          <w:lang w:val="es-ES"/>
        </w:rPr>
        <w:t xml:space="preserve"> </w:t>
      </w:r>
      <w:r w:rsidRPr="007C693A">
        <w:rPr>
          <w:rFonts w:ascii="Verdana" w:hAnsi="Verdana"/>
          <w:i/>
          <w:sz w:val="16"/>
          <w:szCs w:val="16"/>
          <w:lang w:val="es-ES"/>
        </w:rPr>
        <w:t>Perú.</w:t>
      </w:r>
      <w:r w:rsidRPr="007C693A">
        <w:rPr>
          <w:rFonts w:ascii="Verdana" w:hAnsi="Verdana"/>
          <w:i/>
          <w:spacing w:val="-9"/>
          <w:sz w:val="16"/>
          <w:szCs w:val="16"/>
          <w:lang w:val="es-ES"/>
        </w:rPr>
        <w:t xml:space="preserve"> </w:t>
      </w:r>
      <w:r w:rsidRPr="007C693A">
        <w:rPr>
          <w:rFonts w:ascii="Verdana" w:hAnsi="Verdana"/>
          <w:i/>
          <w:sz w:val="16"/>
          <w:szCs w:val="16"/>
          <w:lang w:val="es-ES"/>
        </w:rPr>
        <w:t>Excepción</w:t>
      </w:r>
      <w:r w:rsidRPr="007C693A">
        <w:rPr>
          <w:rFonts w:ascii="Verdana" w:hAnsi="Verdana"/>
          <w:i/>
          <w:spacing w:val="-8"/>
          <w:sz w:val="16"/>
          <w:szCs w:val="16"/>
          <w:lang w:val="es-ES"/>
        </w:rPr>
        <w:t xml:space="preserve"> </w:t>
      </w:r>
      <w:r w:rsidRPr="007C693A">
        <w:rPr>
          <w:rFonts w:ascii="Verdana" w:hAnsi="Verdana"/>
          <w:i/>
          <w:sz w:val="16"/>
          <w:szCs w:val="16"/>
          <w:lang w:val="es-ES"/>
        </w:rPr>
        <w:t>Preliminar,</w:t>
      </w:r>
      <w:r w:rsidRPr="007C693A">
        <w:rPr>
          <w:rFonts w:ascii="Verdana" w:hAnsi="Verdana"/>
          <w:i/>
          <w:spacing w:val="-11"/>
          <w:sz w:val="16"/>
          <w:szCs w:val="16"/>
          <w:lang w:val="es-ES"/>
        </w:rPr>
        <w:t xml:space="preserve"> </w:t>
      </w:r>
      <w:r w:rsidRPr="007C693A">
        <w:rPr>
          <w:rFonts w:ascii="Verdana" w:hAnsi="Verdana"/>
          <w:i/>
          <w:sz w:val="16"/>
          <w:szCs w:val="16"/>
          <w:lang w:val="es-ES"/>
        </w:rPr>
        <w:t>Fondo,</w:t>
      </w:r>
      <w:r w:rsidRPr="007C693A">
        <w:rPr>
          <w:rFonts w:ascii="Verdana" w:hAnsi="Verdana"/>
          <w:i/>
          <w:spacing w:val="-11"/>
          <w:sz w:val="16"/>
          <w:szCs w:val="16"/>
          <w:lang w:val="es-ES"/>
        </w:rPr>
        <w:t xml:space="preserve"> </w:t>
      </w:r>
      <w:r w:rsidRPr="007C693A">
        <w:rPr>
          <w:rFonts w:ascii="Verdana" w:hAnsi="Verdana"/>
          <w:i/>
          <w:sz w:val="16"/>
          <w:szCs w:val="16"/>
          <w:lang w:val="es-ES"/>
        </w:rPr>
        <w:t>Reparaciones</w:t>
      </w:r>
      <w:r w:rsidRPr="007C693A">
        <w:rPr>
          <w:rFonts w:ascii="Verdana" w:hAnsi="Verdana"/>
          <w:i/>
          <w:spacing w:val="-11"/>
          <w:sz w:val="16"/>
          <w:szCs w:val="16"/>
          <w:lang w:val="es-ES"/>
        </w:rPr>
        <w:t xml:space="preserve"> </w:t>
      </w:r>
      <w:r w:rsidRPr="007C693A">
        <w:rPr>
          <w:rFonts w:ascii="Verdana" w:hAnsi="Verdana"/>
          <w:i/>
          <w:sz w:val="16"/>
          <w:szCs w:val="16"/>
          <w:lang w:val="es-ES"/>
        </w:rPr>
        <w:t>y</w:t>
      </w:r>
      <w:r w:rsidRPr="007C693A">
        <w:rPr>
          <w:rFonts w:ascii="Verdana" w:hAnsi="Verdana"/>
          <w:i/>
          <w:spacing w:val="-9"/>
          <w:sz w:val="16"/>
          <w:szCs w:val="16"/>
          <w:lang w:val="es-ES"/>
        </w:rPr>
        <w:t xml:space="preserve"> </w:t>
      </w:r>
      <w:r w:rsidRPr="007C693A">
        <w:rPr>
          <w:rFonts w:ascii="Verdana" w:hAnsi="Verdana"/>
          <w:i/>
          <w:sz w:val="16"/>
          <w:szCs w:val="16"/>
          <w:lang w:val="es-ES"/>
        </w:rPr>
        <w:t>Costas</w:t>
      </w:r>
      <w:r w:rsidRPr="007C693A">
        <w:rPr>
          <w:rFonts w:ascii="Verdana" w:hAnsi="Verdana"/>
          <w:sz w:val="16"/>
          <w:szCs w:val="16"/>
          <w:lang w:val="es-ES"/>
        </w:rPr>
        <w:t>.</w:t>
      </w:r>
      <w:r w:rsidRPr="007C693A">
        <w:rPr>
          <w:rFonts w:ascii="Verdana" w:hAnsi="Verdana"/>
          <w:spacing w:val="-11"/>
          <w:sz w:val="16"/>
          <w:szCs w:val="16"/>
          <w:lang w:val="es-ES"/>
        </w:rPr>
        <w:t xml:space="preserve"> </w:t>
      </w:r>
      <w:r w:rsidRPr="007C693A">
        <w:rPr>
          <w:rFonts w:ascii="Verdana" w:hAnsi="Verdana"/>
          <w:sz w:val="16"/>
          <w:szCs w:val="16"/>
          <w:lang w:val="es-ES"/>
        </w:rPr>
        <w:t>Sentencia</w:t>
      </w:r>
      <w:r w:rsidRPr="007C693A">
        <w:rPr>
          <w:rFonts w:ascii="Verdana" w:hAnsi="Verdana"/>
          <w:spacing w:val="-8"/>
          <w:sz w:val="16"/>
          <w:szCs w:val="16"/>
          <w:lang w:val="es-ES"/>
        </w:rPr>
        <w:t xml:space="preserve"> </w:t>
      </w:r>
      <w:r w:rsidRPr="007C693A">
        <w:rPr>
          <w:rFonts w:ascii="Verdana" w:hAnsi="Verdana"/>
          <w:sz w:val="16"/>
          <w:szCs w:val="16"/>
          <w:lang w:val="es-ES"/>
        </w:rPr>
        <w:t>de</w:t>
      </w:r>
      <w:r w:rsidRPr="007C693A">
        <w:rPr>
          <w:rFonts w:ascii="Verdana" w:hAnsi="Verdana"/>
          <w:spacing w:val="-12"/>
          <w:sz w:val="16"/>
          <w:szCs w:val="16"/>
          <w:lang w:val="es-ES"/>
        </w:rPr>
        <w:t xml:space="preserve"> </w:t>
      </w:r>
      <w:r w:rsidRPr="007C693A">
        <w:rPr>
          <w:rFonts w:ascii="Verdana" w:hAnsi="Verdana"/>
          <w:sz w:val="16"/>
          <w:szCs w:val="16"/>
          <w:lang w:val="es-ES"/>
        </w:rPr>
        <w:t>20</w:t>
      </w:r>
      <w:r w:rsidRPr="007C693A">
        <w:rPr>
          <w:rFonts w:ascii="Verdana" w:hAnsi="Verdana"/>
          <w:spacing w:val="-10"/>
          <w:sz w:val="16"/>
          <w:szCs w:val="16"/>
          <w:lang w:val="es-ES"/>
        </w:rPr>
        <w:t xml:space="preserve"> </w:t>
      </w:r>
      <w:r w:rsidRPr="007C693A">
        <w:rPr>
          <w:rFonts w:ascii="Verdana" w:hAnsi="Verdana"/>
          <w:sz w:val="16"/>
          <w:szCs w:val="16"/>
          <w:lang w:val="es-ES"/>
        </w:rPr>
        <w:t>de</w:t>
      </w:r>
      <w:r w:rsidRPr="007C693A">
        <w:rPr>
          <w:rFonts w:ascii="Verdana" w:hAnsi="Verdana"/>
          <w:spacing w:val="-7"/>
          <w:sz w:val="16"/>
          <w:szCs w:val="16"/>
          <w:lang w:val="es-ES"/>
        </w:rPr>
        <w:t xml:space="preserve"> </w:t>
      </w:r>
      <w:r w:rsidRPr="007C693A">
        <w:rPr>
          <w:rFonts w:ascii="Verdana" w:hAnsi="Verdana"/>
          <w:sz w:val="16"/>
          <w:szCs w:val="16"/>
          <w:lang w:val="es-ES"/>
        </w:rPr>
        <w:t>agosto</w:t>
      </w:r>
      <w:r w:rsidRPr="007C693A">
        <w:rPr>
          <w:rFonts w:ascii="Verdana" w:hAnsi="Verdana"/>
          <w:spacing w:val="-9"/>
          <w:sz w:val="16"/>
          <w:szCs w:val="16"/>
          <w:lang w:val="es-ES"/>
        </w:rPr>
        <w:t xml:space="preserve"> </w:t>
      </w:r>
      <w:r w:rsidRPr="007C693A">
        <w:rPr>
          <w:rFonts w:ascii="Verdana" w:hAnsi="Verdana"/>
          <w:sz w:val="16"/>
          <w:szCs w:val="16"/>
          <w:lang w:val="es-ES"/>
        </w:rPr>
        <w:t>de</w:t>
      </w:r>
      <w:r w:rsidRPr="007C693A">
        <w:rPr>
          <w:rFonts w:ascii="Verdana" w:hAnsi="Verdana"/>
          <w:spacing w:val="-10"/>
          <w:sz w:val="16"/>
          <w:szCs w:val="16"/>
          <w:lang w:val="es-ES"/>
        </w:rPr>
        <w:t xml:space="preserve"> </w:t>
      </w:r>
      <w:r w:rsidRPr="007C693A">
        <w:rPr>
          <w:rFonts w:ascii="Verdana" w:hAnsi="Verdana"/>
          <w:sz w:val="16"/>
          <w:szCs w:val="16"/>
          <w:lang w:val="es-ES"/>
        </w:rPr>
        <w:t>2018.</w:t>
      </w:r>
      <w:r w:rsidRPr="007C693A">
        <w:rPr>
          <w:rFonts w:ascii="Verdana" w:hAnsi="Verdana"/>
          <w:spacing w:val="-12"/>
          <w:sz w:val="16"/>
          <w:szCs w:val="16"/>
          <w:lang w:val="es-ES"/>
        </w:rPr>
        <w:t xml:space="preserve"> </w:t>
      </w:r>
      <w:r w:rsidRPr="007C693A">
        <w:rPr>
          <w:rFonts w:ascii="Verdana" w:hAnsi="Verdana"/>
          <w:sz w:val="16"/>
          <w:szCs w:val="16"/>
          <w:lang w:val="es-ES"/>
        </w:rPr>
        <w:t>Serie</w:t>
      </w:r>
      <w:r w:rsidRPr="007C693A">
        <w:rPr>
          <w:rFonts w:ascii="Verdana" w:hAnsi="Verdana"/>
          <w:spacing w:val="-10"/>
          <w:sz w:val="16"/>
          <w:szCs w:val="16"/>
          <w:lang w:val="es-ES"/>
        </w:rPr>
        <w:t xml:space="preserve"> </w:t>
      </w:r>
      <w:r w:rsidRPr="007C693A">
        <w:rPr>
          <w:rFonts w:ascii="Verdana" w:hAnsi="Verdana"/>
          <w:sz w:val="16"/>
          <w:szCs w:val="16"/>
          <w:lang w:val="es-ES"/>
        </w:rPr>
        <w:t>C</w:t>
      </w:r>
      <w:r w:rsidRPr="007C693A">
        <w:rPr>
          <w:rFonts w:ascii="Verdana" w:hAnsi="Verdana"/>
          <w:spacing w:val="-7"/>
          <w:sz w:val="16"/>
          <w:szCs w:val="16"/>
          <w:lang w:val="es-ES"/>
        </w:rPr>
        <w:t xml:space="preserve"> </w:t>
      </w:r>
      <w:r w:rsidRPr="007C693A">
        <w:rPr>
          <w:rFonts w:ascii="Verdana" w:hAnsi="Verdana"/>
          <w:sz w:val="16"/>
          <w:szCs w:val="16"/>
          <w:lang w:val="es-ES"/>
        </w:rPr>
        <w:t>No.</w:t>
      </w:r>
      <w:r w:rsidRPr="007C693A">
        <w:rPr>
          <w:rFonts w:ascii="Verdana" w:hAnsi="Verdana"/>
          <w:spacing w:val="-11"/>
          <w:sz w:val="16"/>
          <w:szCs w:val="16"/>
          <w:lang w:val="es-ES"/>
        </w:rPr>
        <w:t xml:space="preserve"> </w:t>
      </w:r>
      <w:r w:rsidRPr="007C693A">
        <w:rPr>
          <w:rFonts w:ascii="Verdana" w:hAnsi="Verdana"/>
          <w:sz w:val="16"/>
          <w:szCs w:val="16"/>
          <w:lang w:val="es-ES"/>
        </w:rPr>
        <w:t>355,</w:t>
      </w:r>
      <w:r w:rsidRPr="007C693A">
        <w:rPr>
          <w:rFonts w:ascii="Verdana" w:hAnsi="Verdana"/>
          <w:spacing w:val="-12"/>
          <w:sz w:val="16"/>
          <w:szCs w:val="16"/>
          <w:lang w:val="es-ES"/>
        </w:rPr>
        <w:t xml:space="preserve"> </w:t>
      </w:r>
      <w:r w:rsidRPr="007C693A">
        <w:rPr>
          <w:rFonts w:ascii="Verdana" w:hAnsi="Verdana"/>
          <w:sz w:val="16"/>
          <w:szCs w:val="16"/>
          <w:lang w:val="es-ES"/>
        </w:rPr>
        <w:t>párr.</w:t>
      </w:r>
      <w:r w:rsidRPr="007C693A">
        <w:rPr>
          <w:rFonts w:ascii="Verdana" w:hAnsi="Verdana"/>
          <w:spacing w:val="-53"/>
          <w:sz w:val="16"/>
          <w:szCs w:val="16"/>
          <w:lang w:val="es-ES"/>
        </w:rPr>
        <w:t xml:space="preserve"> </w:t>
      </w:r>
      <w:r w:rsidRPr="007C693A">
        <w:rPr>
          <w:rFonts w:ascii="Verdana" w:hAnsi="Verdana"/>
          <w:sz w:val="16"/>
          <w:szCs w:val="16"/>
          <w:lang w:val="es-ES"/>
        </w:rPr>
        <w:t>104;</w:t>
      </w:r>
      <w:r w:rsidRPr="007C693A">
        <w:rPr>
          <w:rFonts w:ascii="Verdana" w:hAnsi="Verdana"/>
          <w:spacing w:val="-5"/>
          <w:sz w:val="16"/>
          <w:szCs w:val="16"/>
          <w:lang w:val="es-ES"/>
        </w:rPr>
        <w:t xml:space="preserve"> </w:t>
      </w:r>
      <w:r w:rsidRPr="007C693A">
        <w:rPr>
          <w:rFonts w:ascii="Verdana" w:hAnsi="Verdana"/>
          <w:i/>
          <w:sz w:val="16"/>
          <w:szCs w:val="16"/>
          <w:lang w:val="es-ES"/>
        </w:rPr>
        <w:t>Caso</w:t>
      </w:r>
      <w:r w:rsidRPr="007C693A">
        <w:rPr>
          <w:rFonts w:ascii="Verdana" w:hAnsi="Verdana"/>
          <w:i/>
          <w:spacing w:val="-2"/>
          <w:sz w:val="16"/>
          <w:szCs w:val="16"/>
          <w:lang w:val="es-ES"/>
        </w:rPr>
        <w:t xml:space="preserve"> </w:t>
      </w:r>
      <w:r w:rsidRPr="007C693A">
        <w:rPr>
          <w:rFonts w:ascii="Verdana" w:hAnsi="Verdana"/>
          <w:i/>
          <w:sz w:val="16"/>
          <w:szCs w:val="16"/>
          <w:lang w:val="es-ES"/>
        </w:rPr>
        <w:t>Terrones</w:t>
      </w:r>
      <w:r w:rsidRPr="007C693A">
        <w:rPr>
          <w:rFonts w:ascii="Verdana" w:hAnsi="Verdana"/>
          <w:i/>
          <w:spacing w:val="-2"/>
          <w:sz w:val="16"/>
          <w:szCs w:val="16"/>
          <w:lang w:val="es-ES"/>
        </w:rPr>
        <w:t xml:space="preserve"> </w:t>
      </w:r>
      <w:r w:rsidRPr="007C693A">
        <w:rPr>
          <w:rFonts w:ascii="Verdana" w:hAnsi="Verdana"/>
          <w:i/>
          <w:sz w:val="16"/>
          <w:szCs w:val="16"/>
          <w:lang w:val="es-ES"/>
        </w:rPr>
        <w:t>Silva</w:t>
      </w:r>
      <w:r w:rsidRPr="007C693A">
        <w:rPr>
          <w:rFonts w:ascii="Verdana" w:hAnsi="Verdana"/>
          <w:i/>
          <w:spacing w:val="-6"/>
          <w:sz w:val="16"/>
          <w:szCs w:val="16"/>
          <w:lang w:val="es-ES"/>
        </w:rPr>
        <w:t xml:space="preserve"> </w:t>
      </w:r>
      <w:r w:rsidRPr="007C693A">
        <w:rPr>
          <w:rFonts w:ascii="Verdana" w:hAnsi="Verdana"/>
          <w:i/>
          <w:sz w:val="16"/>
          <w:szCs w:val="16"/>
          <w:lang w:val="es-ES"/>
        </w:rPr>
        <w:t>y</w:t>
      </w:r>
      <w:r w:rsidRPr="007C693A">
        <w:rPr>
          <w:rFonts w:ascii="Verdana" w:hAnsi="Verdana"/>
          <w:i/>
          <w:spacing w:val="-4"/>
          <w:sz w:val="16"/>
          <w:szCs w:val="16"/>
          <w:lang w:val="es-ES"/>
        </w:rPr>
        <w:t xml:space="preserve"> </w:t>
      </w:r>
      <w:r w:rsidRPr="007C693A">
        <w:rPr>
          <w:rFonts w:ascii="Verdana" w:hAnsi="Verdana"/>
          <w:i/>
          <w:sz w:val="16"/>
          <w:szCs w:val="16"/>
          <w:lang w:val="es-ES"/>
        </w:rPr>
        <w:t>otros</w:t>
      </w:r>
      <w:r w:rsidRPr="007C693A">
        <w:rPr>
          <w:rFonts w:ascii="Verdana" w:hAnsi="Verdana"/>
          <w:i/>
          <w:spacing w:val="-5"/>
          <w:sz w:val="16"/>
          <w:szCs w:val="16"/>
          <w:lang w:val="es-ES"/>
        </w:rPr>
        <w:t xml:space="preserve"> </w:t>
      </w:r>
      <w:r w:rsidRPr="007C693A">
        <w:rPr>
          <w:rFonts w:ascii="Verdana" w:hAnsi="Verdana"/>
          <w:i/>
          <w:sz w:val="16"/>
          <w:szCs w:val="16"/>
          <w:lang w:val="es-ES"/>
        </w:rPr>
        <w:t>Vs.</w:t>
      </w:r>
      <w:r w:rsidRPr="007C693A">
        <w:rPr>
          <w:rFonts w:ascii="Verdana" w:hAnsi="Verdana"/>
          <w:i/>
          <w:spacing w:val="-3"/>
          <w:sz w:val="16"/>
          <w:szCs w:val="16"/>
          <w:lang w:val="es-ES"/>
        </w:rPr>
        <w:t xml:space="preserve"> </w:t>
      </w:r>
      <w:r w:rsidRPr="007C693A">
        <w:rPr>
          <w:rFonts w:ascii="Verdana" w:hAnsi="Verdana"/>
          <w:i/>
          <w:sz w:val="16"/>
          <w:szCs w:val="16"/>
          <w:lang w:val="es-ES"/>
        </w:rPr>
        <w:t>Perú</w:t>
      </w:r>
      <w:r w:rsidR="008318BC" w:rsidRPr="00FB5A4F">
        <w:rPr>
          <w:rFonts w:ascii="Verdana" w:hAnsi="Verdana"/>
          <w:i/>
          <w:iCs/>
          <w:sz w:val="16"/>
          <w:szCs w:val="16"/>
          <w:lang w:val="es-ES"/>
        </w:rPr>
        <w:t>.</w:t>
      </w:r>
      <w:r w:rsidR="00A47C0A" w:rsidRPr="00FB5A4F">
        <w:rPr>
          <w:rFonts w:ascii="Verdana" w:hAnsi="Verdana"/>
          <w:i/>
          <w:iCs/>
          <w:sz w:val="16"/>
          <w:szCs w:val="16"/>
          <w:lang w:val="es-ES"/>
        </w:rPr>
        <w:t xml:space="preserve"> Excepciones Preliminares, Fondo, Reparaciones y Costas</w:t>
      </w:r>
      <w:r w:rsidR="00A47C0A">
        <w:rPr>
          <w:rFonts w:ascii="Verdana" w:hAnsi="Verdana"/>
          <w:sz w:val="16"/>
          <w:szCs w:val="16"/>
          <w:lang w:val="es-ES"/>
        </w:rPr>
        <w:t>. Sentencia de 26</w:t>
      </w:r>
      <w:r w:rsidR="005E4E2D">
        <w:rPr>
          <w:rFonts w:ascii="Verdana" w:hAnsi="Verdana"/>
          <w:sz w:val="16"/>
          <w:szCs w:val="16"/>
          <w:lang w:val="es-ES"/>
        </w:rPr>
        <w:t xml:space="preserve"> </w:t>
      </w:r>
      <w:r w:rsidR="00A47C0A">
        <w:rPr>
          <w:rFonts w:ascii="Verdana" w:hAnsi="Verdana"/>
          <w:sz w:val="16"/>
          <w:szCs w:val="16"/>
          <w:lang w:val="es-ES"/>
        </w:rPr>
        <w:t>de septiembre de 2018. Serie C No. 360,</w:t>
      </w:r>
      <w:r w:rsidRPr="007C693A">
        <w:rPr>
          <w:rFonts w:ascii="Verdana" w:hAnsi="Verdana"/>
          <w:spacing w:val="-6"/>
          <w:sz w:val="16"/>
          <w:szCs w:val="16"/>
          <w:lang w:val="es-ES"/>
        </w:rPr>
        <w:t xml:space="preserve"> </w:t>
      </w:r>
      <w:r w:rsidRPr="007C693A">
        <w:rPr>
          <w:rFonts w:ascii="Verdana" w:hAnsi="Verdana"/>
          <w:sz w:val="16"/>
          <w:szCs w:val="16"/>
          <w:lang w:val="es-ES"/>
        </w:rPr>
        <w:t>párr.</w:t>
      </w:r>
      <w:r w:rsidRPr="007C693A">
        <w:rPr>
          <w:rFonts w:ascii="Verdana" w:hAnsi="Verdana"/>
          <w:spacing w:val="-4"/>
          <w:sz w:val="16"/>
          <w:szCs w:val="16"/>
          <w:lang w:val="es-ES"/>
        </w:rPr>
        <w:t xml:space="preserve"> </w:t>
      </w:r>
      <w:r w:rsidRPr="007C693A">
        <w:rPr>
          <w:rFonts w:ascii="Verdana" w:hAnsi="Verdana"/>
          <w:sz w:val="16"/>
          <w:szCs w:val="16"/>
          <w:lang w:val="es-ES"/>
        </w:rPr>
        <w:t>203;</w:t>
      </w:r>
      <w:r w:rsidRPr="007C693A">
        <w:rPr>
          <w:rFonts w:ascii="Verdana" w:hAnsi="Verdana"/>
          <w:spacing w:val="-4"/>
          <w:sz w:val="16"/>
          <w:szCs w:val="16"/>
          <w:lang w:val="es-ES"/>
        </w:rPr>
        <w:t xml:space="preserve"> </w:t>
      </w:r>
      <w:r w:rsidRPr="007C693A">
        <w:rPr>
          <w:rFonts w:ascii="Verdana" w:hAnsi="Verdana"/>
          <w:i/>
          <w:sz w:val="16"/>
          <w:szCs w:val="16"/>
          <w:lang w:val="es-ES"/>
        </w:rPr>
        <w:t>Caso</w:t>
      </w:r>
      <w:r w:rsidRPr="007C693A">
        <w:rPr>
          <w:rFonts w:ascii="Verdana" w:hAnsi="Verdana"/>
          <w:i/>
          <w:spacing w:val="-4"/>
          <w:sz w:val="16"/>
          <w:szCs w:val="16"/>
          <w:lang w:val="es-ES"/>
        </w:rPr>
        <w:t xml:space="preserve"> </w:t>
      </w:r>
      <w:r w:rsidRPr="007C693A">
        <w:rPr>
          <w:rFonts w:ascii="Verdana" w:hAnsi="Verdana"/>
          <w:i/>
          <w:sz w:val="16"/>
          <w:szCs w:val="16"/>
          <w:lang w:val="es-ES"/>
        </w:rPr>
        <w:t>Alvarado</w:t>
      </w:r>
      <w:r w:rsidRPr="007C693A">
        <w:rPr>
          <w:rFonts w:ascii="Verdana" w:hAnsi="Verdana"/>
          <w:i/>
          <w:spacing w:val="-2"/>
          <w:sz w:val="16"/>
          <w:szCs w:val="16"/>
          <w:lang w:val="es-ES"/>
        </w:rPr>
        <w:t xml:space="preserve"> </w:t>
      </w:r>
      <w:r w:rsidRPr="007C693A">
        <w:rPr>
          <w:rFonts w:ascii="Verdana" w:hAnsi="Verdana"/>
          <w:i/>
          <w:sz w:val="16"/>
          <w:szCs w:val="16"/>
          <w:lang w:val="es-ES"/>
        </w:rPr>
        <w:t>Espinoza</w:t>
      </w:r>
      <w:r w:rsidRPr="007C693A">
        <w:rPr>
          <w:rFonts w:ascii="Verdana" w:hAnsi="Verdana"/>
          <w:i/>
          <w:spacing w:val="-6"/>
          <w:sz w:val="16"/>
          <w:szCs w:val="16"/>
          <w:lang w:val="es-ES"/>
        </w:rPr>
        <w:t xml:space="preserve"> </w:t>
      </w:r>
      <w:r w:rsidRPr="007C693A">
        <w:rPr>
          <w:rFonts w:ascii="Verdana" w:hAnsi="Verdana"/>
          <w:i/>
          <w:sz w:val="16"/>
          <w:szCs w:val="16"/>
          <w:lang w:val="es-ES"/>
        </w:rPr>
        <w:t>y</w:t>
      </w:r>
      <w:r w:rsidRPr="007C693A">
        <w:rPr>
          <w:rFonts w:ascii="Verdana" w:hAnsi="Verdana"/>
          <w:i/>
          <w:spacing w:val="-2"/>
          <w:sz w:val="16"/>
          <w:szCs w:val="16"/>
          <w:lang w:val="es-ES"/>
        </w:rPr>
        <w:t xml:space="preserve"> </w:t>
      </w:r>
      <w:r w:rsidRPr="007C693A">
        <w:rPr>
          <w:rFonts w:ascii="Verdana" w:hAnsi="Verdana"/>
          <w:i/>
          <w:sz w:val="16"/>
          <w:szCs w:val="16"/>
          <w:lang w:val="es-ES"/>
        </w:rPr>
        <w:t>otros</w:t>
      </w:r>
      <w:r w:rsidRPr="007C693A">
        <w:rPr>
          <w:rFonts w:ascii="Verdana" w:hAnsi="Verdana"/>
          <w:i/>
          <w:spacing w:val="-5"/>
          <w:sz w:val="16"/>
          <w:szCs w:val="16"/>
          <w:lang w:val="es-ES"/>
        </w:rPr>
        <w:t xml:space="preserve"> </w:t>
      </w:r>
      <w:r w:rsidRPr="007C693A">
        <w:rPr>
          <w:rFonts w:ascii="Verdana" w:hAnsi="Verdana"/>
          <w:i/>
          <w:sz w:val="16"/>
          <w:szCs w:val="16"/>
          <w:lang w:val="es-ES"/>
        </w:rPr>
        <w:t>Vs.</w:t>
      </w:r>
      <w:r w:rsidRPr="007C693A">
        <w:rPr>
          <w:rFonts w:ascii="Verdana" w:hAnsi="Verdana"/>
          <w:i/>
          <w:spacing w:val="-3"/>
          <w:sz w:val="16"/>
          <w:szCs w:val="16"/>
          <w:lang w:val="es-ES"/>
        </w:rPr>
        <w:t xml:space="preserve"> </w:t>
      </w:r>
      <w:r w:rsidRPr="007C693A">
        <w:rPr>
          <w:rFonts w:ascii="Verdana" w:hAnsi="Verdana"/>
          <w:i/>
          <w:sz w:val="16"/>
          <w:szCs w:val="16"/>
          <w:lang w:val="es-ES"/>
        </w:rPr>
        <w:t>México</w:t>
      </w:r>
      <w:r w:rsidR="008318BC">
        <w:rPr>
          <w:rFonts w:ascii="Verdana" w:hAnsi="Verdana"/>
          <w:sz w:val="16"/>
          <w:szCs w:val="16"/>
          <w:lang w:val="es-ES"/>
        </w:rPr>
        <w:t>.</w:t>
      </w:r>
      <w:r w:rsidR="00A47216">
        <w:rPr>
          <w:rFonts w:ascii="Verdana" w:hAnsi="Verdana"/>
          <w:spacing w:val="-4"/>
          <w:sz w:val="16"/>
          <w:szCs w:val="16"/>
          <w:lang w:val="es-ES"/>
        </w:rPr>
        <w:t xml:space="preserve"> Fondo, Reparaciones y Costas. Serie No. 370</w:t>
      </w:r>
      <w:r w:rsidR="008318BC">
        <w:rPr>
          <w:rFonts w:ascii="Verdana" w:hAnsi="Verdana"/>
          <w:spacing w:val="-4"/>
          <w:sz w:val="16"/>
          <w:szCs w:val="16"/>
          <w:lang w:val="es-ES"/>
        </w:rPr>
        <w:t>,</w:t>
      </w:r>
      <w:r w:rsidRPr="007C693A">
        <w:rPr>
          <w:rFonts w:ascii="Verdana" w:hAnsi="Verdana"/>
          <w:spacing w:val="-4"/>
          <w:sz w:val="16"/>
          <w:szCs w:val="16"/>
          <w:lang w:val="es-ES"/>
        </w:rPr>
        <w:t xml:space="preserve"> </w:t>
      </w:r>
      <w:r w:rsidRPr="007C693A">
        <w:rPr>
          <w:rFonts w:ascii="Verdana" w:hAnsi="Verdana"/>
          <w:sz w:val="16"/>
          <w:szCs w:val="16"/>
          <w:lang w:val="es-ES"/>
        </w:rPr>
        <w:t>párr.</w:t>
      </w:r>
      <w:r w:rsidRPr="007C693A">
        <w:rPr>
          <w:rFonts w:ascii="Verdana" w:hAnsi="Verdana"/>
          <w:spacing w:val="-53"/>
          <w:sz w:val="16"/>
          <w:szCs w:val="16"/>
          <w:lang w:val="es-ES"/>
        </w:rPr>
        <w:t xml:space="preserve"> </w:t>
      </w:r>
      <w:r w:rsidR="00A47216">
        <w:rPr>
          <w:rFonts w:ascii="Verdana" w:hAnsi="Verdana"/>
          <w:spacing w:val="-53"/>
          <w:sz w:val="16"/>
          <w:szCs w:val="16"/>
          <w:lang w:val="es-ES"/>
        </w:rPr>
        <w:t xml:space="preserve">   </w:t>
      </w:r>
      <w:r w:rsidRPr="007C693A">
        <w:rPr>
          <w:rFonts w:ascii="Verdana" w:hAnsi="Verdana"/>
          <w:sz w:val="16"/>
          <w:szCs w:val="16"/>
          <w:lang w:val="es-ES"/>
        </w:rPr>
        <w:t>299,</w:t>
      </w:r>
      <w:r w:rsidRPr="007C693A">
        <w:rPr>
          <w:rFonts w:ascii="Verdana" w:hAnsi="Verdana"/>
          <w:spacing w:val="-3"/>
          <w:sz w:val="16"/>
          <w:szCs w:val="16"/>
          <w:lang w:val="es-ES"/>
        </w:rPr>
        <w:t xml:space="preserve"> </w:t>
      </w:r>
      <w:r w:rsidRPr="007C693A">
        <w:rPr>
          <w:rFonts w:ascii="Verdana" w:hAnsi="Verdana"/>
          <w:sz w:val="16"/>
          <w:szCs w:val="16"/>
          <w:lang w:val="es-ES"/>
        </w:rPr>
        <w:t>y</w:t>
      </w:r>
      <w:r w:rsidRPr="007C693A">
        <w:rPr>
          <w:rFonts w:ascii="Verdana" w:hAnsi="Verdana"/>
          <w:spacing w:val="-1"/>
          <w:sz w:val="16"/>
          <w:szCs w:val="16"/>
          <w:lang w:val="es-ES"/>
        </w:rPr>
        <w:t xml:space="preserve"> </w:t>
      </w:r>
      <w:r w:rsidRPr="007C693A">
        <w:rPr>
          <w:rFonts w:ascii="Verdana" w:hAnsi="Verdana"/>
          <w:i/>
          <w:sz w:val="16"/>
          <w:szCs w:val="16"/>
          <w:lang w:val="es-ES"/>
        </w:rPr>
        <w:t>Caso</w:t>
      </w:r>
      <w:r w:rsidRPr="007C693A">
        <w:rPr>
          <w:rFonts w:ascii="Verdana" w:hAnsi="Verdana"/>
          <w:i/>
          <w:spacing w:val="-1"/>
          <w:sz w:val="16"/>
          <w:szCs w:val="16"/>
          <w:lang w:val="es-ES"/>
        </w:rPr>
        <w:t xml:space="preserve"> </w:t>
      </w:r>
      <w:r w:rsidRPr="007C693A">
        <w:rPr>
          <w:rFonts w:ascii="Verdana" w:hAnsi="Verdana"/>
          <w:i/>
          <w:sz w:val="16"/>
          <w:szCs w:val="16"/>
          <w:lang w:val="es-ES"/>
        </w:rPr>
        <w:t>Garzón</w:t>
      </w:r>
      <w:r w:rsidRPr="007C693A">
        <w:rPr>
          <w:rFonts w:ascii="Verdana" w:hAnsi="Verdana"/>
          <w:i/>
          <w:spacing w:val="-2"/>
          <w:sz w:val="16"/>
          <w:szCs w:val="16"/>
          <w:lang w:val="es-ES"/>
        </w:rPr>
        <w:t xml:space="preserve"> </w:t>
      </w:r>
      <w:r w:rsidRPr="007C693A">
        <w:rPr>
          <w:rFonts w:ascii="Verdana" w:hAnsi="Verdana"/>
          <w:i/>
          <w:sz w:val="16"/>
          <w:szCs w:val="16"/>
          <w:lang w:val="es-ES"/>
        </w:rPr>
        <w:t>Guzmán</w:t>
      </w:r>
      <w:r w:rsidRPr="007C693A">
        <w:rPr>
          <w:rFonts w:ascii="Verdana" w:hAnsi="Verdana"/>
          <w:i/>
          <w:spacing w:val="-3"/>
          <w:sz w:val="16"/>
          <w:szCs w:val="16"/>
          <w:lang w:val="es-ES"/>
        </w:rPr>
        <w:t xml:space="preserve"> </w:t>
      </w:r>
      <w:r w:rsidRPr="007C693A">
        <w:rPr>
          <w:rFonts w:ascii="Verdana" w:hAnsi="Verdana"/>
          <w:i/>
          <w:sz w:val="16"/>
          <w:szCs w:val="16"/>
          <w:lang w:val="es-ES"/>
        </w:rPr>
        <w:t>y</w:t>
      </w:r>
      <w:r w:rsidRPr="007C693A">
        <w:rPr>
          <w:rFonts w:ascii="Verdana" w:hAnsi="Verdana"/>
          <w:i/>
          <w:spacing w:val="-1"/>
          <w:sz w:val="16"/>
          <w:szCs w:val="16"/>
          <w:lang w:val="es-ES"/>
        </w:rPr>
        <w:t xml:space="preserve"> </w:t>
      </w:r>
      <w:r w:rsidRPr="007C693A">
        <w:rPr>
          <w:rFonts w:ascii="Verdana" w:hAnsi="Verdana"/>
          <w:i/>
          <w:sz w:val="16"/>
          <w:szCs w:val="16"/>
          <w:lang w:val="es-ES"/>
        </w:rPr>
        <w:t>otros</w:t>
      </w:r>
      <w:r w:rsidRPr="007C693A">
        <w:rPr>
          <w:rFonts w:ascii="Verdana" w:hAnsi="Verdana"/>
          <w:i/>
          <w:spacing w:val="-1"/>
          <w:sz w:val="16"/>
          <w:szCs w:val="16"/>
          <w:lang w:val="es-ES"/>
        </w:rPr>
        <w:t xml:space="preserve"> </w:t>
      </w:r>
      <w:r w:rsidRPr="007C693A">
        <w:rPr>
          <w:rFonts w:ascii="Verdana" w:hAnsi="Verdana"/>
          <w:i/>
          <w:sz w:val="16"/>
          <w:szCs w:val="16"/>
          <w:lang w:val="es-ES"/>
        </w:rPr>
        <w:t>Vs.</w:t>
      </w:r>
      <w:r w:rsidRPr="007C693A">
        <w:rPr>
          <w:rFonts w:ascii="Verdana" w:hAnsi="Verdana"/>
          <w:i/>
          <w:spacing w:val="-2"/>
          <w:sz w:val="16"/>
          <w:szCs w:val="16"/>
          <w:lang w:val="es-ES"/>
        </w:rPr>
        <w:t xml:space="preserve"> </w:t>
      </w:r>
      <w:r w:rsidRPr="007C693A">
        <w:rPr>
          <w:rFonts w:ascii="Verdana" w:hAnsi="Verdana"/>
          <w:i/>
          <w:sz w:val="16"/>
          <w:szCs w:val="16"/>
          <w:lang w:val="es-ES"/>
        </w:rPr>
        <w:t>Ecuador</w:t>
      </w:r>
      <w:r w:rsidR="00702944" w:rsidRPr="00E90DB5">
        <w:rPr>
          <w:rFonts w:ascii="Verdana" w:hAnsi="Verdana"/>
          <w:i/>
          <w:sz w:val="16"/>
          <w:szCs w:val="16"/>
          <w:lang w:val="es-ES"/>
        </w:rPr>
        <w:t>. Fondo, Reparaciones y Costas</w:t>
      </w:r>
      <w:r w:rsidR="00702944" w:rsidRPr="00E90DB5">
        <w:rPr>
          <w:rFonts w:ascii="Verdana" w:hAnsi="Verdana"/>
          <w:sz w:val="16"/>
          <w:szCs w:val="16"/>
          <w:lang w:val="es-ES"/>
        </w:rPr>
        <w:t>. Sentencia de 1 de septiembre de 2021. Serie C No. 434</w:t>
      </w:r>
      <w:r w:rsidR="008318BC">
        <w:rPr>
          <w:rFonts w:ascii="Verdana" w:hAnsi="Verdana"/>
          <w:sz w:val="16"/>
          <w:szCs w:val="16"/>
          <w:lang w:val="es-ES"/>
        </w:rPr>
        <w:t xml:space="preserve">, </w:t>
      </w:r>
      <w:r w:rsidRPr="007C693A">
        <w:rPr>
          <w:rFonts w:ascii="Verdana" w:hAnsi="Verdana"/>
          <w:sz w:val="16"/>
          <w:szCs w:val="16"/>
          <w:lang w:val="es-ES"/>
        </w:rPr>
        <w:t>párr. 74</w:t>
      </w:r>
      <w:r>
        <w:rPr>
          <w:rFonts w:ascii="Verdana" w:hAnsi="Verdana"/>
          <w:sz w:val="16"/>
          <w:szCs w:val="16"/>
          <w:lang w:val="es-ES"/>
        </w:rPr>
        <w:t xml:space="preserve">; </w:t>
      </w:r>
      <w:r w:rsidRPr="00917D2C">
        <w:rPr>
          <w:rFonts w:ascii="Verdana" w:hAnsi="Verdana"/>
          <w:i/>
          <w:iCs/>
          <w:sz w:val="16"/>
          <w:szCs w:val="16"/>
          <w:lang w:val="es-ES"/>
        </w:rPr>
        <w:t xml:space="preserve">Caso Familia Julien Grisonas Vs. Argentina, supra, </w:t>
      </w:r>
      <w:r w:rsidRPr="00917D2C">
        <w:rPr>
          <w:rFonts w:ascii="Verdana" w:hAnsi="Verdana"/>
          <w:sz w:val="16"/>
          <w:szCs w:val="16"/>
          <w:lang w:val="es-ES"/>
        </w:rPr>
        <w:t>párr. 209</w:t>
      </w:r>
      <w:r w:rsidRPr="00FF6848">
        <w:rPr>
          <w:rFonts w:ascii="Verdana" w:hAnsi="Verdana"/>
          <w:sz w:val="16"/>
          <w:szCs w:val="16"/>
          <w:lang w:val="es-ES"/>
        </w:rPr>
        <w:t xml:space="preserve">, y </w:t>
      </w:r>
      <w:r w:rsidRPr="00FF6848">
        <w:rPr>
          <w:rFonts w:ascii="Verdana" w:hAnsi="Verdana"/>
          <w:i/>
          <w:iCs/>
          <w:sz w:val="16"/>
          <w:szCs w:val="16"/>
          <w:lang w:val="es-ES"/>
        </w:rPr>
        <w:t>Caso Movilla Galarcio y otros Vs. Colombia, supra</w:t>
      </w:r>
      <w:r w:rsidRPr="00FF6848">
        <w:rPr>
          <w:rFonts w:ascii="Verdana" w:hAnsi="Verdana"/>
          <w:sz w:val="16"/>
          <w:szCs w:val="16"/>
          <w:lang w:val="es-ES"/>
        </w:rPr>
        <w:t>, párr. 206.</w:t>
      </w:r>
    </w:p>
  </w:footnote>
  <w:footnote w:id="166">
    <w:p w14:paraId="7FCBDD51" w14:textId="54BF1E21" w:rsidR="007B594B" w:rsidRPr="007C693A" w:rsidRDefault="007B594B" w:rsidP="007B594B">
      <w:pPr>
        <w:spacing w:before="38"/>
        <w:ind w:right="190"/>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w:t>
      </w:r>
      <w:r w:rsidRPr="007C693A">
        <w:rPr>
          <w:rFonts w:ascii="Verdana" w:hAnsi="Verdana"/>
          <w:spacing w:val="-6"/>
          <w:sz w:val="16"/>
          <w:szCs w:val="16"/>
          <w:lang w:val="es-ES"/>
        </w:rPr>
        <w:t xml:space="preserve"> </w:t>
      </w:r>
      <w:r w:rsidRPr="007C693A">
        <w:rPr>
          <w:rFonts w:ascii="Verdana" w:hAnsi="Verdana"/>
          <w:i/>
          <w:sz w:val="16"/>
          <w:szCs w:val="16"/>
          <w:lang w:val="es-ES"/>
        </w:rPr>
        <w:t>Caso</w:t>
      </w:r>
      <w:r w:rsidRPr="007C693A">
        <w:rPr>
          <w:rFonts w:ascii="Verdana" w:hAnsi="Verdana"/>
          <w:i/>
          <w:spacing w:val="-7"/>
          <w:sz w:val="16"/>
          <w:szCs w:val="16"/>
          <w:lang w:val="es-ES"/>
        </w:rPr>
        <w:t xml:space="preserve"> </w:t>
      </w:r>
      <w:r w:rsidRPr="007C693A">
        <w:rPr>
          <w:rFonts w:ascii="Verdana" w:hAnsi="Verdana"/>
          <w:i/>
          <w:sz w:val="16"/>
          <w:szCs w:val="16"/>
          <w:lang w:val="es-ES"/>
        </w:rPr>
        <w:t>de</w:t>
      </w:r>
      <w:r w:rsidRPr="007C693A">
        <w:rPr>
          <w:rFonts w:ascii="Verdana" w:hAnsi="Verdana"/>
          <w:i/>
          <w:spacing w:val="-6"/>
          <w:sz w:val="16"/>
          <w:szCs w:val="16"/>
          <w:lang w:val="es-ES"/>
        </w:rPr>
        <w:t xml:space="preserve"> </w:t>
      </w:r>
      <w:r w:rsidRPr="007C693A">
        <w:rPr>
          <w:rFonts w:ascii="Verdana" w:hAnsi="Verdana"/>
          <w:i/>
          <w:sz w:val="16"/>
          <w:szCs w:val="16"/>
          <w:lang w:val="es-ES"/>
        </w:rPr>
        <w:t>la</w:t>
      </w:r>
      <w:r w:rsidRPr="007C693A">
        <w:rPr>
          <w:rFonts w:ascii="Verdana" w:hAnsi="Verdana"/>
          <w:i/>
          <w:spacing w:val="-6"/>
          <w:sz w:val="16"/>
          <w:szCs w:val="16"/>
          <w:lang w:val="es-ES"/>
        </w:rPr>
        <w:t xml:space="preserve"> </w:t>
      </w:r>
      <w:r w:rsidRPr="007C693A">
        <w:rPr>
          <w:rFonts w:ascii="Verdana" w:hAnsi="Verdana"/>
          <w:i/>
          <w:sz w:val="16"/>
          <w:szCs w:val="16"/>
          <w:lang w:val="es-ES"/>
        </w:rPr>
        <w:t>Masacre</w:t>
      </w:r>
      <w:r w:rsidRPr="007C693A">
        <w:rPr>
          <w:rFonts w:ascii="Verdana" w:hAnsi="Verdana"/>
          <w:i/>
          <w:spacing w:val="-6"/>
          <w:sz w:val="16"/>
          <w:szCs w:val="16"/>
          <w:lang w:val="es-ES"/>
        </w:rPr>
        <w:t xml:space="preserve"> </w:t>
      </w:r>
      <w:r w:rsidRPr="007C693A">
        <w:rPr>
          <w:rFonts w:ascii="Verdana" w:hAnsi="Verdana"/>
          <w:i/>
          <w:sz w:val="16"/>
          <w:szCs w:val="16"/>
          <w:lang w:val="es-ES"/>
        </w:rPr>
        <w:t>de</w:t>
      </w:r>
      <w:r w:rsidRPr="007C693A">
        <w:rPr>
          <w:rFonts w:ascii="Verdana" w:hAnsi="Verdana"/>
          <w:i/>
          <w:spacing w:val="-7"/>
          <w:sz w:val="16"/>
          <w:szCs w:val="16"/>
          <w:lang w:val="es-ES"/>
        </w:rPr>
        <w:t xml:space="preserve"> </w:t>
      </w:r>
      <w:r w:rsidRPr="007C693A">
        <w:rPr>
          <w:rFonts w:ascii="Verdana" w:hAnsi="Verdana"/>
          <w:i/>
          <w:sz w:val="16"/>
          <w:szCs w:val="16"/>
          <w:lang w:val="es-ES"/>
        </w:rPr>
        <w:t>Las</w:t>
      </w:r>
      <w:r w:rsidRPr="007C693A">
        <w:rPr>
          <w:rFonts w:ascii="Verdana" w:hAnsi="Verdana"/>
          <w:i/>
          <w:spacing w:val="-6"/>
          <w:sz w:val="16"/>
          <w:szCs w:val="16"/>
          <w:lang w:val="es-ES"/>
        </w:rPr>
        <w:t xml:space="preserve"> </w:t>
      </w:r>
      <w:r w:rsidRPr="007C693A">
        <w:rPr>
          <w:rFonts w:ascii="Verdana" w:hAnsi="Verdana"/>
          <w:i/>
          <w:sz w:val="16"/>
          <w:szCs w:val="16"/>
          <w:lang w:val="es-ES"/>
        </w:rPr>
        <w:t>Dos</w:t>
      </w:r>
      <w:r w:rsidRPr="007C693A">
        <w:rPr>
          <w:rFonts w:ascii="Verdana" w:hAnsi="Verdana"/>
          <w:i/>
          <w:spacing w:val="-7"/>
          <w:sz w:val="16"/>
          <w:szCs w:val="16"/>
          <w:lang w:val="es-ES"/>
        </w:rPr>
        <w:t xml:space="preserve"> </w:t>
      </w:r>
      <w:r w:rsidRPr="007C693A">
        <w:rPr>
          <w:rFonts w:ascii="Verdana" w:hAnsi="Verdana"/>
          <w:i/>
          <w:sz w:val="16"/>
          <w:szCs w:val="16"/>
          <w:lang w:val="es-ES"/>
        </w:rPr>
        <w:t>Erres</w:t>
      </w:r>
      <w:r w:rsidRPr="007C693A">
        <w:rPr>
          <w:rFonts w:ascii="Verdana" w:hAnsi="Verdana"/>
          <w:i/>
          <w:spacing w:val="-6"/>
          <w:sz w:val="16"/>
          <w:szCs w:val="16"/>
          <w:lang w:val="es-ES"/>
        </w:rPr>
        <w:t xml:space="preserve"> </w:t>
      </w:r>
      <w:r w:rsidRPr="007C693A">
        <w:rPr>
          <w:rFonts w:ascii="Verdana" w:hAnsi="Verdana"/>
          <w:i/>
          <w:sz w:val="16"/>
          <w:szCs w:val="16"/>
          <w:lang w:val="es-ES"/>
        </w:rPr>
        <w:t>Vs.</w:t>
      </w:r>
      <w:r w:rsidRPr="007C693A">
        <w:rPr>
          <w:rFonts w:ascii="Verdana" w:hAnsi="Verdana"/>
          <w:i/>
          <w:spacing w:val="-6"/>
          <w:sz w:val="16"/>
          <w:szCs w:val="16"/>
          <w:lang w:val="es-ES"/>
        </w:rPr>
        <w:t xml:space="preserve"> </w:t>
      </w:r>
      <w:r w:rsidRPr="007C693A">
        <w:rPr>
          <w:rFonts w:ascii="Verdana" w:hAnsi="Verdana"/>
          <w:i/>
          <w:sz w:val="16"/>
          <w:szCs w:val="16"/>
          <w:lang w:val="es-ES"/>
        </w:rPr>
        <w:t>Guatemala</w:t>
      </w:r>
      <w:r w:rsidR="008318BC">
        <w:rPr>
          <w:rFonts w:ascii="Verdana" w:hAnsi="Verdana"/>
          <w:i/>
          <w:sz w:val="16"/>
          <w:szCs w:val="16"/>
          <w:lang w:val="es-ES"/>
        </w:rPr>
        <w:t>, supra</w:t>
      </w:r>
      <w:r w:rsidRPr="007C693A">
        <w:rPr>
          <w:rFonts w:ascii="Verdana" w:hAnsi="Verdana"/>
          <w:sz w:val="16"/>
          <w:szCs w:val="16"/>
          <w:lang w:val="es-ES"/>
        </w:rPr>
        <w:t xml:space="preserve">, párr. 245, y </w:t>
      </w:r>
      <w:r w:rsidRPr="007C693A">
        <w:rPr>
          <w:rFonts w:ascii="Verdana" w:hAnsi="Verdana"/>
          <w:i/>
          <w:sz w:val="16"/>
          <w:szCs w:val="16"/>
          <w:lang w:val="es-ES"/>
        </w:rPr>
        <w:t xml:space="preserve">Caso </w:t>
      </w:r>
      <w:r>
        <w:rPr>
          <w:rFonts w:ascii="Verdana" w:hAnsi="Verdana"/>
          <w:i/>
          <w:sz w:val="16"/>
          <w:szCs w:val="16"/>
          <w:lang w:val="es-ES"/>
        </w:rPr>
        <w:t xml:space="preserve">Maidanik y otros Vs. Uruguay, supra, </w:t>
      </w:r>
      <w:r w:rsidRPr="00B25DFD">
        <w:rPr>
          <w:rFonts w:ascii="Verdana" w:hAnsi="Verdana"/>
          <w:iCs/>
          <w:sz w:val="16"/>
          <w:szCs w:val="16"/>
          <w:lang w:val="es-ES"/>
        </w:rPr>
        <w:t>párr. 219</w:t>
      </w:r>
      <w:r w:rsidRPr="00D21C83">
        <w:rPr>
          <w:rFonts w:ascii="Verdana" w:hAnsi="Verdana"/>
          <w:iCs/>
          <w:sz w:val="16"/>
          <w:szCs w:val="16"/>
          <w:lang w:val="es-ES"/>
        </w:rPr>
        <w:t>.</w:t>
      </w:r>
    </w:p>
  </w:footnote>
  <w:footnote w:id="167">
    <w:p w14:paraId="4AF65972" w14:textId="77777777" w:rsidR="007B594B" w:rsidRPr="007C693A" w:rsidRDefault="007B594B" w:rsidP="007B594B">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 Caso Velásquez Rodríguez Vs. Honduras. Fondo, supra</w:t>
      </w:r>
      <w:r w:rsidRPr="007C693A">
        <w:rPr>
          <w:rFonts w:ascii="Verdana" w:hAnsi="Verdana"/>
          <w:sz w:val="16"/>
          <w:szCs w:val="16"/>
          <w:lang w:val="es-ES"/>
        </w:rPr>
        <w:t xml:space="preserve">, párr. 177, y </w:t>
      </w:r>
      <w:r w:rsidRPr="007C693A">
        <w:rPr>
          <w:rFonts w:ascii="Verdana" w:hAnsi="Verdana" w:cs="Arial"/>
          <w:i/>
          <w:sz w:val="16"/>
          <w:szCs w:val="16"/>
          <w:shd w:val="clear" w:color="auto" w:fill="FFFFFF"/>
          <w:lang w:val="es-ES"/>
        </w:rPr>
        <w:t>Caso Masacre de la Aldea Los Josefinos Vs. Guatemala</w:t>
      </w:r>
      <w:r>
        <w:rPr>
          <w:rFonts w:ascii="Verdana" w:hAnsi="Verdana" w:cs="Arial"/>
          <w:i/>
          <w:sz w:val="16"/>
          <w:szCs w:val="16"/>
          <w:shd w:val="clear" w:color="auto" w:fill="FFFFFF"/>
          <w:lang w:val="es-ES"/>
        </w:rPr>
        <w:t>, supra</w:t>
      </w:r>
      <w:r w:rsidRPr="007C693A">
        <w:rPr>
          <w:rFonts w:ascii="Verdana" w:hAnsi="Verdana" w:cs="Arial"/>
          <w:sz w:val="16"/>
          <w:szCs w:val="16"/>
          <w:shd w:val="clear" w:color="auto" w:fill="FFFFFF"/>
          <w:lang w:val="es-ES"/>
        </w:rPr>
        <w:t>, párr. 101.</w:t>
      </w:r>
    </w:p>
  </w:footnote>
  <w:footnote w:id="168">
    <w:p w14:paraId="67D24F57" w14:textId="77777777" w:rsidR="007B594B" w:rsidRPr="007C693A" w:rsidRDefault="007B594B" w:rsidP="007B594B">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 Caso Terrones Silva y otros Vs. Perú</w:t>
      </w:r>
      <w:r>
        <w:rPr>
          <w:rFonts w:ascii="Verdana" w:hAnsi="Verdana"/>
          <w:i/>
          <w:iCs/>
          <w:sz w:val="16"/>
          <w:szCs w:val="16"/>
          <w:lang w:val="es-ES"/>
        </w:rPr>
        <w:t>, supra</w:t>
      </w:r>
      <w:r w:rsidRPr="007C693A">
        <w:rPr>
          <w:rFonts w:ascii="Verdana" w:hAnsi="Verdana"/>
          <w:sz w:val="16"/>
          <w:szCs w:val="16"/>
          <w:lang w:val="es-ES"/>
        </w:rPr>
        <w:t xml:space="preserve">, párr. 181, y </w:t>
      </w:r>
      <w:r w:rsidRPr="007C693A">
        <w:rPr>
          <w:rFonts w:ascii="Verdana" w:hAnsi="Verdana"/>
          <w:i/>
          <w:iCs/>
          <w:sz w:val="16"/>
          <w:szCs w:val="16"/>
          <w:lang w:val="es-ES"/>
        </w:rPr>
        <w:t>Caso Maidanik y otros Vs. Uruguay</w:t>
      </w:r>
      <w:r>
        <w:rPr>
          <w:rFonts w:ascii="Verdana" w:hAnsi="Verdana"/>
          <w:i/>
          <w:iCs/>
          <w:sz w:val="16"/>
          <w:szCs w:val="16"/>
          <w:lang w:val="es-ES"/>
        </w:rPr>
        <w:t>, supra</w:t>
      </w:r>
      <w:r w:rsidRPr="007C693A">
        <w:rPr>
          <w:rFonts w:ascii="Verdana" w:hAnsi="Verdana"/>
          <w:sz w:val="16"/>
          <w:szCs w:val="16"/>
          <w:lang w:val="es-ES"/>
        </w:rPr>
        <w:t>, párr. 137.</w:t>
      </w:r>
    </w:p>
  </w:footnote>
  <w:footnote w:id="169">
    <w:p w14:paraId="0A3AB026" w14:textId="77777777" w:rsidR="007B594B" w:rsidRPr="007C693A" w:rsidRDefault="007B594B" w:rsidP="007B594B">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cs="Arial"/>
          <w:i/>
          <w:sz w:val="16"/>
          <w:szCs w:val="16"/>
          <w:shd w:val="clear" w:color="auto" w:fill="FFFFFF"/>
          <w:lang w:val="es-ES"/>
        </w:rPr>
        <w:t>Caso Contreras y otros Vs. El Salvador</w:t>
      </w:r>
      <w:r w:rsidRPr="007C693A">
        <w:rPr>
          <w:rFonts w:ascii="Verdana" w:hAnsi="Verdana" w:cs="Arial"/>
          <w:sz w:val="16"/>
          <w:szCs w:val="16"/>
          <w:shd w:val="clear" w:color="auto" w:fill="FFFFFF"/>
          <w:lang w:val="es-ES"/>
        </w:rPr>
        <w:t>,</w:t>
      </w:r>
      <w:r w:rsidRPr="007C693A">
        <w:rPr>
          <w:rFonts w:ascii="Verdana" w:hAnsi="Verdana" w:cs="Arial"/>
          <w:i/>
          <w:sz w:val="16"/>
          <w:szCs w:val="16"/>
          <w:shd w:val="clear" w:color="auto" w:fill="FFFFFF"/>
          <w:lang w:val="es-ES"/>
        </w:rPr>
        <w:t xml:space="preserve"> supra</w:t>
      </w:r>
      <w:r w:rsidRPr="007C693A">
        <w:rPr>
          <w:rFonts w:ascii="Verdana" w:hAnsi="Verdana" w:cs="Arial"/>
          <w:sz w:val="16"/>
          <w:szCs w:val="16"/>
          <w:shd w:val="clear" w:color="auto" w:fill="FFFFFF"/>
          <w:lang w:val="es-ES"/>
        </w:rPr>
        <w:t xml:space="preserve">, párr. 191, y </w:t>
      </w:r>
      <w:r w:rsidRPr="007C693A">
        <w:rPr>
          <w:rFonts w:ascii="Verdana" w:hAnsi="Verdana" w:cs="Arial"/>
          <w:i/>
          <w:iCs/>
          <w:sz w:val="16"/>
          <w:szCs w:val="16"/>
          <w:shd w:val="clear" w:color="auto" w:fill="FFFFFF"/>
          <w:lang w:val="es-ES"/>
        </w:rPr>
        <w:t xml:space="preserve">Caso </w:t>
      </w:r>
      <w:r>
        <w:rPr>
          <w:rFonts w:ascii="Verdana" w:hAnsi="Verdana" w:cs="Arial"/>
          <w:i/>
          <w:iCs/>
          <w:sz w:val="16"/>
          <w:szCs w:val="16"/>
          <w:shd w:val="clear" w:color="auto" w:fill="FFFFFF"/>
          <w:lang w:val="es-ES"/>
        </w:rPr>
        <w:t>Maidanik y otros Vs. Uruguay</w:t>
      </w:r>
      <w:r w:rsidRPr="007C693A">
        <w:rPr>
          <w:rFonts w:ascii="Verdana" w:hAnsi="Verdana" w:cs="Arial"/>
          <w:i/>
          <w:iCs/>
          <w:sz w:val="16"/>
          <w:szCs w:val="16"/>
          <w:shd w:val="clear" w:color="auto" w:fill="FFFFFF"/>
          <w:lang w:val="es-ES"/>
        </w:rPr>
        <w:t xml:space="preserve">, </w:t>
      </w:r>
      <w:r w:rsidRPr="007C693A">
        <w:rPr>
          <w:rFonts w:ascii="Verdana" w:hAnsi="Verdana" w:cs="Arial"/>
          <w:sz w:val="16"/>
          <w:szCs w:val="16"/>
          <w:shd w:val="clear" w:color="auto" w:fill="FFFFFF"/>
          <w:lang w:val="es-ES"/>
        </w:rPr>
        <w:t xml:space="preserve">párr. </w:t>
      </w:r>
      <w:r>
        <w:rPr>
          <w:rFonts w:ascii="Verdana" w:hAnsi="Verdana" w:cs="Arial"/>
          <w:sz w:val="16"/>
          <w:szCs w:val="16"/>
          <w:shd w:val="clear" w:color="auto" w:fill="FFFFFF"/>
          <w:lang w:val="es-ES"/>
        </w:rPr>
        <w:t>151.</w:t>
      </w:r>
    </w:p>
  </w:footnote>
  <w:footnote w:id="170">
    <w:p w14:paraId="088458BB" w14:textId="7A5C8EDC" w:rsidR="007B594B" w:rsidRPr="00E03D2D" w:rsidRDefault="007B594B" w:rsidP="007B594B">
      <w:pPr>
        <w:jc w:val="both"/>
        <w:rPr>
          <w:rFonts w:ascii="Verdana" w:hAnsi="Verdana"/>
          <w:i/>
          <w:iCs/>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06DBC">
        <w:rPr>
          <w:rFonts w:ascii="Verdana" w:hAnsi="Verdana"/>
          <w:i/>
          <w:sz w:val="16"/>
          <w:szCs w:val="16"/>
          <w:lang w:val="es-ES"/>
        </w:rPr>
        <w:t>Cfr</w:t>
      </w:r>
      <w:r w:rsidRPr="00706DBC">
        <w:rPr>
          <w:rFonts w:ascii="Verdana" w:hAnsi="Verdana"/>
          <w:sz w:val="16"/>
          <w:szCs w:val="16"/>
          <w:lang w:val="es-ES"/>
        </w:rPr>
        <w:t xml:space="preserve">. </w:t>
      </w:r>
      <w:r w:rsidRPr="00706DBC">
        <w:rPr>
          <w:rFonts w:ascii="Verdana" w:hAnsi="Verdana" w:cs="Arial"/>
          <w:i/>
          <w:sz w:val="16"/>
          <w:szCs w:val="16"/>
          <w:shd w:val="clear" w:color="auto" w:fill="FFFFFF"/>
          <w:lang w:val="es-ES"/>
        </w:rPr>
        <w:t>Caso Gelman Vs. Uruguay</w:t>
      </w:r>
      <w:r w:rsidR="00A47216">
        <w:rPr>
          <w:rFonts w:ascii="Verdana" w:hAnsi="Verdana" w:cs="Arial"/>
          <w:i/>
          <w:sz w:val="16"/>
          <w:szCs w:val="16"/>
          <w:shd w:val="clear" w:color="auto" w:fill="FFFFFF"/>
          <w:lang w:val="es-ES"/>
        </w:rPr>
        <w:t xml:space="preserve">. Fondo y Reparaciones. </w:t>
      </w:r>
      <w:r w:rsidR="00A47216" w:rsidRPr="00A47216">
        <w:rPr>
          <w:rFonts w:ascii="Verdana" w:hAnsi="Verdana" w:cs="Arial"/>
          <w:iCs/>
          <w:sz w:val="16"/>
          <w:szCs w:val="16"/>
          <w:shd w:val="clear" w:color="auto" w:fill="FFFFFF"/>
          <w:lang w:val="es-ES"/>
        </w:rPr>
        <w:t>Sentencia de 24 de febrero de 2011</w:t>
      </w:r>
      <w:r w:rsidR="00A47216">
        <w:rPr>
          <w:rFonts w:ascii="Verdana" w:hAnsi="Verdana" w:cs="Arial"/>
          <w:i/>
          <w:sz w:val="16"/>
          <w:szCs w:val="16"/>
          <w:shd w:val="clear" w:color="auto" w:fill="FFFFFF"/>
          <w:lang w:val="es-ES"/>
        </w:rPr>
        <w:t xml:space="preserve">. </w:t>
      </w:r>
      <w:r w:rsidR="00A47216" w:rsidRPr="00A47216">
        <w:rPr>
          <w:rFonts w:ascii="Verdana" w:hAnsi="Verdana" w:cs="Arial"/>
          <w:iCs/>
          <w:sz w:val="16"/>
          <w:szCs w:val="16"/>
          <w:shd w:val="clear" w:color="auto" w:fill="FFFFFF"/>
          <w:lang w:val="es-ES"/>
        </w:rPr>
        <w:t>Serie C No. 221</w:t>
      </w:r>
      <w:r w:rsidR="00706DBC" w:rsidRPr="00706DBC">
        <w:rPr>
          <w:rFonts w:ascii="Verdana" w:hAnsi="Verdana" w:cs="Arial"/>
          <w:i/>
          <w:sz w:val="16"/>
          <w:szCs w:val="16"/>
          <w:shd w:val="clear" w:color="auto" w:fill="FFFFFF"/>
          <w:lang w:val="es-ES"/>
        </w:rPr>
        <w:t xml:space="preserve">, </w:t>
      </w:r>
      <w:r w:rsidRPr="00706DBC">
        <w:rPr>
          <w:rFonts w:ascii="Verdana" w:hAnsi="Verdana" w:cs="Arial"/>
          <w:sz w:val="16"/>
          <w:szCs w:val="16"/>
          <w:shd w:val="clear" w:color="auto" w:fill="FFFFFF"/>
          <w:lang w:val="es-ES"/>
        </w:rPr>
        <w:t>párr. 234</w:t>
      </w:r>
      <w:r w:rsidRPr="007C693A">
        <w:rPr>
          <w:rFonts w:ascii="Verdana" w:hAnsi="Verdana" w:cs="Arial"/>
          <w:sz w:val="16"/>
          <w:szCs w:val="16"/>
          <w:shd w:val="clear" w:color="auto" w:fill="FFFFFF"/>
          <w:lang w:val="es-ES"/>
        </w:rPr>
        <w:t>,</w:t>
      </w:r>
      <w:r w:rsidRPr="00D901A1">
        <w:rPr>
          <w:rFonts w:ascii="Verdana" w:hAnsi="Verdana" w:cs="Arial"/>
          <w:sz w:val="16"/>
          <w:szCs w:val="16"/>
          <w:shd w:val="clear" w:color="auto" w:fill="FFFFFF"/>
          <w:lang w:val="es-ES"/>
        </w:rPr>
        <w:t xml:space="preserve"> y</w:t>
      </w:r>
      <w:r w:rsidRPr="00E03D2D">
        <w:rPr>
          <w:rFonts w:ascii="Verdana" w:hAnsi="Verdana" w:cs="Arial"/>
          <w:sz w:val="16"/>
          <w:szCs w:val="16"/>
          <w:shd w:val="clear" w:color="auto" w:fill="FFFFFF"/>
          <w:lang w:val="es-ES"/>
        </w:rPr>
        <w:t xml:space="preserve"> </w:t>
      </w:r>
      <w:r w:rsidRPr="00E03D2D">
        <w:rPr>
          <w:rFonts w:ascii="Verdana" w:hAnsi="Verdana" w:cs="Arial"/>
          <w:i/>
          <w:iCs/>
          <w:sz w:val="16"/>
          <w:szCs w:val="16"/>
          <w:shd w:val="clear" w:color="auto" w:fill="FFFFFF"/>
          <w:lang w:val="es-ES"/>
        </w:rPr>
        <w:t xml:space="preserve">Caso Familia Julien Grisonas Vs. Argentina, supra, </w:t>
      </w:r>
      <w:r w:rsidRPr="00E03D2D">
        <w:rPr>
          <w:rFonts w:ascii="Verdana" w:hAnsi="Verdana" w:cs="Arial"/>
          <w:sz w:val="16"/>
          <w:szCs w:val="16"/>
          <w:shd w:val="clear" w:color="auto" w:fill="FFFFFF"/>
          <w:lang w:val="es-ES"/>
        </w:rPr>
        <w:t>párr. 213</w:t>
      </w:r>
      <w:r w:rsidRPr="00E03D2D">
        <w:rPr>
          <w:rFonts w:ascii="Verdana" w:hAnsi="Verdana" w:cs="Arial"/>
          <w:i/>
          <w:iCs/>
          <w:sz w:val="16"/>
          <w:szCs w:val="16"/>
          <w:shd w:val="clear" w:color="auto" w:fill="FFFFFF"/>
          <w:lang w:val="es-ES"/>
        </w:rPr>
        <w:t>.</w:t>
      </w:r>
    </w:p>
  </w:footnote>
  <w:footnote w:id="171">
    <w:p w14:paraId="584CB6E1" w14:textId="77777777" w:rsidR="007B594B" w:rsidRPr="007C693A" w:rsidRDefault="007B594B" w:rsidP="007B594B">
      <w:pPr>
        <w:spacing w:before="40" w:after="40"/>
        <w:jc w:val="both"/>
        <w:rPr>
          <w:rFonts w:ascii="Verdana" w:hAnsi="Verdana"/>
          <w:sz w:val="16"/>
          <w:szCs w:val="16"/>
          <w:lang w:val="es-ES"/>
        </w:rPr>
      </w:pPr>
      <w:r w:rsidRPr="00E03D2D">
        <w:rPr>
          <w:rStyle w:val="Refdenotaalpie"/>
        </w:rPr>
        <w:footnoteRef/>
      </w:r>
      <w:r w:rsidRPr="00E03D2D">
        <w:rPr>
          <w:rFonts w:ascii="Verdana" w:hAnsi="Verdana"/>
          <w:sz w:val="16"/>
          <w:szCs w:val="16"/>
          <w:lang w:val="es-ES"/>
        </w:rPr>
        <w:t xml:space="preserve"> </w:t>
      </w:r>
      <w:r w:rsidRPr="00E03D2D">
        <w:rPr>
          <w:rFonts w:ascii="Verdana" w:hAnsi="Verdana"/>
          <w:sz w:val="16"/>
          <w:szCs w:val="16"/>
          <w:lang w:val="es-ES"/>
        </w:rPr>
        <w:tab/>
      </w:r>
      <w:r w:rsidRPr="00E03D2D">
        <w:rPr>
          <w:rFonts w:ascii="Verdana" w:hAnsi="Verdana"/>
          <w:i/>
          <w:sz w:val="16"/>
          <w:szCs w:val="16"/>
          <w:lang w:val="es-ES"/>
        </w:rPr>
        <w:t>Cfr</w:t>
      </w:r>
      <w:r w:rsidRPr="00E03D2D">
        <w:rPr>
          <w:rFonts w:ascii="Verdana" w:hAnsi="Verdana"/>
          <w:sz w:val="16"/>
          <w:szCs w:val="16"/>
          <w:lang w:val="es-ES"/>
        </w:rPr>
        <w:t xml:space="preserve">. </w:t>
      </w:r>
      <w:r w:rsidRPr="00E03D2D">
        <w:rPr>
          <w:rFonts w:ascii="Verdana" w:hAnsi="Verdana" w:cs="Arial"/>
          <w:i/>
          <w:sz w:val="16"/>
          <w:szCs w:val="16"/>
          <w:shd w:val="clear" w:color="auto" w:fill="FFFFFF"/>
          <w:lang w:val="es-ES"/>
        </w:rPr>
        <w:t>Caso Garzón Guzmán y otros Vs. Ecuador</w:t>
      </w:r>
      <w:r w:rsidRPr="00E03D2D">
        <w:rPr>
          <w:rFonts w:ascii="Verdana" w:hAnsi="Verdana" w:cs="Arial"/>
          <w:sz w:val="16"/>
          <w:szCs w:val="16"/>
          <w:shd w:val="clear" w:color="auto" w:fill="FFFFFF"/>
          <w:lang w:val="es-ES"/>
        </w:rPr>
        <w:t xml:space="preserve">, </w:t>
      </w:r>
      <w:r w:rsidRPr="00E03D2D">
        <w:rPr>
          <w:rFonts w:ascii="Verdana" w:hAnsi="Verdana" w:cs="Arial"/>
          <w:i/>
          <w:sz w:val="16"/>
          <w:szCs w:val="16"/>
          <w:shd w:val="clear" w:color="auto" w:fill="FFFFFF"/>
          <w:lang w:val="es-ES"/>
        </w:rPr>
        <w:t>supra</w:t>
      </w:r>
      <w:r w:rsidRPr="00E03D2D">
        <w:rPr>
          <w:rFonts w:ascii="Verdana" w:hAnsi="Verdana" w:cs="Arial"/>
          <w:sz w:val="16"/>
          <w:szCs w:val="16"/>
          <w:shd w:val="clear" w:color="auto" w:fill="FFFFFF"/>
          <w:lang w:val="es-ES"/>
        </w:rPr>
        <w:t>,</w:t>
      </w:r>
      <w:r w:rsidRPr="007C693A">
        <w:rPr>
          <w:rFonts w:ascii="Verdana" w:hAnsi="Verdana" w:cs="Arial"/>
          <w:sz w:val="16"/>
          <w:szCs w:val="16"/>
          <w:shd w:val="clear" w:color="auto" w:fill="FFFFFF"/>
          <w:lang w:val="es-ES"/>
        </w:rPr>
        <w:t xml:space="preserve"> párr. 75</w:t>
      </w:r>
      <w:r>
        <w:rPr>
          <w:rFonts w:ascii="Verdana" w:hAnsi="Verdana" w:cs="Arial"/>
          <w:sz w:val="16"/>
          <w:szCs w:val="16"/>
          <w:shd w:val="clear" w:color="auto" w:fill="FFFFFF"/>
          <w:lang w:val="es-ES"/>
        </w:rPr>
        <w:t>, y</w:t>
      </w:r>
      <w:r w:rsidRPr="007C693A">
        <w:rPr>
          <w:rFonts w:ascii="Verdana" w:hAnsi="Verdana" w:cs="Arial"/>
          <w:sz w:val="16"/>
          <w:szCs w:val="16"/>
          <w:shd w:val="clear" w:color="auto" w:fill="FFFFFF"/>
          <w:lang w:val="es-ES"/>
        </w:rPr>
        <w:t xml:space="preserve"> </w:t>
      </w:r>
      <w:r w:rsidRPr="007C693A">
        <w:rPr>
          <w:rFonts w:ascii="Verdana" w:hAnsi="Verdana" w:cs="Arial"/>
          <w:i/>
          <w:iCs/>
          <w:sz w:val="16"/>
          <w:szCs w:val="16"/>
          <w:shd w:val="clear" w:color="auto" w:fill="FFFFFF"/>
          <w:lang w:val="es-ES"/>
        </w:rPr>
        <w:t>Caso Familia Julien Grisonas</w:t>
      </w:r>
      <w:r>
        <w:rPr>
          <w:rFonts w:ascii="Verdana" w:hAnsi="Verdana" w:cs="Arial"/>
          <w:i/>
          <w:iCs/>
          <w:sz w:val="16"/>
          <w:szCs w:val="16"/>
          <w:shd w:val="clear" w:color="auto" w:fill="FFFFFF"/>
          <w:lang w:val="es-ES"/>
        </w:rPr>
        <w:t xml:space="preserve"> Vs. Argentina, </w:t>
      </w:r>
      <w:r w:rsidRPr="00837C76">
        <w:rPr>
          <w:rFonts w:ascii="Verdana" w:hAnsi="Verdana" w:cs="Arial"/>
          <w:i/>
          <w:iCs/>
          <w:sz w:val="16"/>
          <w:szCs w:val="16"/>
          <w:shd w:val="clear" w:color="auto" w:fill="FFFFFF"/>
          <w:lang w:val="es-ES"/>
        </w:rPr>
        <w:t>supra</w:t>
      </w:r>
      <w:r w:rsidRPr="007C693A">
        <w:rPr>
          <w:rFonts w:ascii="Verdana" w:hAnsi="Verdana" w:cs="Arial"/>
          <w:i/>
          <w:iCs/>
          <w:sz w:val="16"/>
          <w:szCs w:val="16"/>
          <w:shd w:val="clear" w:color="auto" w:fill="FFFFFF"/>
          <w:lang w:val="es-ES"/>
        </w:rPr>
        <w:t xml:space="preserve">, </w:t>
      </w:r>
      <w:r w:rsidRPr="007C693A">
        <w:rPr>
          <w:rFonts w:ascii="Verdana" w:hAnsi="Verdana" w:cs="Arial"/>
          <w:sz w:val="16"/>
          <w:szCs w:val="16"/>
          <w:shd w:val="clear" w:color="auto" w:fill="FFFFFF"/>
          <w:lang w:val="es-ES"/>
        </w:rPr>
        <w:t>párr. 214.</w:t>
      </w:r>
    </w:p>
  </w:footnote>
  <w:footnote w:id="172">
    <w:p w14:paraId="1210B161" w14:textId="77777777" w:rsidR="007B594B" w:rsidRPr="007C693A" w:rsidRDefault="007B594B" w:rsidP="007B594B">
      <w:pPr>
        <w:spacing w:before="40" w:after="40"/>
        <w:jc w:val="both"/>
        <w:rPr>
          <w:rFonts w:ascii="Verdana" w:hAnsi="Verdana"/>
          <w:sz w:val="16"/>
          <w:szCs w:val="16"/>
          <w:lang w:val="es-CO"/>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 xml:space="preserve">Véase, </w:t>
      </w:r>
      <w:r w:rsidRPr="007C693A">
        <w:rPr>
          <w:rFonts w:ascii="Verdana" w:hAnsi="Verdana"/>
          <w:sz w:val="16"/>
          <w:szCs w:val="16"/>
          <w:lang w:val="es-CO"/>
        </w:rPr>
        <w:t xml:space="preserve">Comité contra la Desaparición Forzada, Principios Rectores para la Búsqueda de Personas Desaparecidas, </w:t>
      </w:r>
      <w:r w:rsidRPr="007C693A">
        <w:rPr>
          <w:rFonts w:ascii="Verdana" w:hAnsi="Verdana"/>
          <w:sz w:val="16"/>
          <w:szCs w:val="16"/>
          <w:lang w:val="es-ES"/>
        </w:rPr>
        <w:t xml:space="preserve">U.N. </w:t>
      </w:r>
      <w:r w:rsidRPr="007C693A">
        <w:rPr>
          <w:rFonts w:ascii="Verdana" w:hAnsi="Verdana"/>
          <w:sz w:val="16"/>
          <w:szCs w:val="16"/>
          <w:lang w:val="es-CO"/>
        </w:rPr>
        <w:t>Doc. CED/C/7, 8 de mayo de 2019, Principios 1, 4 a 8, 10, 12, 13, 15 y 16</w:t>
      </w:r>
      <w:r>
        <w:rPr>
          <w:rFonts w:ascii="Verdana" w:hAnsi="Verdana"/>
          <w:sz w:val="16"/>
          <w:szCs w:val="16"/>
          <w:lang w:val="es-CO"/>
        </w:rPr>
        <w:t xml:space="preserve">; y </w:t>
      </w:r>
      <w:r w:rsidRPr="007C693A">
        <w:rPr>
          <w:rFonts w:ascii="Verdana" w:hAnsi="Verdana" w:cs="Arial"/>
          <w:i/>
          <w:iCs/>
          <w:sz w:val="16"/>
          <w:szCs w:val="16"/>
          <w:shd w:val="clear" w:color="auto" w:fill="FFFFFF"/>
          <w:lang w:val="es-ES"/>
        </w:rPr>
        <w:t>Caso Familia Julien Grisonas</w:t>
      </w:r>
      <w:r>
        <w:rPr>
          <w:rFonts w:ascii="Verdana" w:hAnsi="Verdana" w:cs="Arial"/>
          <w:i/>
          <w:iCs/>
          <w:sz w:val="16"/>
          <w:szCs w:val="16"/>
          <w:shd w:val="clear" w:color="auto" w:fill="FFFFFF"/>
          <w:lang w:val="es-ES"/>
        </w:rPr>
        <w:t xml:space="preserve"> Vs. Argentina, </w:t>
      </w:r>
      <w:r w:rsidRPr="00837C76">
        <w:rPr>
          <w:rFonts w:ascii="Verdana" w:hAnsi="Verdana" w:cs="Arial"/>
          <w:i/>
          <w:iCs/>
          <w:sz w:val="16"/>
          <w:szCs w:val="16"/>
          <w:shd w:val="clear" w:color="auto" w:fill="FFFFFF"/>
          <w:lang w:val="es-ES"/>
        </w:rPr>
        <w:t>supra</w:t>
      </w:r>
      <w:r w:rsidRPr="007C693A">
        <w:rPr>
          <w:rFonts w:ascii="Verdana" w:hAnsi="Verdana" w:cs="Arial"/>
          <w:i/>
          <w:iCs/>
          <w:sz w:val="16"/>
          <w:szCs w:val="16"/>
          <w:shd w:val="clear" w:color="auto" w:fill="FFFFFF"/>
          <w:lang w:val="es-ES"/>
        </w:rPr>
        <w:t xml:space="preserve">, </w:t>
      </w:r>
      <w:r w:rsidRPr="007C693A">
        <w:rPr>
          <w:rFonts w:ascii="Verdana" w:hAnsi="Verdana" w:cs="Arial"/>
          <w:sz w:val="16"/>
          <w:szCs w:val="16"/>
          <w:shd w:val="clear" w:color="auto" w:fill="FFFFFF"/>
          <w:lang w:val="es-ES"/>
        </w:rPr>
        <w:t>párr. 214.</w:t>
      </w:r>
    </w:p>
  </w:footnote>
  <w:footnote w:id="173">
    <w:p w14:paraId="582A280B" w14:textId="2A90456A" w:rsidR="00AC124E" w:rsidRPr="007C693A" w:rsidRDefault="00AC124E" w:rsidP="00F6573C">
      <w:pPr>
        <w:jc w:val="both"/>
        <w:rPr>
          <w:rFonts w:ascii="Verdana" w:hAnsi="Verdana"/>
          <w:sz w:val="16"/>
          <w:szCs w:val="16"/>
          <w:lang w:val="es-CR"/>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t xml:space="preserve">Los artículos </w:t>
      </w:r>
      <w:r w:rsidRPr="007C693A">
        <w:rPr>
          <w:rFonts w:ascii="Verdana" w:hAnsi="Verdana"/>
          <w:sz w:val="16"/>
          <w:szCs w:val="16"/>
          <w:lang w:val="es-ES"/>
        </w:rPr>
        <w:t>1.1, 2</w:t>
      </w:r>
      <w:r w:rsidRPr="00DE3648">
        <w:rPr>
          <w:rFonts w:ascii="Verdana" w:hAnsi="Verdana"/>
          <w:sz w:val="16"/>
          <w:szCs w:val="16"/>
          <w:lang w:val="es-ES"/>
        </w:rPr>
        <w:t>, 8.1, 13</w:t>
      </w:r>
      <w:r w:rsidR="00C47E3D">
        <w:rPr>
          <w:rFonts w:ascii="Verdana" w:hAnsi="Verdana"/>
          <w:sz w:val="16"/>
          <w:szCs w:val="16"/>
          <w:lang w:val="es-ES"/>
        </w:rPr>
        <w:t xml:space="preserve">.1 y 13.2 </w:t>
      </w:r>
      <w:r w:rsidRPr="007C693A">
        <w:rPr>
          <w:rFonts w:ascii="Verdana" w:hAnsi="Verdana"/>
          <w:sz w:val="16"/>
          <w:szCs w:val="16"/>
          <w:lang w:val="es-ES"/>
        </w:rPr>
        <w:t>de la Convención Americana.</w:t>
      </w:r>
    </w:p>
  </w:footnote>
  <w:footnote w:id="174">
    <w:p w14:paraId="319EBF0F" w14:textId="77777777" w:rsidR="004A0914" w:rsidRPr="007C693A" w:rsidRDefault="004A0914" w:rsidP="004A0914">
      <w:pPr>
        <w:jc w:val="both"/>
        <w:rPr>
          <w:rFonts w:ascii="Verdana" w:eastAsia="MS Mincho" w:hAnsi="Verdana" w:cs="Verdana"/>
          <w:b/>
          <w:bCs/>
          <w:smallCaps/>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266BDB">
        <w:rPr>
          <w:rFonts w:ascii="Verdana" w:hAnsi="Verdana"/>
          <w:i/>
          <w:sz w:val="16"/>
          <w:szCs w:val="16"/>
          <w:lang w:val="es-ES"/>
        </w:rPr>
        <w:t>Cfr.</w:t>
      </w:r>
      <w:r w:rsidRPr="00266BDB">
        <w:rPr>
          <w:rFonts w:ascii="Verdana" w:hAnsi="Verdana"/>
          <w:sz w:val="16"/>
          <w:szCs w:val="16"/>
          <w:lang w:val="es-ES"/>
        </w:rPr>
        <w:t xml:space="preserve"> </w:t>
      </w:r>
      <w:r w:rsidRPr="00266BDB">
        <w:rPr>
          <w:rFonts w:ascii="Verdana" w:hAnsi="Verdana"/>
          <w:i/>
          <w:sz w:val="16"/>
          <w:szCs w:val="16"/>
          <w:lang w:val="es-ES"/>
        </w:rPr>
        <w:t>Caso Claude Reyes y otros</w:t>
      </w:r>
      <w:r w:rsidRPr="00266BDB">
        <w:rPr>
          <w:rFonts w:ascii="Verdana" w:hAnsi="Verdana"/>
          <w:bCs/>
          <w:sz w:val="16"/>
          <w:szCs w:val="16"/>
          <w:lang w:val="es-ES"/>
        </w:rPr>
        <w:t xml:space="preserve"> </w:t>
      </w:r>
      <w:r w:rsidRPr="00266BDB">
        <w:rPr>
          <w:rFonts w:ascii="Verdana" w:hAnsi="Verdana"/>
          <w:bCs/>
          <w:i/>
          <w:sz w:val="16"/>
          <w:szCs w:val="16"/>
          <w:lang w:val="es-ES"/>
        </w:rPr>
        <w:t xml:space="preserve">Vs. Chile. </w:t>
      </w:r>
      <w:r w:rsidRPr="00266BDB">
        <w:rPr>
          <w:rFonts w:ascii="Verdana" w:hAnsi="Verdana"/>
          <w:i/>
          <w:sz w:val="16"/>
          <w:szCs w:val="16"/>
          <w:lang w:val="es-ES"/>
        </w:rPr>
        <w:t>Fondo, Reparaciones y Costas</w:t>
      </w:r>
      <w:r w:rsidRPr="00266BDB">
        <w:rPr>
          <w:rFonts w:ascii="Verdana" w:hAnsi="Verdana"/>
          <w:sz w:val="16"/>
          <w:szCs w:val="16"/>
          <w:lang w:val="es-ES"/>
        </w:rPr>
        <w:t xml:space="preserve">. Sentencia de 19 de septiembre de 2006. </w:t>
      </w:r>
      <w:r w:rsidRPr="005E070D">
        <w:rPr>
          <w:rFonts w:ascii="Verdana" w:hAnsi="Verdana"/>
          <w:sz w:val="16"/>
          <w:szCs w:val="16"/>
          <w:lang w:val="es-CR"/>
        </w:rPr>
        <w:t>Serie C No. 151, párr. 77</w:t>
      </w:r>
      <w:r w:rsidRPr="00266BDB">
        <w:rPr>
          <w:rFonts w:ascii="Verdana" w:eastAsia="MS Mincho" w:hAnsi="Verdana"/>
          <w:sz w:val="16"/>
          <w:szCs w:val="16"/>
          <w:lang w:val="es-ES"/>
        </w:rPr>
        <w:t xml:space="preserve">, y </w:t>
      </w:r>
      <w:r w:rsidRPr="00266BDB">
        <w:rPr>
          <w:rFonts w:ascii="Verdana" w:eastAsia="MS Mincho" w:hAnsi="Verdana"/>
          <w:i/>
          <w:sz w:val="16"/>
          <w:szCs w:val="16"/>
          <w:lang w:val="es-ES"/>
        </w:rPr>
        <w:t>Caso Pueblos Kaliña y Lokono Vs. Surinam. Fondo, Reparaciones y Costas.</w:t>
      </w:r>
      <w:r w:rsidRPr="00266BDB">
        <w:rPr>
          <w:rFonts w:ascii="Verdana" w:eastAsia="MS Mincho" w:hAnsi="Verdana"/>
          <w:sz w:val="16"/>
          <w:szCs w:val="16"/>
          <w:lang w:val="es-ES"/>
        </w:rPr>
        <w:t xml:space="preserve"> Sentencia de 25 de noviembre de 2015. Serie C No. 309, párr. 261.</w:t>
      </w:r>
    </w:p>
  </w:footnote>
  <w:footnote w:id="175">
    <w:p w14:paraId="6BBA5368" w14:textId="6DB2A65D" w:rsidR="00BD6D64" w:rsidRPr="00BD6D64" w:rsidRDefault="004A0914" w:rsidP="004A0914">
      <w:pPr>
        <w:jc w:val="both"/>
        <w:rPr>
          <w:rFonts w:ascii="Verdana" w:eastAsia="MS Mincho" w:hAnsi="Verdana"/>
          <w:i/>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 xml:space="preserve">Caso </w:t>
      </w:r>
      <w:r w:rsidRPr="00C757BE">
        <w:rPr>
          <w:rFonts w:ascii="Verdana" w:hAnsi="Verdana"/>
          <w:i/>
          <w:sz w:val="16"/>
          <w:szCs w:val="16"/>
          <w:lang w:val="es-ES"/>
        </w:rPr>
        <w:t>Claude Reyes y otros</w:t>
      </w:r>
      <w:r w:rsidRPr="00C757BE">
        <w:rPr>
          <w:rFonts w:ascii="Verdana" w:hAnsi="Verdana"/>
          <w:bCs/>
          <w:sz w:val="16"/>
          <w:szCs w:val="16"/>
          <w:lang w:val="es-ES"/>
        </w:rPr>
        <w:t xml:space="preserve"> </w:t>
      </w:r>
      <w:r w:rsidRPr="00C757BE">
        <w:rPr>
          <w:rFonts w:ascii="Verdana" w:hAnsi="Verdana"/>
          <w:bCs/>
          <w:i/>
          <w:sz w:val="16"/>
          <w:szCs w:val="16"/>
          <w:lang w:val="es-ES"/>
        </w:rPr>
        <w:t xml:space="preserve">Vs. </w:t>
      </w:r>
      <w:r w:rsidRPr="005E070D">
        <w:rPr>
          <w:rFonts w:ascii="Verdana" w:hAnsi="Verdana"/>
          <w:bCs/>
          <w:i/>
          <w:sz w:val="16"/>
          <w:szCs w:val="16"/>
          <w:lang w:val="pt-BR"/>
        </w:rPr>
        <w:t>Chile</w:t>
      </w:r>
      <w:r w:rsidR="008318BC" w:rsidRPr="005E070D">
        <w:rPr>
          <w:rFonts w:ascii="Verdana" w:hAnsi="Verdana"/>
          <w:bCs/>
          <w:i/>
          <w:sz w:val="16"/>
          <w:szCs w:val="16"/>
          <w:lang w:val="pt-BR"/>
        </w:rPr>
        <w:t>, supra</w:t>
      </w:r>
      <w:r w:rsidRPr="005E070D">
        <w:rPr>
          <w:rFonts w:ascii="Verdana" w:hAnsi="Verdana"/>
          <w:sz w:val="16"/>
          <w:szCs w:val="16"/>
          <w:lang w:val="pt-BR"/>
        </w:rPr>
        <w:t>, párr. 77</w:t>
      </w:r>
      <w:r w:rsidR="00BD6D64" w:rsidRPr="005E070D">
        <w:rPr>
          <w:rFonts w:ascii="Verdana" w:hAnsi="Verdana"/>
          <w:sz w:val="16"/>
          <w:szCs w:val="16"/>
          <w:lang w:val="pt-BR"/>
        </w:rPr>
        <w:t xml:space="preserve">, y </w:t>
      </w:r>
      <w:r w:rsidRPr="005E070D">
        <w:rPr>
          <w:rFonts w:ascii="Verdana" w:hAnsi="Verdana"/>
          <w:i/>
          <w:sz w:val="16"/>
          <w:szCs w:val="16"/>
          <w:lang w:val="pt-BR"/>
        </w:rPr>
        <w:t>Caso Gomes Lund y otros (“Guerrilha do Araguaia”) Vs.</w:t>
      </w:r>
      <w:r w:rsidRPr="005E070D">
        <w:rPr>
          <w:rFonts w:ascii="Verdana" w:hAnsi="Verdana"/>
          <w:sz w:val="16"/>
          <w:szCs w:val="16"/>
          <w:lang w:val="pt-BR"/>
        </w:rPr>
        <w:t xml:space="preserve"> Brasil.</w:t>
      </w:r>
      <w:r w:rsidRPr="005E070D">
        <w:rPr>
          <w:rFonts w:ascii="Verdana" w:eastAsia="MS Mincho" w:hAnsi="Verdana" w:cs="Verdana"/>
          <w:smallCaps/>
          <w:sz w:val="16"/>
          <w:szCs w:val="16"/>
          <w:lang w:val="pt-BR"/>
        </w:rPr>
        <w:t xml:space="preserve"> </w:t>
      </w:r>
      <w:r w:rsidRPr="00E16BF6">
        <w:rPr>
          <w:rFonts w:ascii="Verdana" w:hAnsi="Verdana" w:cs="Verdana"/>
          <w:i/>
          <w:sz w:val="16"/>
          <w:szCs w:val="16"/>
          <w:lang w:val="es-ES"/>
        </w:rPr>
        <w:t>Excepciones Preliminares, Fondo, Reparaciones y Costas.</w:t>
      </w:r>
      <w:r w:rsidRPr="00E16BF6">
        <w:rPr>
          <w:rFonts w:ascii="Verdana" w:hAnsi="Verdana" w:cs="Verdana"/>
          <w:b/>
          <w:bCs/>
          <w:i/>
          <w:sz w:val="16"/>
          <w:szCs w:val="16"/>
          <w:lang w:val="es-ES"/>
        </w:rPr>
        <w:t xml:space="preserve"> </w:t>
      </w:r>
      <w:r w:rsidRPr="00E16BF6">
        <w:rPr>
          <w:rFonts w:ascii="Verdana" w:eastAsia="MS Mincho" w:hAnsi="Verdana" w:cs="Verdana"/>
          <w:b/>
          <w:bCs/>
          <w:smallCaps/>
          <w:sz w:val="16"/>
          <w:szCs w:val="16"/>
          <w:lang w:val="es-ES"/>
        </w:rPr>
        <w:t xml:space="preserve"> </w:t>
      </w:r>
      <w:r w:rsidRPr="00E16BF6">
        <w:rPr>
          <w:rFonts w:ascii="Verdana" w:eastAsia="MS Mincho" w:hAnsi="Verdana"/>
          <w:sz w:val="16"/>
          <w:szCs w:val="16"/>
          <w:lang w:val="es-ES"/>
        </w:rPr>
        <w:t>Sentencia de 24 de noviembre de 2010. Serie C No. 219, párr. 197</w:t>
      </w:r>
      <w:r w:rsidR="00BD6D64" w:rsidRPr="00E16BF6">
        <w:rPr>
          <w:rFonts w:ascii="Verdana" w:eastAsia="MS Mincho" w:hAnsi="Verdana"/>
          <w:sz w:val="16"/>
          <w:szCs w:val="16"/>
          <w:lang w:val="es-ES"/>
        </w:rPr>
        <w:t>.</w:t>
      </w:r>
      <w:r w:rsidR="00DE3648" w:rsidRPr="00E16BF6">
        <w:rPr>
          <w:rFonts w:ascii="Verdana" w:eastAsia="MS Mincho" w:hAnsi="Verdana"/>
          <w:sz w:val="16"/>
          <w:szCs w:val="16"/>
          <w:lang w:val="es-ES"/>
        </w:rPr>
        <w:t xml:space="preserve"> Ver también </w:t>
      </w:r>
      <w:r w:rsidR="000D4A61" w:rsidRPr="00E16BF6">
        <w:rPr>
          <w:rFonts w:ascii="Verdana" w:eastAsia="MS Mincho" w:hAnsi="Verdana"/>
          <w:i/>
          <w:sz w:val="16"/>
          <w:szCs w:val="16"/>
          <w:lang w:val="es-ES"/>
        </w:rPr>
        <w:t>Caso Pueblos Kaliña y Lokono Vs. Surinam</w:t>
      </w:r>
      <w:r w:rsidR="000D4A61" w:rsidRPr="00E16BF6">
        <w:rPr>
          <w:rFonts w:ascii="Verdana" w:eastAsia="MS Mincho" w:hAnsi="Verdana"/>
          <w:sz w:val="16"/>
          <w:szCs w:val="16"/>
          <w:lang w:val="es-ES"/>
        </w:rPr>
        <w:t xml:space="preserve">, </w:t>
      </w:r>
      <w:r w:rsidR="000D4A61" w:rsidRPr="00E16BF6">
        <w:rPr>
          <w:rFonts w:ascii="Verdana" w:eastAsia="MS Mincho" w:hAnsi="Verdana"/>
          <w:i/>
          <w:iCs/>
          <w:sz w:val="16"/>
          <w:szCs w:val="16"/>
          <w:lang w:val="es-ES"/>
        </w:rPr>
        <w:t>supra</w:t>
      </w:r>
      <w:r w:rsidR="000D4A61" w:rsidRPr="00E16BF6">
        <w:rPr>
          <w:rFonts w:ascii="Verdana" w:eastAsia="MS Mincho" w:hAnsi="Verdana"/>
          <w:sz w:val="16"/>
          <w:szCs w:val="16"/>
          <w:lang w:val="es-ES"/>
        </w:rPr>
        <w:t xml:space="preserve">, párr. </w:t>
      </w:r>
      <w:r w:rsidR="00E16BF6" w:rsidRPr="00E16BF6">
        <w:rPr>
          <w:rFonts w:ascii="Verdana" w:eastAsia="MS Mincho" w:hAnsi="Verdana"/>
          <w:sz w:val="16"/>
          <w:szCs w:val="16"/>
          <w:lang w:val="es-ES"/>
        </w:rPr>
        <w:t>265</w:t>
      </w:r>
      <w:r w:rsidR="000D4A61" w:rsidRPr="00E16BF6">
        <w:rPr>
          <w:rFonts w:ascii="Verdana" w:eastAsia="MS Mincho" w:hAnsi="Verdana"/>
          <w:sz w:val="16"/>
          <w:szCs w:val="16"/>
          <w:lang w:val="es-ES"/>
        </w:rPr>
        <w:t>.</w:t>
      </w:r>
    </w:p>
  </w:footnote>
  <w:footnote w:id="176">
    <w:p w14:paraId="575E2FA4" w14:textId="7B288182" w:rsidR="004A0914" w:rsidRPr="007C693A" w:rsidRDefault="004A0914" w:rsidP="004A0914">
      <w:pPr>
        <w:jc w:val="both"/>
        <w:rPr>
          <w:rFonts w:ascii="Verdana" w:eastAsia="MS Mincho" w:hAnsi="Verdana" w:cs="Verdana"/>
          <w:b/>
          <w:bCs/>
          <w:smallCaps/>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 Caso “La Última Tentación de Cristo” (Olmedo Bustos y otros) Vs. Chile</w:t>
      </w:r>
      <w:r w:rsidR="008318BC">
        <w:rPr>
          <w:rFonts w:ascii="Verdana" w:hAnsi="Verdana"/>
          <w:sz w:val="16"/>
          <w:szCs w:val="16"/>
          <w:lang w:val="es-ES"/>
        </w:rPr>
        <w:t xml:space="preserve">, </w:t>
      </w:r>
      <w:r w:rsidR="008318BC" w:rsidRPr="008318BC">
        <w:rPr>
          <w:rFonts w:ascii="Verdana" w:hAnsi="Verdana"/>
          <w:i/>
          <w:iCs/>
          <w:sz w:val="16"/>
          <w:szCs w:val="16"/>
          <w:lang w:val="es-ES"/>
        </w:rPr>
        <w:t>supra</w:t>
      </w:r>
      <w:r w:rsidRPr="007C693A">
        <w:rPr>
          <w:rFonts w:ascii="Verdana" w:hAnsi="Verdana"/>
          <w:sz w:val="16"/>
          <w:szCs w:val="16"/>
          <w:lang w:val="es-ES"/>
        </w:rPr>
        <w:t xml:space="preserve">, párr. </w:t>
      </w:r>
      <w:r w:rsidRPr="005E070D">
        <w:rPr>
          <w:rFonts w:ascii="Verdana" w:hAnsi="Verdana"/>
          <w:sz w:val="16"/>
          <w:szCs w:val="16"/>
          <w:lang w:val="es-CR"/>
        </w:rPr>
        <w:t>67</w:t>
      </w:r>
      <w:r>
        <w:rPr>
          <w:rFonts w:ascii="Verdana" w:hAnsi="Verdana"/>
          <w:sz w:val="16"/>
          <w:szCs w:val="16"/>
          <w:lang w:val="es-ES"/>
        </w:rPr>
        <w:t xml:space="preserve">, y </w:t>
      </w:r>
      <w:r w:rsidRPr="004E6072">
        <w:rPr>
          <w:rFonts w:ascii="Verdana" w:hAnsi="Verdana"/>
          <w:i/>
          <w:sz w:val="16"/>
          <w:szCs w:val="16"/>
          <w:lang w:val="es-ES"/>
        </w:rPr>
        <w:t>Caso Moya Chacón y otro Vs. Costa Rica. Excepciones Preliminares, Fondo, Reparaciones y Costas.</w:t>
      </w:r>
      <w:r>
        <w:rPr>
          <w:rFonts w:ascii="Verdana" w:hAnsi="Verdana"/>
          <w:sz w:val="16"/>
          <w:szCs w:val="16"/>
          <w:lang w:val="es-ES"/>
        </w:rPr>
        <w:t xml:space="preserve"> Sentencia de 23 de mayo de 2022. Serie C No. 451, párr. 62. </w:t>
      </w:r>
    </w:p>
  </w:footnote>
  <w:footnote w:id="177">
    <w:p w14:paraId="53567CD2" w14:textId="0A7473CC" w:rsidR="004A0914" w:rsidRPr="007C693A" w:rsidRDefault="004A0914" w:rsidP="004A0914">
      <w:pPr>
        <w:tabs>
          <w:tab w:val="left" w:pos="720"/>
        </w:tabs>
        <w:ind w:right="11"/>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Claude Reyes y otros</w:t>
      </w:r>
      <w:r>
        <w:rPr>
          <w:rFonts w:ascii="Verdana" w:hAnsi="Verdana"/>
          <w:sz w:val="16"/>
          <w:szCs w:val="16"/>
          <w:lang w:val="es-ES"/>
        </w:rPr>
        <w:t xml:space="preserve"> </w:t>
      </w:r>
      <w:r w:rsidRPr="004E6072">
        <w:rPr>
          <w:rFonts w:ascii="Verdana" w:hAnsi="Verdana"/>
          <w:i/>
          <w:sz w:val="16"/>
          <w:szCs w:val="16"/>
          <w:lang w:val="es-ES"/>
        </w:rPr>
        <w:t xml:space="preserve">Vs. </w:t>
      </w:r>
      <w:r w:rsidRPr="005E070D">
        <w:rPr>
          <w:rFonts w:ascii="Verdana" w:hAnsi="Verdana"/>
          <w:i/>
          <w:sz w:val="16"/>
          <w:szCs w:val="16"/>
          <w:lang w:val="pt-BR"/>
        </w:rPr>
        <w:t>Chile</w:t>
      </w:r>
      <w:r w:rsidR="008318BC" w:rsidRPr="005E070D">
        <w:rPr>
          <w:rFonts w:ascii="Verdana" w:hAnsi="Verdana"/>
          <w:i/>
          <w:sz w:val="16"/>
          <w:szCs w:val="16"/>
          <w:lang w:val="pt-BR"/>
        </w:rPr>
        <w:t>, supra</w:t>
      </w:r>
      <w:r w:rsidRPr="005E070D">
        <w:rPr>
          <w:rFonts w:ascii="Verdana" w:hAnsi="Verdana"/>
          <w:sz w:val="16"/>
          <w:szCs w:val="16"/>
          <w:lang w:val="pt-BR"/>
        </w:rPr>
        <w:t>, párr. 78</w:t>
      </w:r>
      <w:r w:rsidR="0069098E">
        <w:rPr>
          <w:rFonts w:ascii="Verdana" w:hAnsi="Verdana"/>
          <w:sz w:val="16"/>
          <w:szCs w:val="16"/>
          <w:lang w:val="pt-BR"/>
        </w:rPr>
        <w:t>,</w:t>
      </w:r>
      <w:r w:rsidRPr="007C693A">
        <w:rPr>
          <w:rFonts w:ascii="Verdana" w:hAnsi="Verdana"/>
          <w:sz w:val="16"/>
          <w:szCs w:val="16"/>
          <w:lang w:val="pt-BR"/>
        </w:rPr>
        <w:t xml:space="preserve"> y</w:t>
      </w:r>
      <w:r w:rsidRPr="007C693A">
        <w:rPr>
          <w:rFonts w:ascii="Verdana" w:hAnsi="Verdana"/>
          <w:i/>
          <w:sz w:val="16"/>
          <w:szCs w:val="16"/>
          <w:lang w:val="pt-BR"/>
        </w:rPr>
        <w:t xml:space="preserve"> Caso Gomes Lund y otros (“Guerrilha </w:t>
      </w:r>
      <w:r>
        <w:rPr>
          <w:rFonts w:ascii="Verdana" w:hAnsi="Verdana"/>
          <w:i/>
          <w:sz w:val="16"/>
          <w:szCs w:val="16"/>
          <w:lang w:val="pt-BR"/>
        </w:rPr>
        <w:t>d</w:t>
      </w:r>
      <w:r w:rsidRPr="007C693A">
        <w:rPr>
          <w:rFonts w:ascii="Verdana" w:hAnsi="Verdana"/>
          <w:i/>
          <w:sz w:val="16"/>
          <w:szCs w:val="16"/>
          <w:lang w:val="pt-BR"/>
        </w:rPr>
        <w:t xml:space="preserve">o Araguaia”) Vs. </w:t>
      </w:r>
      <w:r w:rsidRPr="005E070D">
        <w:rPr>
          <w:rFonts w:ascii="Verdana" w:hAnsi="Verdana"/>
          <w:i/>
          <w:sz w:val="16"/>
          <w:szCs w:val="16"/>
          <w:lang w:val="pt-BR"/>
        </w:rPr>
        <w:t>Brasil</w:t>
      </w:r>
      <w:r w:rsidR="008318BC" w:rsidRPr="005E070D">
        <w:rPr>
          <w:rFonts w:ascii="Verdana" w:hAnsi="Verdana"/>
          <w:sz w:val="16"/>
          <w:szCs w:val="16"/>
          <w:lang w:val="pt-BR"/>
        </w:rPr>
        <w:t xml:space="preserve">, </w:t>
      </w:r>
      <w:r w:rsidR="008318BC" w:rsidRPr="005E070D">
        <w:rPr>
          <w:rFonts w:ascii="Verdana" w:hAnsi="Verdana"/>
          <w:i/>
          <w:iCs/>
          <w:sz w:val="16"/>
          <w:szCs w:val="16"/>
          <w:lang w:val="pt-BR"/>
        </w:rPr>
        <w:t>supra</w:t>
      </w:r>
      <w:r w:rsidRPr="005E070D">
        <w:rPr>
          <w:rFonts w:ascii="Verdana" w:eastAsia="MS Mincho" w:hAnsi="Verdana"/>
          <w:sz w:val="16"/>
          <w:szCs w:val="16"/>
          <w:lang w:val="pt-BR"/>
        </w:rPr>
        <w:t xml:space="preserve">, párr. </w:t>
      </w:r>
      <w:r w:rsidRPr="007C693A">
        <w:rPr>
          <w:rFonts w:ascii="Verdana" w:eastAsia="MS Mincho" w:hAnsi="Verdana"/>
          <w:sz w:val="16"/>
          <w:szCs w:val="16"/>
          <w:lang w:val="es-ES"/>
        </w:rPr>
        <w:t>198.</w:t>
      </w:r>
    </w:p>
  </w:footnote>
  <w:footnote w:id="178">
    <w:p w14:paraId="37FF60C0" w14:textId="0625E599" w:rsidR="004A0914" w:rsidRPr="0003689D" w:rsidRDefault="004A0914" w:rsidP="004A0914">
      <w:pPr>
        <w:tabs>
          <w:tab w:val="left" w:pos="720"/>
        </w:tabs>
        <w:ind w:right="11"/>
        <w:jc w:val="both"/>
        <w:rPr>
          <w:rFonts w:ascii="Verdana" w:hAnsi="Verdana"/>
          <w:sz w:val="12"/>
          <w:szCs w:val="12"/>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266BDB">
        <w:rPr>
          <w:rFonts w:ascii="Verdana" w:hAnsi="Verdana"/>
          <w:i/>
          <w:iCs/>
          <w:sz w:val="16"/>
          <w:szCs w:val="16"/>
          <w:lang w:val="es-ES"/>
        </w:rPr>
        <w:t>Cfr</w:t>
      </w:r>
      <w:r w:rsidRPr="00266BDB">
        <w:rPr>
          <w:rFonts w:ascii="Verdana" w:hAnsi="Verdana"/>
          <w:sz w:val="16"/>
          <w:szCs w:val="16"/>
          <w:lang w:val="es-ES"/>
        </w:rPr>
        <w:t>. Asamblea General de la OEA, AG/RES. 2514 (XXXIX-O/09) de 4 de junio de 2009 sobre “Acceso a la Información Pública: Fortalecimiento de la Democracia”, Punto Resolutivo Segundo</w:t>
      </w:r>
      <w:r w:rsidRPr="00266BDB">
        <w:rPr>
          <w:rFonts w:ascii="Verdana" w:hAnsi="Verdana"/>
          <w:b/>
          <w:bCs/>
          <w:sz w:val="16"/>
          <w:szCs w:val="16"/>
          <w:lang w:val="es-ES"/>
        </w:rPr>
        <w:t xml:space="preserve">. </w:t>
      </w:r>
      <w:r w:rsidRPr="00C11CD1">
        <w:rPr>
          <w:rFonts w:ascii="Verdana" w:hAnsi="Verdana"/>
          <w:sz w:val="16"/>
          <w:szCs w:val="16"/>
          <w:lang w:val="es-ES"/>
        </w:rPr>
        <w:t>Por otro lado,</w:t>
      </w:r>
      <w:r w:rsidRPr="00266BDB">
        <w:rPr>
          <w:rFonts w:ascii="Verdana" w:hAnsi="Verdana"/>
          <w:b/>
          <w:bCs/>
          <w:sz w:val="16"/>
          <w:szCs w:val="16"/>
          <w:lang w:val="es-ES"/>
        </w:rPr>
        <w:t xml:space="preserve"> </w:t>
      </w:r>
      <w:r w:rsidRPr="00C11CD1">
        <w:rPr>
          <w:rFonts w:ascii="Verdana" w:hAnsi="Verdana"/>
          <w:sz w:val="16"/>
          <w:szCs w:val="16"/>
          <w:lang w:val="es-ES"/>
        </w:rPr>
        <w:t>la</w:t>
      </w:r>
      <w:r w:rsidRPr="00266BDB">
        <w:rPr>
          <w:rFonts w:ascii="Verdana" w:hAnsi="Verdana"/>
          <w:sz w:val="16"/>
          <w:szCs w:val="16"/>
          <w:lang w:val="es-ES"/>
        </w:rPr>
        <w:t xml:space="preserve"> Ley Modelo Interamericana 2.0 sobre Acceso a la Información Pública de la OEA establece entre sus estándares que toda persona que solicite información a cualquier autoridad pública tendrá derecho a: a) ser informada sobre si los documentos que contienen la información solicitada, o de los que se pueda derivar dicha información, obran o no en poder de la autoridad pública; b) si dichos documentos obran en poder de la autoridad pública que recibió la solicitud, a que se le comunique dicha información en forma expedita; c) si dichos documentos no se le entregan al solicitante, a apelar la no entrega de la información; d) a realizar solicitudes de información en forma anónima; e) a solicitar información sin tener que justificar las razones por las cuales se solicita; f) a no ser sujeto de cualquier discriminación </w:t>
      </w:r>
      <w:r w:rsidRPr="00C11CD1">
        <w:rPr>
          <w:rFonts w:ascii="Verdana" w:hAnsi="Verdana"/>
          <w:sz w:val="16"/>
          <w:szCs w:val="16"/>
          <w:lang w:val="es-ES"/>
        </w:rPr>
        <w:t>que pueda basarse</w:t>
      </w:r>
      <w:r>
        <w:rPr>
          <w:rFonts w:ascii="Verdana" w:hAnsi="Verdana"/>
          <w:sz w:val="16"/>
          <w:szCs w:val="16"/>
          <w:lang w:val="es-ES"/>
        </w:rPr>
        <w:t xml:space="preserve"> </w:t>
      </w:r>
      <w:r w:rsidRPr="00266BDB">
        <w:rPr>
          <w:rFonts w:ascii="Verdana" w:hAnsi="Verdana"/>
          <w:sz w:val="16"/>
          <w:szCs w:val="16"/>
          <w:lang w:val="es-ES"/>
        </w:rPr>
        <w:t>en la naturaleza de la solicitud</w:t>
      </w:r>
      <w:r w:rsidR="009832BB">
        <w:rPr>
          <w:rFonts w:ascii="Verdana" w:hAnsi="Verdana"/>
          <w:sz w:val="16"/>
          <w:szCs w:val="16"/>
          <w:lang w:val="es-ES"/>
        </w:rPr>
        <w:t>,</w:t>
      </w:r>
      <w:r w:rsidRPr="00266BDB">
        <w:rPr>
          <w:rFonts w:ascii="Verdana" w:hAnsi="Verdana"/>
          <w:sz w:val="16"/>
          <w:szCs w:val="16"/>
          <w:lang w:val="es-ES"/>
        </w:rPr>
        <w:t xml:space="preserve"> y g) a obtener la información en forma gratuita o con un costo que no exceda el generado por la reproducción de los documentos. Dicha ley debe ser aplicable a toda autoridad pública perteneciente a cualquiera de las ramas del gobierno (poderes ejecutivo, legislativo y judicial) y a todos los niveles de la estructura gubernamental (central o federal, regional, provincial o municipal). Asimismo, la Ley Modelo </w:t>
      </w:r>
      <w:r w:rsidR="009832BB">
        <w:rPr>
          <w:rFonts w:ascii="Verdana" w:hAnsi="Verdana"/>
          <w:sz w:val="16"/>
          <w:szCs w:val="16"/>
          <w:lang w:val="es-ES"/>
        </w:rPr>
        <w:t xml:space="preserve">Interamericana </w:t>
      </w:r>
      <w:r w:rsidRPr="00266BDB">
        <w:rPr>
          <w:rFonts w:ascii="Verdana" w:hAnsi="Verdana"/>
          <w:sz w:val="16"/>
          <w:szCs w:val="16"/>
          <w:lang w:val="es-ES"/>
        </w:rPr>
        <w:t xml:space="preserve">establece que ninguna autoridad pública debe estar exenta de los mencionados requerimientos, incluyendo a los poderes legislativo y judicial, instituciones supervisoras, servicios de inteligencia, fuerzas armadas, policía, otros cuerpos de seguridad, los jefes de Estado y de gobierno y las dependencias que lo integran. </w:t>
      </w:r>
      <w:r w:rsidRPr="00266BDB">
        <w:rPr>
          <w:rFonts w:ascii="Verdana" w:hAnsi="Verdana"/>
          <w:i/>
          <w:iCs/>
          <w:sz w:val="16"/>
          <w:szCs w:val="16"/>
          <w:lang w:val="es-ES"/>
        </w:rPr>
        <w:t>Cfr</w:t>
      </w:r>
      <w:r w:rsidRPr="00266BDB">
        <w:rPr>
          <w:rFonts w:ascii="Verdana" w:hAnsi="Verdana"/>
          <w:sz w:val="16"/>
          <w:szCs w:val="16"/>
          <w:lang w:val="es-ES"/>
        </w:rPr>
        <w:t>. Ley Modelo Interamericana 2.0 sobre Acceso a la Información Pública, de la Organización de Estados Americanos</w:t>
      </w:r>
      <w:r>
        <w:rPr>
          <w:rFonts w:ascii="Verdana" w:hAnsi="Verdana"/>
          <w:sz w:val="16"/>
          <w:szCs w:val="16"/>
          <w:lang w:val="es-ES"/>
        </w:rPr>
        <w:t>.</w:t>
      </w:r>
      <w:r w:rsidRPr="00266BDB">
        <w:rPr>
          <w:rFonts w:ascii="Verdana" w:hAnsi="Verdana"/>
          <w:sz w:val="16"/>
          <w:szCs w:val="16"/>
          <w:lang w:val="es-ES"/>
        </w:rPr>
        <w:t xml:space="preserve"> </w:t>
      </w:r>
      <w:r w:rsidRPr="00C11CD1">
        <w:rPr>
          <w:rFonts w:ascii="Verdana" w:hAnsi="Verdana"/>
          <w:sz w:val="16"/>
          <w:szCs w:val="16"/>
          <w:lang w:val="es-ES"/>
        </w:rPr>
        <w:t xml:space="preserve">Documento </w:t>
      </w:r>
      <w:r w:rsidRPr="00266BDB">
        <w:rPr>
          <w:rFonts w:ascii="Verdana" w:hAnsi="Verdana"/>
          <w:sz w:val="16"/>
          <w:szCs w:val="16"/>
          <w:lang w:val="es-ES"/>
        </w:rPr>
        <w:t>OEA/Ser.D/XIX.12.2020, artículo</w:t>
      </w:r>
      <w:r w:rsidRPr="00266BDB">
        <w:rPr>
          <w:rFonts w:ascii="Verdana" w:hAnsi="Verdana"/>
          <w:b/>
          <w:bCs/>
          <w:sz w:val="16"/>
          <w:szCs w:val="16"/>
          <w:lang w:val="es-ES"/>
        </w:rPr>
        <w:t xml:space="preserve">s </w:t>
      </w:r>
      <w:r w:rsidRPr="00C11CD1">
        <w:rPr>
          <w:rFonts w:ascii="Verdana" w:hAnsi="Verdana"/>
          <w:sz w:val="16"/>
          <w:szCs w:val="16"/>
          <w:lang w:val="es-ES"/>
        </w:rPr>
        <w:t>2 y</w:t>
      </w:r>
      <w:r w:rsidRPr="00266BDB">
        <w:rPr>
          <w:rFonts w:ascii="Verdana" w:hAnsi="Verdana"/>
          <w:sz w:val="16"/>
          <w:szCs w:val="16"/>
          <w:lang w:val="es-ES"/>
        </w:rPr>
        <w:t xml:space="preserve"> 3. Disponible en: </w:t>
      </w:r>
      <w:hyperlink r:id="rId1" w:history="1">
        <w:r w:rsidR="0097214A" w:rsidRPr="005F43AA">
          <w:rPr>
            <w:rStyle w:val="Hipervnculo"/>
            <w:rFonts w:ascii="Verdana" w:hAnsi="Verdana"/>
            <w:sz w:val="16"/>
            <w:szCs w:val="16"/>
            <w:lang w:val="es-ES"/>
          </w:rPr>
          <w:t>https://www.oas.org/es/sla/ddi/docs/publicacion_Ley_Modelo_Interamericana_2_0_sobre_Acceso_Informacion_Publica.pdf</w:t>
        </w:r>
      </w:hyperlink>
      <w:r w:rsidR="0097214A">
        <w:rPr>
          <w:rFonts w:ascii="Verdana" w:hAnsi="Verdana"/>
          <w:sz w:val="16"/>
          <w:szCs w:val="16"/>
          <w:lang w:val="es-ES"/>
        </w:rPr>
        <w:t xml:space="preserve"> </w:t>
      </w:r>
    </w:p>
  </w:footnote>
  <w:footnote w:id="179">
    <w:p w14:paraId="5B2F8522" w14:textId="77777777" w:rsidR="004A0914" w:rsidRPr="007C693A" w:rsidRDefault="004A0914" w:rsidP="004A0914">
      <w:pPr>
        <w:jc w:val="both"/>
        <w:rPr>
          <w:rFonts w:ascii="Verdana" w:hAnsi="Verdana"/>
          <w:sz w:val="16"/>
          <w:szCs w:val="16"/>
          <w:lang w:val="es-ES"/>
        </w:rPr>
      </w:pPr>
      <w:r w:rsidRPr="00266BDB">
        <w:rPr>
          <w:rStyle w:val="Refdenotaalpie"/>
        </w:rPr>
        <w:footnoteRef/>
      </w:r>
      <w:r w:rsidRPr="00266BDB">
        <w:rPr>
          <w:rFonts w:ascii="Verdana" w:hAnsi="Verdana"/>
          <w:sz w:val="16"/>
          <w:szCs w:val="16"/>
          <w:lang w:val="es-ES"/>
        </w:rPr>
        <w:t xml:space="preserve"> </w:t>
      </w:r>
      <w:r w:rsidRPr="00266BDB">
        <w:rPr>
          <w:rFonts w:ascii="Verdana" w:hAnsi="Verdana"/>
          <w:sz w:val="16"/>
          <w:szCs w:val="16"/>
          <w:lang w:val="es-ES"/>
        </w:rPr>
        <w:tab/>
      </w:r>
      <w:r w:rsidRPr="00266BDB">
        <w:rPr>
          <w:rFonts w:ascii="Verdana" w:hAnsi="Verdana"/>
          <w:i/>
          <w:sz w:val="16"/>
          <w:szCs w:val="16"/>
          <w:lang w:val="es-ES"/>
        </w:rPr>
        <w:t>Cfr.</w:t>
      </w:r>
      <w:r w:rsidRPr="00266BDB">
        <w:rPr>
          <w:rFonts w:ascii="Verdana" w:hAnsi="Verdana"/>
          <w:sz w:val="16"/>
          <w:szCs w:val="16"/>
          <w:lang w:val="es-ES"/>
        </w:rPr>
        <w:t xml:space="preserve"> Asamblea General de la OEA, Resoluciones AG/RES. 1932 (XXXIII-O/03) de 10 de junio de 2003; AG/RES. 2057 (XXXIV-O/04) de 8 de junio de 2004; AG/RES. 2121 (XXXV-O/05) de 7 de junio de 2005; AG/RES. 2252 (XXXVI-O/06) de 6 de junio de 2006, AG/RES; 2288 (XXXVII-O/07) de 5 de junio de 2007; AG/RES. 2418 (XXXVIII-O/08) de 3 de junio de 2008, y AG/RES. 2514 (XXXIX</w:t>
      </w:r>
      <w:r w:rsidRPr="0003689D">
        <w:rPr>
          <w:rFonts w:ascii="Verdana" w:hAnsi="Verdana"/>
          <w:sz w:val="16"/>
          <w:szCs w:val="16"/>
          <w:lang w:val="es-ES"/>
        </w:rPr>
        <w:t>-O/09) de 4 de junio de 2009, todas ellas sobre “Acceso a la Información Pública: Fortalecimiento de la Democracia”.</w:t>
      </w:r>
    </w:p>
  </w:footnote>
  <w:footnote w:id="180">
    <w:p w14:paraId="49134BF5" w14:textId="2D7A82BB" w:rsidR="004A0914" w:rsidRPr="007C693A" w:rsidRDefault="004A0914" w:rsidP="004A0914">
      <w:pPr>
        <w:jc w:val="both"/>
        <w:rPr>
          <w:rFonts w:ascii="Verdana" w:hAnsi="Verdana"/>
          <w:sz w:val="16"/>
          <w:szCs w:val="16"/>
          <w:lang w:val="es-ES"/>
        </w:rPr>
      </w:pPr>
      <w:r w:rsidRPr="00EE33B2">
        <w:rPr>
          <w:rStyle w:val="Refdenotaalpie"/>
        </w:rPr>
        <w:footnoteRef/>
      </w:r>
      <w:r w:rsidRPr="00E57AF1">
        <w:rPr>
          <w:rStyle w:val="Refdenotaalpie"/>
          <w:lang w:val="es-CR"/>
        </w:rPr>
        <w:t xml:space="preserve"> </w:t>
      </w:r>
      <w:r w:rsidRPr="007C693A">
        <w:rPr>
          <w:rFonts w:ascii="Verdana" w:hAnsi="Verdana"/>
          <w:sz w:val="16"/>
          <w:szCs w:val="16"/>
          <w:lang w:val="es-ES"/>
        </w:rPr>
        <w:t xml:space="preserve"> </w:t>
      </w:r>
      <w:r>
        <w:rPr>
          <w:rFonts w:ascii="Verdana" w:hAnsi="Verdana"/>
          <w:sz w:val="16"/>
          <w:szCs w:val="16"/>
          <w:lang w:val="es-ES"/>
        </w:rPr>
        <w:tab/>
      </w:r>
      <w:r w:rsidRPr="006975EB">
        <w:rPr>
          <w:rFonts w:ascii="Verdana" w:hAnsi="Verdana"/>
          <w:i/>
          <w:sz w:val="16"/>
          <w:szCs w:val="16"/>
          <w:lang w:val="es-ES"/>
        </w:rPr>
        <w:t>Cfr.</w:t>
      </w:r>
      <w:r>
        <w:rPr>
          <w:rFonts w:ascii="Verdana" w:hAnsi="Verdana"/>
          <w:sz w:val="16"/>
          <w:szCs w:val="16"/>
          <w:lang w:val="es-ES"/>
        </w:rPr>
        <w:t xml:space="preserve"> </w:t>
      </w:r>
      <w:r w:rsidRPr="006975EB">
        <w:rPr>
          <w:rFonts w:ascii="Verdana" w:hAnsi="Verdana"/>
          <w:i/>
          <w:sz w:val="16"/>
          <w:szCs w:val="16"/>
          <w:lang w:val="es-ES"/>
        </w:rPr>
        <w:t>Caso Claude Reyes Vs. Chile</w:t>
      </w:r>
      <w:r w:rsidR="008318BC">
        <w:rPr>
          <w:rFonts w:ascii="Verdana" w:hAnsi="Verdana"/>
          <w:i/>
          <w:sz w:val="16"/>
          <w:szCs w:val="16"/>
          <w:lang w:val="es-ES"/>
        </w:rPr>
        <w:t>, supra</w:t>
      </w:r>
      <w:r w:rsidRPr="007C693A">
        <w:rPr>
          <w:rFonts w:ascii="Verdana" w:hAnsi="Verdana"/>
          <w:sz w:val="16"/>
          <w:szCs w:val="16"/>
          <w:lang w:val="es-ES"/>
        </w:rPr>
        <w:t>,</w:t>
      </w:r>
      <w:r>
        <w:rPr>
          <w:rFonts w:ascii="Verdana" w:hAnsi="Verdana"/>
          <w:sz w:val="16"/>
          <w:szCs w:val="16"/>
          <w:lang w:val="es-ES"/>
        </w:rPr>
        <w:t xml:space="preserve"> párrs. 89 a 91, y </w:t>
      </w:r>
      <w:r w:rsidRPr="006975EB">
        <w:rPr>
          <w:rFonts w:ascii="Verdana" w:hAnsi="Verdana"/>
          <w:i/>
          <w:sz w:val="16"/>
          <w:szCs w:val="16"/>
          <w:lang w:val="es-ES"/>
        </w:rPr>
        <w:t>Caso Moya Chacón y otro Vs. Costa Rica</w:t>
      </w:r>
      <w:r w:rsidR="008318BC">
        <w:rPr>
          <w:rFonts w:ascii="Verdana" w:hAnsi="Verdana"/>
          <w:i/>
          <w:sz w:val="16"/>
          <w:szCs w:val="16"/>
          <w:lang w:val="es-ES"/>
        </w:rPr>
        <w:t>, supra</w:t>
      </w:r>
      <w:r>
        <w:rPr>
          <w:rFonts w:ascii="Verdana" w:hAnsi="Verdana"/>
          <w:sz w:val="16"/>
          <w:szCs w:val="16"/>
          <w:lang w:val="es-ES"/>
        </w:rPr>
        <w:t xml:space="preserve">, párrs. 71 y 72.  </w:t>
      </w:r>
    </w:p>
  </w:footnote>
  <w:footnote w:id="181">
    <w:p w14:paraId="0455D158" w14:textId="5A5357E7" w:rsidR="004A0914" w:rsidRPr="007C693A" w:rsidRDefault="004A0914" w:rsidP="004A0914">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Pr>
          <w:rFonts w:ascii="Verdana" w:hAnsi="Verdana"/>
          <w:sz w:val="16"/>
          <w:szCs w:val="16"/>
          <w:lang w:val="es-ES"/>
        </w:rPr>
        <w:tab/>
      </w:r>
      <w:r w:rsidRPr="00266BDB">
        <w:rPr>
          <w:rFonts w:ascii="Verdana" w:hAnsi="Verdana"/>
          <w:i/>
          <w:iCs/>
          <w:sz w:val="16"/>
          <w:szCs w:val="16"/>
          <w:lang w:val="es-ES"/>
        </w:rPr>
        <w:t>Cfr</w:t>
      </w:r>
      <w:r>
        <w:rPr>
          <w:rFonts w:ascii="Verdana" w:hAnsi="Verdana"/>
          <w:sz w:val="16"/>
          <w:szCs w:val="16"/>
          <w:lang w:val="es-ES"/>
        </w:rPr>
        <w:t xml:space="preserve">. </w:t>
      </w:r>
      <w:r w:rsidRPr="00266BDB">
        <w:rPr>
          <w:rFonts w:ascii="Verdana" w:hAnsi="Verdana"/>
          <w:sz w:val="16"/>
          <w:szCs w:val="16"/>
          <w:lang w:val="es-ES"/>
        </w:rPr>
        <w:t xml:space="preserve">Consejo de Derechos Humanos de las Naciones Unidas “Comentarios Generales sobre la Declaración sobre la protección de todas las personas contra las desapariciones forzadas”, Informe del Grupo de Trabajo sobre las Desapariciones Forzadas o Involuntarias 2010. Documento A/HRC/16/48, 26 de enero de 2011, p.15, No. 4. Ver también </w:t>
      </w:r>
      <w:r w:rsidRPr="00266BDB">
        <w:rPr>
          <w:rFonts w:ascii="Verdana" w:hAnsi="Verdana"/>
          <w:i/>
          <w:iCs/>
          <w:sz w:val="16"/>
          <w:szCs w:val="16"/>
          <w:lang w:val="es-ES"/>
        </w:rPr>
        <w:t>Amicus Curiae</w:t>
      </w:r>
      <w:r w:rsidRPr="00266BDB">
        <w:rPr>
          <w:rFonts w:ascii="Verdana" w:hAnsi="Verdana"/>
          <w:sz w:val="16"/>
          <w:szCs w:val="16"/>
          <w:lang w:val="es-ES"/>
        </w:rPr>
        <w:t xml:space="preserve"> elaborado por la Clínica Jurídica de Libertades Informativas y Transparencia de la Universidad del Pacífico con ocasión del Caso Flores Bedregal y otras vs. Bolivia, 29 enero 2021. Disponible en: </w:t>
      </w:r>
      <w:r w:rsidR="0097214A" w:rsidRPr="0097214A">
        <w:rPr>
          <w:rFonts w:ascii="Verdana" w:hAnsi="Verdana"/>
          <w:sz w:val="16"/>
          <w:szCs w:val="16"/>
          <w:lang w:val="es-ES"/>
        </w:rPr>
        <w:t>https://clinicajuridica.up.edu.pe/wp-content/uploads/Amicus-CLI-UP-Caso-Flores-Bedregal-Vs.-Bolivia-FINAL.pdf</w:t>
      </w:r>
    </w:p>
  </w:footnote>
  <w:footnote w:id="182">
    <w:p w14:paraId="6B4CE08D" w14:textId="779CFE9A" w:rsidR="004A0914" w:rsidRPr="007C693A" w:rsidRDefault="004A0914" w:rsidP="004A0914">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266BDB">
        <w:rPr>
          <w:rFonts w:ascii="Verdana" w:hAnsi="Verdana"/>
          <w:i/>
          <w:iCs/>
          <w:sz w:val="16"/>
          <w:szCs w:val="16"/>
          <w:lang w:val="es-ES"/>
        </w:rPr>
        <w:t>Cfr</w:t>
      </w:r>
      <w:r>
        <w:rPr>
          <w:rFonts w:ascii="Verdana" w:hAnsi="Verdana"/>
          <w:sz w:val="16"/>
          <w:szCs w:val="16"/>
          <w:lang w:val="es-ES"/>
        </w:rPr>
        <w:t xml:space="preserve">. </w:t>
      </w:r>
      <w:r w:rsidRPr="007C693A">
        <w:rPr>
          <w:rFonts w:ascii="Verdana" w:hAnsi="Verdana"/>
          <w:bCs/>
          <w:i/>
          <w:sz w:val="16"/>
          <w:szCs w:val="16"/>
          <w:lang w:val="es-ES"/>
        </w:rPr>
        <w:t xml:space="preserve">Caso Velásquez Rodríguez Vs. Honduras. </w:t>
      </w:r>
      <w:r w:rsidRPr="007C693A">
        <w:rPr>
          <w:rFonts w:ascii="Verdana" w:hAnsi="Verdana"/>
          <w:i/>
          <w:sz w:val="16"/>
          <w:szCs w:val="16"/>
          <w:lang w:val="es-ES"/>
        </w:rPr>
        <w:t>Fond</w:t>
      </w:r>
      <w:r w:rsidR="008318BC">
        <w:rPr>
          <w:rFonts w:ascii="Verdana" w:hAnsi="Verdana"/>
          <w:i/>
          <w:sz w:val="16"/>
          <w:szCs w:val="16"/>
          <w:lang w:val="es-ES"/>
        </w:rPr>
        <w:t>o, supra</w:t>
      </w:r>
      <w:r w:rsidRPr="007C693A">
        <w:rPr>
          <w:rFonts w:ascii="Verdana" w:hAnsi="Verdana"/>
          <w:sz w:val="16"/>
          <w:szCs w:val="16"/>
          <w:lang w:val="es-ES"/>
        </w:rPr>
        <w:t xml:space="preserve">, </w:t>
      </w:r>
      <w:r w:rsidRPr="007C693A">
        <w:rPr>
          <w:rFonts w:ascii="Verdana" w:hAnsi="Verdana" w:cs="Verdana"/>
          <w:sz w:val="16"/>
          <w:szCs w:val="16"/>
          <w:lang w:val="es-ES" w:bidi="en-US"/>
        </w:rPr>
        <w:t xml:space="preserve">párr. 181, y </w:t>
      </w:r>
      <w:r w:rsidRPr="00266BDB">
        <w:rPr>
          <w:rFonts w:ascii="Verdana" w:hAnsi="Verdana" w:cs="Verdana"/>
          <w:i/>
          <w:iCs/>
          <w:sz w:val="16"/>
          <w:szCs w:val="16"/>
          <w:lang w:val="es-ES" w:bidi="en-US"/>
        </w:rPr>
        <w:t>Caso Maidanik y otros Vs. Uruguay</w:t>
      </w:r>
      <w:r w:rsidR="008318BC">
        <w:rPr>
          <w:rFonts w:ascii="Verdana" w:hAnsi="Verdana" w:cs="Verdana"/>
          <w:i/>
          <w:iCs/>
          <w:sz w:val="16"/>
          <w:szCs w:val="16"/>
          <w:lang w:val="es-ES" w:bidi="en-US"/>
        </w:rPr>
        <w:t>, supra</w:t>
      </w:r>
      <w:r>
        <w:rPr>
          <w:rFonts w:ascii="Verdana" w:hAnsi="Verdana" w:cs="Verdana"/>
          <w:sz w:val="16"/>
          <w:szCs w:val="16"/>
          <w:lang w:val="es-ES" w:bidi="en-US"/>
        </w:rPr>
        <w:t xml:space="preserve">, párr. 177. </w:t>
      </w:r>
    </w:p>
  </w:footnote>
  <w:footnote w:id="183">
    <w:p w14:paraId="7F4F7B47" w14:textId="3A8F8FBF" w:rsidR="004A0914" w:rsidRPr="007C693A" w:rsidRDefault="004A0914" w:rsidP="004A0914">
      <w:pPr>
        <w:tabs>
          <w:tab w:val="left" w:pos="709"/>
        </w:tabs>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 xml:space="preserve">Caso Trujillo Oroza Vs. Bolivia. Reparaciones y Costas. </w:t>
      </w:r>
      <w:r w:rsidRPr="007C693A">
        <w:rPr>
          <w:rFonts w:ascii="Verdana" w:hAnsi="Verdana"/>
          <w:sz w:val="16"/>
          <w:szCs w:val="16"/>
          <w:lang w:val="es-ES"/>
        </w:rPr>
        <w:t>Sentencia de 27 de febrero de 2002</w:t>
      </w:r>
      <w:r w:rsidRPr="007C693A">
        <w:rPr>
          <w:rFonts w:ascii="Verdana" w:hAnsi="Verdana"/>
          <w:i/>
          <w:sz w:val="16"/>
          <w:szCs w:val="16"/>
          <w:lang w:val="es-ES"/>
        </w:rPr>
        <w:t xml:space="preserve">. </w:t>
      </w:r>
      <w:r w:rsidRPr="007C693A">
        <w:rPr>
          <w:rFonts w:ascii="Verdana" w:hAnsi="Verdana"/>
          <w:sz w:val="16"/>
          <w:szCs w:val="16"/>
          <w:lang w:val="es-ES"/>
        </w:rPr>
        <w:t>Serie C No. 92, párr. 100</w:t>
      </w:r>
      <w:r>
        <w:rPr>
          <w:rFonts w:ascii="Verdana" w:hAnsi="Verdana"/>
          <w:sz w:val="16"/>
          <w:szCs w:val="16"/>
          <w:lang w:val="es-ES"/>
        </w:rPr>
        <w:t>, y</w:t>
      </w:r>
      <w:r w:rsidRPr="007C693A">
        <w:rPr>
          <w:rFonts w:ascii="Verdana" w:hAnsi="Verdana"/>
          <w:sz w:val="16"/>
          <w:szCs w:val="16"/>
          <w:lang w:val="es-ES"/>
        </w:rPr>
        <w:t xml:space="preserve"> </w:t>
      </w:r>
      <w:r w:rsidRPr="00266BDB">
        <w:rPr>
          <w:rFonts w:ascii="Verdana" w:hAnsi="Verdana"/>
          <w:i/>
          <w:iCs/>
          <w:sz w:val="16"/>
          <w:szCs w:val="16"/>
          <w:lang w:val="es-ES"/>
        </w:rPr>
        <w:t>Caso Sales Pimenta Vs. Brasil</w:t>
      </w:r>
      <w:r w:rsidR="003B0C26">
        <w:rPr>
          <w:rFonts w:ascii="Verdana" w:hAnsi="Verdana"/>
          <w:i/>
          <w:iCs/>
          <w:sz w:val="16"/>
          <w:szCs w:val="16"/>
          <w:lang w:val="es-ES"/>
        </w:rPr>
        <w:t>, supra</w:t>
      </w:r>
      <w:r>
        <w:rPr>
          <w:rFonts w:ascii="Verdana" w:hAnsi="Verdana"/>
          <w:sz w:val="16"/>
          <w:szCs w:val="16"/>
          <w:lang w:val="es-ES"/>
        </w:rPr>
        <w:t>, párr. 114</w:t>
      </w:r>
      <w:r w:rsidRPr="00502787">
        <w:rPr>
          <w:rFonts w:ascii="Verdana" w:hAnsi="Verdana"/>
          <w:sz w:val="16"/>
          <w:szCs w:val="16"/>
          <w:lang w:val="es-ES"/>
        </w:rPr>
        <w:t>.</w:t>
      </w:r>
    </w:p>
  </w:footnote>
  <w:footnote w:id="184">
    <w:p w14:paraId="27394EF3" w14:textId="4A2ACC0E" w:rsidR="004A0914" w:rsidRPr="007C693A" w:rsidRDefault="004A0914" w:rsidP="004A0914">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 Caso Trujillo Oroza Vs. Bolivia</w:t>
      </w:r>
      <w:r w:rsidR="008318BC">
        <w:rPr>
          <w:rFonts w:ascii="Verdana" w:hAnsi="Verdana"/>
          <w:sz w:val="16"/>
          <w:szCs w:val="16"/>
          <w:lang w:val="es-ES"/>
        </w:rPr>
        <w:t xml:space="preserve">, </w:t>
      </w:r>
      <w:r w:rsidR="008318BC" w:rsidRPr="008318BC">
        <w:rPr>
          <w:rFonts w:ascii="Verdana" w:hAnsi="Verdana"/>
          <w:i/>
          <w:iCs/>
          <w:sz w:val="16"/>
          <w:szCs w:val="16"/>
          <w:lang w:val="es-ES"/>
        </w:rPr>
        <w:t>supra</w:t>
      </w:r>
      <w:r w:rsidRPr="007C693A">
        <w:rPr>
          <w:rFonts w:ascii="Verdana" w:hAnsi="Verdana"/>
          <w:sz w:val="16"/>
          <w:szCs w:val="16"/>
          <w:lang w:val="es-ES"/>
        </w:rPr>
        <w:t>, párr. 10</w:t>
      </w:r>
      <w:r>
        <w:rPr>
          <w:rFonts w:ascii="Verdana" w:hAnsi="Verdana"/>
          <w:sz w:val="16"/>
          <w:szCs w:val="16"/>
          <w:lang w:val="es-ES"/>
        </w:rPr>
        <w:t>1</w:t>
      </w:r>
      <w:r w:rsidRPr="007C693A">
        <w:rPr>
          <w:rFonts w:ascii="Verdana" w:hAnsi="Verdana"/>
          <w:sz w:val="16"/>
          <w:szCs w:val="16"/>
          <w:lang w:val="es-ES"/>
        </w:rPr>
        <w:t xml:space="preserve">, y </w:t>
      </w:r>
      <w:bookmarkStart w:id="164" w:name="_Hlk121737802"/>
      <w:r w:rsidRPr="00266BDB">
        <w:rPr>
          <w:rFonts w:ascii="Verdana" w:hAnsi="Verdana"/>
          <w:i/>
          <w:iCs/>
          <w:sz w:val="16"/>
          <w:szCs w:val="16"/>
          <w:lang w:val="es-ES"/>
        </w:rPr>
        <w:t>Caso Sales Pimenta Vs. Brasil</w:t>
      </w:r>
      <w:r w:rsidR="008318BC">
        <w:rPr>
          <w:rFonts w:ascii="Verdana" w:hAnsi="Verdana"/>
          <w:i/>
          <w:iCs/>
          <w:sz w:val="16"/>
          <w:szCs w:val="16"/>
          <w:lang w:val="es-ES"/>
        </w:rPr>
        <w:t>, supra</w:t>
      </w:r>
      <w:r w:rsidRPr="00D62881">
        <w:rPr>
          <w:rFonts w:ascii="Verdana" w:hAnsi="Verdana"/>
          <w:sz w:val="16"/>
          <w:szCs w:val="16"/>
          <w:lang w:val="es-ES"/>
        </w:rPr>
        <w:t>, párr. 11</w:t>
      </w:r>
      <w:r>
        <w:rPr>
          <w:rFonts w:ascii="Verdana" w:hAnsi="Verdana"/>
          <w:sz w:val="16"/>
          <w:szCs w:val="16"/>
          <w:lang w:val="es-ES"/>
        </w:rPr>
        <w:t>5</w:t>
      </w:r>
      <w:r w:rsidRPr="00D62881">
        <w:rPr>
          <w:rFonts w:ascii="Verdana" w:hAnsi="Verdana"/>
          <w:sz w:val="16"/>
          <w:szCs w:val="16"/>
          <w:lang w:val="es-ES"/>
        </w:rPr>
        <w:t>.</w:t>
      </w:r>
      <w:bookmarkEnd w:id="164"/>
    </w:p>
  </w:footnote>
  <w:footnote w:id="185">
    <w:p w14:paraId="5C96995E" w14:textId="1D7BEEEC" w:rsidR="004A0914" w:rsidRPr="007C693A" w:rsidRDefault="004A0914" w:rsidP="004A0914">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 Caso</w:t>
      </w:r>
      <w:r w:rsidRPr="007C693A">
        <w:rPr>
          <w:rFonts w:ascii="Verdana" w:hAnsi="Verdana"/>
          <w:i/>
          <w:spacing w:val="-7"/>
          <w:sz w:val="16"/>
          <w:szCs w:val="16"/>
          <w:lang w:val="es-ES"/>
        </w:rPr>
        <w:t xml:space="preserve"> </w:t>
      </w:r>
      <w:r w:rsidRPr="007C693A">
        <w:rPr>
          <w:rFonts w:ascii="Verdana" w:hAnsi="Verdana"/>
          <w:i/>
          <w:sz w:val="16"/>
          <w:szCs w:val="16"/>
          <w:lang w:val="es-ES"/>
        </w:rPr>
        <w:t>Velásquez</w:t>
      </w:r>
      <w:r w:rsidRPr="007C693A">
        <w:rPr>
          <w:rFonts w:ascii="Verdana" w:hAnsi="Verdana"/>
          <w:i/>
          <w:spacing w:val="-3"/>
          <w:sz w:val="16"/>
          <w:szCs w:val="16"/>
          <w:lang w:val="es-ES"/>
        </w:rPr>
        <w:t xml:space="preserve"> </w:t>
      </w:r>
      <w:r w:rsidRPr="007C693A">
        <w:rPr>
          <w:rFonts w:ascii="Verdana" w:hAnsi="Verdana"/>
          <w:i/>
          <w:sz w:val="16"/>
          <w:szCs w:val="16"/>
          <w:lang w:val="es-ES"/>
        </w:rPr>
        <w:t>Rodríguez</w:t>
      </w:r>
      <w:r w:rsidRPr="007C693A">
        <w:rPr>
          <w:rFonts w:ascii="Verdana" w:hAnsi="Verdana"/>
          <w:i/>
          <w:spacing w:val="-4"/>
          <w:sz w:val="16"/>
          <w:szCs w:val="16"/>
          <w:lang w:val="es-ES"/>
        </w:rPr>
        <w:t xml:space="preserve"> </w:t>
      </w:r>
      <w:r w:rsidRPr="007C693A">
        <w:rPr>
          <w:rFonts w:ascii="Verdana" w:hAnsi="Verdana"/>
          <w:i/>
          <w:sz w:val="16"/>
          <w:szCs w:val="16"/>
          <w:lang w:val="es-ES"/>
        </w:rPr>
        <w:t>Vs.</w:t>
      </w:r>
      <w:r w:rsidRPr="007C693A">
        <w:rPr>
          <w:rFonts w:ascii="Verdana" w:hAnsi="Verdana"/>
          <w:i/>
          <w:spacing w:val="-3"/>
          <w:sz w:val="16"/>
          <w:szCs w:val="16"/>
          <w:lang w:val="es-ES"/>
        </w:rPr>
        <w:t xml:space="preserve"> </w:t>
      </w:r>
      <w:r w:rsidRPr="007C693A">
        <w:rPr>
          <w:rFonts w:ascii="Verdana" w:hAnsi="Verdana"/>
          <w:i/>
          <w:sz w:val="16"/>
          <w:szCs w:val="16"/>
          <w:lang w:val="es-ES"/>
        </w:rPr>
        <w:t>Honduras.</w:t>
      </w:r>
      <w:r w:rsidRPr="007C693A">
        <w:rPr>
          <w:rFonts w:ascii="Verdana" w:hAnsi="Verdana"/>
          <w:i/>
          <w:spacing w:val="-6"/>
          <w:sz w:val="16"/>
          <w:szCs w:val="16"/>
          <w:lang w:val="es-ES"/>
        </w:rPr>
        <w:t xml:space="preserve"> </w:t>
      </w:r>
      <w:r w:rsidRPr="007C693A">
        <w:rPr>
          <w:rFonts w:ascii="Verdana" w:hAnsi="Verdana"/>
          <w:i/>
          <w:sz w:val="16"/>
          <w:szCs w:val="16"/>
          <w:lang w:val="es-ES"/>
        </w:rPr>
        <w:t>Fondo</w:t>
      </w:r>
      <w:r w:rsidR="008318BC">
        <w:rPr>
          <w:rFonts w:ascii="Verdana" w:hAnsi="Verdana"/>
          <w:i/>
          <w:sz w:val="16"/>
          <w:szCs w:val="16"/>
          <w:lang w:val="es-ES"/>
        </w:rPr>
        <w:t>, supra</w:t>
      </w:r>
      <w:r w:rsidRPr="007C693A">
        <w:rPr>
          <w:rFonts w:ascii="Verdana" w:hAnsi="Verdana"/>
          <w:i/>
          <w:sz w:val="16"/>
          <w:szCs w:val="16"/>
          <w:lang w:val="es-ES"/>
        </w:rPr>
        <w:t>,</w:t>
      </w:r>
      <w:r w:rsidRPr="007C693A">
        <w:rPr>
          <w:rFonts w:ascii="Verdana" w:hAnsi="Verdana"/>
          <w:i/>
          <w:spacing w:val="-3"/>
          <w:sz w:val="16"/>
          <w:szCs w:val="16"/>
          <w:lang w:val="es-ES"/>
        </w:rPr>
        <w:t xml:space="preserve"> </w:t>
      </w:r>
      <w:r w:rsidRPr="007C693A">
        <w:rPr>
          <w:rFonts w:ascii="Verdana" w:hAnsi="Verdana"/>
          <w:sz w:val="16"/>
          <w:szCs w:val="16"/>
          <w:lang w:val="es-ES"/>
        </w:rPr>
        <w:t>párr.</w:t>
      </w:r>
      <w:r w:rsidRPr="007C693A">
        <w:rPr>
          <w:rFonts w:ascii="Verdana" w:hAnsi="Verdana"/>
          <w:spacing w:val="-5"/>
          <w:sz w:val="16"/>
          <w:szCs w:val="16"/>
          <w:lang w:val="es-ES"/>
        </w:rPr>
        <w:t xml:space="preserve"> </w:t>
      </w:r>
      <w:r w:rsidRPr="007C693A">
        <w:rPr>
          <w:rFonts w:ascii="Verdana" w:hAnsi="Verdana"/>
          <w:sz w:val="16"/>
          <w:szCs w:val="16"/>
          <w:lang w:val="es-ES"/>
        </w:rPr>
        <w:t xml:space="preserve">181, y </w:t>
      </w:r>
      <w:r w:rsidRPr="00266BDB">
        <w:rPr>
          <w:rFonts w:ascii="Verdana" w:hAnsi="Verdana"/>
          <w:i/>
          <w:iCs/>
          <w:sz w:val="16"/>
          <w:szCs w:val="16"/>
          <w:lang w:val="es-ES"/>
        </w:rPr>
        <w:t>Caso Sales Pimenta Vs. Brasil</w:t>
      </w:r>
      <w:r w:rsidR="008318BC">
        <w:rPr>
          <w:rFonts w:ascii="Verdana" w:hAnsi="Verdana"/>
          <w:i/>
          <w:iCs/>
          <w:sz w:val="16"/>
          <w:szCs w:val="16"/>
          <w:lang w:val="es-ES"/>
        </w:rPr>
        <w:t>, supra</w:t>
      </w:r>
      <w:r w:rsidRPr="001A5D1F">
        <w:rPr>
          <w:rFonts w:ascii="Verdana" w:hAnsi="Verdana"/>
          <w:sz w:val="16"/>
          <w:szCs w:val="16"/>
          <w:lang w:val="es-ES"/>
        </w:rPr>
        <w:t>, párr. 115.</w:t>
      </w:r>
    </w:p>
  </w:footnote>
  <w:footnote w:id="186">
    <w:p w14:paraId="188683DE" w14:textId="180C6763" w:rsidR="004A0914" w:rsidRPr="007C693A" w:rsidRDefault="004A0914" w:rsidP="004A0914">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t>Respecto al mismo, la Corte observó que</w:t>
      </w:r>
      <w:r w:rsidRPr="007C693A">
        <w:rPr>
          <w:rFonts w:ascii="Verdana" w:hAnsi="Verdana" w:cs="Verdana"/>
          <w:sz w:val="16"/>
          <w:szCs w:val="16"/>
          <w:lang w:val="es-ES" w:bidi="en-US"/>
        </w:rPr>
        <w:t xml:space="preserve">, </w:t>
      </w:r>
      <w:r w:rsidRPr="007C693A">
        <w:rPr>
          <w:rFonts w:ascii="Verdana" w:hAnsi="Verdana"/>
          <w:sz w:val="16"/>
          <w:szCs w:val="16"/>
          <w:lang w:val="es-ES"/>
        </w:rPr>
        <w:t xml:space="preserve">el derecho a conocer la verdad se relacionaba con una acción interpuesta por los familiares para acceder a determinada información. </w:t>
      </w:r>
    </w:p>
  </w:footnote>
  <w:footnote w:id="187">
    <w:p w14:paraId="7B7D9185" w14:textId="1AC32901" w:rsidR="004A0914" w:rsidRPr="007C693A" w:rsidRDefault="004A0914" w:rsidP="004A0914">
      <w:pPr>
        <w:tabs>
          <w:tab w:val="left" w:pos="720"/>
        </w:tabs>
        <w:jc w:val="both"/>
        <w:rPr>
          <w:rFonts w:ascii="Verdana" w:hAnsi="Verdana" w:cs="Verdana"/>
          <w:sz w:val="16"/>
          <w:szCs w:val="16"/>
          <w:lang w:val="es-ES" w:bidi="en-U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845BE8">
        <w:rPr>
          <w:rFonts w:ascii="Verdana" w:hAnsi="Verdana"/>
          <w:bCs/>
          <w:i/>
          <w:iCs/>
          <w:sz w:val="16"/>
          <w:szCs w:val="16"/>
          <w:lang w:val="es-ES"/>
        </w:rPr>
        <w:t>Caso</w:t>
      </w:r>
      <w:r w:rsidRPr="007C693A">
        <w:rPr>
          <w:rFonts w:ascii="Verdana" w:hAnsi="Verdana"/>
          <w:bCs/>
          <w:sz w:val="16"/>
          <w:szCs w:val="16"/>
          <w:lang w:val="es-ES"/>
        </w:rPr>
        <w:t xml:space="preserve"> </w:t>
      </w:r>
      <w:r w:rsidRPr="007C693A">
        <w:rPr>
          <w:rFonts w:ascii="Verdana" w:hAnsi="Verdana"/>
          <w:bCs/>
          <w:i/>
          <w:sz w:val="16"/>
          <w:szCs w:val="16"/>
          <w:lang w:val="es-ES"/>
        </w:rPr>
        <w:t xml:space="preserve">Myrna Mack Chang Vs. Guatemala. </w:t>
      </w:r>
      <w:r w:rsidRPr="007C693A">
        <w:rPr>
          <w:rFonts w:ascii="Verdana" w:hAnsi="Verdana"/>
          <w:i/>
          <w:sz w:val="16"/>
          <w:szCs w:val="16"/>
          <w:lang w:val="es-ES"/>
        </w:rPr>
        <w:t>Fondo, Reparaciones y Costas</w:t>
      </w:r>
      <w:r w:rsidRPr="007C693A">
        <w:rPr>
          <w:rFonts w:ascii="Verdana" w:hAnsi="Verdana"/>
          <w:sz w:val="16"/>
          <w:szCs w:val="16"/>
          <w:lang w:val="es-ES"/>
        </w:rPr>
        <w:t>. Sentencia de 25 de noviembre de 2003. Serie C No. 101, párr. 180</w:t>
      </w:r>
      <w:r>
        <w:rPr>
          <w:rFonts w:ascii="Verdana" w:eastAsia="MS Mincho" w:hAnsi="Verdana"/>
          <w:sz w:val="16"/>
          <w:szCs w:val="16"/>
          <w:lang w:val="es-ES"/>
        </w:rPr>
        <w:t xml:space="preserve">, y </w:t>
      </w:r>
      <w:r w:rsidRPr="006975EB">
        <w:rPr>
          <w:rFonts w:ascii="Verdana" w:eastAsia="MS Mincho" w:hAnsi="Verdana"/>
          <w:i/>
          <w:iCs/>
          <w:sz w:val="16"/>
          <w:szCs w:val="16"/>
          <w:lang w:val="es-ES"/>
        </w:rPr>
        <w:t>Caso Movilla Galarcio y otros Vs. Colombia</w:t>
      </w:r>
      <w:r w:rsidR="008318BC">
        <w:rPr>
          <w:rFonts w:ascii="Verdana" w:eastAsia="MS Mincho" w:hAnsi="Verdana"/>
          <w:i/>
          <w:iCs/>
          <w:sz w:val="16"/>
          <w:szCs w:val="16"/>
          <w:lang w:val="es-ES"/>
        </w:rPr>
        <w:t>, supra</w:t>
      </w:r>
      <w:r>
        <w:rPr>
          <w:rFonts w:ascii="Verdana" w:eastAsia="MS Mincho" w:hAnsi="Verdana"/>
          <w:sz w:val="16"/>
          <w:szCs w:val="16"/>
          <w:lang w:val="es-ES"/>
        </w:rPr>
        <w:t>, p</w:t>
      </w:r>
      <w:r>
        <w:rPr>
          <w:rFonts w:ascii="Verdana" w:eastAsia="MS Mincho" w:hAnsi="Verdana"/>
          <w:sz w:val="16"/>
          <w:szCs w:val="16"/>
          <w:lang w:val="es-CO"/>
        </w:rPr>
        <w:t>árr. 159.</w:t>
      </w:r>
    </w:p>
  </w:footnote>
  <w:footnote w:id="188">
    <w:p w14:paraId="1B448C29" w14:textId="79A8C571" w:rsidR="004A0914" w:rsidRPr="007C693A" w:rsidRDefault="004A0914" w:rsidP="004A0914">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xml:space="preserve">. </w:t>
      </w:r>
      <w:r w:rsidRPr="00266BDB">
        <w:rPr>
          <w:rFonts w:ascii="Verdana" w:hAnsi="Verdana"/>
          <w:i/>
          <w:iCs/>
          <w:sz w:val="16"/>
          <w:szCs w:val="16"/>
          <w:lang w:val="es-ES"/>
        </w:rPr>
        <w:t>Caso García Prieto y otros Vs. El Salvador. Excepciones Preliminares, Fondo, Reparaciones y Costas</w:t>
      </w:r>
      <w:r w:rsidRPr="00977C1E">
        <w:rPr>
          <w:rFonts w:ascii="Verdana" w:hAnsi="Verdana"/>
          <w:sz w:val="16"/>
          <w:szCs w:val="16"/>
          <w:lang w:val="es-ES"/>
        </w:rPr>
        <w:t>. Sentencia de 20 de noviembre de 2007. Serie C No. 168, párr. 112</w:t>
      </w:r>
      <w:r>
        <w:rPr>
          <w:rFonts w:ascii="Verdana" w:hAnsi="Verdana"/>
          <w:sz w:val="16"/>
          <w:szCs w:val="16"/>
          <w:lang w:val="es-ES"/>
        </w:rPr>
        <w:t xml:space="preserve">, y </w:t>
      </w:r>
      <w:r w:rsidRPr="00266BDB">
        <w:rPr>
          <w:rFonts w:ascii="Verdana" w:hAnsi="Verdana"/>
          <w:i/>
          <w:iCs/>
          <w:sz w:val="16"/>
          <w:szCs w:val="16"/>
          <w:lang w:val="es-ES"/>
        </w:rPr>
        <w:t>Caso Movilla Galarcio y otros Vs. Colombia</w:t>
      </w:r>
      <w:r w:rsidR="008318BC">
        <w:rPr>
          <w:rFonts w:ascii="Verdana" w:hAnsi="Verdana"/>
          <w:i/>
          <w:iCs/>
          <w:sz w:val="16"/>
          <w:szCs w:val="16"/>
          <w:lang w:val="es-ES"/>
        </w:rPr>
        <w:t>, supra</w:t>
      </w:r>
      <w:r w:rsidRPr="00315361">
        <w:rPr>
          <w:rFonts w:ascii="Verdana" w:hAnsi="Verdana"/>
          <w:sz w:val="16"/>
          <w:szCs w:val="16"/>
          <w:lang w:val="es-ES"/>
        </w:rPr>
        <w:t>, párr. 159</w:t>
      </w:r>
      <w:r>
        <w:rPr>
          <w:rFonts w:ascii="Verdana" w:hAnsi="Verdana"/>
          <w:sz w:val="16"/>
          <w:szCs w:val="16"/>
          <w:lang w:val="es-ES"/>
        </w:rPr>
        <w:t xml:space="preserve">. </w:t>
      </w:r>
    </w:p>
  </w:footnote>
  <w:footnote w:id="189">
    <w:p w14:paraId="2FC1C9A7" w14:textId="5463E352" w:rsidR="004A0914" w:rsidRPr="005E070D" w:rsidRDefault="004A0914" w:rsidP="004A0914">
      <w:pPr>
        <w:tabs>
          <w:tab w:val="left" w:pos="720"/>
        </w:tabs>
        <w:jc w:val="both"/>
        <w:rPr>
          <w:rFonts w:ascii="Verdana" w:hAnsi="Verdana" w:cs="Verdana"/>
          <w:sz w:val="16"/>
          <w:szCs w:val="16"/>
          <w:lang w:val="pt-BR" w:bidi="en-US"/>
        </w:rPr>
      </w:pPr>
      <w:r w:rsidRPr="00EE33B2">
        <w:rPr>
          <w:rStyle w:val="Refdenotaalpie"/>
        </w:rPr>
        <w:footnoteRef/>
      </w:r>
      <w:r w:rsidRPr="006975EB">
        <w:rPr>
          <w:rFonts w:ascii="Verdana" w:hAnsi="Verdana"/>
          <w:sz w:val="16"/>
          <w:szCs w:val="16"/>
          <w:lang w:val="es-ES"/>
        </w:rPr>
        <w:t xml:space="preserve"> </w:t>
      </w:r>
      <w:r w:rsidRPr="006975EB">
        <w:rPr>
          <w:rFonts w:ascii="Verdana" w:hAnsi="Verdana"/>
          <w:sz w:val="16"/>
          <w:szCs w:val="16"/>
          <w:lang w:val="es-ES"/>
        </w:rPr>
        <w:tab/>
      </w:r>
      <w:r w:rsidRPr="006975EB">
        <w:rPr>
          <w:rFonts w:ascii="Verdana" w:hAnsi="Verdana"/>
          <w:i/>
          <w:sz w:val="16"/>
          <w:szCs w:val="16"/>
          <w:lang w:val="es-ES"/>
        </w:rPr>
        <w:t xml:space="preserve">Cfr. Caso </w:t>
      </w:r>
      <w:r w:rsidRPr="006975EB">
        <w:rPr>
          <w:rFonts w:ascii="Verdana" w:hAnsi="Verdana"/>
          <w:bCs/>
          <w:i/>
          <w:sz w:val="16"/>
          <w:szCs w:val="16"/>
          <w:lang w:val="es-ES"/>
        </w:rPr>
        <w:t xml:space="preserve">Myrna Mack Chang Vs. </w:t>
      </w:r>
      <w:r w:rsidRPr="007C693A">
        <w:rPr>
          <w:rFonts w:ascii="Verdana" w:hAnsi="Verdana"/>
          <w:bCs/>
          <w:i/>
          <w:sz w:val="16"/>
          <w:szCs w:val="16"/>
          <w:lang w:val="es-ES"/>
        </w:rPr>
        <w:t>Guatemala</w:t>
      </w:r>
      <w:r w:rsidR="00492AB3">
        <w:rPr>
          <w:rFonts w:ascii="Verdana" w:hAnsi="Verdana"/>
          <w:bCs/>
          <w:i/>
          <w:sz w:val="16"/>
          <w:szCs w:val="16"/>
          <w:lang w:val="es-ES"/>
        </w:rPr>
        <w:t>, supra</w:t>
      </w:r>
      <w:r w:rsidRPr="007C693A">
        <w:rPr>
          <w:rFonts w:ascii="Verdana" w:hAnsi="Verdana"/>
          <w:sz w:val="16"/>
          <w:szCs w:val="16"/>
          <w:lang w:val="es-ES"/>
        </w:rPr>
        <w:t xml:space="preserve">, párr. 181, </w:t>
      </w:r>
      <w:r w:rsidRPr="00266BDB">
        <w:rPr>
          <w:rFonts w:ascii="Verdana" w:hAnsi="Verdana"/>
          <w:sz w:val="16"/>
          <w:szCs w:val="16"/>
          <w:lang w:val="es-ES"/>
        </w:rPr>
        <w:t xml:space="preserve">y </w:t>
      </w:r>
      <w:r w:rsidRPr="00266BDB">
        <w:rPr>
          <w:rFonts w:ascii="Verdana" w:hAnsi="Verdana"/>
          <w:i/>
          <w:iCs/>
          <w:sz w:val="16"/>
          <w:szCs w:val="16"/>
          <w:lang w:val="es-ES"/>
        </w:rPr>
        <w:t xml:space="preserve">Caso Herzog y otros Vs. Brasil. Excepciones Preliminares, Fondo, Reparaciones y Costas. </w:t>
      </w:r>
      <w:r w:rsidRPr="00CF601C">
        <w:rPr>
          <w:rFonts w:ascii="Verdana" w:hAnsi="Verdana"/>
          <w:sz w:val="16"/>
          <w:szCs w:val="16"/>
          <w:lang w:val="es-ES"/>
        </w:rPr>
        <w:t xml:space="preserve">Sentencia de 15 de marzo de 2018. </w:t>
      </w:r>
      <w:r w:rsidRPr="005E070D">
        <w:rPr>
          <w:rFonts w:ascii="Verdana" w:hAnsi="Verdana"/>
          <w:sz w:val="16"/>
          <w:szCs w:val="16"/>
          <w:lang w:val="pt-BR"/>
        </w:rPr>
        <w:t>Serie C No. 353</w:t>
      </w:r>
      <w:r w:rsidR="00694B60">
        <w:rPr>
          <w:rFonts w:ascii="Verdana" w:hAnsi="Verdana"/>
          <w:sz w:val="16"/>
          <w:szCs w:val="16"/>
          <w:lang w:val="pt-BR"/>
        </w:rPr>
        <w:t>, párr.</w:t>
      </w:r>
      <w:r w:rsidR="00CC6BF7">
        <w:rPr>
          <w:rFonts w:ascii="Verdana" w:hAnsi="Verdana"/>
          <w:sz w:val="16"/>
          <w:szCs w:val="16"/>
          <w:lang w:val="pt-BR"/>
        </w:rPr>
        <w:t xml:space="preserve"> 333.</w:t>
      </w:r>
      <w:r w:rsidR="00694B60">
        <w:rPr>
          <w:rFonts w:ascii="Verdana" w:hAnsi="Verdana"/>
          <w:sz w:val="16"/>
          <w:szCs w:val="16"/>
          <w:lang w:val="pt-BR"/>
        </w:rPr>
        <w:t xml:space="preserve"> </w:t>
      </w:r>
    </w:p>
  </w:footnote>
  <w:footnote w:id="190">
    <w:p w14:paraId="3861CD75" w14:textId="47E6B0F7" w:rsidR="004A0914" w:rsidRPr="00266BDB" w:rsidRDefault="004A0914" w:rsidP="00492AB3">
      <w:pPr>
        <w:pStyle w:val="Textonotapie"/>
        <w:jc w:val="both"/>
        <w:rPr>
          <w:rFonts w:ascii="Verdana" w:hAnsi="Verdana"/>
          <w:sz w:val="16"/>
          <w:szCs w:val="16"/>
          <w:lang w:val="es-ES"/>
        </w:rPr>
      </w:pPr>
      <w:r w:rsidRPr="0049247E">
        <w:rPr>
          <w:rStyle w:val="Refdenotaalpie"/>
          <w:szCs w:val="16"/>
        </w:rPr>
        <w:footnoteRef/>
      </w:r>
      <w:r w:rsidRPr="005E070D">
        <w:rPr>
          <w:rFonts w:ascii="Verdana" w:hAnsi="Verdana"/>
          <w:sz w:val="16"/>
          <w:szCs w:val="16"/>
          <w:lang w:val="pt-BR"/>
        </w:rPr>
        <w:t xml:space="preserve"> </w:t>
      </w:r>
      <w:r w:rsidRPr="005E070D">
        <w:rPr>
          <w:rFonts w:ascii="Verdana" w:hAnsi="Verdana"/>
          <w:sz w:val="16"/>
          <w:szCs w:val="16"/>
          <w:lang w:val="pt-BR"/>
        </w:rPr>
        <w:tab/>
      </w:r>
      <w:r w:rsidRPr="005E070D">
        <w:rPr>
          <w:rFonts w:ascii="Verdana" w:hAnsi="Verdana"/>
          <w:i/>
          <w:iCs/>
          <w:sz w:val="16"/>
          <w:szCs w:val="16"/>
          <w:lang w:val="pt-BR"/>
        </w:rPr>
        <w:t>Cfr</w:t>
      </w:r>
      <w:r w:rsidRPr="005E070D">
        <w:rPr>
          <w:rFonts w:ascii="Verdana" w:hAnsi="Verdana"/>
          <w:sz w:val="16"/>
          <w:szCs w:val="16"/>
          <w:lang w:val="pt-BR"/>
        </w:rPr>
        <w:t xml:space="preserve">. </w:t>
      </w:r>
      <w:r w:rsidRPr="005E070D">
        <w:rPr>
          <w:rFonts w:ascii="Verdana" w:hAnsi="Verdana"/>
          <w:i/>
          <w:iCs/>
          <w:sz w:val="16"/>
          <w:szCs w:val="16"/>
          <w:lang w:val="pt-BR"/>
        </w:rPr>
        <w:t xml:space="preserve">Caso Gomes Lund y otros ("Guerrilha do Araguaia") Vs. </w:t>
      </w:r>
      <w:r w:rsidRPr="0049247E">
        <w:rPr>
          <w:rFonts w:ascii="Verdana" w:hAnsi="Verdana"/>
          <w:i/>
          <w:iCs/>
          <w:sz w:val="16"/>
          <w:szCs w:val="16"/>
          <w:lang w:val="es-ES"/>
        </w:rPr>
        <w:t>Brasil</w:t>
      </w:r>
      <w:r w:rsidR="00492AB3">
        <w:rPr>
          <w:rFonts w:ascii="Verdana" w:hAnsi="Verdana"/>
          <w:i/>
          <w:iCs/>
          <w:sz w:val="16"/>
          <w:szCs w:val="16"/>
          <w:lang w:val="es-ES"/>
        </w:rPr>
        <w:t>, supra</w:t>
      </w:r>
      <w:r w:rsidRPr="0049247E">
        <w:rPr>
          <w:rFonts w:ascii="Verdana" w:hAnsi="Verdana"/>
          <w:sz w:val="16"/>
          <w:szCs w:val="16"/>
          <w:lang w:val="es-ES"/>
        </w:rPr>
        <w:t xml:space="preserve">, párr. 202, y </w:t>
      </w:r>
      <w:r w:rsidRPr="0049247E">
        <w:rPr>
          <w:rFonts w:ascii="Verdana" w:hAnsi="Verdana"/>
          <w:i/>
          <w:iCs/>
          <w:sz w:val="16"/>
          <w:szCs w:val="16"/>
          <w:lang w:val="es-ES"/>
        </w:rPr>
        <w:t>Caso Herzog y otros Vs. Brasil</w:t>
      </w:r>
      <w:r w:rsidR="00492AB3">
        <w:rPr>
          <w:rFonts w:ascii="Verdana" w:hAnsi="Verdana"/>
          <w:i/>
          <w:iCs/>
          <w:sz w:val="16"/>
          <w:szCs w:val="16"/>
          <w:lang w:val="es-ES"/>
        </w:rPr>
        <w:t>, supra</w:t>
      </w:r>
      <w:r w:rsidRPr="0049247E">
        <w:rPr>
          <w:rFonts w:ascii="Verdana" w:hAnsi="Verdana"/>
          <w:sz w:val="16"/>
          <w:szCs w:val="16"/>
          <w:lang w:val="es-ES"/>
        </w:rPr>
        <w:t>, párr. 334.</w:t>
      </w:r>
      <w:r>
        <w:rPr>
          <w:rFonts w:ascii="Verdana" w:hAnsi="Verdana"/>
          <w:sz w:val="16"/>
          <w:szCs w:val="16"/>
          <w:lang w:val="es-ES"/>
        </w:rPr>
        <w:t xml:space="preserve">  </w:t>
      </w:r>
    </w:p>
  </w:footnote>
  <w:footnote w:id="191">
    <w:p w14:paraId="1B13C76A" w14:textId="4D8693D3" w:rsidR="004A0914" w:rsidRPr="007C693A" w:rsidRDefault="004A0914" w:rsidP="004A0914">
      <w:pPr>
        <w:jc w:val="both"/>
        <w:rPr>
          <w:rFonts w:ascii="Verdana" w:hAnsi="Verdana"/>
          <w:sz w:val="16"/>
          <w:szCs w:val="16"/>
          <w:lang w:val="es-ES"/>
        </w:rPr>
      </w:pPr>
      <w:r w:rsidRPr="00EE33B2">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Cs/>
          <w:sz w:val="16"/>
          <w:szCs w:val="16"/>
          <w:lang w:val="es-ES"/>
        </w:rPr>
        <w:t xml:space="preserve"> </w:t>
      </w:r>
      <w:r w:rsidRPr="007C693A">
        <w:rPr>
          <w:rFonts w:ascii="Verdana" w:hAnsi="Verdana"/>
          <w:i/>
          <w:sz w:val="16"/>
          <w:szCs w:val="16"/>
          <w:lang w:val="es-ES"/>
        </w:rPr>
        <w:t>Cfr</w:t>
      </w:r>
      <w:r w:rsidRPr="007C693A">
        <w:rPr>
          <w:rFonts w:ascii="Verdana" w:hAnsi="Verdana"/>
          <w:iCs/>
          <w:sz w:val="16"/>
          <w:szCs w:val="16"/>
          <w:lang w:val="es-ES"/>
        </w:rPr>
        <w:t>.</w:t>
      </w:r>
      <w:r w:rsidRPr="007C693A">
        <w:rPr>
          <w:rFonts w:ascii="Verdana" w:hAnsi="Verdana"/>
          <w:i/>
          <w:sz w:val="16"/>
          <w:szCs w:val="16"/>
          <w:lang w:val="es-ES"/>
        </w:rPr>
        <w:t xml:space="preserve"> </w:t>
      </w:r>
      <w:r w:rsidRPr="008A6347">
        <w:rPr>
          <w:rFonts w:ascii="Verdana" w:hAnsi="Verdana"/>
          <w:i/>
          <w:sz w:val="16"/>
          <w:szCs w:val="16"/>
          <w:lang w:val="es-ES"/>
        </w:rPr>
        <w:t>Caso Herzog y otros Vs. Brasil</w:t>
      </w:r>
      <w:r w:rsidR="00492AB3">
        <w:rPr>
          <w:rFonts w:ascii="Verdana" w:hAnsi="Verdana"/>
          <w:i/>
          <w:sz w:val="16"/>
          <w:szCs w:val="16"/>
          <w:lang w:val="es-ES"/>
        </w:rPr>
        <w:t>, supra</w:t>
      </w:r>
      <w:r w:rsidRPr="00266BDB">
        <w:rPr>
          <w:rFonts w:ascii="Verdana" w:hAnsi="Verdana"/>
          <w:iCs/>
          <w:sz w:val="16"/>
          <w:szCs w:val="16"/>
          <w:lang w:val="es-ES"/>
        </w:rPr>
        <w:t>, párr. 334, y</w:t>
      </w:r>
      <w:r>
        <w:rPr>
          <w:rFonts w:ascii="Verdana" w:hAnsi="Verdana"/>
          <w:i/>
          <w:sz w:val="16"/>
          <w:szCs w:val="16"/>
          <w:lang w:val="es-ES"/>
        </w:rPr>
        <w:t xml:space="preserve"> </w:t>
      </w:r>
      <w:r w:rsidRPr="007C693A">
        <w:rPr>
          <w:rFonts w:ascii="Verdana" w:hAnsi="Verdana"/>
          <w:i/>
          <w:sz w:val="16"/>
          <w:szCs w:val="16"/>
          <w:lang w:val="es-ES"/>
        </w:rPr>
        <w:t>Caso Masacres de El Mozote y lugares aledaños Vs. El Salvador</w:t>
      </w:r>
      <w:r w:rsidRPr="007C693A">
        <w:rPr>
          <w:rFonts w:ascii="Verdana" w:hAnsi="Verdana"/>
          <w:iCs/>
          <w:sz w:val="16"/>
          <w:szCs w:val="16"/>
          <w:lang w:val="es-ES"/>
        </w:rPr>
        <w:t>. Supervisión de Cumplimiento de Sentencia. Resolución de la Corte Interamericana de Derechos Humanos de 25 de noviembre de 2021, considerando 6.</w:t>
      </w:r>
      <w:r w:rsidRPr="00B9260C">
        <w:rPr>
          <w:rFonts w:ascii="Verdana" w:hAnsi="Verdana"/>
          <w:color w:val="FF0000"/>
          <w:sz w:val="16"/>
          <w:szCs w:val="16"/>
          <w:lang w:val="es-ES"/>
        </w:rPr>
        <w:t xml:space="preserve"> </w:t>
      </w:r>
    </w:p>
  </w:footnote>
  <w:footnote w:id="192">
    <w:p w14:paraId="60D5F30A" w14:textId="2D3687FD" w:rsidR="004A0914" w:rsidRPr="007C693A" w:rsidRDefault="004A0914" w:rsidP="004A0914">
      <w:pPr>
        <w:tabs>
          <w:tab w:val="left" w:pos="720"/>
        </w:tabs>
        <w:jc w:val="both"/>
        <w:rPr>
          <w:rFonts w:ascii="Verdana" w:hAnsi="Verdana" w:cs="Verdana"/>
          <w:sz w:val="16"/>
          <w:szCs w:val="16"/>
          <w:lang w:val="es-ES" w:bidi="en-US"/>
        </w:rPr>
      </w:pPr>
      <w:r w:rsidRPr="00EE33B2">
        <w:rPr>
          <w:rStyle w:val="Refdenotaalpie"/>
        </w:rPr>
        <w:footnoteRef/>
      </w:r>
      <w:r w:rsidRPr="007C693A">
        <w:rPr>
          <w:rFonts w:ascii="Verdana" w:hAnsi="Verdana"/>
          <w:sz w:val="16"/>
          <w:szCs w:val="16"/>
          <w:lang w:val="es-CL"/>
        </w:rPr>
        <w:t xml:space="preserve"> </w:t>
      </w:r>
      <w:r w:rsidRPr="007C693A">
        <w:rPr>
          <w:rFonts w:ascii="Verdana" w:hAnsi="Verdana"/>
          <w:sz w:val="16"/>
          <w:szCs w:val="16"/>
          <w:lang w:val="es-CL"/>
        </w:rPr>
        <w:tab/>
      </w:r>
      <w:r w:rsidRPr="007C693A">
        <w:rPr>
          <w:rFonts w:ascii="Verdana" w:hAnsi="Verdana"/>
          <w:i/>
          <w:sz w:val="16"/>
          <w:szCs w:val="16"/>
          <w:lang w:val="es-ES"/>
        </w:rPr>
        <w:t>Cfr. Caso Claude Reyes y otros</w:t>
      </w:r>
      <w:r w:rsidRPr="007C693A">
        <w:rPr>
          <w:rFonts w:ascii="Verdana" w:hAnsi="Verdana"/>
          <w:bCs/>
          <w:sz w:val="16"/>
          <w:szCs w:val="16"/>
          <w:lang w:val="es-ES"/>
        </w:rPr>
        <w:t xml:space="preserve"> </w:t>
      </w:r>
      <w:r w:rsidRPr="007C693A">
        <w:rPr>
          <w:rFonts w:ascii="Verdana" w:hAnsi="Verdana"/>
          <w:bCs/>
          <w:i/>
          <w:sz w:val="16"/>
          <w:szCs w:val="16"/>
          <w:lang w:val="es-ES"/>
        </w:rPr>
        <w:t>Vs. Chile</w:t>
      </w:r>
      <w:r w:rsidR="00492AB3">
        <w:rPr>
          <w:rFonts w:ascii="Verdana" w:hAnsi="Verdana"/>
          <w:bCs/>
          <w:i/>
          <w:sz w:val="16"/>
          <w:szCs w:val="16"/>
          <w:lang w:val="es-ES"/>
        </w:rPr>
        <w:t>, supra</w:t>
      </w:r>
      <w:r w:rsidRPr="007C693A">
        <w:rPr>
          <w:rFonts w:ascii="Verdana" w:hAnsi="Verdana"/>
          <w:sz w:val="16"/>
          <w:szCs w:val="16"/>
          <w:lang w:val="es-ES"/>
        </w:rPr>
        <w:t xml:space="preserve">, </w:t>
      </w:r>
      <w:r w:rsidRPr="007C693A">
        <w:rPr>
          <w:rFonts w:ascii="Verdana" w:hAnsi="Verdana"/>
          <w:iCs/>
          <w:sz w:val="16"/>
          <w:szCs w:val="16"/>
          <w:lang w:val="es-ES"/>
        </w:rPr>
        <w:t>p</w:t>
      </w:r>
      <w:r w:rsidRPr="007C693A">
        <w:rPr>
          <w:rFonts w:ascii="Verdana" w:hAnsi="Verdana"/>
          <w:sz w:val="16"/>
          <w:szCs w:val="16"/>
          <w:lang w:val="es-ES"/>
        </w:rPr>
        <w:t>árr</w:t>
      </w:r>
      <w:r>
        <w:rPr>
          <w:rFonts w:ascii="Verdana" w:hAnsi="Verdana"/>
          <w:sz w:val="16"/>
          <w:szCs w:val="16"/>
          <w:lang w:val="es-ES"/>
        </w:rPr>
        <w:t>s</w:t>
      </w:r>
      <w:r w:rsidRPr="007C693A">
        <w:rPr>
          <w:rFonts w:ascii="Verdana" w:hAnsi="Verdana"/>
          <w:sz w:val="16"/>
          <w:szCs w:val="16"/>
          <w:lang w:val="es-ES"/>
        </w:rPr>
        <w:t>. 137</w:t>
      </w:r>
      <w:r>
        <w:rPr>
          <w:rFonts w:ascii="Verdana" w:hAnsi="Verdana"/>
          <w:sz w:val="16"/>
          <w:szCs w:val="16"/>
          <w:lang w:val="es-ES"/>
        </w:rPr>
        <w:t xml:space="preserve"> y 163</w:t>
      </w:r>
      <w:r w:rsidRPr="007C693A">
        <w:rPr>
          <w:rFonts w:ascii="Verdana" w:hAnsi="Verdana"/>
          <w:sz w:val="16"/>
          <w:szCs w:val="16"/>
          <w:lang w:val="es-ES"/>
        </w:rPr>
        <w:t xml:space="preserve">, y </w:t>
      </w:r>
      <w:r w:rsidRPr="00266BDB">
        <w:rPr>
          <w:rFonts w:ascii="Verdana" w:hAnsi="Verdana"/>
          <w:i/>
          <w:sz w:val="16"/>
          <w:szCs w:val="16"/>
          <w:lang w:val="es-ES"/>
        </w:rPr>
        <w:t>Caso Gomes Lund y otros (“Guerrilha do Araguaia”) Vs. Brasil</w:t>
      </w:r>
      <w:r w:rsidR="00492AB3">
        <w:rPr>
          <w:rFonts w:ascii="Verdana" w:hAnsi="Verdana"/>
          <w:i/>
          <w:sz w:val="16"/>
          <w:szCs w:val="16"/>
          <w:lang w:val="es-ES"/>
        </w:rPr>
        <w:t>, supra</w:t>
      </w:r>
      <w:r w:rsidRPr="00266BDB">
        <w:rPr>
          <w:rFonts w:ascii="Verdana" w:eastAsia="MS Mincho" w:hAnsi="Verdana"/>
          <w:sz w:val="16"/>
          <w:szCs w:val="16"/>
          <w:lang w:val="es-ES"/>
        </w:rPr>
        <w:t>, párr. 231.</w:t>
      </w:r>
    </w:p>
  </w:footnote>
  <w:footnote w:id="193">
    <w:p w14:paraId="0AD9B60E" w14:textId="188EAA6E" w:rsidR="004A0914" w:rsidRPr="00A93879" w:rsidRDefault="004A0914" w:rsidP="004A0914">
      <w:pPr>
        <w:jc w:val="both"/>
        <w:rPr>
          <w:rFonts w:ascii="Verdana" w:hAnsi="Verdana"/>
          <w:sz w:val="16"/>
          <w:szCs w:val="16"/>
          <w:highlight w:val="cyan"/>
          <w:lang w:val="es-ES"/>
        </w:rPr>
      </w:pPr>
      <w:r w:rsidRPr="00A93879">
        <w:rPr>
          <w:rStyle w:val="Refdenotaalpie"/>
        </w:rPr>
        <w:footnoteRef/>
      </w:r>
      <w:r w:rsidRPr="00A93879">
        <w:rPr>
          <w:rFonts w:ascii="Verdana" w:hAnsi="Verdana"/>
          <w:sz w:val="16"/>
          <w:szCs w:val="16"/>
          <w:lang w:val="es-ES"/>
        </w:rPr>
        <w:t xml:space="preserve"> </w:t>
      </w:r>
      <w:r w:rsidRPr="00A93879">
        <w:rPr>
          <w:rFonts w:ascii="Verdana" w:hAnsi="Verdana"/>
          <w:sz w:val="16"/>
          <w:szCs w:val="16"/>
          <w:lang w:val="es-ES"/>
        </w:rPr>
        <w:tab/>
      </w:r>
      <w:r w:rsidRPr="00A93879">
        <w:rPr>
          <w:rFonts w:ascii="Verdana" w:hAnsi="Verdana"/>
          <w:i/>
          <w:iCs/>
          <w:sz w:val="16"/>
          <w:szCs w:val="16"/>
          <w:lang w:val="es-ES"/>
        </w:rPr>
        <w:t>Cfr</w:t>
      </w:r>
      <w:r w:rsidRPr="00A93879">
        <w:rPr>
          <w:rFonts w:ascii="Verdana" w:hAnsi="Verdana"/>
          <w:sz w:val="16"/>
          <w:szCs w:val="16"/>
          <w:lang w:val="es-ES"/>
        </w:rPr>
        <w:t xml:space="preserve">. Constitución Política del Estado Plurinacional de Bolivia, de 7 de febrero de 2009, artículos 21 y 106. Disponible en: </w:t>
      </w:r>
      <w:r w:rsidR="0097214A" w:rsidRPr="0097214A">
        <w:rPr>
          <w:rFonts w:ascii="Verdana" w:hAnsi="Verdana"/>
          <w:sz w:val="16"/>
          <w:szCs w:val="16"/>
          <w:lang w:val="es-ES"/>
        </w:rPr>
        <w:t>https://www.oas.org/dil/esp/constitucion_bolivia.pdf</w:t>
      </w:r>
    </w:p>
  </w:footnote>
  <w:footnote w:id="194">
    <w:p w14:paraId="5D29EE62" w14:textId="1C9A3C36" w:rsidR="004A0914" w:rsidRPr="007C693A" w:rsidRDefault="004A0914" w:rsidP="004A0914">
      <w:pPr>
        <w:jc w:val="both"/>
        <w:rPr>
          <w:rFonts w:ascii="Verdana" w:hAnsi="Verdana"/>
          <w:sz w:val="16"/>
          <w:szCs w:val="16"/>
          <w:lang w:val="es-ES"/>
        </w:rPr>
      </w:pPr>
      <w:r w:rsidRPr="000400FB">
        <w:rPr>
          <w:rStyle w:val="Refdenotaalpie"/>
        </w:rPr>
        <w:footnoteRef/>
      </w:r>
      <w:r w:rsidRPr="000400FB">
        <w:rPr>
          <w:rFonts w:ascii="Verdana" w:hAnsi="Verdana"/>
          <w:sz w:val="16"/>
          <w:szCs w:val="16"/>
          <w:lang w:val="es-ES"/>
        </w:rPr>
        <w:t xml:space="preserve"> </w:t>
      </w:r>
      <w:r w:rsidRPr="000400FB">
        <w:rPr>
          <w:rFonts w:ascii="Verdana" w:hAnsi="Verdana"/>
          <w:sz w:val="16"/>
          <w:szCs w:val="16"/>
          <w:lang w:val="es-ES"/>
        </w:rPr>
        <w:tab/>
      </w:r>
      <w:r w:rsidRPr="000400FB">
        <w:rPr>
          <w:rFonts w:ascii="Verdana" w:hAnsi="Verdana"/>
          <w:i/>
          <w:iCs/>
          <w:sz w:val="16"/>
          <w:szCs w:val="16"/>
          <w:lang w:val="es-ES"/>
        </w:rPr>
        <w:t>Cfr</w:t>
      </w:r>
      <w:r w:rsidRPr="000400FB">
        <w:rPr>
          <w:rFonts w:ascii="Verdana" w:hAnsi="Verdana"/>
          <w:sz w:val="16"/>
          <w:szCs w:val="16"/>
          <w:lang w:val="es-ES"/>
        </w:rPr>
        <w:t xml:space="preserve">. Ley Orgánica de las Fuerzas Armadas, Ley No. 1405, de 30 diciembre de 1992, artículo 98. Disponible en: </w:t>
      </w:r>
      <w:r w:rsidR="006D4914" w:rsidRPr="006D4914">
        <w:rPr>
          <w:rFonts w:ascii="Verdana" w:hAnsi="Verdana"/>
          <w:sz w:val="16"/>
          <w:szCs w:val="16"/>
          <w:lang w:val="es-ES"/>
        </w:rPr>
        <w:t>https://www.mindef.gob.bo/mindef/node/29</w:t>
      </w:r>
    </w:p>
  </w:footnote>
  <w:footnote w:id="195">
    <w:p w14:paraId="75723842" w14:textId="69D5A919" w:rsidR="004A0914" w:rsidRPr="00C47E3D" w:rsidRDefault="004A0914" w:rsidP="004A0914">
      <w:pPr>
        <w:jc w:val="both"/>
        <w:rPr>
          <w:rFonts w:ascii="Verdana" w:hAnsi="Verdana"/>
          <w:sz w:val="16"/>
          <w:szCs w:val="16"/>
          <w:lang w:val="es-ES"/>
        </w:rPr>
      </w:pPr>
      <w:r w:rsidRPr="00C47E3D">
        <w:rPr>
          <w:rStyle w:val="Refdenotaalpie"/>
          <w:szCs w:val="16"/>
        </w:rPr>
        <w:footnoteRef/>
      </w:r>
      <w:r w:rsidRPr="00C47E3D">
        <w:rPr>
          <w:rFonts w:ascii="Verdana" w:hAnsi="Verdana"/>
          <w:sz w:val="16"/>
          <w:szCs w:val="16"/>
          <w:lang w:val="es-ES"/>
        </w:rPr>
        <w:t xml:space="preserve"> </w:t>
      </w:r>
      <w:r w:rsidRPr="00C47E3D">
        <w:rPr>
          <w:rFonts w:ascii="Verdana" w:hAnsi="Verdana"/>
          <w:sz w:val="16"/>
          <w:szCs w:val="16"/>
          <w:lang w:val="es-ES"/>
        </w:rPr>
        <w:tab/>
        <w:t>En el proceso No. 6441/09, el Ju</w:t>
      </w:r>
      <w:r w:rsidR="00D835F5">
        <w:rPr>
          <w:rFonts w:ascii="Verdana" w:hAnsi="Verdana"/>
          <w:sz w:val="16"/>
          <w:szCs w:val="16"/>
          <w:lang w:val="es-ES"/>
        </w:rPr>
        <w:t>zgado</w:t>
      </w:r>
      <w:r w:rsidRPr="00C47E3D">
        <w:rPr>
          <w:rFonts w:ascii="Verdana" w:hAnsi="Verdana"/>
          <w:sz w:val="16"/>
          <w:szCs w:val="16"/>
          <w:lang w:val="es-ES"/>
        </w:rPr>
        <w:t xml:space="preserve"> Octavo de Instrucción </w:t>
      </w:r>
      <w:r w:rsidR="00D835F5">
        <w:rPr>
          <w:rFonts w:ascii="Verdana" w:hAnsi="Verdana"/>
          <w:sz w:val="16"/>
          <w:szCs w:val="16"/>
          <w:lang w:val="es-ES"/>
        </w:rPr>
        <w:t>en lo Penal Cautelar</w:t>
      </w:r>
      <w:r w:rsidRPr="00C47E3D">
        <w:rPr>
          <w:rFonts w:ascii="Verdana" w:hAnsi="Verdana"/>
          <w:sz w:val="16"/>
          <w:szCs w:val="16"/>
          <w:lang w:val="es-ES"/>
        </w:rPr>
        <w:t xml:space="preserve"> emitió tres resoluciones en las que ordenó el acceso a los archivos militares a saber: a) el 16 de septiembre de 2009, Resolución No. 384/2009; b) 10 de febrero de 2010, Resolución No. 59/2010</w:t>
      </w:r>
      <w:r w:rsidR="00D835F5">
        <w:rPr>
          <w:rFonts w:ascii="Verdana" w:hAnsi="Verdana"/>
          <w:sz w:val="16"/>
          <w:szCs w:val="16"/>
          <w:lang w:val="es-ES"/>
        </w:rPr>
        <w:t>,</w:t>
      </w:r>
      <w:r w:rsidRPr="00C47E3D">
        <w:rPr>
          <w:rFonts w:ascii="Verdana" w:hAnsi="Verdana"/>
          <w:sz w:val="16"/>
          <w:szCs w:val="16"/>
          <w:lang w:val="es-ES"/>
        </w:rPr>
        <w:t xml:space="preserve"> y c) 1 de marzo de 2010, Resolución No. 101/2010. </w:t>
      </w:r>
      <w:r w:rsidRPr="00C47E3D">
        <w:rPr>
          <w:rFonts w:ascii="Verdana" w:hAnsi="Verdana"/>
          <w:i/>
          <w:iCs/>
          <w:sz w:val="16"/>
          <w:szCs w:val="16"/>
          <w:lang w:val="es-ES"/>
        </w:rPr>
        <w:t>Cfr</w:t>
      </w:r>
      <w:r w:rsidRPr="00C47E3D">
        <w:rPr>
          <w:rFonts w:ascii="Verdana" w:hAnsi="Verdana"/>
          <w:sz w:val="16"/>
          <w:szCs w:val="16"/>
          <w:lang w:val="es-ES"/>
        </w:rPr>
        <w:t xml:space="preserve">. Resoluciones No. 384/2009, No. 59/2010, y No. 101/2010, del Juzgado Octavo de Instrucción </w:t>
      </w:r>
      <w:r w:rsidR="00D835F5">
        <w:rPr>
          <w:rFonts w:ascii="Verdana" w:hAnsi="Verdana"/>
          <w:sz w:val="16"/>
          <w:szCs w:val="16"/>
          <w:lang w:val="es-ES"/>
        </w:rPr>
        <w:t>en</w:t>
      </w:r>
      <w:r w:rsidRPr="00C47E3D">
        <w:rPr>
          <w:rFonts w:ascii="Verdana" w:hAnsi="Verdana"/>
          <w:sz w:val="16"/>
          <w:szCs w:val="16"/>
          <w:lang w:val="es-ES"/>
        </w:rPr>
        <w:t xml:space="preserve"> lo Penal Cautelar dentro del proceso penal seguido por el Ministerio Público a instancias de víctimas de la dictadura de Luis García Meza Tejada en contra de los autores (expediente de prueba, fs. 578 a 582</w:t>
      </w:r>
      <w:r w:rsidR="00D26161">
        <w:rPr>
          <w:rFonts w:ascii="Verdana" w:hAnsi="Verdana"/>
          <w:sz w:val="16"/>
          <w:szCs w:val="16"/>
          <w:lang w:val="es-ES"/>
        </w:rPr>
        <w:t>, 8563 a 8564</w:t>
      </w:r>
      <w:r w:rsidRPr="00C47E3D">
        <w:rPr>
          <w:rFonts w:ascii="Verdana" w:hAnsi="Verdana"/>
          <w:sz w:val="16"/>
          <w:szCs w:val="16"/>
          <w:lang w:val="es-ES"/>
        </w:rPr>
        <w:t xml:space="preserve"> y 8566 a 8567).  </w:t>
      </w:r>
    </w:p>
  </w:footnote>
  <w:footnote w:id="196">
    <w:p w14:paraId="2828FA92" w14:textId="5A088269" w:rsidR="004A0914" w:rsidRPr="00C47E3D" w:rsidRDefault="004A0914" w:rsidP="004A0914">
      <w:pPr>
        <w:jc w:val="both"/>
        <w:rPr>
          <w:rFonts w:ascii="Verdana" w:hAnsi="Verdana"/>
          <w:sz w:val="16"/>
          <w:szCs w:val="16"/>
          <w:lang w:val="es-ES"/>
        </w:rPr>
      </w:pPr>
      <w:r w:rsidRPr="00C348D8">
        <w:rPr>
          <w:rStyle w:val="Refdenotaalpie"/>
          <w:szCs w:val="16"/>
        </w:rPr>
        <w:footnoteRef/>
      </w:r>
      <w:r w:rsidRPr="00C348D8">
        <w:rPr>
          <w:rFonts w:ascii="Verdana" w:hAnsi="Verdana"/>
          <w:sz w:val="16"/>
          <w:szCs w:val="16"/>
          <w:lang w:val="es-CR"/>
        </w:rPr>
        <w:t xml:space="preserve"> </w:t>
      </w:r>
      <w:r w:rsidRPr="00C348D8">
        <w:rPr>
          <w:rFonts w:ascii="Verdana" w:hAnsi="Verdana"/>
          <w:sz w:val="16"/>
          <w:szCs w:val="16"/>
          <w:lang w:val="es-CR"/>
        </w:rPr>
        <w:tab/>
      </w:r>
      <w:r w:rsidR="00EA4353" w:rsidRPr="00C348D8">
        <w:rPr>
          <w:rFonts w:ascii="Verdana" w:hAnsi="Verdana"/>
          <w:i/>
          <w:iCs/>
          <w:sz w:val="16"/>
          <w:szCs w:val="16"/>
          <w:lang w:val="es-CR"/>
        </w:rPr>
        <w:t>Cfr.</w:t>
      </w:r>
      <w:r w:rsidR="00EA4353" w:rsidRPr="00C348D8">
        <w:rPr>
          <w:rFonts w:ascii="Verdana" w:hAnsi="Verdana"/>
          <w:sz w:val="16"/>
          <w:szCs w:val="16"/>
          <w:lang w:val="es-CR"/>
        </w:rPr>
        <w:t xml:space="preserve"> </w:t>
      </w:r>
      <w:r w:rsidR="00EA4353" w:rsidRPr="00C348D8">
        <w:rPr>
          <w:rFonts w:ascii="Verdana" w:hAnsi="Verdana"/>
          <w:sz w:val="16"/>
          <w:szCs w:val="16"/>
          <w:lang w:val="es-ES"/>
        </w:rPr>
        <w:t>Comunicado del Comando en Jefe de las Fuerzas Armadas del Estado Mayor General, dirigido al Fiscal de Recursos de la Fiscalía General del Estado, de 19 de octubre de 2010, s</w:t>
      </w:r>
      <w:r w:rsidR="00EA4353" w:rsidRPr="00C348D8">
        <w:rPr>
          <w:rFonts w:ascii="Verdana" w:hAnsi="Verdana"/>
          <w:i/>
          <w:iCs/>
          <w:sz w:val="16"/>
          <w:szCs w:val="16"/>
          <w:lang w:val="es-ES"/>
        </w:rPr>
        <w:t>upra.</w:t>
      </w:r>
      <w:r w:rsidR="008B73FE">
        <w:rPr>
          <w:rFonts w:ascii="Verdana" w:hAnsi="Verdana"/>
          <w:i/>
          <w:iCs/>
          <w:sz w:val="16"/>
          <w:szCs w:val="16"/>
          <w:lang w:val="es-ES"/>
        </w:rPr>
        <w:t xml:space="preserve"> </w:t>
      </w:r>
    </w:p>
  </w:footnote>
  <w:footnote w:id="197">
    <w:p w14:paraId="1E9182E4" w14:textId="77777777" w:rsidR="003A1B02" w:rsidRPr="000400FB" w:rsidRDefault="003A1B02" w:rsidP="003A1B02">
      <w:pPr>
        <w:jc w:val="both"/>
        <w:rPr>
          <w:rFonts w:ascii="Verdana" w:hAnsi="Verdana"/>
          <w:sz w:val="16"/>
          <w:szCs w:val="16"/>
          <w:lang w:val="es-ES"/>
        </w:rPr>
      </w:pPr>
      <w:r w:rsidRPr="000400FB">
        <w:rPr>
          <w:rStyle w:val="Refdenotaalpie"/>
          <w:szCs w:val="16"/>
        </w:rPr>
        <w:footnoteRef/>
      </w:r>
      <w:r w:rsidRPr="000400FB">
        <w:rPr>
          <w:rFonts w:ascii="Verdana" w:hAnsi="Verdana"/>
          <w:sz w:val="16"/>
          <w:szCs w:val="16"/>
          <w:lang w:val="es-ES"/>
        </w:rPr>
        <w:t xml:space="preserve"> </w:t>
      </w:r>
      <w:r w:rsidRPr="000400FB">
        <w:rPr>
          <w:rFonts w:ascii="Verdana" w:hAnsi="Verdana"/>
          <w:sz w:val="16"/>
          <w:szCs w:val="16"/>
          <w:lang w:val="es-ES"/>
        </w:rPr>
        <w:tab/>
      </w:r>
      <w:r w:rsidRPr="000400FB">
        <w:rPr>
          <w:rFonts w:ascii="Verdana" w:hAnsi="Verdana"/>
          <w:i/>
          <w:iCs/>
          <w:sz w:val="16"/>
          <w:szCs w:val="16"/>
          <w:lang w:val="es-ES"/>
        </w:rPr>
        <w:t>Cfr</w:t>
      </w:r>
      <w:r w:rsidRPr="000400FB">
        <w:rPr>
          <w:rFonts w:ascii="Verdana" w:hAnsi="Verdana"/>
          <w:sz w:val="16"/>
          <w:szCs w:val="16"/>
          <w:lang w:val="es-ES"/>
        </w:rPr>
        <w:t xml:space="preserve">. Ley Orgánica de las Fuerzas Armadas, </w:t>
      </w:r>
      <w:r w:rsidRPr="000400FB">
        <w:rPr>
          <w:rFonts w:ascii="Verdana" w:hAnsi="Verdana"/>
          <w:i/>
          <w:iCs/>
          <w:sz w:val="16"/>
          <w:szCs w:val="16"/>
          <w:lang w:val="es-ES"/>
        </w:rPr>
        <w:t>supra.</w:t>
      </w:r>
    </w:p>
  </w:footnote>
  <w:footnote w:id="198">
    <w:p w14:paraId="47216970" w14:textId="5BBD94E0" w:rsidR="004A0914" w:rsidRPr="007C693A" w:rsidRDefault="004A0914" w:rsidP="004A0914">
      <w:pPr>
        <w:tabs>
          <w:tab w:val="left" w:pos="720"/>
        </w:tabs>
        <w:jc w:val="both"/>
        <w:rPr>
          <w:rFonts w:ascii="Verdana" w:hAnsi="Verdana" w:cs="Verdana"/>
          <w:sz w:val="16"/>
          <w:szCs w:val="16"/>
          <w:lang w:val="es-ES" w:bidi="en-US"/>
        </w:rPr>
      </w:pPr>
      <w:r w:rsidRPr="00C47E3D">
        <w:rPr>
          <w:rStyle w:val="Refdenotaalpie"/>
          <w:szCs w:val="16"/>
        </w:rPr>
        <w:footnoteRef/>
      </w:r>
      <w:r w:rsidRPr="00C47E3D">
        <w:rPr>
          <w:rFonts w:ascii="Verdana" w:hAnsi="Verdana"/>
          <w:sz w:val="16"/>
          <w:szCs w:val="16"/>
          <w:lang w:val="es-ES"/>
        </w:rPr>
        <w:t xml:space="preserve"> </w:t>
      </w:r>
      <w:r w:rsidRPr="00C47E3D">
        <w:rPr>
          <w:rFonts w:ascii="Verdana" w:hAnsi="Verdana"/>
          <w:sz w:val="16"/>
          <w:szCs w:val="16"/>
          <w:lang w:val="es-ES"/>
        </w:rPr>
        <w:tab/>
      </w:r>
      <w:r w:rsidRPr="00C47E3D">
        <w:rPr>
          <w:rFonts w:ascii="Verdana" w:hAnsi="Verdana"/>
          <w:i/>
          <w:sz w:val="16"/>
          <w:szCs w:val="16"/>
          <w:lang w:val="es-ES"/>
        </w:rPr>
        <w:t>Cfr.</w:t>
      </w:r>
      <w:r w:rsidRPr="00C47E3D">
        <w:rPr>
          <w:rFonts w:ascii="Verdana" w:hAnsi="Verdana"/>
          <w:sz w:val="16"/>
          <w:szCs w:val="16"/>
          <w:lang w:val="es-ES"/>
        </w:rPr>
        <w:t xml:space="preserve"> </w:t>
      </w:r>
      <w:r w:rsidRPr="00C47E3D">
        <w:rPr>
          <w:rFonts w:ascii="Verdana" w:hAnsi="Verdana"/>
          <w:bCs/>
          <w:i/>
          <w:iCs/>
          <w:sz w:val="16"/>
          <w:szCs w:val="16"/>
          <w:lang w:val="es-ES"/>
        </w:rPr>
        <w:t>Caso</w:t>
      </w:r>
      <w:r w:rsidRPr="00C47E3D">
        <w:rPr>
          <w:rFonts w:ascii="Verdana" w:hAnsi="Verdana"/>
          <w:bCs/>
          <w:sz w:val="16"/>
          <w:szCs w:val="16"/>
          <w:lang w:val="es-ES"/>
        </w:rPr>
        <w:t xml:space="preserve"> </w:t>
      </w:r>
      <w:r w:rsidRPr="00C47E3D">
        <w:rPr>
          <w:rFonts w:ascii="Verdana" w:hAnsi="Verdana"/>
          <w:bCs/>
          <w:i/>
          <w:sz w:val="16"/>
          <w:szCs w:val="16"/>
          <w:lang w:val="es-ES"/>
        </w:rPr>
        <w:t>Myrna Mack Chang Vs. Guatemala</w:t>
      </w:r>
      <w:r w:rsidR="00CF1D8B" w:rsidRPr="00C47E3D">
        <w:rPr>
          <w:rFonts w:ascii="Verdana" w:hAnsi="Verdana"/>
          <w:bCs/>
          <w:i/>
          <w:sz w:val="16"/>
          <w:szCs w:val="16"/>
          <w:lang w:val="es-ES"/>
        </w:rPr>
        <w:t>, supra</w:t>
      </w:r>
      <w:r w:rsidRPr="00C47E3D">
        <w:rPr>
          <w:rFonts w:ascii="Verdana" w:hAnsi="Verdana"/>
          <w:sz w:val="16"/>
          <w:szCs w:val="16"/>
          <w:lang w:val="es-ES"/>
        </w:rPr>
        <w:t>, párr. 180</w:t>
      </w:r>
      <w:r w:rsidRPr="00C47E3D">
        <w:rPr>
          <w:rFonts w:ascii="Verdana" w:eastAsia="MS Mincho" w:hAnsi="Verdana"/>
          <w:sz w:val="16"/>
          <w:szCs w:val="16"/>
          <w:lang w:val="es-ES"/>
        </w:rPr>
        <w:t xml:space="preserve">, y </w:t>
      </w:r>
      <w:r w:rsidRPr="00C47E3D">
        <w:rPr>
          <w:rFonts w:ascii="Verdana" w:eastAsia="MS Mincho" w:hAnsi="Verdana"/>
          <w:i/>
          <w:iCs/>
          <w:sz w:val="16"/>
          <w:szCs w:val="16"/>
          <w:lang w:val="es-ES"/>
        </w:rPr>
        <w:t>Caso Movilla Galarcio y otros Vs. Colombia</w:t>
      </w:r>
      <w:r w:rsidR="00CF1D8B" w:rsidRPr="00C47E3D">
        <w:rPr>
          <w:rFonts w:ascii="Verdana" w:eastAsia="MS Mincho" w:hAnsi="Verdana"/>
          <w:i/>
          <w:iCs/>
          <w:sz w:val="16"/>
          <w:szCs w:val="16"/>
          <w:lang w:val="es-ES"/>
        </w:rPr>
        <w:t>, supra</w:t>
      </w:r>
      <w:r w:rsidRPr="00C47E3D">
        <w:rPr>
          <w:rFonts w:ascii="Verdana" w:eastAsia="MS Mincho" w:hAnsi="Verdana"/>
          <w:sz w:val="16"/>
          <w:szCs w:val="16"/>
          <w:lang w:val="es-ES"/>
        </w:rPr>
        <w:t>, p</w:t>
      </w:r>
      <w:r w:rsidRPr="00C47E3D">
        <w:rPr>
          <w:rFonts w:ascii="Verdana" w:eastAsia="MS Mincho" w:hAnsi="Verdana"/>
          <w:sz w:val="16"/>
          <w:szCs w:val="16"/>
          <w:lang w:val="es-CO"/>
        </w:rPr>
        <w:t>árr. 159.</w:t>
      </w:r>
    </w:p>
  </w:footnote>
  <w:footnote w:id="199">
    <w:p w14:paraId="67D6C294" w14:textId="77777777" w:rsidR="004A0914" w:rsidRPr="007C693A" w:rsidRDefault="004A0914" w:rsidP="004A0914">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03689D">
        <w:rPr>
          <w:rFonts w:ascii="Verdana" w:hAnsi="Verdana"/>
          <w:i/>
          <w:iCs/>
          <w:sz w:val="16"/>
          <w:szCs w:val="16"/>
          <w:lang w:val="es-ES"/>
        </w:rPr>
        <w:t>Cfr. Inter alia, Caso Velásquez Rodríguez Vs. Honduras. Fondo</w:t>
      </w:r>
      <w:r w:rsidRPr="00F24704">
        <w:rPr>
          <w:rFonts w:ascii="Verdana" w:hAnsi="Verdana"/>
          <w:sz w:val="16"/>
          <w:szCs w:val="16"/>
          <w:lang w:val="es-ES"/>
        </w:rPr>
        <w:t xml:space="preserve">, </w:t>
      </w:r>
      <w:r w:rsidRPr="00CF1D8B">
        <w:rPr>
          <w:rFonts w:ascii="Verdana" w:hAnsi="Verdana"/>
          <w:i/>
          <w:iCs/>
          <w:sz w:val="16"/>
          <w:szCs w:val="16"/>
          <w:lang w:val="es-ES"/>
        </w:rPr>
        <w:t>supra</w:t>
      </w:r>
      <w:r w:rsidRPr="00F24704">
        <w:rPr>
          <w:rFonts w:ascii="Verdana" w:hAnsi="Verdana"/>
          <w:sz w:val="16"/>
          <w:szCs w:val="16"/>
          <w:lang w:val="es-ES"/>
        </w:rPr>
        <w:t>, párr. 163</w:t>
      </w:r>
      <w:r>
        <w:rPr>
          <w:rFonts w:ascii="Verdana" w:hAnsi="Verdana"/>
          <w:sz w:val="16"/>
          <w:szCs w:val="16"/>
          <w:lang w:val="es-ES"/>
        </w:rPr>
        <w:t xml:space="preserve">, </w:t>
      </w:r>
      <w:r w:rsidRPr="0003689D">
        <w:rPr>
          <w:rFonts w:ascii="Verdana" w:hAnsi="Verdana"/>
          <w:i/>
          <w:iCs/>
          <w:sz w:val="16"/>
          <w:szCs w:val="16"/>
          <w:lang w:val="es-ES"/>
        </w:rPr>
        <w:t>y Caso Casierra Quiñonez y otros Vs. Ecuador. Excepción Preliminar, Fondo, Reparaciones y Costas</w:t>
      </w:r>
      <w:r w:rsidRPr="003C4A83">
        <w:rPr>
          <w:rFonts w:ascii="Verdana" w:hAnsi="Verdana"/>
          <w:sz w:val="16"/>
          <w:szCs w:val="16"/>
          <w:lang w:val="es-ES"/>
        </w:rPr>
        <w:t>. Sentencia de 11 de mayo de 2022. Serie C No. 450</w:t>
      </w:r>
      <w:r>
        <w:rPr>
          <w:rFonts w:ascii="Verdana" w:hAnsi="Verdana"/>
          <w:sz w:val="16"/>
          <w:szCs w:val="16"/>
          <w:lang w:val="es-ES"/>
        </w:rPr>
        <w:t>, párr. 117</w:t>
      </w:r>
      <w:r w:rsidRPr="003C4A83">
        <w:rPr>
          <w:rFonts w:ascii="Verdana" w:hAnsi="Verdana"/>
          <w:sz w:val="16"/>
          <w:szCs w:val="16"/>
          <w:lang w:val="es-ES"/>
        </w:rPr>
        <w:t>.</w:t>
      </w:r>
      <w:r>
        <w:rPr>
          <w:rFonts w:ascii="Verdana" w:hAnsi="Verdana"/>
          <w:sz w:val="16"/>
          <w:szCs w:val="16"/>
          <w:lang w:val="es-ES"/>
        </w:rPr>
        <w:t xml:space="preserve"> </w:t>
      </w:r>
    </w:p>
  </w:footnote>
  <w:footnote w:id="200">
    <w:p w14:paraId="23EB1B9D" w14:textId="5C323B83" w:rsidR="00AC124E" w:rsidRPr="007C693A" w:rsidRDefault="00AC124E" w:rsidP="00F61BBD">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ab/>
        <w:t xml:space="preserve">Artículos 5 </w:t>
      </w:r>
      <w:r w:rsidR="00CF1D8B">
        <w:rPr>
          <w:rFonts w:ascii="Verdana" w:hAnsi="Verdana"/>
          <w:sz w:val="16"/>
          <w:szCs w:val="16"/>
          <w:lang w:val="es-ES"/>
        </w:rPr>
        <w:t xml:space="preserve">y 1.1 </w:t>
      </w:r>
      <w:r w:rsidRPr="007C693A">
        <w:rPr>
          <w:rFonts w:ascii="Verdana" w:hAnsi="Verdana"/>
          <w:sz w:val="16"/>
          <w:szCs w:val="16"/>
          <w:lang w:val="es-ES"/>
        </w:rPr>
        <w:t>de la Convención Americana</w:t>
      </w:r>
      <w:r w:rsidR="00CF1D8B">
        <w:rPr>
          <w:rFonts w:ascii="Verdana" w:hAnsi="Verdana"/>
          <w:sz w:val="16"/>
          <w:szCs w:val="16"/>
          <w:lang w:val="es-ES"/>
        </w:rPr>
        <w:t>, respectivamente</w:t>
      </w:r>
      <w:r w:rsidRPr="007C693A">
        <w:rPr>
          <w:rFonts w:ascii="Verdana" w:hAnsi="Verdana"/>
          <w:sz w:val="16"/>
          <w:szCs w:val="16"/>
          <w:lang w:val="es-ES"/>
        </w:rPr>
        <w:t>.</w:t>
      </w:r>
    </w:p>
  </w:footnote>
  <w:footnote w:id="201">
    <w:p w14:paraId="15D7878C" w14:textId="49A60FA7" w:rsidR="00AC124E" w:rsidRPr="007C693A" w:rsidRDefault="00AC124E" w:rsidP="00014203">
      <w:pPr>
        <w:jc w:val="both"/>
        <w:rPr>
          <w:rFonts w:ascii="Verdana" w:hAnsi="Verdana"/>
          <w:b/>
          <w:sz w:val="16"/>
          <w:szCs w:val="16"/>
          <w:lang w:val="es-ES"/>
        </w:rPr>
      </w:pPr>
      <w:r w:rsidRPr="003E42BF">
        <w:rPr>
          <w:rStyle w:val="Refdenotaalpie"/>
        </w:rPr>
        <w:footnoteRef/>
      </w:r>
      <w:r w:rsidRPr="007C693A">
        <w:rPr>
          <w:rFonts w:ascii="Verdana" w:hAnsi="Verdana"/>
          <w:b/>
          <w:sz w:val="16"/>
          <w:szCs w:val="16"/>
          <w:lang w:val="es-ES"/>
        </w:rPr>
        <w:t xml:space="preserve"> </w:t>
      </w:r>
      <w:r w:rsidRPr="007C693A">
        <w:rPr>
          <w:rFonts w:ascii="Verdana" w:hAnsi="Verdana"/>
          <w:b/>
          <w:sz w:val="16"/>
          <w:szCs w:val="16"/>
          <w:lang w:val="es-ES"/>
        </w:rPr>
        <w:tab/>
      </w:r>
      <w:r w:rsidRPr="007C693A">
        <w:rPr>
          <w:rFonts w:ascii="Verdana" w:hAnsi="Verdana" w:cs="Verdana"/>
          <w:i/>
          <w:iCs/>
          <w:sz w:val="16"/>
          <w:szCs w:val="16"/>
          <w:lang w:val="es-ES"/>
        </w:rPr>
        <w:t xml:space="preserve">Cfr. </w:t>
      </w:r>
      <w:r w:rsidRPr="007C693A">
        <w:rPr>
          <w:rFonts w:ascii="Verdana" w:hAnsi="Verdana"/>
          <w:i/>
          <w:sz w:val="16"/>
          <w:szCs w:val="16"/>
          <w:lang w:val="es-ES"/>
        </w:rPr>
        <w:t>Caso Castillo Páez Vs. Perú. Fondo.</w:t>
      </w:r>
      <w:r w:rsidRPr="007C693A">
        <w:rPr>
          <w:rFonts w:ascii="Verdana" w:hAnsi="Verdana"/>
          <w:sz w:val="16"/>
          <w:szCs w:val="16"/>
          <w:lang w:val="es-ES"/>
        </w:rPr>
        <w:t xml:space="preserve"> Sentencia de 3 de noviembre de 1997. Serie C No. 34, punto resolutivo cuarto</w:t>
      </w:r>
      <w:r w:rsidR="002D495B">
        <w:rPr>
          <w:rFonts w:ascii="Verdana" w:hAnsi="Verdana"/>
          <w:sz w:val="16"/>
          <w:szCs w:val="16"/>
          <w:lang w:val="es-ES"/>
        </w:rPr>
        <w:t xml:space="preserve">, y </w:t>
      </w:r>
      <w:r w:rsidRPr="007C693A">
        <w:rPr>
          <w:rFonts w:ascii="Verdana" w:hAnsi="Verdana" w:cs="Arial"/>
          <w:i/>
          <w:sz w:val="16"/>
          <w:szCs w:val="16"/>
          <w:shd w:val="clear" w:color="auto" w:fill="FFFFFF"/>
          <w:lang w:val="es-ES"/>
        </w:rPr>
        <w:t>Caso</w:t>
      </w:r>
      <w:r w:rsidR="00D26078">
        <w:rPr>
          <w:rFonts w:ascii="Verdana" w:hAnsi="Verdana" w:cs="Arial"/>
          <w:i/>
          <w:sz w:val="16"/>
          <w:szCs w:val="16"/>
          <w:shd w:val="clear" w:color="auto" w:fill="FFFFFF"/>
          <w:lang w:val="es-ES"/>
        </w:rPr>
        <w:t xml:space="preserve"> Sales Pimenta v. Brasil</w:t>
      </w:r>
      <w:r w:rsidR="00CF1D8B">
        <w:rPr>
          <w:rFonts w:ascii="Verdana" w:hAnsi="Verdana" w:cs="Arial"/>
          <w:i/>
          <w:sz w:val="16"/>
          <w:szCs w:val="16"/>
          <w:shd w:val="clear" w:color="auto" w:fill="FFFFFF"/>
          <w:lang w:val="es-ES"/>
        </w:rPr>
        <w:t>, supra</w:t>
      </w:r>
      <w:r w:rsidRPr="007C693A">
        <w:rPr>
          <w:rFonts w:ascii="Verdana" w:hAnsi="Verdana"/>
          <w:i/>
          <w:sz w:val="16"/>
          <w:szCs w:val="16"/>
          <w:lang w:val="es-PR"/>
        </w:rPr>
        <w:t xml:space="preserve">, </w:t>
      </w:r>
      <w:r w:rsidRPr="007C693A">
        <w:rPr>
          <w:rFonts w:ascii="Verdana" w:hAnsi="Verdana"/>
          <w:sz w:val="16"/>
          <w:szCs w:val="16"/>
          <w:lang w:val="es-PR"/>
        </w:rPr>
        <w:t>párr. 12</w:t>
      </w:r>
      <w:r w:rsidR="00D26078">
        <w:rPr>
          <w:rFonts w:ascii="Verdana" w:hAnsi="Verdana"/>
          <w:sz w:val="16"/>
          <w:szCs w:val="16"/>
          <w:lang w:val="es-PR"/>
        </w:rPr>
        <w:t>5</w:t>
      </w:r>
      <w:r w:rsidRPr="007C693A">
        <w:rPr>
          <w:rFonts w:ascii="Verdana" w:hAnsi="Verdana"/>
          <w:sz w:val="16"/>
          <w:szCs w:val="16"/>
          <w:lang w:val="es-PR"/>
        </w:rPr>
        <w:t>.</w:t>
      </w:r>
    </w:p>
  </w:footnote>
  <w:footnote w:id="202">
    <w:p w14:paraId="0877C10E" w14:textId="5751964B" w:rsidR="00AC124E" w:rsidRPr="007C693A" w:rsidRDefault="00AC124E" w:rsidP="00803395">
      <w:pPr>
        <w:jc w:val="both"/>
        <w:rPr>
          <w:rFonts w:ascii="Verdana" w:hAnsi="Verdana"/>
          <w:b/>
          <w:bCs/>
          <w:sz w:val="16"/>
          <w:szCs w:val="16"/>
          <w:lang w:val="es-CR"/>
        </w:rPr>
      </w:pPr>
      <w:r w:rsidRPr="003E42BF">
        <w:rPr>
          <w:rStyle w:val="Refdenotaalpie"/>
        </w:rPr>
        <w:footnoteRef/>
      </w:r>
      <w:r w:rsidRPr="007C693A">
        <w:rPr>
          <w:rFonts w:ascii="Verdana" w:hAnsi="Verdana"/>
          <w:sz w:val="16"/>
          <w:szCs w:val="16"/>
          <w:lang w:val="es-CR"/>
        </w:rPr>
        <w:t xml:space="preserve"> </w:t>
      </w:r>
      <w:r w:rsidRPr="007C693A">
        <w:rPr>
          <w:rFonts w:ascii="Verdana" w:hAnsi="Verdana"/>
          <w:sz w:val="16"/>
          <w:szCs w:val="16"/>
          <w:lang w:val="es-CR"/>
        </w:rPr>
        <w:tab/>
        <w:t>Lo anterior, según las circunstancias del caso, dado el sufrimiento padecido como producto de las violaciones perpetradas contra sus seres queridos, y a causa de las posteriores actuaciones u omisiones de las autoridades estatales frente a los hechos</w:t>
      </w:r>
      <w:r w:rsidR="00236CB2">
        <w:rPr>
          <w:rFonts w:ascii="Verdana" w:hAnsi="Verdana"/>
          <w:sz w:val="16"/>
          <w:szCs w:val="16"/>
          <w:lang w:val="es-CR"/>
        </w:rPr>
        <w:t>.</w:t>
      </w:r>
      <w:r w:rsidRPr="007C693A">
        <w:rPr>
          <w:rFonts w:ascii="Verdana" w:hAnsi="Verdana"/>
          <w:i/>
          <w:sz w:val="16"/>
          <w:szCs w:val="16"/>
          <w:lang w:val="es-CR"/>
        </w:rPr>
        <w:t>Cfr.</w:t>
      </w:r>
      <w:r w:rsidRPr="007C693A">
        <w:rPr>
          <w:rFonts w:ascii="Verdana" w:hAnsi="Verdana"/>
          <w:sz w:val="16"/>
          <w:szCs w:val="16"/>
          <w:lang w:val="es-CR"/>
        </w:rPr>
        <w:t xml:space="preserve"> </w:t>
      </w:r>
      <w:r w:rsidRPr="007C693A">
        <w:rPr>
          <w:rFonts w:ascii="Verdana" w:hAnsi="Verdana"/>
          <w:i/>
          <w:sz w:val="16"/>
          <w:szCs w:val="16"/>
          <w:lang w:val="es-CR"/>
        </w:rPr>
        <w:t>Caso Blake Vs. Guatemala. Fondo</w:t>
      </w:r>
      <w:r w:rsidRPr="007C693A">
        <w:rPr>
          <w:rFonts w:ascii="Verdana" w:hAnsi="Verdana"/>
          <w:sz w:val="16"/>
          <w:szCs w:val="16"/>
          <w:lang w:val="es-CR"/>
        </w:rPr>
        <w:t>. Sentencia de 24 de enero de 1998. Serie C No. 36, párr. 114, y</w:t>
      </w:r>
      <w:r w:rsidR="00D26078" w:rsidRPr="00D26078">
        <w:rPr>
          <w:rFonts w:ascii="Verdana" w:hAnsi="Verdana"/>
          <w:sz w:val="16"/>
          <w:szCs w:val="16"/>
          <w:lang w:val="es-ES"/>
        </w:rPr>
        <w:t xml:space="preserve"> </w:t>
      </w:r>
      <w:r w:rsidR="00D26078">
        <w:rPr>
          <w:rFonts w:ascii="Verdana" w:hAnsi="Verdana"/>
          <w:sz w:val="16"/>
          <w:szCs w:val="16"/>
          <w:lang w:val="es-ES"/>
        </w:rPr>
        <w:t xml:space="preserve">y </w:t>
      </w:r>
      <w:r w:rsidR="00D26078" w:rsidRPr="007C693A">
        <w:rPr>
          <w:rFonts w:ascii="Verdana" w:hAnsi="Verdana" w:cs="Arial"/>
          <w:i/>
          <w:sz w:val="16"/>
          <w:szCs w:val="16"/>
          <w:shd w:val="clear" w:color="auto" w:fill="FFFFFF"/>
          <w:lang w:val="es-ES"/>
        </w:rPr>
        <w:t>Caso</w:t>
      </w:r>
      <w:r w:rsidR="00D26078">
        <w:rPr>
          <w:rFonts w:ascii="Verdana" w:hAnsi="Verdana" w:cs="Arial"/>
          <w:i/>
          <w:sz w:val="16"/>
          <w:szCs w:val="16"/>
          <w:shd w:val="clear" w:color="auto" w:fill="FFFFFF"/>
          <w:lang w:val="es-ES"/>
        </w:rPr>
        <w:t xml:space="preserve"> Sales Pimenta </w:t>
      </w:r>
      <w:r w:rsidR="00CF1D8B">
        <w:rPr>
          <w:rFonts w:ascii="Verdana" w:hAnsi="Verdana" w:cs="Arial"/>
          <w:i/>
          <w:sz w:val="16"/>
          <w:szCs w:val="16"/>
          <w:shd w:val="clear" w:color="auto" w:fill="FFFFFF"/>
          <w:lang w:val="es-ES"/>
        </w:rPr>
        <w:t>Vs</w:t>
      </w:r>
      <w:r w:rsidR="00D26078">
        <w:rPr>
          <w:rFonts w:ascii="Verdana" w:hAnsi="Verdana" w:cs="Arial"/>
          <w:i/>
          <w:sz w:val="16"/>
          <w:szCs w:val="16"/>
          <w:shd w:val="clear" w:color="auto" w:fill="FFFFFF"/>
          <w:lang w:val="es-ES"/>
        </w:rPr>
        <w:t>. Brasil</w:t>
      </w:r>
      <w:r w:rsidR="00CF1D8B">
        <w:rPr>
          <w:rFonts w:ascii="Verdana" w:hAnsi="Verdana" w:cs="Arial"/>
          <w:i/>
          <w:sz w:val="16"/>
          <w:szCs w:val="16"/>
          <w:shd w:val="clear" w:color="auto" w:fill="FFFFFF"/>
          <w:lang w:val="es-ES"/>
        </w:rPr>
        <w:t>, supra</w:t>
      </w:r>
      <w:r w:rsidR="00D26078" w:rsidRPr="007C693A">
        <w:rPr>
          <w:rFonts w:ascii="Verdana" w:hAnsi="Verdana"/>
          <w:i/>
          <w:sz w:val="16"/>
          <w:szCs w:val="16"/>
          <w:lang w:val="es-PR"/>
        </w:rPr>
        <w:t xml:space="preserve">, </w:t>
      </w:r>
      <w:r w:rsidR="00D26078" w:rsidRPr="007C693A">
        <w:rPr>
          <w:rFonts w:ascii="Verdana" w:hAnsi="Verdana"/>
          <w:sz w:val="16"/>
          <w:szCs w:val="16"/>
          <w:lang w:val="es-PR"/>
        </w:rPr>
        <w:t>párr. 12</w:t>
      </w:r>
      <w:r w:rsidR="00D26078">
        <w:rPr>
          <w:rFonts w:ascii="Verdana" w:hAnsi="Verdana"/>
          <w:sz w:val="16"/>
          <w:szCs w:val="16"/>
          <w:lang w:val="es-PR"/>
        </w:rPr>
        <w:t>5</w:t>
      </w:r>
      <w:r w:rsidRPr="007C693A">
        <w:rPr>
          <w:rFonts w:ascii="Verdana" w:hAnsi="Verdana"/>
          <w:sz w:val="16"/>
          <w:szCs w:val="16"/>
          <w:lang w:val="es-PR"/>
        </w:rPr>
        <w:t>.</w:t>
      </w:r>
      <w:r w:rsidRPr="007C693A">
        <w:rPr>
          <w:rFonts w:ascii="Verdana" w:hAnsi="Verdana" w:cs="Arial"/>
          <w:color w:val="00B050"/>
          <w:sz w:val="16"/>
          <w:szCs w:val="16"/>
          <w:lang w:val="es-ES"/>
        </w:rPr>
        <w:t xml:space="preserve"> </w:t>
      </w:r>
    </w:p>
  </w:footnote>
  <w:footnote w:id="203">
    <w:p w14:paraId="7535FC97" w14:textId="624FC5E1" w:rsidR="00AC124E" w:rsidRPr="004A7D67" w:rsidRDefault="00AC124E" w:rsidP="00014203">
      <w:pPr>
        <w:autoSpaceDE w:val="0"/>
        <w:autoSpaceDN w:val="0"/>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4A7D67">
        <w:rPr>
          <w:rFonts w:ascii="Verdana" w:hAnsi="Verdana"/>
          <w:i/>
          <w:sz w:val="16"/>
          <w:szCs w:val="16"/>
          <w:lang w:val="es-CL"/>
        </w:rPr>
        <w:t>Cfr</w:t>
      </w:r>
      <w:r w:rsidRPr="004A7D67">
        <w:rPr>
          <w:rFonts w:ascii="Verdana" w:hAnsi="Verdana"/>
          <w:sz w:val="16"/>
          <w:szCs w:val="16"/>
          <w:lang w:val="es-CL"/>
        </w:rPr>
        <w:t>.</w:t>
      </w:r>
      <w:r w:rsidRPr="004A7D67">
        <w:rPr>
          <w:rFonts w:ascii="Verdana" w:hAnsi="Verdana" w:cs="Verdana-Italic"/>
          <w:i/>
          <w:iCs/>
          <w:sz w:val="16"/>
          <w:szCs w:val="16"/>
          <w:lang w:val="es-ES"/>
        </w:rPr>
        <w:t xml:space="preserve"> </w:t>
      </w:r>
      <w:r w:rsidRPr="004A7D67">
        <w:rPr>
          <w:rFonts w:ascii="Verdana" w:hAnsi="Verdana"/>
          <w:i/>
          <w:sz w:val="16"/>
          <w:szCs w:val="16"/>
          <w:lang w:val="es-ES"/>
        </w:rPr>
        <w:t>Caso Gudiel Álvarez y otros (Diario Militar) Vs. Guatemala</w:t>
      </w:r>
      <w:r w:rsidR="00CF1D8B">
        <w:rPr>
          <w:rFonts w:ascii="Verdana" w:hAnsi="Verdana"/>
          <w:i/>
          <w:sz w:val="16"/>
          <w:szCs w:val="16"/>
          <w:lang w:val="es-ES"/>
        </w:rPr>
        <w:t>, supra</w:t>
      </w:r>
      <w:r w:rsidRPr="004A7D67">
        <w:rPr>
          <w:rFonts w:ascii="Verdana" w:hAnsi="Verdana"/>
          <w:sz w:val="16"/>
          <w:szCs w:val="16"/>
          <w:lang w:val="es-ES"/>
        </w:rPr>
        <w:t xml:space="preserve">, párr. 286, y </w:t>
      </w:r>
      <w:r w:rsidRPr="004A7D67">
        <w:rPr>
          <w:rFonts w:ascii="Verdana" w:hAnsi="Verdana" w:cs="Arial"/>
          <w:i/>
          <w:sz w:val="16"/>
          <w:szCs w:val="16"/>
          <w:shd w:val="clear" w:color="auto" w:fill="FFFFFF"/>
          <w:lang w:val="es-ES"/>
        </w:rPr>
        <w:t xml:space="preserve">Caso </w:t>
      </w:r>
      <w:r w:rsidR="00405B03" w:rsidRPr="004A7D67">
        <w:rPr>
          <w:rFonts w:ascii="Verdana" w:hAnsi="Verdana" w:cs="Arial"/>
          <w:i/>
          <w:sz w:val="16"/>
          <w:szCs w:val="16"/>
          <w:shd w:val="clear" w:color="auto" w:fill="FFFFFF"/>
          <w:lang w:val="es-ES"/>
        </w:rPr>
        <w:t>Movilla Galarcio y otros Vs. Colombia</w:t>
      </w:r>
      <w:r w:rsidR="00CF1D8B">
        <w:rPr>
          <w:rFonts w:ascii="Verdana" w:hAnsi="Verdana" w:cs="Arial"/>
          <w:i/>
          <w:sz w:val="16"/>
          <w:szCs w:val="16"/>
          <w:shd w:val="clear" w:color="auto" w:fill="FFFFFF"/>
          <w:lang w:val="es-ES"/>
        </w:rPr>
        <w:t>, supra</w:t>
      </w:r>
      <w:r w:rsidRPr="004A7D67">
        <w:rPr>
          <w:rFonts w:ascii="Verdana" w:hAnsi="Verdana"/>
          <w:i/>
          <w:sz w:val="16"/>
          <w:szCs w:val="16"/>
          <w:lang w:val="es-PR"/>
        </w:rPr>
        <w:t xml:space="preserve">, </w:t>
      </w:r>
      <w:r w:rsidRPr="004A7D67">
        <w:rPr>
          <w:rFonts w:ascii="Verdana" w:hAnsi="Verdana"/>
          <w:sz w:val="16"/>
          <w:szCs w:val="16"/>
          <w:lang w:val="es-PR"/>
        </w:rPr>
        <w:t xml:space="preserve">párr. </w:t>
      </w:r>
      <w:r w:rsidR="00405B03" w:rsidRPr="004A7D67">
        <w:rPr>
          <w:rFonts w:ascii="Verdana" w:hAnsi="Verdana"/>
          <w:sz w:val="16"/>
          <w:szCs w:val="16"/>
          <w:lang w:val="es-PR"/>
        </w:rPr>
        <w:t>174</w:t>
      </w:r>
      <w:r w:rsidRPr="004A7D67">
        <w:rPr>
          <w:rFonts w:ascii="Verdana" w:hAnsi="Verdana"/>
          <w:sz w:val="16"/>
          <w:szCs w:val="16"/>
          <w:lang w:val="es-PR"/>
        </w:rPr>
        <w:t>.</w:t>
      </w:r>
      <w:r w:rsidRPr="004A7D67">
        <w:rPr>
          <w:rFonts w:ascii="Verdana" w:hAnsi="Verdana"/>
          <w:sz w:val="16"/>
          <w:szCs w:val="16"/>
          <w:lang w:val="es-ES"/>
        </w:rPr>
        <w:t xml:space="preserve"> </w:t>
      </w:r>
    </w:p>
  </w:footnote>
  <w:footnote w:id="204">
    <w:p w14:paraId="02F74F1C" w14:textId="143726C0" w:rsidR="00AC124E" w:rsidRPr="007C693A" w:rsidRDefault="00AC124E" w:rsidP="00014203">
      <w:pPr>
        <w:tabs>
          <w:tab w:val="left" w:pos="426"/>
          <w:tab w:val="left" w:pos="720"/>
        </w:tabs>
        <w:contextualSpacing/>
        <w:jc w:val="both"/>
        <w:rPr>
          <w:rFonts w:ascii="Verdana" w:hAnsi="Verdana"/>
          <w:spacing w:val="-4"/>
          <w:sz w:val="16"/>
          <w:szCs w:val="16"/>
          <w:lang w:val="es-PR"/>
        </w:rPr>
      </w:pPr>
      <w:r w:rsidRPr="004A7D67">
        <w:rPr>
          <w:rStyle w:val="Refdenotaalpie"/>
        </w:rPr>
        <w:footnoteRef/>
      </w:r>
      <w:r w:rsidRPr="004A7D67">
        <w:rPr>
          <w:rFonts w:ascii="Verdana" w:hAnsi="Verdana"/>
          <w:spacing w:val="-4"/>
          <w:sz w:val="16"/>
          <w:szCs w:val="16"/>
          <w:lang w:val="es-PR"/>
        </w:rPr>
        <w:t xml:space="preserve"> </w:t>
      </w:r>
      <w:r w:rsidRPr="004A7D67">
        <w:rPr>
          <w:rFonts w:ascii="Verdana" w:hAnsi="Verdana"/>
          <w:spacing w:val="-4"/>
          <w:sz w:val="16"/>
          <w:szCs w:val="16"/>
          <w:lang w:val="es-PR"/>
        </w:rPr>
        <w:tab/>
      </w:r>
      <w:r w:rsidR="00236CB2">
        <w:rPr>
          <w:rFonts w:ascii="Verdana" w:hAnsi="Verdana"/>
          <w:spacing w:val="-4"/>
          <w:sz w:val="16"/>
          <w:szCs w:val="16"/>
          <w:lang w:val="es-PR"/>
        </w:rPr>
        <w:tab/>
      </w:r>
      <w:r w:rsidRPr="004A7D67">
        <w:rPr>
          <w:rFonts w:ascii="Verdana" w:hAnsi="Verdana"/>
          <w:i/>
          <w:spacing w:val="-4"/>
          <w:sz w:val="16"/>
          <w:szCs w:val="16"/>
          <w:lang w:val="es-PR"/>
        </w:rPr>
        <w:t>Cfr. Caso Gudiel Álvarez y otros (Diario Militar) Vs. Guatemala</w:t>
      </w:r>
      <w:r w:rsidR="00CF1D8B">
        <w:rPr>
          <w:rFonts w:ascii="Verdana" w:hAnsi="Verdana"/>
          <w:i/>
          <w:spacing w:val="-4"/>
          <w:sz w:val="16"/>
          <w:szCs w:val="16"/>
          <w:lang w:val="es-PR"/>
        </w:rPr>
        <w:t>, supra</w:t>
      </w:r>
      <w:r w:rsidRPr="004A7D67">
        <w:rPr>
          <w:rFonts w:ascii="Verdana" w:hAnsi="Verdana"/>
          <w:spacing w:val="-4"/>
          <w:sz w:val="16"/>
          <w:szCs w:val="16"/>
          <w:lang w:val="es-PR"/>
        </w:rPr>
        <w:t>, párr. 286,</w:t>
      </w:r>
      <w:r w:rsidRPr="007C693A">
        <w:rPr>
          <w:rFonts w:ascii="Verdana" w:hAnsi="Verdana"/>
          <w:spacing w:val="-4"/>
          <w:sz w:val="16"/>
          <w:szCs w:val="16"/>
          <w:lang w:val="es-PR"/>
        </w:rPr>
        <w:t xml:space="preserve"> y</w:t>
      </w:r>
      <w:r w:rsidR="00405B03" w:rsidRPr="007C693A">
        <w:rPr>
          <w:rFonts w:ascii="Verdana" w:hAnsi="Verdana"/>
          <w:sz w:val="16"/>
          <w:szCs w:val="16"/>
          <w:lang w:val="es-ES"/>
        </w:rPr>
        <w:t xml:space="preserve"> </w:t>
      </w:r>
      <w:r w:rsidR="00405B03" w:rsidRPr="007C693A">
        <w:rPr>
          <w:rFonts w:ascii="Verdana" w:hAnsi="Verdana" w:cs="Arial"/>
          <w:i/>
          <w:sz w:val="16"/>
          <w:szCs w:val="16"/>
          <w:shd w:val="clear" w:color="auto" w:fill="FFFFFF"/>
          <w:lang w:val="es-ES"/>
        </w:rPr>
        <w:t xml:space="preserve">Caso </w:t>
      </w:r>
      <w:r w:rsidR="00405B03">
        <w:rPr>
          <w:rFonts w:ascii="Verdana" w:hAnsi="Verdana" w:cs="Arial"/>
          <w:i/>
          <w:sz w:val="16"/>
          <w:szCs w:val="16"/>
          <w:shd w:val="clear" w:color="auto" w:fill="FFFFFF"/>
          <w:lang w:val="es-ES"/>
        </w:rPr>
        <w:t>Movilla Galarcio y otros Vs. Colombia</w:t>
      </w:r>
      <w:r w:rsidR="00CF1D8B">
        <w:rPr>
          <w:rFonts w:ascii="Verdana" w:hAnsi="Verdana" w:cs="Arial"/>
          <w:i/>
          <w:sz w:val="16"/>
          <w:szCs w:val="16"/>
          <w:shd w:val="clear" w:color="auto" w:fill="FFFFFF"/>
          <w:lang w:val="es-ES"/>
        </w:rPr>
        <w:t>, supra</w:t>
      </w:r>
      <w:r w:rsidR="00405B03" w:rsidRPr="007C693A">
        <w:rPr>
          <w:rFonts w:ascii="Verdana" w:hAnsi="Verdana"/>
          <w:i/>
          <w:sz w:val="16"/>
          <w:szCs w:val="16"/>
          <w:lang w:val="es-PR"/>
        </w:rPr>
        <w:t xml:space="preserve">, </w:t>
      </w:r>
      <w:r w:rsidR="00405B03" w:rsidRPr="007C693A">
        <w:rPr>
          <w:rFonts w:ascii="Verdana" w:hAnsi="Verdana"/>
          <w:sz w:val="16"/>
          <w:szCs w:val="16"/>
          <w:lang w:val="es-PR"/>
        </w:rPr>
        <w:t xml:space="preserve">párr. </w:t>
      </w:r>
      <w:r w:rsidR="00405B03">
        <w:rPr>
          <w:rFonts w:ascii="Verdana" w:hAnsi="Verdana"/>
          <w:sz w:val="16"/>
          <w:szCs w:val="16"/>
          <w:lang w:val="es-PR"/>
        </w:rPr>
        <w:t>174</w:t>
      </w:r>
      <w:r w:rsidR="00405B03" w:rsidRPr="007C693A">
        <w:rPr>
          <w:rFonts w:ascii="Verdana" w:hAnsi="Verdana"/>
          <w:sz w:val="16"/>
          <w:szCs w:val="16"/>
          <w:lang w:val="es-PR"/>
        </w:rPr>
        <w:t>.</w:t>
      </w:r>
    </w:p>
  </w:footnote>
  <w:footnote w:id="205">
    <w:p w14:paraId="65E75BF7" w14:textId="0F08EA74" w:rsidR="00AC124E" w:rsidRPr="007C693A" w:rsidRDefault="00AC124E" w:rsidP="00014203">
      <w:pPr>
        <w:jc w:val="both"/>
        <w:rPr>
          <w:rFonts w:ascii="Verdana" w:hAnsi="Verdana"/>
          <w:sz w:val="16"/>
          <w:szCs w:val="16"/>
          <w:lang w:val="es-CR"/>
        </w:rPr>
      </w:pPr>
      <w:r w:rsidRPr="003E42BF">
        <w:rPr>
          <w:rStyle w:val="Refdenotaalpie"/>
        </w:rPr>
        <w:footnoteRef/>
      </w:r>
      <w:r w:rsidRPr="007C693A">
        <w:rPr>
          <w:rFonts w:ascii="Verdana" w:hAnsi="Verdana"/>
          <w:sz w:val="16"/>
          <w:szCs w:val="16"/>
          <w:lang w:val="es-ES"/>
        </w:rPr>
        <w:t xml:space="preserve"> </w:t>
      </w:r>
      <w:r w:rsidR="00405B03">
        <w:rPr>
          <w:rFonts w:ascii="Verdana" w:hAnsi="Verdana"/>
          <w:sz w:val="16"/>
          <w:szCs w:val="16"/>
          <w:lang w:val="es-ES"/>
        </w:rPr>
        <w:tab/>
      </w:r>
      <w:r w:rsidRPr="007C693A">
        <w:rPr>
          <w:rFonts w:ascii="Verdana" w:hAnsi="Verdana" w:cs="Arial"/>
          <w:i/>
          <w:sz w:val="16"/>
          <w:szCs w:val="16"/>
          <w:shd w:val="clear" w:color="auto" w:fill="FFFFFF"/>
          <w:lang w:val="es-ES"/>
        </w:rPr>
        <w:t>Caso Masacre de la Aldea Los Josefinos Vs. Guatemala</w:t>
      </w:r>
      <w:r w:rsidR="00CF1D8B">
        <w:rPr>
          <w:rFonts w:ascii="Verdana" w:hAnsi="Verdana" w:cs="Arial"/>
          <w:i/>
          <w:sz w:val="16"/>
          <w:szCs w:val="16"/>
          <w:shd w:val="clear" w:color="auto" w:fill="FFFFFF"/>
          <w:lang w:val="es-ES"/>
        </w:rPr>
        <w:t>, supra</w:t>
      </w:r>
      <w:r w:rsidRPr="007C693A">
        <w:rPr>
          <w:rFonts w:ascii="Verdana" w:hAnsi="Verdana"/>
          <w:i/>
          <w:sz w:val="16"/>
          <w:szCs w:val="16"/>
          <w:lang w:val="es-PR"/>
        </w:rPr>
        <w:t xml:space="preserve">, </w:t>
      </w:r>
      <w:r w:rsidRPr="007C693A">
        <w:rPr>
          <w:rFonts w:ascii="Verdana" w:hAnsi="Verdana"/>
          <w:sz w:val="16"/>
          <w:szCs w:val="16"/>
          <w:lang w:val="es-PR"/>
        </w:rPr>
        <w:t>párr. 121.</w:t>
      </w:r>
    </w:p>
  </w:footnote>
  <w:footnote w:id="206">
    <w:p w14:paraId="51F69B2D" w14:textId="09B199A6" w:rsidR="00AC124E" w:rsidRPr="007C693A" w:rsidRDefault="00AC124E" w:rsidP="00014203">
      <w:pPr>
        <w:jc w:val="both"/>
        <w:rPr>
          <w:rFonts w:ascii="Verdana" w:hAnsi="Verdana"/>
          <w:sz w:val="16"/>
          <w:szCs w:val="16"/>
          <w:lang w:val="es-CL"/>
        </w:rPr>
      </w:pPr>
      <w:r w:rsidRPr="007959FF">
        <w:rPr>
          <w:rStyle w:val="Refdenotaalpie"/>
        </w:rPr>
        <w:footnoteRef/>
      </w:r>
      <w:r w:rsidRPr="007959FF">
        <w:rPr>
          <w:rFonts w:ascii="Verdana" w:hAnsi="Verdana"/>
          <w:sz w:val="16"/>
          <w:szCs w:val="16"/>
          <w:lang w:val="es-ES"/>
        </w:rPr>
        <w:tab/>
      </w:r>
      <w:r w:rsidRPr="007959FF">
        <w:rPr>
          <w:rFonts w:ascii="Verdana" w:hAnsi="Verdana"/>
          <w:i/>
          <w:iCs/>
          <w:sz w:val="16"/>
          <w:szCs w:val="16"/>
          <w:lang w:val="es-ES"/>
        </w:rPr>
        <w:t xml:space="preserve">Cfr. Caso Goiburú y </w:t>
      </w:r>
      <w:r w:rsidRPr="00702944">
        <w:rPr>
          <w:rFonts w:ascii="Verdana" w:hAnsi="Verdana"/>
          <w:i/>
          <w:iCs/>
          <w:sz w:val="16"/>
          <w:szCs w:val="16"/>
          <w:lang w:val="es-ES"/>
        </w:rPr>
        <w:t>otros Vs. Paraguay</w:t>
      </w:r>
      <w:r w:rsidR="00CF1D8B">
        <w:rPr>
          <w:rFonts w:ascii="Verdana" w:hAnsi="Verdana"/>
          <w:sz w:val="16"/>
          <w:szCs w:val="16"/>
          <w:lang w:val="es-ES"/>
        </w:rPr>
        <w:t xml:space="preserve">, </w:t>
      </w:r>
      <w:r w:rsidR="00CF1D8B" w:rsidRPr="00CF1D8B">
        <w:rPr>
          <w:rFonts w:ascii="Verdana" w:hAnsi="Verdana"/>
          <w:i/>
          <w:iCs/>
          <w:sz w:val="16"/>
          <w:szCs w:val="16"/>
          <w:lang w:val="es-ES"/>
        </w:rPr>
        <w:t>supra</w:t>
      </w:r>
      <w:r w:rsidRPr="007959FF">
        <w:rPr>
          <w:rFonts w:ascii="Verdana" w:hAnsi="Verdana"/>
          <w:sz w:val="16"/>
          <w:szCs w:val="16"/>
          <w:lang w:val="es-ES"/>
        </w:rPr>
        <w:t xml:space="preserve">, párr. </w:t>
      </w:r>
      <w:r w:rsidR="007959FF">
        <w:rPr>
          <w:rFonts w:ascii="Verdana" w:hAnsi="Verdana"/>
          <w:sz w:val="16"/>
          <w:szCs w:val="16"/>
          <w:lang w:val="es-ES"/>
        </w:rPr>
        <w:t>103</w:t>
      </w:r>
      <w:r w:rsidRPr="007959FF">
        <w:rPr>
          <w:rFonts w:ascii="Verdana" w:hAnsi="Verdana"/>
          <w:sz w:val="16"/>
          <w:szCs w:val="16"/>
          <w:lang w:val="es-ES"/>
        </w:rPr>
        <w:t xml:space="preserve">, y </w:t>
      </w:r>
      <w:r w:rsidRPr="007959FF">
        <w:rPr>
          <w:rFonts w:ascii="Verdana" w:hAnsi="Verdana"/>
          <w:i/>
          <w:iCs/>
          <w:sz w:val="16"/>
          <w:szCs w:val="16"/>
          <w:lang w:val="es-ES"/>
        </w:rPr>
        <w:t>Caso Vereda La Esperanza Vs. Colombia</w:t>
      </w:r>
      <w:r w:rsidR="000F5BFB">
        <w:rPr>
          <w:rFonts w:ascii="Verdana" w:hAnsi="Verdana"/>
          <w:i/>
          <w:iCs/>
          <w:sz w:val="16"/>
          <w:szCs w:val="16"/>
          <w:lang w:val="es-ES"/>
        </w:rPr>
        <w:t>, supra</w:t>
      </w:r>
      <w:r w:rsidR="007959FF" w:rsidRPr="007959FF">
        <w:rPr>
          <w:rFonts w:ascii="Verdana" w:hAnsi="Verdana"/>
          <w:spacing w:val="-4"/>
          <w:sz w:val="16"/>
          <w:szCs w:val="16"/>
          <w:lang w:val="es-PR"/>
        </w:rPr>
        <w:t>,</w:t>
      </w:r>
      <w:r w:rsidRPr="007959FF">
        <w:rPr>
          <w:rFonts w:ascii="Verdana" w:hAnsi="Verdana"/>
          <w:i/>
          <w:iCs/>
          <w:sz w:val="16"/>
          <w:szCs w:val="16"/>
          <w:lang w:val="es-ES"/>
        </w:rPr>
        <w:t xml:space="preserve"> </w:t>
      </w:r>
      <w:r w:rsidRPr="007959FF">
        <w:rPr>
          <w:rFonts w:ascii="Verdana" w:hAnsi="Verdana"/>
          <w:sz w:val="16"/>
          <w:szCs w:val="16"/>
          <w:lang w:val="es-ES"/>
        </w:rPr>
        <w:t>párr. 250.</w:t>
      </w:r>
      <w:r w:rsidRPr="007C693A">
        <w:rPr>
          <w:rFonts w:ascii="Verdana" w:hAnsi="Verdana"/>
          <w:sz w:val="16"/>
          <w:szCs w:val="16"/>
          <w:lang w:val="es-ES"/>
        </w:rPr>
        <w:t xml:space="preserve">  </w:t>
      </w:r>
    </w:p>
  </w:footnote>
  <w:footnote w:id="207">
    <w:p w14:paraId="1D6BBC33" w14:textId="63254A55" w:rsidR="00AC124E" w:rsidRPr="007C693A" w:rsidRDefault="00AC124E" w:rsidP="00014203">
      <w:pPr>
        <w:jc w:val="both"/>
        <w:rPr>
          <w:rFonts w:ascii="Verdana" w:hAnsi="Verdana"/>
          <w:sz w:val="16"/>
          <w:szCs w:val="16"/>
          <w:lang w:val="es-CR"/>
        </w:rPr>
      </w:pPr>
      <w:r w:rsidRPr="003E42BF">
        <w:rPr>
          <w:rStyle w:val="Refdenotaalpie"/>
        </w:rPr>
        <w:footnoteRef/>
      </w:r>
      <w:r w:rsidRPr="007C693A">
        <w:rPr>
          <w:rFonts w:ascii="Verdana" w:hAnsi="Verdana"/>
          <w:sz w:val="16"/>
          <w:szCs w:val="16"/>
          <w:lang w:val="es-CR"/>
        </w:rPr>
        <w:t xml:space="preserve"> </w:t>
      </w:r>
      <w:r w:rsidRPr="007C693A">
        <w:rPr>
          <w:rFonts w:ascii="Verdana" w:hAnsi="Verdana"/>
          <w:sz w:val="16"/>
          <w:szCs w:val="16"/>
          <w:lang w:val="es-CR"/>
        </w:rPr>
        <w:tab/>
      </w:r>
      <w:r w:rsidRPr="007C693A">
        <w:rPr>
          <w:rFonts w:ascii="Verdana" w:hAnsi="Verdana"/>
          <w:i/>
          <w:sz w:val="16"/>
          <w:szCs w:val="16"/>
          <w:lang w:val="es-CR"/>
        </w:rPr>
        <w:t>Cfr. Caso Trujillo Oroza Vs. Bolivia</w:t>
      </w:r>
      <w:r w:rsidR="000F5BFB">
        <w:rPr>
          <w:rFonts w:ascii="Verdana" w:hAnsi="Verdana"/>
          <w:i/>
          <w:sz w:val="16"/>
          <w:szCs w:val="16"/>
          <w:lang w:val="es-CR"/>
        </w:rPr>
        <w:t>, supra</w:t>
      </w:r>
      <w:r w:rsidRPr="007C693A">
        <w:rPr>
          <w:rFonts w:ascii="Verdana" w:hAnsi="Verdana"/>
          <w:sz w:val="16"/>
          <w:szCs w:val="16"/>
          <w:lang w:val="es-CR"/>
        </w:rPr>
        <w:t>, párr. 114</w:t>
      </w:r>
      <w:r w:rsidR="00781B55">
        <w:rPr>
          <w:rFonts w:ascii="Verdana" w:hAnsi="Verdana"/>
          <w:sz w:val="16"/>
          <w:szCs w:val="16"/>
          <w:lang w:val="es-CR"/>
        </w:rPr>
        <w:t xml:space="preserve">, y </w:t>
      </w:r>
      <w:r w:rsidRPr="007C693A">
        <w:rPr>
          <w:rFonts w:ascii="Verdana" w:hAnsi="Verdana" w:cs="Arial"/>
          <w:i/>
          <w:sz w:val="16"/>
          <w:szCs w:val="16"/>
          <w:shd w:val="clear" w:color="auto" w:fill="FFFFFF"/>
          <w:lang w:val="es-ES"/>
        </w:rPr>
        <w:t>Caso Masacre de la Aldea Los Josefinos Vs. Guatemala</w:t>
      </w:r>
      <w:r w:rsidR="00702944">
        <w:rPr>
          <w:rFonts w:ascii="Verdana" w:hAnsi="Verdana" w:cs="Arial"/>
          <w:i/>
          <w:sz w:val="16"/>
          <w:szCs w:val="16"/>
          <w:shd w:val="clear" w:color="auto" w:fill="FFFFFF"/>
          <w:lang w:val="es-ES"/>
        </w:rPr>
        <w:t>, supra</w:t>
      </w:r>
      <w:r w:rsidRPr="007C693A">
        <w:rPr>
          <w:rFonts w:ascii="Verdana" w:hAnsi="Verdana"/>
          <w:i/>
          <w:sz w:val="16"/>
          <w:szCs w:val="16"/>
          <w:lang w:val="es-PR"/>
        </w:rPr>
        <w:t xml:space="preserve">, </w:t>
      </w:r>
      <w:r w:rsidRPr="007C693A">
        <w:rPr>
          <w:rFonts w:ascii="Verdana" w:hAnsi="Verdana"/>
          <w:sz w:val="16"/>
          <w:szCs w:val="16"/>
          <w:lang w:val="es-PR"/>
        </w:rPr>
        <w:t xml:space="preserve">párr. </w:t>
      </w:r>
      <w:r w:rsidR="00781B55">
        <w:rPr>
          <w:rFonts w:ascii="Verdana" w:hAnsi="Verdana"/>
          <w:sz w:val="16"/>
          <w:szCs w:val="16"/>
          <w:lang w:val="es-PR"/>
        </w:rPr>
        <w:t>122</w:t>
      </w:r>
      <w:r w:rsidRPr="007C693A">
        <w:rPr>
          <w:rFonts w:ascii="Verdana" w:hAnsi="Verdana"/>
          <w:sz w:val="16"/>
          <w:szCs w:val="16"/>
          <w:lang w:val="es-PR"/>
        </w:rPr>
        <w:t>.</w:t>
      </w:r>
    </w:p>
  </w:footnote>
  <w:footnote w:id="208">
    <w:p w14:paraId="6147A4FA" w14:textId="558742C5" w:rsidR="00AC124E" w:rsidRPr="007C693A" w:rsidRDefault="00AC124E" w:rsidP="00014203">
      <w:pPr>
        <w:jc w:val="both"/>
        <w:rPr>
          <w:rFonts w:ascii="Verdana" w:hAnsi="Verdana"/>
          <w:sz w:val="16"/>
          <w:szCs w:val="16"/>
          <w:lang w:val="es-CR"/>
        </w:rPr>
      </w:pPr>
      <w:r w:rsidRPr="003E42BF">
        <w:rPr>
          <w:rStyle w:val="Refdenotaalpie"/>
        </w:rPr>
        <w:footnoteRef/>
      </w:r>
      <w:r w:rsidRPr="00E57AF1">
        <w:rPr>
          <w:rStyle w:val="Refdenotaalpie"/>
          <w:lang w:val="es-CR"/>
        </w:rPr>
        <w:t xml:space="preserve"> </w:t>
      </w:r>
      <w:r w:rsidRPr="007C693A">
        <w:rPr>
          <w:rFonts w:ascii="Verdana" w:hAnsi="Verdana"/>
          <w:sz w:val="16"/>
          <w:szCs w:val="16"/>
          <w:lang w:val="es-CR"/>
        </w:rPr>
        <w:tab/>
      </w:r>
      <w:r w:rsidRPr="007C693A">
        <w:rPr>
          <w:rFonts w:ascii="Verdana" w:hAnsi="Verdana"/>
          <w:i/>
          <w:sz w:val="16"/>
          <w:szCs w:val="16"/>
          <w:lang w:val="es-CR"/>
        </w:rPr>
        <w:t>Cfr.</w:t>
      </w:r>
      <w:r w:rsidRPr="007C693A">
        <w:rPr>
          <w:rFonts w:ascii="Verdana" w:hAnsi="Verdana"/>
          <w:sz w:val="16"/>
          <w:szCs w:val="16"/>
          <w:lang w:val="es-CR"/>
        </w:rPr>
        <w:t xml:space="preserve"> </w:t>
      </w:r>
      <w:r w:rsidRPr="007C693A">
        <w:rPr>
          <w:rFonts w:ascii="Verdana" w:hAnsi="Verdana"/>
          <w:i/>
          <w:sz w:val="16"/>
          <w:szCs w:val="16"/>
          <w:lang w:val="es-CR"/>
        </w:rPr>
        <w:t>Caso Ticona Estrada y otros</w:t>
      </w:r>
      <w:r w:rsidR="00702944">
        <w:rPr>
          <w:rFonts w:ascii="Verdana" w:hAnsi="Verdana"/>
          <w:sz w:val="16"/>
          <w:szCs w:val="16"/>
          <w:lang w:val="es-CR"/>
        </w:rPr>
        <w:t xml:space="preserve">, </w:t>
      </w:r>
      <w:r w:rsidR="00702944" w:rsidRPr="00702944">
        <w:rPr>
          <w:rFonts w:ascii="Verdana" w:hAnsi="Verdana"/>
          <w:i/>
          <w:iCs/>
          <w:sz w:val="16"/>
          <w:szCs w:val="16"/>
          <w:lang w:val="es-CR"/>
        </w:rPr>
        <w:t>supra</w:t>
      </w:r>
      <w:r w:rsidR="00E1296E">
        <w:rPr>
          <w:rFonts w:ascii="Verdana" w:hAnsi="Verdana"/>
          <w:sz w:val="16"/>
          <w:szCs w:val="16"/>
          <w:lang w:val="es-CR"/>
        </w:rPr>
        <w:t>,</w:t>
      </w:r>
      <w:r w:rsidRPr="007C693A">
        <w:rPr>
          <w:rFonts w:ascii="Verdana" w:hAnsi="Verdana"/>
          <w:sz w:val="16"/>
          <w:szCs w:val="16"/>
          <w:lang w:val="es-CR"/>
        </w:rPr>
        <w:t xml:space="preserve"> párr. 155, y </w:t>
      </w:r>
      <w:r w:rsidRPr="007C693A">
        <w:rPr>
          <w:rFonts w:ascii="Verdana" w:hAnsi="Verdana"/>
          <w:i/>
          <w:sz w:val="16"/>
          <w:szCs w:val="16"/>
          <w:lang w:val="es-CR"/>
        </w:rPr>
        <w:t>Caso Chitay Nech y otros</w:t>
      </w:r>
      <w:r w:rsidR="004A7D67">
        <w:rPr>
          <w:rFonts w:ascii="Verdana" w:hAnsi="Verdana"/>
          <w:sz w:val="16"/>
          <w:szCs w:val="16"/>
          <w:lang w:val="es-CR"/>
        </w:rPr>
        <w:t xml:space="preserve"> </w:t>
      </w:r>
      <w:r w:rsidR="004A7D67" w:rsidRPr="00702944">
        <w:rPr>
          <w:rFonts w:ascii="Verdana" w:hAnsi="Verdana"/>
          <w:i/>
          <w:iCs/>
          <w:sz w:val="16"/>
          <w:szCs w:val="16"/>
          <w:lang w:val="es-CR"/>
        </w:rPr>
        <w:t>Vs. Guatemala</w:t>
      </w:r>
      <w:r w:rsidR="004A7D67">
        <w:rPr>
          <w:rFonts w:ascii="Verdana" w:hAnsi="Verdana"/>
          <w:sz w:val="16"/>
          <w:szCs w:val="16"/>
          <w:lang w:val="es-CR"/>
        </w:rPr>
        <w:t xml:space="preserve">. Excepciones Preliminares, Fondo, Reparaciones y Costas. Sentencia 25 de mayo de 2010. </w:t>
      </w:r>
      <w:r w:rsidR="004A7D67" w:rsidRPr="004A7D67">
        <w:rPr>
          <w:rFonts w:ascii="Verdana" w:hAnsi="Verdana"/>
          <w:iCs/>
          <w:sz w:val="16"/>
          <w:szCs w:val="16"/>
          <w:lang w:val="es-CR"/>
        </w:rPr>
        <w:t>Serie C No. 212</w:t>
      </w:r>
      <w:r w:rsidRPr="004A7D67">
        <w:rPr>
          <w:rFonts w:ascii="Verdana" w:hAnsi="Verdana"/>
          <w:iCs/>
          <w:sz w:val="16"/>
          <w:szCs w:val="16"/>
          <w:lang w:val="es-CR"/>
        </w:rPr>
        <w:t>,</w:t>
      </w:r>
      <w:r w:rsidRPr="007C693A">
        <w:rPr>
          <w:rFonts w:ascii="Verdana" w:hAnsi="Verdana"/>
          <w:sz w:val="16"/>
          <w:szCs w:val="16"/>
          <w:lang w:val="es-CR"/>
        </w:rPr>
        <w:t xml:space="preserve"> párr. 222.</w:t>
      </w:r>
      <w:r w:rsidRPr="007C693A">
        <w:rPr>
          <w:rFonts w:ascii="Verdana" w:hAnsi="Verdana" w:cs="Arial"/>
          <w:i/>
          <w:sz w:val="16"/>
          <w:szCs w:val="16"/>
          <w:shd w:val="clear" w:color="auto" w:fill="FFFFFF"/>
          <w:lang w:val="es-ES"/>
        </w:rPr>
        <w:t xml:space="preserve"> </w:t>
      </w:r>
    </w:p>
  </w:footnote>
  <w:footnote w:id="209">
    <w:p w14:paraId="02C4242F" w14:textId="1F122970" w:rsidR="00AC124E" w:rsidRPr="007C693A" w:rsidRDefault="00AC124E" w:rsidP="00014203">
      <w:pPr>
        <w:jc w:val="both"/>
        <w:rPr>
          <w:rFonts w:ascii="Verdana" w:hAnsi="Verdana"/>
          <w:sz w:val="16"/>
          <w:szCs w:val="16"/>
          <w:lang w:val="es-CR"/>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t xml:space="preserve">Peritaje de </w:t>
      </w:r>
      <w:r w:rsidRPr="007C693A">
        <w:rPr>
          <w:rFonts w:ascii="Verdana" w:hAnsi="Verdana"/>
          <w:sz w:val="16"/>
          <w:szCs w:val="16"/>
          <w:lang w:val="es-ES"/>
        </w:rPr>
        <w:t xml:space="preserve">Guiomar Hylea Bejarano Gerke rendido mediante affidavit el </w:t>
      </w:r>
      <w:r w:rsidR="009D63C2">
        <w:rPr>
          <w:rFonts w:ascii="Verdana" w:hAnsi="Verdana"/>
          <w:sz w:val="16"/>
          <w:szCs w:val="16"/>
          <w:lang w:val="es-ES"/>
        </w:rPr>
        <w:t>13 de febrero de 2020</w:t>
      </w:r>
      <w:r w:rsidRPr="007C693A">
        <w:rPr>
          <w:rFonts w:ascii="Verdana" w:hAnsi="Verdana"/>
          <w:sz w:val="16"/>
          <w:szCs w:val="16"/>
          <w:lang w:val="es-ES"/>
        </w:rPr>
        <w:t xml:space="preserve"> (expediente de prueba, fs. </w:t>
      </w:r>
      <w:r w:rsidR="009D63C2">
        <w:rPr>
          <w:rFonts w:ascii="Verdana" w:hAnsi="Verdana"/>
          <w:sz w:val="16"/>
          <w:szCs w:val="16"/>
          <w:lang w:val="es-ES"/>
        </w:rPr>
        <w:t>9020 a 9075</w:t>
      </w:r>
      <w:r w:rsidRPr="007C693A">
        <w:rPr>
          <w:rFonts w:ascii="Verdana" w:hAnsi="Verdana"/>
          <w:sz w:val="16"/>
          <w:szCs w:val="16"/>
          <w:lang w:val="es-ES"/>
        </w:rPr>
        <w:t>)</w:t>
      </w:r>
      <w:r w:rsidR="009D63C2">
        <w:rPr>
          <w:rFonts w:ascii="Verdana" w:hAnsi="Verdana"/>
          <w:sz w:val="16"/>
          <w:szCs w:val="16"/>
          <w:lang w:val="es-ES"/>
        </w:rPr>
        <w:t>.</w:t>
      </w:r>
    </w:p>
  </w:footnote>
  <w:footnote w:id="210">
    <w:p w14:paraId="0A6936E6" w14:textId="27617EE0" w:rsidR="00AC124E" w:rsidRPr="007C693A" w:rsidRDefault="00AC124E" w:rsidP="00014203">
      <w:pPr>
        <w:jc w:val="both"/>
        <w:rPr>
          <w:rFonts w:ascii="Verdana" w:hAnsi="Verdana"/>
          <w:sz w:val="16"/>
          <w:szCs w:val="16"/>
          <w:lang w:val="es-CR"/>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r>
      <w:r w:rsidRPr="007C693A">
        <w:rPr>
          <w:rFonts w:ascii="Verdana" w:hAnsi="Verdana"/>
          <w:i/>
          <w:iCs/>
          <w:sz w:val="16"/>
          <w:szCs w:val="16"/>
          <w:lang w:val="es-ES"/>
        </w:rPr>
        <w:t xml:space="preserve">Cfr. </w:t>
      </w:r>
      <w:r w:rsidRPr="007C693A">
        <w:rPr>
          <w:rFonts w:ascii="Verdana" w:hAnsi="Verdana"/>
          <w:sz w:val="16"/>
          <w:szCs w:val="16"/>
          <w:lang w:val="es-ES"/>
        </w:rPr>
        <w:t>Declaración rendida por Verónica Flores Bedregal</w:t>
      </w:r>
      <w:r w:rsidR="00B11E0B">
        <w:rPr>
          <w:rFonts w:ascii="Verdana" w:hAnsi="Verdana"/>
          <w:sz w:val="16"/>
          <w:szCs w:val="16"/>
          <w:lang w:val="es-ES"/>
        </w:rPr>
        <w:t xml:space="preserve">, </w:t>
      </w:r>
      <w:r w:rsidR="00B11E0B" w:rsidRPr="00B11E0B">
        <w:rPr>
          <w:rFonts w:ascii="Verdana" w:hAnsi="Verdana"/>
          <w:i/>
          <w:iCs/>
          <w:sz w:val="16"/>
          <w:szCs w:val="16"/>
          <w:lang w:val="es-ES"/>
        </w:rPr>
        <w:t>supra</w:t>
      </w:r>
      <w:r w:rsidR="00B11E0B">
        <w:rPr>
          <w:rFonts w:ascii="Verdana" w:hAnsi="Verdana"/>
          <w:sz w:val="16"/>
          <w:szCs w:val="16"/>
          <w:lang w:val="es-ES"/>
        </w:rPr>
        <w:t>.</w:t>
      </w:r>
      <w:r w:rsidRPr="007C693A">
        <w:rPr>
          <w:rFonts w:ascii="Verdana" w:hAnsi="Verdana"/>
          <w:sz w:val="16"/>
          <w:szCs w:val="16"/>
          <w:lang w:val="es-ES"/>
        </w:rPr>
        <w:t xml:space="preserve"> </w:t>
      </w:r>
    </w:p>
  </w:footnote>
  <w:footnote w:id="211">
    <w:p w14:paraId="6F909A00" w14:textId="5D1F19AF" w:rsidR="00AC124E" w:rsidRPr="007C693A" w:rsidRDefault="00AC124E" w:rsidP="00014203">
      <w:pPr>
        <w:jc w:val="both"/>
        <w:rPr>
          <w:rFonts w:ascii="Verdana" w:hAnsi="Verdana"/>
          <w:sz w:val="16"/>
          <w:szCs w:val="16"/>
          <w:lang w:val="es-CR"/>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r>
      <w:r w:rsidRPr="007C693A">
        <w:rPr>
          <w:rFonts w:ascii="Verdana" w:hAnsi="Verdana"/>
          <w:i/>
          <w:iCs/>
          <w:sz w:val="16"/>
          <w:szCs w:val="16"/>
          <w:lang w:val="es-ES"/>
        </w:rPr>
        <w:t xml:space="preserve">Cfr. </w:t>
      </w:r>
      <w:r w:rsidRPr="007C693A">
        <w:rPr>
          <w:rFonts w:ascii="Verdana" w:hAnsi="Verdana"/>
          <w:sz w:val="16"/>
          <w:szCs w:val="16"/>
          <w:lang w:val="es-ES"/>
        </w:rPr>
        <w:t>Declaración rendida por Lilian Teresa Flores Bedregal</w:t>
      </w:r>
      <w:r w:rsidR="008D1047">
        <w:rPr>
          <w:rFonts w:ascii="Verdana" w:hAnsi="Verdana"/>
          <w:sz w:val="16"/>
          <w:szCs w:val="16"/>
          <w:lang w:val="es-ES"/>
        </w:rPr>
        <w:t xml:space="preserve">, </w:t>
      </w:r>
      <w:r w:rsidR="008D1047" w:rsidRPr="008D1047">
        <w:rPr>
          <w:rFonts w:ascii="Verdana" w:hAnsi="Verdana"/>
          <w:i/>
          <w:iCs/>
          <w:sz w:val="16"/>
          <w:szCs w:val="16"/>
          <w:lang w:val="es-ES"/>
        </w:rPr>
        <w:t>supra</w:t>
      </w:r>
      <w:r w:rsidR="008D1047">
        <w:rPr>
          <w:rFonts w:ascii="Verdana" w:hAnsi="Verdana"/>
          <w:sz w:val="16"/>
          <w:szCs w:val="16"/>
          <w:lang w:val="es-ES"/>
        </w:rPr>
        <w:t>.</w:t>
      </w:r>
    </w:p>
  </w:footnote>
  <w:footnote w:id="212">
    <w:p w14:paraId="6BBD1E78" w14:textId="5C726F13" w:rsidR="00AC124E" w:rsidRPr="007C693A" w:rsidRDefault="00AC124E" w:rsidP="00014203">
      <w:pPr>
        <w:jc w:val="both"/>
        <w:rPr>
          <w:rFonts w:ascii="Verdana" w:hAnsi="Verdana"/>
          <w:sz w:val="16"/>
          <w:szCs w:val="16"/>
          <w:lang w:val="es-CR"/>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CR"/>
        </w:rPr>
        <w:tab/>
      </w:r>
      <w:r w:rsidRPr="007C693A">
        <w:rPr>
          <w:rFonts w:ascii="Verdana" w:hAnsi="Verdana"/>
          <w:i/>
          <w:iCs/>
          <w:sz w:val="16"/>
          <w:szCs w:val="16"/>
          <w:lang w:val="es-ES"/>
        </w:rPr>
        <w:t xml:space="preserve">Cfr. </w:t>
      </w:r>
      <w:r w:rsidRPr="007C693A">
        <w:rPr>
          <w:rFonts w:ascii="Verdana" w:hAnsi="Verdana"/>
          <w:sz w:val="16"/>
          <w:szCs w:val="16"/>
          <w:lang w:val="es-ES"/>
        </w:rPr>
        <w:t xml:space="preserve">Declaración rendida por </w:t>
      </w:r>
      <w:r w:rsidR="00C4443E">
        <w:rPr>
          <w:rFonts w:ascii="Verdana" w:hAnsi="Verdana"/>
          <w:sz w:val="16"/>
          <w:szCs w:val="16"/>
          <w:lang w:val="es-ES"/>
        </w:rPr>
        <w:t>Olga</w:t>
      </w:r>
      <w:r w:rsidRPr="007C693A">
        <w:rPr>
          <w:rFonts w:ascii="Verdana" w:hAnsi="Verdana"/>
          <w:sz w:val="16"/>
          <w:szCs w:val="16"/>
          <w:lang w:val="es-ES"/>
        </w:rPr>
        <w:t xml:space="preserve"> Flores Bedregal</w:t>
      </w:r>
      <w:r w:rsidR="00702944" w:rsidRPr="00702944">
        <w:rPr>
          <w:rFonts w:ascii="Verdana" w:hAnsi="Verdana"/>
          <w:i/>
          <w:iCs/>
          <w:sz w:val="16"/>
          <w:szCs w:val="16"/>
          <w:lang w:val="es-ES"/>
        </w:rPr>
        <w:t>, supra</w:t>
      </w:r>
      <w:r w:rsidRPr="007C693A">
        <w:rPr>
          <w:rFonts w:ascii="Verdana" w:hAnsi="Verdana"/>
          <w:i/>
          <w:iCs/>
          <w:sz w:val="16"/>
          <w:szCs w:val="16"/>
          <w:lang w:val="es-ES"/>
        </w:rPr>
        <w:t>.</w:t>
      </w:r>
      <w:r w:rsidRPr="007C693A">
        <w:rPr>
          <w:rFonts w:ascii="Verdana" w:hAnsi="Verdana"/>
          <w:sz w:val="16"/>
          <w:szCs w:val="16"/>
          <w:lang w:val="es-ES"/>
        </w:rPr>
        <w:t xml:space="preserve">  </w:t>
      </w:r>
    </w:p>
  </w:footnote>
  <w:footnote w:id="213">
    <w:p w14:paraId="4B2E6AA4" w14:textId="52D641CA" w:rsidR="00AC124E" w:rsidRPr="007C693A" w:rsidRDefault="00AC124E" w:rsidP="00014203">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006B06CA" w:rsidRPr="007C693A">
        <w:rPr>
          <w:rFonts w:ascii="Verdana" w:hAnsi="Verdana"/>
          <w:sz w:val="16"/>
          <w:szCs w:val="16"/>
          <w:lang w:val="es-MX"/>
        </w:rPr>
        <w:t>Publicación</w:t>
      </w:r>
      <w:r w:rsidR="008D1047">
        <w:rPr>
          <w:rFonts w:ascii="Verdana" w:hAnsi="Verdana"/>
          <w:sz w:val="16"/>
          <w:szCs w:val="16"/>
          <w:lang w:val="es-MX"/>
        </w:rPr>
        <w:t>:</w:t>
      </w:r>
      <w:r w:rsidR="006B06CA" w:rsidRPr="007C693A">
        <w:rPr>
          <w:rFonts w:ascii="Verdana" w:hAnsi="Verdana"/>
          <w:sz w:val="16"/>
          <w:szCs w:val="16"/>
          <w:lang w:val="es-MX"/>
        </w:rPr>
        <w:t xml:space="preserve"> titulada </w:t>
      </w:r>
      <w:r w:rsidR="008D1047">
        <w:rPr>
          <w:rFonts w:ascii="Verdana" w:hAnsi="Verdana"/>
          <w:sz w:val="16"/>
          <w:szCs w:val="16"/>
          <w:lang w:val="es-MX"/>
        </w:rPr>
        <w:t>“</w:t>
      </w:r>
      <w:r w:rsidR="006B06CA" w:rsidRPr="007C693A">
        <w:rPr>
          <w:rFonts w:ascii="Verdana" w:hAnsi="Verdana"/>
          <w:sz w:val="16"/>
          <w:szCs w:val="16"/>
          <w:lang w:val="es-MX"/>
        </w:rPr>
        <w:t>Carta inconclusa a mi hermano Carlos</w:t>
      </w:r>
      <w:r w:rsidR="008D1047">
        <w:rPr>
          <w:rFonts w:ascii="Verdana" w:hAnsi="Verdana"/>
          <w:sz w:val="16"/>
          <w:szCs w:val="16"/>
          <w:lang w:val="es-MX"/>
        </w:rPr>
        <w:t>”</w:t>
      </w:r>
      <w:r w:rsidR="006B06CA" w:rsidRPr="007C693A">
        <w:rPr>
          <w:rFonts w:ascii="Verdana" w:hAnsi="Verdana"/>
          <w:sz w:val="16"/>
          <w:szCs w:val="16"/>
          <w:lang w:val="es-MX"/>
        </w:rPr>
        <w:t xml:space="preserve">, </w:t>
      </w:r>
      <w:r w:rsidRPr="00D8440B">
        <w:rPr>
          <w:rFonts w:ascii="Verdana" w:hAnsi="Verdana"/>
          <w:i/>
          <w:iCs/>
          <w:sz w:val="16"/>
          <w:szCs w:val="16"/>
          <w:lang w:val="es-MX"/>
        </w:rPr>
        <w:t>supra</w:t>
      </w:r>
      <w:r w:rsidR="006B06CA" w:rsidRPr="00D8440B">
        <w:rPr>
          <w:rFonts w:ascii="Verdana" w:hAnsi="Verdana"/>
          <w:sz w:val="16"/>
          <w:szCs w:val="16"/>
          <w:lang w:val="es-MX"/>
        </w:rPr>
        <w:t>.</w:t>
      </w:r>
    </w:p>
  </w:footnote>
  <w:footnote w:id="214">
    <w:p w14:paraId="0B6C2E3E" w14:textId="0432C5A0" w:rsidR="00AC124E" w:rsidRPr="006B06CA" w:rsidRDefault="00AC124E" w:rsidP="00014203">
      <w:pPr>
        <w:jc w:val="both"/>
        <w:rPr>
          <w:rFonts w:ascii="Verdana" w:hAnsi="Verdana"/>
          <w:sz w:val="16"/>
          <w:szCs w:val="16"/>
          <w:highlight w:val="yellow"/>
          <w:lang w:val="es-CL"/>
        </w:rPr>
      </w:pPr>
      <w:r w:rsidRPr="003E42BF">
        <w:rPr>
          <w:rStyle w:val="Refdenotaalpie"/>
        </w:rPr>
        <w:footnoteRef/>
      </w:r>
      <w:r w:rsidRPr="007C693A">
        <w:rPr>
          <w:rFonts w:ascii="Verdana" w:hAnsi="Verdana"/>
          <w:sz w:val="16"/>
          <w:szCs w:val="16"/>
          <w:lang w:val="es-ES"/>
        </w:rPr>
        <w:tab/>
      </w:r>
      <w:r w:rsidRPr="00803395">
        <w:rPr>
          <w:rFonts w:ascii="Verdana" w:hAnsi="Verdana"/>
          <w:i/>
          <w:iCs/>
          <w:sz w:val="16"/>
          <w:szCs w:val="16"/>
          <w:lang w:val="es-ES"/>
        </w:rPr>
        <w:t xml:space="preserve">Cfr. Caso Goiburú y otros Vs. </w:t>
      </w:r>
      <w:r w:rsidRPr="00803395">
        <w:rPr>
          <w:rFonts w:ascii="Verdana" w:hAnsi="Verdana"/>
          <w:sz w:val="16"/>
          <w:szCs w:val="16"/>
          <w:lang w:val="es-ES"/>
        </w:rPr>
        <w:t>Paraguay</w:t>
      </w:r>
      <w:r w:rsidR="00702944" w:rsidRPr="00702944">
        <w:rPr>
          <w:rFonts w:ascii="Verdana" w:hAnsi="Verdana"/>
          <w:i/>
          <w:iCs/>
          <w:sz w:val="16"/>
          <w:szCs w:val="16"/>
          <w:lang w:val="es-ES"/>
        </w:rPr>
        <w:t>, supra</w:t>
      </w:r>
      <w:r w:rsidRPr="00803395">
        <w:rPr>
          <w:rFonts w:ascii="Verdana" w:hAnsi="Verdana"/>
          <w:sz w:val="16"/>
          <w:szCs w:val="16"/>
          <w:lang w:val="es-ES"/>
        </w:rPr>
        <w:t xml:space="preserve">, párr. 103, y </w:t>
      </w:r>
      <w:r w:rsidRPr="00803395">
        <w:rPr>
          <w:rFonts w:ascii="Verdana" w:hAnsi="Verdana"/>
          <w:i/>
          <w:iCs/>
          <w:sz w:val="16"/>
          <w:szCs w:val="16"/>
          <w:lang w:val="es-ES"/>
        </w:rPr>
        <w:t>Caso Rochac Hernández y otros Vs. El Salvador</w:t>
      </w:r>
      <w:r w:rsidR="001000A6" w:rsidRPr="00803395">
        <w:rPr>
          <w:rFonts w:ascii="Verdana" w:hAnsi="Verdana"/>
          <w:i/>
          <w:iCs/>
          <w:sz w:val="16"/>
          <w:szCs w:val="16"/>
          <w:lang w:val="es-ES"/>
        </w:rPr>
        <w:t>. Fondo, Reparaciones y Costas</w:t>
      </w:r>
      <w:r w:rsidR="001000A6" w:rsidRPr="00803395">
        <w:rPr>
          <w:rFonts w:ascii="Verdana" w:hAnsi="Verdana"/>
          <w:sz w:val="16"/>
          <w:szCs w:val="16"/>
          <w:lang w:val="es-ES"/>
        </w:rPr>
        <w:t>. Sentencia de 14 de octubre de 2014</w:t>
      </w:r>
      <w:r w:rsidR="00470905">
        <w:rPr>
          <w:rFonts w:ascii="Verdana" w:hAnsi="Verdana"/>
          <w:i/>
          <w:iCs/>
          <w:sz w:val="16"/>
          <w:szCs w:val="16"/>
          <w:lang w:val="es-ES"/>
        </w:rPr>
        <w:t xml:space="preserve">. </w:t>
      </w:r>
      <w:r w:rsidR="00470905">
        <w:rPr>
          <w:rFonts w:ascii="Verdana" w:hAnsi="Verdana"/>
          <w:sz w:val="16"/>
          <w:szCs w:val="16"/>
          <w:lang w:val="es-ES"/>
        </w:rPr>
        <w:t xml:space="preserve">Serie C No. </w:t>
      </w:r>
      <w:r w:rsidR="00BB0BD2">
        <w:rPr>
          <w:rFonts w:ascii="Verdana" w:hAnsi="Verdana"/>
          <w:sz w:val="16"/>
          <w:szCs w:val="16"/>
          <w:lang w:val="es-ES"/>
        </w:rPr>
        <w:t>285</w:t>
      </w:r>
      <w:r w:rsidR="00470905">
        <w:rPr>
          <w:rFonts w:ascii="Verdana" w:hAnsi="Verdana"/>
          <w:sz w:val="16"/>
          <w:szCs w:val="16"/>
          <w:lang w:val="es-ES"/>
        </w:rPr>
        <w:t>,</w:t>
      </w:r>
      <w:r w:rsidRPr="00803395">
        <w:rPr>
          <w:rFonts w:ascii="Verdana" w:hAnsi="Verdana"/>
          <w:i/>
          <w:iCs/>
          <w:sz w:val="16"/>
          <w:szCs w:val="16"/>
          <w:lang w:val="es-ES"/>
        </w:rPr>
        <w:t xml:space="preserve"> </w:t>
      </w:r>
      <w:r w:rsidRPr="00803395">
        <w:rPr>
          <w:rFonts w:ascii="Verdana" w:hAnsi="Verdana"/>
          <w:sz w:val="16"/>
          <w:szCs w:val="16"/>
          <w:lang w:val="es-ES"/>
        </w:rPr>
        <w:t>párr. 12</w:t>
      </w:r>
      <w:r w:rsidR="001000A6" w:rsidRPr="00803395">
        <w:rPr>
          <w:rFonts w:ascii="Verdana" w:hAnsi="Verdana"/>
          <w:sz w:val="16"/>
          <w:szCs w:val="16"/>
          <w:lang w:val="es-ES"/>
        </w:rPr>
        <w:t>2</w:t>
      </w:r>
      <w:r w:rsidRPr="00803395">
        <w:rPr>
          <w:rFonts w:ascii="Verdana" w:hAnsi="Verdana"/>
          <w:sz w:val="16"/>
          <w:szCs w:val="16"/>
          <w:lang w:val="es-ES"/>
        </w:rPr>
        <w:t xml:space="preserve">.  </w:t>
      </w:r>
    </w:p>
  </w:footnote>
  <w:footnote w:id="215">
    <w:p w14:paraId="5036B246" w14:textId="03942F36" w:rsidR="00AC124E" w:rsidRPr="007C693A" w:rsidRDefault="00AC124E" w:rsidP="00014203">
      <w:pPr>
        <w:jc w:val="both"/>
        <w:rPr>
          <w:rFonts w:ascii="Verdana" w:hAnsi="Verdana"/>
          <w:sz w:val="16"/>
          <w:szCs w:val="16"/>
          <w:lang w:val="es-CR"/>
        </w:rPr>
      </w:pPr>
      <w:r w:rsidRPr="00803395">
        <w:rPr>
          <w:rStyle w:val="Refdenotaalpie"/>
        </w:rPr>
        <w:footnoteRef/>
      </w:r>
      <w:r w:rsidRPr="00803395">
        <w:rPr>
          <w:rStyle w:val="Refdenotaalpie"/>
          <w:lang w:val="es-CR"/>
        </w:rPr>
        <w:t xml:space="preserve"> </w:t>
      </w:r>
      <w:r w:rsidRPr="00803395">
        <w:rPr>
          <w:rFonts w:ascii="Verdana" w:hAnsi="Verdana"/>
          <w:sz w:val="16"/>
          <w:szCs w:val="16"/>
          <w:lang w:val="es-ES"/>
        </w:rPr>
        <w:tab/>
      </w:r>
      <w:r w:rsidR="00236CB2" w:rsidRPr="007C693A">
        <w:rPr>
          <w:rFonts w:ascii="Verdana" w:hAnsi="Verdana"/>
          <w:i/>
          <w:sz w:val="16"/>
          <w:szCs w:val="16"/>
          <w:lang w:val="es-CR"/>
        </w:rPr>
        <w:t xml:space="preserve">Cfr. </w:t>
      </w:r>
      <w:r w:rsidRPr="00803395">
        <w:rPr>
          <w:rFonts w:ascii="Verdana" w:hAnsi="Verdana"/>
          <w:i/>
          <w:iCs/>
          <w:sz w:val="16"/>
          <w:szCs w:val="16"/>
          <w:lang w:val="es-ES"/>
        </w:rPr>
        <w:t>Caso Trujillo Oroza Vs</w:t>
      </w:r>
      <w:r w:rsidRPr="00803395">
        <w:rPr>
          <w:rFonts w:ascii="Verdana" w:hAnsi="Verdana"/>
          <w:sz w:val="16"/>
          <w:szCs w:val="16"/>
          <w:lang w:val="es-ES"/>
        </w:rPr>
        <w:t xml:space="preserve">. </w:t>
      </w:r>
      <w:r w:rsidRPr="00702944">
        <w:rPr>
          <w:rFonts w:ascii="Verdana" w:hAnsi="Verdana"/>
          <w:i/>
          <w:iCs/>
          <w:sz w:val="16"/>
          <w:szCs w:val="16"/>
          <w:lang w:val="es-ES"/>
        </w:rPr>
        <w:t>Bolivia</w:t>
      </w:r>
      <w:r w:rsidR="0069098E">
        <w:rPr>
          <w:rFonts w:ascii="Verdana" w:hAnsi="Verdana"/>
          <w:i/>
          <w:iCs/>
          <w:sz w:val="16"/>
          <w:szCs w:val="16"/>
          <w:lang w:val="es-ES"/>
        </w:rPr>
        <w:t>, supra</w:t>
      </w:r>
      <w:r w:rsidRPr="00803395">
        <w:rPr>
          <w:rFonts w:ascii="Verdana" w:hAnsi="Verdana"/>
          <w:sz w:val="16"/>
          <w:szCs w:val="16"/>
          <w:lang w:val="es-ES"/>
        </w:rPr>
        <w:t>, párr. 114.</w:t>
      </w:r>
    </w:p>
  </w:footnote>
  <w:footnote w:id="216">
    <w:p w14:paraId="32A3369E" w14:textId="77777777" w:rsidR="00AC124E" w:rsidRPr="007C693A" w:rsidRDefault="00AC124E" w:rsidP="006437CB">
      <w:pPr>
        <w:jc w:val="both"/>
        <w:rPr>
          <w:rFonts w:ascii="Verdana" w:hAnsi="Verdana"/>
          <w:sz w:val="16"/>
          <w:szCs w:val="16"/>
          <w:lang w:val="es-ES"/>
        </w:rPr>
      </w:pPr>
      <w:r w:rsidRPr="003E42BF">
        <w:rPr>
          <w:rStyle w:val="Refdenotaalpie"/>
        </w:rPr>
        <w:footnoteRef/>
      </w:r>
      <w:r w:rsidRPr="00E57AF1">
        <w:rPr>
          <w:rStyle w:val="Refdenotaalpie"/>
          <w:lang w:val="es-CR"/>
        </w:rPr>
        <w:t xml:space="preserve"> </w:t>
      </w:r>
      <w:r w:rsidRPr="007C693A">
        <w:rPr>
          <w:rFonts w:ascii="Verdana" w:hAnsi="Verdana"/>
          <w:sz w:val="16"/>
          <w:szCs w:val="16"/>
          <w:lang w:val="es-ES"/>
        </w:rPr>
        <w:tab/>
      </w:r>
      <w:r w:rsidRPr="000B2854">
        <w:rPr>
          <w:rFonts w:ascii="Verdana" w:hAnsi="Verdana"/>
          <w:sz w:val="16"/>
          <w:szCs w:val="16"/>
          <w:lang w:val="es-ES"/>
        </w:rPr>
        <w:t>El artículo 63.1 de la Convención Americana.</w:t>
      </w:r>
      <w:r w:rsidRPr="007C693A">
        <w:rPr>
          <w:rFonts w:ascii="Verdana" w:hAnsi="Verdana"/>
          <w:sz w:val="16"/>
          <w:szCs w:val="16"/>
          <w:lang w:val="es-ES"/>
        </w:rPr>
        <w:t xml:space="preserve"> </w:t>
      </w:r>
    </w:p>
  </w:footnote>
  <w:footnote w:id="217">
    <w:p w14:paraId="5CCFE77C" w14:textId="1651C8F1" w:rsidR="00AC124E" w:rsidRPr="007C693A" w:rsidRDefault="00AC124E" w:rsidP="00190918">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cs="Verdana"/>
          <w:i/>
          <w:sz w:val="16"/>
          <w:szCs w:val="16"/>
          <w:lang w:val="es-ES"/>
        </w:rPr>
        <w:t>Cfr.</w:t>
      </w:r>
      <w:r w:rsidRPr="007C693A">
        <w:rPr>
          <w:rFonts w:ascii="Verdana" w:hAnsi="Verdana" w:cs="Verdana"/>
          <w:sz w:val="16"/>
          <w:szCs w:val="16"/>
          <w:lang w:val="es-ES"/>
        </w:rPr>
        <w:t xml:space="preserve"> </w:t>
      </w:r>
      <w:r w:rsidRPr="007C693A">
        <w:rPr>
          <w:rFonts w:ascii="Verdana" w:hAnsi="Verdana" w:cs="Verdana"/>
          <w:i/>
          <w:sz w:val="16"/>
          <w:szCs w:val="16"/>
          <w:lang w:val="es-ES"/>
        </w:rPr>
        <w:t>Caso Velásquez Rodríguez Vs. Honduras. Reparaciones y Costas</w:t>
      </w:r>
      <w:r w:rsidRPr="007C693A">
        <w:rPr>
          <w:rFonts w:ascii="Verdana" w:hAnsi="Verdana" w:cs="Verdana"/>
          <w:sz w:val="16"/>
          <w:szCs w:val="16"/>
          <w:lang w:val="es-ES"/>
        </w:rPr>
        <w:t>. Sentencia de 21 de julio de 1989. Serie C No. 7, párr. 25</w:t>
      </w:r>
      <w:r w:rsidR="000B2854">
        <w:rPr>
          <w:rFonts w:ascii="Verdana" w:hAnsi="Verdana"/>
          <w:sz w:val="16"/>
          <w:szCs w:val="16"/>
          <w:lang w:val="es-ES"/>
        </w:rPr>
        <w:t>,</w:t>
      </w:r>
      <w:r>
        <w:rPr>
          <w:rFonts w:ascii="Verdana" w:hAnsi="Verdana"/>
          <w:sz w:val="16"/>
          <w:szCs w:val="16"/>
          <w:lang w:val="es-ES"/>
        </w:rPr>
        <w:t xml:space="preserve"> y </w:t>
      </w:r>
      <w:r>
        <w:rPr>
          <w:rFonts w:ascii="Verdana" w:hAnsi="Verdana" w:cs="Verdana"/>
          <w:sz w:val="16"/>
          <w:szCs w:val="16"/>
          <w:lang w:val="es-ES"/>
        </w:rPr>
        <w:t xml:space="preserve">Caso </w:t>
      </w:r>
      <w:r w:rsidRPr="00180C68">
        <w:rPr>
          <w:rFonts w:ascii="Verdana" w:hAnsi="Verdana" w:cs="Verdana"/>
          <w:i/>
          <w:sz w:val="16"/>
          <w:szCs w:val="16"/>
          <w:lang w:val="es-ES"/>
        </w:rPr>
        <w:t>Deras García y otros Vs. Honduras. Fondo, Reparaciones y Costas.</w:t>
      </w:r>
      <w:r>
        <w:rPr>
          <w:rFonts w:ascii="Verdana" w:hAnsi="Verdana" w:cs="Verdana"/>
          <w:sz w:val="16"/>
          <w:szCs w:val="16"/>
          <w:lang w:val="es-ES"/>
        </w:rPr>
        <w:t xml:space="preserve"> Sentencia de 25 de agosto de 2022. Serie C No. 462, párr. 90.</w:t>
      </w:r>
    </w:p>
  </w:footnote>
  <w:footnote w:id="218">
    <w:p w14:paraId="2EF05F5B" w14:textId="5102BCB7" w:rsidR="00AC124E" w:rsidRPr="007C693A" w:rsidRDefault="00AC124E" w:rsidP="00014203">
      <w:pPr>
        <w:jc w:val="both"/>
        <w:rPr>
          <w:rFonts w:ascii="Verdana" w:hAnsi="Verdana" w:cs="Verdana"/>
          <w:sz w:val="16"/>
          <w:szCs w:val="16"/>
          <w:lang w:val="es-ES"/>
        </w:rPr>
      </w:pPr>
      <w:r w:rsidRPr="003E42BF">
        <w:rPr>
          <w:rStyle w:val="Refdenotaalpie"/>
        </w:rPr>
        <w:footnoteRef/>
      </w:r>
      <w:r w:rsidRPr="00E57AF1">
        <w:rPr>
          <w:rStyle w:val="Refdenotaalpie"/>
          <w:lang w:val="es-CR"/>
        </w:rPr>
        <w:t xml:space="preserve"> </w:t>
      </w:r>
      <w:r w:rsidRPr="007C693A">
        <w:rPr>
          <w:rFonts w:ascii="Verdana" w:hAnsi="Verdana"/>
          <w:sz w:val="16"/>
          <w:szCs w:val="16"/>
          <w:lang w:val="es-ES"/>
        </w:rPr>
        <w:tab/>
      </w:r>
      <w:r w:rsidRPr="007C693A">
        <w:rPr>
          <w:rFonts w:ascii="Verdana" w:hAnsi="Verdana" w:cs="Verdana"/>
          <w:i/>
          <w:sz w:val="16"/>
          <w:szCs w:val="16"/>
          <w:lang w:val="es-ES"/>
        </w:rPr>
        <w:t>Cfr.</w:t>
      </w:r>
      <w:r w:rsidRPr="007C693A">
        <w:rPr>
          <w:rFonts w:ascii="Verdana" w:hAnsi="Verdana" w:cs="Verdana"/>
          <w:sz w:val="16"/>
          <w:szCs w:val="16"/>
          <w:lang w:val="es-ES"/>
        </w:rPr>
        <w:t xml:space="preserve"> </w:t>
      </w:r>
      <w:r w:rsidRPr="007C693A">
        <w:rPr>
          <w:rFonts w:ascii="Verdana" w:hAnsi="Verdana" w:cs="Verdana"/>
          <w:i/>
          <w:sz w:val="16"/>
          <w:szCs w:val="16"/>
          <w:lang w:val="es-ES"/>
        </w:rPr>
        <w:t>Caso Velásquez Rodríguez Vs. Honduras</w:t>
      </w:r>
      <w:r w:rsidR="003B3E61">
        <w:rPr>
          <w:rFonts w:ascii="Verdana" w:hAnsi="Verdana" w:cs="Verdana"/>
          <w:i/>
          <w:sz w:val="16"/>
          <w:szCs w:val="16"/>
          <w:lang w:val="es-ES"/>
        </w:rPr>
        <w:t>.</w:t>
      </w:r>
      <w:r w:rsidR="003B3E61" w:rsidRPr="003B3E61">
        <w:rPr>
          <w:rFonts w:ascii="Verdana" w:hAnsi="Verdana" w:cs="Verdana"/>
          <w:i/>
          <w:sz w:val="16"/>
          <w:szCs w:val="16"/>
          <w:lang w:val="es-ES"/>
        </w:rPr>
        <w:t xml:space="preserve"> </w:t>
      </w:r>
      <w:r w:rsidR="003B3E61" w:rsidRPr="007C693A">
        <w:rPr>
          <w:rFonts w:ascii="Verdana" w:hAnsi="Verdana" w:cs="Verdana"/>
          <w:i/>
          <w:sz w:val="16"/>
          <w:szCs w:val="16"/>
          <w:lang w:val="es-ES"/>
        </w:rPr>
        <w:t>Reparaciones y Costas</w:t>
      </w:r>
      <w:r w:rsidR="00702944">
        <w:rPr>
          <w:rFonts w:ascii="Verdana" w:hAnsi="Verdana" w:cs="Verdana"/>
          <w:i/>
          <w:sz w:val="16"/>
          <w:szCs w:val="16"/>
          <w:lang w:val="es-ES"/>
        </w:rPr>
        <w:t>, supra</w:t>
      </w:r>
      <w:r>
        <w:rPr>
          <w:rFonts w:ascii="Verdana" w:hAnsi="Verdana" w:cs="Verdana"/>
          <w:sz w:val="16"/>
          <w:szCs w:val="16"/>
          <w:lang w:val="es-ES"/>
        </w:rPr>
        <w:t>,</w:t>
      </w:r>
      <w:r w:rsidR="00702944">
        <w:rPr>
          <w:rFonts w:ascii="Verdana" w:hAnsi="Verdana" w:cs="Verdana"/>
          <w:sz w:val="16"/>
          <w:szCs w:val="16"/>
          <w:lang w:val="es-ES"/>
        </w:rPr>
        <w:t xml:space="preserve"> </w:t>
      </w:r>
      <w:r w:rsidRPr="007C693A">
        <w:rPr>
          <w:rFonts w:ascii="Verdana" w:hAnsi="Verdana" w:cs="Verdana"/>
          <w:sz w:val="16"/>
          <w:szCs w:val="16"/>
          <w:lang w:val="es-ES"/>
        </w:rPr>
        <w:t>párr. 26</w:t>
      </w:r>
      <w:r w:rsidR="000B2854">
        <w:rPr>
          <w:rFonts w:ascii="Verdana" w:hAnsi="Verdana"/>
          <w:sz w:val="16"/>
          <w:szCs w:val="16"/>
          <w:lang w:val="es-ES"/>
        </w:rPr>
        <w:t>,</w:t>
      </w:r>
      <w:r>
        <w:rPr>
          <w:rFonts w:ascii="Verdana" w:hAnsi="Verdana"/>
          <w:sz w:val="16"/>
          <w:szCs w:val="16"/>
          <w:lang w:val="es-ES"/>
        </w:rPr>
        <w:t xml:space="preserve"> y </w:t>
      </w:r>
      <w:r>
        <w:rPr>
          <w:rFonts w:ascii="Verdana" w:hAnsi="Verdana" w:cs="Verdana"/>
          <w:sz w:val="16"/>
          <w:szCs w:val="16"/>
          <w:lang w:val="es-ES"/>
        </w:rPr>
        <w:t xml:space="preserve">Caso </w:t>
      </w:r>
      <w:r w:rsidRPr="00180C68">
        <w:rPr>
          <w:rFonts w:ascii="Verdana" w:hAnsi="Verdana" w:cs="Verdana"/>
          <w:i/>
          <w:sz w:val="16"/>
          <w:szCs w:val="16"/>
          <w:lang w:val="es-ES"/>
        </w:rPr>
        <w:t>Deras García y otros Vs. Honduras</w:t>
      </w:r>
      <w:r w:rsidR="00236CB2">
        <w:rPr>
          <w:rFonts w:ascii="Verdana" w:hAnsi="Verdana" w:cs="Verdana"/>
          <w:i/>
          <w:sz w:val="16"/>
          <w:szCs w:val="16"/>
          <w:lang w:val="es-ES"/>
        </w:rPr>
        <w:t>, supra</w:t>
      </w:r>
      <w:r>
        <w:rPr>
          <w:rFonts w:ascii="Verdana" w:hAnsi="Verdana" w:cs="Verdana"/>
          <w:sz w:val="16"/>
          <w:szCs w:val="16"/>
          <w:lang w:val="es-ES"/>
        </w:rPr>
        <w:t>, párr. 91</w:t>
      </w:r>
      <w:r w:rsidR="00702944">
        <w:rPr>
          <w:rFonts w:ascii="Verdana" w:hAnsi="Verdana" w:cs="Verdana"/>
          <w:sz w:val="16"/>
          <w:szCs w:val="16"/>
          <w:lang w:val="es-ES"/>
        </w:rPr>
        <w:t>.</w:t>
      </w:r>
    </w:p>
  </w:footnote>
  <w:footnote w:id="219">
    <w:p w14:paraId="568701B2" w14:textId="07EA0EFD" w:rsidR="00AC124E" w:rsidRPr="007C693A" w:rsidRDefault="00AC124E" w:rsidP="00014203">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cs="Verdana"/>
          <w:i/>
          <w:sz w:val="16"/>
          <w:szCs w:val="16"/>
          <w:lang w:val="es-ES"/>
        </w:rPr>
        <w:t>Cfr. Caso Cantoral Benavides Vs. Perú. Reparaciones y Costas</w:t>
      </w:r>
      <w:r w:rsidRPr="007C693A">
        <w:rPr>
          <w:rFonts w:ascii="Verdana" w:hAnsi="Verdana" w:cs="Verdana"/>
          <w:sz w:val="16"/>
          <w:szCs w:val="16"/>
          <w:lang w:val="es-ES"/>
        </w:rPr>
        <w:t>. Sentencia de 3 de diciembre de 2001. Serie C No. 88, párrs. 79 a 81</w:t>
      </w:r>
      <w:r>
        <w:rPr>
          <w:rFonts w:ascii="Verdana" w:hAnsi="Verdana"/>
          <w:sz w:val="16"/>
          <w:szCs w:val="16"/>
          <w:lang w:val="es-ES"/>
        </w:rPr>
        <w:t xml:space="preserve">, y </w:t>
      </w:r>
      <w:r w:rsidRPr="006E3EE4">
        <w:rPr>
          <w:rFonts w:ascii="Verdana" w:hAnsi="Verdana" w:cs="Verdana"/>
          <w:i/>
          <w:iCs/>
          <w:sz w:val="16"/>
          <w:szCs w:val="16"/>
          <w:lang w:val="es-ES"/>
        </w:rPr>
        <w:t>Caso</w:t>
      </w:r>
      <w:r>
        <w:rPr>
          <w:rFonts w:ascii="Verdana" w:hAnsi="Verdana" w:cs="Verdana"/>
          <w:sz w:val="16"/>
          <w:szCs w:val="16"/>
          <w:lang w:val="es-ES"/>
        </w:rPr>
        <w:t xml:space="preserve"> </w:t>
      </w:r>
      <w:r w:rsidRPr="00180C68">
        <w:rPr>
          <w:rFonts w:ascii="Verdana" w:hAnsi="Verdana" w:cs="Verdana"/>
          <w:i/>
          <w:sz w:val="16"/>
          <w:szCs w:val="16"/>
          <w:lang w:val="es-ES"/>
        </w:rPr>
        <w:t>Deras García y otros Vs. Honduras</w:t>
      </w:r>
      <w:r w:rsidR="00702944">
        <w:rPr>
          <w:rFonts w:ascii="Verdana" w:hAnsi="Verdana" w:cs="Verdana"/>
          <w:i/>
          <w:sz w:val="16"/>
          <w:szCs w:val="16"/>
          <w:lang w:val="es-ES"/>
        </w:rPr>
        <w:t>, supra</w:t>
      </w:r>
      <w:r>
        <w:rPr>
          <w:rFonts w:ascii="Verdana" w:hAnsi="Verdana" w:cs="Verdana"/>
          <w:sz w:val="16"/>
          <w:szCs w:val="16"/>
          <w:lang w:val="es-ES"/>
        </w:rPr>
        <w:t>, párr. 9</w:t>
      </w:r>
      <w:r w:rsidR="00662F19">
        <w:rPr>
          <w:rFonts w:ascii="Verdana" w:hAnsi="Verdana" w:cs="Verdana"/>
          <w:sz w:val="16"/>
          <w:szCs w:val="16"/>
          <w:lang w:val="es-ES"/>
        </w:rPr>
        <w:t>2</w:t>
      </w:r>
      <w:r w:rsidR="00470905">
        <w:rPr>
          <w:rFonts w:ascii="Verdana" w:hAnsi="Verdana" w:cs="Verdana"/>
          <w:sz w:val="16"/>
          <w:szCs w:val="16"/>
          <w:lang w:val="es-ES"/>
        </w:rPr>
        <w:t>.</w:t>
      </w:r>
    </w:p>
  </w:footnote>
  <w:footnote w:id="220">
    <w:p w14:paraId="1458E920" w14:textId="1C42EF09" w:rsidR="00AC124E" w:rsidRPr="007C693A" w:rsidRDefault="00AC124E" w:rsidP="00014203">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cs="Verdana"/>
          <w:i/>
          <w:sz w:val="16"/>
          <w:szCs w:val="16"/>
          <w:lang w:val="es-ES"/>
        </w:rPr>
        <w:t>Cfr.</w:t>
      </w:r>
      <w:r w:rsidRPr="007C693A">
        <w:rPr>
          <w:rFonts w:ascii="Verdana" w:hAnsi="Verdana" w:cs="Verdana"/>
          <w:sz w:val="16"/>
          <w:szCs w:val="16"/>
          <w:lang w:val="es-ES"/>
        </w:rPr>
        <w:t xml:space="preserve"> </w:t>
      </w:r>
      <w:r w:rsidRPr="007C693A">
        <w:rPr>
          <w:rFonts w:ascii="Verdana" w:hAnsi="Verdana" w:cs="Verdana"/>
          <w:i/>
          <w:sz w:val="16"/>
          <w:szCs w:val="16"/>
          <w:lang w:val="es-ES"/>
        </w:rPr>
        <w:t>Caso Ticona Estrada y otros Vs. Bolivia</w:t>
      </w:r>
      <w:r w:rsidR="00702944">
        <w:rPr>
          <w:rFonts w:ascii="Verdana" w:hAnsi="Verdana" w:cs="Verdana"/>
          <w:i/>
          <w:sz w:val="16"/>
          <w:szCs w:val="16"/>
          <w:lang w:val="es-ES"/>
        </w:rPr>
        <w:t>, supra</w:t>
      </w:r>
      <w:r w:rsidRPr="007C693A">
        <w:rPr>
          <w:rFonts w:ascii="Verdana" w:hAnsi="Verdana" w:cs="Verdana"/>
          <w:sz w:val="16"/>
          <w:szCs w:val="16"/>
          <w:lang w:val="es-ES"/>
        </w:rPr>
        <w:t>, párr. 110</w:t>
      </w:r>
      <w:r w:rsidR="000B2854">
        <w:rPr>
          <w:rFonts w:ascii="Verdana" w:hAnsi="Verdana" w:cs="Verdana"/>
          <w:sz w:val="16"/>
          <w:szCs w:val="16"/>
          <w:lang w:val="es-ES"/>
        </w:rPr>
        <w:t>,</w:t>
      </w:r>
      <w:r>
        <w:rPr>
          <w:rFonts w:ascii="Verdana" w:hAnsi="Verdana" w:cs="Verdana"/>
          <w:sz w:val="16"/>
          <w:szCs w:val="16"/>
          <w:lang w:val="es-ES"/>
        </w:rPr>
        <w:t xml:space="preserve"> </w:t>
      </w:r>
      <w:r w:rsidRPr="007C693A">
        <w:rPr>
          <w:rFonts w:ascii="Verdana" w:hAnsi="Verdana" w:cs="Verdana"/>
          <w:sz w:val="16"/>
          <w:szCs w:val="16"/>
          <w:lang w:val="es-ES"/>
        </w:rPr>
        <w:t xml:space="preserve">y </w:t>
      </w:r>
      <w:r>
        <w:rPr>
          <w:rFonts w:ascii="Verdana" w:hAnsi="Verdana" w:cs="Verdana"/>
          <w:i/>
          <w:sz w:val="16"/>
          <w:szCs w:val="16"/>
          <w:lang w:val="es-ES"/>
        </w:rPr>
        <w:t xml:space="preserve">Caso </w:t>
      </w:r>
      <w:r w:rsidRPr="00180C68">
        <w:rPr>
          <w:rFonts w:ascii="Verdana" w:hAnsi="Verdana" w:cs="Verdana"/>
          <w:i/>
          <w:sz w:val="16"/>
          <w:szCs w:val="16"/>
          <w:lang w:val="es-ES"/>
        </w:rPr>
        <w:t>Deras García y otros Vs. Honduras</w:t>
      </w:r>
      <w:r w:rsidR="00702944">
        <w:rPr>
          <w:rFonts w:ascii="Verdana" w:hAnsi="Verdana" w:cs="Verdana"/>
          <w:i/>
          <w:sz w:val="16"/>
          <w:szCs w:val="16"/>
          <w:lang w:val="es-ES"/>
        </w:rPr>
        <w:t>, supra</w:t>
      </w:r>
      <w:r>
        <w:rPr>
          <w:rFonts w:ascii="Verdana" w:hAnsi="Verdana" w:cs="Verdana"/>
          <w:sz w:val="16"/>
          <w:szCs w:val="16"/>
          <w:lang w:val="es-ES"/>
        </w:rPr>
        <w:t>, párr. 92.</w:t>
      </w:r>
      <w:r>
        <w:rPr>
          <w:rFonts w:ascii="Verdana" w:hAnsi="Verdana" w:cs="Verdana"/>
          <w:i/>
          <w:sz w:val="16"/>
          <w:szCs w:val="16"/>
          <w:lang w:val="es-ES"/>
        </w:rPr>
        <w:t xml:space="preserve"> </w:t>
      </w:r>
      <w:r w:rsidRPr="007C693A">
        <w:rPr>
          <w:rFonts w:ascii="Verdana" w:hAnsi="Verdana" w:cs="Verdana"/>
          <w:sz w:val="16"/>
          <w:szCs w:val="16"/>
          <w:lang w:val="es-ES"/>
        </w:rPr>
        <w:t xml:space="preserve"> </w:t>
      </w:r>
    </w:p>
  </w:footnote>
  <w:footnote w:id="221">
    <w:p w14:paraId="18D0CA9E" w14:textId="2C000E55" w:rsidR="00AC124E" w:rsidRPr="007C693A" w:rsidRDefault="00AC124E" w:rsidP="00014203">
      <w:pPr>
        <w:autoSpaceDE w:val="0"/>
        <w:autoSpaceDN w:val="0"/>
        <w:jc w:val="both"/>
        <w:rPr>
          <w:rFonts w:ascii="Verdana" w:hAnsi="Verdana"/>
          <w:sz w:val="16"/>
          <w:szCs w:val="16"/>
          <w:lang w:val="es-ES" w:eastAsia="es-PE"/>
        </w:rPr>
      </w:pPr>
      <w:r w:rsidRPr="003E42BF">
        <w:rPr>
          <w:rStyle w:val="Refdenotaalpie"/>
        </w:rPr>
        <w:footnoteRef/>
      </w:r>
      <w:r w:rsidRPr="007C693A">
        <w:rPr>
          <w:rFonts w:ascii="Verdana" w:hAnsi="Verdana" w:cs="Verdana"/>
          <w:bCs/>
          <w:sz w:val="16"/>
          <w:szCs w:val="16"/>
          <w:lang w:val="es-ES"/>
        </w:rPr>
        <w:tab/>
      </w:r>
      <w:r w:rsidRPr="007C693A">
        <w:rPr>
          <w:rFonts w:ascii="Verdana" w:hAnsi="Verdana"/>
          <w:i/>
          <w:sz w:val="16"/>
          <w:szCs w:val="16"/>
          <w:lang w:val="es-ES"/>
        </w:rPr>
        <w:t>Cfr.</w:t>
      </w:r>
      <w:r w:rsidRPr="007C693A">
        <w:rPr>
          <w:rFonts w:ascii="Verdana" w:hAnsi="Verdana"/>
          <w:bCs/>
          <w:i/>
          <w:sz w:val="16"/>
          <w:szCs w:val="16"/>
          <w:lang w:val="es-ES"/>
        </w:rPr>
        <w:t xml:space="preserve"> Caso Velásquez Rodríguez Vs. Honduras</w:t>
      </w:r>
      <w:r w:rsidR="003042A6">
        <w:rPr>
          <w:rFonts w:ascii="Verdana" w:hAnsi="Verdana"/>
          <w:bCs/>
          <w:i/>
          <w:sz w:val="16"/>
          <w:szCs w:val="16"/>
          <w:lang w:val="es-ES"/>
        </w:rPr>
        <w:t>. Reparaciones y Costas,</w:t>
      </w:r>
      <w:r w:rsidR="005E070D">
        <w:rPr>
          <w:rFonts w:ascii="Verdana" w:hAnsi="Verdana"/>
          <w:bCs/>
          <w:i/>
          <w:sz w:val="16"/>
          <w:szCs w:val="16"/>
          <w:lang w:val="es-ES"/>
        </w:rPr>
        <w:t xml:space="preserve"> </w:t>
      </w:r>
      <w:r w:rsidR="00702944">
        <w:rPr>
          <w:rFonts w:ascii="Verdana" w:hAnsi="Verdana"/>
          <w:bCs/>
          <w:i/>
          <w:sz w:val="16"/>
          <w:szCs w:val="16"/>
          <w:lang w:val="es-ES"/>
        </w:rPr>
        <w:t>supra</w:t>
      </w:r>
      <w:r>
        <w:rPr>
          <w:rFonts w:ascii="Verdana" w:hAnsi="Verdana" w:cs="Verdana"/>
          <w:sz w:val="16"/>
          <w:szCs w:val="16"/>
          <w:lang w:val="es-ES"/>
        </w:rPr>
        <w:t>,</w:t>
      </w:r>
      <w:r w:rsidRPr="007C693A">
        <w:rPr>
          <w:rFonts w:ascii="Verdana" w:hAnsi="Verdana"/>
          <w:sz w:val="16"/>
          <w:szCs w:val="16"/>
          <w:lang w:val="es-ES"/>
        </w:rPr>
        <w:t xml:space="preserve"> párrs. 25 a 27, </w:t>
      </w:r>
      <w:r>
        <w:rPr>
          <w:rFonts w:ascii="Verdana" w:hAnsi="Verdana"/>
          <w:iCs/>
          <w:sz w:val="16"/>
          <w:szCs w:val="16"/>
          <w:lang w:val="es-ES" w:eastAsia="es-PE"/>
        </w:rPr>
        <w:t xml:space="preserve">y </w:t>
      </w:r>
      <w:r>
        <w:rPr>
          <w:rFonts w:ascii="Verdana" w:hAnsi="Verdana" w:cs="Verdana"/>
          <w:i/>
          <w:sz w:val="16"/>
          <w:szCs w:val="16"/>
          <w:lang w:val="es-ES"/>
        </w:rPr>
        <w:t xml:space="preserve">Caso </w:t>
      </w:r>
      <w:r w:rsidRPr="00180C68">
        <w:rPr>
          <w:rFonts w:ascii="Verdana" w:hAnsi="Verdana" w:cs="Verdana"/>
          <w:i/>
          <w:sz w:val="16"/>
          <w:szCs w:val="16"/>
          <w:lang w:val="es-ES"/>
        </w:rPr>
        <w:t>Deras García y otros Vs. Honduras</w:t>
      </w:r>
      <w:r w:rsidR="00702944">
        <w:rPr>
          <w:rFonts w:ascii="Verdana" w:hAnsi="Verdana" w:cs="Verdana"/>
          <w:i/>
          <w:sz w:val="16"/>
          <w:szCs w:val="16"/>
          <w:lang w:val="es-ES"/>
        </w:rPr>
        <w:t>, supra</w:t>
      </w:r>
      <w:r>
        <w:rPr>
          <w:rFonts w:ascii="Verdana" w:hAnsi="Verdana" w:cs="Verdana"/>
          <w:sz w:val="16"/>
          <w:szCs w:val="16"/>
          <w:lang w:val="es-ES"/>
        </w:rPr>
        <w:t xml:space="preserve">, párr. </w:t>
      </w:r>
      <w:r w:rsidR="00662F19">
        <w:rPr>
          <w:rFonts w:ascii="Verdana" w:hAnsi="Verdana" w:cs="Verdana"/>
          <w:sz w:val="16"/>
          <w:szCs w:val="16"/>
          <w:lang w:val="es-ES"/>
        </w:rPr>
        <w:t>93</w:t>
      </w:r>
      <w:r w:rsidR="000B2854">
        <w:rPr>
          <w:rFonts w:ascii="Verdana" w:hAnsi="Verdana" w:cs="Verdana"/>
          <w:sz w:val="16"/>
          <w:szCs w:val="16"/>
          <w:lang w:val="es-ES"/>
        </w:rPr>
        <w:t>.</w:t>
      </w:r>
    </w:p>
  </w:footnote>
  <w:footnote w:id="222">
    <w:p w14:paraId="10579333" w14:textId="094B0A63" w:rsidR="00AC124E" w:rsidRPr="007C693A" w:rsidRDefault="00AC124E" w:rsidP="00014203">
      <w:pPr>
        <w:jc w:val="both"/>
        <w:rPr>
          <w:rFonts w:ascii="Verdana" w:hAnsi="Verdana"/>
          <w:sz w:val="16"/>
          <w:szCs w:val="16"/>
          <w:lang w:val="es-ES"/>
        </w:rPr>
      </w:pPr>
      <w:r w:rsidRPr="003E42BF">
        <w:rPr>
          <w:rStyle w:val="Refdenotaalpie"/>
        </w:rPr>
        <w:footnoteRef/>
      </w:r>
      <w:r w:rsidRPr="00E57AF1">
        <w:rPr>
          <w:rStyle w:val="Refdenotaalpie"/>
          <w:lang w:val="es-CR"/>
        </w:rPr>
        <w:t xml:space="preserve"> </w:t>
      </w:r>
      <w:r w:rsidRPr="007C693A">
        <w:rPr>
          <w:rFonts w:ascii="Verdana" w:hAnsi="Verdana"/>
          <w:sz w:val="16"/>
          <w:szCs w:val="16"/>
          <w:lang w:val="es-ES"/>
        </w:rPr>
        <w:tab/>
        <w:t>L</w:t>
      </w:r>
      <w:r w:rsidRPr="007C693A">
        <w:rPr>
          <w:rFonts w:ascii="Verdana" w:hAnsi="Verdana"/>
          <w:sz w:val="16"/>
          <w:szCs w:val="16"/>
          <w:lang w:val="es-CR"/>
        </w:rPr>
        <w:t>a señora Adela Hortensia Villamil, quien se presentó como compañera de vida del señor Flores Bedregal en un reclamo separado ante la Comisión Interamericana, no participa como víctima en el presente caso y</w:t>
      </w:r>
      <w:r w:rsidR="00503FBC">
        <w:rPr>
          <w:rFonts w:ascii="Verdana" w:hAnsi="Verdana"/>
          <w:sz w:val="16"/>
          <w:szCs w:val="16"/>
          <w:lang w:val="es-CR"/>
        </w:rPr>
        <w:t>,</w:t>
      </w:r>
      <w:r w:rsidRPr="007C693A">
        <w:rPr>
          <w:rFonts w:ascii="Verdana" w:hAnsi="Verdana"/>
          <w:sz w:val="16"/>
          <w:szCs w:val="16"/>
          <w:lang w:val="es-CR"/>
        </w:rPr>
        <w:t xml:space="preserve"> por lo tanto</w:t>
      </w:r>
      <w:r w:rsidR="00503FBC">
        <w:rPr>
          <w:rFonts w:ascii="Verdana" w:hAnsi="Verdana"/>
          <w:sz w:val="16"/>
          <w:szCs w:val="16"/>
          <w:lang w:val="es-CR"/>
        </w:rPr>
        <w:t>,</w:t>
      </w:r>
      <w:r w:rsidRPr="007C693A">
        <w:rPr>
          <w:rFonts w:ascii="Verdana" w:hAnsi="Verdana"/>
          <w:sz w:val="16"/>
          <w:szCs w:val="16"/>
          <w:lang w:val="es-CR"/>
        </w:rPr>
        <w:t xml:space="preserve"> no se la considera como parte lesionada a efectos de la determinación de las medidas de reparación de la presente Sentencia. Es de conocimiento de la Corte que la señora Villamil alcanzó un acuerdo directo con el Estado que no ha sido avalado por la Comisión, como resultado del cual ya se ha hecho beneficiaria de medidas de satisfacción y medidas de carácter pecuniario</w:t>
      </w:r>
      <w:r w:rsidR="00662F19">
        <w:rPr>
          <w:rFonts w:ascii="Verdana" w:hAnsi="Verdana"/>
          <w:sz w:val="16"/>
          <w:szCs w:val="16"/>
          <w:lang w:val="es-CR"/>
        </w:rPr>
        <w:t xml:space="preserve"> (</w:t>
      </w:r>
      <w:r w:rsidR="00662F19" w:rsidRPr="00F048DB">
        <w:rPr>
          <w:rFonts w:ascii="Verdana" w:hAnsi="Verdana"/>
          <w:i/>
          <w:iCs/>
          <w:sz w:val="16"/>
          <w:szCs w:val="16"/>
          <w:lang w:val="es-CR"/>
        </w:rPr>
        <w:t>supra</w:t>
      </w:r>
      <w:r w:rsidR="00662F19">
        <w:rPr>
          <w:rFonts w:ascii="Verdana" w:hAnsi="Verdana"/>
          <w:sz w:val="16"/>
          <w:szCs w:val="16"/>
          <w:lang w:val="es-CR"/>
        </w:rPr>
        <w:t xml:space="preserve"> nota a pie de página 28)</w:t>
      </w:r>
      <w:r w:rsidRPr="007C693A">
        <w:rPr>
          <w:rFonts w:ascii="Verdana" w:hAnsi="Verdana"/>
          <w:sz w:val="16"/>
          <w:szCs w:val="16"/>
          <w:lang w:val="es-CR"/>
        </w:rPr>
        <w:t>.</w:t>
      </w:r>
    </w:p>
  </w:footnote>
  <w:footnote w:id="223">
    <w:p w14:paraId="73961C8A" w14:textId="018D09A5" w:rsidR="00AC124E" w:rsidRPr="007C693A" w:rsidRDefault="00AC124E" w:rsidP="00014203">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7C693A">
        <w:rPr>
          <w:rFonts w:ascii="Verdana" w:hAnsi="Verdana"/>
          <w:i/>
          <w:iCs/>
          <w:sz w:val="16"/>
          <w:szCs w:val="16"/>
          <w:lang w:val="es-ES"/>
        </w:rPr>
        <w:t>Cfr</w:t>
      </w:r>
      <w:r w:rsidRPr="007C693A">
        <w:rPr>
          <w:rFonts w:ascii="Verdana" w:hAnsi="Verdana"/>
          <w:sz w:val="16"/>
          <w:szCs w:val="16"/>
          <w:lang w:val="es-ES"/>
        </w:rPr>
        <w:t xml:space="preserve">. </w:t>
      </w:r>
      <w:r w:rsidRPr="007C693A">
        <w:rPr>
          <w:rFonts w:ascii="Verdana" w:hAnsi="Verdana"/>
          <w:i/>
          <w:iCs/>
          <w:sz w:val="16"/>
          <w:szCs w:val="16"/>
          <w:lang w:val="es-ES"/>
        </w:rPr>
        <w:t>Caso Velásquez Rodríguez Vs. Honduras. Fondo</w:t>
      </w:r>
      <w:r w:rsidR="00702944">
        <w:rPr>
          <w:rFonts w:ascii="Verdana" w:hAnsi="Verdana"/>
          <w:sz w:val="16"/>
          <w:szCs w:val="16"/>
          <w:lang w:val="es-ES"/>
        </w:rPr>
        <w:t xml:space="preserve">, </w:t>
      </w:r>
      <w:r w:rsidR="00702944" w:rsidRPr="00702944">
        <w:rPr>
          <w:rFonts w:ascii="Verdana" w:hAnsi="Verdana"/>
          <w:i/>
          <w:iCs/>
          <w:sz w:val="16"/>
          <w:szCs w:val="16"/>
          <w:lang w:val="es-ES"/>
        </w:rPr>
        <w:t>supra</w:t>
      </w:r>
      <w:r>
        <w:rPr>
          <w:rFonts w:ascii="Verdana" w:hAnsi="Verdana"/>
          <w:sz w:val="16"/>
          <w:szCs w:val="16"/>
          <w:lang w:val="es-ES"/>
        </w:rPr>
        <w:t>,</w:t>
      </w:r>
      <w:r w:rsidRPr="007C693A">
        <w:rPr>
          <w:rFonts w:ascii="Verdana" w:hAnsi="Verdana"/>
          <w:sz w:val="16"/>
          <w:szCs w:val="16"/>
          <w:lang w:val="es-ES"/>
        </w:rPr>
        <w:t xml:space="preserve"> párr. 174</w:t>
      </w:r>
      <w:r>
        <w:rPr>
          <w:rFonts w:ascii="Verdana" w:hAnsi="Verdana"/>
          <w:sz w:val="16"/>
          <w:szCs w:val="16"/>
          <w:lang w:val="es-ES"/>
        </w:rPr>
        <w:t xml:space="preserve">, y </w:t>
      </w:r>
      <w:r w:rsidRPr="007C693A">
        <w:rPr>
          <w:rFonts w:ascii="Verdana" w:hAnsi="Verdana"/>
          <w:i/>
          <w:iCs/>
          <w:sz w:val="16"/>
          <w:szCs w:val="16"/>
          <w:lang w:val="es-ES"/>
        </w:rPr>
        <w:t>Caso Masacre de la Aldea Los Josefinos Vs. Guatemala</w:t>
      </w:r>
      <w:r w:rsidR="00702944">
        <w:rPr>
          <w:rFonts w:ascii="Verdana" w:hAnsi="Verdana"/>
          <w:i/>
          <w:iCs/>
          <w:sz w:val="16"/>
          <w:szCs w:val="16"/>
          <w:lang w:val="es-ES"/>
        </w:rPr>
        <w:t>, supra</w:t>
      </w:r>
      <w:r w:rsidRPr="007C693A">
        <w:rPr>
          <w:rFonts w:ascii="Verdana" w:hAnsi="Verdana"/>
          <w:sz w:val="16"/>
          <w:szCs w:val="16"/>
          <w:lang w:val="es-ES"/>
        </w:rPr>
        <w:t xml:space="preserve">, párr. 143. </w:t>
      </w:r>
    </w:p>
  </w:footnote>
  <w:footnote w:id="224">
    <w:p w14:paraId="0F84EEEF" w14:textId="17A8365E" w:rsidR="00AC124E" w:rsidRPr="007C693A" w:rsidRDefault="00AC124E" w:rsidP="00014203">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ab/>
      </w:r>
      <w:r w:rsidRPr="007C693A">
        <w:rPr>
          <w:rFonts w:ascii="Verdana" w:hAnsi="Verdana"/>
          <w:i/>
          <w:iCs/>
          <w:sz w:val="16"/>
          <w:szCs w:val="16"/>
          <w:lang w:val="es-ES"/>
        </w:rPr>
        <w:t xml:space="preserve">Cfr. </w:t>
      </w:r>
      <w:r w:rsidRPr="007C693A">
        <w:rPr>
          <w:rFonts w:ascii="Verdana" w:hAnsi="Verdana"/>
          <w:i/>
          <w:sz w:val="16"/>
          <w:szCs w:val="16"/>
          <w:lang w:val="es-ES"/>
        </w:rPr>
        <w:t xml:space="preserve">Caso del Caracazo Vs. Venezuela. Reparaciones y Costas. </w:t>
      </w:r>
      <w:r w:rsidRPr="007C693A">
        <w:rPr>
          <w:rFonts w:ascii="Verdana" w:hAnsi="Verdana"/>
          <w:sz w:val="16"/>
          <w:szCs w:val="16"/>
          <w:lang w:val="es-ES"/>
        </w:rPr>
        <w:t>Sentencia de 29 de agosto de 2002. Serie C No. 95</w:t>
      </w:r>
      <w:r w:rsidRPr="007C693A">
        <w:rPr>
          <w:rFonts w:ascii="Verdana" w:hAnsi="Verdana"/>
          <w:i/>
          <w:sz w:val="16"/>
          <w:szCs w:val="16"/>
          <w:lang w:val="es-ES"/>
        </w:rPr>
        <w:t xml:space="preserve">, </w:t>
      </w:r>
      <w:r w:rsidRPr="007C693A">
        <w:rPr>
          <w:rFonts w:ascii="Verdana" w:hAnsi="Verdana"/>
          <w:sz w:val="16"/>
          <w:szCs w:val="16"/>
          <w:lang w:val="es-ES"/>
        </w:rPr>
        <w:t>párr. 118</w:t>
      </w:r>
      <w:r>
        <w:rPr>
          <w:rFonts w:ascii="Verdana" w:hAnsi="Verdana"/>
          <w:sz w:val="16"/>
          <w:szCs w:val="16"/>
          <w:lang w:val="es-ES"/>
        </w:rPr>
        <w:t xml:space="preserve">, y </w:t>
      </w:r>
      <w:r w:rsidRPr="00E55450">
        <w:rPr>
          <w:rFonts w:ascii="Verdana" w:hAnsi="Verdana"/>
          <w:i/>
          <w:sz w:val="16"/>
          <w:szCs w:val="16"/>
          <w:lang w:val="es-ES"/>
        </w:rPr>
        <w:t>Caso Deras García y otros Vs. Honduras</w:t>
      </w:r>
      <w:r w:rsidR="00702944">
        <w:rPr>
          <w:rFonts w:ascii="Verdana" w:hAnsi="Verdana"/>
          <w:i/>
          <w:sz w:val="16"/>
          <w:szCs w:val="16"/>
          <w:lang w:val="es-ES"/>
        </w:rPr>
        <w:t>, supra</w:t>
      </w:r>
      <w:r>
        <w:rPr>
          <w:rFonts w:ascii="Verdana" w:hAnsi="Verdana"/>
          <w:sz w:val="16"/>
          <w:szCs w:val="16"/>
          <w:lang w:val="es-ES"/>
        </w:rPr>
        <w:t>, párr. 97.</w:t>
      </w:r>
    </w:p>
  </w:footnote>
  <w:footnote w:id="225">
    <w:p w14:paraId="79CEEDA2" w14:textId="084BAB60" w:rsidR="00AC124E" w:rsidRPr="007C693A" w:rsidRDefault="00AC124E" w:rsidP="00014203">
      <w:pPr>
        <w:spacing w:before="60" w:after="60"/>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ab/>
      </w:r>
      <w:r w:rsidRPr="007C693A">
        <w:rPr>
          <w:rFonts w:ascii="Verdana" w:hAnsi="Verdana"/>
          <w:i/>
          <w:sz w:val="16"/>
          <w:szCs w:val="16"/>
          <w:lang w:val="es-ES"/>
        </w:rPr>
        <w:t>Cfr. Caso del Caracazo Vs. Venezuela</w:t>
      </w:r>
      <w:r w:rsidR="00702944">
        <w:rPr>
          <w:rFonts w:ascii="Verdana" w:hAnsi="Verdana"/>
          <w:i/>
          <w:sz w:val="16"/>
          <w:szCs w:val="16"/>
          <w:lang w:val="es-ES"/>
        </w:rPr>
        <w:t>, supra</w:t>
      </w:r>
      <w:r>
        <w:rPr>
          <w:rFonts w:ascii="Verdana" w:hAnsi="Verdana"/>
          <w:sz w:val="16"/>
          <w:szCs w:val="16"/>
          <w:lang w:val="es-ES"/>
        </w:rPr>
        <w:t>,</w:t>
      </w:r>
      <w:r w:rsidRPr="007C693A">
        <w:rPr>
          <w:rFonts w:ascii="Verdana" w:hAnsi="Verdana"/>
          <w:sz w:val="16"/>
          <w:szCs w:val="16"/>
          <w:lang w:val="es-ES"/>
        </w:rPr>
        <w:t xml:space="preserve"> párr. </w:t>
      </w:r>
      <w:r w:rsidRPr="007C693A">
        <w:rPr>
          <w:rFonts w:ascii="Verdana" w:hAnsi="Verdana"/>
          <w:sz w:val="16"/>
          <w:szCs w:val="16"/>
          <w:lang w:val="es-CR"/>
        </w:rPr>
        <w:t>118</w:t>
      </w:r>
      <w:r w:rsidR="00826783">
        <w:rPr>
          <w:rFonts w:ascii="Verdana" w:hAnsi="Verdana"/>
          <w:sz w:val="16"/>
          <w:szCs w:val="16"/>
          <w:lang w:val="es-CR"/>
        </w:rPr>
        <w:t>, y</w:t>
      </w:r>
      <w:r w:rsidR="00451777">
        <w:rPr>
          <w:rFonts w:ascii="Verdana" w:hAnsi="Verdana"/>
          <w:sz w:val="16"/>
          <w:szCs w:val="16"/>
          <w:lang w:val="es-ES"/>
        </w:rPr>
        <w:t xml:space="preserve"> </w:t>
      </w:r>
      <w:r w:rsidR="00E62458" w:rsidRPr="00E55450">
        <w:rPr>
          <w:rFonts w:ascii="Verdana" w:hAnsi="Verdana"/>
          <w:i/>
          <w:sz w:val="16"/>
          <w:szCs w:val="16"/>
          <w:lang w:val="es-ES"/>
        </w:rPr>
        <w:t>Caso Deras García y otros Vs. Honduras</w:t>
      </w:r>
      <w:r w:rsidR="00702944">
        <w:rPr>
          <w:rFonts w:ascii="Verdana" w:hAnsi="Verdana"/>
          <w:i/>
          <w:sz w:val="16"/>
          <w:szCs w:val="16"/>
          <w:lang w:val="es-ES"/>
        </w:rPr>
        <w:t>, supra</w:t>
      </w:r>
      <w:r w:rsidR="00E62458">
        <w:rPr>
          <w:rFonts w:ascii="Verdana" w:hAnsi="Verdana"/>
          <w:sz w:val="16"/>
          <w:szCs w:val="16"/>
          <w:lang w:val="es-ES"/>
        </w:rPr>
        <w:t>, párr. 100.</w:t>
      </w:r>
    </w:p>
  </w:footnote>
  <w:footnote w:id="226">
    <w:p w14:paraId="228EB91F" w14:textId="6B78D124" w:rsidR="00604262" w:rsidRPr="00283F2B" w:rsidRDefault="00604262" w:rsidP="00604262">
      <w:pPr>
        <w:jc w:val="both"/>
        <w:rPr>
          <w:rFonts w:ascii="Verdana" w:eastAsiaTheme="minorHAnsi" w:hAnsi="Verdana" w:cs="Calibri"/>
          <w:sz w:val="16"/>
          <w:szCs w:val="16"/>
          <w:lang w:val="es-CR"/>
        </w:rPr>
      </w:pPr>
      <w:r w:rsidRPr="003E42BF">
        <w:rPr>
          <w:rStyle w:val="Refdenotaalpie"/>
        </w:rPr>
        <w:footnoteRef/>
      </w:r>
      <w:r w:rsidRPr="007C693A">
        <w:rPr>
          <w:rFonts w:ascii="Verdana" w:hAnsi="Verdana"/>
          <w:sz w:val="16"/>
          <w:szCs w:val="16"/>
          <w:lang w:val="es-ES"/>
        </w:rPr>
        <w:t xml:space="preserve"> </w:t>
      </w:r>
      <w:r w:rsidRPr="007C693A">
        <w:rPr>
          <w:rFonts w:ascii="Verdana" w:hAnsi="Verdana"/>
          <w:sz w:val="16"/>
          <w:szCs w:val="16"/>
          <w:lang w:val="es-ES"/>
        </w:rPr>
        <w:tab/>
      </w:r>
      <w:r w:rsidRPr="00283F2B">
        <w:rPr>
          <w:rFonts w:ascii="Verdana" w:hAnsi="Verdana"/>
          <w:i/>
          <w:iCs/>
          <w:sz w:val="16"/>
          <w:szCs w:val="16"/>
          <w:lang w:val="es-ES"/>
        </w:rPr>
        <w:t>Cfr</w:t>
      </w:r>
      <w:r w:rsidRPr="00283F2B">
        <w:rPr>
          <w:rFonts w:ascii="Verdana" w:hAnsi="Verdana"/>
          <w:sz w:val="16"/>
          <w:szCs w:val="16"/>
          <w:lang w:val="es-ES"/>
        </w:rPr>
        <w:t>. Ley</w:t>
      </w:r>
      <w:r w:rsidR="003042A6">
        <w:rPr>
          <w:rFonts w:ascii="Verdana" w:hAnsi="Verdana"/>
          <w:sz w:val="16"/>
          <w:szCs w:val="16"/>
          <w:lang w:val="es-ES"/>
        </w:rPr>
        <w:t xml:space="preserve"> No. 879</w:t>
      </w:r>
      <w:r w:rsidRPr="00283F2B">
        <w:rPr>
          <w:rFonts w:ascii="Verdana" w:hAnsi="Verdana"/>
          <w:sz w:val="16"/>
          <w:szCs w:val="16"/>
          <w:lang w:val="es-ES"/>
        </w:rPr>
        <w:t xml:space="preserve"> </w:t>
      </w:r>
      <w:r w:rsidR="003042A6">
        <w:rPr>
          <w:rFonts w:ascii="Verdana" w:hAnsi="Verdana"/>
          <w:sz w:val="16"/>
          <w:szCs w:val="16"/>
          <w:lang w:val="es-ES"/>
        </w:rPr>
        <w:t xml:space="preserve">“Ley </w:t>
      </w:r>
      <w:r w:rsidRPr="00283F2B">
        <w:rPr>
          <w:rFonts w:ascii="Verdana" w:hAnsi="Verdana"/>
          <w:sz w:val="16"/>
          <w:szCs w:val="16"/>
          <w:lang w:val="es-ES"/>
        </w:rPr>
        <w:t>de la Comisión de la Verdad</w:t>
      </w:r>
      <w:r w:rsidR="003042A6">
        <w:rPr>
          <w:rFonts w:ascii="Verdana" w:hAnsi="Verdana"/>
          <w:sz w:val="16"/>
          <w:szCs w:val="16"/>
          <w:lang w:val="es-ES"/>
        </w:rPr>
        <w:t>”</w:t>
      </w:r>
      <w:r w:rsidRPr="00283F2B">
        <w:rPr>
          <w:rFonts w:ascii="Verdana" w:hAnsi="Verdana"/>
          <w:sz w:val="16"/>
          <w:szCs w:val="16"/>
          <w:lang w:val="es-ES"/>
        </w:rPr>
        <w:t xml:space="preserve"> de 23 de diciembre de 2016 </w:t>
      </w:r>
      <w:r w:rsidRPr="00D63F38">
        <w:rPr>
          <w:rFonts w:ascii="Verdana" w:hAnsi="Verdana"/>
          <w:sz w:val="16"/>
          <w:szCs w:val="16"/>
          <w:lang w:val="es-CR"/>
        </w:rPr>
        <w:t>(expediente de prueba, fs. 8648 a 8653).</w:t>
      </w:r>
      <w:r w:rsidRPr="00283F2B">
        <w:rPr>
          <w:rFonts w:ascii="Verdana" w:hAnsi="Verdana"/>
          <w:sz w:val="16"/>
          <w:szCs w:val="16"/>
          <w:lang w:val="es-ES"/>
        </w:rPr>
        <w:t xml:space="preserve"> Además</w:t>
      </w:r>
      <w:r w:rsidR="00283F2B" w:rsidRPr="00283F2B">
        <w:rPr>
          <w:rFonts w:ascii="Verdana" w:hAnsi="Verdana"/>
          <w:sz w:val="16"/>
          <w:szCs w:val="16"/>
          <w:lang w:val="es-ES"/>
        </w:rPr>
        <w:t xml:space="preserve"> </w:t>
      </w:r>
      <w:r w:rsidRPr="00283F2B">
        <w:rPr>
          <w:rFonts w:ascii="Verdana" w:hAnsi="Verdana"/>
          <w:sz w:val="16"/>
          <w:szCs w:val="16"/>
          <w:lang w:val="es-ES"/>
        </w:rPr>
        <w:t>lo indicado</w:t>
      </w:r>
      <w:r w:rsidR="00283F2B" w:rsidRPr="00283F2B">
        <w:rPr>
          <w:rFonts w:ascii="Verdana" w:hAnsi="Verdana"/>
          <w:sz w:val="16"/>
          <w:szCs w:val="16"/>
          <w:lang w:val="es-ES"/>
        </w:rPr>
        <w:t xml:space="preserve"> por</w:t>
      </w:r>
      <w:r w:rsidRPr="00283F2B">
        <w:rPr>
          <w:rFonts w:ascii="Verdana" w:hAnsi="Verdana"/>
          <w:sz w:val="16"/>
          <w:szCs w:val="16"/>
          <w:lang w:val="es-ES"/>
        </w:rPr>
        <w:t xml:space="preserve"> el Estado, durante la audiencia pública celebrada ante la Corte el 10 de febrero de 2022 y los alegatos finales. </w:t>
      </w:r>
    </w:p>
  </w:footnote>
  <w:footnote w:id="227">
    <w:p w14:paraId="135CF4EB" w14:textId="3A840470" w:rsidR="00AC124E" w:rsidRPr="00E90DB5" w:rsidRDefault="00AC124E" w:rsidP="00014203">
      <w:pPr>
        <w:jc w:val="both"/>
        <w:rPr>
          <w:rFonts w:ascii="Verdana" w:hAnsi="Verdana"/>
          <w:sz w:val="16"/>
          <w:szCs w:val="16"/>
          <w:lang w:val="es-CL"/>
        </w:rPr>
      </w:pPr>
      <w:r w:rsidRPr="00283F2B">
        <w:rPr>
          <w:rStyle w:val="Refdenotaalpie"/>
        </w:rPr>
        <w:footnoteRef/>
      </w:r>
      <w:r w:rsidRPr="00283F2B">
        <w:rPr>
          <w:rFonts w:ascii="Verdana" w:hAnsi="Verdana"/>
          <w:sz w:val="16"/>
          <w:szCs w:val="16"/>
          <w:lang w:val="es-ES"/>
        </w:rPr>
        <w:tab/>
      </w:r>
      <w:r w:rsidRPr="00283F2B">
        <w:rPr>
          <w:rFonts w:ascii="Verdana" w:hAnsi="Verdana"/>
          <w:i/>
          <w:sz w:val="16"/>
          <w:szCs w:val="16"/>
          <w:lang w:val="es-ES"/>
        </w:rPr>
        <w:t>Cfr.</w:t>
      </w:r>
      <w:r w:rsidRPr="00283F2B">
        <w:rPr>
          <w:rFonts w:ascii="Verdana" w:hAnsi="Verdana"/>
          <w:sz w:val="16"/>
          <w:szCs w:val="16"/>
          <w:lang w:val="es-ES"/>
        </w:rPr>
        <w:t xml:space="preserve"> </w:t>
      </w:r>
      <w:r w:rsidRPr="00283F2B">
        <w:rPr>
          <w:rFonts w:ascii="Verdana" w:hAnsi="Verdana"/>
          <w:i/>
          <w:sz w:val="16"/>
          <w:szCs w:val="16"/>
          <w:lang w:val="es-ES"/>
        </w:rPr>
        <w:t>Caso Neira</w:t>
      </w:r>
      <w:r w:rsidRPr="007C693A">
        <w:rPr>
          <w:rFonts w:ascii="Verdana" w:hAnsi="Verdana"/>
          <w:i/>
          <w:sz w:val="16"/>
          <w:szCs w:val="16"/>
          <w:lang w:val="es-ES"/>
        </w:rPr>
        <w:t xml:space="preserve"> Alegría y otros Vs. Perú. Reparaciones y Costas.</w:t>
      </w:r>
      <w:r w:rsidRPr="007C693A">
        <w:rPr>
          <w:rFonts w:ascii="Verdana" w:hAnsi="Verdana"/>
          <w:sz w:val="16"/>
          <w:szCs w:val="16"/>
          <w:lang w:val="es-ES"/>
        </w:rPr>
        <w:t xml:space="preserve"> Sentencia de 19 de septiembre de 1996. Serie C No. 29, párr. 69</w:t>
      </w:r>
      <w:r w:rsidRPr="00E90DB5">
        <w:rPr>
          <w:rFonts w:ascii="Verdana" w:hAnsi="Verdana"/>
          <w:sz w:val="16"/>
          <w:szCs w:val="16"/>
          <w:lang w:val="es-ES"/>
        </w:rPr>
        <w:t xml:space="preserve">, y </w:t>
      </w:r>
      <w:r w:rsidRPr="00E90DB5">
        <w:rPr>
          <w:rFonts w:ascii="Verdana" w:hAnsi="Verdana"/>
          <w:i/>
          <w:sz w:val="16"/>
          <w:szCs w:val="16"/>
          <w:lang w:val="es-ES"/>
        </w:rPr>
        <w:t>Caso Garzón Guzmán y otros Vs. Ecuador</w:t>
      </w:r>
      <w:r w:rsidR="00702944">
        <w:rPr>
          <w:rFonts w:ascii="Verdana" w:hAnsi="Verdana"/>
          <w:i/>
          <w:sz w:val="16"/>
          <w:szCs w:val="16"/>
          <w:lang w:val="es-ES"/>
        </w:rPr>
        <w:t>, supra</w:t>
      </w:r>
      <w:r w:rsidRPr="00E90DB5">
        <w:rPr>
          <w:rFonts w:ascii="Verdana" w:hAnsi="Verdana"/>
          <w:sz w:val="16"/>
          <w:szCs w:val="16"/>
          <w:lang w:val="es-ES"/>
        </w:rPr>
        <w:t>, párr. 109.</w:t>
      </w:r>
    </w:p>
  </w:footnote>
  <w:footnote w:id="228">
    <w:p w14:paraId="702C979C" w14:textId="28DE87FA" w:rsidR="00AC124E" w:rsidRPr="007C693A" w:rsidRDefault="00AC124E" w:rsidP="00014203">
      <w:pPr>
        <w:jc w:val="both"/>
        <w:rPr>
          <w:rFonts w:ascii="Verdana" w:hAnsi="Verdana"/>
          <w:sz w:val="16"/>
          <w:szCs w:val="16"/>
          <w:lang w:val="es-CL"/>
        </w:rPr>
      </w:pPr>
      <w:r w:rsidRPr="00E90DB5">
        <w:rPr>
          <w:rStyle w:val="Refdenotaalpie"/>
        </w:rPr>
        <w:footnoteRef/>
      </w:r>
      <w:r w:rsidRPr="00E90DB5">
        <w:rPr>
          <w:rFonts w:ascii="Verdana" w:hAnsi="Verdana"/>
          <w:sz w:val="16"/>
          <w:szCs w:val="16"/>
          <w:lang w:val="es-ES"/>
        </w:rPr>
        <w:tab/>
      </w:r>
      <w:r w:rsidRPr="00E90DB5">
        <w:rPr>
          <w:rFonts w:ascii="Verdana" w:hAnsi="Verdana"/>
          <w:i/>
          <w:sz w:val="16"/>
          <w:szCs w:val="16"/>
          <w:lang w:val="es-ES"/>
        </w:rPr>
        <w:t>Cfr.</w:t>
      </w:r>
      <w:r w:rsidRPr="00E90DB5">
        <w:rPr>
          <w:rFonts w:ascii="Verdana" w:hAnsi="Verdana"/>
          <w:sz w:val="16"/>
          <w:szCs w:val="16"/>
          <w:lang w:val="es-ES"/>
        </w:rPr>
        <w:t xml:space="preserve"> </w:t>
      </w:r>
      <w:r w:rsidRPr="00E90DB5">
        <w:rPr>
          <w:rFonts w:ascii="Verdana" w:hAnsi="Verdana"/>
          <w:i/>
          <w:sz w:val="16"/>
          <w:szCs w:val="16"/>
          <w:lang w:val="es-ES"/>
        </w:rPr>
        <w:t>Caso Ticona Estrada y otros Vs. Bolivia</w:t>
      </w:r>
      <w:r w:rsidR="00702944">
        <w:rPr>
          <w:rFonts w:ascii="Verdana" w:hAnsi="Verdana"/>
          <w:i/>
          <w:sz w:val="16"/>
          <w:szCs w:val="16"/>
          <w:lang w:val="es-ES"/>
        </w:rPr>
        <w:t>, supra</w:t>
      </w:r>
      <w:r w:rsidRPr="00E90DB5">
        <w:rPr>
          <w:rFonts w:ascii="Verdana" w:hAnsi="Verdana"/>
          <w:sz w:val="16"/>
          <w:szCs w:val="16"/>
          <w:lang w:val="es-ES"/>
        </w:rPr>
        <w:t xml:space="preserve">, párr. 155, y </w:t>
      </w:r>
      <w:r w:rsidRPr="00E90DB5">
        <w:rPr>
          <w:rFonts w:ascii="Verdana" w:hAnsi="Verdana"/>
          <w:i/>
          <w:sz w:val="16"/>
          <w:szCs w:val="16"/>
          <w:lang w:val="es-ES"/>
        </w:rPr>
        <w:t>Caso Garzón Guzmán y otros Vs. Ecuador</w:t>
      </w:r>
      <w:r w:rsidR="00702944">
        <w:rPr>
          <w:rFonts w:ascii="Verdana" w:hAnsi="Verdana"/>
          <w:i/>
          <w:sz w:val="16"/>
          <w:szCs w:val="16"/>
          <w:lang w:val="es-ES"/>
        </w:rPr>
        <w:t>, supra</w:t>
      </w:r>
      <w:r w:rsidRPr="00E90DB5">
        <w:rPr>
          <w:rFonts w:ascii="Verdana" w:hAnsi="Verdana"/>
          <w:sz w:val="16"/>
          <w:szCs w:val="16"/>
          <w:lang w:val="es-ES"/>
        </w:rPr>
        <w:t>, párr. 109</w:t>
      </w:r>
      <w:r w:rsidR="00497053" w:rsidRPr="00E90DB5">
        <w:rPr>
          <w:rFonts w:ascii="Verdana" w:hAnsi="Verdana"/>
          <w:sz w:val="16"/>
          <w:szCs w:val="16"/>
          <w:lang w:val="es-ES"/>
        </w:rPr>
        <w:t>.</w:t>
      </w:r>
    </w:p>
  </w:footnote>
  <w:footnote w:id="229">
    <w:p w14:paraId="79C13D5F" w14:textId="0248C0B2" w:rsidR="00AC124E" w:rsidRPr="007C693A" w:rsidRDefault="00AC124E" w:rsidP="00014203">
      <w:pPr>
        <w:jc w:val="both"/>
        <w:rPr>
          <w:rFonts w:ascii="Verdana" w:hAnsi="Verdana"/>
          <w:sz w:val="16"/>
          <w:szCs w:val="16"/>
          <w:lang w:val="es-CL"/>
        </w:rPr>
      </w:pPr>
      <w:r w:rsidRPr="003E42BF">
        <w:rPr>
          <w:rStyle w:val="Refdenotaalpie"/>
        </w:rPr>
        <w:footnoteRef/>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Masacre de las Dos Erres Vs. Guatemala</w:t>
      </w:r>
      <w:r w:rsidR="00702944">
        <w:rPr>
          <w:rFonts w:ascii="Verdana" w:hAnsi="Verdana"/>
          <w:i/>
          <w:sz w:val="16"/>
          <w:szCs w:val="16"/>
          <w:lang w:val="es-ES"/>
        </w:rPr>
        <w:t>, supra</w:t>
      </w:r>
      <w:r w:rsidRPr="007C693A">
        <w:rPr>
          <w:rFonts w:ascii="Verdana" w:hAnsi="Verdana"/>
          <w:sz w:val="16"/>
          <w:szCs w:val="16"/>
          <w:lang w:val="es-ES"/>
        </w:rPr>
        <w:t>, párr</w:t>
      </w:r>
      <w:r w:rsidRPr="00E90DB5">
        <w:rPr>
          <w:rFonts w:ascii="Verdana" w:hAnsi="Verdana"/>
          <w:sz w:val="16"/>
          <w:szCs w:val="16"/>
          <w:lang w:val="es-ES"/>
        </w:rPr>
        <w:t xml:space="preserve">. 245, y </w:t>
      </w:r>
      <w:r w:rsidRPr="00E90DB5">
        <w:rPr>
          <w:rFonts w:ascii="Verdana" w:hAnsi="Verdana"/>
          <w:i/>
          <w:sz w:val="16"/>
          <w:szCs w:val="16"/>
          <w:lang w:val="es-ES"/>
        </w:rPr>
        <w:t>Caso Familia Julien Grisonas Vs. Argentina</w:t>
      </w:r>
      <w:r w:rsidR="006D1F8A">
        <w:rPr>
          <w:rFonts w:ascii="Verdana" w:hAnsi="Verdana"/>
          <w:i/>
          <w:sz w:val="16"/>
          <w:szCs w:val="16"/>
          <w:lang w:val="es-ES"/>
        </w:rPr>
        <w:t>, supra</w:t>
      </w:r>
      <w:r w:rsidR="00E90DB5" w:rsidRPr="00E90DB5">
        <w:rPr>
          <w:rFonts w:ascii="Verdana" w:hAnsi="Verdana"/>
          <w:sz w:val="16"/>
          <w:szCs w:val="16"/>
          <w:lang w:val="es-ES"/>
        </w:rPr>
        <w:t xml:space="preserve">, </w:t>
      </w:r>
      <w:r w:rsidRPr="00E90DB5">
        <w:rPr>
          <w:rFonts w:ascii="Verdana" w:hAnsi="Verdana"/>
          <w:sz w:val="16"/>
          <w:szCs w:val="16"/>
          <w:lang w:val="es-ES"/>
        </w:rPr>
        <w:t>párr. 209.</w:t>
      </w:r>
      <w:r>
        <w:rPr>
          <w:rFonts w:ascii="Verdana" w:hAnsi="Verdana"/>
          <w:sz w:val="16"/>
          <w:szCs w:val="16"/>
          <w:lang w:val="es-ES"/>
        </w:rPr>
        <w:t xml:space="preserve"> </w:t>
      </w:r>
    </w:p>
  </w:footnote>
  <w:footnote w:id="230">
    <w:p w14:paraId="055C4F8A" w14:textId="11B6A556" w:rsidR="00AC124E" w:rsidRPr="00AB5B8D" w:rsidRDefault="00AC124E" w:rsidP="00014203">
      <w:pPr>
        <w:jc w:val="both"/>
        <w:rPr>
          <w:rFonts w:ascii="Verdana" w:hAnsi="Verdana"/>
          <w:sz w:val="16"/>
          <w:szCs w:val="16"/>
          <w:lang w:val="es-CL"/>
        </w:rPr>
      </w:pPr>
      <w:r w:rsidRPr="00AB5B8D">
        <w:rPr>
          <w:rStyle w:val="Refdenotaalpie"/>
        </w:rPr>
        <w:footnoteRef/>
      </w:r>
      <w:r w:rsidRPr="00AB5B8D">
        <w:rPr>
          <w:rFonts w:ascii="Verdana" w:hAnsi="Verdana"/>
          <w:sz w:val="16"/>
          <w:szCs w:val="16"/>
          <w:lang w:val="es-ES"/>
        </w:rPr>
        <w:tab/>
      </w:r>
      <w:r w:rsidRPr="00AB5B8D">
        <w:rPr>
          <w:rFonts w:ascii="Verdana" w:hAnsi="Verdana"/>
          <w:i/>
          <w:iCs/>
          <w:sz w:val="16"/>
          <w:szCs w:val="16"/>
          <w:lang w:val="es-ES"/>
        </w:rPr>
        <w:t>Cfr. Caso Masacre de las Dos Erres Vs. Guatemala</w:t>
      </w:r>
      <w:r w:rsidR="006D1F8A" w:rsidRPr="00AB5B8D">
        <w:rPr>
          <w:rFonts w:ascii="Verdana" w:hAnsi="Verdana"/>
          <w:i/>
          <w:iCs/>
          <w:sz w:val="16"/>
          <w:szCs w:val="16"/>
          <w:lang w:val="es-ES"/>
        </w:rPr>
        <w:t>, supra</w:t>
      </w:r>
      <w:r w:rsidRPr="00AB5B8D">
        <w:rPr>
          <w:rFonts w:ascii="Verdana" w:hAnsi="Verdana"/>
          <w:sz w:val="16"/>
          <w:szCs w:val="16"/>
          <w:lang w:val="es-ES"/>
        </w:rPr>
        <w:t xml:space="preserve">, párr. 245, y </w:t>
      </w:r>
      <w:r w:rsidRPr="00AB5B8D">
        <w:rPr>
          <w:rFonts w:ascii="Verdana" w:hAnsi="Verdana"/>
          <w:i/>
          <w:sz w:val="16"/>
          <w:szCs w:val="16"/>
          <w:lang w:val="es-ES"/>
        </w:rPr>
        <w:t>Caso Munárriz Escobar y otros Vs. Perú</w:t>
      </w:r>
      <w:r w:rsidR="006D1F8A" w:rsidRPr="00AB5B8D">
        <w:rPr>
          <w:rFonts w:ascii="Verdana" w:hAnsi="Verdana"/>
          <w:i/>
          <w:sz w:val="16"/>
          <w:szCs w:val="16"/>
          <w:lang w:val="es-ES"/>
        </w:rPr>
        <w:t xml:space="preserve">, supra, </w:t>
      </w:r>
      <w:r w:rsidR="0026614F" w:rsidRPr="00AB5B8D">
        <w:rPr>
          <w:rFonts w:ascii="Verdana" w:hAnsi="Verdana"/>
          <w:sz w:val="16"/>
          <w:szCs w:val="16"/>
          <w:lang w:val="es-ES"/>
        </w:rPr>
        <w:t>párr. 104</w:t>
      </w:r>
      <w:r w:rsidR="00497053" w:rsidRPr="00AB5B8D">
        <w:rPr>
          <w:rFonts w:ascii="Verdana" w:hAnsi="Verdana"/>
          <w:sz w:val="16"/>
          <w:szCs w:val="16"/>
          <w:lang w:val="es-ES"/>
        </w:rPr>
        <w:t>.</w:t>
      </w:r>
      <w:r w:rsidRPr="00AB5B8D">
        <w:rPr>
          <w:rFonts w:ascii="Verdana" w:hAnsi="Verdana"/>
          <w:sz w:val="16"/>
          <w:szCs w:val="16"/>
          <w:lang w:val="es-ES"/>
        </w:rPr>
        <w:t xml:space="preserve">  </w:t>
      </w:r>
    </w:p>
  </w:footnote>
  <w:footnote w:id="231">
    <w:p w14:paraId="41641582" w14:textId="61456F56" w:rsidR="00AC124E" w:rsidRPr="007C693A" w:rsidRDefault="00AC124E" w:rsidP="00014203">
      <w:pPr>
        <w:jc w:val="both"/>
        <w:rPr>
          <w:rFonts w:ascii="Verdana" w:hAnsi="Verdana"/>
          <w:sz w:val="16"/>
          <w:szCs w:val="16"/>
          <w:lang w:val="es-CL"/>
        </w:rPr>
      </w:pPr>
      <w:r w:rsidRPr="00AB5B8D">
        <w:rPr>
          <w:rStyle w:val="Refdenotaalpie"/>
        </w:rPr>
        <w:footnoteRef/>
      </w:r>
      <w:r w:rsidRPr="00AB5B8D">
        <w:rPr>
          <w:rFonts w:ascii="Verdana" w:hAnsi="Verdana"/>
          <w:sz w:val="16"/>
          <w:szCs w:val="16"/>
          <w:lang w:val="es-ES"/>
        </w:rPr>
        <w:tab/>
      </w:r>
      <w:r w:rsidRPr="00AB5B8D">
        <w:rPr>
          <w:rFonts w:ascii="Verdana" w:hAnsi="Verdana"/>
          <w:i/>
          <w:iCs/>
          <w:sz w:val="16"/>
          <w:szCs w:val="16"/>
          <w:lang w:val="es-ES"/>
        </w:rPr>
        <w:t>Cfr. Caso Contreras y otros Vs. El Salvador</w:t>
      </w:r>
      <w:r w:rsidR="00CE51BF" w:rsidRPr="00AB5B8D">
        <w:rPr>
          <w:rFonts w:ascii="Verdana" w:hAnsi="Verdana"/>
          <w:i/>
          <w:iCs/>
          <w:sz w:val="16"/>
          <w:szCs w:val="16"/>
          <w:lang w:val="es-ES"/>
        </w:rPr>
        <w:t>, supra</w:t>
      </w:r>
      <w:r w:rsidRPr="00AB5B8D">
        <w:rPr>
          <w:rFonts w:ascii="Verdana" w:hAnsi="Verdana"/>
          <w:sz w:val="16"/>
          <w:szCs w:val="16"/>
          <w:lang w:val="es-ES"/>
        </w:rPr>
        <w:t>, párr</w:t>
      </w:r>
      <w:r w:rsidR="00CE51BF" w:rsidRPr="00AB5B8D">
        <w:rPr>
          <w:rFonts w:ascii="Verdana" w:hAnsi="Verdana"/>
          <w:sz w:val="16"/>
          <w:szCs w:val="16"/>
          <w:lang w:val="es-ES"/>
        </w:rPr>
        <w:t>s</w:t>
      </w:r>
      <w:r w:rsidRPr="00AB5B8D">
        <w:rPr>
          <w:rFonts w:ascii="Verdana" w:hAnsi="Verdana"/>
          <w:sz w:val="16"/>
          <w:szCs w:val="16"/>
          <w:lang w:val="es-ES"/>
        </w:rPr>
        <w:t xml:space="preserve">. 191 a 192, y </w:t>
      </w:r>
      <w:r w:rsidRPr="00AB5B8D">
        <w:rPr>
          <w:rFonts w:ascii="Verdana" w:hAnsi="Verdana"/>
          <w:i/>
          <w:sz w:val="16"/>
          <w:szCs w:val="16"/>
          <w:lang w:val="es-ES"/>
        </w:rPr>
        <w:t>Caso Garzón Guzmán y otros Vs. Ecuador</w:t>
      </w:r>
      <w:r w:rsidR="00CE51BF" w:rsidRPr="00AB5B8D">
        <w:rPr>
          <w:rFonts w:ascii="Verdana" w:hAnsi="Verdana"/>
          <w:i/>
          <w:sz w:val="16"/>
          <w:szCs w:val="16"/>
          <w:lang w:val="es-ES"/>
        </w:rPr>
        <w:t>, supra</w:t>
      </w:r>
      <w:r w:rsidRPr="00AB5B8D">
        <w:rPr>
          <w:rFonts w:ascii="Verdana" w:hAnsi="Verdana"/>
          <w:sz w:val="16"/>
          <w:szCs w:val="16"/>
          <w:lang w:val="es-ES"/>
        </w:rPr>
        <w:t>, párr. 110</w:t>
      </w:r>
      <w:r w:rsidR="00497053" w:rsidRPr="00AB5B8D">
        <w:rPr>
          <w:rFonts w:ascii="Verdana" w:hAnsi="Verdana"/>
          <w:sz w:val="16"/>
          <w:szCs w:val="16"/>
          <w:lang w:val="es-ES"/>
        </w:rPr>
        <w:t>.</w:t>
      </w:r>
      <w:r w:rsidRPr="007C693A">
        <w:rPr>
          <w:rFonts w:ascii="Verdana" w:hAnsi="Verdana"/>
          <w:sz w:val="16"/>
          <w:szCs w:val="16"/>
          <w:lang w:val="es-ES"/>
        </w:rPr>
        <w:t xml:space="preserve">  </w:t>
      </w:r>
    </w:p>
  </w:footnote>
  <w:footnote w:id="232">
    <w:p w14:paraId="2850DE0C" w14:textId="197E9B95" w:rsidR="00AC124E" w:rsidRPr="007C693A" w:rsidRDefault="00AC124E" w:rsidP="00014203">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Cantoral Benavides Vs. Perú</w:t>
      </w:r>
      <w:r w:rsidR="00CE51BF">
        <w:rPr>
          <w:rFonts w:ascii="Verdana" w:hAnsi="Verdana"/>
          <w:i/>
          <w:sz w:val="16"/>
          <w:szCs w:val="16"/>
          <w:lang w:val="es-ES"/>
        </w:rPr>
        <w:t xml:space="preserve">, supra, </w:t>
      </w:r>
      <w:r w:rsidRPr="007C693A">
        <w:rPr>
          <w:rFonts w:ascii="Verdana" w:hAnsi="Verdana"/>
          <w:sz w:val="16"/>
          <w:szCs w:val="16"/>
          <w:lang w:val="es-ES"/>
        </w:rPr>
        <w:t>párr. 79</w:t>
      </w:r>
      <w:r>
        <w:rPr>
          <w:rFonts w:ascii="Verdana" w:hAnsi="Verdana"/>
          <w:sz w:val="16"/>
          <w:szCs w:val="16"/>
          <w:lang w:val="es-ES"/>
        </w:rPr>
        <w:t>, y</w:t>
      </w:r>
      <w:r w:rsidR="00451777">
        <w:rPr>
          <w:rFonts w:ascii="Verdana" w:hAnsi="Verdana"/>
          <w:i/>
          <w:sz w:val="16"/>
          <w:szCs w:val="16"/>
          <w:lang w:val="es-ES"/>
        </w:rPr>
        <w:t xml:space="preserve"> </w:t>
      </w:r>
      <w:r w:rsidR="00451777" w:rsidRPr="00E55450">
        <w:rPr>
          <w:rFonts w:ascii="Verdana" w:hAnsi="Verdana"/>
          <w:i/>
          <w:sz w:val="16"/>
          <w:szCs w:val="16"/>
          <w:lang w:val="es-ES"/>
        </w:rPr>
        <w:t>Caso Deras García y otros Vs. Honduras</w:t>
      </w:r>
      <w:r w:rsidR="00CE51BF">
        <w:rPr>
          <w:rFonts w:ascii="Verdana" w:hAnsi="Verdana"/>
          <w:i/>
          <w:sz w:val="16"/>
          <w:szCs w:val="16"/>
          <w:lang w:val="es-ES"/>
        </w:rPr>
        <w:t>, supra</w:t>
      </w:r>
      <w:r w:rsidR="00451777">
        <w:rPr>
          <w:rFonts w:ascii="Verdana" w:hAnsi="Verdana"/>
          <w:sz w:val="16"/>
          <w:szCs w:val="16"/>
          <w:lang w:val="es-ES"/>
        </w:rPr>
        <w:t>, párr. 108.</w:t>
      </w:r>
    </w:p>
  </w:footnote>
  <w:footnote w:id="233">
    <w:p w14:paraId="41634515" w14:textId="7EEE73B8" w:rsidR="00AC124E" w:rsidRPr="007C693A" w:rsidRDefault="00AC124E" w:rsidP="00014203">
      <w:pPr>
        <w:jc w:val="both"/>
        <w:rPr>
          <w:rFonts w:ascii="Verdana" w:hAnsi="Verdana"/>
          <w:sz w:val="16"/>
          <w:szCs w:val="16"/>
          <w:lang w:val="es-ES"/>
        </w:rPr>
      </w:pPr>
      <w:r w:rsidRPr="003E42BF">
        <w:rPr>
          <w:rStyle w:val="Refdenotaalpie"/>
        </w:rPr>
        <w:footnoteRef/>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Cantoral Benavides Vs. Perú</w:t>
      </w:r>
      <w:r w:rsidR="00CE51BF">
        <w:rPr>
          <w:rFonts w:ascii="Verdana" w:hAnsi="Verdana"/>
          <w:i/>
          <w:sz w:val="16"/>
          <w:szCs w:val="16"/>
          <w:lang w:val="es-ES"/>
        </w:rPr>
        <w:t>, supra</w:t>
      </w:r>
      <w:r w:rsidRPr="007C693A">
        <w:rPr>
          <w:rFonts w:ascii="Verdana" w:hAnsi="Verdana"/>
          <w:sz w:val="16"/>
          <w:szCs w:val="16"/>
          <w:lang w:val="es-ES"/>
        </w:rPr>
        <w:t>, párr. 81</w:t>
      </w:r>
      <w:r>
        <w:rPr>
          <w:rFonts w:ascii="Verdana" w:hAnsi="Verdana"/>
          <w:sz w:val="16"/>
          <w:szCs w:val="16"/>
          <w:lang w:val="es-ES"/>
        </w:rPr>
        <w:t xml:space="preserve">, y </w:t>
      </w:r>
      <w:r w:rsidRPr="00E55450">
        <w:rPr>
          <w:rFonts w:ascii="Verdana" w:hAnsi="Verdana"/>
          <w:i/>
          <w:iCs/>
          <w:sz w:val="16"/>
          <w:szCs w:val="16"/>
          <w:lang w:val="es-ES"/>
        </w:rPr>
        <w:t>Caso Deras Garc</w:t>
      </w:r>
      <w:r w:rsidRPr="00E55450">
        <w:rPr>
          <w:rFonts w:ascii="Verdana" w:hAnsi="Verdana"/>
          <w:i/>
          <w:iCs/>
          <w:sz w:val="16"/>
          <w:szCs w:val="16"/>
          <w:lang w:val="es-CO"/>
        </w:rPr>
        <w:t>ía y otros Vs. Honduras</w:t>
      </w:r>
      <w:r w:rsidR="00CE51BF">
        <w:rPr>
          <w:rFonts w:ascii="Verdana" w:hAnsi="Verdana"/>
          <w:i/>
          <w:iCs/>
          <w:sz w:val="16"/>
          <w:szCs w:val="16"/>
          <w:lang w:val="es-CO"/>
        </w:rPr>
        <w:t>, supra</w:t>
      </w:r>
      <w:r>
        <w:rPr>
          <w:rFonts w:ascii="Verdana" w:hAnsi="Verdana"/>
          <w:sz w:val="16"/>
          <w:szCs w:val="16"/>
          <w:lang w:val="es-CO"/>
        </w:rPr>
        <w:t>, párr</w:t>
      </w:r>
      <w:r w:rsidR="00CE51BF">
        <w:rPr>
          <w:rFonts w:ascii="Verdana" w:hAnsi="Verdana"/>
          <w:sz w:val="16"/>
          <w:szCs w:val="16"/>
          <w:lang w:val="es-CO"/>
        </w:rPr>
        <w:t>.</w:t>
      </w:r>
      <w:r>
        <w:rPr>
          <w:rFonts w:ascii="Verdana" w:hAnsi="Verdana"/>
          <w:sz w:val="16"/>
          <w:szCs w:val="16"/>
          <w:lang w:val="es-CO"/>
        </w:rPr>
        <w:t xml:space="preserve"> 109. </w:t>
      </w:r>
    </w:p>
  </w:footnote>
  <w:footnote w:id="234">
    <w:p w14:paraId="1A8A1BF6" w14:textId="6F689DE2" w:rsidR="00AC124E" w:rsidRPr="007C693A" w:rsidRDefault="00AC124E" w:rsidP="00014203">
      <w:pPr>
        <w:jc w:val="both"/>
        <w:rPr>
          <w:rFonts w:ascii="Verdana" w:hAnsi="Verdana"/>
          <w:sz w:val="16"/>
          <w:szCs w:val="16"/>
          <w:lang w:val="es-MX"/>
        </w:rPr>
      </w:pPr>
      <w:r w:rsidRPr="00D418E5">
        <w:rPr>
          <w:rStyle w:val="Refdenotaalpie"/>
        </w:rPr>
        <w:footnoteRef/>
      </w:r>
      <w:r w:rsidRPr="007C693A">
        <w:rPr>
          <w:rFonts w:ascii="Verdana" w:hAnsi="Verdana"/>
          <w:sz w:val="16"/>
          <w:szCs w:val="16"/>
          <w:lang w:val="es-MX"/>
        </w:rPr>
        <w:tab/>
      </w:r>
      <w:r w:rsidRPr="007C693A">
        <w:rPr>
          <w:rFonts w:ascii="Verdana" w:hAnsi="Verdana"/>
          <w:i/>
          <w:sz w:val="16"/>
          <w:szCs w:val="16"/>
          <w:lang w:val="es-MX"/>
        </w:rPr>
        <w:t xml:space="preserve">Cfr. </w:t>
      </w:r>
      <w:r w:rsidRPr="007C693A">
        <w:rPr>
          <w:rFonts w:ascii="Verdana" w:hAnsi="Verdana" w:cs="Verdana"/>
          <w:i/>
          <w:iCs/>
          <w:sz w:val="16"/>
          <w:szCs w:val="16"/>
          <w:lang w:val="es-MX"/>
        </w:rPr>
        <w:t>Caso Bámaca Velásquez Vs. Guatemala.</w:t>
      </w:r>
      <w:r w:rsidRPr="007C693A">
        <w:rPr>
          <w:rFonts w:ascii="Verdana" w:hAnsi="Verdana"/>
          <w:sz w:val="16"/>
          <w:szCs w:val="16"/>
          <w:lang w:val="es-MX"/>
        </w:rPr>
        <w:t xml:space="preserve"> </w:t>
      </w:r>
      <w:r w:rsidRPr="007C693A">
        <w:rPr>
          <w:rFonts w:ascii="Verdana" w:hAnsi="Verdana"/>
          <w:i/>
          <w:sz w:val="16"/>
          <w:szCs w:val="16"/>
          <w:lang w:val="es-MX"/>
        </w:rPr>
        <w:t>Reparaciones y Costas</w:t>
      </w:r>
      <w:r w:rsidRPr="007C693A">
        <w:rPr>
          <w:rFonts w:ascii="Verdana" w:hAnsi="Verdana"/>
          <w:sz w:val="16"/>
          <w:szCs w:val="16"/>
          <w:lang w:val="es-MX"/>
        </w:rPr>
        <w:t>.</w:t>
      </w:r>
      <w:r w:rsidRPr="007C693A">
        <w:rPr>
          <w:rFonts w:ascii="Verdana" w:hAnsi="Verdana"/>
          <w:i/>
          <w:sz w:val="16"/>
          <w:szCs w:val="16"/>
          <w:lang w:val="es-MX"/>
        </w:rPr>
        <w:t xml:space="preserve"> </w:t>
      </w:r>
      <w:r w:rsidRPr="007C693A">
        <w:rPr>
          <w:rFonts w:ascii="Verdana" w:hAnsi="Verdana"/>
          <w:sz w:val="16"/>
          <w:szCs w:val="16"/>
          <w:lang w:val="es-MX"/>
        </w:rPr>
        <w:t xml:space="preserve">Sentencia de 22 de febrero de 2002. Serie C No. 91, </w:t>
      </w:r>
      <w:r w:rsidRPr="007C693A">
        <w:rPr>
          <w:rFonts w:ascii="Verdana" w:hAnsi="Verdana" w:cs="Verdana"/>
          <w:sz w:val="16"/>
          <w:szCs w:val="16"/>
          <w:lang w:val="es-MX"/>
        </w:rPr>
        <w:t>párr. 43</w:t>
      </w:r>
      <w:r w:rsidR="00953F0B">
        <w:rPr>
          <w:rFonts w:ascii="Verdana" w:hAnsi="Verdana" w:cs="Verdana"/>
          <w:sz w:val="16"/>
          <w:szCs w:val="16"/>
          <w:lang w:val="es-MX"/>
        </w:rPr>
        <w:t xml:space="preserve">, </w:t>
      </w:r>
      <w:r>
        <w:rPr>
          <w:rFonts w:ascii="Verdana" w:hAnsi="Verdana"/>
          <w:sz w:val="16"/>
          <w:szCs w:val="16"/>
          <w:lang w:val="es-MX"/>
        </w:rPr>
        <w:t xml:space="preserve">y </w:t>
      </w:r>
      <w:r w:rsidRPr="00E55450">
        <w:rPr>
          <w:rFonts w:ascii="Verdana" w:hAnsi="Verdana"/>
          <w:i/>
          <w:sz w:val="16"/>
          <w:szCs w:val="16"/>
          <w:lang w:val="es-MX"/>
        </w:rPr>
        <w:t>Caso Deras García y otros Vs. Honduras</w:t>
      </w:r>
      <w:r w:rsidR="006F0663">
        <w:rPr>
          <w:rFonts w:ascii="Verdana" w:hAnsi="Verdana"/>
          <w:i/>
          <w:sz w:val="16"/>
          <w:szCs w:val="16"/>
          <w:lang w:val="es-MX"/>
        </w:rPr>
        <w:t>, supra</w:t>
      </w:r>
      <w:r>
        <w:rPr>
          <w:rFonts w:ascii="Verdana" w:hAnsi="Verdana"/>
          <w:sz w:val="16"/>
          <w:szCs w:val="16"/>
          <w:lang w:val="es-MX"/>
        </w:rPr>
        <w:t xml:space="preserve">, párr. 123. </w:t>
      </w:r>
    </w:p>
  </w:footnote>
  <w:footnote w:id="235">
    <w:p w14:paraId="3F377776" w14:textId="46146C09" w:rsidR="00AC124E" w:rsidRPr="007C693A" w:rsidRDefault="00AC124E" w:rsidP="00014203">
      <w:pPr>
        <w:jc w:val="both"/>
        <w:rPr>
          <w:rFonts w:ascii="Verdana" w:hAnsi="Verdana"/>
          <w:sz w:val="16"/>
          <w:szCs w:val="16"/>
          <w:lang w:val="es-ES"/>
        </w:rPr>
      </w:pPr>
      <w:r w:rsidRPr="00D418E5">
        <w:rPr>
          <w:rStyle w:val="Refdenotaalpie"/>
        </w:rPr>
        <w:footnoteRef/>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Defensor de Derechos Humanos y otros Vs. Guatemala</w:t>
      </w:r>
      <w:r w:rsidR="00515275">
        <w:rPr>
          <w:rFonts w:ascii="Verdana" w:hAnsi="Verdana"/>
          <w:i/>
          <w:sz w:val="16"/>
          <w:szCs w:val="16"/>
          <w:lang w:val="es-ES"/>
        </w:rPr>
        <w:t>, supra</w:t>
      </w:r>
      <w:r>
        <w:rPr>
          <w:rFonts w:ascii="Verdana" w:hAnsi="Verdana"/>
          <w:sz w:val="16"/>
          <w:szCs w:val="16"/>
          <w:lang w:val="es-ES"/>
        </w:rPr>
        <w:t>,</w:t>
      </w:r>
      <w:r w:rsidRPr="007C693A">
        <w:rPr>
          <w:rFonts w:ascii="Verdana" w:hAnsi="Verdana"/>
          <w:sz w:val="16"/>
          <w:szCs w:val="16"/>
          <w:lang w:val="es-ES"/>
        </w:rPr>
        <w:t xml:space="preserve"> párr. 271, y </w:t>
      </w:r>
      <w:r w:rsidR="00B848F1" w:rsidRPr="00E55450">
        <w:rPr>
          <w:rFonts w:ascii="Verdana" w:hAnsi="Verdana"/>
          <w:i/>
          <w:sz w:val="16"/>
          <w:szCs w:val="16"/>
          <w:lang w:val="es-MX"/>
        </w:rPr>
        <w:t>Caso Deras García y otros Vs. Honduras</w:t>
      </w:r>
      <w:r w:rsidR="00515275">
        <w:rPr>
          <w:rFonts w:ascii="Verdana" w:hAnsi="Verdana"/>
          <w:i/>
          <w:sz w:val="16"/>
          <w:szCs w:val="16"/>
          <w:lang w:val="es-MX"/>
        </w:rPr>
        <w:t>, supra</w:t>
      </w:r>
      <w:r w:rsidR="00B848F1">
        <w:rPr>
          <w:rFonts w:ascii="Verdana" w:hAnsi="Verdana"/>
          <w:sz w:val="16"/>
          <w:szCs w:val="16"/>
          <w:lang w:val="es-MX"/>
        </w:rPr>
        <w:t>, párr. 125.</w:t>
      </w:r>
    </w:p>
  </w:footnote>
  <w:footnote w:id="236">
    <w:p w14:paraId="51C6ADFA" w14:textId="3AAFD733" w:rsidR="00AC124E" w:rsidRPr="007C693A" w:rsidRDefault="00AC124E" w:rsidP="00014203">
      <w:pPr>
        <w:jc w:val="both"/>
        <w:rPr>
          <w:rFonts w:ascii="Verdana" w:hAnsi="Verdana"/>
          <w:sz w:val="16"/>
          <w:szCs w:val="16"/>
          <w:lang w:val="es-ES"/>
        </w:rPr>
      </w:pPr>
      <w:r w:rsidRPr="00D418E5">
        <w:rPr>
          <w:rStyle w:val="Refdenotaalpie"/>
        </w:rPr>
        <w:footnoteRef/>
      </w:r>
      <w:r w:rsidRPr="007C693A">
        <w:rPr>
          <w:rFonts w:ascii="Verdana" w:hAnsi="Verdana"/>
          <w:sz w:val="16"/>
          <w:szCs w:val="16"/>
          <w:lang w:val="es-ES"/>
        </w:rPr>
        <w:t xml:space="preserve"> </w:t>
      </w:r>
      <w:r w:rsidR="00497053">
        <w:rPr>
          <w:rFonts w:ascii="Verdana" w:hAnsi="Verdana"/>
          <w:sz w:val="16"/>
          <w:szCs w:val="16"/>
          <w:lang w:val="es-ES"/>
        </w:rPr>
        <w:tab/>
      </w:r>
      <w:r w:rsidR="006D0811">
        <w:rPr>
          <w:rFonts w:ascii="Verdana" w:hAnsi="Verdana"/>
          <w:sz w:val="16"/>
          <w:szCs w:val="16"/>
          <w:lang w:val="es-ES"/>
        </w:rPr>
        <w:t>Al respecto, según lo informado por el Estado, el</w:t>
      </w:r>
      <w:r w:rsidRPr="00AA2750">
        <w:rPr>
          <w:rFonts w:ascii="Verdana" w:hAnsi="Verdana"/>
          <w:sz w:val="16"/>
          <w:szCs w:val="16"/>
          <w:lang w:val="es-ES"/>
        </w:rPr>
        <w:t xml:space="preserve"> acuerdo consistiría en una reparación pecuniaria consistente en: a) un pago único, que está en curso por reparación material; b) un pago único por el fallecimiento del exdiputado en el desempeño de sus funciones, y c</w:t>
      </w:r>
      <w:r w:rsidRPr="006D0811">
        <w:rPr>
          <w:rFonts w:ascii="Verdana" w:hAnsi="Verdana"/>
          <w:sz w:val="16"/>
          <w:szCs w:val="16"/>
          <w:lang w:val="es-ES"/>
        </w:rPr>
        <w:t>) un</w:t>
      </w:r>
      <w:r w:rsidR="00AA2750" w:rsidRPr="006D0811">
        <w:rPr>
          <w:rFonts w:ascii="Verdana" w:hAnsi="Verdana"/>
          <w:sz w:val="16"/>
          <w:szCs w:val="16"/>
          <w:lang w:val="es-ES"/>
        </w:rPr>
        <w:t xml:space="preserve">a renta vitalicia </w:t>
      </w:r>
      <w:r w:rsidRPr="006D0811">
        <w:rPr>
          <w:rFonts w:ascii="Verdana" w:hAnsi="Verdana"/>
          <w:sz w:val="16"/>
          <w:szCs w:val="16"/>
          <w:lang w:val="es-ES"/>
        </w:rPr>
        <w:t xml:space="preserve">mensual, el cual estaba en curso en planillas, a partir del mes de enero por el Servicio Nacional de Reparto </w:t>
      </w:r>
      <w:r w:rsidR="00524317">
        <w:rPr>
          <w:rFonts w:ascii="Verdana" w:hAnsi="Verdana"/>
          <w:sz w:val="16"/>
          <w:szCs w:val="16"/>
          <w:lang w:val="es-ES"/>
        </w:rPr>
        <w:t>(</w:t>
      </w:r>
      <w:r w:rsidRPr="006D0811">
        <w:rPr>
          <w:rFonts w:ascii="Verdana" w:hAnsi="Verdana"/>
          <w:sz w:val="16"/>
          <w:szCs w:val="16"/>
          <w:lang w:val="es-ES"/>
        </w:rPr>
        <w:t>SENASIR</w:t>
      </w:r>
      <w:r w:rsidR="00524317">
        <w:rPr>
          <w:rFonts w:ascii="Verdana" w:hAnsi="Verdana"/>
          <w:sz w:val="16"/>
          <w:szCs w:val="16"/>
          <w:lang w:val="es-ES"/>
        </w:rPr>
        <w:t>)</w:t>
      </w:r>
      <w:r w:rsidRPr="006D0811">
        <w:rPr>
          <w:rFonts w:ascii="Verdana" w:hAnsi="Verdana"/>
          <w:sz w:val="16"/>
          <w:szCs w:val="16"/>
          <w:lang w:val="es-ES"/>
        </w:rPr>
        <w:t>.</w:t>
      </w:r>
    </w:p>
  </w:footnote>
  <w:footnote w:id="237">
    <w:p w14:paraId="5BA0A9F1" w14:textId="77777777" w:rsidR="004339F2" w:rsidRPr="007C693A" w:rsidRDefault="004339F2" w:rsidP="004339F2">
      <w:pPr>
        <w:jc w:val="both"/>
        <w:rPr>
          <w:rFonts w:ascii="Verdana" w:hAnsi="Verdana"/>
          <w:sz w:val="16"/>
          <w:szCs w:val="16"/>
          <w:lang w:val="es-MX"/>
        </w:rPr>
      </w:pPr>
      <w:r w:rsidRPr="00D418E5">
        <w:rPr>
          <w:rStyle w:val="Refdenotaalpie"/>
        </w:rPr>
        <w:footnoteRef/>
      </w:r>
      <w:r w:rsidRPr="007C693A">
        <w:rPr>
          <w:rFonts w:ascii="Verdana" w:hAnsi="Verdana"/>
          <w:sz w:val="16"/>
          <w:szCs w:val="16"/>
          <w:lang w:val="es-MX"/>
        </w:rPr>
        <w:t xml:space="preserve"> </w:t>
      </w:r>
      <w:r w:rsidRPr="007C693A">
        <w:rPr>
          <w:rFonts w:ascii="Verdana" w:hAnsi="Verdana"/>
          <w:sz w:val="16"/>
          <w:szCs w:val="16"/>
          <w:lang w:val="es-MX"/>
        </w:rPr>
        <w:tab/>
      </w:r>
      <w:r w:rsidRPr="00B848F1">
        <w:rPr>
          <w:rFonts w:ascii="Verdana" w:hAnsi="Verdana"/>
          <w:i/>
          <w:iCs/>
          <w:sz w:val="16"/>
          <w:szCs w:val="16"/>
          <w:lang w:val="es-MX"/>
        </w:rPr>
        <w:t xml:space="preserve">Caso de los “Niños de la Calle” (Villagrán Morales y otros) Vs. Guatemala. Reparaciones y Costas. </w:t>
      </w:r>
      <w:r w:rsidRPr="00B848F1">
        <w:rPr>
          <w:rFonts w:ascii="Verdana" w:hAnsi="Verdana"/>
          <w:sz w:val="16"/>
          <w:szCs w:val="16"/>
          <w:lang w:val="es-MX"/>
        </w:rPr>
        <w:t xml:space="preserve">Sentencia de 26 de mayo de 2001. Serie C No. 77, párr. 84, y </w:t>
      </w:r>
      <w:r w:rsidRPr="00B848F1">
        <w:rPr>
          <w:rFonts w:ascii="Verdana" w:hAnsi="Verdana"/>
          <w:i/>
          <w:sz w:val="16"/>
          <w:szCs w:val="16"/>
          <w:lang w:val="es-CO"/>
        </w:rPr>
        <w:t>Caso Deras García y otros Vs. Honduras</w:t>
      </w:r>
      <w:r>
        <w:rPr>
          <w:rFonts w:ascii="Verdana" w:hAnsi="Verdana"/>
          <w:i/>
          <w:sz w:val="16"/>
          <w:szCs w:val="16"/>
          <w:lang w:val="es-CO"/>
        </w:rPr>
        <w:t>, supra</w:t>
      </w:r>
      <w:r w:rsidRPr="00B848F1">
        <w:rPr>
          <w:rFonts w:ascii="Verdana" w:hAnsi="Verdana"/>
          <w:sz w:val="16"/>
          <w:szCs w:val="16"/>
          <w:lang w:val="es-CO"/>
        </w:rPr>
        <w:t>, párr.</w:t>
      </w:r>
      <w:r>
        <w:rPr>
          <w:rFonts w:ascii="Verdana" w:hAnsi="Verdana"/>
          <w:sz w:val="16"/>
          <w:szCs w:val="16"/>
          <w:lang w:val="es-CO"/>
        </w:rPr>
        <w:t xml:space="preserve"> 123.</w:t>
      </w:r>
    </w:p>
  </w:footnote>
  <w:footnote w:id="238">
    <w:p w14:paraId="264FBE83" w14:textId="597776E3" w:rsidR="00AC124E" w:rsidRPr="007C693A" w:rsidRDefault="00AC124E" w:rsidP="00014203">
      <w:pPr>
        <w:jc w:val="both"/>
        <w:rPr>
          <w:rFonts w:ascii="Verdana" w:hAnsi="Verdana"/>
          <w:sz w:val="16"/>
          <w:szCs w:val="16"/>
          <w:lang w:val="es-ES"/>
        </w:rPr>
      </w:pPr>
      <w:r w:rsidRPr="00D418E5">
        <w:rPr>
          <w:rStyle w:val="Refdenotaalpie"/>
        </w:rPr>
        <w:footnoteRef/>
      </w:r>
      <w:r w:rsidRPr="007C693A">
        <w:rPr>
          <w:rFonts w:ascii="Verdana" w:hAnsi="Verdana"/>
          <w:sz w:val="16"/>
          <w:szCs w:val="16"/>
          <w:lang w:val="es-ES"/>
        </w:rPr>
        <w:tab/>
      </w:r>
      <w:r w:rsidRPr="007C693A">
        <w:rPr>
          <w:rFonts w:ascii="Verdana" w:hAnsi="Verdana"/>
          <w:i/>
          <w:sz w:val="16"/>
          <w:szCs w:val="16"/>
          <w:lang w:val="es-ES"/>
        </w:rPr>
        <w:t>Cfr.</w:t>
      </w:r>
      <w:r w:rsidRPr="007C693A">
        <w:rPr>
          <w:rFonts w:ascii="Verdana" w:hAnsi="Verdana"/>
          <w:sz w:val="16"/>
          <w:szCs w:val="16"/>
          <w:lang w:val="es-ES"/>
        </w:rPr>
        <w:t xml:space="preserve"> </w:t>
      </w:r>
      <w:r w:rsidRPr="007C693A">
        <w:rPr>
          <w:rFonts w:ascii="Verdana" w:hAnsi="Verdana"/>
          <w:i/>
          <w:sz w:val="16"/>
          <w:szCs w:val="16"/>
          <w:lang w:val="es-ES"/>
        </w:rPr>
        <w:t>Caso Garrido y Baigorria Vs. Argentina. Reparaciones y Costas.</w:t>
      </w:r>
      <w:r w:rsidRPr="007C693A">
        <w:rPr>
          <w:rFonts w:ascii="Verdana" w:hAnsi="Verdana"/>
          <w:sz w:val="16"/>
          <w:szCs w:val="16"/>
          <w:lang w:val="es-ES"/>
        </w:rPr>
        <w:t xml:space="preserve"> Sentencia de 27 de agosto de 1998. Serie C No. 39, párr. 82, y </w:t>
      </w:r>
      <w:r w:rsidRPr="007C693A">
        <w:rPr>
          <w:rFonts w:ascii="Verdana" w:hAnsi="Verdana"/>
          <w:i/>
          <w:sz w:val="16"/>
          <w:szCs w:val="16"/>
          <w:lang w:val="es-ES"/>
        </w:rPr>
        <w:t xml:space="preserve">Caso </w:t>
      </w:r>
      <w:r>
        <w:rPr>
          <w:rFonts w:ascii="Verdana" w:hAnsi="Verdana"/>
          <w:i/>
          <w:sz w:val="16"/>
          <w:szCs w:val="16"/>
          <w:lang w:val="es-ES"/>
        </w:rPr>
        <w:t>Deras García y otros Vs. Honduras</w:t>
      </w:r>
      <w:r w:rsidR="005A45FE">
        <w:rPr>
          <w:rFonts w:ascii="Verdana" w:hAnsi="Verdana"/>
          <w:i/>
          <w:sz w:val="16"/>
          <w:szCs w:val="16"/>
          <w:lang w:val="es-ES"/>
        </w:rPr>
        <w:t>, supra</w:t>
      </w:r>
      <w:r>
        <w:rPr>
          <w:rFonts w:ascii="Verdana" w:hAnsi="Verdana"/>
          <w:sz w:val="16"/>
          <w:szCs w:val="16"/>
          <w:lang w:val="es-ES"/>
        </w:rPr>
        <w:t>, párr. 131</w:t>
      </w:r>
    </w:p>
  </w:footnote>
  <w:footnote w:id="239">
    <w:p w14:paraId="5C4C6867" w14:textId="3320A445" w:rsidR="00AC124E" w:rsidRPr="00014203" w:rsidRDefault="00AC124E" w:rsidP="00014203">
      <w:pPr>
        <w:jc w:val="both"/>
        <w:rPr>
          <w:rFonts w:ascii="Verdana" w:hAnsi="Verdana"/>
          <w:sz w:val="16"/>
          <w:szCs w:val="16"/>
        </w:rPr>
      </w:pPr>
      <w:r w:rsidRPr="00D418E5">
        <w:rPr>
          <w:rStyle w:val="Refdenotaalpie"/>
        </w:rPr>
        <w:footnoteRef/>
      </w:r>
      <w:r w:rsidRPr="007C693A">
        <w:rPr>
          <w:rFonts w:ascii="Verdana" w:hAnsi="Verdana"/>
          <w:sz w:val="16"/>
          <w:szCs w:val="16"/>
          <w:lang w:val="es-ES"/>
        </w:rPr>
        <w:tab/>
      </w:r>
      <w:r w:rsidRPr="007C693A">
        <w:rPr>
          <w:rFonts w:ascii="Verdana" w:hAnsi="Verdana"/>
          <w:i/>
          <w:sz w:val="16"/>
          <w:szCs w:val="16"/>
          <w:lang w:val="es-ES"/>
        </w:rPr>
        <w:t>Cfr. Caso Garrido y Baigorria Vs. Argentina. Reparaciones y Costas</w:t>
      </w:r>
      <w:r w:rsidR="00044E17">
        <w:rPr>
          <w:rFonts w:ascii="Verdana" w:hAnsi="Verdana"/>
          <w:i/>
          <w:sz w:val="16"/>
          <w:szCs w:val="16"/>
          <w:lang w:val="es-ES"/>
        </w:rPr>
        <w:t>, supra</w:t>
      </w:r>
      <w:r w:rsidRPr="007C693A">
        <w:rPr>
          <w:rFonts w:ascii="Verdana" w:hAnsi="Verdana"/>
          <w:sz w:val="16"/>
          <w:szCs w:val="16"/>
          <w:lang w:val="es-ES"/>
        </w:rPr>
        <w:t xml:space="preserve">, párr. 82, y </w:t>
      </w:r>
      <w:r w:rsidRPr="007C693A">
        <w:rPr>
          <w:rFonts w:ascii="Verdana" w:hAnsi="Verdana"/>
          <w:i/>
          <w:sz w:val="16"/>
          <w:szCs w:val="16"/>
          <w:lang w:val="es-ES"/>
        </w:rPr>
        <w:t xml:space="preserve">Caso </w:t>
      </w:r>
      <w:r>
        <w:rPr>
          <w:rFonts w:ascii="Verdana" w:hAnsi="Verdana"/>
          <w:i/>
          <w:sz w:val="16"/>
          <w:szCs w:val="16"/>
          <w:lang w:val="es-ES"/>
        </w:rPr>
        <w:t>Deras García y otros Vs. Honduras</w:t>
      </w:r>
      <w:r w:rsidR="00044E17">
        <w:rPr>
          <w:rFonts w:ascii="Verdana" w:hAnsi="Verdana"/>
          <w:i/>
          <w:sz w:val="16"/>
          <w:szCs w:val="16"/>
          <w:lang w:val="es-ES"/>
        </w:rPr>
        <w:t>, supra</w:t>
      </w:r>
      <w:r>
        <w:rPr>
          <w:rFonts w:ascii="Verdana" w:hAnsi="Verdana"/>
          <w:sz w:val="16"/>
          <w:szCs w:val="16"/>
          <w:lang w:val="es-ES"/>
        </w:rPr>
        <w:t>, párr. 131.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4C358" w14:textId="6D7233A5" w:rsidR="00AC124E" w:rsidRPr="001D4806" w:rsidRDefault="00AC124E" w:rsidP="001D4806">
    <w:pPr>
      <w:ind w:left="3540" w:hanging="3540"/>
      <w:rPr>
        <w:rFonts w:ascii="Verdana" w:hAnsi="Verdana"/>
        <w:sz w:val="16"/>
        <w:szCs w:val="16"/>
        <w:lang w:val="es-CR"/>
      </w:rPr>
    </w:pPr>
    <w:r w:rsidRPr="001D4806">
      <w:rPr>
        <w:rFonts w:ascii="Verdana" w:hAnsi="Verdana"/>
        <w:sz w:val="16"/>
        <w:szCs w:val="16"/>
        <w:lang w:val="es-CR"/>
      </w:rPr>
      <w:tab/>
    </w:r>
    <w:r w:rsidRPr="001D4806">
      <w:rPr>
        <w:rFonts w:ascii="Verdana" w:hAnsi="Verdana"/>
        <w:sz w:val="16"/>
        <w:szCs w:val="16"/>
        <w:lang w:val="es-CR"/>
      </w:rPr>
      <w:tab/>
      <w:t xml:space="preserve"> </w:t>
    </w:r>
    <w:r>
      <w:rPr>
        <w:rFonts w:ascii="Verdana" w:hAnsi="Verdana"/>
        <w:sz w:val="16"/>
        <w:szCs w:val="16"/>
        <w:lang w:val="es-CR"/>
      </w:rPr>
      <w:tab/>
    </w:r>
    <w:r>
      <w:rPr>
        <w:rFonts w:ascii="Verdana" w:hAnsi="Verdana"/>
        <w:sz w:val="16"/>
        <w:szCs w:val="16"/>
        <w:lang w:val="es-CR"/>
      </w:rPr>
      <w:tab/>
    </w:r>
    <w:r>
      <w:rPr>
        <w:rFonts w:ascii="Verdana" w:hAnsi="Verdana"/>
        <w:sz w:val="16"/>
        <w:szCs w:val="16"/>
        <w:lang w:val="es-CR"/>
      </w:rPr>
      <w:tab/>
    </w:r>
  </w:p>
  <w:p w14:paraId="7F86CE86" w14:textId="3BC2D8FC" w:rsidR="00AC124E" w:rsidRPr="007560FB" w:rsidRDefault="00AC124E" w:rsidP="007560FB">
    <w:pPr>
      <w:rPr>
        <w:lang w:val="es-CR"/>
      </w:rPr>
    </w:pPr>
  </w:p>
  <w:p w14:paraId="0F94077E" w14:textId="77777777" w:rsidR="00AC124E" w:rsidRPr="001D4806" w:rsidRDefault="00AC124E">
    <w:pPr>
      <w:jc w:val="center"/>
      <w:rPr>
        <w:lang w:val="es-CR"/>
      </w:rPr>
    </w:pPr>
  </w:p>
  <w:p w14:paraId="3CF02173" w14:textId="77777777" w:rsidR="00AC124E" w:rsidRPr="008464EA" w:rsidRDefault="00AC124E">
    <w:pPr>
      <w:rPr>
        <w:lang w:val="es-ES"/>
      </w:rPr>
    </w:pPr>
  </w:p>
  <w:p w14:paraId="26081E64" w14:textId="77777777" w:rsidR="00AC124E" w:rsidRPr="008464EA" w:rsidRDefault="00AC124E">
    <w:pP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0C8"/>
    <w:multiLevelType w:val="hybridMultilevel"/>
    <w:tmpl w:val="66C65062"/>
    <w:lvl w:ilvl="0" w:tplc="FFFFFFFF">
      <w:start w:val="1"/>
      <w:numFmt w:val="decimal"/>
      <w:lvlText w:val="%1."/>
      <w:lvlJc w:val="left"/>
      <w:pPr>
        <w:ind w:left="720" w:hanging="360"/>
      </w:pPr>
      <w:rPr>
        <w:rFonts w:hint="default"/>
        <w:b w:val="0"/>
        <w:bCs w:val="0"/>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981A9F"/>
    <w:multiLevelType w:val="hybridMultilevel"/>
    <w:tmpl w:val="DC320FCC"/>
    <w:lvl w:ilvl="0" w:tplc="FFFFFFFF">
      <w:start w:val="7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943621"/>
    <w:multiLevelType w:val="hybridMultilevel"/>
    <w:tmpl w:val="28CA4582"/>
    <w:lvl w:ilvl="0" w:tplc="1D582328">
      <w:start w:val="1"/>
      <w:numFmt w:val="decimal"/>
      <w:lvlText w:val="%1."/>
      <w:lvlJc w:val="left"/>
      <w:pPr>
        <w:ind w:left="0" w:firstLine="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5423A2"/>
    <w:multiLevelType w:val="hybridMultilevel"/>
    <w:tmpl w:val="09AEC23C"/>
    <w:lvl w:ilvl="0" w:tplc="FFFFFFFF">
      <w:start w:val="166"/>
      <w:numFmt w:val="decimal"/>
      <w:lvlText w:val="%1."/>
      <w:lvlJc w:val="left"/>
      <w:pPr>
        <w:ind w:left="820" w:hanging="4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D131B68"/>
    <w:multiLevelType w:val="multilevel"/>
    <w:tmpl w:val="79648246"/>
    <w:lvl w:ilvl="0">
      <w:start w:val="1"/>
      <w:numFmt w:val="lowerLetter"/>
      <w:lvlText w:val="%1)"/>
      <w:lvlJc w:val="left"/>
      <w:pPr>
        <w:ind w:left="720" w:hanging="360"/>
      </w:pPr>
      <w:rPr>
        <w:b w:val="0"/>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D26001A"/>
    <w:multiLevelType w:val="hybridMultilevel"/>
    <w:tmpl w:val="4EA44956"/>
    <w:lvl w:ilvl="0" w:tplc="FFFFFFFF">
      <w:start w:val="68"/>
      <w:numFmt w:val="decimal"/>
      <w:lvlText w:val="%1."/>
      <w:lvlJc w:val="left"/>
      <w:pPr>
        <w:ind w:left="785" w:hanging="360"/>
      </w:pPr>
      <w:rPr>
        <w:rFonts w:ascii="Verdana" w:hAnsi="Verdana" w:hint="default"/>
        <w:b w:val="0"/>
        <w:bCs w:val="0"/>
        <w:i w:val="0"/>
        <w:iCs w:val="0"/>
        <w:color w:val="auto"/>
        <w:sz w:val="20"/>
        <w:szCs w:val="20"/>
      </w:rPr>
    </w:lvl>
    <w:lvl w:ilvl="1" w:tplc="FFFFFFFF">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start w:val="1"/>
      <w:numFmt w:val="decimal"/>
      <w:lvlText w:val="%4."/>
      <w:lvlJc w:val="left"/>
      <w:pPr>
        <w:ind w:left="4140" w:hanging="360"/>
      </w:pPr>
    </w:lvl>
    <w:lvl w:ilvl="4" w:tplc="FFFFFFFF">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6" w15:restartNumberingAfterBreak="0">
    <w:nsid w:val="20F75737"/>
    <w:multiLevelType w:val="hybridMultilevel"/>
    <w:tmpl w:val="5472F152"/>
    <w:lvl w:ilvl="0" w:tplc="390E52C0">
      <w:start w:val="1"/>
      <w:numFmt w:val="upperLetter"/>
      <w:suff w:val="space"/>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DB0842"/>
    <w:multiLevelType w:val="hybridMultilevel"/>
    <w:tmpl w:val="1C94DE94"/>
    <w:lvl w:ilvl="0" w:tplc="43B8537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4379D5"/>
    <w:multiLevelType w:val="hybridMultilevel"/>
    <w:tmpl w:val="1C82107E"/>
    <w:lvl w:ilvl="0" w:tplc="FFFFFFFF">
      <w:start w:val="148"/>
      <w:numFmt w:val="decimal"/>
      <w:lvlText w:val="%1."/>
      <w:lvlJc w:val="left"/>
      <w:pPr>
        <w:ind w:left="820" w:hanging="460"/>
      </w:pPr>
      <w:rPr>
        <w:rFonts w:eastAsia="Times New Roman" w:cs="Times New Roman"/>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75F1B56"/>
    <w:multiLevelType w:val="multilevel"/>
    <w:tmpl w:val="A62A17E4"/>
    <w:styleLink w:val="CurrentList1"/>
    <w:lvl w:ilvl="0">
      <w:start w:val="100"/>
      <w:numFmt w:val="decimal"/>
      <w:lvlText w:val="%1."/>
      <w:lvlJc w:val="left"/>
      <w:pPr>
        <w:ind w:left="795" w:hanging="435"/>
      </w:pPr>
      <w:rPr>
        <w:rFonts w:eastAsia="Helvetica Neue" w:cs="Helvetica Neue" w:hint="default"/>
        <w:b w:val="0"/>
        <w:bCs w:val="0"/>
        <w:i w:val="0"/>
        <w:i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9A257A3"/>
    <w:multiLevelType w:val="hybridMultilevel"/>
    <w:tmpl w:val="9D123F9C"/>
    <w:lvl w:ilvl="0" w:tplc="A306A01E">
      <w:start w:val="1"/>
      <w:numFmt w:val="decimal"/>
      <w:lvlText w:val="%1."/>
      <w:lvlJc w:val="left"/>
      <w:pPr>
        <w:ind w:left="1080" w:hanging="360"/>
      </w:pPr>
      <w:rPr>
        <w:rFonts w:ascii="Verdana" w:hAnsi="Verdana" w:cs="Times" w:hint="default"/>
        <w:i w:val="0"/>
        <w:sz w:val="20"/>
        <w:szCs w:val="2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rPr>
        <w:lang w:val="es-ES_tradnl"/>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A6E71DA"/>
    <w:multiLevelType w:val="hybridMultilevel"/>
    <w:tmpl w:val="3094F2B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0D3F69"/>
    <w:multiLevelType w:val="hybridMultilevel"/>
    <w:tmpl w:val="F61AFE3C"/>
    <w:lvl w:ilvl="0" w:tplc="CE842CAC">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BB16B2"/>
    <w:multiLevelType w:val="hybridMultilevel"/>
    <w:tmpl w:val="DABE2ED8"/>
    <w:lvl w:ilvl="0" w:tplc="FFFFFFFF">
      <w:start w:val="1"/>
      <w:numFmt w:val="upperLetter"/>
      <w:lvlText w:val=""/>
      <w:lvlJc w:val="left"/>
      <w:rPr>
        <w:rFonts w:hAnsi="Arial Unicode MS"/>
        <w:b/>
        <w:bCs/>
        <w:caps w:val="0"/>
        <w:smallCaps w:val="0"/>
        <w:strike w:val="0"/>
        <w:dstrike w:val="0"/>
        <w:color w:val="000000"/>
        <w:spacing w:val="0"/>
        <w:w w:val="100"/>
        <w:kern w:val="0"/>
        <w:position w:val="0"/>
        <w:highlight w:val="none"/>
        <w:u w:val="none"/>
        <w:effect w:val="none"/>
        <w:vertAlign w:val="baseline"/>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1CA472E"/>
    <w:multiLevelType w:val="hybridMultilevel"/>
    <w:tmpl w:val="862A6A2A"/>
    <w:lvl w:ilvl="0" w:tplc="FFFFFFFF">
      <w:numFmt w:val="decimal"/>
      <w:lvlText w:val=""/>
      <w:lvlJc w:val="left"/>
    </w:lvl>
    <w:lvl w:ilvl="1" w:tplc="FFFFFFFF">
      <w:numFmt w:val="decimal"/>
      <w:lvlText w:val=""/>
      <w:lvlJc w:val="left"/>
    </w:lvl>
    <w:lvl w:ilvl="2" w:tplc="FFFFFFFF">
      <w:numFmt w:val="decimal"/>
      <w:lvlText w:val=".萏ୀ萑ﺘ葞ୀ葠ﺘ"/>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4BD6D2C"/>
    <w:multiLevelType w:val="hybridMultilevel"/>
    <w:tmpl w:val="26781CB4"/>
    <w:lvl w:ilvl="0" w:tplc="7198603E">
      <w:start w:val="1"/>
      <w:numFmt w:val="decimal"/>
      <w:pStyle w:val="Prrafodelista"/>
      <w:lvlText w:val="%1."/>
      <w:lvlJc w:val="left"/>
      <w:pPr>
        <w:ind w:left="360" w:hanging="360"/>
      </w:pPr>
      <w:rPr>
        <w:rFonts w:hint="default"/>
        <w:b w:val="0"/>
        <w:bCs w:val="0"/>
        <w:i w:val="0"/>
        <w:iCs/>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6" w15:restartNumberingAfterBreak="0">
    <w:nsid w:val="36A7656C"/>
    <w:multiLevelType w:val="hybridMultilevel"/>
    <w:tmpl w:val="12AEFFE6"/>
    <w:lvl w:ilvl="0" w:tplc="FFFFFFFF">
      <w:numFmt w:val="decimal"/>
      <w:lvlText w:val=""/>
      <w:lvlJc w:val="left"/>
    </w:lvl>
    <w:lvl w:ilvl="1" w:tplc="FFFFFFFF">
      <w:numFmt w:val="decimal"/>
      <w:lvlText w:val=""/>
      <w:lvlJc w:val="left"/>
    </w:lvl>
    <w:lvl w:ilvl="2" w:tplc="FFFFFFFF">
      <w:numFmt w:val="decimal"/>
      <w:lvlText w:val=""/>
      <w:lvlJc w:val="left"/>
    </w:lvl>
    <w:lvl w:ilvl="3" w:tplc="78B2D0FA">
      <w:start w:val="1"/>
      <w:numFmt w:val="decimal"/>
      <w:lvlText w:val="%4"/>
      <w:lvlJc w:val="left"/>
      <w:pPr>
        <w:ind w:left="0" w:firstLine="0"/>
      </w:pPr>
      <w:rPr>
        <w:rFonts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6C84FCD"/>
    <w:multiLevelType w:val="hybridMultilevel"/>
    <w:tmpl w:val="A0426DD2"/>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74E59CD"/>
    <w:multiLevelType w:val="hybridMultilevel"/>
    <w:tmpl w:val="C43844F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9BC2C81"/>
    <w:multiLevelType w:val="hybridMultilevel"/>
    <w:tmpl w:val="11D6C57A"/>
    <w:lvl w:ilvl="0" w:tplc="5602060C">
      <w:start w:val="1"/>
      <w:numFmt w:val="decimal"/>
      <w:lvlText w:val="%1."/>
      <w:lvlJc w:val="left"/>
      <w:pPr>
        <w:ind w:left="880" w:hanging="880"/>
      </w:pPr>
      <w:rPr>
        <w:rFonts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FF26DD"/>
    <w:multiLevelType w:val="hybridMultilevel"/>
    <w:tmpl w:val="75CA5CE8"/>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FDE787C"/>
    <w:multiLevelType w:val="hybridMultilevel"/>
    <w:tmpl w:val="F5484C02"/>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2D40F84"/>
    <w:multiLevelType w:val="hybridMultilevel"/>
    <w:tmpl w:val="519A034C"/>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3B778B5"/>
    <w:multiLevelType w:val="hybridMultilevel"/>
    <w:tmpl w:val="F28203EA"/>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A4D261A"/>
    <w:multiLevelType w:val="hybridMultilevel"/>
    <w:tmpl w:val="1B74AD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E731B6"/>
    <w:multiLevelType w:val="hybridMultilevel"/>
    <w:tmpl w:val="BB0AF978"/>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9B6690A"/>
    <w:multiLevelType w:val="hybridMultilevel"/>
    <w:tmpl w:val="C6E4BA9C"/>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AD85B81"/>
    <w:multiLevelType w:val="hybridMultilevel"/>
    <w:tmpl w:val="5D8EAA2C"/>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B3E2F11"/>
    <w:multiLevelType w:val="hybridMultilevel"/>
    <w:tmpl w:val="F2D0DA06"/>
    <w:lvl w:ilvl="0" w:tplc="B7D29E8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5F574A10"/>
    <w:multiLevelType w:val="hybridMultilevel"/>
    <w:tmpl w:val="37EE19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7965A3"/>
    <w:multiLevelType w:val="multilevel"/>
    <w:tmpl w:val="C6E6F7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65425A6F"/>
    <w:multiLevelType w:val="hybridMultilevel"/>
    <w:tmpl w:val="3034A0F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5827CD8"/>
    <w:multiLevelType w:val="hybridMultilevel"/>
    <w:tmpl w:val="F4669AC4"/>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5C21442"/>
    <w:multiLevelType w:val="hybridMultilevel"/>
    <w:tmpl w:val="46D6EC3C"/>
    <w:lvl w:ilvl="0" w:tplc="840E7E32">
      <w:start w:val="1"/>
      <w:numFmt w:val="upperLetter"/>
      <w:suff w:val="space"/>
      <w:lvlText w:val="%1."/>
      <w:lvlJc w:val="left"/>
      <w:pPr>
        <w:ind w:left="0" w:firstLine="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34" w15:restartNumberingAfterBreak="0">
    <w:nsid w:val="699C5398"/>
    <w:multiLevelType w:val="hybridMultilevel"/>
    <w:tmpl w:val="6AACA3A4"/>
    <w:lvl w:ilvl="0" w:tplc="317A85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516CEC"/>
    <w:multiLevelType w:val="hybridMultilevel"/>
    <w:tmpl w:val="7CC4D102"/>
    <w:lvl w:ilvl="0" w:tplc="A8F41CCE">
      <w:start w:val="1"/>
      <w:numFmt w:val="upperLetter"/>
      <w:suff w:val="space"/>
      <w:lvlText w:val="%1."/>
      <w:lvlJc w:val="left"/>
      <w:pPr>
        <w:ind w:left="0" w:firstLine="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AEC37B5"/>
    <w:multiLevelType w:val="hybridMultilevel"/>
    <w:tmpl w:val="4D3ECFCA"/>
    <w:lvl w:ilvl="0" w:tplc="E5FED476">
      <w:start w:val="2"/>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0717498"/>
    <w:multiLevelType w:val="hybridMultilevel"/>
    <w:tmpl w:val="C5D61B46"/>
    <w:lvl w:ilvl="0" w:tplc="A492EFC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6753A80"/>
    <w:multiLevelType w:val="hybridMultilevel"/>
    <w:tmpl w:val="DAD4A26A"/>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BB05A58"/>
    <w:multiLevelType w:val="hybridMultilevel"/>
    <w:tmpl w:val="80B4F6B2"/>
    <w:lvl w:ilvl="0" w:tplc="B0EC0016">
      <w:start w:val="1"/>
      <w:numFmt w:val="upperLetter"/>
      <w:suff w:val="space"/>
      <w:lvlText w:val="%1."/>
      <w:lvlJc w:val="left"/>
      <w:pPr>
        <w:ind w:left="0" w:firstLine="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D66018E"/>
    <w:multiLevelType w:val="hybridMultilevel"/>
    <w:tmpl w:val="B956A490"/>
    <w:lvl w:ilvl="0" w:tplc="11CCFDEA">
      <w:start w:val="1"/>
      <w:numFmt w:val="upperLetter"/>
      <w:suff w:val="space"/>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F97A93"/>
    <w:multiLevelType w:val="hybridMultilevel"/>
    <w:tmpl w:val="0B0AD41A"/>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7FA7704C"/>
    <w:multiLevelType w:val="hybridMultilevel"/>
    <w:tmpl w:val="A0426DD2"/>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64800139">
    <w:abstractNumId w:val="9"/>
  </w:num>
  <w:num w:numId="2" w16cid:durableId="214893646">
    <w:abstractNumId w:val="0"/>
  </w:num>
  <w:num w:numId="3" w16cid:durableId="397174910">
    <w:abstractNumId w:val="30"/>
  </w:num>
  <w:num w:numId="4" w16cid:durableId="12345856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10574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535438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323117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22307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77337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6143737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12084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18265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021883">
    <w:abstractNumId w:val="11"/>
  </w:num>
  <w:num w:numId="14" w16cid:durableId="1762140124">
    <w:abstractNumId w:val="31"/>
  </w:num>
  <w:num w:numId="15" w16cid:durableId="1891719665">
    <w:abstractNumId w:val="19"/>
  </w:num>
  <w:num w:numId="16" w16cid:durableId="1420322744">
    <w:abstractNumId w:val="37"/>
  </w:num>
  <w:num w:numId="17" w16cid:durableId="27682087">
    <w:abstractNumId w:val="7"/>
  </w:num>
  <w:num w:numId="18" w16cid:durableId="1063260162">
    <w:abstractNumId w:val="34"/>
  </w:num>
  <w:num w:numId="19" w16cid:durableId="978464211">
    <w:abstractNumId w:val="39"/>
  </w:num>
  <w:num w:numId="20" w16cid:durableId="1321235081">
    <w:abstractNumId w:val="36"/>
  </w:num>
  <w:num w:numId="21" w16cid:durableId="448428024">
    <w:abstractNumId w:val="4"/>
  </w:num>
  <w:num w:numId="22" w16cid:durableId="876240825">
    <w:abstractNumId w:val="40"/>
  </w:num>
  <w:num w:numId="23" w16cid:durableId="496658065">
    <w:abstractNumId w:val="6"/>
  </w:num>
  <w:num w:numId="24" w16cid:durableId="1872720777">
    <w:abstractNumId w:val="10"/>
  </w:num>
  <w:num w:numId="25" w16cid:durableId="163252210">
    <w:abstractNumId w:val="16"/>
  </w:num>
  <w:num w:numId="26" w16cid:durableId="618099252">
    <w:abstractNumId w:val="12"/>
  </w:num>
  <w:num w:numId="27" w16cid:durableId="87704792">
    <w:abstractNumId w:val="22"/>
  </w:num>
  <w:num w:numId="28" w16cid:durableId="1346052444">
    <w:abstractNumId w:val="35"/>
  </w:num>
  <w:num w:numId="29" w16cid:durableId="652293007">
    <w:abstractNumId w:val="16"/>
  </w:num>
  <w:num w:numId="30" w16cid:durableId="1402560601">
    <w:abstractNumId w:val="2"/>
  </w:num>
  <w:num w:numId="31" w16cid:durableId="2000693957">
    <w:abstractNumId w:val="24"/>
  </w:num>
  <w:num w:numId="32" w16cid:durableId="207449289">
    <w:abstractNumId w:val="28"/>
  </w:num>
  <w:num w:numId="33" w16cid:durableId="138232032">
    <w:abstractNumId w:val="15"/>
  </w:num>
  <w:num w:numId="34" w16cid:durableId="407574569">
    <w:abstractNumId w:val="29"/>
  </w:num>
  <w:num w:numId="35" w16cid:durableId="1655185487">
    <w:abstractNumId w:val="5"/>
  </w:num>
  <w:num w:numId="36" w16cid:durableId="1448889984">
    <w:abstractNumId w:val="25"/>
  </w:num>
  <w:num w:numId="37" w16cid:durableId="3872709">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DAE"/>
    <w:rsid w:val="0000158D"/>
    <w:rsid w:val="00001C92"/>
    <w:rsid w:val="00001F9D"/>
    <w:rsid w:val="000020DF"/>
    <w:rsid w:val="000022D7"/>
    <w:rsid w:val="00002386"/>
    <w:rsid w:val="00002F1A"/>
    <w:rsid w:val="00003385"/>
    <w:rsid w:val="00003AE4"/>
    <w:rsid w:val="00003B86"/>
    <w:rsid w:val="00003D4D"/>
    <w:rsid w:val="0000445F"/>
    <w:rsid w:val="0000504B"/>
    <w:rsid w:val="000052BC"/>
    <w:rsid w:val="000057FF"/>
    <w:rsid w:val="000058ED"/>
    <w:rsid w:val="00005CF5"/>
    <w:rsid w:val="00005E87"/>
    <w:rsid w:val="00006094"/>
    <w:rsid w:val="00006BDA"/>
    <w:rsid w:val="000073B9"/>
    <w:rsid w:val="00010077"/>
    <w:rsid w:val="000108A1"/>
    <w:rsid w:val="00010FF8"/>
    <w:rsid w:val="00011489"/>
    <w:rsid w:val="00011DAD"/>
    <w:rsid w:val="00012116"/>
    <w:rsid w:val="00012292"/>
    <w:rsid w:val="00012D70"/>
    <w:rsid w:val="000133EC"/>
    <w:rsid w:val="00013A6A"/>
    <w:rsid w:val="00013BA7"/>
    <w:rsid w:val="00013D7F"/>
    <w:rsid w:val="00014203"/>
    <w:rsid w:val="000142E7"/>
    <w:rsid w:val="00014644"/>
    <w:rsid w:val="00015323"/>
    <w:rsid w:val="000154F5"/>
    <w:rsid w:val="00015732"/>
    <w:rsid w:val="00015E76"/>
    <w:rsid w:val="00016CA9"/>
    <w:rsid w:val="00016F34"/>
    <w:rsid w:val="000170DC"/>
    <w:rsid w:val="00017943"/>
    <w:rsid w:val="00017B41"/>
    <w:rsid w:val="000201D7"/>
    <w:rsid w:val="000205AC"/>
    <w:rsid w:val="00021F8A"/>
    <w:rsid w:val="000227B9"/>
    <w:rsid w:val="000228E8"/>
    <w:rsid w:val="000229FD"/>
    <w:rsid w:val="00022DA2"/>
    <w:rsid w:val="00024201"/>
    <w:rsid w:val="00024C5E"/>
    <w:rsid w:val="00024D24"/>
    <w:rsid w:val="00024DCA"/>
    <w:rsid w:val="00024FD9"/>
    <w:rsid w:val="00025179"/>
    <w:rsid w:val="00025687"/>
    <w:rsid w:val="00025AD0"/>
    <w:rsid w:val="0002616B"/>
    <w:rsid w:val="000269BF"/>
    <w:rsid w:val="00027886"/>
    <w:rsid w:val="00027959"/>
    <w:rsid w:val="00027C53"/>
    <w:rsid w:val="0003034E"/>
    <w:rsid w:val="000313B1"/>
    <w:rsid w:val="000314E4"/>
    <w:rsid w:val="00031625"/>
    <w:rsid w:val="00031B3B"/>
    <w:rsid w:val="00031BA5"/>
    <w:rsid w:val="000324A4"/>
    <w:rsid w:val="00032B50"/>
    <w:rsid w:val="0003358A"/>
    <w:rsid w:val="00033684"/>
    <w:rsid w:val="00033BAB"/>
    <w:rsid w:val="00033C8F"/>
    <w:rsid w:val="00033E75"/>
    <w:rsid w:val="00034610"/>
    <w:rsid w:val="00034AB6"/>
    <w:rsid w:val="00034F98"/>
    <w:rsid w:val="00035139"/>
    <w:rsid w:val="000351A1"/>
    <w:rsid w:val="00035708"/>
    <w:rsid w:val="000358E6"/>
    <w:rsid w:val="00035F0B"/>
    <w:rsid w:val="00036B7D"/>
    <w:rsid w:val="00036D0E"/>
    <w:rsid w:val="000373DB"/>
    <w:rsid w:val="00037484"/>
    <w:rsid w:val="00037C23"/>
    <w:rsid w:val="00037EA2"/>
    <w:rsid w:val="000400FB"/>
    <w:rsid w:val="000406E2"/>
    <w:rsid w:val="0004072E"/>
    <w:rsid w:val="0004073C"/>
    <w:rsid w:val="00040C1D"/>
    <w:rsid w:val="0004153E"/>
    <w:rsid w:val="0004182C"/>
    <w:rsid w:val="00041B43"/>
    <w:rsid w:val="0004255A"/>
    <w:rsid w:val="00042ADB"/>
    <w:rsid w:val="00042CE9"/>
    <w:rsid w:val="000430E8"/>
    <w:rsid w:val="00043F34"/>
    <w:rsid w:val="000443AA"/>
    <w:rsid w:val="00044BA9"/>
    <w:rsid w:val="00044CE3"/>
    <w:rsid w:val="00044E17"/>
    <w:rsid w:val="000452BA"/>
    <w:rsid w:val="00046469"/>
    <w:rsid w:val="00046486"/>
    <w:rsid w:val="00047403"/>
    <w:rsid w:val="000474AA"/>
    <w:rsid w:val="00047570"/>
    <w:rsid w:val="0004792A"/>
    <w:rsid w:val="00047CF2"/>
    <w:rsid w:val="00050097"/>
    <w:rsid w:val="000503C9"/>
    <w:rsid w:val="00050D99"/>
    <w:rsid w:val="0005110D"/>
    <w:rsid w:val="0005134D"/>
    <w:rsid w:val="0005135C"/>
    <w:rsid w:val="000514B9"/>
    <w:rsid w:val="00052198"/>
    <w:rsid w:val="0005224C"/>
    <w:rsid w:val="00052712"/>
    <w:rsid w:val="0005281F"/>
    <w:rsid w:val="00052B66"/>
    <w:rsid w:val="00052E08"/>
    <w:rsid w:val="00052F62"/>
    <w:rsid w:val="00053295"/>
    <w:rsid w:val="000534DF"/>
    <w:rsid w:val="00053AAF"/>
    <w:rsid w:val="00053BFE"/>
    <w:rsid w:val="00053FB8"/>
    <w:rsid w:val="00054833"/>
    <w:rsid w:val="00054DD3"/>
    <w:rsid w:val="0005593E"/>
    <w:rsid w:val="00055D52"/>
    <w:rsid w:val="00056385"/>
    <w:rsid w:val="000564A5"/>
    <w:rsid w:val="00056897"/>
    <w:rsid w:val="0005702B"/>
    <w:rsid w:val="00057031"/>
    <w:rsid w:val="0005712F"/>
    <w:rsid w:val="00057255"/>
    <w:rsid w:val="00057385"/>
    <w:rsid w:val="000573EA"/>
    <w:rsid w:val="0006011A"/>
    <w:rsid w:val="00060746"/>
    <w:rsid w:val="000608D1"/>
    <w:rsid w:val="000610AC"/>
    <w:rsid w:val="0006117F"/>
    <w:rsid w:val="00061384"/>
    <w:rsid w:val="00061395"/>
    <w:rsid w:val="000616D2"/>
    <w:rsid w:val="00061B66"/>
    <w:rsid w:val="00061D65"/>
    <w:rsid w:val="00062998"/>
    <w:rsid w:val="00062C00"/>
    <w:rsid w:val="000631FA"/>
    <w:rsid w:val="00063859"/>
    <w:rsid w:val="000638BD"/>
    <w:rsid w:val="000642DD"/>
    <w:rsid w:val="000647AE"/>
    <w:rsid w:val="00064D60"/>
    <w:rsid w:val="00065327"/>
    <w:rsid w:val="00065697"/>
    <w:rsid w:val="000659F1"/>
    <w:rsid w:val="00065B2A"/>
    <w:rsid w:val="00065CF7"/>
    <w:rsid w:val="00065DDB"/>
    <w:rsid w:val="000665D5"/>
    <w:rsid w:val="00066622"/>
    <w:rsid w:val="0006716C"/>
    <w:rsid w:val="000671C6"/>
    <w:rsid w:val="00067719"/>
    <w:rsid w:val="00067747"/>
    <w:rsid w:val="00067B5F"/>
    <w:rsid w:val="00067C1A"/>
    <w:rsid w:val="0007004E"/>
    <w:rsid w:val="000705CF"/>
    <w:rsid w:val="0007083C"/>
    <w:rsid w:val="00070898"/>
    <w:rsid w:val="00070A50"/>
    <w:rsid w:val="00070A79"/>
    <w:rsid w:val="00070D49"/>
    <w:rsid w:val="00071316"/>
    <w:rsid w:val="00071698"/>
    <w:rsid w:val="000718DD"/>
    <w:rsid w:val="000718E2"/>
    <w:rsid w:val="00071B7A"/>
    <w:rsid w:val="0007226B"/>
    <w:rsid w:val="00072539"/>
    <w:rsid w:val="0007255F"/>
    <w:rsid w:val="000737BB"/>
    <w:rsid w:val="00073C09"/>
    <w:rsid w:val="00073C24"/>
    <w:rsid w:val="00074100"/>
    <w:rsid w:val="00074E27"/>
    <w:rsid w:val="00074E67"/>
    <w:rsid w:val="000757A3"/>
    <w:rsid w:val="000757EF"/>
    <w:rsid w:val="000758CE"/>
    <w:rsid w:val="000761C7"/>
    <w:rsid w:val="00076577"/>
    <w:rsid w:val="000768F5"/>
    <w:rsid w:val="00076C4E"/>
    <w:rsid w:val="000776A2"/>
    <w:rsid w:val="00080135"/>
    <w:rsid w:val="0008140F"/>
    <w:rsid w:val="0008146F"/>
    <w:rsid w:val="00081476"/>
    <w:rsid w:val="00081C5D"/>
    <w:rsid w:val="00081D65"/>
    <w:rsid w:val="000820C4"/>
    <w:rsid w:val="00082435"/>
    <w:rsid w:val="00082741"/>
    <w:rsid w:val="00082813"/>
    <w:rsid w:val="00082B88"/>
    <w:rsid w:val="00082C13"/>
    <w:rsid w:val="00083A2E"/>
    <w:rsid w:val="00083A33"/>
    <w:rsid w:val="00083D1E"/>
    <w:rsid w:val="00083E0F"/>
    <w:rsid w:val="00083E8E"/>
    <w:rsid w:val="0008425A"/>
    <w:rsid w:val="00084291"/>
    <w:rsid w:val="00084343"/>
    <w:rsid w:val="0008444E"/>
    <w:rsid w:val="00085B83"/>
    <w:rsid w:val="00085C7F"/>
    <w:rsid w:val="000863F5"/>
    <w:rsid w:val="000867F1"/>
    <w:rsid w:val="00086AB3"/>
    <w:rsid w:val="00086C1A"/>
    <w:rsid w:val="00086CE9"/>
    <w:rsid w:val="000872B5"/>
    <w:rsid w:val="000874D1"/>
    <w:rsid w:val="00087B1A"/>
    <w:rsid w:val="00090193"/>
    <w:rsid w:val="00090AA1"/>
    <w:rsid w:val="00091545"/>
    <w:rsid w:val="00091980"/>
    <w:rsid w:val="0009204A"/>
    <w:rsid w:val="0009291D"/>
    <w:rsid w:val="00092BC7"/>
    <w:rsid w:val="00093977"/>
    <w:rsid w:val="000939F9"/>
    <w:rsid w:val="00093AF7"/>
    <w:rsid w:val="00094116"/>
    <w:rsid w:val="00094183"/>
    <w:rsid w:val="00094989"/>
    <w:rsid w:val="00094B74"/>
    <w:rsid w:val="000953FE"/>
    <w:rsid w:val="000956F0"/>
    <w:rsid w:val="00097510"/>
    <w:rsid w:val="000A0293"/>
    <w:rsid w:val="000A02FF"/>
    <w:rsid w:val="000A05B1"/>
    <w:rsid w:val="000A0614"/>
    <w:rsid w:val="000A09BB"/>
    <w:rsid w:val="000A0C6A"/>
    <w:rsid w:val="000A0DB6"/>
    <w:rsid w:val="000A0FE0"/>
    <w:rsid w:val="000A11A3"/>
    <w:rsid w:val="000A1816"/>
    <w:rsid w:val="000A1A94"/>
    <w:rsid w:val="000A1E46"/>
    <w:rsid w:val="000A205D"/>
    <w:rsid w:val="000A20E8"/>
    <w:rsid w:val="000A2FBD"/>
    <w:rsid w:val="000A30F4"/>
    <w:rsid w:val="000A314A"/>
    <w:rsid w:val="000A4195"/>
    <w:rsid w:val="000A45C1"/>
    <w:rsid w:val="000A5EE4"/>
    <w:rsid w:val="000A68AC"/>
    <w:rsid w:val="000A6F08"/>
    <w:rsid w:val="000A704C"/>
    <w:rsid w:val="000A7CD7"/>
    <w:rsid w:val="000A7ED3"/>
    <w:rsid w:val="000A7F84"/>
    <w:rsid w:val="000B0EA7"/>
    <w:rsid w:val="000B106E"/>
    <w:rsid w:val="000B155C"/>
    <w:rsid w:val="000B17F6"/>
    <w:rsid w:val="000B1AE8"/>
    <w:rsid w:val="000B1BD2"/>
    <w:rsid w:val="000B2854"/>
    <w:rsid w:val="000B2FE6"/>
    <w:rsid w:val="000B344F"/>
    <w:rsid w:val="000B34F7"/>
    <w:rsid w:val="000B3713"/>
    <w:rsid w:val="000B3AFC"/>
    <w:rsid w:val="000B4149"/>
    <w:rsid w:val="000B51F7"/>
    <w:rsid w:val="000B529B"/>
    <w:rsid w:val="000B5D69"/>
    <w:rsid w:val="000B677C"/>
    <w:rsid w:val="000B687C"/>
    <w:rsid w:val="000B756E"/>
    <w:rsid w:val="000B7B98"/>
    <w:rsid w:val="000B7DDC"/>
    <w:rsid w:val="000B7FF9"/>
    <w:rsid w:val="000C0BDD"/>
    <w:rsid w:val="000C0C20"/>
    <w:rsid w:val="000C0EE9"/>
    <w:rsid w:val="000C10E7"/>
    <w:rsid w:val="000C1A65"/>
    <w:rsid w:val="000C24E4"/>
    <w:rsid w:val="000C3479"/>
    <w:rsid w:val="000C3548"/>
    <w:rsid w:val="000C45E9"/>
    <w:rsid w:val="000C48C0"/>
    <w:rsid w:val="000C4AA2"/>
    <w:rsid w:val="000C4D46"/>
    <w:rsid w:val="000C573C"/>
    <w:rsid w:val="000C5A21"/>
    <w:rsid w:val="000C5D81"/>
    <w:rsid w:val="000C5FC6"/>
    <w:rsid w:val="000C6963"/>
    <w:rsid w:val="000C7697"/>
    <w:rsid w:val="000C7788"/>
    <w:rsid w:val="000C7EDA"/>
    <w:rsid w:val="000D1084"/>
    <w:rsid w:val="000D1465"/>
    <w:rsid w:val="000D1737"/>
    <w:rsid w:val="000D1F6B"/>
    <w:rsid w:val="000D2086"/>
    <w:rsid w:val="000D2606"/>
    <w:rsid w:val="000D319B"/>
    <w:rsid w:val="000D3225"/>
    <w:rsid w:val="000D38E8"/>
    <w:rsid w:val="000D4A61"/>
    <w:rsid w:val="000D4F10"/>
    <w:rsid w:val="000D5109"/>
    <w:rsid w:val="000D5321"/>
    <w:rsid w:val="000D54AD"/>
    <w:rsid w:val="000D5952"/>
    <w:rsid w:val="000D596A"/>
    <w:rsid w:val="000D5A8C"/>
    <w:rsid w:val="000D603A"/>
    <w:rsid w:val="000D6181"/>
    <w:rsid w:val="000D61DC"/>
    <w:rsid w:val="000D6456"/>
    <w:rsid w:val="000D67FD"/>
    <w:rsid w:val="000D685A"/>
    <w:rsid w:val="000D6B8D"/>
    <w:rsid w:val="000D6E4A"/>
    <w:rsid w:val="000E13E0"/>
    <w:rsid w:val="000E1F8C"/>
    <w:rsid w:val="000E2454"/>
    <w:rsid w:val="000E2636"/>
    <w:rsid w:val="000E2F26"/>
    <w:rsid w:val="000E3FA1"/>
    <w:rsid w:val="000E4E22"/>
    <w:rsid w:val="000E537D"/>
    <w:rsid w:val="000E6AD5"/>
    <w:rsid w:val="000E6FA5"/>
    <w:rsid w:val="000E77C7"/>
    <w:rsid w:val="000F0C02"/>
    <w:rsid w:val="000F1023"/>
    <w:rsid w:val="000F1173"/>
    <w:rsid w:val="000F1D84"/>
    <w:rsid w:val="000F22FE"/>
    <w:rsid w:val="000F2735"/>
    <w:rsid w:val="000F37DA"/>
    <w:rsid w:val="000F3E1F"/>
    <w:rsid w:val="000F40CE"/>
    <w:rsid w:val="000F4A0B"/>
    <w:rsid w:val="000F4CE7"/>
    <w:rsid w:val="000F4D25"/>
    <w:rsid w:val="000F5215"/>
    <w:rsid w:val="000F53E7"/>
    <w:rsid w:val="000F5BFB"/>
    <w:rsid w:val="000F5CB7"/>
    <w:rsid w:val="000F633C"/>
    <w:rsid w:val="000F6A58"/>
    <w:rsid w:val="000F6FAE"/>
    <w:rsid w:val="001000A6"/>
    <w:rsid w:val="00100127"/>
    <w:rsid w:val="00101C6F"/>
    <w:rsid w:val="0010210D"/>
    <w:rsid w:val="0010218E"/>
    <w:rsid w:val="00102431"/>
    <w:rsid w:val="001025CC"/>
    <w:rsid w:val="00102785"/>
    <w:rsid w:val="00102A9F"/>
    <w:rsid w:val="00102DCC"/>
    <w:rsid w:val="00102FA1"/>
    <w:rsid w:val="00104506"/>
    <w:rsid w:val="0010459C"/>
    <w:rsid w:val="00104692"/>
    <w:rsid w:val="00104890"/>
    <w:rsid w:val="00104C85"/>
    <w:rsid w:val="00105022"/>
    <w:rsid w:val="001056B0"/>
    <w:rsid w:val="001056E0"/>
    <w:rsid w:val="00106CDA"/>
    <w:rsid w:val="00106D74"/>
    <w:rsid w:val="00106DBC"/>
    <w:rsid w:val="001077B0"/>
    <w:rsid w:val="001078B6"/>
    <w:rsid w:val="0010798C"/>
    <w:rsid w:val="001079AE"/>
    <w:rsid w:val="001104BB"/>
    <w:rsid w:val="001110B5"/>
    <w:rsid w:val="00111F08"/>
    <w:rsid w:val="0011206B"/>
    <w:rsid w:val="00113400"/>
    <w:rsid w:val="001134D4"/>
    <w:rsid w:val="001138D1"/>
    <w:rsid w:val="00114007"/>
    <w:rsid w:val="00114016"/>
    <w:rsid w:val="0011453E"/>
    <w:rsid w:val="00114622"/>
    <w:rsid w:val="00115500"/>
    <w:rsid w:val="001158B2"/>
    <w:rsid w:val="00115985"/>
    <w:rsid w:val="00115AB0"/>
    <w:rsid w:val="00115FBF"/>
    <w:rsid w:val="00116124"/>
    <w:rsid w:val="00116285"/>
    <w:rsid w:val="0011637D"/>
    <w:rsid w:val="0011677B"/>
    <w:rsid w:val="001176F6"/>
    <w:rsid w:val="001178BA"/>
    <w:rsid w:val="0011790D"/>
    <w:rsid w:val="00117BE5"/>
    <w:rsid w:val="0012054D"/>
    <w:rsid w:val="00120781"/>
    <w:rsid w:val="00120DD7"/>
    <w:rsid w:val="00120EDA"/>
    <w:rsid w:val="001216A1"/>
    <w:rsid w:val="0012171F"/>
    <w:rsid w:val="00121975"/>
    <w:rsid w:val="0012230D"/>
    <w:rsid w:val="001229C2"/>
    <w:rsid w:val="001230FB"/>
    <w:rsid w:val="00123659"/>
    <w:rsid w:val="0012416D"/>
    <w:rsid w:val="00124691"/>
    <w:rsid w:val="001253DF"/>
    <w:rsid w:val="00125B05"/>
    <w:rsid w:val="00125B6E"/>
    <w:rsid w:val="00125C5C"/>
    <w:rsid w:val="00126174"/>
    <w:rsid w:val="00126323"/>
    <w:rsid w:val="0012639E"/>
    <w:rsid w:val="00126BE8"/>
    <w:rsid w:val="00127B1A"/>
    <w:rsid w:val="0013008C"/>
    <w:rsid w:val="0013022B"/>
    <w:rsid w:val="001303C9"/>
    <w:rsid w:val="00130421"/>
    <w:rsid w:val="00130573"/>
    <w:rsid w:val="00130756"/>
    <w:rsid w:val="00130B98"/>
    <w:rsid w:val="001311A7"/>
    <w:rsid w:val="001317E9"/>
    <w:rsid w:val="00131A99"/>
    <w:rsid w:val="00131D3E"/>
    <w:rsid w:val="00133121"/>
    <w:rsid w:val="00133277"/>
    <w:rsid w:val="00133403"/>
    <w:rsid w:val="0013355F"/>
    <w:rsid w:val="00133ED7"/>
    <w:rsid w:val="00134351"/>
    <w:rsid w:val="00134A64"/>
    <w:rsid w:val="00134C8D"/>
    <w:rsid w:val="00134D31"/>
    <w:rsid w:val="001350D8"/>
    <w:rsid w:val="00135162"/>
    <w:rsid w:val="0013521A"/>
    <w:rsid w:val="0013527A"/>
    <w:rsid w:val="00135829"/>
    <w:rsid w:val="00135D83"/>
    <w:rsid w:val="001360B6"/>
    <w:rsid w:val="0013636D"/>
    <w:rsid w:val="00137250"/>
    <w:rsid w:val="001374E7"/>
    <w:rsid w:val="00137B4F"/>
    <w:rsid w:val="001406BF"/>
    <w:rsid w:val="00140921"/>
    <w:rsid w:val="00140967"/>
    <w:rsid w:val="00141733"/>
    <w:rsid w:val="001421D6"/>
    <w:rsid w:val="0014220A"/>
    <w:rsid w:val="00142378"/>
    <w:rsid w:val="001426D2"/>
    <w:rsid w:val="00142D08"/>
    <w:rsid w:val="001432AB"/>
    <w:rsid w:val="00143674"/>
    <w:rsid w:val="00144050"/>
    <w:rsid w:val="001452C3"/>
    <w:rsid w:val="001458CD"/>
    <w:rsid w:val="00146E97"/>
    <w:rsid w:val="001475A8"/>
    <w:rsid w:val="001475F6"/>
    <w:rsid w:val="00151040"/>
    <w:rsid w:val="00151562"/>
    <w:rsid w:val="0015169C"/>
    <w:rsid w:val="0015179D"/>
    <w:rsid w:val="00151EA9"/>
    <w:rsid w:val="001520A5"/>
    <w:rsid w:val="00152365"/>
    <w:rsid w:val="001523CE"/>
    <w:rsid w:val="00152E61"/>
    <w:rsid w:val="00152F7D"/>
    <w:rsid w:val="0015340C"/>
    <w:rsid w:val="00153907"/>
    <w:rsid w:val="00153BBA"/>
    <w:rsid w:val="00153C9F"/>
    <w:rsid w:val="00154259"/>
    <w:rsid w:val="0015432F"/>
    <w:rsid w:val="00154580"/>
    <w:rsid w:val="00154660"/>
    <w:rsid w:val="0015488D"/>
    <w:rsid w:val="00154D63"/>
    <w:rsid w:val="00155458"/>
    <w:rsid w:val="0015555B"/>
    <w:rsid w:val="001555D5"/>
    <w:rsid w:val="0015595B"/>
    <w:rsid w:val="00156119"/>
    <w:rsid w:val="0015655D"/>
    <w:rsid w:val="0015689E"/>
    <w:rsid w:val="00156B46"/>
    <w:rsid w:val="00156E2C"/>
    <w:rsid w:val="00156E78"/>
    <w:rsid w:val="0015720B"/>
    <w:rsid w:val="0015722F"/>
    <w:rsid w:val="00157337"/>
    <w:rsid w:val="00157BC8"/>
    <w:rsid w:val="00157EF7"/>
    <w:rsid w:val="00160656"/>
    <w:rsid w:val="00160742"/>
    <w:rsid w:val="00160D0E"/>
    <w:rsid w:val="00161141"/>
    <w:rsid w:val="00161351"/>
    <w:rsid w:val="00161480"/>
    <w:rsid w:val="00161FBA"/>
    <w:rsid w:val="0016248A"/>
    <w:rsid w:val="001624E0"/>
    <w:rsid w:val="00162D1B"/>
    <w:rsid w:val="00163194"/>
    <w:rsid w:val="00163722"/>
    <w:rsid w:val="00163CE7"/>
    <w:rsid w:val="001645B4"/>
    <w:rsid w:val="00164E15"/>
    <w:rsid w:val="00165B9B"/>
    <w:rsid w:val="00165FA3"/>
    <w:rsid w:val="00166E10"/>
    <w:rsid w:val="00166F96"/>
    <w:rsid w:val="00167A01"/>
    <w:rsid w:val="00167AF7"/>
    <w:rsid w:val="0017062F"/>
    <w:rsid w:val="00170716"/>
    <w:rsid w:val="00170821"/>
    <w:rsid w:val="00170AA7"/>
    <w:rsid w:val="00170E3D"/>
    <w:rsid w:val="001716EC"/>
    <w:rsid w:val="00171FD1"/>
    <w:rsid w:val="00172791"/>
    <w:rsid w:val="001731B6"/>
    <w:rsid w:val="001737CD"/>
    <w:rsid w:val="0017381C"/>
    <w:rsid w:val="00173BB8"/>
    <w:rsid w:val="00173BC1"/>
    <w:rsid w:val="0017454D"/>
    <w:rsid w:val="00174E23"/>
    <w:rsid w:val="0017523C"/>
    <w:rsid w:val="00176068"/>
    <w:rsid w:val="001761B6"/>
    <w:rsid w:val="0017637A"/>
    <w:rsid w:val="0017719E"/>
    <w:rsid w:val="001773E8"/>
    <w:rsid w:val="001805FD"/>
    <w:rsid w:val="00180BE6"/>
    <w:rsid w:val="00180D74"/>
    <w:rsid w:val="00180DCB"/>
    <w:rsid w:val="00181018"/>
    <w:rsid w:val="00181A3C"/>
    <w:rsid w:val="00181E6F"/>
    <w:rsid w:val="00181E74"/>
    <w:rsid w:val="00182AB6"/>
    <w:rsid w:val="00182BAC"/>
    <w:rsid w:val="00182D40"/>
    <w:rsid w:val="00183011"/>
    <w:rsid w:val="0018321B"/>
    <w:rsid w:val="001833E7"/>
    <w:rsid w:val="001835E9"/>
    <w:rsid w:val="0018415C"/>
    <w:rsid w:val="001845F5"/>
    <w:rsid w:val="0018662C"/>
    <w:rsid w:val="0018697E"/>
    <w:rsid w:val="00186B60"/>
    <w:rsid w:val="00187226"/>
    <w:rsid w:val="00187CF2"/>
    <w:rsid w:val="001905A5"/>
    <w:rsid w:val="00190918"/>
    <w:rsid w:val="00191273"/>
    <w:rsid w:val="001913B5"/>
    <w:rsid w:val="00191754"/>
    <w:rsid w:val="00191EE3"/>
    <w:rsid w:val="00192B38"/>
    <w:rsid w:val="00192C9A"/>
    <w:rsid w:val="00192F53"/>
    <w:rsid w:val="00193B1A"/>
    <w:rsid w:val="00193D07"/>
    <w:rsid w:val="00194578"/>
    <w:rsid w:val="00195449"/>
    <w:rsid w:val="00195569"/>
    <w:rsid w:val="00195D65"/>
    <w:rsid w:val="0019698E"/>
    <w:rsid w:val="00196A80"/>
    <w:rsid w:val="00197033"/>
    <w:rsid w:val="0019733A"/>
    <w:rsid w:val="00197D96"/>
    <w:rsid w:val="00197E6E"/>
    <w:rsid w:val="001A1122"/>
    <w:rsid w:val="001A12A0"/>
    <w:rsid w:val="001A2000"/>
    <w:rsid w:val="001A2040"/>
    <w:rsid w:val="001A2633"/>
    <w:rsid w:val="001A267A"/>
    <w:rsid w:val="001A2911"/>
    <w:rsid w:val="001A2C93"/>
    <w:rsid w:val="001A32A9"/>
    <w:rsid w:val="001A3469"/>
    <w:rsid w:val="001A3B81"/>
    <w:rsid w:val="001A3F9B"/>
    <w:rsid w:val="001A48EE"/>
    <w:rsid w:val="001A49D8"/>
    <w:rsid w:val="001A4C82"/>
    <w:rsid w:val="001A50A6"/>
    <w:rsid w:val="001A5B46"/>
    <w:rsid w:val="001A5B6C"/>
    <w:rsid w:val="001A5D26"/>
    <w:rsid w:val="001A5D6B"/>
    <w:rsid w:val="001A62F9"/>
    <w:rsid w:val="001A66AE"/>
    <w:rsid w:val="001A67F3"/>
    <w:rsid w:val="001A7068"/>
    <w:rsid w:val="001A78E9"/>
    <w:rsid w:val="001A7AE2"/>
    <w:rsid w:val="001B00CC"/>
    <w:rsid w:val="001B02D8"/>
    <w:rsid w:val="001B0719"/>
    <w:rsid w:val="001B07A2"/>
    <w:rsid w:val="001B08EA"/>
    <w:rsid w:val="001B0D40"/>
    <w:rsid w:val="001B20D6"/>
    <w:rsid w:val="001B235E"/>
    <w:rsid w:val="001B2478"/>
    <w:rsid w:val="001B2924"/>
    <w:rsid w:val="001B3FDC"/>
    <w:rsid w:val="001B42E7"/>
    <w:rsid w:val="001B464C"/>
    <w:rsid w:val="001B479F"/>
    <w:rsid w:val="001B4E38"/>
    <w:rsid w:val="001B50C7"/>
    <w:rsid w:val="001B57FC"/>
    <w:rsid w:val="001B59E9"/>
    <w:rsid w:val="001B6538"/>
    <w:rsid w:val="001B6B0B"/>
    <w:rsid w:val="001B6E9A"/>
    <w:rsid w:val="001B7702"/>
    <w:rsid w:val="001B77E1"/>
    <w:rsid w:val="001B7953"/>
    <w:rsid w:val="001B7A00"/>
    <w:rsid w:val="001B7EEA"/>
    <w:rsid w:val="001C0272"/>
    <w:rsid w:val="001C0309"/>
    <w:rsid w:val="001C0503"/>
    <w:rsid w:val="001C0C70"/>
    <w:rsid w:val="001C164C"/>
    <w:rsid w:val="001C1A66"/>
    <w:rsid w:val="001C1BAE"/>
    <w:rsid w:val="001C1BEA"/>
    <w:rsid w:val="001C1C48"/>
    <w:rsid w:val="001C2086"/>
    <w:rsid w:val="001C23CD"/>
    <w:rsid w:val="001C25CB"/>
    <w:rsid w:val="001C282F"/>
    <w:rsid w:val="001C28D5"/>
    <w:rsid w:val="001C2BB6"/>
    <w:rsid w:val="001C372C"/>
    <w:rsid w:val="001C382B"/>
    <w:rsid w:val="001C3B55"/>
    <w:rsid w:val="001C4B90"/>
    <w:rsid w:val="001C61EC"/>
    <w:rsid w:val="001C6FD1"/>
    <w:rsid w:val="001C70B4"/>
    <w:rsid w:val="001C79AD"/>
    <w:rsid w:val="001C7D39"/>
    <w:rsid w:val="001C7D88"/>
    <w:rsid w:val="001D0640"/>
    <w:rsid w:val="001D0B5E"/>
    <w:rsid w:val="001D1715"/>
    <w:rsid w:val="001D19E9"/>
    <w:rsid w:val="001D1A34"/>
    <w:rsid w:val="001D2D29"/>
    <w:rsid w:val="001D2D40"/>
    <w:rsid w:val="001D355F"/>
    <w:rsid w:val="001D3579"/>
    <w:rsid w:val="001D378D"/>
    <w:rsid w:val="001D3B94"/>
    <w:rsid w:val="001D3DA3"/>
    <w:rsid w:val="001D3E8D"/>
    <w:rsid w:val="001D441C"/>
    <w:rsid w:val="001D4806"/>
    <w:rsid w:val="001D48B5"/>
    <w:rsid w:val="001D4CED"/>
    <w:rsid w:val="001D529B"/>
    <w:rsid w:val="001D563E"/>
    <w:rsid w:val="001D6C07"/>
    <w:rsid w:val="001D6C92"/>
    <w:rsid w:val="001D6D1D"/>
    <w:rsid w:val="001D72D9"/>
    <w:rsid w:val="001D7359"/>
    <w:rsid w:val="001D7988"/>
    <w:rsid w:val="001D79A0"/>
    <w:rsid w:val="001D7DD0"/>
    <w:rsid w:val="001D7F7D"/>
    <w:rsid w:val="001E0729"/>
    <w:rsid w:val="001E0F5B"/>
    <w:rsid w:val="001E1735"/>
    <w:rsid w:val="001E1A5F"/>
    <w:rsid w:val="001E1E5B"/>
    <w:rsid w:val="001E23F3"/>
    <w:rsid w:val="001E2747"/>
    <w:rsid w:val="001E29B7"/>
    <w:rsid w:val="001E2C1B"/>
    <w:rsid w:val="001E3698"/>
    <w:rsid w:val="001E3A2E"/>
    <w:rsid w:val="001E3E30"/>
    <w:rsid w:val="001E4016"/>
    <w:rsid w:val="001E44EB"/>
    <w:rsid w:val="001E4751"/>
    <w:rsid w:val="001E4A82"/>
    <w:rsid w:val="001E4FF3"/>
    <w:rsid w:val="001E59DE"/>
    <w:rsid w:val="001E59F6"/>
    <w:rsid w:val="001E5AFA"/>
    <w:rsid w:val="001E5FBD"/>
    <w:rsid w:val="001E60B2"/>
    <w:rsid w:val="001E6393"/>
    <w:rsid w:val="001E6788"/>
    <w:rsid w:val="001E6B0A"/>
    <w:rsid w:val="001E6B43"/>
    <w:rsid w:val="001E6DA0"/>
    <w:rsid w:val="001E777C"/>
    <w:rsid w:val="001E7D60"/>
    <w:rsid w:val="001E7DC2"/>
    <w:rsid w:val="001F0017"/>
    <w:rsid w:val="001F0087"/>
    <w:rsid w:val="001F0DC4"/>
    <w:rsid w:val="001F144D"/>
    <w:rsid w:val="001F14D8"/>
    <w:rsid w:val="001F1AF0"/>
    <w:rsid w:val="001F25C5"/>
    <w:rsid w:val="001F295D"/>
    <w:rsid w:val="001F2B11"/>
    <w:rsid w:val="001F30C2"/>
    <w:rsid w:val="001F40F2"/>
    <w:rsid w:val="001F54D4"/>
    <w:rsid w:val="001F5D21"/>
    <w:rsid w:val="001F6962"/>
    <w:rsid w:val="001F6BC6"/>
    <w:rsid w:val="001F6C8E"/>
    <w:rsid w:val="001F72D6"/>
    <w:rsid w:val="001F743F"/>
    <w:rsid w:val="001F746D"/>
    <w:rsid w:val="001F7A13"/>
    <w:rsid w:val="001F7C24"/>
    <w:rsid w:val="00200423"/>
    <w:rsid w:val="00201314"/>
    <w:rsid w:val="002013D7"/>
    <w:rsid w:val="0020154C"/>
    <w:rsid w:val="00201FFC"/>
    <w:rsid w:val="00202795"/>
    <w:rsid w:val="002027EA"/>
    <w:rsid w:val="00202D5B"/>
    <w:rsid w:val="00202EC6"/>
    <w:rsid w:val="00202F0B"/>
    <w:rsid w:val="00203CE0"/>
    <w:rsid w:val="00203E2E"/>
    <w:rsid w:val="00204950"/>
    <w:rsid w:val="00205032"/>
    <w:rsid w:val="0020511B"/>
    <w:rsid w:val="00206032"/>
    <w:rsid w:val="00206071"/>
    <w:rsid w:val="002060F6"/>
    <w:rsid w:val="00206340"/>
    <w:rsid w:val="00206726"/>
    <w:rsid w:val="002068D4"/>
    <w:rsid w:val="00206905"/>
    <w:rsid w:val="00206AE1"/>
    <w:rsid w:val="00207469"/>
    <w:rsid w:val="002074E8"/>
    <w:rsid w:val="00207506"/>
    <w:rsid w:val="002078F6"/>
    <w:rsid w:val="00210040"/>
    <w:rsid w:val="002104F7"/>
    <w:rsid w:val="00210546"/>
    <w:rsid w:val="00210607"/>
    <w:rsid w:val="00210A69"/>
    <w:rsid w:val="00211539"/>
    <w:rsid w:val="0021196B"/>
    <w:rsid w:val="00211CFC"/>
    <w:rsid w:val="002121A1"/>
    <w:rsid w:val="0021270A"/>
    <w:rsid w:val="0021294F"/>
    <w:rsid w:val="00213494"/>
    <w:rsid w:val="002140D1"/>
    <w:rsid w:val="0021426B"/>
    <w:rsid w:val="0021453E"/>
    <w:rsid w:val="0021512C"/>
    <w:rsid w:val="00215324"/>
    <w:rsid w:val="00215657"/>
    <w:rsid w:val="00215947"/>
    <w:rsid w:val="002159AB"/>
    <w:rsid w:val="00215F7E"/>
    <w:rsid w:val="00216572"/>
    <w:rsid w:val="0021675E"/>
    <w:rsid w:val="002167F4"/>
    <w:rsid w:val="00216EAE"/>
    <w:rsid w:val="00216FB9"/>
    <w:rsid w:val="002173B7"/>
    <w:rsid w:val="0021745E"/>
    <w:rsid w:val="00217CC0"/>
    <w:rsid w:val="00217F1F"/>
    <w:rsid w:val="002200EB"/>
    <w:rsid w:val="002205BF"/>
    <w:rsid w:val="00220721"/>
    <w:rsid w:val="00220AC9"/>
    <w:rsid w:val="00221D6A"/>
    <w:rsid w:val="00222414"/>
    <w:rsid w:val="00222A40"/>
    <w:rsid w:val="00222C04"/>
    <w:rsid w:val="00222D6A"/>
    <w:rsid w:val="002232C0"/>
    <w:rsid w:val="00223791"/>
    <w:rsid w:val="00223942"/>
    <w:rsid w:val="00223A02"/>
    <w:rsid w:val="00223AD3"/>
    <w:rsid w:val="00223B54"/>
    <w:rsid w:val="00224519"/>
    <w:rsid w:val="00224DA5"/>
    <w:rsid w:val="00226409"/>
    <w:rsid w:val="002269C3"/>
    <w:rsid w:val="00226DC6"/>
    <w:rsid w:val="00226E39"/>
    <w:rsid w:val="00227257"/>
    <w:rsid w:val="002272C7"/>
    <w:rsid w:val="0022777C"/>
    <w:rsid w:val="002304F4"/>
    <w:rsid w:val="002306F6"/>
    <w:rsid w:val="002307F4"/>
    <w:rsid w:val="002309D5"/>
    <w:rsid w:val="00230D35"/>
    <w:rsid w:val="00230DC8"/>
    <w:rsid w:val="00230E87"/>
    <w:rsid w:val="002312E0"/>
    <w:rsid w:val="0023135F"/>
    <w:rsid w:val="002315C5"/>
    <w:rsid w:val="0023174F"/>
    <w:rsid w:val="00231A08"/>
    <w:rsid w:val="00231C66"/>
    <w:rsid w:val="002323CD"/>
    <w:rsid w:val="002328CA"/>
    <w:rsid w:val="00232C5A"/>
    <w:rsid w:val="00233974"/>
    <w:rsid w:val="00233D79"/>
    <w:rsid w:val="0023497B"/>
    <w:rsid w:val="00234EBC"/>
    <w:rsid w:val="00234F63"/>
    <w:rsid w:val="00235337"/>
    <w:rsid w:val="00235483"/>
    <w:rsid w:val="00235B64"/>
    <w:rsid w:val="00236103"/>
    <w:rsid w:val="00236CB2"/>
    <w:rsid w:val="00237413"/>
    <w:rsid w:val="00237822"/>
    <w:rsid w:val="00237CF4"/>
    <w:rsid w:val="00237F1B"/>
    <w:rsid w:val="00240281"/>
    <w:rsid w:val="00240935"/>
    <w:rsid w:val="002410AA"/>
    <w:rsid w:val="00241144"/>
    <w:rsid w:val="00241747"/>
    <w:rsid w:val="00241A0A"/>
    <w:rsid w:val="00241C85"/>
    <w:rsid w:val="00241E25"/>
    <w:rsid w:val="002424D0"/>
    <w:rsid w:val="00242B1F"/>
    <w:rsid w:val="002433E3"/>
    <w:rsid w:val="0024371F"/>
    <w:rsid w:val="002448AE"/>
    <w:rsid w:val="00244AAA"/>
    <w:rsid w:val="00245674"/>
    <w:rsid w:val="00246053"/>
    <w:rsid w:val="002467BE"/>
    <w:rsid w:val="00247538"/>
    <w:rsid w:val="00247581"/>
    <w:rsid w:val="00247CC8"/>
    <w:rsid w:val="0025008D"/>
    <w:rsid w:val="00250B6F"/>
    <w:rsid w:val="00250E74"/>
    <w:rsid w:val="0025112D"/>
    <w:rsid w:val="00251CC8"/>
    <w:rsid w:val="00251DF0"/>
    <w:rsid w:val="00253ADD"/>
    <w:rsid w:val="00254AF2"/>
    <w:rsid w:val="002556D6"/>
    <w:rsid w:val="002557B1"/>
    <w:rsid w:val="00256232"/>
    <w:rsid w:val="002563A4"/>
    <w:rsid w:val="002569A6"/>
    <w:rsid w:val="00257021"/>
    <w:rsid w:val="002573AB"/>
    <w:rsid w:val="00257922"/>
    <w:rsid w:val="00257B8C"/>
    <w:rsid w:val="00260740"/>
    <w:rsid w:val="00260B02"/>
    <w:rsid w:val="00260CF6"/>
    <w:rsid w:val="00261694"/>
    <w:rsid w:val="002617FE"/>
    <w:rsid w:val="0026224A"/>
    <w:rsid w:val="0026253D"/>
    <w:rsid w:val="00262919"/>
    <w:rsid w:val="002629E2"/>
    <w:rsid w:val="00263D44"/>
    <w:rsid w:val="002648AE"/>
    <w:rsid w:val="00264EDD"/>
    <w:rsid w:val="00265C2E"/>
    <w:rsid w:val="00266117"/>
    <w:rsid w:val="0026614F"/>
    <w:rsid w:val="00266281"/>
    <w:rsid w:val="00266575"/>
    <w:rsid w:val="00266CC2"/>
    <w:rsid w:val="00267063"/>
    <w:rsid w:val="0026726E"/>
    <w:rsid w:val="002673FE"/>
    <w:rsid w:val="0026777E"/>
    <w:rsid w:val="002679BD"/>
    <w:rsid w:val="00267C4B"/>
    <w:rsid w:val="002703AE"/>
    <w:rsid w:val="002712D7"/>
    <w:rsid w:val="002716EE"/>
    <w:rsid w:val="00271748"/>
    <w:rsid w:val="00271A99"/>
    <w:rsid w:val="002729F6"/>
    <w:rsid w:val="00272A85"/>
    <w:rsid w:val="00273362"/>
    <w:rsid w:val="00273841"/>
    <w:rsid w:val="00274336"/>
    <w:rsid w:val="00274380"/>
    <w:rsid w:val="002743A0"/>
    <w:rsid w:val="00274934"/>
    <w:rsid w:val="00274AC1"/>
    <w:rsid w:val="00275863"/>
    <w:rsid w:val="00275A36"/>
    <w:rsid w:val="00275EA0"/>
    <w:rsid w:val="00276639"/>
    <w:rsid w:val="00276C4D"/>
    <w:rsid w:val="00276D0B"/>
    <w:rsid w:val="002800AB"/>
    <w:rsid w:val="0028072F"/>
    <w:rsid w:val="002808FB"/>
    <w:rsid w:val="00280E4D"/>
    <w:rsid w:val="00281F15"/>
    <w:rsid w:val="002825BD"/>
    <w:rsid w:val="00283299"/>
    <w:rsid w:val="00283432"/>
    <w:rsid w:val="00283656"/>
    <w:rsid w:val="00283F2B"/>
    <w:rsid w:val="00284009"/>
    <w:rsid w:val="00284A17"/>
    <w:rsid w:val="00284D32"/>
    <w:rsid w:val="00285024"/>
    <w:rsid w:val="002857A2"/>
    <w:rsid w:val="00285FC3"/>
    <w:rsid w:val="00286159"/>
    <w:rsid w:val="00286291"/>
    <w:rsid w:val="0028664A"/>
    <w:rsid w:val="00286A19"/>
    <w:rsid w:val="00286ECA"/>
    <w:rsid w:val="00287128"/>
    <w:rsid w:val="0028732E"/>
    <w:rsid w:val="00287351"/>
    <w:rsid w:val="00287975"/>
    <w:rsid w:val="0028799F"/>
    <w:rsid w:val="002907C8"/>
    <w:rsid w:val="00290B26"/>
    <w:rsid w:val="00290FC5"/>
    <w:rsid w:val="00291017"/>
    <w:rsid w:val="00291C7D"/>
    <w:rsid w:val="00291F9F"/>
    <w:rsid w:val="0029203C"/>
    <w:rsid w:val="00292822"/>
    <w:rsid w:val="0029299E"/>
    <w:rsid w:val="002929F9"/>
    <w:rsid w:val="00292ACF"/>
    <w:rsid w:val="00293825"/>
    <w:rsid w:val="00293B5F"/>
    <w:rsid w:val="00293E45"/>
    <w:rsid w:val="00294318"/>
    <w:rsid w:val="002943BC"/>
    <w:rsid w:val="00294E60"/>
    <w:rsid w:val="00294EA4"/>
    <w:rsid w:val="00295448"/>
    <w:rsid w:val="00295488"/>
    <w:rsid w:val="00295B31"/>
    <w:rsid w:val="00295B3C"/>
    <w:rsid w:val="00296708"/>
    <w:rsid w:val="00296C50"/>
    <w:rsid w:val="00296EA8"/>
    <w:rsid w:val="002971BA"/>
    <w:rsid w:val="0029727F"/>
    <w:rsid w:val="002972EC"/>
    <w:rsid w:val="002A02A7"/>
    <w:rsid w:val="002A02B7"/>
    <w:rsid w:val="002A0349"/>
    <w:rsid w:val="002A08DF"/>
    <w:rsid w:val="002A116E"/>
    <w:rsid w:val="002A1710"/>
    <w:rsid w:val="002A1ABE"/>
    <w:rsid w:val="002A23C5"/>
    <w:rsid w:val="002A2C07"/>
    <w:rsid w:val="002A2D1F"/>
    <w:rsid w:val="002A33E3"/>
    <w:rsid w:val="002A375F"/>
    <w:rsid w:val="002A3BAC"/>
    <w:rsid w:val="002A3C21"/>
    <w:rsid w:val="002A4540"/>
    <w:rsid w:val="002A471B"/>
    <w:rsid w:val="002A4C3D"/>
    <w:rsid w:val="002A7159"/>
    <w:rsid w:val="002A71B0"/>
    <w:rsid w:val="002A72F4"/>
    <w:rsid w:val="002A7435"/>
    <w:rsid w:val="002A7CB5"/>
    <w:rsid w:val="002A7E58"/>
    <w:rsid w:val="002B096B"/>
    <w:rsid w:val="002B18E1"/>
    <w:rsid w:val="002B1BE6"/>
    <w:rsid w:val="002B25A0"/>
    <w:rsid w:val="002B25D6"/>
    <w:rsid w:val="002B2A1F"/>
    <w:rsid w:val="002B2C6E"/>
    <w:rsid w:val="002B3B4D"/>
    <w:rsid w:val="002B41F7"/>
    <w:rsid w:val="002B4667"/>
    <w:rsid w:val="002B473A"/>
    <w:rsid w:val="002B495D"/>
    <w:rsid w:val="002B4A4D"/>
    <w:rsid w:val="002B4AEB"/>
    <w:rsid w:val="002B4CE4"/>
    <w:rsid w:val="002B4FB6"/>
    <w:rsid w:val="002B69E6"/>
    <w:rsid w:val="002B6B2D"/>
    <w:rsid w:val="002B6BBE"/>
    <w:rsid w:val="002B6D5E"/>
    <w:rsid w:val="002B7713"/>
    <w:rsid w:val="002B774D"/>
    <w:rsid w:val="002C0D0D"/>
    <w:rsid w:val="002C15CF"/>
    <w:rsid w:val="002C1E8A"/>
    <w:rsid w:val="002C258C"/>
    <w:rsid w:val="002C27A3"/>
    <w:rsid w:val="002C2879"/>
    <w:rsid w:val="002C2A93"/>
    <w:rsid w:val="002C3553"/>
    <w:rsid w:val="002C41A6"/>
    <w:rsid w:val="002C5037"/>
    <w:rsid w:val="002C59E5"/>
    <w:rsid w:val="002C5ABC"/>
    <w:rsid w:val="002C617F"/>
    <w:rsid w:val="002C6628"/>
    <w:rsid w:val="002C6A2C"/>
    <w:rsid w:val="002C6EA6"/>
    <w:rsid w:val="002C716A"/>
    <w:rsid w:val="002C73DB"/>
    <w:rsid w:val="002C75DF"/>
    <w:rsid w:val="002C76D7"/>
    <w:rsid w:val="002D16E1"/>
    <w:rsid w:val="002D172A"/>
    <w:rsid w:val="002D1832"/>
    <w:rsid w:val="002D1A2F"/>
    <w:rsid w:val="002D25BC"/>
    <w:rsid w:val="002D2619"/>
    <w:rsid w:val="002D2E53"/>
    <w:rsid w:val="002D35B4"/>
    <w:rsid w:val="002D3EA6"/>
    <w:rsid w:val="002D495B"/>
    <w:rsid w:val="002D4C3A"/>
    <w:rsid w:val="002D4D3F"/>
    <w:rsid w:val="002D50BC"/>
    <w:rsid w:val="002D53A4"/>
    <w:rsid w:val="002D6AFA"/>
    <w:rsid w:val="002D6DA0"/>
    <w:rsid w:val="002D741B"/>
    <w:rsid w:val="002D760D"/>
    <w:rsid w:val="002D79B4"/>
    <w:rsid w:val="002D7AF2"/>
    <w:rsid w:val="002E04F6"/>
    <w:rsid w:val="002E0937"/>
    <w:rsid w:val="002E0EEB"/>
    <w:rsid w:val="002E148D"/>
    <w:rsid w:val="002E1555"/>
    <w:rsid w:val="002E2C63"/>
    <w:rsid w:val="002E2F56"/>
    <w:rsid w:val="002E3990"/>
    <w:rsid w:val="002E3F95"/>
    <w:rsid w:val="002E52AF"/>
    <w:rsid w:val="002E5D49"/>
    <w:rsid w:val="002E5DE4"/>
    <w:rsid w:val="002E5F7F"/>
    <w:rsid w:val="002E61E9"/>
    <w:rsid w:val="002E6435"/>
    <w:rsid w:val="002E6953"/>
    <w:rsid w:val="002E6993"/>
    <w:rsid w:val="002E70A7"/>
    <w:rsid w:val="002F03D8"/>
    <w:rsid w:val="002F0795"/>
    <w:rsid w:val="002F0874"/>
    <w:rsid w:val="002F13FC"/>
    <w:rsid w:val="002F16F6"/>
    <w:rsid w:val="002F1CCA"/>
    <w:rsid w:val="002F1D89"/>
    <w:rsid w:val="002F1E4F"/>
    <w:rsid w:val="002F1FEC"/>
    <w:rsid w:val="002F34F7"/>
    <w:rsid w:val="002F3B20"/>
    <w:rsid w:val="002F3B41"/>
    <w:rsid w:val="002F3B91"/>
    <w:rsid w:val="002F4106"/>
    <w:rsid w:val="002F43E4"/>
    <w:rsid w:val="002F5A19"/>
    <w:rsid w:val="002F5E94"/>
    <w:rsid w:val="002F6FEA"/>
    <w:rsid w:val="002F721B"/>
    <w:rsid w:val="002F787F"/>
    <w:rsid w:val="002F79FB"/>
    <w:rsid w:val="002F7AAE"/>
    <w:rsid w:val="002F7E62"/>
    <w:rsid w:val="00300045"/>
    <w:rsid w:val="0030130A"/>
    <w:rsid w:val="003015F4"/>
    <w:rsid w:val="003018E1"/>
    <w:rsid w:val="003026AC"/>
    <w:rsid w:val="00303F05"/>
    <w:rsid w:val="003041BF"/>
    <w:rsid w:val="003042A6"/>
    <w:rsid w:val="0030443F"/>
    <w:rsid w:val="00304761"/>
    <w:rsid w:val="003048CC"/>
    <w:rsid w:val="003049F9"/>
    <w:rsid w:val="00304CEE"/>
    <w:rsid w:val="00304E77"/>
    <w:rsid w:val="0030564F"/>
    <w:rsid w:val="00305B00"/>
    <w:rsid w:val="00305F1A"/>
    <w:rsid w:val="00306C37"/>
    <w:rsid w:val="00306E40"/>
    <w:rsid w:val="003071F6"/>
    <w:rsid w:val="00311096"/>
    <w:rsid w:val="00311890"/>
    <w:rsid w:val="00312912"/>
    <w:rsid w:val="00312ECC"/>
    <w:rsid w:val="00313076"/>
    <w:rsid w:val="0031313A"/>
    <w:rsid w:val="00313428"/>
    <w:rsid w:val="00313485"/>
    <w:rsid w:val="003136A7"/>
    <w:rsid w:val="003136B4"/>
    <w:rsid w:val="0031373F"/>
    <w:rsid w:val="0031390D"/>
    <w:rsid w:val="00314084"/>
    <w:rsid w:val="0031503E"/>
    <w:rsid w:val="003159D5"/>
    <w:rsid w:val="00316530"/>
    <w:rsid w:val="0031655D"/>
    <w:rsid w:val="00317090"/>
    <w:rsid w:val="00317823"/>
    <w:rsid w:val="00317A87"/>
    <w:rsid w:val="003202A8"/>
    <w:rsid w:val="00320306"/>
    <w:rsid w:val="00321583"/>
    <w:rsid w:val="00321738"/>
    <w:rsid w:val="0032213E"/>
    <w:rsid w:val="003226F9"/>
    <w:rsid w:val="003234B5"/>
    <w:rsid w:val="00323711"/>
    <w:rsid w:val="003238F5"/>
    <w:rsid w:val="00324A29"/>
    <w:rsid w:val="00324C96"/>
    <w:rsid w:val="00324F25"/>
    <w:rsid w:val="003250F8"/>
    <w:rsid w:val="003255E5"/>
    <w:rsid w:val="00325B33"/>
    <w:rsid w:val="00326007"/>
    <w:rsid w:val="00326FF7"/>
    <w:rsid w:val="0032764F"/>
    <w:rsid w:val="003276A6"/>
    <w:rsid w:val="00327D81"/>
    <w:rsid w:val="003312F1"/>
    <w:rsid w:val="00331363"/>
    <w:rsid w:val="0033257F"/>
    <w:rsid w:val="00332CC8"/>
    <w:rsid w:val="003334DE"/>
    <w:rsid w:val="003338E6"/>
    <w:rsid w:val="00333FF5"/>
    <w:rsid w:val="003348FE"/>
    <w:rsid w:val="003352BA"/>
    <w:rsid w:val="00335580"/>
    <w:rsid w:val="00335984"/>
    <w:rsid w:val="003372A6"/>
    <w:rsid w:val="003374D6"/>
    <w:rsid w:val="003401CC"/>
    <w:rsid w:val="003407B6"/>
    <w:rsid w:val="00340857"/>
    <w:rsid w:val="00340CD2"/>
    <w:rsid w:val="00341083"/>
    <w:rsid w:val="00341619"/>
    <w:rsid w:val="00341715"/>
    <w:rsid w:val="00341D15"/>
    <w:rsid w:val="003422D7"/>
    <w:rsid w:val="00342CD5"/>
    <w:rsid w:val="00342F5A"/>
    <w:rsid w:val="00342FEC"/>
    <w:rsid w:val="0034377C"/>
    <w:rsid w:val="003438E4"/>
    <w:rsid w:val="00343FB8"/>
    <w:rsid w:val="003447EB"/>
    <w:rsid w:val="00344BED"/>
    <w:rsid w:val="00344C2A"/>
    <w:rsid w:val="00344FFE"/>
    <w:rsid w:val="003454D9"/>
    <w:rsid w:val="00345707"/>
    <w:rsid w:val="00345B50"/>
    <w:rsid w:val="00345BCB"/>
    <w:rsid w:val="00345C31"/>
    <w:rsid w:val="00345ECA"/>
    <w:rsid w:val="00346C41"/>
    <w:rsid w:val="00346CC2"/>
    <w:rsid w:val="00347804"/>
    <w:rsid w:val="00347BC3"/>
    <w:rsid w:val="00350078"/>
    <w:rsid w:val="003504DC"/>
    <w:rsid w:val="00350E7D"/>
    <w:rsid w:val="00351A71"/>
    <w:rsid w:val="00351E91"/>
    <w:rsid w:val="0035206A"/>
    <w:rsid w:val="0035430C"/>
    <w:rsid w:val="00355308"/>
    <w:rsid w:val="00355DB9"/>
    <w:rsid w:val="0035609E"/>
    <w:rsid w:val="003567B4"/>
    <w:rsid w:val="00356940"/>
    <w:rsid w:val="00356A1D"/>
    <w:rsid w:val="003572CD"/>
    <w:rsid w:val="00357CA8"/>
    <w:rsid w:val="00357CC5"/>
    <w:rsid w:val="00357D4F"/>
    <w:rsid w:val="00357DD8"/>
    <w:rsid w:val="00360405"/>
    <w:rsid w:val="0036164B"/>
    <w:rsid w:val="00361F46"/>
    <w:rsid w:val="00361FAC"/>
    <w:rsid w:val="00362766"/>
    <w:rsid w:val="00362B97"/>
    <w:rsid w:val="00362CE3"/>
    <w:rsid w:val="003630DF"/>
    <w:rsid w:val="00363328"/>
    <w:rsid w:val="00363458"/>
    <w:rsid w:val="00363EFA"/>
    <w:rsid w:val="003641E7"/>
    <w:rsid w:val="003654CE"/>
    <w:rsid w:val="00365903"/>
    <w:rsid w:val="00366330"/>
    <w:rsid w:val="00366D96"/>
    <w:rsid w:val="003702FB"/>
    <w:rsid w:val="003705E6"/>
    <w:rsid w:val="003712FD"/>
    <w:rsid w:val="00371AF7"/>
    <w:rsid w:val="00371E12"/>
    <w:rsid w:val="00371FF2"/>
    <w:rsid w:val="00372252"/>
    <w:rsid w:val="00373020"/>
    <w:rsid w:val="003733A5"/>
    <w:rsid w:val="00373736"/>
    <w:rsid w:val="003743FA"/>
    <w:rsid w:val="00374844"/>
    <w:rsid w:val="00374C98"/>
    <w:rsid w:val="003751A2"/>
    <w:rsid w:val="003754E5"/>
    <w:rsid w:val="0037585C"/>
    <w:rsid w:val="0037631C"/>
    <w:rsid w:val="00376AC4"/>
    <w:rsid w:val="0038130B"/>
    <w:rsid w:val="0038131D"/>
    <w:rsid w:val="003814A0"/>
    <w:rsid w:val="0038184F"/>
    <w:rsid w:val="00381DB5"/>
    <w:rsid w:val="00381DE3"/>
    <w:rsid w:val="00381E21"/>
    <w:rsid w:val="00381E59"/>
    <w:rsid w:val="00381E76"/>
    <w:rsid w:val="00381E9E"/>
    <w:rsid w:val="003821A9"/>
    <w:rsid w:val="0038254B"/>
    <w:rsid w:val="003828AD"/>
    <w:rsid w:val="00382A60"/>
    <w:rsid w:val="00382D5A"/>
    <w:rsid w:val="00383090"/>
    <w:rsid w:val="00383B0D"/>
    <w:rsid w:val="00383BDE"/>
    <w:rsid w:val="00383CC9"/>
    <w:rsid w:val="00384156"/>
    <w:rsid w:val="0038418B"/>
    <w:rsid w:val="0038418D"/>
    <w:rsid w:val="00384861"/>
    <w:rsid w:val="00384B11"/>
    <w:rsid w:val="0038549C"/>
    <w:rsid w:val="00385861"/>
    <w:rsid w:val="00386020"/>
    <w:rsid w:val="0038687C"/>
    <w:rsid w:val="00387980"/>
    <w:rsid w:val="00387F0E"/>
    <w:rsid w:val="00390163"/>
    <w:rsid w:val="00390195"/>
    <w:rsid w:val="0039033E"/>
    <w:rsid w:val="0039091E"/>
    <w:rsid w:val="0039095D"/>
    <w:rsid w:val="00390EAE"/>
    <w:rsid w:val="003912FA"/>
    <w:rsid w:val="003913FE"/>
    <w:rsid w:val="0039163D"/>
    <w:rsid w:val="00391CD9"/>
    <w:rsid w:val="00391DF6"/>
    <w:rsid w:val="0039208F"/>
    <w:rsid w:val="003925F7"/>
    <w:rsid w:val="00393554"/>
    <w:rsid w:val="00393937"/>
    <w:rsid w:val="00393AC2"/>
    <w:rsid w:val="00393CA2"/>
    <w:rsid w:val="00393ED2"/>
    <w:rsid w:val="00394C2D"/>
    <w:rsid w:val="003962E7"/>
    <w:rsid w:val="00396445"/>
    <w:rsid w:val="0039667A"/>
    <w:rsid w:val="00396807"/>
    <w:rsid w:val="00396F82"/>
    <w:rsid w:val="0039751B"/>
    <w:rsid w:val="003979D4"/>
    <w:rsid w:val="003A0003"/>
    <w:rsid w:val="003A0037"/>
    <w:rsid w:val="003A0068"/>
    <w:rsid w:val="003A0978"/>
    <w:rsid w:val="003A0E0B"/>
    <w:rsid w:val="003A196B"/>
    <w:rsid w:val="003A1B02"/>
    <w:rsid w:val="003A1B33"/>
    <w:rsid w:val="003A208A"/>
    <w:rsid w:val="003A268D"/>
    <w:rsid w:val="003A2B0A"/>
    <w:rsid w:val="003A2D31"/>
    <w:rsid w:val="003A307F"/>
    <w:rsid w:val="003A38DF"/>
    <w:rsid w:val="003A4344"/>
    <w:rsid w:val="003A437B"/>
    <w:rsid w:val="003A4B77"/>
    <w:rsid w:val="003A4BCD"/>
    <w:rsid w:val="003A4BE5"/>
    <w:rsid w:val="003A507D"/>
    <w:rsid w:val="003A55B1"/>
    <w:rsid w:val="003A5DDA"/>
    <w:rsid w:val="003A603B"/>
    <w:rsid w:val="003A6059"/>
    <w:rsid w:val="003A6AE6"/>
    <w:rsid w:val="003A73DD"/>
    <w:rsid w:val="003A745F"/>
    <w:rsid w:val="003A769C"/>
    <w:rsid w:val="003A7D49"/>
    <w:rsid w:val="003A7DA0"/>
    <w:rsid w:val="003B021C"/>
    <w:rsid w:val="003B0366"/>
    <w:rsid w:val="003B0C26"/>
    <w:rsid w:val="003B15D1"/>
    <w:rsid w:val="003B1EE4"/>
    <w:rsid w:val="003B2963"/>
    <w:rsid w:val="003B313C"/>
    <w:rsid w:val="003B3E61"/>
    <w:rsid w:val="003B46F9"/>
    <w:rsid w:val="003B4A12"/>
    <w:rsid w:val="003B4DF1"/>
    <w:rsid w:val="003B5035"/>
    <w:rsid w:val="003B50F4"/>
    <w:rsid w:val="003B5121"/>
    <w:rsid w:val="003B55C6"/>
    <w:rsid w:val="003B61D9"/>
    <w:rsid w:val="003B6201"/>
    <w:rsid w:val="003B68A4"/>
    <w:rsid w:val="003B6E82"/>
    <w:rsid w:val="003B72A5"/>
    <w:rsid w:val="003B7CF7"/>
    <w:rsid w:val="003C0023"/>
    <w:rsid w:val="003C002E"/>
    <w:rsid w:val="003C0113"/>
    <w:rsid w:val="003C0126"/>
    <w:rsid w:val="003C0C7C"/>
    <w:rsid w:val="003C0D56"/>
    <w:rsid w:val="003C138F"/>
    <w:rsid w:val="003C13ED"/>
    <w:rsid w:val="003C161E"/>
    <w:rsid w:val="003C1C55"/>
    <w:rsid w:val="003C2530"/>
    <w:rsid w:val="003C25A5"/>
    <w:rsid w:val="003C2764"/>
    <w:rsid w:val="003C2B8B"/>
    <w:rsid w:val="003C3F6F"/>
    <w:rsid w:val="003C4AA9"/>
    <w:rsid w:val="003C556C"/>
    <w:rsid w:val="003C6461"/>
    <w:rsid w:val="003C661A"/>
    <w:rsid w:val="003C7A32"/>
    <w:rsid w:val="003C7E53"/>
    <w:rsid w:val="003D0381"/>
    <w:rsid w:val="003D167C"/>
    <w:rsid w:val="003D1958"/>
    <w:rsid w:val="003D248E"/>
    <w:rsid w:val="003D2780"/>
    <w:rsid w:val="003D27F5"/>
    <w:rsid w:val="003D292B"/>
    <w:rsid w:val="003D2A81"/>
    <w:rsid w:val="003D30DE"/>
    <w:rsid w:val="003D3A12"/>
    <w:rsid w:val="003D3A4A"/>
    <w:rsid w:val="003D409B"/>
    <w:rsid w:val="003D47A6"/>
    <w:rsid w:val="003D4A45"/>
    <w:rsid w:val="003D5180"/>
    <w:rsid w:val="003D5650"/>
    <w:rsid w:val="003D7607"/>
    <w:rsid w:val="003D78DB"/>
    <w:rsid w:val="003D7A1C"/>
    <w:rsid w:val="003D7FC9"/>
    <w:rsid w:val="003E06D1"/>
    <w:rsid w:val="003E0CCE"/>
    <w:rsid w:val="003E0D3C"/>
    <w:rsid w:val="003E23D8"/>
    <w:rsid w:val="003E2A51"/>
    <w:rsid w:val="003E38E1"/>
    <w:rsid w:val="003E3A0C"/>
    <w:rsid w:val="003E3FC4"/>
    <w:rsid w:val="003E42BF"/>
    <w:rsid w:val="003E45E7"/>
    <w:rsid w:val="003E46B4"/>
    <w:rsid w:val="003E49A4"/>
    <w:rsid w:val="003E4C64"/>
    <w:rsid w:val="003E5426"/>
    <w:rsid w:val="003E56D1"/>
    <w:rsid w:val="003E5954"/>
    <w:rsid w:val="003E6016"/>
    <w:rsid w:val="003E612C"/>
    <w:rsid w:val="003E682C"/>
    <w:rsid w:val="003E6FF3"/>
    <w:rsid w:val="003E7C98"/>
    <w:rsid w:val="003F044B"/>
    <w:rsid w:val="003F073B"/>
    <w:rsid w:val="003F08F4"/>
    <w:rsid w:val="003F0B2D"/>
    <w:rsid w:val="003F1A2F"/>
    <w:rsid w:val="003F1BCA"/>
    <w:rsid w:val="003F1CC2"/>
    <w:rsid w:val="003F1F01"/>
    <w:rsid w:val="003F1FFF"/>
    <w:rsid w:val="003F218C"/>
    <w:rsid w:val="003F224A"/>
    <w:rsid w:val="003F22EB"/>
    <w:rsid w:val="003F22FA"/>
    <w:rsid w:val="003F2473"/>
    <w:rsid w:val="003F2912"/>
    <w:rsid w:val="003F2CC7"/>
    <w:rsid w:val="003F3280"/>
    <w:rsid w:val="003F43BA"/>
    <w:rsid w:val="003F4AB2"/>
    <w:rsid w:val="003F526F"/>
    <w:rsid w:val="003F53AD"/>
    <w:rsid w:val="003F5F8E"/>
    <w:rsid w:val="003F6593"/>
    <w:rsid w:val="003F6626"/>
    <w:rsid w:val="003F6BEA"/>
    <w:rsid w:val="003F6D5C"/>
    <w:rsid w:val="003F6F5F"/>
    <w:rsid w:val="003F7014"/>
    <w:rsid w:val="003F7903"/>
    <w:rsid w:val="003F7C5E"/>
    <w:rsid w:val="003F7FB1"/>
    <w:rsid w:val="004006C9"/>
    <w:rsid w:val="00401CCC"/>
    <w:rsid w:val="00402BC0"/>
    <w:rsid w:val="00402E97"/>
    <w:rsid w:val="00403E8C"/>
    <w:rsid w:val="00403FFC"/>
    <w:rsid w:val="004041D3"/>
    <w:rsid w:val="00404868"/>
    <w:rsid w:val="00404966"/>
    <w:rsid w:val="0040562B"/>
    <w:rsid w:val="004059A0"/>
    <w:rsid w:val="00405B03"/>
    <w:rsid w:val="00405B54"/>
    <w:rsid w:val="0040623E"/>
    <w:rsid w:val="0040642C"/>
    <w:rsid w:val="00406512"/>
    <w:rsid w:val="0040695B"/>
    <w:rsid w:val="00406E8E"/>
    <w:rsid w:val="0040705C"/>
    <w:rsid w:val="00407251"/>
    <w:rsid w:val="00407425"/>
    <w:rsid w:val="0040759A"/>
    <w:rsid w:val="00407E31"/>
    <w:rsid w:val="0041002D"/>
    <w:rsid w:val="00410784"/>
    <w:rsid w:val="00410950"/>
    <w:rsid w:val="00410F00"/>
    <w:rsid w:val="00411829"/>
    <w:rsid w:val="00411841"/>
    <w:rsid w:val="004127F1"/>
    <w:rsid w:val="00412AA9"/>
    <w:rsid w:val="00412EAD"/>
    <w:rsid w:val="004130B9"/>
    <w:rsid w:val="00413261"/>
    <w:rsid w:val="004133A0"/>
    <w:rsid w:val="004137D8"/>
    <w:rsid w:val="00413A3B"/>
    <w:rsid w:val="004143ED"/>
    <w:rsid w:val="00414658"/>
    <w:rsid w:val="004147D3"/>
    <w:rsid w:val="00414E5B"/>
    <w:rsid w:val="004150EA"/>
    <w:rsid w:val="00415837"/>
    <w:rsid w:val="004160C8"/>
    <w:rsid w:val="00416108"/>
    <w:rsid w:val="00416781"/>
    <w:rsid w:val="004169B5"/>
    <w:rsid w:val="00416AC2"/>
    <w:rsid w:val="004170E3"/>
    <w:rsid w:val="0041715F"/>
    <w:rsid w:val="00420117"/>
    <w:rsid w:val="00420904"/>
    <w:rsid w:val="00420A19"/>
    <w:rsid w:val="00420AA4"/>
    <w:rsid w:val="00421231"/>
    <w:rsid w:val="00421793"/>
    <w:rsid w:val="004224C8"/>
    <w:rsid w:val="004224FF"/>
    <w:rsid w:val="00422765"/>
    <w:rsid w:val="00422AA7"/>
    <w:rsid w:val="00422E2B"/>
    <w:rsid w:val="00424187"/>
    <w:rsid w:val="00424588"/>
    <w:rsid w:val="00424DD7"/>
    <w:rsid w:val="004260FA"/>
    <w:rsid w:val="00427063"/>
    <w:rsid w:val="004273D1"/>
    <w:rsid w:val="0043011A"/>
    <w:rsid w:val="00430124"/>
    <w:rsid w:val="00430539"/>
    <w:rsid w:val="004315D5"/>
    <w:rsid w:val="004315EE"/>
    <w:rsid w:val="00432D07"/>
    <w:rsid w:val="0043305F"/>
    <w:rsid w:val="00433282"/>
    <w:rsid w:val="004339F2"/>
    <w:rsid w:val="00433B53"/>
    <w:rsid w:val="00434109"/>
    <w:rsid w:val="00434576"/>
    <w:rsid w:val="00434D5A"/>
    <w:rsid w:val="0043540F"/>
    <w:rsid w:val="004358FD"/>
    <w:rsid w:val="004360DE"/>
    <w:rsid w:val="00436E53"/>
    <w:rsid w:val="00436F50"/>
    <w:rsid w:val="00436FED"/>
    <w:rsid w:val="00437189"/>
    <w:rsid w:val="0044009A"/>
    <w:rsid w:val="0044018F"/>
    <w:rsid w:val="00440FA1"/>
    <w:rsid w:val="00440FBC"/>
    <w:rsid w:val="00441171"/>
    <w:rsid w:val="00441510"/>
    <w:rsid w:val="00441664"/>
    <w:rsid w:val="00441D9B"/>
    <w:rsid w:val="00441DC4"/>
    <w:rsid w:val="00442122"/>
    <w:rsid w:val="00442187"/>
    <w:rsid w:val="00443151"/>
    <w:rsid w:val="004433F4"/>
    <w:rsid w:val="004436E9"/>
    <w:rsid w:val="00443914"/>
    <w:rsid w:val="004448DF"/>
    <w:rsid w:val="00444BE0"/>
    <w:rsid w:val="00444F11"/>
    <w:rsid w:val="00445D91"/>
    <w:rsid w:val="00445EFD"/>
    <w:rsid w:val="004468DF"/>
    <w:rsid w:val="00446B07"/>
    <w:rsid w:val="00446C35"/>
    <w:rsid w:val="00446F01"/>
    <w:rsid w:val="004506E4"/>
    <w:rsid w:val="00451777"/>
    <w:rsid w:val="00451983"/>
    <w:rsid w:val="004521E5"/>
    <w:rsid w:val="00452CC0"/>
    <w:rsid w:val="00453748"/>
    <w:rsid w:val="00453AB5"/>
    <w:rsid w:val="00453B0A"/>
    <w:rsid w:val="00453BD0"/>
    <w:rsid w:val="004542A1"/>
    <w:rsid w:val="0045442C"/>
    <w:rsid w:val="004548DB"/>
    <w:rsid w:val="00454A07"/>
    <w:rsid w:val="00454DB0"/>
    <w:rsid w:val="00454F4E"/>
    <w:rsid w:val="004550C9"/>
    <w:rsid w:val="004551D7"/>
    <w:rsid w:val="00455BF7"/>
    <w:rsid w:val="00455C98"/>
    <w:rsid w:val="00455E81"/>
    <w:rsid w:val="00455F98"/>
    <w:rsid w:val="004562E1"/>
    <w:rsid w:val="0045633C"/>
    <w:rsid w:val="0045695F"/>
    <w:rsid w:val="00456BA5"/>
    <w:rsid w:val="00456C97"/>
    <w:rsid w:val="00457113"/>
    <w:rsid w:val="004572B8"/>
    <w:rsid w:val="00457427"/>
    <w:rsid w:val="00457DBD"/>
    <w:rsid w:val="0046008B"/>
    <w:rsid w:val="00460706"/>
    <w:rsid w:val="00460971"/>
    <w:rsid w:val="00461C0C"/>
    <w:rsid w:val="00461F4E"/>
    <w:rsid w:val="00462CC9"/>
    <w:rsid w:val="00462F98"/>
    <w:rsid w:val="0046350D"/>
    <w:rsid w:val="004636D1"/>
    <w:rsid w:val="00463E04"/>
    <w:rsid w:val="004643DA"/>
    <w:rsid w:val="004647BC"/>
    <w:rsid w:val="00464970"/>
    <w:rsid w:val="00465213"/>
    <w:rsid w:val="0046621F"/>
    <w:rsid w:val="00466224"/>
    <w:rsid w:val="004662A7"/>
    <w:rsid w:val="004668D1"/>
    <w:rsid w:val="00466BD0"/>
    <w:rsid w:val="00466FA6"/>
    <w:rsid w:val="004675BD"/>
    <w:rsid w:val="00467A65"/>
    <w:rsid w:val="00470238"/>
    <w:rsid w:val="00470905"/>
    <w:rsid w:val="00470C9F"/>
    <w:rsid w:val="00470F6E"/>
    <w:rsid w:val="00471553"/>
    <w:rsid w:val="004719C7"/>
    <w:rsid w:val="00471C86"/>
    <w:rsid w:val="00471ED4"/>
    <w:rsid w:val="0047220F"/>
    <w:rsid w:val="0047279E"/>
    <w:rsid w:val="00473497"/>
    <w:rsid w:val="00473AC7"/>
    <w:rsid w:val="00473BD3"/>
    <w:rsid w:val="00473D01"/>
    <w:rsid w:val="00474387"/>
    <w:rsid w:val="00474859"/>
    <w:rsid w:val="00474ADC"/>
    <w:rsid w:val="00474B7D"/>
    <w:rsid w:val="00474ED8"/>
    <w:rsid w:val="00474FBA"/>
    <w:rsid w:val="00475231"/>
    <w:rsid w:val="004759F3"/>
    <w:rsid w:val="00476724"/>
    <w:rsid w:val="00477792"/>
    <w:rsid w:val="00477E63"/>
    <w:rsid w:val="00480411"/>
    <w:rsid w:val="00480546"/>
    <w:rsid w:val="00480CEB"/>
    <w:rsid w:val="004813E9"/>
    <w:rsid w:val="004817E8"/>
    <w:rsid w:val="004818A4"/>
    <w:rsid w:val="00481D59"/>
    <w:rsid w:val="00482256"/>
    <w:rsid w:val="004825D2"/>
    <w:rsid w:val="0048273A"/>
    <w:rsid w:val="00482C22"/>
    <w:rsid w:val="00482D2F"/>
    <w:rsid w:val="00482E9E"/>
    <w:rsid w:val="00482FF9"/>
    <w:rsid w:val="004831AC"/>
    <w:rsid w:val="004831FC"/>
    <w:rsid w:val="00483DBE"/>
    <w:rsid w:val="0048431E"/>
    <w:rsid w:val="00484BBC"/>
    <w:rsid w:val="00484DB7"/>
    <w:rsid w:val="004856AC"/>
    <w:rsid w:val="004856BE"/>
    <w:rsid w:val="00485AEE"/>
    <w:rsid w:val="0048645A"/>
    <w:rsid w:val="0048649B"/>
    <w:rsid w:val="004864D5"/>
    <w:rsid w:val="004866D0"/>
    <w:rsid w:val="00486B72"/>
    <w:rsid w:val="00487346"/>
    <w:rsid w:val="004873D0"/>
    <w:rsid w:val="00487743"/>
    <w:rsid w:val="00487D6B"/>
    <w:rsid w:val="00491036"/>
    <w:rsid w:val="0049164D"/>
    <w:rsid w:val="00491935"/>
    <w:rsid w:val="00491B7C"/>
    <w:rsid w:val="00492AB3"/>
    <w:rsid w:val="00493357"/>
    <w:rsid w:val="004948DA"/>
    <w:rsid w:val="00494CE5"/>
    <w:rsid w:val="00494E60"/>
    <w:rsid w:val="00494E65"/>
    <w:rsid w:val="00494FE2"/>
    <w:rsid w:val="0049529C"/>
    <w:rsid w:val="00495C90"/>
    <w:rsid w:val="00495F50"/>
    <w:rsid w:val="00495F9D"/>
    <w:rsid w:val="00496A54"/>
    <w:rsid w:val="00496DCC"/>
    <w:rsid w:val="00497053"/>
    <w:rsid w:val="004970B4"/>
    <w:rsid w:val="004A05CC"/>
    <w:rsid w:val="004A0914"/>
    <w:rsid w:val="004A0F7B"/>
    <w:rsid w:val="004A12F4"/>
    <w:rsid w:val="004A17DA"/>
    <w:rsid w:val="004A19FE"/>
    <w:rsid w:val="004A23E1"/>
    <w:rsid w:val="004A27E4"/>
    <w:rsid w:val="004A2A88"/>
    <w:rsid w:val="004A2D90"/>
    <w:rsid w:val="004A3075"/>
    <w:rsid w:val="004A31EA"/>
    <w:rsid w:val="004A44A2"/>
    <w:rsid w:val="004A4558"/>
    <w:rsid w:val="004A462D"/>
    <w:rsid w:val="004A4703"/>
    <w:rsid w:val="004A4761"/>
    <w:rsid w:val="004A4B38"/>
    <w:rsid w:val="004A4C00"/>
    <w:rsid w:val="004A5804"/>
    <w:rsid w:val="004A5CC1"/>
    <w:rsid w:val="004A5D28"/>
    <w:rsid w:val="004A5ECF"/>
    <w:rsid w:val="004A6427"/>
    <w:rsid w:val="004A6B03"/>
    <w:rsid w:val="004A7D05"/>
    <w:rsid w:val="004A7D67"/>
    <w:rsid w:val="004B0612"/>
    <w:rsid w:val="004B093D"/>
    <w:rsid w:val="004B0A20"/>
    <w:rsid w:val="004B167C"/>
    <w:rsid w:val="004B1754"/>
    <w:rsid w:val="004B1D33"/>
    <w:rsid w:val="004B207A"/>
    <w:rsid w:val="004B20B9"/>
    <w:rsid w:val="004B2278"/>
    <w:rsid w:val="004B22E7"/>
    <w:rsid w:val="004B23AF"/>
    <w:rsid w:val="004B23E4"/>
    <w:rsid w:val="004B23FF"/>
    <w:rsid w:val="004B2569"/>
    <w:rsid w:val="004B2A73"/>
    <w:rsid w:val="004B2CC3"/>
    <w:rsid w:val="004B3652"/>
    <w:rsid w:val="004B3F13"/>
    <w:rsid w:val="004B4927"/>
    <w:rsid w:val="004B520C"/>
    <w:rsid w:val="004B543A"/>
    <w:rsid w:val="004B5891"/>
    <w:rsid w:val="004B58DF"/>
    <w:rsid w:val="004B5F3E"/>
    <w:rsid w:val="004B6E54"/>
    <w:rsid w:val="004B7117"/>
    <w:rsid w:val="004B786B"/>
    <w:rsid w:val="004C05AE"/>
    <w:rsid w:val="004C06C7"/>
    <w:rsid w:val="004C07C7"/>
    <w:rsid w:val="004C08BE"/>
    <w:rsid w:val="004C0C11"/>
    <w:rsid w:val="004C15EA"/>
    <w:rsid w:val="004C1B91"/>
    <w:rsid w:val="004C1FE0"/>
    <w:rsid w:val="004C2455"/>
    <w:rsid w:val="004C2961"/>
    <w:rsid w:val="004C2DA4"/>
    <w:rsid w:val="004C2F92"/>
    <w:rsid w:val="004C304D"/>
    <w:rsid w:val="004C31A8"/>
    <w:rsid w:val="004C3860"/>
    <w:rsid w:val="004C38E8"/>
    <w:rsid w:val="004C3BE7"/>
    <w:rsid w:val="004C41C6"/>
    <w:rsid w:val="004C446B"/>
    <w:rsid w:val="004C470D"/>
    <w:rsid w:val="004C4B94"/>
    <w:rsid w:val="004C5BC0"/>
    <w:rsid w:val="004C6142"/>
    <w:rsid w:val="004C641E"/>
    <w:rsid w:val="004C641F"/>
    <w:rsid w:val="004C6FA8"/>
    <w:rsid w:val="004C723A"/>
    <w:rsid w:val="004C7D47"/>
    <w:rsid w:val="004C7D74"/>
    <w:rsid w:val="004C7E20"/>
    <w:rsid w:val="004C7E8A"/>
    <w:rsid w:val="004D0C22"/>
    <w:rsid w:val="004D0ED2"/>
    <w:rsid w:val="004D11C0"/>
    <w:rsid w:val="004D2941"/>
    <w:rsid w:val="004D2BEC"/>
    <w:rsid w:val="004D35EB"/>
    <w:rsid w:val="004D3CF8"/>
    <w:rsid w:val="004D4EC5"/>
    <w:rsid w:val="004D57D0"/>
    <w:rsid w:val="004D5B4D"/>
    <w:rsid w:val="004D64F8"/>
    <w:rsid w:val="004D69A0"/>
    <w:rsid w:val="004D6B27"/>
    <w:rsid w:val="004D6D1B"/>
    <w:rsid w:val="004D72A2"/>
    <w:rsid w:val="004D7755"/>
    <w:rsid w:val="004D7C27"/>
    <w:rsid w:val="004E03E3"/>
    <w:rsid w:val="004E0E47"/>
    <w:rsid w:val="004E2034"/>
    <w:rsid w:val="004E2564"/>
    <w:rsid w:val="004E260A"/>
    <w:rsid w:val="004E273C"/>
    <w:rsid w:val="004E2974"/>
    <w:rsid w:val="004E3621"/>
    <w:rsid w:val="004E3BF5"/>
    <w:rsid w:val="004E3D1F"/>
    <w:rsid w:val="004E3E2C"/>
    <w:rsid w:val="004E433D"/>
    <w:rsid w:val="004E4448"/>
    <w:rsid w:val="004E45BE"/>
    <w:rsid w:val="004E5265"/>
    <w:rsid w:val="004E6072"/>
    <w:rsid w:val="004E6BAD"/>
    <w:rsid w:val="004E6BFE"/>
    <w:rsid w:val="004E6E95"/>
    <w:rsid w:val="004E7AEF"/>
    <w:rsid w:val="004F026F"/>
    <w:rsid w:val="004F0934"/>
    <w:rsid w:val="004F0C41"/>
    <w:rsid w:val="004F1317"/>
    <w:rsid w:val="004F1846"/>
    <w:rsid w:val="004F1A2D"/>
    <w:rsid w:val="004F23BA"/>
    <w:rsid w:val="004F296D"/>
    <w:rsid w:val="004F2ACF"/>
    <w:rsid w:val="004F39EB"/>
    <w:rsid w:val="004F3A01"/>
    <w:rsid w:val="004F3A20"/>
    <w:rsid w:val="004F3CB4"/>
    <w:rsid w:val="004F3F73"/>
    <w:rsid w:val="004F483F"/>
    <w:rsid w:val="004F4985"/>
    <w:rsid w:val="004F5549"/>
    <w:rsid w:val="004F5CA7"/>
    <w:rsid w:val="004F637D"/>
    <w:rsid w:val="004F643C"/>
    <w:rsid w:val="004F6522"/>
    <w:rsid w:val="004F745F"/>
    <w:rsid w:val="004F7548"/>
    <w:rsid w:val="004F7574"/>
    <w:rsid w:val="004F7871"/>
    <w:rsid w:val="0050080E"/>
    <w:rsid w:val="00501303"/>
    <w:rsid w:val="005017CB"/>
    <w:rsid w:val="00501D13"/>
    <w:rsid w:val="00501E44"/>
    <w:rsid w:val="00502204"/>
    <w:rsid w:val="00502288"/>
    <w:rsid w:val="00502F1B"/>
    <w:rsid w:val="00502FB3"/>
    <w:rsid w:val="0050357E"/>
    <w:rsid w:val="00503933"/>
    <w:rsid w:val="00503A9E"/>
    <w:rsid w:val="00503ADD"/>
    <w:rsid w:val="00503FBC"/>
    <w:rsid w:val="00504291"/>
    <w:rsid w:val="00504508"/>
    <w:rsid w:val="00504896"/>
    <w:rsid w:val="00504BE4"/>
    <w:rsid w:val="00504FC0"/>
    <w:rsid w:val="00505238"/>
    <w:rsid w:val="005053F4"/>
    <w:rsid w:val="005058F1"/>
    <w:rsid w:val="00505BE9"/>
    <w:rsid w:val="00506774"/>
    <w:rsid w:val="00506AA5"/>
    <w:rsid w:val="00507202"/>
    <w:rsid w:val="0050724B"/>
    <w:rsid w:val="00507465"/>
    <w:rsid w:val="00507DF7"/>
    <w:rsid w:val="005102A5"/>
    <w:rsid w:val="005102BD"/>
    <w:rsid w:val="0051115E"/>
    <w:rsid w:val="00511182"/>
    <w:rsid w:val="005113DC"/>
    <w:rsid w:val="005124FF"/>
    <w:rsid w:val="005126F3"/>
    <w:rsid w:val="0051369C"/>
    <w:rsid w:val="005139FF"/>
    <w:rsid w:val="00513BD2"/>
    <w:rsid w:val="005149CE"/>
    <w:rsid w:val="00514F0F"/>
    <w:rsid w:val="00515275"/>
    <w:rsid w:val="00515808"/>
    <w:rsid w:val="0051655E"/>
    <w:rsid w:val="00516C1D"/>
    <w:rsid w:val="0051782D"/>
    <w:rsid w:val="00517C91"/>
    <w:rsid w:val="005200F9"/>
    <w:rsid w:val="005203FA"/>
    <w:rsid w:val="00520750"/>
    <w:rsid w:val="0052109A"/>
    <w:rsid w:val="00521338"/>
    <w:rsid w:val="00521740"/>
    <w:rsid w:val="005223E3"/>
    <w:rsid w:val="005224CA"/>
    <w:rsid w:val="00523817"/>
    <w:rsid w:val="00523E74"/>
    <w:rsid w:val="00523EDC"/>
    <w:rsid w:val="0052423B"/>
    <w:rsid w:val="00524317"/>
    <w:rsid w:val="00524344"/>
    <w:rsid w:val="0052451C"/>
    <w:rsid w:val="00524C4D"/>
    <w:rsid w:val="005250CE"/>
    <w:rsid w:val="00525344"/>
    <w:rsid w:val="005255F2"/>
    <w:rsid w:val="005258E9"/>
    <w:rsid w:val="00525CE2"/>
    <w:rsid w:val="0052601B"/>
    <w:rsid w:val="00526280"/>
    <w:rsid w:val="00526BB3"/>
    <w:rsid w:val="00526BE5"/>
    <w:rsid w:val="0052751E"/>
    <w:rsid w:val="00527721"/>
    <w:rsid w:val="00527826"/>
    <w:rsid w:val="00527A01"/>
    <w:rsid w:val="00527D67"/>
    <w:rsid w:val="00530578"/>
    <w:rsid w:val="00530E98"/>
    <w:rsid w:val="00530F10"/>
    <w:rsid w:val="00531A0C"/>
    <w:rsid w:val="005339E0"/>
    <w:rsid w:val="00533D39"/>
    <w:rsid w:val="00535614"/>
    <w:rsid w:val="00535EE7"/>
    <w:rsid w:val="005361E1"/>
    <w:rsid w:val="00536916"/>
    <w:rsid w:val="00536BB8"/>
    <w:rsid w:val="00536C9D"/>
    <w:rsid w:val="00537096"/>
    <w:rsid w:val="00537B4C"/>
    <w:rsid w:val="00540911"/>
    <w:rsid w:val="00540D2F"/>
    <w:rsid w:val="005410B2"/>
    <w:rsid w:val="005412C3"/>
    <w:rsid w:val="005417B1"/>
    <w:rsid w:val="00541E14"/>
    <w:rsid w:val="0054227B"/>
    <w:rsid w:val="00542BF0"/>
    <w:rsid w:val="00542EA1"/>
    <w:rsid w:val="00542EF9"/>
    <w:rsid w:val="0054331C"/>
    <w:rsid w:val="005434F7"/>
    <w:rsid w:val="00543B55"/>
    <w:rsid w:val="00543E6C"/>
    <w:rsid w:val="00543FCA"/>
    <w:rsid w:val="00544329"/>
    <w:rsid w:val="00544604"/>
    <w:rsid w:val="005450B5"/>
    <w:rsid w:val="00545106"/>
    <w:rsid w:val="005454EC"/>
    <w:rsid w:val="00545614"/>
    <w:rsid w:val="00546528"/>
    <w:rsid w:val="005465C7"/>
    <w:rsid w:val="0054671F"/>
    <w:rsid w:val="00546AA6"/>
    <w:rsid w:val="00546AB9"/>
    <w:rsid w:val="00546B8B"/>
    <w:rsid w:val="00547205"/>
    <w:rsid w:val="00550128"/>
    <w:rsid w:val="005504C3"/>
    <w:rsid w:val="00551161"/>
    <w:rsid w:val="00551213"/>
    <w:rsid w:val="00551739"/>
    <w:rsid w:val="00551B6F"/>
    <w:rsid w:val="00551D84"/>
    <w:rsid w:val="005526E5"/>
    <w:rsid w:val="005528C2"/>
    <w:rsid w:val="00552A9E"/>
    <w:rsid w:val="0055339B"/>
    <w:rsid w:val="00554261"/>
    <w:rsid w:val="005553D4"/>
    <w:rsid w:val="00555C71"/>
    <w:rsid w:val="00555D4B"/>
    <w:rsid w:val="00556ADC"/>
    <w:rsid w:val="00556FF8"/>
    <w:rsid w:val="0055713E"/>
    <w:rsid w:val="005579A7"/>
    <w:rsid w:val="00560572"/>
    <w:rsid w:val="00560A16"/>
    <w:rsid w:val="0056106F"/>
    <w:rsid w:val="0056190B"/>
    <w:rsid w:val="00561F27"/>
    <w:rsid w:val="00562012"/>
    <w:rsid w:val="00562F83"/>
    <w:rsid w:val="0056364F"/>
    <w:rsid w:val="00563781"/>
    <w:rsid w:val="00563F76"/>
    <w:rsid w:val="00564167"/>
    <w:rsid w:val="00564838"/>
    <w:rsid w:val="005663A6"/>
    <w:rsid w:val="0056799B"/>
    <w:rsid w:val="00567CC8"/>
    <w:rsid w:val="0057021E"/>
    <w:rsid w:val="0057068F"/>
    <w:rsid w:val="00571003"/>
    <w:rsid w:val="005710CF"/>
    <w:rsid w:val="005715E9"/>
    <w:rsid w:val="00571D9D"/>
    <w:rsid w:val="00572708"/>
    <w:rsid w:val="00573549"/>
    <w:rsid w:val="00573560"/>
    <w:rsid w:val="005747CF"/>
    <w:rsid w:val="005756BF"/>
    <w:rsid w:val="005758A8"/>
    <w:rsid w:val="00575D95"/>
    <w:rsid w:val="00575EC5"/>
    <w:rsid w:val="005761F9"/>
    <w:rsid w:val="005769BE"/>
    <w:rsid w:val="00576D7A"/>
    <w:rsid w:val="00577336"/>
    <w:rsid w:val="005773B7"/>
    <w:rsid w:val="005801EA"/>
    <w:rsid w:val="0058086C"/>
    <w:rsid w:val="005808BF"/>
    <w:rsid w:val="005816B1"/>
    <w:rsid w:val="0058197D"/>
    <w:rsid w:val="00581FE1"/>
    <w:rsid w:val="005823D1"/>
    <w:rsid w:val="005831C1"/>
    <w:rsid w:val="00583532"/>
    <w:rsid w:val="00583672"/>
    <w:rsid w:val="00583CA3"/>
    <w:rsid w:val="005842BE"/>
    <w:rsid w:val="00584616"/>
    <w:rsid w:val="005846CC"/>
    <w:rsid w:val="0058496B"/>
    <w:rsid w:val="00585276"/>
    <w:rsid w:val="00585404"/>
    <w:rsid w:val="00585FC0"/>
    <w:rsid w:val="00586524"/>
    <w:rsid w:val="0058653E"/>
    <w:rsid w:val="0058657A"/>
    <w:rsid w:val="0058665E"/>
    <w:rsid w:val="005866DC"/>
    <w:rsid w:val="00586997"/>
    <w:rsid w:val="00586A77"/>
    <w:rsid w:val="00586C6A"/>
    <w:rsid w:val="0058714C"/>
    <w:rsid w:val="0058718C"/>
    <w:rsid w:val="00590AFC"/>
    <w:rsid w:val="00591012"/>
    <w:rsid w:val="0059127F"/>
    <w:rsid w:val="005913CB"/>
    <w:rsid w:val="005913FE"/>
    <w:rsid w:val="00591DBB"/>
    <w:rsid w:val="00592C66"/>
    <w:rsid w:val="00592FE1"/>
    <w:rsid w:val="005931D5"/>
    <w:rsid w:val="005936D4"/>
    <w:rsid w:val="00593866"/>
    <w:rsid w:val="00593AF6"/>
    <w:rsid w:val="00594917"/>
    <w:rsid w:val="005949AB"/>
    <w:rsid w:val="00595014"/>
    <w:rsid w:val="00595437"/>
    <w:rsid w:val="00595A2F"/>
    <w:rsid w:val="005962D1"/>
    <w:rsid w:val="00596AF2"/>
    <w:rsid w:val="00596D0B"/>
    <w:rsid w:val="00596D69"/>
    <w:rsid w:val="00597472"/>
    <w:rsid w:val="00597589"/>
    <w:rsid w:val="00597CB8"/>
    <w:rsid w:val="005A195D"/>
    <w:rsid w:val="005A2198"/>
    <w:rsid w:val="005A2351"/>
    <w:rsid w:val="005A2BA0"/>
    <w:rsid w:val="005A3372"/>
    <w:rsid w:val="005A34F7"/>
    <w:rsid w:val="005A39CB"/>
    <w:rsid w:val="005A3BD8"/>
    <w:rsid w:val="005A3C1E"/>
    <w:rsid w:val="005A4061"/>
    <w:rsid w:val="005A432C"/>
    <w:rsid w:val="005A45FE"/>
    <w:rsid w:val="005A47DF"/>
    <w:rsid w:val="005A4848"/>
    <w:rsid w:val="005A484E"/>
    <w:rsid w:val="005A4921"/>
    <w:rsid w:val="005A4ABA"/>
    <w:rsid w:val="005A5CC2"/>
    <w:rsid w:val="005A6056"/>
    <w:rsid w:val="005A669A"/>
    <w:rsid w:val="005A6DE4"/>
    <w:rsid w:val="005A704F"/>
    <w:rsid w:val="005A71F8"/>
    <w:rsid w:val="005A75E7"/>
    <w:rsid w:val="005A797E"/>
    <w:rsid w:val="005A7F57"/>
    <w:rsid w:val="005B0019"/>
    <w:rsid w:val="005B0330"/>
    <w:rsid w:val="005B04E4"/>
    <w:rsid w:val="005B058A"/>
    <w:rsid w:val="005B0B0B"/>
    <w:rsid w:val="005B0B21"/>
    <w:rsid w:val="005B0DAC"/>
    <w:rsid w:val="005B0E0A"/>
    <w:rsid w:val="005B10A5"/>
    <w:rsid w:val="005B13FC"/>
    <w:rsid w:val="005B2258"/>
    <w:rsid w:val="005B22D1"/>
    <w:rsid w:val="005B22EA"/>
    <w:rsid w:val="005B2BD8"/>
    <w:rsid w:val="005B327D"/>
    <w:rsid w:val="005B4895"/>
    <w:rsid w:val="005B4C09"/>
    <w:rsid w:val="005B4E55"/>
    <w:rsid w:val="005B5815"/>
    <w:rsid w:val="005B5B15"/>
    <w:rsid w:val="005B6630"/>
    <w:rsid w:val="005B6CD0"/>
    <w:rsid w:val="005B7596"/>
    <w:rsid w:val="005B7861"/>
    <w:rsid w:val="005B7CD3"/>
    <w:rsid w:val="005B7D6D"/>
    <w:rsid w:val="005B7DD7"/>
    <w:rsid w:val="005B7E03"/>
    <w:rsid w:val="005C0BCA"/>
    <w:rsid w:val="005C154A"/>
    <w:rsid w:val="005C1E85"/>
    <w:rsid w:val="005C23F0"/>
    <w:rsid w:val="005C261D"/>
    <w:rsid w:val="005C30DB"/>
    <w:rsid w:val="005C31D6"/>
    <w:rsid w:val="005C38F4"/>
    <w:rsid w:val="005C39BA"/>
    <w:rsid w:val="005C3BB4"/>
    <w:rsid w:val="005C3C5C"/>
    <w:rsid w:val="005C4063"/>
    <w:rsid w:val="005C4158"/>
    <w:rsid w:val="005C448E"/>
    <w:rsid w:val="005C4A5D"/>
    <w:rsid w:val="005C50CA"/>
    <w:rsid w:val="005C557C"/>
    <w:rsid w:val="005C5BFF"/>
    <w:rsid w:val="005C5CBE"/>
    <w:rsid w:val="005C611B"/>
    <w:rsid w:val="005C66DB"/>
    <w:rsid w:val="005C6F7C"/>
    <w:rsid w:val="005C7611"/>
    <w:rsid w:val="005C7ACB"/>
    <w:rsid w:val="005C7CB7"/>
    <w:rsid w:val="005C7CEF"/>
    <w:rsid w:val="005D0660"/>
    <w:rsid w:val="005D08B8"/>
    <w:rsid w:val="005D092F"/>
    <w:rsid w:val="005D0C6B"/>
    <w:rsid w:val="005D1395"/>
    <w:rsid w:val="005D1CE2"/>
    <w:rsid w:val="005D2968"/>
    <w:rsid w:val="005D3197"/>
    <w:rsid w:val="005D3375"/>
    <w:rsid w:val="005D3A14"/>
    <w:rsid w:val="005D474B"/>
    <w:rsid w:val="005D51D2"/>
    <w:rsid w:val="005D567B"/>
    <w:rsid w:val="005D58A0"/>
    <w:rsid w:val="005D5A5A"/>
    <w:rsid w:val="005D61C2"/>
    <w:rsid w:val="005D6B19"/>
    <w:rsid w:val="005D739C"/>
    <w:rsid w:val="005D7457"/>
    <w:rsid w:val="005D7EF5"/>
    <w:rsid w:val="005E03FA"/>
    <w:rsid w:val="005E070D"/>
    <w:rsid w:val="005E094E"/>
    <w:rsid w:val="005E1565"/>
    <w:rsid w:val="005E1C13"/>
    <w:rsid w:val="005E2341"/>
    <w:rsid w:val="005E26CC"/>
    <w:rsid w:val="005E2FCC"/>
    <w:rsid w:val="005E3839"/>
    <w:rsid w:val="005E411B"/>
    <w:rsid w:val="005E4E0B"/>
    <w:rsid w:val="005E4E2D"/>
    <w:rsid w:val="005E4E7C"/>
    <w:rsid w:val="005E5B7C"/>
    <w:rsid w:val="005E5E82"/>
    <w:rsid w:val="005E6456"/>
    <w:rsid w:val="005E6E1B"/>
    <w:rsid w:val="005E6F4E"/>
    <w:rsid w:val="005E78E9"/>
    <w:rsid w:val="005E7D56"/>
    <w:rsid w:val="005F091F"/>
    <w:rsid w:val="005F11A9"/>
    <w:rsid w:val="005F135C"/>
    <w:rsid w:val="005F188E"/>
    <w:rsid w:val="005F19FD"/>
    <w:rsid w:val="005F1A5B"/>
    <w:rsid w:val="005F1D1F"/>
    <w:rsid w:val="005F22F0"/>
    <w:rsid w:val="005F2342"/>
    <w:rsid w:val="005F2587"/>
    <w:rsid w:val="005F2992"/>
    <w:rsid w:val="005F2C4B"/>
    <w:rsid w:val="005F3A2E"/>
    <w:rsid w:val="005F3B02"/>
    <w:rsid w:val="005F3CBD"/>
    <w:rsid w:val="005F4AEC"/>
    <w:rsid w:val="005F4E29"/>
    <w:rsid w:val="005F510E"/>
    <w:rsid w:val="005F5FA6"/>
    <w:rsid w:val="005F6A13"/>
    <w:rsid w:val="005F6A34"/>
    <w:rsid w:val="005F79F9"/>
    <w:rsid w:val="00600856"/>
    <w:rsid w:val="006008CC"/>
    <w:rsid w:val="00600C25"/>
    <w:rsid w:val="0060106B"/>
    <w:rsid w:val="0060119A"/>
    <w:rsid w:val="0060122B"/>
    <w:rsid w:val="0060274B"/>
    <w:rsid w:val="00603177"/>
    <w:rsid w:val="0060353B"/>
    <w:rsid w:val="00603630"/>
    <w:rsid w:val="006038B3"/>
    <w:rsid w:val="00604262"/>
    <w:rsid w:val="0060451C"/>
    <w:rsid w:val="006053ED"/>
    <w:rsid w:val="006054E4"/>
    <w:rsid w:val="006058B8"/>
    <w:rsid w:val="00605A5F"/>
    <w:rsid w:val="00606C0B"/>
    <w:rsid w:val="0060750B"/>
    <w:rsid w:val="00607A19"/>
    <w:rsid w:val="006106A5"/>
    <w:rsid w:val="00610B2E"/>
    <w:rsid w:val="00610C4F"/>
    <w:rsid w:val="00610F3F"/>
    <w:rsid w:val="006110ED"/>
    <w:rsid w:val="0061151D"/>
    <w:rsid w:val="00612DD8"/>
    <w:rsid w:val="0061327E"/>
    <w:rsid w:val="00613379"/>
    <w:rsid w:val="00613564"/>
    <w:rsid w:val="00613E63"/>
    <w:rsid w:val="00614B14"/>
    <w:rsid w:val="006151CD"/>
    <w:rsid w:val="006151FA"/>
    <w:rsid w:val="006155FA"/>
    <w:rsid w:val="006157CE"/>
    <w:rsid w:val="00615BFF"/>
    <w:rsid w:val="0061624B"/>
    <w:rsid w:val="00616928"/>
    <w:rsid w:val="00616DA4"/>
    <w:rsid w:val="00616F7D"/>
    <w:rsid w:val="00616FEA"/>
    <w:rsid w:val="0061743B"/>
    <w:rsid w:val="00617E6C"/>
    <w:rsid w:val="006202B7"/>
    <w:rsid w:val="0062061D"/>
    <w:rsid w:val="0062074D"/>
    <w:rsid w:val="0062195A"/>
    <w:rsid w:val="00621FEA"/>
    <w:rsid w:val="0062240B"/>
    <w:rsid w:val="00622D6A"/>
    <w:rsid w:val="00623F64"/>
    <w:rsid w:val="006240E0"/>
    <w:rsid w:val="006246A6"/>
    <w:rsid w:val="00624A95"/>
    <w:rsid w:val="00624E7B"/>
    <w:rsid w:val="00625193"/>
    <w:rsid w:val="00625580"/>
    <w:rsid w:val="00626B4F"/>
    <w:rsid w:val="00626E10"/>
    <w:rsid w:val="00626ED7"/>
    <w:rsid w:val="00626F9A"/>
    <w:rsid w:val="00626FE6"/>
    <w:rsid w:val="00627826"/>
    <w:rsid w:val="00627A71"/>
    <w:rsid w:val="00627D6E"/>
    <w:rsid w:val="0063059D"/>
    <w:rsid w:val="006306D4"/>
    <w:rsid w:val="00631383"/>
    <w:rsid w:val="00631A9F"/>
    <w:rsid w:val="00631C3E"/>
    <w:rsid w:val="006324CE"/>
    <w:rsid w:val="0063365B"/>
    <w:rsid w:val="00634F79"/>
    <w:rsid w:val="00635751"/>
    <w:rsid w:val="00635C30"/>
    <w:rsid w:val="0063693E"/>
    <w:rsid w:val="00636949"/>
    <w:rsid w:val="00636EC1"/>
    <w:rsid w:val="00637A49"/>
    <w:rsid w:val="00637CBA"/>
    <w:rsid w:val="00637E9E"/>
    <w:rsid w:val="00640210"/>
    <w:rsid w:val="00640719"/>
    <w:rsid w:val="00641394"/>
    <w:rsid w:val="00641BF9"/>
    <w:rsid w:val="00641FE9"/>
    <w:rsid w:val="006421DA"/>
    <w:rsid w:val="0064273C"/>
    <w:rsid w:val="006428CC"/>
    <w:rsid w:val="00642CAB"/>
    <w:rsid w:val="00642DFC"/>
    <w:rsid w:val="00643168"/>
    <w:rsid w:val="006437CB"/>
    <w:rsid w:val="00643DDB"/>
    <w:rsid w:val="0064405E"/>
    <w:rsid w:val="00644140"/>
    <w:rsid w:val="0064435B"/>
    <w:rsid w:val="006450D6"/>
    <w:rsid w:val="0064551E"/>
    <w:rsid w:val="006458A5"/>
    <w:rsid w:val="00645972"/>
    <w:rsid w:val="00645DD3"/>
    <w:rsid w:val="00646490"/>
    <w:rsid w:val="00646E09"/>
    <w:rsid w:val="00646EA5"/>
    <w:rsid w:val="006478DE"/>
    <w:rsid w:val="006479F4"/>
    <w:rsid w:val="00650577"/>
    <w:rsid w:val="006505F0"/>
    <w:rsid w:val="00650A97"/>
    <w:rsid w:val="006515F2"/>
    <w:rsid w:val="00651A47"/>
    <w:rsid w:val="00651F3E"/>
    <w:rsid w:val="00652524"/>
    <w:rsid w:val="00653021"/>
    <w:rsid w:val="00653779"/>
    <w:rsid w:val="00654281"/>
    <w:rsid w:val="0065429B"/>
    <w:rsid w:val="006546BC"/>
    <w:rsid w:val="00654CA9"/>
    <w:rsid w:val="006554AB"/>
    <w:rsid w:val="006556D2"/>
    <w:rsid w:val="00655B13"/>
    <w:rsid w:val="00655C1E"/>
    <w:rsid w:val="00655DAB"/>
    <w:rsid w:val="0065616F"/>
    <w:rsid w:val="006561BC"/>
    <w:rsid w:val="0065623D"/>
    <w:rsid w:val="006565EE"/>
    <w:rsid w:val="00656999"/>
    <w:rsid w:val="00656C3A"/>
    <w:rsid w:val="0065718B"/>
    <w:rsid w:val="00657C64"/>
    <w:rsid w:val="00657D14"/>
    <w:rsid w:val="0066182A"/>
    <w:rsid w:val="00661D76"/>
    <w:rsid w:val="0066212E"/>
    <w:rsid w:val="00662DBF"/>
    <w:rsid w:val="00662F19"/>
    <w:rsid w:val="00662FE1"/>
    <w:rsid w:val="00663336"/>
    <w:rsid w:val="00664728"/>
    <w:rsid w:val="006647C2"/>
    <w:rsid w:val="00664ADB"/>
    <w:rsid w:val="00664BC3"/>
    <w:rsid w:val="006654E4"/>
    <w:rsid w:val="00665A9F"/>
    <w:rsid w:val="0066638E"/>
    <w:rsid w:val="006665DA"/>
    <w:rsid w:val="00666AB9"/>
    <w:rsid w:val="00666F09"/>
    <w:rsid w:val="00666F89"/>
    <w:rsid w:val="00667A1C"/>
    <w:rsid w:val="00667AA3"/>
    <w:rsid w:val="00667B7A"/>
    <w:rsid w:val="00670854"/>
    <w:rsid w:val="00670E46"/>
    <w:rsid w:val="00671788"/>
    <w:rsid w:val="0067201F"/>
    <w:rsid w:val="0067217C"/>
    <w:rsid w:val="00672238"/>
    <w:rsid w:val="00672574"/>
    <w:rsid w:val="00672649"/>
    <w:rsid w:val="006727EA"/>
    <w:rsid w:val="00673626"/>
    <w:rsid w:val="006742CA"/>
    <w:rsid w:val="00674B35"/>
    <w:rsid w:val="00674CFF"/>
    <w:rsid w:val="00674F11"/>
    <w:rsid w:val="00675434"/>
    <w:rsid w:val="006760E8"/>
    <w:rsid w:val="00676763"/>
    <w:rsid w:val="006768F9"/>
    <w:rsid w:val="00676B11"/>
    <w:rsid w:val="00676C15"/>
    <w:rsid w:val="00676CB4"/>
    <w:rsid w:val="00676D50"/>
    <w:rsid w:val="00676DC0"/>
    <w:rsid w:val="00677090"/>
    <w:rsid w:val="00677466"/>
    <w:rsid w:val="00677555"/>
    <w:rsid w:val="00677F94"/>
    <w:rsid w:val="00680758"/>
    <w:rsid w:val="00680B17"/>
    <w:rsid w:val="0068320B"/>
    <w:rsid w:val="006833EA"/>
    <w:rsid w:val="00683DFA"/>
    <w:rsid w:val="006850CC"/>
    <w:rsid w:val="00685917"/>
    <w:rsid w:val="00685E2E"/>
    <w:rsid w:val="00686185"/>
    <w:rsid w:val="006867CF"/>
    <w:rsid w:val="00686AB1"/>
    <w:rsid w:val="00686AF0"/>
    <w:rsid w:val="00686C24"/>
    <w:rsid w:val="00686C34"/>
    <w:rsid w:val="006874C1"/>
    <w:rsid w:val="0068788D"/>
    <w:rsid w:val="00687C1B"/>
    <w:rsid w:val="0069098E"/>
    <w:rsid w:val="00691899"/>
    <w:rsid w:val="00691B43"/>
    <w:rsid w:val="00691C78"/>
    <w:rsid w:val="006925C8"/>
    <w:rsid w:val="00692C55"/>
    <w:rsid w:val="00692E48"/>
    <w:rsid w:val="00692E89"/>
    <w:rsid w:val="00692F18"/>
    <w:rsid w:val="006931BC"/>
    <w:rsid w:val="006935F8"/>
    <w:rsid w:val="00693974"/>
    <w:rsid w:val="00694844"/>
    <w:rsid w:val="00694AAF"/>
    <w:rsid w:val="00694B33"/>
    <w:rsid w:val="00694B60"/>
    <w:rsid w:val="00695D42"/>
    <w:rsid w:val="006963AC"/>
    <w:rsid w:val="0069732D"/>
    <w:rsid w:val="006975EB"/>
    <w:rsid w:val="00697E70"/>
    <w:rsid w:val="00697E96"/>
    <w:rsid w:val="00697FB9"/>
    <w:rsid w:val="006A080C"/>
    <w:rsid w:val="006A09A3"/>
    <w:rsid w:val="006A0AE3"/>
    <w:rsid w:val="006A113F"/>
    <w:rsid w:val="006A1B25"/>
    <w:rsid w:val="006A2054"/>
    <w:rsid w:val="006A24D9"/>
    <w:rsid w:val="006A28C9"/>
    <w:rsid w:val="006A2C07"/>
    <w:rsid w:val="006A3890"/>
    <w:rsid w:val="006A3CA8"/>
    <w:rsid w:val="006A4280"/>
    <w:rsid w:val="006A4628"/>
    <w:rsid w:val="006A4EAA"/>
    <w:rsid w:val="006A50D7"/>
    <w:rsid w:val="006A5305"/>
    <w:rsid w:val="006A566F"/>
    <w:rsid w:val="006A6531"/>
    <w:rsid w:val="006A65DB"/>
    <w:rsid w:val="006B0274"/>
    <w:rsid w:val="006B02F9"/>
    <w:rsid w:val="006B06CA"/>
    <w:rsid w:val="006B0721"/>
    <w:rsid w:val="006B0B24"/>
    <w:rsid w:val="006B16BB"/>
    <w:rsid w:val="006B1CC6"/>
    <w:rsid w:val="006B1D53"/>
    <w:rsid w:val="006B2078"/>
    <w:rsid w:val="006B2106"/>
    <w:rsid w:val="006B29C8"/>
    <w:rsid w:val="006B2D12"/>
    <w:rsid w:val="006B2FF3"/>
    <w:rsid w:val="006B328E"/>
    <w:rsid w:val="006B37B3"/>
    <w:rsid w:val="006B3ED7"/>
    <w:rsid w:val="006B4060"/>
    <w:rsid w:val="006B40A2"/>
    <w:rsid w:val="006B4B80"/>
    <w:rsid w:val="006B5614"/>
    <w:rsid w:val="006B5B04"/>
    <w:rsid w:val="006B5F86"/>
    <w:rsid w:val="006B62FB"/>
    <w:rsid w:val="006B6BE8"/>
    <w:rsid w:val="006B6E8A"/>
    <w:rsid w:val="006B794F"/>
    <w:rsid w:val="006B7FD7"/>
    <w:rsid w:val="006C01CB"/>
    <w:rsid w:val="006C0439"/>
    <w:rsid w:val="006C07EE"/>
    <w:rsid w:val="006C0CA5"/>
    <w:rsid w:val="006C12AD"/>
    <w:rsid w:val="006C269D"/>
    <w:rsid w:val="006C2A4A"/>
    <w:rsid w:val="006C38F1"/>
    <w:rsid w:val="006C39EA"/>
    <w:rsid w:val="006C3FD6"/>
    <w:rsid w:val="006C42E8"/>
    <w:rsid w:val="006C454D"/>
    <w:rsid w:val="006C4AFB"/>
    <w:rsid w:val="006C4EAE"/>
    <w:rsid w:val="006C52B2"/>
    <w:rsid w:val="006C62D5"/>
    <w:rsid w:val="006C6509"/>
    <w:rsid w:val="006C73FE"/>
    <w:rsid w:val="006C75B6"/>
    <w:rsid w:val="006C7CB5"/>
    <w:rsid w:val="006C7FAA"/>
    <w:rsid w:val="006D0811"/>
    <w:rsid w:val="006D1A19"/>
    <w:rsid w:val="006D1F8A"/>
    <w:rsid w:val="006D21FC"/>
    <w:rsid w:val="006D302D"/>
    <w:rsid w:val="006D3570"/>
    <w:rsid w:val="006D3683"/>
    <w:rsid w:val="006D3E2E"/>
    <w:rsid w:val="006D46A7"/>
    <w:rsid w:val="006D4914"/>
    <w:rsid w:val="006D4EBD"/>
    <w:rsid w:val="006D4EF1"/>
    <w:rsid w:val="006D5234"/>
    <w:rsid w:val="006D5C52"/>
    <w:rsid w:val="006D6813"/>
    <w:rsid w:val="006D6F75"/>
    <w:rsid w:val="006D72D3"/>
    <w:rsid w:val="006D7506"/>
    <w:rsid w:val="006D7BB4"/>
    <w:rsid w:val="006D7D8A"/>
    <w:rsid w:val="006E067B"/>
    <w:rsid w:val="006E0C1E"/>
    <w:rsid w:val="006E2080"/>
    <w:rsid w:val="006E271F"/>
    <w:rsid w:val="006E2788"/>
    <w:rsid w:val="006E2B6D"/>
    <w:rsid w:val="006E2D7B"/>
    <w:rsid w:val="006E2FD0"/>
    <w:rsid w:val="006E3083"/>
    <w:rsid w:val="006E32DD"/>
    <w:rsid w:val="006E3660"/>
    <w:rsid w:val="006E3CDA"/>
    <w:rsid w:val="006E3E32"/>
    <w:rsid w:val="006E3EE4"/>
    <w:rsid w:val="006E4624"/>
    <w:rsid w:val="006E47EB"/>
    <w:rsid w:val="006E4DF5"/>
    <w:rsid w:val="006E5083"/>
    <w:rsid w:val="006E5213"/>
    <w:rsid w:val="006E584D"/>
    <w:rsid w:val="006E5891"/>
    <w:rsid w:val="006E5C20"/>
    <w:rsid w:val="006E5F33"/>
    <w:rsid w:val="006E625B"/>
    <w:rsid w:val="006E63E3"/>
    <w:rsid w:val="006E69BE"/>
    <w:rsid w:val="006E6AC6"/>
    <w:rsid w:val="006E70CB"/>
    <w:rsid w:val="006E720B"/>
    <w:rsid w:val="006E74DB"/>
    <w:rsid w:val="006E74E6"/>
    <w:rsid w:val="006E7743"/>
    <w:rsid w:val="006E787B"/>
    <w:rsid w:val="006F043A"/>
    <w:rsid w:val="006F046B"/>
    <w:rsid w:val="006F04AD"/>
    <w:rsid w:val="006F0663"/>
    <w:rsid w:val="006F0F0F"/>
    <w:rsid w:val="006F1646"/>
    <w:rsid w:val="006F17B8"/>
    <w:rsid w:val="006F1824"/>
    <w:rsid w:val="006F226E"/>
    <w:rsid w:val="006F232B"/>
    <w:rsid w:val="006F24E2"/>
    <w:rsid w:val="006F26FE"/>
    <w:rsid w:val="006F33AE"/>
    <w:rsid w:val="006F33C3"/>
    <w:rsid w:val="006F383F"/>
    <w:rsid w:val="006F39EC"/>
    <w:rsid w:val="006F3ACC"/>
    <w:rsid w:val="006F3B76"/>
    <w:rsid w:val="006F3C5D"/>
    <w:rsid w:val="006F3F6A"/>
    <w:rsid w:val="006F50EC"/>
    <w:rsid w:val="006F59D5"/>
    <w:rsid w:val="006F629F"/>
    <w:rsid w:val="006F686A"/>
    <w:rsid w:val="006F68BC"/>
    <w:rsid w:val="006F709F"/>
    <w:rsid w:val="00700392"/>
    <w:rsid w:val="007003BA"/>
    <w:rsid w:val="0070048C"/>
    <w:rsid w:val="00700D07"/>
    <w:rsid w:val="00701A5B"/>
    <w:rsid w:val="00701CCB"/>
    <w:rsid w:val="00701F5D"/>
    <w:rsid w:val="00702761"/>
    <w:rsid w:val="00702944"/>
    <w:rsid w:val="00702AF0"/>
    <w:rsid w:val="00703970"/>
    <w:rsid w:val="00703BCE"/>
    <w:rsid w:val="00703C00"/>
    <w:rsid w:val="00703D05"/>
    <w:rsid w:val="00703F7C"/>
    <w:rsid w:val="00704278"/>
    <w:rsid w:val="0070467E"/>
    <w:rsid w:val="0070495B"/>
    <w:rsid w:val="007049B9"/>
    <w:rsid w:val="00704A04"/>
    <w:rsid w:val="007050B0"/>
    <w:rsid w:val="0070511E"/>
    <w:rsid w:val="007055C3"/>
    <w:rsid w:val="007058CA"/>
    <w:rsid w:val="007058D6"/>
    <w:rsid w:val="00705BE3"/>
    <w:rsid w:val="00706149"/>
    <w:rsid w:val="00706B73"/>
    <w:rsid w:val="00706DBC"/>
    <w:rsid w:val="0070747D"/>
    <w:rsid w:val="00710320"/>
    <w:rsid w:val="0071081E"/>
    <w:rsid w:val="00710AD0"/>
    <w:rsid w:val="00710CCA"/>
    <w:rsid w:val="00710E3B"/>
    <w:rsid w:val="00710F79"/>
    <w:rsid w:val="00711812"/>
    <w:rsid w:val="0071186A"/>
    <w:rsid w:val="007119BB"/>
    <w:rsid w:val="00711F8C"/>
    <w:rsid w:val="007120E0"/>
    <w:rsid w:val="00712C0B"/>
    <w:rsid w:val="007133ED"/>
    <w:rsid w:val="0071394A"/>
    <w:rsid w:val="00713E35"/>
    <w:rsid w:val="00713EE3"/>
    <w:rsid w:val="007145CF"/>
    <w:rsid w:val="007149DC"/>
    <w:rsid w:val="0071519F"/>
    <w:rsid w:val="0071537E"/>
    <w:rsid w:val="00716166"/>
    <w:rsid w:val="00716370"/>
    <w:rsid w:val="00716C87"/>
    <w:rsid w:val="00720396"/>
    <w:rsid w:val="00720A0A"/>
    <w:rsid w:val="00720A3B"/>
    <w:rsid w:val="00720A9D"/>
    <w:rsid w:val="00720FA5"/>
    <w:rsid w:val="007214BA"/>
    <w:rsid w:val="00721B1F"/>
    <w:rsid w:val="00722F06"/>
    <w:rsid w:val="007232DE"/>
    <w:rsid w:val="00723A18"/>
    <w:rsid w:val="00723C95"/>
    <w:rsid w:val="00723D53"/>
    <w:rsid w:val="007246AF"/>
    <w:rsid w:val="0072480F"/>
    <w:rsid w:val="00724C25"/>
    <w:rsid w:val="00724C67"/>
    <w:rsid w:val="00725693"/>
    <w:rsid w:val="00726F90"/>
    <w:rsid w:val="0072708F"/>
    <w:rsid w:val="0072709C"/>
    <w:rsid w:val="007277EA"/>
    <w:rsid w:val="00730ABB"/>
    <w:rsid w:val="0073102B"/>
    <w:rsid w:val="00731FFA"/>
    <w:rsid w:val="00732402"/>
    <w:rsid w:val="0073284F"/>
    <w:rsid w:val="007328AB"/>
    <w:rsid w:val="00732BBE"/>
    <w:rsid w:val="00733138"/>
    <w:rsid w:val="0073321C"/>
    <w:rsid w:val="00733705"/>
    <w:rsid w:val="00733D2E"/>
    <w:rsid w:val="00733D5C"/>
    <w:rsid w:val="0073430B"/>
    <w:rsid w:val="00734A03"/>
    <w:rsid w:val="00734B1D"/>
    <w:rsid w:val="007354B3"/>
    <w:rsid w:val="00735C44"/>
    <w:rsid w:val="007366DB"/>
    <w:rsid w:val="00736DD6"/>
    <w:rsid w:val="00740332"/>
    <w:rsid w:val="00740DBB"/>
    <w:rsid w:val="007419AB"/>
    <w:rsid w:val="00741A68"/>
    <w:rsid w:val="00741DB9"/>
    <w:rsid w:val="007420E4"/>
    <w:rsid w:val="007426A9"/>
    <w:rsid w:val="00743D77"/>
    <w:rsid w:val="00744AA6"/>
    <w:rsid w:val="00744BFC"/>
    <w:rsid w:val="00744F54"/>
    <w:rsid w:val="007467E7"/>
    <w:rsid w:val="0074685F"/>
    <w:rsid w:val="00746C30"/>
    <w:rsid w:val="007472D6"/>
    <w:rsid w:val="00747672"/>
    <w:rsid w:val="00747D39"/>
    <w:rsid w:val="00750196"/>
    <w:rsid w:val="007505B4"/>
    <w:rsid w:val="00750B4A"/>
    <w:rsid w:val="00750B5E"/>
    <w:rsid w:val="0075160E"/>
    <w:rsid w:val="00751D5A"/>
    <w:rsid w:val="0075216A"/>
    <w:rsid w:val="0075259A"/>
    <w:rsid w:val="0075277D"/>
    <w:rsid w:val="00752871"/>
    <w:rsid w:val="00752A32"/>
    <w:rsid w:val="00752D45"/>
    <w:rsid w:val="00752DD3"/>
    <w:rsid w:val="00753E40"/>
    <w:rsid w:val="00754116"/>
    <w:rsid w:val="007542F7"/>
    <w:rsid w:val="007548DB"/>
    <w:rsid w:val="00754D74"/>
    <w:rsid w:val="00754DC9"/>
    <w:rsid w:val="007552DC"/>
    <w:rsid w:val="007560FB"/>
    <w:rsid w:val="0075686F"/>
    <w:rsid w:val="0075691E"/>
    <w:rsid w:val="00756EE9"/>
    <w:rsid w:val="007570BE"/>
    <w:rsid w:val="0075788F"/>
    <w:rsid w:val="00757B91"/>
    <w:rsid w:val="00757FD2"/>
    <w:rsid w:val="007600EE"/>
    <w:rsid w:val="007614F6"/>
    <w:rsid w:val="007618A1"/>
    <w:rsid w:val="00761C5F"/>
    <w:rsid w:val="0076300F"/>
    <w:rsid w:val="00763330"/>
    <w:rsid w:val="00763421"/>
    <w:rsid w:val="007638B7"/>
    <w:rsid w:val="00763F45"/>
    <w:rsid w:val="00763F58"/>
    <w:rsid w:val="00764536"/>
    <w:rsid w:val="0076493C"/>
    <w:rsid w:val="00764A38"/>
    <w:rsid w:val="00764BEC"/>
    <w:rsid w:val="00764E9A"/>
    <w:rsid w:val="00765280"/>
    <w:rsid w:val="00765571"/>
    <w:rsid w:val="007656ED"/>
    <w:rsid w:val="00765ED7"/>
    <w:rsid w:val="00766062"/>
    <w:rsid w:val="007663F1"/>
    <w:rsid w:val="00766A68"/>
    <w:rsid w:val="00766CAA"/>
    <w:rsid w:val="0076706C"/>
    <w:rsid w:val="007676E5"/>
    <w:rsid w:val="00767A34"/>
    <w:rsid w:val="00767B76"/>
    <w:rsid w:val="0077016C"/>
    <w:rsid w:val="007701D7"/>
    <w:rsid w:val="00770273"/>
    <w:rsid w:val="007702CC"/>
    <w:rsid w:val="0077041E"/>
    <w:rsid w:val="00770595"/>
    <w:rsid w:val="00770EA6"/>
    <w:rsid w:val="007712BE"/>
    <w:rsid w:val="00771798"/>
    <w:rsid w:val="007721F4"/>
    <w:rsid w:val="0077231B"/>
    <w:rsid w:val="00772B16"/>
    <w:rsid w:val="00772B78"/>
    <w:rsid w:val="00773124"/>
    <w:rsid w:val="00773AE5"/>
    <w:rsid w:val="00774400"/>
    <w:rsid w:val="00774723"/>
    <w:rsid w:val="00774C15"/>
    <w:rsid w:val="00774CE7"/>
    <w:rsid w:val="00774E5D"/>
    <w:rsid w:val="00775428"/>
    <w:rsid w:val="00775AF1"/>
    <w:rsid w:val="00775F9E"/>
    <w:rsid w:val="0077658D"/>
    <w:rsid w:val="00776AEA"/>
    <w:rsid w:val="00776DDF"/>
    <w:rsid w:val="00777115"/>
    <w:rsid w:val="007775F8"/>
    <w:rsid w:val="00777878"/>
    <w:rsid w:val="0077798D"/>
    <w:rsid w:val="007779FF"/>
    <w:rsid w:val="00777E44"/>
    <w:rsid w:val="0078030D"/>
    <w:rsid w:val="007805BC"/>
    <w:rsid w:val="00780B80"/>
    <w:rsid w:val="00781347"/>
    <w:rsid w:val="007814D9"/>
    <w:rsid w:val="0078177D"/>
    <w:rsid w:val="007818EB"/>
    <w:rsid w:val="00781B55"/>
    <w:rsid w:val="00782034"/>
    <w:rsid w:val="007821BD"/>
    <w:rsid w:val="00782368"/>
    <w:rsid w:val="0078304F"/>
    <w:rsid w:val="00783981"/>
    <w:rsid w:val="00783D77"/>
    <w:rsid w:val="00784608"/>
    <w:rsid w:val="00784850"/>
    <w:rsid w:val="0078576E"/>
    <w:rsid w:val="00786243"/>
    <w:rsid w:val="00787030"/>
    <w:rsid w:val="0078703C"/>
    <w:rsid w:val="00787685"/>
    <w:rsid w:val="00787F76"/>
    <w:rsid w:val="0079209C"/>
    <w:rsid w:val="007923B5"/>
    <w:rsid w:val="00792BAF"/>
    <w:rsid w:val="007932DA"/>
    <w:rsid w:val="0079369D"/>
    <w:rsid w:val="007946F5"/>
    <w:rsid w:val="00794864"/>
    <w:rsid w:val="00794FE2"/>
    <w:rsid w:val="007952BA"/>
    <w:rsid w:val="007954C7"/>
    <w:rsid w:val="007959FF"/>
    <w:rsid w:val="00795DD5"/>
    <w:rsid w:val="0079675A"/>
    <w:rsid w:val="007967B2"/>
    <w:rsid w:val="00797A9D"/>
    <w:rsid w:val="00797CB7"/>
    <w:rsid w:val="00797D01"/>
    <w:rsid w:val="007A1548"/>
    <w:rsid w:val="007A1B19"/>
    <w:rsid w:val="007A2D57"/>
    <w:rsid w:val="007A375C"/>
    <w:rsid w:val="007A4655"/>
    <w:rsid w:val="007A50E2"/>
    <w:rsid w:val="007A5EC9"/>
    <w:rsid w:val="007A61A6"/>
    <w:rsid w:val="007A6601"/>
    <w:rsid w:val="007A6616"/>
    <w:rsid w:val="007A6ACF"/>
    <w:rsid w:val="007A71F8"/>
    <w:rsid w:val="007A7C36"/>
    <w:rsid w:val="007A7CF9"/>
    <w:rsid w:val="007B0110"/>
    <w:rsid w:val="007B0149"/>
    <w:rsid w:val="007B07DF"/>
    <w:rsid w:val="007B0BB4"/>
    <w:rsid w:val="007B10A0"/>
    <w:rsid w:val="007B10B3"/>
    <w:rsid w:val="007B10F9"/>
    <w:rsid w:val="007B1331"/>
    <w:rsid w:val="007B1471"/>
    <w:rsid w:val="007B15D9"/>
    <w:rsid w:val="007B1DD2"/>
    <w:rsid w:val="007B1DE1"/>
    <w:rsid w:val="007B1F21"/>
    <w:rsid w:val="007B21CA"/>
    <w:rsid w:val="007B22CE"/>
    <w:rsid w:val="007B25DC"/>
    <w:rsid w:val="007B3461"/>
    <w:rsid w:val="007B4E0D"/>
    <w:rsid w:val="007B4FCF"/>
    <w:rsid w:val="007B58C3"/>
    <w:rsid w:val="007B594B"/>
    <w:rsid w:val="007B59E6"/>
    <w:rsid w:val="007B5FD8"/>
    <w:rsid w:val="007B651A"/>
    <w:rsid w:val="007B6B04"/>
    <w:rsid w:val="007B6F54"/>
    <w:rsid w:val="007B6FE4"/>
    <w:rsid w:val="007B7112"/>
    <w:rsid w:val="007B7309"/>
    <w:rsid w:val="007B771D"/>
    <w:rsid w:val="007B7DE9"/>
    <w:rsid w:val="007C0A61"/>
    <w:rsid w:val="007C107C"/>
    <w:rsid w:val="007C11D7"/>
    <w:rsid w:val="007C1529"/>
    <w:rsid w:val="007C1659"/>
    <w:rsid w:val="007C1671"/>
    <w:rsid w:val="007C2C54"/>
    <w:rsid w:val="007C2F87"/>
    <w:rsid w:val="007C31E0"/>
    <w:rsid w:val="007C40E7"/>
    <w:rsid w:val="007C4DFA"/>
    <w:rsid w:val="007C50C7"/>
    <w:rsid w:val="007C59CE"/>
    <w:rsid w:val="007C5A7A"/>
    <w:rsid w:val="007C5F35"/>
    <w:rsid w:val="007C5F9D"/>
    <w:rsid w:val="007C693A"/>
    <w:rsid w:val="007C6C44"/>
    <w:rsid w:val="007C6C91"/>
    <w:rsid w:val="007C7E26"/>
    <w:rsid w:val="007C7EBC"/>
    <w:rsid w:val="007D0952"/>
    <w:rsid w:val="007D09FB"/>
    <w:rsid w:val="007D10F4"/>
    <w:rsid w:val="007D1103"/>
    <w:rsid w:val="007D114F"/>
    <w:rsid w:val="007D1220"/>
    <w:rsid w:val="007D2136"/>
    <w:rsid w:val="007D232A"/>
    <w:rsid w:val="007D2E5A"/>
    <w:rsid w:val="007D3B48"/>
    <w:rsid w:val="007D3F45"/>
    <w:rsid w:val="007D4386"/>
    <w:rsid w:val="007D4863"/>
    <w:rsid w:val="007D4A8C"/>
    <w:rsid w:val="007D4F62"/>
    <w:rsid w:val="007D5232"/>
    <w:rsid w:val="007D572C"/>
    <w:rsid w:val="007D6172"/>
    <w:rsid w:val="007D6232"/>
    <w:rsid w:val="007D63D2"/>
    <w:rsid w:val="007D6829"/>
    <w:rsid w:val="007D71D3"/>
    <w:rsid w:val="007D739C"/>
    <w:rsid w:val="007E0030"/>
    <w:rsid w:val="007E139B"/>
    <w:rsid w:val="007E1480"/>
    <w:rsid w:val="007E1859"/>
    <w:rsid w:val="007E19BE"/>
    <w:rsid w:val="007E19C9"/>
    <w:rsid w:val="007E287A"/>
    <w:rsid w:val="007E2DC2"/>
    <w:rsid w:val="007E3B36"/>
    <w:rsid w:val="007E46B9"/>
    <w:rsid w:val="007E4D67"/>
    <w:rsid w:val="007E4E3C"/>
    <w:rsid w:val="007E5603"/>
    <w:rsid w:val="007E5728"/>
    <w:rsid w:val="007E5C2D"/>
    <w:rsid w:val="007E69D2"/>
    <w:rsid w:val="007E6E68"/>
    <w:rsid w:val="007E7574"/>
    <w:rsid w:val="007E7C7E"/>
    <w:rsid w:val="007F0BE7"/>
    <w:rsid w:val="007F0EFA"/>
    <w:rsid w:val="007F1483"/>
    <w:rsid w:val="007F1954"/>
    <w:rsid w:val="007F1C97"/>
    <w:rsid w:val="007F1F39"/>
    <w:rsid w:val="007F22E9"/>
    <w:rsid w:val="007F2351"/>
    <w:rsid w:val="007F2B87"/>
    <w:rsid w:val="007F2CF6"/>
    <w:rsid w:val="007F31A7"/>
    <w:rsid w:val="007F3279"/>
    <w:rsid w:val="007F3810"/>
    <w:rsid w:val="007F395F"/>
    <w:rsid w:val="007F461E"/>
    <w:rsid w:val="007F47B9"/>
    <w:rsid w:val="007F4F00"/>
    <w:rsid w:val="007F5510"/>
    <w:rsid w:val="007F60E4"/>
    <w:rsid w:val="007F6371"/>
    <w:rsid w:val="007F718A"/>
    <w:rsid w:val="007F7A4D"/>
    <w:rsid w:val="007F7BEE"/>
    <w:rsid w:val="007F7C90"/>
    <w:rsid w:val="007F7D4D"/>
    <w:rsid w:val="00801D71"/>
    <w:rsid w:val="00802029"/>
    <w:rsid w:val="00803395"/>
    <w:rsid w:val="008033E0"/>
    <w:rsid w:val="00803B3B"/>
    <w:rsid w:val="008040CC"/>
    <w:rsid w:val="0080438D"/>
    <w:rsid w:val="00804586"/>
    <w:rsid w:val="008046D4"/>
    <w:rsid w:val="008049D6"/>
    <w:rsid w:val="00805A4A"/>
    <w:rsid w:val="008063D8"/>
    <w:rsid w:val="0080682C"/>
    <w:rsid w:val="008100B0"/>
    <w:rsid w:val="00810398"/>
    <w:rsid w:val="008103E0"/>
    <w:rsid w:val="0081083E"/>
    <w:rsid w:val="00810FCB"/>
    <w:rsid w:val="008122C4"/>
    <w:rsid w:val="00812A94"/>
    <w:rsid w:val="008135C2"/>
    <w:rsid w:val="008138AE"/>
    <w:rsid w:val="008147F1"/>
    <w:rsid w:val="00814E9D"/>
    <w:rsid w:val="0081600F"/>
    <w:rsid w:val="008161B7"/>
    <w:rsid w:val="00816388"/>
    <w:rsid w:val="00816538"/>
    <w:rsid w:val="00816674"/>
    <w:rsid w:val="00816782"/>
    <w:rsid w:val="00816AA2"/>
    <w:rsid w:val="00817945"/>
    <w:rsid w:val="00817D68"/>
    <w:rsid w:val="00817E95"/>
    <w:rsid w:val="00817F63"/>
    <w:rsid w:val="008205CA"/>
    <w:rsid w:val="00821330"/>
    <w:rsid w:val="008213EC"/>
    <w:rsid w:val="00821614"/>
    <w:rsid w:val="008216D0"/>
    <w:rsid w:val="0082246C"/>
    <w:rsid w:val="00822797"/>
    <w:rsid w:val="00822C88"/>
    <w:rsid w:val="00822CD2"/>
    <w:rsid w:val="00822DA8"/>
    <w:rsid w:val="00823055"/>
    <w:rsid w:val="00823121"/>
    <w:rsid w:val="00823195"/>
    <w:rsid w:val="008234D1"/>
    <w:rsid w:val="00823523"/>
    <w:rsid w:val="00823D6B"/>
    <w:rsid w:val="00823FE1"/>
    <w:rsid w:val="00824319"/>
    <w:rsid w:val="0082444D"/>
    <w:rsid w:val="00824581"/>
    <w:rsid w:val="0082486E"/>
    <w:rsid w:val="008249FD"/>
    <w:rsid w:val="00825725"/>
    <w:rsid w:val="00825B27"/>
    <w:rsid w:val="00825C08"/>
    <w:rsid w:val="00825FC9"/>
    <w:rsid w:val="008265B6"/>
    <w:rsid w:val="00826783"/>
    <w:rsid w:val="0082741C"/>
    <w:rsid w:val="00827495"/>
    <w:rsid w:val="00827B45"/>
    <w:rsid w:val="0083041A"/>
    <w:rsid w:val="008304AF"/>
    <w:rsid w:val="00830937"/>
    <w:rsid w:val="00830E1C"/>
    <w:rsid w:val="0083104D"/>
    <w:rsid w:val="008318BC"/>
    <w:rsid w:val="0083227E"/>
    <w:rsid w:val="008325F1"/>
    <w:rsid w:val="008326A7"/>
    <w:rsid w:val="008329F1"/>
    <w:rsid w:val="008333FD"/>
    <w:rsid w:val="00833536"/>
    <w:rsid w:val="00833600"/>
    <w:rsid w:val="0083440B"/>
    <w:rsid w:val="008344AC"/>
    <w:rsid w:val="00835260"/>
    <w:rsid w:val="0083530A"/>
    <w:rsid w:val="008361CA"/>
    <w:rsid w:val="008362AD"/>
    <w:rsid w:val="008365BF"/>
    <w:rsid w:val="00836768"/>
    <w:rsid w:val="0083678D"/>
    <w:rsid w:val="008369E8"/>
    <w:rsid w:val="0083717E"/>
    <w:rsid w:val="008371B9"/>
    <w:rsid w:val="008377EB"/>
    <w:rsid w:val="00842282"/>
    <w:rsid w:val="00842970"/>
    <w:rsid w:val="00843B2A"/>
    <w:rsid w:val="008440EF"/>
    <w:rsid w:val="00844363"/>
    <w:rsid w:val="008443A3"/>
    <w:rsid w:val="0084453B"/>
    <w:rsid w:val="00844914"/>
    <w:rsid w:val="008449BC"/>
    <w:rsid w:val="00844BCC"/>
    <w:rsid w:val="00845963"/>
    <w:rsid w:val="00845BE8"/>
    <w:rsid w:val="008464EA"/>
    <w:rsid w:val="008465FA"/>
    <w:rsid w:val="00846D53"/>
    <w:rsid w:val="00847087"/>
    <w:rsid w:val="008473EA"/>
    <w:rsid w:val="00847642"/>
    <w:rsid w:val="00847965"/>
    <w:rsid w:val="00847B30"/>
    <w:rsid w:val="00847C41"/>
    <w:rsid w:val="00847D02"/>
    <w:rsid w:val="008501B8"/>
    <w:rsid w:val="008504DC"/>
    <w:rsid w:val="00850714"/>
    <w:rsid w:val="00850E24"/>
    <w:rsid w:val="0085108B"/>
    <w:rsid w:val="008519ED"/>
    <w:rsid w:val="00852613"/>
    <w:rsid w:val="008529A7"/>
    <w:rsid w:val="008534AB"/>
    <w:rsid w:val="008534D2"/>
    <w:rsid w:val="008536AF"/>
    <w:rsid w:val="00853887"/>
    <w:rsid w:val="0085395F"/>
    <w:rsid w:val="00853C03"/>
    <w:rsid w:val="0085409F"/>
    <w:rsid w:val="00854564"/>
    <w:rsid w:val="0085557F"/>
    <w:rsid w:val="00855E6C"/>
    <w:rsid w:val="00856768"/>
    <w:rsid w:val="00857354"/>
    <w:rsid w:val="0085757C"/>
    <w:rsid w:val="00857638"/>
    <w:rsid w:val="00857FEA"/>
    <w:rsid w:val="008602E7"/>
    <w:rsid w:val="008602EB"/>
    <w:rsid w:val="0086042D"/>
    <w:rsid w:val="008609AE"/>
    <w:rsid w:val="00860A5D"/>
    <w:rsid w:val="00860CDE"/>
    <w:rsid w:val="008610AC"/>
    <w:rsid w:val="008615BD"/>
    <w:rsid w:val="008615EE"/>
    <w:rsid w:val="0086197B"/>
    <w:rsid w:val="00861C43"/>
    <w:rsid w:val="008626C8"/>
    <w:rsid w:val="008626F8"/>
    <w:rsid w:val="008627F3"/>
    <w:rsid w:val="00862B66"/>
    <w:rsid w:val="00862BAA"/>
    <w:rsid w:val="00862C99"/>
    <w:rsid w:val="00862CB8"/>
    <w:rsid w:val="00862DFC"/>
    <w:rsid w:val="0086320E"/>
    <w:rsid w:val="008638E7"/>
    <w:rsid w:val="008639F7"/>
    <w:rsid w:val="00863E5D"/>
    <w:rsid w:val="00864E34"/>
    <w:rsid w:val="00865345"/>
    <w:rsid w:val="00865916"/>
    <w:rsid w:val="008663C6"/>
    <w:rsid w:val="008667D4"/>
    <w:rsid w:val="00866D3A"/>
    <w:rsid w:val="008670AD"/>
    <w:rsid w:val="0086721C"/>
    <w:rsid w:val="0087076F"/>
    <w:rsid w:val="00871125"/>
    <w:rsid w:val="00871656"/>
    <w:rsid w:val="00871EA6"/>
    <w:rsid w:val="00872404"/>
    <w:rsid w:val="0087281C"/>
    <w:rsid w:val="00872899"/>
    <w:rsid w:val="008728A8"/>
    <w:rsid w:val="008728C3"/>
    <w:rsid w:val="00872922"/>
    <w:rsid w:val="00872962"/>
    <w:rsid w:val="00873763"/>
    <w:rsid w:val="00873880"/>
    <w:rsid w:val="0087427D"/>
    <w:rsid w:val="0087448A"/>
    <w:rsid w:val="00875512"/>
    <w:rsid w:val="008764D4"/>
    <w:rsid w:val="0087674C"/>
    <w:rsid w:val="00876756"/>
    <w:rsid w:val="00876902"/>
    <w:rsid w:val="00876B69"/>
    <w:rsid w:val="0087707E"/>
    <w:rsid w:val="0087722B"/>
    <w:rsid w:val="00877939"/>
    <w:rsid w:val="00877F74"/>
    <w:rsid w:val="008803A4"/>
    <w:rsid w:val="008803CE"/>
    <w:rsid w:val="00880449"/>
    <w:rsid w:val="00880540"/>
    <w:rsid w:val="00880BFF"/>
    <w:rsid w:val="00880C2E"/>
    <w:rsid w:val="008811AC"/>
    <w:rsid w:val="008812B4"/>
    <w:rsid w:val="00881E52"/>
    <w:rsid w:val="00882669"/>
    <w:rsid w:val="00882671"/>
    <w:rsid w:val="008856C5"/>
    <w:rsid w:val="00885F69"/>
    <w:rsid w:val="0088669E"/>
    <w:rsid w:val="0088677F"/>
    <w:rsid w:val="00886800"/>
    <w:rsid w:val="00886E17"/>
    <w:rsid w:val="00886F95"/>
    <w:rsid w:val="00887543"/>
    <w:rsid w:val="008879C7"/>
    <w:rsid w:val="00887EE4"/>
    <w:rsid w:val="00890578"/>
    <w:rsid w:val="0089081F"/>
    <w:rsid w:val="008908BD"/>
    <w:rsid w:val="008908FA"/>
    <w:rsid w:val="00890EB7"/>
    <w:rsid w:val="00890F7A"/>
    <w:rsid w:val="008918D2"/>
    <w:rsid w:val="00891BFE"/>
    <w:rsid w:val="0089227E"/>
    <w:rsid w:val="008925A9"/>
    <w:rsid w:val="008925E3"/>
    <w:rsid w:val="00892B4B"/>
    <w:rsid w:val="00893295"/>
    <w:rsid w:val="00893A10"/>
    <w:rsid w:val="008940D2"/>
    <w:rsid w:val="008940FF"/>
    <w:rsid w:val="0089410E"/>
    <w:rsid w:val="00894432"/>
    <w:rsid w:val="00894433"/>
    <w:rsid w:val="00894865"/>
    <w:rsid w:val="00894C7D"/>
    <w:rsid w:val="00894D37"/>
    <w:rsid w:val="00895214"/>
    <w:rsid w:val="008952D4"/>
    <w:rsid w:val="00896619"/>
    <w:rsid w:val="00896A4E"/>
    <w:rsid w:val="00896B9E"/>
    <w:rsid w:val="008A0348"/>
    <w:rsid w:val="008A1776"/>
    <w:rsid w:val="008A17B0"/>
    <w:rsid w:val="008A1802"/>
    <w:rsid w:val="008A19CE"/>
    <w:rsid w:val="008A1AAB"/>
    <w:rsid w:val="008A1ADD"/>
    <w:rsid w:val="008A1B6A"/>
    <w:rsid w:val="008A1D31"/>
    <w:rsid w:val="008A23BD"/>
    <w:rsid w:val="008A2652"/>
    <w:rsid w:val="008A2BFF"/>
    <w:rsid w:val="008A2C5F"/>
    <w:rsid w:val="008A3137"/>
    <w:rsid w:val="008A3214"/>
    <w:rsid w:val="008A368C"/>
    <w:rsid w:val="008A3880"/>
    <w:rsid w:val="008A3969"/>
    <w:rsid w:val="008A3CBF"/>
    <w:rsid w:val="008A3D23"/>
    <w:rsid w:val="008A3F2F"/>
    <w:rsid w:val="008A488D"/>
    <w:rsid w:val="008A5321"/>
    <w:rsid w:val="008A5EC5"/>
    <w:rsid w:val="008A6546"/>
    <w:rsid w:val="008A69B9"/>
    <w:rsid w:val="008A706F"/>
    <w:rsid w:val="008A7B70"/>
    <w:rsid w:val="008B004C"/>
    <w:rsid w:val="008B027E"/>
    <w:rsid w:val="008B0EF5"/>
    <w:rsid w:val="008B0F43"/>
    <w:rsid w:val="008B140B"/>
    <w:rsid w:val="008B230C"/>
    <w:rsid w:val="008B3093"/>
    <w:rsid w:val="008B3785"/>
    <w:rsid w:val="008B3977"/>
    <w:rsid w:val="008B42FA"/>
    <w:rsid w:val="008B4A5E"/>
    <w:rsid w:val="008B4E17"/>
    <w:rsid w:val="008B5B93"/>
    <w:rsid w:val="008B5D15"/>
    <w:rsid w:val="008B6395"/>
    <w:rsid w:val="008B66D2"/>
    <w:rsid w:val="008B687A"/>
    <w:rsid w:val="008B6ADA"/>
    <w:rsid w:val="008B6C38"/>
    <w:rsid w:val="008B73FE"/>
    <w:rsid w:val="008B7C99"/>
    <w:rsid w:val="008C05BA"/>
    <w:rsid w:val="008C066F"/>
    <w:rsid w:val="008C1067"/>
    <w:rsid w:val="008C1A5A"/>
    <w:rsid w:val="008C2066"/>
    <w:rsid w:val="008C2973"/>
    <w:rsid w:val="008C2C74"/>
    <w:rsid w:val="008C2FEA"/>
    <w:rsid w:val="008C31FD"/>
    <w:rsid w:val="008C3789"/>
    <w:rsid w:val="008C3C87"/>
    <w:rsid w:val="008C3DAA"/>
    <w:rsid w:val="008C4B0C"/>
    <w:rsid w:val="008C5078"/>
    <w:rsid w:val="008C51A0"/>
    <w:rsid w:val="008C5471"/>
    <w:rsid w:val="008C5622"/>
    <w:rsid w:val="008C577F"/>
    <w:rsid w:val="008C5AC2"/>
    <w:rsid w:val="008C5AF2"/>
    <w:rsid w:val="008C619E"/>
    <w:rsid w:val="008C6436"/>
    <w:rsid w:val="008C68DB"/>
    <w:rsid w:val="008C741E"/>
    <w:rsid w:val="008C76BF"/>
    <w:rsid w:val="008C7B7D"/>
    <w:rsid w:val="008D0D8D"/>
    <w:rsid w:val="008D0DD5"/>
    <w:rsid w:val="008D1047"/>
    <w:rsid w:val="008D1382"/>
    <w:rsid w:val="008D13AC"/>
    <w:rsid w:val="008D1489"/>
    <w:rsid w:val="008D1B3A"/>
    <w:rsid w:val="008D2343"/>
    <w:rsid w:val="008D292B"/>
    <w:rsid w:val="008D2A29"/>
    <w:rsid w:val="008D2A48"/>
    <w:rsid w:val="008D329C"/>
    <w:rsid w:val="008D346C"/>
    <w:rsid w:val="008D3DE9"/>
    <w:rsid w:val="008D4130"/>
    <w:rsid w:val="008D413B"/>
    <w:rsid w:val="008D4192"/>
    <w:rsid w:val="008D47D2"/>
    <w:rsid w:val="008D4EFE"/>
    <w:rsid w:val="008D598A"/>
    <w:rsid w:val="008D5C9B"/>
    <w:rsid w:val="008D63D3"/>
    <w:rsid w:val="008D6413"/>
    <w:rsid w:val="008D6730"/>
    <w:rsid w:val="008D6F67"/>
    <w:rsid w:val="008D7476"/>
    <w:rsid w:val="008D793C"/>
    <w:rsid w:val="008E0449"/>
    <w:rsid w:val="008E0D46"/>
    <w:rsid w:val="008E0E3C"/>
    <w:rsid w:val="008E1BA9"/>
    <w:rsid w:val="008E27F9"/>
    <w:rsid w:val="008E2971"/>
    <w:rsid w:val="008E393A"/>
    <w:rsid w:val="008E3986"/>
    <w:rsid w:val="008E499C"/>
    <w:rsid w:val="008E5099"/>
    <w:rsid w:val="008E5272"/>
    <w:rsid w:val="008E5A21"/>
    <w:rsid w:val="008E5C6A"/>
    <w:rsid w:val="008E5F3F"/>
    <w:rsid w:val="008E6239"/>
    <w:rsid w:val="008E6945"/>
    <w:rsid w:val="008E6AFA"/>
    <w:rsid w:val="008E7344"/>
    <w:rsid w:val="008E73A4"/>
    <w:rsid w:val="008E7FBB"/>
    <w:rsid w:val="008F0000"/>
    <w:rsid w:val="008F026D"/>
    <w:rsid w:val="008F169E"/>
    <w:rsid w:val="008F1936"/>
    <w:rsid w:val="008F1AE6"/>
    <w:rsid w:val="008F262B"/>
    <w:rsid w:val="008F2B8C"/>
    <w:rsid w:val="008F2C5F"/>
    <w:rsid w:val="008F3F44"/>
    <w:rsid w:val="008F45A9"/>
    <w:rsid w:val="008F5020"/>
    <w:rsid w:val="008F549A"/>
    <w:rsid w:val="008F56BF"/>
    <w:rsid w:val="008F6070"/>
    <w:rsid w:val="008F62C2"/>
    <w:rsid w:val="008F636B"/>
    <w:rsid w:val="008F6A38"/>
    <w:rsid w:val="008F75FA"/>
    <w:rsid w:val="008F777C"/>
    <w:rsid w:val="008F7A8D"/>
    <w:rsid w:val="00900264"/>
    <w:rsid w:val="0090026E"/>
    <w:rsid w:val="00900716"/>
    <w:rsid w:val="009008AB"/>
    <w:rsid w:val="00900BD4"/>
    <w:rsid w:val="00901CFD"/>
    <w:rsid w:val="0090269B"/>
    <w:rsid w:val="009029E2"/>
    <w:rsid w:val="00902E44"/>
    <w:rsid w:val="0090323C"/>
    <w:rsid w:val="00903466"/>
    <w:rsid w:val="00903995"/>
    <w:rsid w:val="00903BD8"/>
    <w:rsid w:val="00903E41"/>
    <w:rsid w:val="009041F9"/>
    <w:rsid w:val="00904E01"/>
    <w:rsid w:val="00904EFE"/>
    <w:rsid w:val="009050B2"/>
    <w:rsid w:val="009050E9"/>
    <w:rsid w:val="0090511C"/>
    <w:rsid w:val="009055EB"/>
    <w:rsid w:val="00905941"/>
    <w:rsid w:val="00905B15"/>
    <w:rsid w:val="009061D9"/>
    <w:rsid w:val="00906883"/>
    <w:rsid w:val="00906CB3"/>
    <w:rsid w:val="00907572"/>
    <w:rsid w:val="009075C5"/>
    <w:rsid w:val="0090786D"/>
    <w:rsid w:val="00907886"/>
    <w:rsid w:val="00907A7B"/>
    <w:rsid w:val="009100A8"/>
    <w:rsid w:val="0091062E"/>
    <w:rsid w:val="00910906"/>
    <w:rsid w:val="00911284"/>
    <w:rsid w:val="0091148D"/>
    <w:rsid w:val="00911927"/>
    <w:rsid w:val="00911FA9"/>
    <w:rsid w:val="009123E5"/>
    <w:rsid w:val="009129A9"/>
    <w:rsid w:val="00912A1A"/>
    <w:rsid w:val="00912E30"/>
    <w:rsid w:val="00912F58"/>
    <w:rsid w:val="0091333F"/>
    <w:rsid w:val="00913BEA"/>
    <w:rsid w:val="00913E25"/>
    <w:rsid w:val="00914559"/>
    <w:rsid w:val="0091491B"/>
    <w:rsid w:val="00914FE8"/>
    <w:rsid w:val="009154FD"/>
    <w:rsid w:val="00915796"/>
    <w:rsid w:val="00915901"/>
    <w:rsid w:val="00915A1D"/>
    <w:rsid w:val="00915B66"/>
    <w:rsid w:val="0091606A"/>
    <w:rsid w:val="0091695D"/>
    <w:rsid w:val="00916D16"/>
    <w:rsid w:val="00916DFD"/>
    <w:rsid w:val="009171DA"/>
    <w:rsid w:val="009171F6"/>
    <w:rsid w:val="00917993"/>
    <w:rsid w:val="00917D74"/>
    <w:rsid w:val="0092097C"/>
    <w:rsid w:val="00920A00"/>
    <w:rsid w:val="00920E6B"/>
    <w:rsid w:val="00920E76"/>
    <w:rsid w:val="009219FD"/>
    <w:rsid w:val="00922359"/>
    <w:rsid w:val="00922616"/>
    <w:rsid w:val="009227F3"/>
    <w:rsid w:val="00923010"/>
    <w:rsid w:val="009241FE"/>
    <w:rsid w:val="009244EA"/>
    <w:rsid w:val="00924B84"/>
    <w:rsid w:val="00924FD7"/>
    <w:rsid w:val="009250BE"/>
    <w:rsid w:val="00925B90"/>
    <w:rsid w:val="00925DB8"/>
    <w:rsid w:val="00926003"/>
    <w:rsid w:val="009269F8"/>
    <w:rsid w:val="00926B89"/>
    <w:rsid w:val="00926F7C"/>
    <w:rsid w:val="009276A8"/>
    <w:rsid w:val="00927906"/>
    <w:rsid w:val="00931599"/>
    <w:rsid w:val="00932003"/>
    <w:rsid w:val="00932141"/>
    <w:rsid w:val="009325DF"/>
    <w:rsid w:val="00932F9D"/>
    <w:rsid w:val="0093309B"/>
    <w:rsid w:val="009334B9"/>
    <w:rsid w:val="009348DF"/>
    <w:rsid w:val="009349B6"/>
    <w:rsid w:val="00934C49"/>
    <w:rsid w:val="0093560A"/>
    <w:rsid w:val="009362E3"/>
    <w:rsid w:val="00936CD9"/>
    <w:rsid w:val="00936D7B"/>
    <w:rsid w:val="00936FF0"/>
    <w:rsid w:val="0093762B"/>
    <w:rsid w:val="00937CF0"/>
    <w:rsid w:val="009404D2"/>
    <w:rsid w:val="0094051D"/>
    <w:rsid w:val="009405E6"/>
    <w:rsid w:val="00940B57"/>
    <w:rsid w:val="0094163F"/>
    <w:rsid w:val="0094168A"/>
    <w:rsid w:val="009416DC"/>
    <w:rsid w:val="0094192F"/>
    <w:rsid w:val="00941C49"/>
    <w:rsid w:val="00941DF9"/>
    <w:rsid w:val="00941E73"/>
    <w:rsid w:val="009424DF"/>
    <w:rsid w:val="00943168"/>
    <w:rsid w:val="00943FFD"/>
    <w:rsid w:val="0094420F"/>
    <w:rsid w:val="009445F2"/>
    <w:rsid w:val="00944B86"/>
    <w:rsid w:val="00944C78"/>
    <w:rsid w:val="009456AA"/>
    <w:rsid w:val="00945AEA"/>
    <w:rsid w:val="00945C63"/>
    <w:rsid w:val="00945EBD"/>
    <w:rsid w:val="0094653A"/>
    <w:rsid w:val="00946D60"/>
    <w:rsid w:val="00946F48"/>
    <w:rsid w:val="00947009"/>
    <w:rsid w:val="00947113"/>
    <w:rsid w:val="00947189"/>
    <w:rsid w:val="00947284"/>
    <w:rsid w:val="009472E5"/>
    <w:rsid w:val="00947471"/>
    <w:rsid w:val="00947C8E"/>
    <w:rsid w:val="00947EF0"/>
    <w:rsid w:val="00950450"/>
    <w:rsid w:val="00950669"/>
    <w:rsid w:val="00950D86"/>
    <w:rsid w:val="009514A2"/>
    <w:rsid w:val="00951551"/>
    <w:rsid w:val="00951933"/>
    <w:rsid w:val="009522C4"/>
    <w:rsid w:val="00952673"/>
    <w:rsid w:val="0095285E"/>
    <w:rsid w:val="00952FA5"/>
    <w:rsid w:val="00953598"/>
    <w:rsid w:val="009537E9"/>
    <w:rsid w:val="00953A26"/>
    <w:rsid w:val="00953A34"/>
    <w:rsid w:val="00953F0B"/>
    <w:rsid w:val="00954EE0"/>
    <w:rsid w:val="0095564E"/>
    <w:rsid w:val="009559A9"/>
    <w:rsid w:val="00955BE3"/>
    <w:rsid w:val="00955CF6"/>
    <w:rsid w:val="009561AF"/>
    <w:rsid w:val="0095625C"/>
    <w:rsid w:val="009562BC"/>
    <w:rsid w:val="009562F1"/>
    <w:rsid w:val="00956605"/>
    <w:rsid w:val="00956938"/>
    <w:rsid w:val="00956B73"/>
    <w:rsid w:val="00956C04"/>
    <w:rsid w:val="009571DA"/>
    <w:rsid w:val="00957247"/>
    <w:rsid w:val="009578AA"/>
    <w:rsid w:val="00957D2E"/>
    <w:rsid w:val="00960426"/>
    <w:rsid w:val="0096042F"/>
    <w:rsid w:val="0096095F"/>
    <w:rsid w:val="00961775"/>
    <w:rsid w:val="00961E6F"/>
    <w:rsid w:val="0096271B"/>
    <w:rsid w:val="00962C8C"/>
    <w:rsid w:val="009630B5"/>
    <w:rsid w:val="00963A7F"/>
    <w:rsid w:val="00963AB1"/>
    <w:rsid w:val="00963EC8"/>
    <w:rsid w:val="009647D6"/>
    <w:rsid w:val="00964B2E"/>
    <w:rsid w:val="00965043"/>
    <w:rsid w:val="00965180"/>
    <w:rsid w:val="00966741"/>
    <w:rsid w:val="00967223"/>
    <w:rsid w:val="0096730E"/>
    <w:rsid w:val="00967539"/>
    <w:rsid w:val="00967797"/>
    <w:rsid w:val="00967C1A"/>
    <w:rsid w:val="00967FB4"/>
    <w:rsid w:val="00970319"/>
    <w:rsid w:val="0097073C"/>
    <w:rsid w:val="00970C4E"/>
    <w:rsid w:val="00970C55"/>
    <w:rsid w:val="009711E0"/>
    <w:rsid w:val="00971215"/>
    <w:rsid w:val="00971677"/>
    <w:rsid w:val="009717C4"/>
    <w:rsid w:val="00971FE9"/>
    <w:rsid w:val="0097214A"/>
    <w:rsid w:val="0097276F"/>
    <w:rsid w:val="00973BD4"/>
    <w:rsid w:val="00973E98"/>
    <w:rsid w:val="00973FC8"/>
    <w:rsid w:val="009740E0"/>
    <w:rsid w:val="00974B47"/>
    <w:rsid w:val="00974D25"/>
    <w:rsid w:val="00974F23"/>
    <w:rsid w:val="00974FEC"/>
    <w:rsid w:val="00975905"/>
    <w:rsid w:val="00976B79"/>
    <w:rsid w:val="00976BAB"/>
    <w:rsid w:val="00976CE4"/>
    <w:rsid w:val="009773C8"/>
    <w:rsid w:val="009773EF"/>
    <w:rsid w:val="00977505"/>
    <w:rsid w:val="00977952"/>
    <w:rsid w:val="00980585"/>
    <w:rsid w:val="009808CA"/>
    <w:rsid w:val="00980F1F"/>
    <w:rsid w:val="00981133"/>
    <w:rsid w:val="00981240"/>
    <w:rsid w:val="00981497"/>
    <w:rsid w:val="009814C4"/>
    <w:rsid w:val="0098174E"/>
    <w:rsid w:val="0098217E"/>
    <w:rsid w:val="00982229"/>
    <w:rsid w:val="00982514"/>
    <w:rsid w:val="009832BB"/>
    <w:rsid w:val="00983322"/>
    <w:rsid w:val="00983D6A"/>
    <w:rsid w:val="0098447E"/>
    <w:rsid w:val="00984804"/>
    <w:rsid w:val="00984B50"/>
    <w:rsid w:val="00984BE3"/>
    <w:rsid w:val="00984C34"/>
    <w:rsid w:val="0098500C"/>
    <w:rsid w:val="00985059"/>
    <w:rsid w:val="009856F9"/>
    <w:rsid w:val="00985CC1"/>
    <w:rsid w:val="00985DD0"/>
    <w:rsid w:val="00985EC6"/>
    <w:rsid w:val="009864A2"/>
    <w:rsid w:val="009865C9"/>
    <w:rsid w:val="00986BCA"/>
    <w:rsid w:val="0098747F"/>
    <w:rsid w:val="00987F10"/>
    <w:rsid w:val="00990259"/>
    <w:rsid w:val="009913A9"/>
    <w:rsid w:val="009920DD"/>
    <w:rsid w:val="00992935"/>
    <w:rsid w:val="0099343A"/>
    <w:rsid w:val="0099348C"/>
    <w:rsid w:val="00993BD7"/>
    <w:rsid w:val="0099461D"/>
    <w:rsid w:val="00994684"/>
    <w:rsid w:val="009946DB"/>
    <w:rsid w:val="009946EB"/>
    <w:rsid w:val="0099472B"/>
    <w:rsid w:val="00994987"/>
    <w:rsid w:val="00994D6E"/>
    <w:rsid w:val="00995082"/>
    <w:rsid w:val="009952BE"/>
    <w:rsid w:val="00995766"/>
    <w:rsid w:val="009964B7"/>
    <w:rsid w:val="009966D5"/>
    <w:rsid w:val="009967AA"/>
    <w:rsid w:val="00996AA5"/>
    <w:rsid w:val="00996CD7"/>
    <w:rsid w:val="00996FC4"/>
    <w:rsid w:val="009976B3"/>
    <w:rsid w:val="00997867"/>
    <w:rsid w:val="009A078F"/>
    <w:rsid w:val="009A0969"/>
    <w:rsid w:val="009A09AA"/>
    <w:rsid w:val="009A0E30"/>
    <w:rsid w:val="009A0F54"/>
    <w:rsid w:val="009A154B"/>
    <w:rsid w:val="009A17CA"/>
    <w:rsid w:val="009A1BDE"/>
    <w:rsid w:val="009A1E56"/>
    <w:rsid w:val="009A20AA"/>
    <w:rsid w:val="009A29C4"/>
    <w:rsid w:val="009A3DB4"/>
    <w:rsid w:val="009A4462"/>
    <w:rsid w:val="009A4AB7"/>
    <w:rsid w:val="009A52EB"/>
    <w:rsid w:val="009A54CD"/>
    <w:rsid w:val="009A61D8"/>
    <w:rsid w:val="009A7556"/>
    <w:rsid w:val="009A75E7"/>
    <w:rsid w:val="009A7978"/>
    <w:rsid w:val="009B048F"/>
    <w:rsid w:val="009B0795"/>
    <w:rsid w:val="009B0B37"/>
    <w:rsid w:val="009B0B63"/>
    <w:rsid w:val="009B0B9D"/>
    <w:rsid w:val="009B1AE6"/>
    <w:rsid w:val="009B1DBB"/>
    <w:rsid w:val="009B1EC6"/>
    <w:rsid w:val="009B25D3"/>
    <w:rsid w:val="009B284F"/>
    <w:rsid w:val="009B3137"/>
    <w:rsid w:val="009B488D"/>
    <w:rsid w:val="009B488E"/>
    <w:rsid w:val="009B4CEC"/>
    <w:rsid w:val="009B4D5A"/>
    <w:rsid w:val="009B53B3"/>
    <w:rsid w:val="009B5686"/>
    <w:rsid w:val="009B59BE"/>
    <w:rsid w:val="009B5D10"/>
    <w:rsid w:val="009B5F54"/>
    <w:rsid w:val="009B619B"/>
    <w:rsid w:val="009B65DA"/>
    <w:rsid w:val="009B6C49"/>
    <w:rsid w:val="009B6CC9"/>
    <w:rsid w:val="009B6CD8"/>
    <w:rsid w:val="009B6D24"/>
    <w:rsid w:val="009B6F7E"/>
    <w:rsid w:val="009B711F"/>
    <w:rsid w:val="009B75A7"/>
    <w:rsid w:val="009B7DDE"/>
    <w:rsid w:val="009B7FDB"/>
    <w:rsid w:val="009C020C"/>
    <w:rsid w:val="009C02B0"/>
    <w:rsid w:val="009C06FC"/>
    <w:rsid w:val="009C0907"/>
    <w:rsid w:val="009C0AF3"/>
    <w:rsid w:val="009C0B12"/>
    <w:rsid w:val="009C11CE"/>
    <w:rsid w:val="009C15A8"/>
    <w:rsid w:val="009C18D0"/>
    <w:rsid w:val="009C1DAB"/>
    <w:rsid w:val="009C1FF6"/>
    <w:rsid w:val="009C2800"/>
    <w:rsid w:val="009C2817"/>
    <w:rsid w:val="009C2D5C"/>
    <w:rsid w:val="009C2E93"/>
    <w:rsid w:val="009C331C"/>
    <w:rsid w:val="009C3952"/>
    <w:rsid w:val="009C3FC4"/>
    <w:rsid w:val="009C404B"/>
    <w:rsid w:val="009C46D3"/>
    <w:rsid w:val="009C4A7C"/>
    <w:rsid w:val="009C4AB0"/>
    <w:rsid w:val="009C585F"/>
    <w:rsid w:val="009C588A"/>
    <w:rsid w:val="009C5AB5"/>
    <w:rsid w:val="009C5B74"/>
    <w:rsid w:val="009C6076"/>
    <w:rsid w:val="009C68C2"/>
    <w:rsid w:val="009C6AAE"/>
    <w:rsid w:val="009C742B"/>
    <w:rsid w:val="009C74F2"/>
    <w:rsid w:val="009C753D"/>
    <w:rsid w:val="009D0CD3"/>
    <w:rsid w:val="009D0DAD"/>
    <w:rsid w:val="009D0E91"/>
    <w:rsid w:val="009D0EE9"/>
    <w:rsid w:val="009D1154"/>
    <w:rsid w:val="009D2ED0"/>
    <w:rsid w:val="009D33E9"/>
    <w:rsid w:val="009D3DCB"/>
    <w:rsid w:val="009D4133"/>
    <w:rsid w:val="009D4541"/>
    <w:rsid w:val="009D4B68"/>
    <w:rsid w:val="009D5076"/>
    <w:rsid w:val="009D5174"/>
    <w:rsid w:val="009D51D6"/>
    <w:rsid w:val="009D58DE"/>
    <w:rsid w:val="009D5ACC"/>
    <w:rsid w:val="009D63C2"/>
    <w:rsid w:val="009D66E8"/>
    <w:rsid w:val="009D679F"/>
    <w:rsid w:val="009D6A50"/>
    <w:rsid w:val="009D6F75"/>
    <w:rsid w:val="009D756F"/>
    <w:rsid w:val="009D7B7A"/>
    <w:rsid w:val="009D7D7D"/>
    <w:rsid w:val="009E01B9"/>
    <w:rsid w:val="009E1336"/>
    <w:rsid w:val="009E1A1B"/>
    <w:rsid w:val="009E213B"/>
    <w:rsid w:val="009E21A5"/>
    <w:rsid w:val="009E263C"/>
    <w:rsid w:val="009E2651"/>
    <w:rsid w:val="009E2745"/>
    <w:rsid w:val="009E2A00"/>
    <w:rsid w:val="009E34A0"/>
    <w:rsid w:val="009E3FD9"/>
    <w:rsid w:val="009E42E5"/>
    <w:rsid w:val="009E4B73"/>
    <w:rsid w:val="009E5551"/>
    <w:rsid w:val="009E5670"/>
    <w:rsid w:val="009E5970"/>
    <w:rsid w:val="009E5B6E"/>
    <w:rsid w:val="009E5BC5"/>
    <w:rsid w:val="009E5DA9"/>
    <w:rsid w:val="009E6088"/>
    <w:rsid w:val="009E615B"/>
    <w:rsid w:val="009E64AC"/>
    <w:rsid w:val="009E660C"/>
    <w:rsid w:val="009E6611"/>
    <w:rsid w:val="009E66D5"/>
    <w:rsid w:val="009E6760"/>
    <w:rsid w:val="009E6DD4"/>
    <w:rsid w:val="009E71A6"/>
    <w:rsid w:val="009E77A7"/>
    <w:rsid w:val="009E7E9B"/>
    <w:rsid w:val="009F019A"/>
    <w:rsid w:val="009F0832"/>
    <w:rsid w:val="009F0FBD"/>
    <w:rsid w:val="009F1124"/>
    <w:rsid w:val="009F1818"/>
    <w:rsid w:val="009F1B61"/>
    <w:rsid w:val="009F27F7"/>
    <w:rsid w:val="009F2D06"/>
    <w:rsid w:val="009F390D"/>
    <w:rsid w:val="009F3BA4"/>
    <w:rsid w:val="009F498E"/>
    <w:rsid w:val="009F4A2C"/>
    <w:rsid w:val="009F4E8C"/>
    <w:rsid w:val="009F5078"/>
    <w:rsid w:val="009F5551"/>
    <w:rsid w:val="009F591D"/>
    <w:rsid w:val="009F5BA0"/>
    <w:rsid w:val="009F5C64"/>
    <w:rsid w:val="009F5F08"/>
    <w:rsid w:val="009F669C"/>
    <w:rsid w:val="009F6CD9"/>
    <w:rsid w:val="009F78D8"/>
    <w:rsid w:val="009F7F05"/>
    <w:rsid w:val="00A0036E"/>
    <w:rsid w:val="00A01451"/>
    <w:rsid w:val="00A021CD"/>
    <w:rsid w:val="00A0223F"/>
    <w:rsid w:val="00A02727"/>
    <w:rsid w:val="00A0332A"/>
    <w:rsid w:val="00A03605"/>
    <w:rsid w:val="00A03E1F"/>
    <w:rsid w:val="00A04124"/>
    <w:rsid w:val="00A045F2"/>
    <w:rsid w:val="00A049FC"/>
    <w:rsid w:val="00A04EF3"/>
    <w:rsid w:val="00A0521D"/>
    <w:rsid w:val="00A05F89"/>
    <w:rsid w:val="00A060D5"/>
    <w:rsid w:val="00A0629C"/>
    <w:rsid w:val="00A0652B"/>
    <w:rsid w:val="00A065C6"/>
    <w:rsid w:val="00A0781D"/>
    <w:rsid w:val="00A07D8E"/>
    <w:rsid w:val="00A10A71"/>
    <w:rsid w:val="00A10FF2"/>
    <w:rsid w:val="00A11236"/>
    <w:rsid w:val="00A117BB"/>
    <w:rsid w:val="00A119EB"/>
    <w:rsid w:val="00A12360"/>
    <w:rsid w:val="00A123AF"/>
    <w:rsid w:val="00A12861"/>
    <w:rsid w:val="00A131C9"/>
    <w:rsid w:val="00A135A7"/>
    <w:rsid w:val="00A13636"/>
    <w:rsid w:val="00A137AF"/>
    <w:rsid w:val="00A13C1A"/>
    <w:rsid w:val="00A13C38"/>
    <w:rsid w:val="00A13F13"/>
    <w:rsid w:val="00A1495D"/>
    <w:rsid w:val="00A14B58"/>
    <w:rsid w:val="00A14CCC"/>
    <w:rsid w:val="00A14D04"/>
    <w:rsid w:val="00A14E32"/>
    <w:rsid w:val="00A159E9"/>
    <w:rsid w:val="00A160B1"/>
    <w:rsid w:val="00A1748A"/>
    <w:rsid w:val="00A20F4E"/>
    <w:rsid w:val="00A216D0"/>
    <w:rsid w:val="00A217BC"/>
    <w:rsid w:val="00A2273F"/>
    <w:rsid w:val="00A2298E"/>
    <w:rsid w:val="00A2313B"/>
    <w:rsid w:val="00A234DF"/>
    <w:rsid w:val="00A23538"/>
    <w:rsid w:val="00A23748"/>
    <w:rsid w:val="00A23990"/>
    <w:rsid w:val="00A24D0E"/>
    <w:rsid w:val="00A24D32"/>
    <w:rsid w:val="00A25013"/>
    <w:rsid w:val="00A252CD"/>
    <w:rsid w:val="00A254A4"/>
    <w:rsid w:val="00A25CC6"/>
    <w:rsid w:val="00A2619F"/>
    <w:rsid w:val="00A26E48"/>
    <w:rsid w:val="00A27159"/>
    <w:rsid w:val="00A273C6"/>
    <w:rsid w:val="00A2755F"/>
    <w:rsid w:val="00A27D22"/>
    <w:rsid w:val="00A27EC2"/>
    <w:rsid w:val="00A3009F"/>
    <w:rsid w:val="00A308ED"/>
    <w:rsid w:val="00A30AD0"/>
    <w:rsid w:val="00A31603"/>
    <w:rsid w:val="00A32178"/>
    <w:rsid w:val="00A32989"/>
    <w:rsid w:val="00A329E3"/>
    <w:rsid w:val="00A32DBE"/>
    <w:rsid w:val="00A33BB3"/>
    <w:rsid w:val="00A33DBC"/>
    <w:rsid w:val="00A3484F"/>
    <w:rsid w:val="00A349C4"/>
    <w:rsid w:val="00A3538C"/>
    <w:rsid w:val="00A35CD2"/>
    <w:rsid w:val="00A3669D"/>
    <w:rsid w:val="00A36FBA"/>
    <w:rsid w:val="00A37003"/>
    <w:rsid w:val="00A3772E"/>
    <w:rsid w:val="00A37FD7"/>
    <w:rsid w:val="00A402AA"/>
    <w:rsid w:val="00A41660"/>
    <w:rsid w:val="00A417FE"/>
    <w:rsid w:val="00A41B31"/>
    <w:rsid w:val="00A424F9"/>
    <w:rsid w:val="00A42642"/>
    <w:rsid w:val="00A43815"/>
    <w:rsid w:val="00A438A4"/>
    <w:rsid w:val="00A43D48"/>
    <w:rsid w:val="00A45AC7"/>
    <w:rsid w:val="00A460FC"/>
    <w:rsid w:val="00A46638"/>
    <w:rsid w:val="00A46777"/>
    <w:rsid w:val="00A47211"/>
    <w:rsid w:val="00A47216"/>
    <w:rsid w:val="00A47568"/>
    <w:rsid w:val="00A477B9"/>
    <w:rsid w:val="00A47C0A"/>
    <w:rsid w:val="00A5040B"/>
    <w:rsid w:val="00A5164C"/>
    <w:rsid w:val="00A517B0"/>
    <w:rsid w:val="00A51ECB"/>
    <w:rsid w:val="00A51EF8"/>
    <w:rsid w:val="00A5220D"/>
    <w:rsid w:val="00A5260D"/>
    <w:rsid w:val="00A52AB0"/>
    <w:rsid w:val="00A52E92"/>
    <w:rsid w:val="00A52FF7"/>
    <w:rsid w:val="00A53D4A"/>
    <w:rsid w:val="00A53DD7"/>
    <w:rsid w:val="00A54966"/>
    <w:rsid w:val="00A54CD4"/>
    <w:rsid w:val="00A54DD4"/>
    <w:rsid w:val="00A54DDB"/>
    <w:rsid w:val="00A55782"/>
    <w:rsid w:val="00A55802"/>
    <w:rsid w:val="00A5580C"/>
    <w:rsid w:val="00A55895"/>
    <w:rsid w:val="00A55B0B"/>
    <w:rsid w:val="00A55F1B"/>
    <w:rsid w:val="00A561C0"/>
    <w:rsid w:val="00A56667"/>
    <w:rsid w:val="00A5677C"/>
    <w:rsid w:val="00A56FE3"/>
    <w:rsid w:val="00A57627"/>
    <w:rsid w:val="00A57AA4"/>
    <w:rsid w:val="00A57B36"/>
    <w:rsid w:val="00A57C49"/>
    <w:rsid w:val="00A57E20"/>
    <w:rsid w:val="00A60A8B"/>
    <w:rsid w:val="00A60D65"/>
    <w:rsid w:val="00A60E0F"/>
    <w:rsid w:val="00A610B9"/>
    <w:rsid w:val="00A6189E"/>
    <w:rsid w:val="00A61EE8"/>
    <w:rsid w:val="00A62151"/>
    <w:rsid w:val="00A62333"/>
    <w:rsid w:val="00A62C5D"/>
    <w:rsid w:val="00A62FB9"/>
    <w:rsid w:val="00A6312F"/>
    <w:rsid w:val="00A63203"/>
    <w:rsid w:val="00A63AB7"/>
    <w:rsid w:val="00A64289"/>
    <w:rsid w:val="00A64709"/>
    <w:rsid w:val="00A64D65"/>
    <w:rsid w:val="00A65DC8"/>
    <w:rsid w:val="00A65F06"/>
    <w:rsid w:val="00A67F99"/>
    <w:rsid w:val="00A703C6"/>
    <w:rsid w:val="00A7053E"/>
    <w:rsid w:val="00A7061E"/>
    <w:rsid w:val="00A70679"/>
    <w:rsid w:val="00A70D9C"/>
    <w:rsid w:val="00A714C5"/>
    <w:rsid w:val="00A716BF"/>
    <w:rsid w:val="00A721AE"/>
    <w:rsid w:val="00A72524"/>
    <w:rsid w:val="00A7318E"/>
    <w:rsid w:val="00A73955"/>
    <w:rsid w:val="00A73984"/>
    <w:rsid w:val="00A73D05"/>
    <w:rsid w:val="00A73E30"/>
    <w:rsid w:val="00A73E47"/>
    <w:rsid w:val="00A742EE"/>
    <w:rsid w:val="00A74508"/>
    <w:rsid w:val="00A747A6"/>
    <w:rsid w:val="00A758EE"/>
    <w:rsid w:val="00A75ADB"/>
    <w:rsid w:val="00A75C7D"/>
    <w:rsid w:val="00A76935"/>
    <w:rsid w:val="00A76E4D"/>
    <w:rsid w:val="00A7748E"/>
    <w:rsid w:val="00A77714"/>
    <w:rsid w:val="00A779FA"/>
    <w:rsid w:val="00A77FBF"/>
    <w:rsid w:val="00A809CF"/>
    <w:rsid w:val="00A80AF3"/>
    <w:rsid w:val="00A80E51"/>
    <w:rsid w:val="00A80F5A"/>
    <w:rsid w:val="00A81100"/>
    <w:rsid w:val="00A81977"/>
    <w:rsid w:val="00A81C95"/>
    <w:rsid w:val="00A81D02"/>
    <w:rsid w:val="00A8223C"/>
    <w:rsid w:val="00A82D47"/>
    <w:rsid w:val="00A82D88"/>
    <w:rsid w:val="00A83556"/>
    <w:rsid w:val="00A83DDA"/>
    <w:rsid w:val="00A83E04"/>
    <w:rsid w:val="00A84257"/>
    <w:rsid w:val="00A84A06"/>
    <w:rsid w:val="00A85C3A"/>
    <w:rsid w:val="00A85D06"/>
    <w:rsid w:val="00A869C5"/>
    <w:rsid w:val="00A86E44"/>
    <w:rsid w:val="00A86F5E"/>
    <w:rsid w:val="00A8756F"/>
    <w:rsid w:val="00A87928"/>
    <w:rsid w:val="00A87F4C"/>
    <w:rsid w:val="00A901CF"/>
    <w:rsid w:val="00A902E3"/>
    <w:rsid w:val="00A902E8"/>
    <w:rsid w:val="00A907B3"/>
    <w:rsid w:val="00A90A99"/>
    <w:rsid w:val="00A90B9C"/>
    <w:rsid w:val="00A912AC"/>
    <w:rsid w:val="00A912FD"/>
    <w:rsid w:val="00A91871"/>
    <w:rsid w:val="00A91958"/>
    <w:rsid w:val="00A9261A"/>
    <w:rsid w:val="00A929D1"/>
    <w:rsid w:val="00A92CB0"/>
    <w:rsid w:val="00A93879"/>
    <w:rsid w:val="00A93AA6"/>
    <w:rsid w:val="00A94012"/>
    <w:rsid w:val="00A9475D"/>
    <w:rsid w:val="00A94D21"/>
    <w:rsid w:val="00A950E0"/>
    <w:rsid w:val="00A956B1"/>
    <w:rsid w:val="00A95D61"/>
    <w:rsid w:val="00A9681A"/>
    <w:rsid w:val="00A96A31"/>
    <w:rsid w:val="00A97AAD"/>
    <w:rsid w:val="00A97B00"/>
    <w:rsid w:val="00A97E72"/>
    <w:rsid w:val="00A97EEF"/>
    <w:rsid w:val="00AA0314"/>
    <w:rsid w:val="00AA059F"/>
    <w:rsid w:val="00AA06B4"/>
    <w:rsid w:val="00AA0FF2"/>
    <w:rsid w:val="00AA138F"/>
    <w:rsid w:val="00AA15F2"/>
    <w:rsid w:val="00AA18D3"/>
    <w:rsid w:val="00AA19A6"/>
    <w:rsid w:val="00AA1BB2"/>
    <w:rsid w:val="00AA1E4B"/>
    <w:rsid w:val="00AA2750"/>
    <w:rsid w:val="00AA2A44"/>
    <w:rsid w:val="00AA3017"/>
    <w:rsid w:val="00AA37BE"/>
    <w:rsid w:val="00AA3974"/>
    <w:rsid w:val="00AA3C61"/>
    <w:rsid w:val="00AA3DB4"/>
    <w:rsid w:val="00AA47E8"/>
    <w:rsid w:val="00AA4FC5"/>
    <w:rsid w:val="00AA6342"/>
    <w:rsid w:val="00AA68AF"/>
    <w:rsid w:val="00AA6CAE"/>
    <w:rsid w:val="00AA743B"/>
    <w:rsid w:val="00AB02B6"/>
    <w:rsid w:val="00AB0450"/>
    <w:rsid w:val="00AB1A82"/>
    <w:rsid w:val="00AB1B2E"/>
    <w:rsid w:val="00AB1D2D"/>
    <w:rsid w:val="00AB2079"/>
    <w:rsid w:val="00AB26AA"/>
    <w:rsid w:val="00AB26C7"/>
    <w:rsid w:val="00AB2BAD"/>
    <w:rsid w:val="00AB3024"/>
    <w:rsid w:val="00AB3D82"/>
    <w:rsid w:val="00AB3E63"/>
    <w:rsid w:val="00AB3FE0"/>
    <w:rsid w:val="00AB4548"/>
    <w:rsid w:val="00AB5B8D"/>
    <w:rsid w:val="00AB5DA9"/>
    <w:rsid w:val="00AB5F62"/>
    <w:rsid w:val="00AB6006"/>
    <w:rsid w:val="00AB6426"/>
    <w:rsid w:val="00AB65A2"/>
    <w:rsid w:val="00AB65D3"/>
    <w:rsid w:val="00AB67FE"/>
    <w:rsid w:val="00AB6F34"/>
    <w:rsid w:val="00AB76F2"/>
    <w:rsid w:val="00AB7A8E"/>
    <w:rsid w:val="00AC0905"/>
    <w:rsid w:val="00AC0D4F"/>
    <w:rsid w:val="00AC0FBB"/>
    <w:rsid w:val="00AC124E"/>
    <w:rsid w:val="00AC2694"/>
    <w:rsid w:val="00AC26CE"/>
    <w:rsid w:val="00AC2986"/>
    <w:rsid w:val="00AC301A"/>
    <w:rsid w:val="00AC3583"/>
    <w:rsid w:val="00AC380D"/>
    <w:rsid w:val="00AC3D07"/>
    <w:rsid w:val="00AC3EB4"/>
    <w:rsid w:val="00AC488F"/>
    <w:rsid w:val="00AC4B42"/>
    <w:rsid w:val="00AC4D7C"/>
    <w:rsid w:val="00AC4D9D"/>
    <w:rsid w:val="00AC4FA9"/>
    <w:rsid w:val="00AC542E"/>
    <w:rsid w:val="00AC5430"/>
    <w:rsid w:val="00AC620F"/>
    <w:rsid w:val="00AC6433"/>
    <w:rsid w:val="00AC6BD5"/>
    <w:rsid w:val="00AC6BFC"/>
    <w:rsid w:val="00AC7238"/>
    <w:rsid w:val="00AC7819"/>
    <w:rsid w:val="00AC7CB9"/>
    <w:rsid w:val="00AC7CBC"/>
    <w:rsid w:val="00AD004A"/>
    <w:rsid w:val="00AD05C1"/>
    <w:rsid w:val="00AD09F2"/>
    <w:rsid w:val="00AD0A09"/>
    <w:rsid w:val="00AD0B2F"/>
    <w:rsid w:val="00AD0F64"/>
    <w:rsid w:val="00AD1D70"/>
    <w:rsid w:val="00AD209A"/>
    <w:rsid w:val="00AD240F"/>
    <w:rsid w:val="00AD2525"/>
    <w:rsid w:val="00AD25A8"/>
    <w:rsid w:val="00AD29C0"/>
    <w:rsid w:val="00AD2E62"/>
    <w:rsid w:val="00AD2ED5"/>
    <w:rsid w:val="00AD2FDF"/>
    <w:rsid w:val="00AD31B3"/>
    <w:rsid w:val="00AD3407"/>
    <w:rsid w:val="00AD3F07"/>
    <w:rsid w:val="00AD4066"/>
    <w:rsid w:val="00AD41F5"/>
    <w:rsid w:val="00AD46BC"/>
    <w:rsid w:val="00AD54CC"/>
    <w:rsid w:val="00AD5A42"/>
    <w:rsid w:val="00AD5C30"/>
    <w:rsid w:val="00AD68C5"/>
    <w:rsid w:val="00AD7577"/>
    <w:rsid w:val="00AD7968"/>
    <w:rsid w:val="00AD7A3D"/>
    <w:rsid w:val="00AD7B38"/>
    <w:rsid w:val="00AD7E0A"/>
    <w:rsid w:val="00AD7F02"/>
    <w:rsid w:val="00AE0004"/>
    <w:rsid w:val="00AE002C"/>
    <w:rsid w:val="00AE0C33"/>
    <w:rsid w:val="00AE10AA"/>
    <w:rsid w:val="00AE12C2"/>
    <w:rsid w:val="00AE1990"/>
    <w:rsid w:val="00AE1AA1"/>
    <w:rsid w:val="00AE1AD1"/>
    <w:rsid w:val="00AE20A3"/>
    <w:rsid w:val="00AE20A6"/>
    <w:rsid w:val="00AE25CD"/>
    <w:rsid w:val="00AE29E2"/>
    <w:rsid w:val="00AE2C86"/>
    <w:rsid w:val="00AE36D4"/>
    <w:rsid w:val="00AE3CD9"/>
    <w:rsid w:val="00AE41A1"/>
    <w:rsid w:val="00AE574C"/>
    <w:rsid w:val="00AE5B51"/>
    <w:rsid w:val="00AE5F02"/>
    <w:rsid w:val="00AE6920"/>
    <w:rsid w:val="00AE7319"/>
    <w:rsid w:val="00AE7A98"/>
    <w:rsid w:val="00AE7ACE"/>
    <w:rsid w:val="00AE7B80"/>
    <w:rsid w:val="00AF07BF"/>
    <w:rsid w:val="00AF0D6B"/>
    <w:rsid w:val="00AF1036"/>
    <w:rsid w:val="00AF1232"/>
    <w:rsid w:val="00AF1A4C"/>
    <w:rsid w:val="00AF1BCC"/>
    <w:rsid w:val="00AF206B"/>
    <w:rsid w:val="00AF2215"/>
    <w:rsid w:val="00AF23F2"/>
    <w:rsid w:val="00AF2760"/>
    <w:rsid w:val="00AF2EB3"/>
    <w:rsid w:val="00AF36A2"/>
    <w:rsid w:val="00AF36C5"/>
    <w:rsid w:val="00AF397D"/>
    <w:rsid w:val="00AF4550"/>
    <w:rsid w:val="00AF477C"/>
    <w:rsid w:val="00AF4867"/>
    <w:rsid w:val="00AF4F25"/>
    <w:rsid w:val="00AF628C"/>
    <w:rsid w:val="00AF6DCF"/>
    <w:rsid w:val="00AF7042"/>
    <w:rsid w:val="00AF7A82"/>
    <w:rsid w:val="00AF7B48"/>
    <w:rsid w:val="00AF7FB0"/>
    <w:rsid w:val="00B001CA"/>
    <w:rsid w:val="00B0069E"/>
    <w:rsid w:val="00B00C4E"/>
    <w:rsid w:val="00B00CCB"/>
    <w:rsid w:val="00B00CD4"/>
    <w:rsid w:val="00B010C9"/>
    <w:rsid w:val="00B01622"/>
    <w:rsid w:val="00B016FE"/>
    <w:rsid w:val="00B01F16"/>
    <w:rsid w:val="00B01F20"/>
    <w:rsid w:val="00B01FB8"/>
    <w:rsid w:val="00B01FDF"/>
    <w:rsid w:val="00B02B10"/>
    <w:rsid w:val="00B02C62"/>
    <w:rsid w:val="00B041AF"/>
    <w:rsid w:val="00B04AF9"/>
    <w:rsid w:val="00B04BB9"/>
    <w:rsid w:val="00B04D4A"/>
    <w:rsid w:val="00B04DD4"/>
    <w:rsid w:val="00B054F6"/>
    <w:rsid w:val="00B05603"/>
    <w:rsid w:val="00B05D7B"/>
    <w:rsid w:val="00B05E93"/>
    <w:rsid w:val="00B06729"/>
    <w:rsid w:val="00B06C36"/>
    <w:rsid w:val="00B06D30"/>
    <w:rsid w:val="00B07006"/>
    <w:rsid w:val="00B078F6"/>
    <w:rsid w:val="00B10B89"/>
    <w:rsid w:val="00B11E0B"/>
    <w:rsid w:val="00B1208C"/>
    <w:rsid w:val="00B1287F"/>
    <w:rsid w:val="00B12C81"/>
    <w:rsid w:val="00B12FC4"/>
    <w:rsid w:val="00B12FF3"/>
    <w:rsid w:val="00B132B0"/>
    <w:rsid w:val="00B13638"/>
    <w:rsid w:val="00B13FDD"/>
    <w:rsid w:val="00B14361"/>
    <w:rsid w:val="00B14CE0"/>
    <w:rsid w:val="00B14EDE"/>
    <w:rsid w:val="00B153AA"/>
    <w:rsid w:val="00B1547E"/>
    <w:rsid w:val="00B157D1"/>
    <w:rsid w:val="00B15CB5"/>
    <w:rsid w:val="00B16026"/>
    <w:rsid w:val="00B16091"/>
    <w:rsid w:val="00B16630"/>
    <w:rsid w:val="00B1670E"/>
    <w:rsid w:val="00B168CB"/>
    <w:rsid w:val="00B16BA4"/>
    <w:rsid w:val="00B172A9"/>
    <w:rsid w:val="00B174A2"/>
    <w:rsid w:val="00B179B1"/>
    <w:rsid w:val="00B17D84"/>
    <w:rsid w:val="00B17DE3"/>
    <w:rsid w:val="00B207FB"/>
    <w:rsid w:val="00B20C62"/>
    <w:rsid w:val="00B21A31"/>
    <w:rsid w:val="00B21BC8"/>
    <w:rsid w:val="00B22784"/>
    <w:rsid w:val="00B229E5"/>
    <w:rsid w:val="00B22B51"/>
    <w:rsid w:val="00B252B3"/>
    <w:rsid w:val="00B25852"/>
    <w:rsid w:val="00B25FDD"/>
    <w:rsid w:val="00B260D9"/>
    <w:rsid w:val="00B26176"/>
    <w:rsid w:val="00B26544"/>
    <w:rsid w:val="00B270B3"/>
    <w:rsid w:val="00B305A1"/>
    <w:rsid w:val="00B31A03"/>
    <w:rsid w:val="00B31B2D"/>
    <w:rsid w:val="00B31DF0"/>
    <w:rsid w:val="00B32969"/>
    <w:rsid w:val="00B32AFA"/>
    <w:rsid w:val="00B3319A"/>
    <w:rsid w:val="00B33553"/>
    <w:rsid w:val="00B33957"/>
    <w:rsid w:val="00B33E4E"/>
    <w:rsid w:val="00B3430E"/>
    <w:rsid w:val="00B3454F"/>
    <w:rsid w:val="00B34A32"/>
    <w:rsid w:val="00B34BD6"/>
    <w:rsid w:val="00B34DA0"/>
    <w:rsid w:val="00B36124"/>
    <w:rsid w:val="00B36193"/>
    <w:rsid w:val="00B361DD"/>
    <w:rsid w:val="00B36D4B"/>
    <w:rsid w:val="00B37081"/>
    <w:rsid w:val="00B3734E"/>
    <w:rsid w:val="00B37880"/>
    <w:rsid w:val="00B40462"/>
    <w:rsid w:val="00B4052B"/>
    <w:rsid w:val="00B405CB"/>
    <w:rsid w:val="00B41207"/>
    <w:rsid w:val="00B413D6"/>
    <w:rsid w:val="00B420A7"/>
    <w:rsid w:val="00B42992"/>
    <w:rsid w:val="00B42A86"/>
    <w:rsid w:val="00B42B28"/>
    <w:rsid w:val="00B42DCA"/>
    <w:rsid w:val="00B42E1F"/>
    <w:rsid w:val="00B438E6"/>
    <w:rsid w:val="00B440BF"/>
    <w:rsid w:val="00B441D5"/>
    <w:rsid w:val="00B4432B"/>
    <w:rsid w:val="00B446D1"/>
    <w:rsid w:val="00B44B79"/>
    <w:rsid w:val="00B451D0"/>
    <w:rsid w:val="00B454CB"/>
    <w:rsid w:val="00B4601C"/>
    <w:rsid w:val="00B46ECB"/>
    <w:rsid w:val="00B47551"/>
    <w:rsid w:val="00B477A3"/>
    <w:rsid w:val="00B47B1D"/>
    <w:rsid w:val="00B47B2C"/>
    <w:rsid w:val="00B5028D"/>
    <w:rsid w:val="00B50584"/>
    <w:rsid w:val="00B50CC4"/>
    <w:rsid w:val="00B50CD5"/>
    <w:rsid w:val="00B50EF9"/>
    <w:rsid w:val="00B519EF"/>
    <w:rsid w:val="00B52549"/>
    <w:rsid w:val="00B528FB"/>
    <w:rsid w:val="00B52C09"/>
    <w:rsid w:val="00B53468"/>
    <w:rsid w:val="00B537E1"/>
    <w:rsid w:val="00B53A38"/>
    <w:rsid w:val="00B53CA0"/>
    <w:rsid w:val="00B54010"/>
    <w:rsid w:val="00B54339"/>
    <w:rsid w:val="00B54A40"/>
    <w:rsid w:val="00B54D03"/>
    <w:rsid w:val="00B555A4"/>
    <w:rsid w:val="00B55634"/>
    <w:rsid w:val="00B557CB"/>
    <w:rsid w:val="00B56729"/>
    <w:rsid w:val="00B56A94"/>
    <w:rsid w:val="00B56AFD"/>
    <w:rsid w:val="00B56CF3"/>
    <w:rsid w:val="00B601FF"/>
    <w:rsid w:val="00B60EF7"/>
    <w:rsid w:val="00B61725"/>
    <w:rsid w:val="00B61793"/>
    <w:rsid w:val="00B61A9A"/>
    <w:rsid w:val="00B6248A"/>
    <w:rsid w:val="00B62695"/>
    <w:rsid w:val="00B62C13"/>
    <w:rsid w:val="00B632B2"/>
    <w:rsid w:val="00B63D7C"/>
    <w:rsid w:val="00B63E13"/>
    <w:rsid w:val="00B6426C"/>
    <w:rsid w:val="00B6437A"/>
    <w:rsid w:val="00B64DF3"/>
    <w:rsid w:val="00B65032"/>
    <w:rsid w:val="00B65837"/>
    <w:rsid w:val="00B659F2"/>
    <w:rsid w:val="00B65F55"/>
    <w:rsid w:val="00B6608F"/>
    <w:rsid w:val="00B6633C"/>
    <w:rsid w:val="00B66DA2"/>
    <w:rsid w:val="00B67039"/>
    <w:rsid w:val="00B70141"/>
    <w:rsid w:val="00B70AC3"/>
    <w:rsid w:val="00B70B3B"/>
    <w:rsid w:val="00B715FF"/>
    <w:rsid w:val="00B716BC"/>
    <w:rsid w:val="00B71A19"/>
    <w:rsid w:val="00B722BE"/>
    <w:rsid w:val="00B725EF"/>
    <w:rsid w:val="00B72B40"/>
    <w:rsid w:val="00B72F01"/>
    <w:rsid w:val="00B73056"/>
    <w:rsid w:val="00B73126"/>
    <w:rsid w:val="00B7393A"/>
    <w:rsid w:val="00B73B7C"/>
    <w:rsid w:val="00B73E1C"/>
    <w:rsid w:val="00B73EB6"/>
    <w:rsid w:val="00B74043"/>
    <w:rsid w:val="00B74045"/>
    <w:rsid w:val="00B74644"/>
    <w:rsid w:val="00B74CAC"/>
    <w:rsid w:val="00B7500C"/>
    <w:rsid w:val="00B75622"/>
    <w:rsid w:val="00B75E51"/>
    <w:rsid w:val="00B764B9"/>
    <w:rsid w:val="00B76658"/>
    <w:rsid w:val="00B766A9"/>
    <w:rsid w:val="00B77515"/>
    <w:rsid w:val="00B77B83"/>
    <w:rsid w:val="00B77B98"/>
    <w:rsid w:val="00B77CA9"/>
    <w:rsid w:val="00B77CEF"/>
    <w:rsid w:val="00B805FB"/>
    <w:rsid w:val="00B8074F"/>
    <w:rsid w:val="00B81199"/>
    <w:rsid w:val="00B81DAF"/>
    <w:rsid w:val="00B81F04"/>
    <w:rsid w:val="00B8215C"/>
    <w:rsid w:val="00B82B12"/>
    <w:rsid w:val="00B82FD7"/>
    <w:rsid w:val="00B83998"/>
    <w:rsid w:val="00B83FE2"/>
    <w:rsid w:val="00B844E5"/>
    <w:rsid w:val="00B848F1"/>
    <w:rsid w:val="00B84AD3"/>
    <w:rsid w:val="00B84BEF"/>
    <w:rsid w:val="00B85A84"/>
    <w:rsid w:val="00B85AF7"/>
    <w:rsid w:val="00B85BB0"/>
    <w:rsid w:val="00B85F5B"/>
    <w:rsid w:val="00B862C2"/>
    <w:rsid w:val="00B864D2"/>
    <w:rsid w:val="00B86B80"/>
    <w:rsid w:val="00B874FE"/>
    <w:rsid w:val="00B876C0"/>
    <w:rsid w:val="00B87DBA"/>
    <w:rsid w:val="00B90AA7"/>
    <w:rsid w:val="00B9109E"/>
    <w:rsid w:val="00B91628"/>
    <w:rsid w:val="00B91831"/>
    <w:rsid w:val="00B91A30"/>
    <w:rsid w:val="00B91AEC"/>
    <w:rsid w:val="00B91C89"/>
    <w:rsid w:val="00B91D45"/>
    <w:rsid w:val="00B92346"/>
    <w:rsid w:val="00B923E2"/>
    <w:rsid w:val="00B9260C"/>
    <w:rsid w:val="00B93736"/>
    <w:rsid w:val="00B93B25"/>
    <w:rsid w:val="00B94D1A"/>
    <w:rsid w:val="00B94D3F"/>
    <w:rsid w:val="00B9533C"/>
    <w:rsid w:val="00B95611"/>
    <w:rsid w:val="00B95D71"/>
    <w:rsid w:val="00B95E4B"/>
    <w:rsid w:val="00B95ECF"/>
    <w:rsid w:val="00B9683A"/>
    <w:rsid w:val="00B9715A"/>
    <w:rsid w:val="00B97680"/>
    <w:rsid w:val="00B97833"/>
    <w:rsid w:val="00B97924"/>
    <w:rsid w:val="00BA00ED"/>
    <w:rsid w:val="00BA0382"/>
    <w:rsid w:val="00BA0BC6"/>
    <w:rsid w:val="00BA0C83"/>
    <w:rsid w:val="00BA0DC1"/>
    <w:rsid w:val="00BA18DA"/>
    <w:rsid w:val="00BA2568"/>
    <w:rsid w:val="00BA2947"/>
    <w:rsid w:val="00BA2EB1"/>
    <w:rsid w:val="00BA3B58"/>
    <w:rsid w:val="00BA3D01"/>
    <w:rsid w:val="00BA47F0"/>
    <w:rsid w:val="00BA4885"/>
    <w:rsid w:val="00BA49CA"/>
    <w:rsid w:val="00BA4CCD"/>
    <w:rsid w:val="00BA52A3"/>
    <w:rsid w:val="00BA611A"/>
    <w:rsid w:val="00BA623F"/>
    <w:rsid w:val="00BA6A7A"/>
    <w:rsid w:val="00BA74E5"/>
    <w:rsid w:val="00BA74F0"/>
    <w:rsid w:val="00BA7E2F"/>
    <w:rsid w:val="00BA7F23"/>
    <w:rsid w:val="00BB0A1C"/>
    <w:rsid w:val="00BB0BD2"/>
    <w:rsid w:val="00BB1AC0"/>
    <w:rsid w:val="00BB23E1"/>
    <w:rsid w:val="00BB2718"/>
    <w:rsid w:val="00BB293E"/>
    <w:rsid w:val="00BB33E8"/>
    <w:rsid w:val="00BB382A"/>
    <w:rsid w:val="00BB3840"/>
    <w:rsid w:val="00BB41A0"/>
    <w:rsid w:val="00BB5170"/>
    <w:rsid w:val="00BB5CEF"/>
    <w:rsid w:val="00BB5D4C"/>
    <w:rsid w:val="00BB5F63"/>
    <w:rsid w:val="00BB6459"/>
    <w:rsid w:val="00BB6CF4"/>
    <w:rsid w:val="00BB6DBE"/>
    <w:rsid w:val="00BB7208"/>
    <w:rsid w:val="00BB7609"/>
    <w:rsid w:val="00BB7B9B"/>
    <w:rsid w:val="00BB7DFD"/>
    <w:rsid w:val="00BC11EB"/>
    <w:rsid w:val="00BC144A"/>
    <w:rsid w:val="00BC2065"/>
    <w:rsid w:val="00BC2B3D"/>
    <w:rsid w:val="00BC311E"/>
    <w:rsid w:val="00BC36CB"/>
    <w:rsid w:val="00BC39C5"/>
    <w:rsid w:val="00BC3CCC"/>
    <w:rsid w:val="00BC49D6"/>
    <w:rsid w:val="00BC4D01"/>
    <w:rsid w:val="00BC53EF"/>
    <w:rsid w:val="00BC5A44"/>
    <w:rsid w:val="00BC5AAF"/>
    <w:rsid w:val="00BC5D78"/>
    <w:rsid w:val="00BC630A"/>
    <w:rsid w:val="00BC6488"/>
    <w:rsid w:val="00BC6FF5"/>
    <w:rsid w:val="00BC70D5"/>
    <w:rsid w:val="00BC71A0"/>
    <w:rsid w:val="00BC745F"/>
    <w:rsid w:val="00BD006E"/>
    <w:rsid w:val="00BD0615"/>
    <w:rsid w:val="00BD09D6"/>
    <w:rsid w:val="00BD1325"/>
    <w:rsid w:val="00BD1482"/>
    <w:rsid w:val="00BD151E"/>
    <w:rsid w:val="00BD1547"/>
    <w:rsid w:val="00BD1852"/>
    <w:rsid w:val="00BD18C2"/>
    <w:rsid w:val="00BD221A"/>
    <w:rsid w:val="00BD24CE"/>
    <w:rsid w:val="00BD2869"/>
    <w:rsid w:val="00BD35B4"/>
    <w:rsid w:val="00BD35E1"/>
    <w:rsid w:val="00BD3C11"/>
    <w:rsid w:val="00BD40B6"/>
    <w:rsid w:val="00BD4215"/>
    <w:rsid w:val="00BD5184"/>
    <w:rsid w:val="00BD5406"/>
    <w:rsid w:val="00BD545A"/>
    <w:rsid w:val="00BD5708"/>
    <w:rsid w:val="00BD57B4"/>
    <w:rsid w:val="00BD589E"/>
    <w:rsid w:val="00BD68F7"/>
    <w:rsid w:val="00BD6AEF"/>
    <w:rsid w:val="00BD6B34"/>
    <w:rsid w:val="00BD6D64"/>
    <w:rsid w:val="00BD6E49"/>
    <w:rsid w:val="00BD71B3"/>
    <w:rsid w:val="00BD728B"/>
    <w:rsid w:val="00BD73C1"/>
    <w:rsid w:val="00BE0B0B"/>
    <w:rsid w:val="00BE0C62"/>
    <w:rsid w:val="00BE1A00"/>
    <w:rsid w:val="00BE263E"/>
    <w:rsid w:val="00BE2A2F"/>
    <w:rsid w:val="00BE2BA0"/>
    <w:rsid w:val="00BE2DB4"/>
    <w:rsid w:val="00BE364E"/>
    <w:rsid w:val="00BE458E"/>
    <w:rsid w:val="00BE48C7"/>
    <w:rsid w:val="00BE68D0"/>
    <w:rsid w:val="00BE6C9C"/>
    <w:rsid w:val="00BE6E93"/>
    <w:rsid w:val="00BE712D"/>
    <w:rsid w:val="00BE785E"/>
    <w:rsid w:val="00BF002E"/>
    <w:rsid w:val="00BF01B6"/>
    <w:rsid w:val="00BF02B6"/>
    <w:rsid w:val="00BF041A"/>
    <w:rsid w:val="00BF046C"/>
    <w:rsid w:val="00BF0AA3"/>
    <w:rsid w:val="00BF0C9D"/>
    <w:rsid w:val="00BF15BE"/>
    <w:rsid w:val="00BF1649"/>
    <w:rsid w:val="00BF1720"/>
    <w:rsid w:val="00BF1ACA"/>
    <w:rsid w:val="00BF24EB"/>
    <w:rsid w:val="00BF304C"/>
    <w:rsid w:val="00BF32F9"/>
    <w:rsid w:val="00BF366D"/>
    <w:rsid w:val="00BF3A96"/>
    <w:rsid w:val="00BF3BE4"/>
    <w:rsid w:val="00BF3D43"/>
    <w:rsid w:val="00BF4313"/>
    <w:rsid w:val="00BF4B9C"/>
    <w:rsid w:val="00BF4DD9"/>
    <w:rsid w:val="00BF4DF3"/>
    <w:rsid w:val="00BF5006"/>
    <w:rsid w:val="00BF523C"/>
    <w:rsid w:val="00BF55BB"/>
    <w:rsid w:val="00BF586B"/>
    <w:rsid w:val="00BF5878"/>
    <w:rsid w:val="00BF6228"/>
    <w:rsid w:val="00BF6C70"/>
    <w:rsid w:val="00BF6F2A"/>
    <w:rsid w:val="00C007C1"/>
    <w:rsid w:val="00C01107"/>
    <w:rsid w:val="00C0131C"/>
    <w:rsid w:val="00C01512"/>
    <w:rsid w:val="00C016AB"/>
    <w:rsid w:val="00C017A1"/>
    <w:rsid w:val="00C02DEF"/>
    <w:rsid w:val="00C02FE7"/>
    <w:rsid w:val="00C03E12"/>
    <w:rsid w:val="00C040C9"/>
    <w:rsid w:val="00C041ED"/>
    <w:rsid w:val="00C04EBC"/>
    <w:rsid w:val="00C058EB"/>
    <w:rsid w:val="00C05A31"/>
    <w:rsid w:val="00C06A41"/>
    <w:rsid w:val="00C06D0A"/>
    <w:rsid w:val="00C07336"/>
    <w:rsid w:val="00C0765D"/>
    <w:rsid w:val="00C07742"/>
    <w:rsid w:val="00C07EBF"/>
    <w:rsid w:val="00C10304"/>
    <w:rsid w:val="00C1046D"/>
    <w:rsid w:val="00C1063E"/>
    <w:rsid w:val="00C10AAF"/>
    <w:rsid w:val="00C10BD0"/>
    <w:rsid w:val="00C10DAE"/>
    <w:rsid w:val="00C114D3"/>
    <w:rsid w:val="00C11C9B"/>
    <w:rsid w:val="00C11CD1"/>
    <w:rsid w:val="00C1217F"/>
    <w:rsid w:val="00C1290E"/>
    <w:rsid w:val="00C13A1A"/>
    <w:rsid w:val="00C13CF8"/>
    <w:rsid w:val="00C143AF"/>
    <w:rsid w:val="00C14A85"/>
    <w:rsid w:val="00C154BC"/>
    <w:rsid w:val="00C156D9"/>
    <w:rsid w:val="00C1570D"/>
    <w:rsid w:val="00C15971"/>
    <w:rsid w:val="00C16022"/>
    <w:rsid w:val="00C161D1"/>
    <w:rsid w:val="00C169B1"/>
    <w:rsid w:val="00C16EAE"/>
    <w:rsid w:val="00C17228"/>
    <w:rsid w:val="00C1756F"/>
    <w:rsid w:val="00C175EA"/>
    <w:rsid w:val="00C17B68"/>
    <w:rsid w:val="00C17CFF"/>
    <w:rsid w:val="00C20286"/>
    <w:rsid w:val="00C20D03"/>
    <w:rsid w:val="00C215E0"/>
    <w:rsid w:val="00C215EA"/>
    <w:rsid w:val="00C2235E"/>
    <w:rsid w:val="00C2305C"/>
    <w:rsid w:val="00C23235"/>
    <w:rsid w:val="00C23941"/>
    <w:rsid w:val="00C23C94"/>
    <w:rsid w:val="00C23F32"/>
    <w:rsid w:val="00C24389"/>
    <w:rsid w:val="00C2441A"/>
    <w:rsid w:val="00C24599"/>
    <w:rsid w:val="00C245B6"/>
    <w:rsid w:val="00C247C3"/>
    <w:rsid w:val="00C24C8D"/>
    <w:rsid w:val="00C257FF"/>
    <w:rsid w:val="00C25A85"/>
    <w:rsid w:val="00C267B0"/>
    <w:rsid w:val="00C267EA"/>
    <w:rsid w:val="00C27062"/>
    <w:rsid w:val="00C27603"/>
    <w:rsid w:val="00C276EE"/>
    <w:rsid w:val="00C27B29"/>
    <w:rsid w:val="00C27C7C"/>
    <w:rsid w:val="00C27E48"/>
    <w:rsid w:val="00C27EC8"/>
    <w:rsid w:val="00C30797"/>
    <w:rsid w:val="00C308F1"/>
    <w:rsid w:val="00C30A85"/>
    <w:rsid w:val="00C318E1"/>
    <w:rsid w:val="00C31B9A"/>
    <w:rsid w:val="00C325F6"/>
    <w:rsid w:val="00C3280B"/>
    <w:rsid w:val="00C32894"/>
    <w:rsid w:val="00C32962"/>
    <w:rsid w:val="00C32C3F"/>
    <w:rsid w:val="00C32C9F"/>
    <w:rsid w:val="00C32D12"/>
    <w:rsid w:val="00C32F58"/>
    <w:rsid w:val="00C339ED"/>
    <w:rsid w:val="00C33D98"/>
    <w:rsid w:val="00C34591"/>
    <w:rsid w:val="00C348D8"/>
    <w:rsid w:val="00C34D89"/>
    <w:rsid w:val="00C35E6C"/>
    <w:rsid w:val="00C36495"/>
    <w:rsid w:val="00C365A2"/>
    <w:rsid w:val="00C36B82"/>
    <w:rsid w:val="00C36D80"/>
    <w:rsid w:val="00C37790"/>
    <w:rsid w:val="00C37B5F"/>
    <w:rsid w:val="00C4025F"/>
    <w:rsid w:val="00C40703"/>
    <w:rsid w:val="00C40A03"/>
    <w:rsid w:val="00C40F3E"/>
    <w:rsid w:val="00C4115D"/>
    <w:rsid w:val="00C41C2C"/>
    <w:rsid w:val="00C41D3C"/>
    <w:rsid w:val="00C4266D"/>
    <w:rsid w:val="00C4295A"/>
    <w:rsid w:val="00C42FFA"/>
    <w:rsid w:val="00C43DD2"/>
    <w:rsid w:val="00C4417F"/>
    <w:rsid w:val="00C4443E"/>
    <w:rsid w:val="00C446ED"/>
    <w:rsid w:val="00C4490E"/>
    <w:rsid w:val="00C450CC"/>
    <w:rsid w:val="00C454BA"/>
    <w:rsid w:val="00C46018"/>
    <w:rsid w:val="00C462A6"/>
    <w:rsid w:val="00C468E1"/>
    <w:rsid w:val="00C46AFC"/>
    <w:rsid w:val="00C478B8"/>
    <w:rsid w:val="00C47B92"/>
    <w:rsid w:val="00C47E3D"/>
    <w:rsid w:val="00C47FF3"/>
    <w:rsid w:val="00C500A6"/>
    <w:rsid w:val="00C50B98"/>
    <w:rsid w:val="00C50C40"/>
    <w:rsid w:val="00C511CB"/>
    <w:rsid w:val="00C514E9"/>
    <w:rsid w:val="00C51EDF"/>
    <w:rsid w:val="00C52261"/>
    <w:rsid w:val="00C523F6"/>
    <w:rsid w:val="00C52434"/>
    <w:rsid w:val="00C5253B"/>
    <w:rsid w:val="00C52BB3"/>
    <w:rsid w:val="00C52CED"/>
    <w:rsid w:val="00C52D47"/>
    <w:rsid w:val="00C52F04"/>
    <w:rsid w:val="00C535EB"/>
    <w:rsid w:val="00C5436F"/>
    <w:rsid w:val="00C5471F"/>
    <w:rsid w:val="00C54839"/>
    <w:rsid w:val="00C54CEF"/>
    <w:rsid w:val="00C54D6B"/>
    <w:rsid w:val="00C54DE3"/>
    <w:rsid w:val="00C54E45"/>
    <w:rsid w:val="00C55BF9"/>
    <w:rsid w:val="00C55BFF"/>
    <w:rsid w:val="00C56017"/>
    <w:rsid w:val="00C56858"/>
    <w:rsid w:val="00C56AEC"/>
    <w:rsid w:val="00C57741"/>
    <w:rsid w:val="00C57D51"/>
    <w:rsid w:val="00C60516"/>
    <w:rsid w:val="00C60571"/>
    <w:rsid w:val="00C609F0"/>
    <w:rsid w:val="00C60FB8"/>
    <w:rsid w:val="00C61D6A"/>
    <w:rsid w:val="00C61F32"/>
    <w:rsid w:val="00C62050"/>
    <w:rsid w:val="00C627BE"/>
    <w:rsid w:val="00C62A1B"/>
    <w:rsid w:val="00C62C1C"/>
    <w:rsid w:val="00C62CCB"/>
    <w:rsid w:val="00C62D30"/>
    <w:rsid w:val="00C62E9D"/>
    <w:rsid w:val="00C62FCE"/>
    <w:rsid w:val="00C634E5"/>
    <w:rsid w:val="00C63873"/>
    <w:rsid w:val="00C6412D"/>
    <w:rsid w:val="00C6472F"/>
    <w:rsid w:val="00C64C86"/>
    <w:rsid w:val="00C6509F"/>
    <w:rsid w:val="00C65660"/>
    <w:rsid w:val="00C65AE7"/>
    <w:rsid w:val="00C65CB8"/>
    <w:rsid w:val="00C6602F"/>
    <w:rsid w:val="00C66E2F"/>
    <w:rsid w:val="00C6737D"/>
    <w:rsid w:val="00C67BD6"/>
    <w:rsid w:val="00C67D6D"/>
    <w:rsid w:val="00C7053E"/>
    <w:rsid w:val="00C70D0B"/>
    <w:rsid w:val="00C70FA1"/>
    <w:rsid w:val="00C712F3"/>
    <w:rsid w:val="00C716E8"/>
    <w:rsid w:val="00C718B4"/>
    <w:rsid w:val="00C7190B"/>
    <w:rsid w:val="00C72220"/>
    <w:rsid w:val="00C72A4C"/>
    <w:rsid w:val="00C7320A"/>
    <w:rsid w:val="00C732E9"/>
    <w:rsid w:val="00C73674"/>
    <w:rsid w:val="00C737D9"/>
    <w:rsid w:val="00C73E07"/>
    <w:rsid w:val="00C741B2"/>
    <w:rsid w:val="00C74218"/>
    <w:rsid w:val="00C74223"/>
    <w:rsid w:val="00C7523F"/>
    <w:rsid w:val="00C75524"/>
    <w:rsid w:val="00C75BD0"/>
    <w:rsid w:val="00C76915"/>
    <w:rsid w:val="00C76CED"/>
    <w:rsid w:val="00C7715E"/>
    <w:rsid w:val="00C77203"/>
    <w:rsid w:val="00C77238"/>
    <w:rsid w:val="00C7745E"/>
    <w:rsid w:val="00C77719"/>
    <w:rsid w:val="00C80F11"/>
    <w:rsid w:val="00C80F3F"/>
    <w:rsid w:val="00C81216"/>
    <w:rsid w:val="00C81B21"/>
    <w:rsid w:val="00C81E4B"/>
    <w:rsid w:val="00C825C2"/>
    <w:rsid w:val="00C82B93"/>
    <w:rsid w:val="00C82EB2"/>
    <w:rsid w:val="00C835FF"/>
    <w:rsid w:val="00C845A3"/>
    <w:rsid w:val="00C847F0"/>
    <w:rsid w:val="00C8493F"/>
    <w:rsid w:val="00C85F7D"/>
    <w:rsid w:val="00C867D2"/>
    <w:rsid w:val="00C86F2B"/>
    <w:rsid w:val="00C87C8A"/>
    <w:rsid w:val="00C90382"/>
    <w:rsid w:val="00C90433"/>
    <w:rsid w:val="00C90721"/>
    <w:rsid w:val="00C90B47"/>
    <w:rsid w:val="00C90C65"/>
    <w:rsid w:val="00C91269"/>
    <w:rsid w:val="00C91307"/>
    <w:rsid w:val="00C91B76"/>
    <w:rsid w:val="00C926A0"/>
    <w:rsid w:val="00C92EFD"/>
    <w:rsid w:val="00C930BA"/>
    <w:rsid w:val="00C935E0"/>
    <w:rsid w:val="00C938C0"/>
    <w:rsid w:val="00C939DA"/>
    <w:rsid w:val="00C9435A"/>
    <w:rsid w:val="00C94433"/>
    <w:rsid w:val="00C944D2"/>
    <w:rsid w:val="00C944F8"/>
    <w:rsid w:val="00C94D6A"/>
    <w:rsid w:val="00C952F8"/>
    <w:rsid w:val="00C9546D"/>
    <w:rsid w:val="00C957CC"/>
    <w:rsid w:val="00C95D6B"/>
    <w:rsid w:val="00C961E8"/>
    <w:rsid w:val="00C962C8"/>
    <w:rsid w:val="00C96C70"/>
    <w:rsid w:val="00C96D99"/>
    <w:rsid w:val="00C96F9B"/>
    <w:rsid w:val="00C97D27"/>
    <w:rsid w:val="00CA0FB7"/>
    <w:rsid w:val="00CA1E40"/>
    <w:rsid w:val="00CA1ED4"/>
    <w:rsid w:val="00CA1F31"/>
    <w:rsid w:val="00CA26A8"/>
    <w:rsid w:val="00CA2969"/>
    <w:rsid w:val="00CA2AEE"/>
    <w:rsid w:val="00CA3318"/>
    <w:rsid w:val="00CA3B46"/>
    <w:rsid w:val="00CA4059"/>
    <w:rsid w:val="00CA41A3"/>
    <w:rsid w:val="00CA4ACC"/>
    <w:rsid w:val="00CA539D"/>
    <w:rsid w:val="00CA6509"/>
    <w:rsid w:val="00CA656E"/>
    <w:rsid w:val="00CA666A"/>
    <w:rsid w:val="00CA68A0"/>
    <w:rsid w:val="00CA7022"/>
    <w:rsid w:val="00CA7057"/>
    <w:rsid w:val="00CA7437"/>
    <w:rsid w:val="00CA7661"/>
    <w:rsid w:val="00CA7B16"/>
    <w:rsid w:val="00CB03D1"/>
    <w:rsid w:val="00CB08F0"/>
    <w:rsid w:val="00CB0F1B"/>
    <w:rsid w:val="00CB1184"/>
    <w:rsid w:val="00CB1C8C"/>
    <w:rsid w:val="00CB1D48"/>
    <w:rsid w:val="00CB1D80"/>
    <w:rsid w:val="00CB20B9"/>
    <w:rsid w:val="00CB2B1F"/>
    <w:rsid w:val="00CB305C"/>
    <w:rsid w:val="00CB3614"/>
    <w:rsid w:val="00CB395B"/>
    <w:rsid w:val="00CB3C35"/>
    <w:rsid w:val="00CB3C6F"/>
    <w:rsid w:val="00CB4C16"/>
    <w:rsid w:val="00CB5094"/>
    <w:rsid w:val="00CB530A"/>
    <w:rsid w:val="00CB56AD"/>
    <w:rsid w:val="00CB5D9D"/>
    <w:rsid w:val="00CB63A1"/>
    <w:rsid w:val="00CB6C93"/>
    <w:rsid w:val="00CB6CDB"/>
    <w:rsid w:val="00CB6D23"/>
    <w:rsid w:val="00CB732A"/>
    <w:rsid w:val="00CB7618"/>
    <w:rsid w:val="00CB7F21"/>
    <w:rsid w:val="00CB7F4F"/>
    <w:rsid w:val="00CC0032"/>
    <w:rsid w:val="00CC0723"/>
    <w:rsid w:val="00CC0FCF"/>
    <w:rsid w:val="00CC10C8"/>
    <w:rsid w:val="00CC15E9"/>
    <w:rsid w:val="00CC1BE9"/>
    <w:rsid w:val="00CC293A"/>
    <w:rsid w:val="00CC2E16"/>
    <w:rsid w:val="00CC37C4"/>
    <w:rsid w:val="00CC4321"/>
    <w:rsid w:val="00CC44F9"/>
    <w:rsid w:val="00CC456D"/>
    <w:rsid w:val="00CC48E8"/>
    <w:rsid w:val="00CC4B9A"/>
    <w:rsid w:val="00CC4ED2"/>
    <w:rsid w:val="00CC56F2"/>
    <w:rsid w:val="00CC6123"/>
    <w:rsid w:val="00CC6884"/>
    <w:rsid w:val="00CC6BF7"/>
    <w:rsid w:val="00CD008B"/>
    <w:rsid w:val="00CD0156"/>
    <w:rsid w:val="00CD0608"/>
    <w:rsid w:val="00CD0661"/>
    <w:rsid w:val="00CD09A4"/>
    <w:rsid w:val="00CD0A3B"/>
    <w:rsid w:val="00CD14C1"/>
    <w:rsid w:val="00CD1612"/>
    <w:rsid w:val="00CD18AC"/>
    <w:rsid w:val="00CD1E60"/>
    <w:rsid w:val="00CD21BA"/>
    <w:rsid w:val="00CD314C"/>
    <w:rsid w:val="00CD315D"/>
    <w:rsid w:val="00CD31E6"/>
    <w:rsid w:val="00CD47A2"/>
    <w:rsid w:val="00CD4F4B"/>
    <w:rsid w:val="00CD5814"/>
    <w:rsid w:val="00CD5F67"/>
    <w:rsid w:val="00CD66D1"/>
    <w:rsid w:val="00CD730B"/>
    <w:rsid w:val="00CD73FB"/>
    <w:rsid w:val="00CD75A6"/>
    <w:rsid w:val="00CD79C4"/>
    <w:rsid w:val="00CD7E46"/>
    <w:rsid w:val="00CE0476"/>
    <w:rsid w:val="00CE07AF"/>
    <w:rsid w:val="00CE1603"/>
    <w:rsid w:val="00CE177A"/>
    <w:rsid w:val="00CE1D11"/>
    <w:rsid w:val="00CE2647"/>
    <w:rsid w:val="00CE2F0D"/>
    <w:rsid w:val="00CE37D5"/>
    <w:rsid w:val="00CE42D3"/>
    <w:rsid w:val="00CE4C4E"/>
    <w:rsid w:val="00CE4C61"/>
    <w:rsid w:val="00CE51BF"/>
    <w:rsid w:val="00CE571F"/>
    <w:rsid w:val="00CE59C6"/>
    <w:rsid w:val="00CE5E8D"/>
    <w:rsid w:val="00CE6519"/>
    <w:rsid w:val="00CE759A"/>
    <w:rsid w:val="00CE7AD4"/>
    <w:rsid w:val="00CE7F24"/>
    <w:rsid w:val="00CF01AA"/>
    <w:rsid w:val="00CF08E3"/>
    <w:rsid w:val="00CF0C0C"/>
    <w:rsid w:val="00CF1CA5"/>
    <w:rsid w:val="00CF1D8B"/>
    <w:rsid w:val="00CF1FB2"/>
    <w:rsid w:val="00CF1FE9"/>
    <w:rsid w:val="00CF200D"/>
    <w:rsid w:val="00CF22E8"/>
    <w:rsid w:val="00CF264E"/>
    <w:rsid w:val="00CF2C13"/>
    <w:rsid w:val="00CF41D6"/>
    <w:rsid w:val="00CF44C8"/>
    <w:rsid w:val="00CF4592"/>
    <w:rsid w:val="00CF4B94"/>
    <w:rsid w:val="00CF4D7F"/>
    <w:rsid w:val="00CF61D6"/>
    <w:rsid w:val="00CF6299"/>
    <w:rsid w:val="00CF652A"/>
    <w:rsid w:val="00CF6538"/>
    <w:rsid w:val="00CF6842"/>
    <w:rsid w:val="00CF6AF9"/>
    <w:rsid w:val="00CF6D07"/>
    <w:rsid w:val="00CF7C0E"/>
    <w:rsid w:val="00D00176"/>
    <w:rsid w:val="00D00389"/>
    <w:rsid w:val="00D00405"/>
    <w:rsid w:val="00D01196"/>
    <w:rsid w:val="00D01205"/>
    <w:rsid w:val="00D0127A"/>
    <w:rsid w:val="00D014A7"/>
    <w:rsid w:val="00D017D5"/>
    <w:rsid w:val="00D01D91"/>
    <w:rsid w:val="00D01F86"/>
    <w:rsid w:val="00D022D4"/>
    <w:rsid w:val="00D02996"/>
    <w:rsid w:val="00D02CC6"/>
    <w:rsid w:val="00D02E20"/>
    <w:rsid w:val="00D02FCE"/>
    <w:rsid w:val="00D0302C"/>
    <w:rsid w:val="00D0306D"/>
    <w:rsid w:val="00D0338A"/>
    <w:rsid w:val="00D0380B"/>
    <w:rsid w:val="00D03C11"/>
    <w:rsid w:val="00D04059"/>
    <w:rsid w:val="00D040DE"/>
    <w:rsid w:val="00D04B74"/>
    <w:rsid w:val="00D057BC"/>
    <w:rsid w:val="00D05DDE"/>
    <w:rsid w:val="00D05E45"/>
    <w:rsid w:val="00D063B9"/>
    <w:rsid w:val="00D0662E"/>
    <w:rsid w:val="00D068AB"/>
    <w:rsid w:val="00D07629"/>
    <w:rsid w:val="00D078BF"/>
    <w:rsid w:val="00D07B97"/>
    <w:rsid w:val="00D10A08"/>
    <w:rsid w:val="00D10D6C"/>
    <w:rsid w:val="00D10DF5"/>
    <w:rsid w:val="00D1114E"/>
    <w:rsid w:val="00D11419"/>
    <w:rsid w:val="00D1216E"/>
    <w:rsid w:val="00D12377"/>
    <w:rsid w:val="00D12632"/>
    <w:rsid w:val="00D13A0D"/>
    <w:rsid w:val="00D14D95"/>
    <w:rsid w:val="00D159EF"/>
    <w:rsid w:val="00D162F7"/>
    <w:rsid w:val="00D17FDE"/>
    <w:rsid w:val="00D21118"/>
    <w:rsid w:val="00D215F7"/>
    <w:rsid w:val="00D221C5"/>
    <w:rsid w:val="00D2253D"/>
    <w:rsid w:val="00D227BE"/>
    <w:rsid w:val="00D227F0"/>
    <w:rsid w:val="00D22AAA"/>
    <w:rsid w:val="00D23168"/>
    <w:rsid w:val="00D2338A"/>
    <w:rsid w:val="00D236DC"/>
    <w:rsid w:val="00D23C55"/>
    <w:rsid w:val="00D23F94"/>
    <w:rsid w:val="00D2440A"/>
    <w:rsid w:val="00D24662"/>
    <w:rsid w:val="00D24B41"/>
    <w:rsid w:val="00D252AC"/>
    <w:rsid w:val="00D25755"/>
    <w:rsid w:val="00D26078"/>
    <w:rsid w:val="00D26161"/>
    <w:rsid w:val="00D26541"/>
    <w:rsid w:val="00D26A7B"/>
    <w:rsid w:val="00D26D2B"/>
    <w:rsid w:val="00D27783"/>
    <w:rsid w:val="00D279E8"/>
    <w:rsid w:val="00D27B40"/>
    <w:rsid w:val="00D3008E"/>
    <w:rsid w:val="00D30337"/>
    <w:rsid w:val="00D32053"/>
    <w:rsid w:val="00D3305E"/>
    <w:rsid w:val="00D33319"/>
    <w:rsid w:val="00D33478"/>
    <w:rsid w:val="00D33D50"/>
    <w:rsid w:val="00D347FC"/>
    <w:rsid w:val="00D34B0E"/>
    <w:rsid w:val="00D34D57"/>
    <w:rsid w:val="00D34DAF"/>
    <w:rsid w:val="00D35062"/>
    <w:rsid w:val="00D354F2"/>
    <w:rsid w:val="00D3557A"/>
    <w:rsid w:val="00D35600"/>
    <w:rsid w:val="00D3649B"/>
    <w:rsid w:val="00D366D6"/>
    <w:rsid w:val="00D367C4"/>
    <w:rsid w:val="00D369F9"/>
    <w:rsid w:val="00D36EBD"/>
    <w:rsid w:val="00D37550"/>
    <w:rsid w:val="00D37B1C"/>
    <w:rsid w:val="00D418E5"/>
    <w:rsid w:val="00D41A85"/>
    <w:rsid w:val="00D41B02"/>
    <w:rsid w:val="00D41E51"/>
    <w:rsid w:val="00D42314"/>
    <w:rsid w:val="00D42642"/>
    <w:rsid w:val="00D42662"/>
    <w:rsid w:val="00D42947"/>
    <w:rsid w:val="00D42B0B"/>
    <w:rsid w:val="00D42D42"/>
    <w:rsid w:val="00D42DE4"/>
    <w:rsid w:val="00D430BD"/>
    <w:rsid w:val="00D43132"/>
    <w:rsid w:val="00D4318E"/>
    <w:rsid w:val="00D431E2"/>
    <w:rsid w:val="00D43314"/>
    <w:rsid w:val="00D4346C"/>
    <w:rsid w:val="00D4396E"/>
    <w:rsid w:val="00D43A51"/>
    <w:rsid w:val="00D43E52"/>
    <w:rsid w:val="00D443AF"/>
    <w:rsid w:val="00D449A0"/>
    <w:rsid w:val="00D44AEA"/>
    <w:rsid w:val="00D44B97"/>
    <w:rsid w:val="00D44C08"/>
    <w:rsid w:val="00D465F0"/>
    <w:rsid w:val="00D4736A"/>
    <w:rsid w:val="00D4769D"/>
    <w:rsid w:val="00D5048E"/>
    <w:rsid w:val="00D50D84"/>
    <w:rsid w:val="00D510FC"/>
    <w:rsid w:val="00D514C2"/>
    <w:rsid w:val="00D51670"/>
    <w:rsid w:val="00D51826"/>
    <w:rsid w:val="00D51B20"/>
    <w:rsid w:val="00D51E9D"/>
    <w:rsid w:val="00D5354F"/>
    <w:rsid w:val="00D535C1"/>
    <w:rsid w:val="00D53C24"/>
    <w:rsid w:val="00D53D6D"/>
    <w:rsid w:val="00D53FC1"/>
    <w:rsid w:val="00D54435"/>
    <w:rsid w:val="00D544D5"/>
    <w:rsid w:val="00D5470B"/>
    <w:rsid w:val="00D55BCD"/>
    <w:rsid w:val="00D55E48"/>
    <w:rsid w:val="00D56072"/>
    <w:rsid w:val="00D56F24"/>
    <w:rsid w:val="00D5784E"/>
    <w:rsid w:val="00D57AF6"/>
    <w:rsid w:val="00D60231"/>
    <w:rsid w:val="00D6034C"/>
    <w:rsid w:val="00D60818"/>
    <w:rsid w:val="00D60838"/>
    <w:rsid w:val="00D615D0"/>
    <w:rsid w:val="00D61890"/>
    <w:rsid w:val="00D62940"/>
    <w:rsid w:val="00D62951"/>
    <w:rsid w:val="00D62C41"/>
    <w:rsid w:val="00D63EAA"/>
    <w:rsid w:val="00D63F38"/>
    <w:rsid w:val="00D643A5"/>
    <w:rsid w:val="00D64653"/>
    <w:rsid w:val="00D648DF"/>
    <w:rsid w:val="00D64D66"/>
    <w:rsid w:val="00D6575A"/>
    <w:rsid w:val="00D665C6"/>
    <w:rsid w:val="00D66E72"/>
    <w:rsid w:val="00D66EF0"/>
    <w:rsid w:val="00D672E3"/>
    <w:rsid w:val="00D70128"/>
    <w:rsid w:val="00D702CD"/>
    <w:rsid w:val="00D70E6F"/>
    <w:rsid w:val="00D7105D"/>
    <w:rsid w:val="00D71425"/>
    <w:rsid w:val="00D7142F"/>
    <w:rsid w:val="00D71CB3"/>
    <w:rsid w:val="00D72191"/>
    <w:rsid w:val="00D72607"/>
    <w:rsid w:val="00D727C6"/>
    <w:rsid w:val="00D7296A"/>
    <w:rsid w:val="00D73752"/>
    <w:rsid w:val="00D74285"/>
    <w:rsid w:val="00D74B37"/>
    <w:rsid w:val="00D74FDB"/>
    <w:rsid w:val="00D756FB"/>
    <w:rsid w:val="00D76120"/>
    <w:rsid w:val="00D76395"/>
    <w:rsid w:val="00D76C97"/>
    <w:rsid w:val="00D76DAE"/>
    <w:rsid w:val="00D774FF"/>
    <w:rsid w:val="00D77AF8"/>
    <w:rsid w:val="00D77C74"/>
    <w:rsid w:val="00D807BD"/>
    <w:rsid w:val="00D81590"/>
    <w:rsid w:val="00D8177C"/>
    <w:rsid w:val="00D81A62"/>
    <w:rsid w:val="00D822AD"/>
    <w:rsid w:val="00D82D0F"/>
    <w:rsid w:val="00D82EEC"/>
    <w:rsid w:val="00D830B5"/>
    <w:rsid w:val="00D831C1"/>
    <w:rsid w:val="00D83300"/>
    <w:rsid w:val="00D835F5"/>
    <w:rsid w:val="00D83CD8"/>
    <w:rsid w:val="00D8440B"/>
    <w:rsid w:val="00D84669"/>
    <w:rsid w:val="00D847B4"/>
    <w:rsid w:val="00D847EF"/>
    <w:rsid w:val="00D84E24"/>
    <w:rsid w:val="00D84FF1"/>
    <w:rsid w:val="00D8542E"/>
    <w:rsid w:val="00D85A82"/>
    <w:rsid w:val="00D85DBB"/>
    <w:rsid w:val="00D86000"/>
    <w:rsid w:val="00D8648D"/>
    <w:rsid w:val="00D86529"/>
    <w:rsid w:val="00D87241"/>
    <w:rsid w:val="00D87FB4"/>
    <w:rsid w:val="00D90251"/>
    <w:rsid w:val="00D902B1"/>
    <w:rsid w:val="00D9046C"/>
    <w:rsid w:val="00D906CF"/>
    <w:rsid w:val="00D91099"/>
    <w:rsid w:val="00D91624"/>
    <w:rsid w:val="00D91677"/>
    <w:rsid w:val="00D9198D"/>
    <w:rsid w:val="00D91DCB"/>
    <w:rsid w:val="00D93FA1"/>
    <w:rsid w:val="00D94290"/>
    <w:rsid w:val="00D9483E"/>
    <w:rsid w:val="00D94CE1"/>
    <w:rsid w:val="00D94D7E"/>
    <w:rsid w:val="00D956A7"/>
    <w:rsid w:val="00D95D65"/>
    <w:rsid w:val="00D96878"/>
    <w:rsid w:val="00D96CB3"/>
    <w:rsid w:val="00D97130"/>
    <w:rsid w:val="00D97D37"/>
    <w:rsid w:val="00DA08AB"/>
    <w:rsid w:val="00DA0905"/>
    <w:rsid w:val="00DA0980"/>
    <w:rsid w:val="00DA09B2"/>
    <w:rsid w:val="00DA0B1F"/>
    <w:rsid w:val="00DA1680"/>
    <w:rsid w:val="00DA1823"/>
    <w:rsid w:val="00DA198E"/>
    <w:rsid w:val="00DA2409"/>
    <w:rsid w:val="00DA3310"/>
    <w:rsid w:val="00DA3598"/>
    <w:rsid w:val="00DA3AF5"/>
    <w:rsid w:val="00DA3DFC"/>
    <w:rsid w:val="00DA486A"/>
    <w:rsid w:val="00DA4951"/>
    <w:rsid w:val="00DA509A"/>
    <w:rsid w:val="00DA521C"/>
    <w:rsid w:val="00DA54D4"/>
    <w:rsid w:val="00DA57A6"/>
    <w:rsid w:val="00DA58A6"/>
    <w:rsid w:val="00DA5A4F"/>
    <w:rsid w:val="00DA5CB1"/>
    <w:rsid w:val="00DA5FC5"/>
    <w:rsid w:val="00DA7D71"/>
    <w:rsid w:val="00DA7F9C"/>
    <w:rsid w:val="00DB003D"/>
    <w:rsid w:val="00DB0181"/>
    <w:rsid w:val="00DB01DE"/>
    <w:rsid w:val="00DB06D8"/>
    <w:rsid w:val="00DB0757"/>
    <w:rsid w:val="00DB0C0A"/>
    <w:rsid w:val="00DB0FFA"/>
    <w:rsid w:val="00DB1B7A"/>
    <w:rsid w:val="00DB2407"/>
    <w:rsid w:val="00DB27DF"/>
    <w:rsid w:val="00DB3A17"/>
    <w:rsid w:val="00DB3C88"/>
    <w:rsid w:val="00DB3EBE"/>
    <w:rsid w:val="00DB42FB"/>
    <w:rsid w:val="00DB45DF"/>
    <w:rsid w:val="00DB4660"/>
    <w:rsid w:val="00DB49F6"/>
    <w:rsid w:val="00DB56EF"/>
    <w:rsid w:val="00DB57D5"/>
    <w:rsid w:val="00DB5B71"/>
    <w:rsid w:val="00DB610D"/>
    <w:rsid w:val="00DB677F"/>
    <w:rsid w:val="00DB687A"/>
    <w:rsid w:val="00DB6A24"/>
    <w:rsid w:val="00DB6EFF"/>
    <w:rsid w:val="00DB70C8"/>
    <w:rsid w:val="00DB76DC"/>
    <w:rsid w:val="00DB7765"/>
    <w:rsid w:val="00DB78F7"/>
    <w:rsid w:val="00DB7AC5"/>
    <w:rsid w:val="00DC0338"/>
    <w:rsid w:val="00DC08E4"/>
    <w:rsid w:val="00DC124A"/>
    <w:rsid w:val="00DC1439"/>
    <w:rsid w:val="00DC1D59"/>
    <w:rsid w:val="00DC23C8"/>
    <w:rsid w:val="00DC240A"/>
    <w:rsid w:val="00DC535F"/>
    <w:rsid w:val="00DC54DE"/>
    <w:rsid w:val="00DC57CA"/>
    <w:rsid w:val="00DC5F30"/>
    <w:rsid w:val="00DC6265"/>
    <w:rsid w:val="00DC64B6"/>
    <w:rsid w:val="00DC6C25"/>
    <w:rsid w:val="00DC7115"/>
    <w:rsid w:val="00DC7F1A"/>
    <w:rsid w:val="00DD0147"/>
    <w:rsid w:val="00DD019A"/>
    <w:rsid w:val="00DD0DDC"/>
    <w:rsid w:val="00DD111D"/>
    <w:rsid w:val="00DD18C9"/>
    <w:rsid w:val="00DD2AD1"/>
    <w:rsid w:val="00DD2BFF"/>
    <w:rsid w:val="00DD2D8C"/>
    <w:rsid w:val="00DD3917"/>
    <w:rsid w:val="00DD39C4"/>
    <w:rsid w:val="00DD3C96"/>
    <w:rsid w:val="00DD42CE"/>
    <w:rsid w:val="00DD452A"/>
    <w:rsid w:val="00DD5BC3"/>
    <w:rsid w:val="00DD6305"/>
    <w:rsid w:val="00DD63A0"/>
    <w:rsid w:val="00DD773C"/>
    <w:rsid w:val="00DD7D4F"/>
    <w:rsid w:val="00DE04B4"/>
    <w:rsid w:val="00DE0878"/>
    <w:rsid w:val="00DE0C62"/>
    <w:rsid w:val="00DE16EE"/>
    <w:rsid w:val="00DE1788"/>
    <w:rsid w:val="00DE17CD"/>
    <w:rsid w:val="00DE21AD"/>
    <w:rsid w:val="00DE3648"/>
    <w:rsid w:val="00DE3898"/>
    <w:rsid w:val="00DE3AA0"/>
    <w:rsid w:val="00DE46D3"/>
    <w:rsid w:val="00DE5D55"/>
    <w:rsid w:val="00DE5F56"/>
    <w:rsid w:val="00DE60C4"/>
    <w:rsid w:val="00DE61A8"/>
    <w:rsid w:val="00DE672D"/>
    <w:rsid w:val="00DE6792"/>
    <w:rsid w:val="00DE7461"/>
    <w:rsid w:val="00DF053D"/>
    <w:rsid w:val="00DF064E"/>
    <w:rsid w:val="00DF0F89"/>
    <w:rsid w:val="00DF12D3"/>
    <w:rsid w:val="00DF1459"/>
    <w:rsid w:val="00DF2174"/>
    <w:rsid w:val="00DF22E2"/>
    <w:rsid w:val="00DF22FD"/>
    <w:rsid w:val="00DF24F5"/>
    <w:rsid w:val="00DF3102"/>
    <w:rsid w:val="00DF3223"/>
    <w:rsid w:val="00DF373C"/>
    <w:rsid w:val="00DF3836"/>
    <w:rsid w:val="00DF3966"/>
    <w:rsid w:val="00DF3B3B"/>
    <w:rsid w:val="00DF3C7E"/>
    <w:rsid w:val="00DF421F"/>
    <w:rsid w:val="00DF47C9"/>
    <w:rsid w:val="00DF4E97"/>
    <w:rsid w:val="00DF4F33"/>
    <w:rsid w:val="00DF4F35"/>
    <w:rsid w:val="00DF51F7"/>
    <w:rsid w:val="00DF6492"/>
    <w:rsid w:val="00DF7123"/>
    <w:rsid w:val="00DF777A"/>
    <w:rsid w:val="00E00701"/>
    <w:rsid w:val="00E00ACD"/>
    <w:rsid w:val="00E00B0E"/>
    <w:rsid w:val="00E01B8C"/>
    <w:rsid w:val="00E01ED7"/>
    <w:rsid w:val="00E02264"/>
    <w:rsid w:val="00E0326C"/>
    <w:rsid w:val="00E034EA"/>
    <w:rsid w:val="00E03737"/>
    <w:rsid w:val="00E03B3D"/>
    <w:rsid w:val="00E03C3C"/>
    <w:rsid w:val="00E0402C"/>
    <w:rsid w:val="00E04176"/>
    <w:rsid w:val="00E04270"/>
    <w:rsid w:val="00E0476F"/>
    <w:rsid w:val="00E048D9"/>
    <w:rsid w:val="00E049C7"/>
    <w:rsid w:val="00E04D2E"/>
    <w:rsid w:val="00E056DF"/>
    <w:rsid w:val="00E06E1D"/>
    <w:rsid w:val="00E07EA1"/>
    <w:rsid w:val="00E1008B"/>
    <w:rsid w:val="00E10238"/>
    <w:rsid w:val="00E1070C"/>
    <w:rsid w:val="00E114CA"/>
    <w:rsid w:val="00E12163"/>
    <w:rsid w:val="00E1296E"/>
    <w:rsid w:val="00E129B9"/>
    <w:rsid w:val="00E13118"/>
    <w:rsid w:val="00E133EF"/>
    <w:rsid w:val="00E14287"/>
    <w:rsid w:val="00E145C7"/>
    <w:rsid w:val="00E14C8A"/>
    <w:rsid w:val="00E156B2"/>
    <w:rsid w:val="00E1583D"/>
    <w:rsid w:val="00E15D2C"/>
    <w:rsid w:val="00E16922"/>
    <w:rsid w:val="00E16BF6"/>
    <w:rsid w:val="00E16D19"/>
    <w:rsid w:val="00E16DA5"/>
    <w:rsid w:val="00E174E9"/>
    <w:rsid w:val="00E177D3"/>
    <w:rsid w:val="00E17927"/>
    <w:rsid w:val="00E17990"/>
    <w:rsid w:val="00E17D77"/>
    <w:rsid w:val="00E200D0"/>
    <w:rsid w:val="00E20335"/>
    <w:rsid w:val="00E20A88"/>
    <w:rsid w:val="00E21055"/>
    <w:rsid w:val="00E21385"/>
    <w:rsid w:val="00E214A6"/>
    <w:rsid w:val="00E2193B"/>
    <w:rsid w:val="00E223E5"/>
    <w:rsid w:val="00E22443"/>
    <w:rsid w:val="00E224E5"/>
    <w:rsid w:val="00E2381F"/>
    <w:rsid w:val="00E23B62"/>
    <w:rsid w:val="00E23FCE"/>
    <w:rsid w:val="00E24003"/>
    <w:rsid w:val="00E24672"/>
    <w:rsid w:val="00E24910"/>
    <w:rsid w:val="00E249EB"/>
    <w:rsid w:val="00E24CA7"/>
    <w:rsid w:val="00E24F8A"/>
    <w:rsid w:val="00E251EA"/>
    <w:rsid w:val="00E254DD"/>
    <w:rsid w:val="00E255A7"/>
    <w:rsid w:val="00E25AD1"/>
    <w:rsid w:val="00E26158"/>
    <w:rsid w:val="00E2630F"/>
    <w:rsid w:val="00E263E5"/>
    <w:rsid w:val="00E26CD9"/>
    <w:rsid w:val="00E26E9F"/>
    <w:rsid w:val="00E270CC"/>
    <w:rsid w:val="00E270DE"/>
    <w:rsid w:val="00E27D52"/>
    <w:rsid w:val="00E30437"/>
    <w:rsid w:val="00E3060F"/>
    <w:rsid w:val="00E307F9"/>
    <w:rsid w:val="00E31981"/>
    <w:rsid w:val="00E31A02"/>
    <w:rsid w:val="00E31B8A"/>
    <w:rsid w:val="00E31E3C"/>
    <w:rsid w:val="00E3208B"/>
    <w:rsid w:val="00E3241E"/>
    <w:rsid w:val="00E327AC"/>
    <w:rsid w:val="00E329B5"/>
    <w:rsid w:val="00E33089"/>
    <w:rsid w:val="00E34201"/>
    <w:rsid w:val="00E34543"/>
    <w:rsid w:val="00E354C0"/>
    <w:rsid w:val="00E36E5F"/>
    <w:rsid w:val="00E37127"/>
    <w:rsid w:val="00E3720A"/>
    <w:rsid w:val="00E37291"/>
    <w:rsid w:val="00E375A3"/>
    <w:rsid w:val="00E37777"/>
    <w:rsid w:val="00E37BA1"/>
    <w:rsid w:val="00E37FB3"/>
    <w:rsid w:val="00E406A3"/>
    <w:rsid w:val="00E40FD1"/>
    <w:rsid w:val="00E4147E"/>
    <w:rsid w:val="00E4163B"/>
    <w:rsid w:val="00E4193C"/>
    <w:rsid w:val="00E419B4"/>
    <w:rsid w:val="00E42D13"/>
    <w:rsid w:val="00E43164"/>
    <w:rsid w:val="00E43C62"/>
    <w:rsid w:val="00E4489C"/>
    <w:rsid w:val="00E44DB1"/>
    <w:rsid w:val="00E44E8F"/>
    <w:rsid w:val="00E450F1"/>
    <w:rsid w:val="00E45555"/>
    <w:rsid w:val="00E45F59"/>
    <w:rsid w:val="00E4713E"/>
    <w:rsid w:val="00E47A8C"/>
    <w:rsid w:val="00E505EA"/>
    <w:rsid w:val="00E5114B"/>
    <w:rsid w:val="00E51785"/>
    <w:rsid w:val="00E51DD8"/>
    <w:rsid w:val="00E51E23"/>
    <w:rsid w:val="00E51E91"/>
    <w:rsid w:val="00E521E5"/>
    <w:rsid w:val="00E52216"/>
    <w:rsid w:val="00E52D1B"/>
    <w:rsid w:val="00E52EF3"/>
    <w:rsid w:val="00E5321A"/>
    <w:rsid w:val="00E54564"/>
    <w:rsid w:val="00E55009"/>
    <w:rsid w:val="00E553FF"/>
    <w:rsid w:val="00E55450"/>
    <w:rsid w:val="00E554EE"/>
    <w:rsid w:val="00E55FEB"/>
    <w:rsid w:val="00E560B6"/>
    <w:rsid w:val="00E562E4"/>
    <w:rsid w:val="00E5664E"/>
    <w:rsid w:val="00E56764"/>
    <w:rsid w:val="00E56AFF"/>
    <w:rsid w:val="00E575B9"/>
    <w:rsid w:val="00E579CC"/>
    <w:rsid w:val="00E579D0"/>
    <w:rsid w:val="00E57AF1"/>
    <w:rsid w:val="00E600E0"/>
    <w:rsid w:val="00E606F1"/>
    <w:rsid w:val="00E60993"/>
    <w:rsid w:val="00E609BE"/>
    <w:rsid w:val="00E60DA1"/>
    <w:rsid w:val="00E61338"/>
    <w:rsid w:val="00E617E3"/>
    <w:rsid w:val="00E61A5D"/>
    <w:rsid w:val="00E61F60"/>
    <w:rsid w:val="00E6230A"/>
    <w:rsid w:val="00E6240F"/>
    <w:rsid w:val="00E62458"/>
    <w:rsid w:val="00E62849"/>
    <w:rsid w:val="00E63415"/>
    <w:rsid w:val="00E639E2"/>
    <w:rsid w:val="00E63AAF"/>
    <w:rsid w:val="00E63E8D"/>
    <w:rsid w:val="00E6484F"/>
    <w:rsid w:val="00E64922"/>
    <w:rsid w:val="00E64B3B"/>
    <w:rsid w:val="00E64BD2"/>
    <w:rsid w:val="00E64CB5"/>
    <w:rsid w:val="00E64F5A"/>
    <w:rsid w:val="00E6557B"/>
    <w:rsid w:val="00E65BEF"/>
    <w:rsid w:val="00E6629A"/>
    <w:rsid w:val="00E67A4B"/>
    <w:rsid w:val="00E67D5E"/>
    <w:rsid w:val="00E67E72"/>
    <w:rsid w:val="00E7153B"/>
    <w:rsid w:val="00E715E9"/>
    <w:rsid w:val="00E7166C"/>
    <w:rsid w:val="00E71670"/>
    <w:rsid w:val="00E71F56"/>
    <w:rsid w:val="00E723EF"/>
    <w:rsid w:val="00E72709"/>
    <w:rsid w:val="00E7285A"/>
    <w:rsid w:val="00E72DDE"/>
    <w:rsid w:val="00E72F91"/>
    <w:rsid w:val="00E72FD8"/>
    <w:rsid w:val="00E7339B"/>
    <w:rsid w:val="00E73456"/>
    <w:rsid w:val="00E73BDF"/>
    <w:rsid w:val="00E73CDC"/>
    <w:rsid w:val="00E73D2E"/>
    <w:rsid w:val="00E74642"/>
    <w:rsid w:val="00E747BB"/>
    <w:rsid w:val="00E74D72"/>
    <w:rsid w:val="00E75414"/>
    <w:rsid w:val="00E75EE0"/>
    <w:rsid w:val="00E76330"/>
    <w:rsid w:val="00E76566"/>
    <w:rsid w:val="00E767F8"/>
    <w:rsid w:val="00E76A31"/>
    <w:rsid w:val="00E76D44"/>
    <w:rsid w:val="00E77306"/>
    <w:rsid w:val="00E77DBF"/>
    <w:rsid w:val="00E807D1"/>
    <w:rsid w:val="00E80FFC"/>
    <w:rsid w:val="00E81317"/>
    <w:rsid w:val="00E8138A"/>
    <w:rsid w:val="00E814C5"/>
    <w:rsid w:val="00E81922"/>
    <w:rsid w:val="00E81DD1"/>
    <w:rsid w:val="00E82228"/>
    <w:rsid w:val="00E83874"/>
    <w:rsid w:val="00E83C7D"/>
    <w:rsid w:val="00E83DFA"/>
    <w:rsid w:val="00E843C8"/>
    <w:rsid w:val="00E846D7"/>
    <w:rsid w:val="00E84A75"/>
    <w:rsid w:val="00E84DCE"/>
    <w:rsid w:val="00E85201"/>
    <w:rsid w:val="00E852A7"/>
    <w:rsid w:val="00E85488"/>
    <w:rsid w:val="00E854D3"/>
    <w:rsid w:val="00E857E3"/>
    <w:rsid w:val="00E8580E"/>
    <w:rsid w:val="00E85D6B"/>
    <w:rsid w:val="00E85F05"/>
    <w:rsid w:val="00E86498"/>
    <w:rsid w:val="00E86701"/>
    <w:rsid w:val="00E869B0"/>
    <w:rsid w:val="00E8707D"/>
    <w:rsid w:val="00E8735D"/>
    <w:rsid w:val="00E87568"/>
    <w:rsid w:val="00E87AB3"/>
    <w:rsid w:val="00E87D17"/>
    <w:rsid w:val="00E87D51"/>
    <w:rsid w:val="00E87E0B"/>
    <w:rsid w:val="00E87ED6"/>
    <w:rsid w:val="00E90019"/>
    <w:rsid w:val="00E90124"/>
    <w:rsid w:val="00E90CF8"/>
    <w:rsid w:val="00E90DB5"/>
    <w:rsid w:val="00E90E57"/>
    <w:rsid w:val="00E90EBE"/>
    <w:rsid w:val="00E912A8"/>
    <w:rsid w:val="00E91749"/>
    <w:rsid w:val="00E91934"/>
    <w:rsid w:val="00E91E49"/>
    <w:rsid w:val="00E92308"/>
    <w:rsid w:val="00E92C2D"/>
    <w:rsid w:val="00E92F6C"/>
    <w:rsid w:val="00E9306E"/>
    <w:rsid w:val="00E9352E"/>
    <w:rsid w:val="00E93D03"/>
    <w:rsid w:val="00E93D16"/>
    <w:rsid w:val="00E9513F"/>
    <w:rsid w:val="00E95315"/>
    <w:rsid w:val="00E95BB0"/>
    <w:rsid w:val="00E9691F"/>
    <w:rsid w:val="00E96BD9"/>
    <w:rsid w:val="00E96E9D"/>
    <w:rsid w:val="00E97082"/>
    <w:rsid w:val="00E971A2"/>
    <w:rsid w:val="00E97835"/>
    <w:rsid w:val="00E97C90"/>
    <w:rsid w:val="00EA0025"/>
    <w:rsid w:val="00EA06B7"/>
    <w:rsid w:val="00EA0F8A"/>
    <w:rsid w:val="00EA1EFB"/>
    <w:rsid w:val="00EA1FD0"/>
    <w:rsid w:val="00EA2117"/>
    <w:rsid w:val="00EA240B"/>
    <w:rsid w:val="00EA2802"/>
    <w:rsid w:val="00EA2FCA"/>
    <w:rsid w:val="00EA31B3"/>
    <w:rsid w:val="00EA39E2"/>
    <w:rsid w:val="00EA3C32"/>
    <w:rsid w:val="00EA4353"/>
    <w:rsid w:val="00EA4BE8"/>
    <w:rsid w:val="00EA522E"/>
    <w:rsid w:val="00EA52F3"/>
    <w:rsid w:val="00EA5364"/>
    <w:rsid w:val="00EA6638"/>
    <w:rsid w:val="00EA6ADC"/>
    <w:rsid w:val="00EA731C"/>
    <w:rsid w:val="00EA7C17"/>
    <w:rsid w:val="00EB0026"/>
    <w:rsid w:val="00EB0346"/>
    <w:rsid w:val="00EB054F"/>
    <w:rsid w:val="00EB07D8"/>
    <w:rsid w:val="00EB0DEC"/>
    <w:rsid w:val="00EB1275"/>
    <w:rsid w:val="00EB12D1"/>
    <w:rsid w:val="00EB1C49"/>
    <w:rsid w:val="00EB238A"/>
    <w:rsid w:val="00EB297F"/>
    <w:rsid w:val="00EB352A"/>
    <w:rsid w:val="00EB378C"/>
    <w:rsid w:val="00EB3F3D"/>
    <w:rsid w:val="00EB4D3E"/>
    <w:rsid w:val="00EB519E"/>
    <w:rsid w:val="00EB5304"/>
    <w:rsid w:val="00EB57A7"/>
    <w:rsid w:val="00EB5ED3"/>
    <w:rsid w:val="00EB606F"/>
    <w:rsid w:val="00EB6195"/>
    <w:rsid w:val="00EB6673"/>
    <w:rsid w:val="00EB7022"/>
    <w:rsid w:val="00EB7510"/>
    <w:rsid w:val="00EB76B7"/>
    <w:rsid w:val="00EB78AE"/>
    <w:rsid w:val="00EB7D7A"/>
    <w:rsid w:val="00EB7DF0"/>
    <w:rsid w:val="00EC01D3"/>
    <w:rsid w:val="00EC0CDF"/>
    <w:rsid w:val="00EC0CE9"/>
    <w:rsid w:val="00EC1328"/>
    <w:rsid w:val="00EC16D9"/>
    <w:rsid w:val="00EC1C83"/>
    <w:rsid w:val="00EC1D04"/>
    <w:rsid w:val="00EC2F03"/>
    <w:rsid w:val="00EC3591"/>
    <w:rsid w:val="00EC36C3"/>
    <w:rsid w:val="00EC3C12"/>
    <w:rsid w:val="00EC4BE4"/>
    <w:rsid w:val="00EC552D"/>
    <w:rsid w:val="00EC5623"/>
    <w:rsid w:val="00EC5900"/>
    <w:rsid w:val="00EC5B21"/>
    <w:rsid w:val="00EC5E2C"/>
    <w:rsid w:val="00EC5EA1"/>
    <w:rsid w:val="00EC6585"/>
    <w:rsid w:val="00EC6B6D"/>
    <w:rsid w:val="00EC6C31"/>
    <w:rsid w:val="00EC6F93"/>
    <w:rsid w:val="00EC7333"/>
    <w:rsid w:val="00EC75AF"/>
    <w:rsid w:val="00EC7758"/>
    <w:rsid w:val="00ED121B"/>
    <w:rsid w:val="00ED1444"/>
    <w:rsid w:val="00ED14C9"/>
    <w:rsid w:val="00ED15F5"/>
    <w:rsid w:val="00ED1830"/>
    <w:rsid w:val="00ED1BD4"/>
    <w:rsid w:val="00ED1D67"/>
    <w:rsid w:val="00ED2D1B"/>
    <w:rsid w:val="00ED30EE"/>
    <w:rsid w:val="00ED379B"/>
    <w:rsid w:val="00ED37BF"/>
    <w:rsid w:val="00ED3E27"/>
    <w:rsid w:val="00ED42AE"/>
    <w:rsid w:val="00ED434B"/>
    <w:rsid w:val="00ED4476"/>
    <w:rsid w:val="00ED46AE"/>
    <w:rsid w:val="00ED480A"/>
    <w:rsid w:val="00ED4A40"/>
    <w:rsid w:val="00ED4AF9"/>
    <w:rsid w:val="00ED5CB4"/>
    <w:rsid w:val="00ED5FAD"/>
    <w:rsid w:val="00ED5FE0"/>
    <w:rsid w:val="00ED691C"/>
    <w:rsid w:val="00ED74EF"/>
    <w:rsid w:val="00ED75D2"/>
    <w:rsid w:val="00ED7A0D"/>
    <w:rsid w:val="00ED7AB1"/>
    <w:rsid w:val="00ED7D74"/>
    <w:rsid w:val="00EE12E9"/>
    <w:rsid w:val="00EE1773"/>
    <w:rsid w:val="00EE1CC0"/>
    <w:rsid w:val="00EE1F6B"/>
    <w:rsid w:val="00EE283A"/>
    <w:rsid w:val="00EE2C39"/>
    <w:rsid w:val="00EE3173"/>
    <w:rsid w:val="00EE33B2"/>
    <w:rsid w:val="00EE3456"/>
    <w:rsid w:val="00EE37B9"/>
    <w:rsid w:val="00EE3B0F"/>
    <w:rsid w:val="00EE3EA7"/>
    <w:rsid w:val="00EE4354"/>
    <w:rsid w:val="00EE4689"/>
    <w:rsid w:val="00EE51C3"/>
    <w:rsid w:val="00EE5201"/>
    <w:rsid w:val="00EE54C5"/>
    <w:rsid w:val="00EE5A0B"/>
    <w:rsid w:val="00EE5DD7"/>
    <w:rsid w:val="00EE6CE0"/>
    <w:rsid w:val="00EE6E5E"/>
    <w:rsid w:val="00EE6F6F"/>
    <w:rsid w:val="00EE70FD"/>
    <w:rsid w:val="00EF0464"/>
    <w:rsid w:val="00EF1D61"/>
    <w:rsid w:val="00EF1F86"/>
    <w:rsid w:val="00EF231D"/>
    <w:rsid w:val="00EF2DB7"/>
    <w:rsid w:val="00EF3F39"/>
    <w:rsid w:val="00EF5412"/>
    <w:rsid w:val="00EF585A"/>
    <w:rsid w:val="00EF5C73"/>
    <w:rsid w:val="00EF5E03"/>
    <w:rsid w:val="00EF6CD6"/>
    <w:rsid w:val="00EF6F15"/>
    <w:rsid w:val="00EF7B2E"/>
    <w:rsid w:val="00EF7CDA"/>
    <w:rsid w:val="00EF7DD4"/>
    <w:rsid w:val="00F0085A"/>
    <w:rsid w:val="00F00A60"/>
    <w:rsid w:val="00F012DD"/>
    <w:rsid w:val="00F01B04"/>
    <w:rsid w:val="00F01EE1"/>
    <w:rsid w:val="00F0282A"/>
    <w:rsid w:val="00F029F1"/>
    <w:rsid w:val="00F031D0"/>
    <w:rsid w:val="00F0353B"/>
    <w:rsid w:val="00F03A19"/>
    <w:rsid w:val="00F0471C"/>
    <w:rsid w:val="00F0482A"/>
    <w:rsid w:val="00F048DB"/>
    <w:rsid w:val="00F04CDF"/>
    <w:rsid w:val="00F05523"/>
    <w:rsid w:val="00F05592"/>
    <w:rsid w:val="00F0580F"/>
    <w:rsid w:val="00F05AD6"/>
    <w:rsid w:val="00F05C24"/>
    <w:rsid w:val="00F05CA9"/>
    <w:rsid w:val="00F05CAB"/>
    <w:rsid w:val="00F06589"/>
    <w:rsid w:val="00F06B14"/>
    <w:rsid w:val="00F06C17"/>
    <w:rsid w:val="00F07D12"/>
    <w:rsid w:val="00F100F2"/>
    <w:rsid w:val="00F10659"/>
    <w:rsid w:val="00F10921"/>
    <w:rsid w:val="00F10CE2"/>
    <w:rsid w:val="00F112CF"/>
    <w:rsid w:val="00F116F3"/>
    <w:rsid w:val="00F11B3A"/>
    <w:rsid w:val="00F12177"/>
    <w:rsid w:val="00F12225"/>
    <w:rsid w:val="00F1239B"/>
    <w:rsid w:val="00F13105"/>
    <w:rsid w:val="00F1362B"/>
    <w:rsid w:val="00F140EE"/>
    <w:rsid w:val="00F142AE"/>
    <w:rsid w:val="00F147E5"/>
    <w:rsid w:val="00F14A4C"/>
    <w:rsid w:val="00F14E54"/>
    <w:rsid w:val="00F151B2"/>
    <w:rsid w:val="00F15469"/>
    <w:rsid w:val="00F154D7"/>
    <w:rsid w:val="00F15F66"/>
    <w:rsid w:val="00F16FE7"/>
    <w:rsid w:val="00F17266"/>
    <w:rsid w:val="00F1784B"/>
    <w:rsid w:val="00F17998"/>
    <w:rsid w:val="00F17A0B"/>
    <w:rsid w:val="00F17C08"/>
    <w:rsid w:val="00F20363"/>
    <w:rsid w:val="00F203AA"/>
    <w:rsid w:val="00F20691"/>
    <w:rsid w:val="00F209CD"/>
    <w:rsid w:val="00F20CCB"/>
    <w:rsid w:val="00F21683"/>
    <w:rsid w:val="00F24073"/>
    <w:rsid w:val="00F24534"/>
    <w:rsid w:val="00F245AC"/>
    <w:rsid w:val="00F24842"/>
    <w:rsid w:val="00F24DE4"/>
    <w:rsid w:val="00F250F2"/>
    <w:rsid w:val="00F26089"/>
    <w:rsid w:val="00F2614F"/>
    <w:rsid w:val="00F2635B"/>
    <w:rsid w:val="00F2645A"/>
    <w:rsid w:val="00F267D0"/>
    <w:rsid w:val="00F26858"/>
    <w:rsid w:val="00F273C9"/>
    <w:rsid w:val="00F27849"/>
    <w:rsid w:val="00F27887"/>
    <w:rsid w:val="00F27B59"/>
    <w:rsid w:val="00F27EA9"/>
    <w:rsid w:val="00F30A3A"/>
    <w:rsid w:val="00F3113E"/>
    <w:rsid w:val="00F31192"/>
    <w:rsid w:val="00F31C20"/>
    <w:rsid w:val="00F320E2"/>
    <w:rsid w:val="00F322F0"/>
    <w:rsid w:val="00F3235B"/>
    <w:rsid w:val="00F325C1"/>
    <w:rsid w:val="00F32BBD"/>
    <w:rsid w:val="00F32C0B"/>
    <w:rsid w:val="00F32ED1"/>
    <w:rsid w:val="00F32F1C"/>
    <w:rsid w:val="00F33168"/>
    <w:rsid w:val="00F335E1"/>
    <w:rsid w:val="00F33A3C"/>
    <w:rsid w:val="00F33AD8"/>
    <w:rsid w:val="00F3477D"/>
    <w:rsid w:val="00F34B25"/>
    <w:rsid w:val="00F35A26"/>
    <w:rsid w:val="00F36231"/>
    <w:rsid w:val="00F3661D"/>
    <w:rsid w:val="00F366CA"/>
    <w:rsid w:val="00F368BA"/>
    <w:rsid w:val="00F36D6C"/>
    <w:rsid w:val="00F37745"/>
    <w:rsid w:val="00F379E0"/>
    <w:rsid w:val="00F37A4A"/>
    <w:rsid w:val="00F37D8E"/>
    <w:rsid w:val="00F37DC8"/>
    <w:rsid w:val="00F402E3"/>
    <w:rsid w:val="00F40AC5"/>
    <w:rsid w:val="00F40F7F"/>
    <w:rsid w:val="00F422B3"/>
    <w:rsid w:val="00F42C61"/>
    <w:rsid w:val="00F43DCB"/>
    <w:rsid w:val="00F44055"/>
    <w:rsid w:val="00F440B8"/>
    <w:rsid w:val="00F446DD"/>
    <w:rsid w:val="00F449C1"/>
    <w:rsid w:val="00F45067"/>
    <w:rsid w:val="00F452EF"/>
    <w:rsid w:val="00F45856"/>
    <w:rsid w:val="00F4636D"/>
    <w:rsid w:val="00F5058C"/>
    <w:rsid w:val="00F5131C"/>
    <w:rsid w:val="00F51FC6"/>
    <w:rsid w:val="00F51FCA"/>
    <w:rsid w:val="00F51FDD"/>
    <w:rsid w:val="00F5269D"/>
    <w:rsid w:val="00F52A2C"/>
    <w:rsid w:val="00F52D7B"/>
    <w:rsid w:val="00F53016"/>
    <w:rsid w:val="00F532FF"/>
    <w:rsid w:val="00F535A8"/>
    <w:rsid w:val="00F545BB"/>
    <w:rsid w:val="00F5520E"/>
    <w:rsid w:val="00F55332"/>
    <w:rsid w:val="00F560A3"/>
    <w:rsid w:val="00F56871"/>
    <w:rsid w:val="00F57D4F"/>
    <w:rsid w:val="00F60297"/>
    <w:rsid w:val="00F604D9"/>
    <w:rsid w:val="00F60B28"/>
    <w:rsid w:val="00F60E97"/>
    <w:rsid w:val="00F60F6E"/>
    <w:rsid w:val="00F6132E"/>
    <w:rsid w:val="00F617B4"/>
    <w:rsid w:val="00F61BBD"/>
    <w:rsid w:val="00F61F3F"/>
    <w:rsid w:val="00F62466"/>
    <w:rsid w:val="00F628CF"/>
    <w:rsid w:val="00F62A04"/>
    <w:rsid w:val="00F632EE"/>
    <w:rsid w:val="00F637E7"/>
    <w:rsid w:val="00F63ABA"/>
    <w:rsid w:val="00F647A3"/>
    <w:rsid w:val="00F647DD"/>
    <w:rsid w:val="00F648D5"/>
    <w:rsid w:val="00F64B29"/>
    <w:rsid w:val="00F6573C"/>
    <w:rsid w:val="00F659C0"/>
    <w:rsid w:val="00F65E95"/>
    <w:rsid w:val="00F66178"/>
    <w:rsid w:val="00F664F7"/>
    <w:rsid w:val="00F6661C"/>
    <w:rsid w:val="00F66793"/>
    <w:rsid w:val="00F668D2"/>
    <w:rsid w:val="00F66A3D"/>
    <w:rsid w:val="00F67865"/>
    <w:rsid w:val="00F67BCA"/>
    <w:rsid w:val="00F67F63"/>
    <w:rsid w:val="00F70675"/>
    <w:rsid w:val="00F70776"/>
    <w:rsid w:val="00F70913"/>
    <w:rsid w:val="00F70FAC"/>
    <w:rsid w:val="00F71F16"/>
    <w:rsid w:val="00F7207D"/>
    <w:rsid w:val="00F7229B"/>
    <w:rsid w:val="00F7288F"/>
    <w:rsid w:val="00F728D8"/>
    <w:rsid w:val="00F72DED"/>
    <w:rsid w:val="00F744EF"/>
    <w:rsid w:val="00F74D02"/>
    <w:rsid w:val="00F75329"/>
    <w:rsid w:val="00F75B7D"/>
    <w:rsid w:val="00F7695A"/>
    <w:rsid w:val="00F769BE"/>
    <w:rsid w:val="00F76B52"/>
    <w:rsid w:val="00F76BEF"/>
    <w:rsid w:val="00F76F6A"/>
    <w:rsid w:val="00F77695"/>
    <w:rsid w:val="00F776C0"/>
    <w:rsid w:val="00F77EBA"/>
    <w:rsid w:val="00F80463"/>
    <w:rsid w:val="00F80D8E"/>
    <w:rsid w:val="00F81499"/>
    <w:rsid w:val="00F81732"/>
    <w:rsid w:val="00F81F64"/>
    <w:rsid w:val="00F824B2"/>
    <w:rsid w:val="00F82E45"/>
    <w:rsid w:val="00F83152"/>
    <w:rsid w:val="00F83204"/>
    <w:rsid w:val="00F839A1"/>
    <w:rsid w:val="00F83A1B"/>
    <w:rsid w:val="00F83B31"/>
    <w:rsid w:val="00F83B96"/>
    <w:rsid w:val="00F83D3C"/>
    <w:rsid w:val="00F83F8C"/>
    <w:rsid w:val="00F83FF8"/>
    <w:rsid w:val="00F84837"/>
    <w:rsid w:val="00F8492E"/>
    <w:rsid w:val="00F85463"/>
    <w:rsid w:val="00F85F46"/>
    <w:rsid w:val="00F86E6D"/>
    <w:rsid w:val="00F87124"/>
    <w:rsid w:val="00F8769A"/>
    <w:rsid w:val="00F900B1"/>
    <w:rsid w:val="00F9018C"/>
    <w:rsid w:val="00F90504"/>
    <w:rsid w:val="00F91236"/>
    <w:rsid w:val="00F9256D"/>
    <w:rsid w:val="00F92644"/>
    <w:rsid w:val="00F92950"/>
    <w:rsid w:val="00F9332F"/>
    <w:rsid w:val="00F9338F"/>
    <w:rsid w:val="00F9475B"/>
    <w:rsid w:val="00F94A0E"/>
    <w:rsid w:val="00F94EF9"/>
    <w:rsid w:val="00F95767"/>
    <w:rsid w:val="00F95B93"/>
    <w:rsid w:val="00F95CC9"/>
    <w:rsid w:val="00F95D3B"/>
    <w:rsid w:val="00F95EAE"/>
    <w:rsid w:val="00F9660F"/>
    <w:rsid w:val="00F968F9"/>
    <w:rsid w:val="00F97187"/>
    <w:rsid w:val="00F97A09"/>
    <w:rsid w:val="00F97EDC"/>
    <w:rsid w:val="00F97FBE"/>
    <w:rsid w:val="00FA0543"/>
    <w:rsid w:val="00FA06F2"/>
    <w:rsid w:val="00FA12B8"/>
    <w:rsid w:val="00FA12D4"/>
    <w:rsid w:val="00FA241F"/>
    <w:rsid w:val="00FA28A0"/>
    <w:rsid w:val="00FA2A3C"/>
    <w:rsid w:val="00FA2C57"/>
    <w:rsid w:val="00FA33B2"/>
    <w:rsid w:val="00FA3CBD"/>
    <w:rsid w:val="00FA42B6"/>
    <w:rsid w:val="00FA4731"/>
    <w:rsid w:val="00FA4782"/>
    <w:rsid w:val="00FA48DF"/>
    <w:rsid w:val="00FA5079"/>
    <w:rsid w:val="00FA560F"/>
    <w:rsid w:val="00FA5904"/>
    <w:rsid w:val="00FA5AEE"/>
    <w:rsid w:val="00FA61D8"/>
    <w:rsid w:val="00FA6FA2"/>
    <w:rsid w:val="00FA7310"/>
    <w:rsid w:val="00FA7A0B"/>
    <w:rsid w:val="00FA7D5E"/>
    <w:rsid w:val="00FB08ED"/>
    <w:rsid w:val="00FB097E"/>
    <w:rsid w:val="00FB0F27"/>
    <w:rsid w:val="00FB146D"/>
    <w:rsid w:val="00FB1845"/>
    <w:rsid w:val="00FB1B57"/>
    <w:rsid w:val="00FB32C3"/>
    <w:rsid w:val="00FB39D8"/>
    <w:rsid w:val="00FB3AFF"/>
    <w:rsid w:val="00FB4179"/>
    <w:rsid w:val="00FB4B17"/>
    <w:rsid w:val="00FB4E1D"/>
    <w:rsid w:val="00FB53BB"/>
    <w:rsid w:val="00FB5A4F"/>
    <w:rsid w:val="00FB65CE"/>
    <w:rsid w:val="00FB6C10"/>
    <w:rsid w:val="00FB6D05"/>
    <w:rsid w:val="00FB736D"/>
    <w:rsid w:val="00FB752B"/>
    <w:rsid w:val="00FB7D7C"/>
    <w:rsid w:val="00FC02D4"/>
    <w:rsid w:val="00FC0E22"/>
    <w:rsid w:val="00FC0E2A"/>
    <w:rsid w:val="00FC1026"/>
    <w:rsid w:val="00FC1472"/>
    <w:rsid w:val="00FC15A5"/>
    <w:rsid w:val="00FC1960"/>
    <w:rsid w:val="00FC1CB8"/>
    <w:rsid w:val="00FC2068"/>
    <w:rsid w:val="00FC20B4"/>
    <w:rsid w:val="00FC290B"/>
    <w:rsid w:val="00FC2DDB"/>
    <w:rsid w:val="00FC3BA8"/>
    <w:rsid w:val="00FC3D09"/>
    <w:rsid w:val="00FC4B88"/>
    <w:rsid w:val="00FC4BE7"/>
    <w:rsid w:val="00FC4C2F"/>
    <w:rsid w:val="00FC4E60"/>
    <w:rsid w:val="00FC5941"/>
    <w:rsid w:val="00FC5D70"/>
    <w:rsid w:val="00FC5E1B"/>
    <w:rsid w:val="00FC613C"/>
    <w:rsid w:val="00FC73A2"/>
    <w:rsid w:val="00FC789B"/>
    <w:rsid w:val="00FC7F64"/>
    <w:rsid w:val="00FD035F"/>
    <w:rsid w:val="00FD0835"/>
    <w:rsid w:val="00FD09B9"/>
    <w:rsid w:val="00FD11B4"/>
    <w:rsid w:val="00FD142F"/>
    <w:rsid w:val="00FD1598"/>
    <w:rsid w:val="00FD1ADC"/>
    <w:rsid w:val="00FD1FA6"/>
    <w:rsid w:val="00FD31AC"/>
    <w:rsid w:val="00FD3224"/>
    <w:rsid w:val="00FD3D04"/>
    <w:rsid w:val="00FD452A"/>
    <w:rsid w:val="00FD499B"/>
    <w:rsid w:val="00FD4C80"/>
    <w:rsid w:val="00FD5114"/>
    <w:rsid w:val="00FD5878"/>
    <w:rsid w:val="00FD5879"/>
    <w:rsid w:val="00FD5C0B"/>
    <w:rsid w:val="00FD5E98"/>
    <w:rsid w:val="00FD696C"/>
    <w:rsid w:val="00FD78C8"/>
    <w:rsid w:val="00FE0269"/>
    <w:rsid w:val="00FE14CD"/>
    <w:rsid w:val="00FE14CF"/>
    <w:rsid w:val="00FE16C6"/>
    <w:rsid w:val="00FE16E4"/>
    <w:rsid w:val="00FE17A2"/>
    <w:rsid w:val="00FE180D"/>
    <w:rsid w:val="00FE1833"/>
    <w:rsid w:val="00FE1C12"/>
    <w:rsid w:val="00FE1C33"/>
    <w:rsid w:val="00FE1D3A"/>
    <w:rsid w:val="00FE2676"/>
    <w:rsid w:val="00FE2990"/>
    <w:rsid w:val="00FE2ADF"/>
    <w:rsid w:val="00FE3360"/>
    <w:rsid w:val="00FE3496"/>
    <w:rsid w:val="00FE41F9"/>
    <w:rsid w:val="00FE444F"/>
    <w:rsid w:val="00FE477A"/>
    <w:rsid w:val="00FE4CC4"/>
    <w:rsid w:val="00FE4D9E"/>
    <w:rsid w:val="00FE5B82"/>
    <w:rsid w:val="00FE6208"/>
    <w:rsid w:val="00FE6699"/>
    <w:rsid w:val="00FE6785"/>
    <w:rsid w:val="00FE6978"/>
    <w:rsid w:val="00FE6E5A"/>
    <w:rsid w:val="00FE7309"/>
    <w:rsid w:val="00FE73D2"/>
    <w:rsid w:val="00FE79DC"/>
    <w:rsid w:val="00FE7C8A"/>
    <w:rsid w:val="00FF0390"/>
    <w:rsid w:val="00FF03D0"/>
    <w:rsid w:val="00FF0851"/>
    <w:rsid w:val="00FF094C"/>
    <w:rsid w:val="00FF0D30"/>
    <w:rsid w:val="00FF16C5"/>
    <w:rsid w:val="00FF1D01"/>
    <w:rsid w:val="00FF1F16"/>
    <w:rsid w:val="00FF2190"/>
    <w:rsid w:val="00FF2AA3"/>
    <w:rsid w:val="00FF2D12"/>
    <w:rsid w:val="00FF3AA3"/>
    <w:rsid w:val="00FF3F18"/>
    <w:rsid w:val="00FF45A4"/>
    <w:rsid w:val="00FF55A0"/>
    <w:rsid w:val="00FF5E86"/>
    <w:rsid w:val="00FF6398"/>
    <w:rsid w:val="00FF6923"/>
    <w:rsid w:val="00FF73EF"/>
    <w:rsid w:val="00FF7CFF"/>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513129"/>
  <w15:docId w15:val="{0A783853-7390-4D2A-9014-3380E2EB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328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F3119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F3119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9B619B"/>
  </w:style>
  <w:style w:type="numbering" w:customStyle="1" w:styleId="CurrentList1">
    <w:name w:val="Current List1"/>
    <w:uiPriority w:val="99"/>
    <w:rsid w:val="00E63415"/>
    <w:pPr>
      <w:numPr>
        <w:numId w:val="1"/>
      </w:numPr>
    </w:pPr>
  </w:style>
  <w:style w:type="paragraph" w:styleId="Prrafodelista">
    <w:name w:val="List Paragraph"/>
    <w:aliases w:val="Footnote,List Paragraph1,Colorful List - Accent 11,Párrafo de lista1,List Paragraph2,Lista vistosa - Énfasis 11,Subtle Emphasis1,Footnote1,Parrafos,List Paragraph11"/>
    <w:basedOn w:val="Normal"/>
    <w:link w:val="PrrafodelistaCar"/>
    <w:autoRedefine/>
    <w:uiPriority w:val="1"/>
    <w:qFormat/>
    <w:rsid w:val="005E070D"/>
    <w:pPr>
      <w:numPr>
        <w:numId w:val="33"/>
      </w:numPr>
      <w:ind w:left="0" w:right="11" w:firstLine="0"/>
      <w:contextualSpacing/>
      <w:jc w:val="both"/>
    </w:pPr>
    <w:rPr>
      <w:rFonts w:ascii="Verdana" w:hAnsi="Verdana"/>
      <w:lang w:val="es-ES"/>
    </w:rPr>
  </w:style>
  <w:style w:type="paragraph" w:styleId="Revisin">
    <w:name w:val="Revision"/>
    <w:hidden/>
    <w:uiPriority w:val="99"/>
    <w:semiHidden/>
    <w:rsid w:val="00433282"/>
  </w:style>
  <w:style w:type="character" w:customStyle="1" w:styleId="Ttulo1Car">
    <w:name w:val="Título 1 Car"/>
    <w:basedOn w:val="Fuentedeprrafopredeter"/>
    <w:link w:val="Ttulo1"/>
    <w:uiPriority w:val="9"/>
    <w:rsid w:val="00433282"/>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F31192"/>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F31192"/>
    <w:rPr>
      <w:rFonts w:asciiTheme="majorHAnsi" w:eastAsiaTheme="majorEastAsia" w:hAnsiTheme="majorHAnsi" w:cstheme="majorBidi"/>
      <w:color w:val="243F60" w:themeColor="accent1" w:themeShade="7F"/>
      <w:sz w:val="24"/>
      <w:szCs w:val="24"/>
    </w:rPr>
  </w:style>
  <w:style w:type="paragraph" w:styleId="Piedepgina">
    <w:name w:val="footer"/>
    <w:basedOn w:val="Normal"/>
    <w:link w:val="PiedepginaCar"/>
    <w:uiPriority w:val="99"/>
    <w:unhideWhenUsed/>
    <w:rsid w:val="000A704C"/>
    <w:pPr>
      <w:tabs>
        <w:tab w:val="center" w:pos="4513"/>
        <w:tab w:val="right" w:pos="9026"/>
      </w:tabs>
    </w:pPr>
  </w:style>
  <w:style w:type="character" w:customStyle="1" w:styleId="PiedepginaCar">
    <w:name w:val="Pie de página Car"/>
    <w:basedOn w:val="Fuentedeprrafopredeter"/>
    <w:link w:val="Piedepgina"/>
    <w:uiPriority w:val="99"/>
    <w:rsid w:val="000A704C"/>
  </w:style>
  <w:style w:type="paragraph" w:styleId="TDC1">
    <w:name w:val="toc 1"/>
    <w:basedOn w:val="Normal"/>
    <w:next w:val="Normal"/>
    <w:autoRedefine/>
    <w:uiPriority w:val="39"/>
    <w:unhideWhenUsed/>
    <w:rsid w:val="00362B97"/>
    <w:pPr>
      <w:spacing w:after="100"/>
    </w:pPr>
  </w:style>
  <w:style w:type="paragraph" w:styleId="TDC2">
    <w:name w:val="toc 2"/>
    <w:basedOn w:val="Normal"/>
    <w:next w:val="Normal"/>
    <w:autoRedefine/>
    <w:uiPriority w:val="39"/>
    <w:unhideWhenUsed/>
    <w:rsid w:val="00362B97"/>
    <w:pPr>
      <w:spacing w:after="100"/>
      <w:ind w:left="200"/>
    </w:pPr>
  </w:style>
  <w:style w:type="paragraph" w:styleId="TDC3">
    <w:name w:val="toc 3"/>
    <w:basedOn w:val="Normal"/>
    <w:next w:val="Normal"/>
    <w:autoRedefine/>
    <w:uiPriority w:val="39"/>
    <w:unhideWhenUsed/>
    <w:rsid w:val="00362B97"/>
    <w:pPr>
      <w:spacing w:after="100"/>
      <w:ind w:left="400"/>
    </w:pPr>
  </w:style>
  <w:style w:type="character" w:styleId="Hipervnculo">
    <w:name w:val="Hyperlink"/>
    <w:basedOn w:val="Fuentedeprrafopredeter"/>
    <w:uiPriority w:val="99"/>
    <w:unhideWhenUsed/>
    <w:rsid w:val="00362B97"/>
    <w:rPr>
      <w:color w:val="0000FF" w:themeColor="hyperlink"/>
      <w:u w:val="single"/>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Parrafos Car,List Paragraph11 Car"/>
    <w:basedOn w:val="Fuentedeprrafopredeter"/>
    <w:link w:val="Prrafodelista"/>
    <w:uiPriority w:val="1"/>
    <w:locked/>
    <w:rsid w:val="005E070D"/>
    <w:rPr>
      <w:rFonts w:ascii="Verdana" w:hAnsi="Verdana"/>
      <w:lang w:val="es-ES"/>
    </w:rPr>
  </w:style>
  <w:style w:type="paragraph" w:customStyle="1" w:styleId="Estilo1">
    <w:name w:val="Estilo1"/>
    <w:basedOn w:val="Normal"/>
    <w:link w:val="Estilo1Car"/>
    <w:qFormat/>
    <w:rsid w:val="0082444D"/>
    <w:pPr>
      <w:spacing w:before="60" w:after="120"/>
      <w:ind w:left="2018" w:right="6" w:hanging="180"/>
      <w:jc w:val="both"/>
    </w:pPr>
    <w:rPr>
      <w:rFonts w:ascii="Verdana" w:eastAsia="Batang" w:hAnsi="Verdana" w:cs="Times"/>
      <w:i/>
      <w:szCs w:val="24"/>
      <w:lang w:val="es-ES_tradnl" w:eastAsia="en-US"/>
    </w:rPr>
  </w:style>
  <w:style w:type="character" w:customStyle="1" w:styleId="Estilo1Car">
    <w:name w:val="Estilo1 Car"/>
    <w:basedOn w:val="Fuentedeprrafopredeter"/>
    <w:link w:val="Estilo1"/>
    <w:rsid w:val="0082444D"/>
    <w:rPr>
      <w:rFonts w:ascii="Verdana" w:eastAsia="Batang" w:hAnsi="Verdana" w:cs="Times"/>
      <w:i/>
      <w:szCs w:val="24"/>
      <w:lang w:val="es-ES_tradnl" w:eastAsia="en-US"/>
    </w:rPr>
  </w:style>
  <w:style w:type="paragraph" w:customStyle="1" w:styleId="Default">
    <w:name w:val="Default"/>
    <w:rsid w:val="0082444D"/>
    <w:pPr>
      <w:autoSpaceDE w:val="0"/>
      <w:autoSpaceDN w:val="0"/>
      <w:adjustRightInd w:val="0"/>
    </w:pPr>
    <w:rPr>
      <w:rFonts w:ascii="Arial Narrow" w:eastAsiaTheme="minorHAnsi" w:hAnsi="Arial Narrow" w:cs="Arial Narrow"/>
      <w:color w:val="000000"/>
      <w:sz w:val="24"/>
      <w:szCs w:val="24"/>
      <w:lang w:val="es-CR" w:eastAsia="en-US"/>
    </w:rPr>
  </w:style>
  <w:style w:type="character" w:customStyle="1" w:styleId="None">
    <w:name w:val="None"/>
    <w:rsid w:val="0082444D"/>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nhideWhenUsed/>
    <w:qFormat/>
    <w:rsid w:val="00086C1A"/>
    <w:rPr>
      <w:rFonts w:ascii="Verdana" w:hAnsi="Verdana"/>
      <w:sz w:val="16"/>
      <w:vertAlign w:val="superscript"/>
    </w:rPr>
  </w:style>
  <w:style w:type="paragraph" w:styleId="Textodeglobo">
    <w:name w:val="Balloon Text"/>
    <w:basedOn w:val="Normal"/>
    <w:link w:val="TextodegloboCar"/>
    <w:uiPriority w:val="99"/>
    <w:semiHidden/>
    <w:unhideWhenUsed/>
    <w:rsid w:val="00D0405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4059"/>
    <w:rPr>
      <w:rFonts w:ascii="Segoe UI" w:hAnsi="Segoe UI" w:cs="Segoe UI"/>
      <w:sz w:val="18"/>
      <w:szCs w:val="18"/>
    </w:rPr>
  </w:style>
  <w:style w:type="character" w:styleId="Refdecomentario">
    <w:name w:val="annotation reference"/>
    <w:basedOn w:val="Fuentedeprrafopredeter"/>
    <w:uiPriority w:val="99"/>
    <w:semiHidden/>
    <w:unhideWhenUsed/>
    <w:rsid w:val="00D04059"/>
    <w:rPr>
      <w:sz w:val="16"/>
      <w:szCs w:val="16"/>
    </w:rPr>
  </w:style>
  <w:style w:type="paragraph" w:styleId="Textocomentario">
    <w:name w:val="annotation text"/>
    <w:basedOn w:val="Normal"/>
    <w:link w:val="TextocomentarioCar"/>
    <w:uiPriority w:val="99"/>
    <w:unhideWhenUsed/>
    <w:rsid w:val="00D04059"/>
  </w:style>
  <w:style w:type="character" w:customStyle="1" w:styleId="TextocomentarioCar">
    <w:name w:val="Texto comentario Car"/>
    <w:basedOn w:val="Fuentedeprrafopredeter"/>
    <w:link w:val="Textocomentario"/>
    <w:uiPriority w:val="99"/>
    <w:rsid w:val="00D04059"/>
  </w:style>
  <w:style w:type="paragraph" w:styleId="Asuntodelcomentario">
    <w:name w:val="annotation subject"/>
    <w:basedOn w:val="Textocomentario"/>
    <w:next w:val="Textocomentario"/>
    <w:link w:val="AsuntodelcomentarioCar"/>
    <w:uiPriority w:val="99"/>
    <w:semiHidden/>
    <w:unhideWhenUsed/>
    <w:rsid w:val="00D04059"/>
    <w:rPr>
      <w:b/>
      <w:bCs/>
    </w:rPr>
  </w:style>
  <w:style w:type="character" w:customStyle="1" w:styleId="AsuntodelcomentarioCar">
    <w:name w:val="Asunto del comentario Car"/>
    <w:basedOn w:val="TextocomentarioCar"/>
    <w:link w:val="Asuntodelcomentario"/>
    <w:uiPriority w:val="99"/>
    <w:semiHidden/>
    <w:rsid w:val="00D04059"/>
    <w:rPr>
      <w:b/>
      <w:bCs/>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
    <w:unhideWhenUsed/>
    <w:qFormat/>
    <w:rsid w:val="00F51FDD"/>
  </w:style>
  <w:style w:type="character" w:customStyle="1" w:styleId="TextonotapieCar">
    <w:name w:val="Texto nota pie Car"/>
    <w:aliases w:val="2. Footnote Text Car1,Footnote Tesina Car1,FA Fu Car1,Footnote Text Char Char Char Char Char Car1,Footnote Text Char Char Char Char Car1,Footnote reference Car1,Footnote Text Char Char Char Car1,Footnote Text Cha Car1,Ca Car,C Car"/>
    <w:basedOn w:val="Fuentedeprrafopredeter"/>
    <w:link w:val="Textonotapie"/>
    <w:qFormat/>
    <w:rsid w:val="00F51FDD"/>
  </w:style>
  <w:style w:type="character" w:styleId="Mencinsinresolver">
    <w:name w:val="Unresolved Mention"/>
    <w:basedOn w:val="Fuentedeprrafopredeter"/>
    <w:uiPriority w:val="99"/>
    <w:semiHidden/>
    <w:unhideWhenUsed/>
    <w:rsid w:val="00EB78AE"/>
    <w:rPr>
      <w:color w:val="605E5C"/>
      <w:shd w:val="clear" w:color="auto" w:fill="E1DFDD"/>
    </w:rPr>
  </w:style>
  <w:style w:type="paragraph" w:styleId="Encabezado">
    <w:name w:val="header"/>
    <w:basedOn w:val="Normal"/>
    <w:link w:val="EncabezadoCar"/>
    <w:uiPriority w:val="99"/>
    <w:unhideWhenUsed/>
    <w:rsid w:val="00480CEB"/>
    <w:pPr>
      <w:tabs>
        <w:tab w:val="center" w:pos="4680"/>
        <w:tab w:val="right" w:pos="9360"/>
      </w:tabs>
    </w:pPr>
  </w:style>
  <w:style w:type="character" w:customStyle="1" w:styleId="EncabezadoCar">
    <w:name w:val="Encabezado Car"/>
    <w:basedOn w:val="Fuentedeprrafopredeter"/>
    <w:link w:val="Encabezado"/>
    <w:uiPriority w:val="99"/>
    <w:rsid w:val="00480CEB"/>
  </w:style>
  <w:style w:type="character" w:customStyle="1" w:styleId="TextonotapieCar2">
    <w:name w:val="Texto nota pie Car2"/>
    <w:aliases w:val="2. Footnote Text Car,Footnote Tesina Car,FA Fu Car,Footnote Text Char Char Char Char Char Car,Footnote Text Char Char Char Char Car,Footnote reference Car,Footnote Text Char Char Char Car,Footnote Text Cha Car,FA Fußnotentext Car"/>
    <w:basedOn w:val="Fuentedeprrafopredeter"/>
    <w:qFormat/>
    <w:rsid w:val="004F5549"/>
    <w:rPr>
      <w:rFonts w:ascii="Verdana" w:eastAsia="Batang" w:hAnsi="Verdana" w:cs="Times"/>
      <w:sz w:val="16"/>
      <w:szCs w:val="20"/>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4F5549"/>
    <w:pPr>
      <w:jc w:val="both"/>
    </w:pPr>
    <w:rPr>
      <w:rFonts w:ascii="Verdana" w:hAnsi="Verdana"/>
      <w:sz w:val="16"/>
      <w:vertAlign w:val="superscript"/>
    </w:rPr>
  </w:style>
  <w:style w:type="paragraph" w:customStyle="1" w:styleId="PrrafodeSentencia">
    <w:name w:val="*. Párrafo de Sentencia"/>
    <w:basedOn w:val="Textonotapie"/>
    <w:autoRedefine/>
    <w:qFormat/>
    <w:rsid w:val="00345BCB"/>
    <w:pPr>
      <w:tabs>
        <w:tab w:val="num" w:pos="360"/>
      </w:tabs>
      <w:jc w:val="both"/>
    </w:pPr>
    <w:rPr>
      <w:rFonts w:ascii="Verdana" w:hAnsi="Verdana"/>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84600">
      <w:bodyDiv w:val="1"/>
      <w:marLeft w:val="0"/>
      <w:marRight w:val="0"/>
      <w:marTop w:val="0"/>
      <w:marBottom w:val="0"/>
      <w:divBdr>
        <w:top w:val="none" w:sz="0" w:space="0" w:color="auto"/>
        <w:left w:val="none" w:sz="0" w:space="0" w:color="auto"/>
        <w:bottom w:val="none" w:sz="0" w:space="0" w:color="auto"/>
        <w:right w:val="none" w:sz="0" w:space="0" w:color="auto"/>
      </w:divBdr>
    </w:div>
    <w:div w:id="67116966">
      <w:bodyDiv w:val="1"/>
      <w:marLeft w:val="0"/>
      <w:marRight w:val="0"/>
      <w:marTop w:val="0"/>
      <w:marBottom w:val="0"/>
      <w:divBdr>
        <w:top w:val="none" w:sz="0" w:space="0" w:color="auto"/>
        <w:left w:val="none" w:sz="0" w:space="0" w:color="auto"/>
        <w:bottom w:val="none" w:sz="0" w:space="0" w:color="auto"/>
        <w:right w:val="none" w:sz="0" w:space="0" w:color="auto"/>
      </w:divBdr>
    </w:div>
    <w:div w:id="101730461">
      <w:bodyDiv w:val="1"/>
      <w:marLeft w:val="0"/>
      <w:marRight w:val="0"/>
      <w:marTop w:val="0"/>
      <w:marBottom w:val="0"/>
      <w:divBdr>
        <w:top w:val="none" w:sz="0" w:space="0" w:color="auto"/>
        <w:left w:val="none" w:sz="0" w:space="0" w:color="auto"/>
        <w:bottom w:val="none" w:sz="0" w:space="0" w:color="auto"/>
        <w:right w:val="none" w:sz="0" w:space="0" w:color="auto"/>
      </w:divBdr>
    </w:div>
    <w:div w:id="293415934">
      <w:bodyDiv w:val="1"/>
      <w:marLeft w:val="0"/>
      <w:marRight w:val="0"/>
      <w:marTop w:val="0"/>
      <w:marBottom w:val="0"/>
      <w:divBdr>
        <w:top w:val="none" w:sz="0" w:space="0" w:color="auto"/>
        <w:left w:val="none" w:sz="0" w:space="0" w:color="auto"/>
        <w:bottom w:val="none" w:sz="0" w:space="0" w:color="auto"/>
        <w:right w:val="none" w:sz="0" w:space="0" w:color="auto"/>
      </w:divBdr>
    </w:div>
    <w:div w:id="354038254">
      <w:bodyDiv w:val="1"/>
      <w:marLeft w:val="0"/>
      <w:marRight w:val="0"/>
      <w:marTop w:val="0"/>
      <w:marBottom w:val="0"/>
      <w:divBdr>
        <w:top w:val="none" w:sz="0" w:space="0" w:color="auto"/>
        <w:left w:val="none" w:sz="0" w:space="0" w:color="auto"/>
        <w:bottom w:val="none" w:sz="0" w:space="0" w:color="auto"/>
        <w:right w:val="none" w:sz="0" w:space="0" w:color="auto"/>
      </w:divBdr>
    </w:div>
    <w:div w:id="388236879">
      <w:bodyDiv w:val="1"/>
      <w:marLeft w:val="0"/>
      <w:marRight w:val="0"/>
      <w:marTop w:val="0"/>
      <w:marBottom w:val="0"/>
      <w:divBdr>
        <w:top w:val="none" w:sz="0" w:space="0" w:color="auto"/>
        <w:left w:val="none" w:sz="0" w:space="0" w:color="auto"/>
        <w:bottom w:val="none" w:sz="0" w:space="0" w:color="auto"/>
        <w:right w:val="none" w:sz="0" w:space="0" w:color="auto"/>
      </w:divBdr>
    </w:div>
    <w:div w:id="421339913">
      <w:bodyDiv w:val="1"/>
      <w:marLeft w:val="0"/>
      <w:marRight w:val="0"/>
      <w:marTop w:val="0"/>
      <w:marBottom w:val="0"/>
      <w:divBdr>
        <w:top w:val="none" w:sz="0" w:space="0" w:color="auto"/>
        <w:left w:val="none" w:sz="0" w:space="0" w:color="auto"/>
        <w:bottom w:val="none" w:sz="0" w:space="0" w:color="auto"/>
        <w:right w:val="none" w:sz="0" w:space="0" w:color="auto"/>
      </w:divBdr>
    </w:div>
    <w:div w:id="539629880">
      <w:bodyDiv w:val="1"/>
      <w:marLeft w:val="0"/>
      <w:marRight w:val="0"/>
      <w:marTop w:val="0"/>
      <w:marBottom w:val="0"/>
      <w:divBdr>
        <w:top w:val="none" w:sz="0" w:space="0" w:color="auto"/>
        <w:left w:val="none" w:sz="0" w:space="0" w:color="auto"/>
        <w:bottom w:val="none" w:sz="0" w:space="0" w:color="auto"/>
        <w:right w:val="none" w:sz="0" w:space="0" w:color="auto"/>
      </w:divBdr>
    </w:div>
    <w:div w:id="572349570">
      <w:bodyDiv w:val="1"/>
      <w:marLeft w:val="0"/>
      <w:marRight w:val="0"/>
      <w:marTop w:val="0"/>
      <w:marBottom w:val="0"/>
      <w:divBdr>
        <w:top w:val="none" w:sz="0" w:space="0" w:color="auto"/>
        <w:left w:val="none" w:sz="0" w:space="0" w:color="auto"/>
        <w:bottom w:val="none" w:sz="0" w:space="0" w:color="auto"/>
        <w:right w:val="none" w:sz="0" w:space="0" w:color="auto"/>
      </w:divBdr>
    </w:div>
    <w:div w:id="598485256">
      <w:bodyDiv w:val="1"/>
      <w:marLeft w:val="0"/>
      <w:marRight w:val="0"/>
      <w:marTop w:val="0"/>
      <w:marBottom w:val="0"/>
      <w:divBdr>
        <w:top w:val="none" w:sz="0" w:space="0" w:color="auto"/>
        <w:left w:val="none" w:sz="0" w:space="0" w:color="auto"/>
        <w:bottom w:val="none" w:sz="0" w:space="0" w:color="auto"/>
        <w:right w:val="none" w:sz="0" w:space="0" w:color="auto"/>
      </w:divBdr>
    </w:div>
    <w:div w:id="773087594">
      <w:bodyDiv w:val="1"/>
      <w:marLeft w:val="0"/>
      <w:marRight w:val="0"/>
      <w:marTop w:val="0"/>
      <w:marBottom w:val="0"/>
      <w:divBdr>
        <w:top w:val="none" w:sz="0" w:space="0" w:color="auto"/>
        <w:left w:val="none" w:sz="0" w:space="0" w:color="auto"/>
        <w:bottom w:val="none" w:sz="0" w:space="0" w:color="auto"/>
        <w:right w:val="none" w:sz="0" w:space="0" w:color="auto"/>
      </w:divBdr>
    </w:div>
    <w:div w:id="830872946">
      <w:bodyDiv w:val="1"/>
      <w:marLeft w:val="0"/>
      <w:marRight w:val="0"/>
      <w:marTop w:val="0"/>
      <w:marBottom w:val="0"/>
      <w:divBdr>
        <w:top w:val="none" w:sz="0" w:space="0" w:color="auto"/>
        <w:left w:val="none" w:sz="0" w:space="0" w:color="auto"/>
        <w:bottom w:val="none" w:sz="0" w:space="0" w:color="auto"/>
        <w:right w:val="none" w:sz="0" w:space="0" w:color="auto"/>
      </w:divBdr>
    </w:div>
    <w:div w:id="848980360">
      <w:bodyDiv w:val="1"/>
      <w:marLeft w:val="0"/>
      <w:marRight w:val="0"/>
      <w:marTop w:val="0"/>
      <w:marBottom w:val="0"/>
      <w:divBdr>
        <w:top w:val="none" w:sz="0" w:space="0" w:color="auto"/>
        <w:left w:val="none" w:sz="0" w:space="0" w:color="auto"/>
        <w:bottom w:val="none" w:sz="0" w:space="0" w:color="auto"/>
        <w:right w:val="none" w:sz="0" w:space="0" w:color="auto"/>
      </w:divBdr>
    </w:div>
    <w:div w:id="889926517">
      <w:bodyDiv w:val="1"/>
      <w:marLeft w:val="0"/>
      <w:marRight w:val="0"/>
      <w:marTop w:val="0"/>
      <w:marBottom w:val="0"/>
      <w:divBdr>
        <w:top w:val="none" w:sz="0" w:space="0" w:color="auto"/>
        <w:left w:val="none" w:sz="0" w:space="0" w:color="auto"/>
        <w:bottom w:val="none" w:sz="0" w:space="0" w:color="auto"/>
        <w:right w:val="none" w:sz="0" w:space="0" w:color="auto"/>
      </w:divBdr>
    </w:div>
    <w:div w:id="1051423135">
      <w:bodyDiv w:val="1"/>
      <w:marLeft w:val="0"/>
      <w:marRight w:val="0"/>
      <w:marTop w:val="0"/>
      <w:marBottom w:val="0"/>
      <w:divBdr>
        <w:top w:val="none" w:sz="0" w:space="0" w:color="auto"/>
        <w:left w:val="none" w:sz="0" w:space="0" w:color="auto"/>
        <w:bottom w:val="none" w:sz="0" w:space="0" w:color="auto"/>
        <w:right w:val="none" w:sz="0" w:space="0" w:color="auto"/>
      </w:divBdr>
    </w:div>
    <w:div w:id="1052458991">
      <w:bodyDiv w:val="1"/>
      <w:marLeft w:val="0"/>
      <w:marRight w:val="0"/>
      <w:marTop w:val="0"/>
      <w:marBottom w:val="0"/>
      <w:divBdr>
        <w:top w:val="none" w:sz="0" w:space="0" w:color="auto"/>
        <w:left w:val="none" w:sz="0" w:space="0" w:color="auto"/>
        <w:bottom w:val="none" w:sz="0" w:space="0" w:color="auto"/>
        <w:right w:val="none" w:sz="0" w:space="0" w:color="auto"/>
      </w:divBdr>
    </w:div>
    <w:div w:id="1071780418">
      <w:bodyDiv w:val="1"/>
      <w:marLeft w:val="0"/>
      <w:marRight w:val="0"/>
      <w:marTop w:val="0"/>
      <w:marBottom w:val="0"/>
      <w:divBdr>
        <w:top w:val="none" w:sz="0" w:space="0" w:color="auto"/>
        <w:left w:val="none" w:sz="0" w:space="0" w:color="auto"/>
        <w:bottom w:val="none" w:sz="0" w:space="0" w:color="auto"/>
        <w:right w:val="none" w:sz="0" w:space="0" w:color="auto"/>
      </w:divBdr>
    </w:div>
    <w:div w:id="1365867967">
      <w:bodyDiv w:val="1"/>
      <w:marLeft w:val="0"/>
      <w:marRight w:val="0"/>
      <w:marTop w:val="0"/>
      <w:marBottom w:val="0"/>
      <w:divBdr>
        <w:top w:val="none" w:sz="0" w:space="0" w:color="auto"/>
        <w:left w:val="none" w:sz="0" w:space="0" w:color="auto"/>
        <w:bottom w:val="none" w:sz="0" w:space="0" w:color="auto"/>
        <w:right w:val="none" w:sz="0" w:space="0" w:color="auto"/>
      </w:divBdr>
    </w:div>
    <w:div w:id="1535845330">
      <w:bodyDiv w:val="1"/>
      <w:marLeft w:val="0"/>
      <w:marRight w:val="0"/>
      <w:marTop w:val="0"/>
      <w:marBottom w:val="0"/>
      <w:divBdr>
        <w:top w:val="none" w:sz="0" w:space="0" w:color="auto"/>
        <w:left w:val="none" w:sz="0" w:space="0" w:color="auto"/>
        <w:bottom w:val="none" w:sz="0" w:space="0" w:color="auto"/>
        <w:right w:val="none" w:sz="0" w:space="0" w:color="auto"/>
      </w:divBdr>
    </w:div>
    <w:div w:id="1578981959">
      <w:bodyDiv w:val="1"/>
      <w:marLeft w:val="0"/>
      <w:marRight w:val="0"/>
      <w:marTop w:val="0"/>
      <w:marBottom w:val="0"/>
      <w:divBdr>
        <w:top w:val="none" w:sz="0" w:space="0" w:color="auto"/>
        <w:left w:val="none" w:sz="0" w:space="0" w:color="auto"/>
        <w:bottom w:val="none" w:sz="0" w:space="0" w:color="auto"/>
        <w:right w:val="none" w:sz="0" w:space="0" w:color="auto"/>
      </w:divBdr>
    </w:div>
    <w:div w:id="1630623032">
      <w:bodyDiv w:val="1"/>
      <w:marLeft w:val="0"/>
      <w:marRight w:val="0"/>
      <w:marTop w:val="0"/>
      <w:marBottom w:val="0"/>
      <w:divBdr>
        <w:top w:val="none" w:sz="0" w:space="0" w:color="auto"/>
        <w:left w:val="none" w:sz="0" w:space="0" w:color="auto"/>
        <w:bottom w:val="none" w:sz="0" w:space="0" w:color="auto"/>
        <w:right w:val="none" w:sz="0" w:space="0" w:color="auto"/>
      </w:divBdr>
    </w:div>
    <w:div w:id="1635985990">
      <w:bodyDiv w:val="1"/>
      <w:marLeft w:val="0"/>
      <w:marRight w:val="0"/>
      <w:marTop w:val="0"/>
      <w:marBottom w:val="0"/>
      <w:divBdr>
        <w:top w:val="none" w:sz="0" w:space="0" w:color="auto"/>
        <w:left w:val="none" w:sz="0" w:space="0" w:color="auto"/>
        <w:bottom w:val="none" w:sz="0" w:space="0" w:color="auto"/>
        <w:right w:val="none" w:sz="0" w:space="0" w:color="auto"/>
      </w:divBdr>
    </w:div>
    <w:div w:id="1669864631">
      <w:bodyDiv w:val="1"/>
      <w:marLeft w:val="0"/>
      <w:marRight w:val="0"/>
      <w:marTop w:val="0"/>
      <w:marBottom w:val="0"/>
      <w:divBdr>
        <w:top w:val="none" w:sz="0" w:space="0" w:color="auto"/>
        <w:left w:val="none" w:sz="0" w:space="0" w:color="auto"/>
        <w:bottom w:val="none" w:sz="0" w:space="0" w:color="auto"/>
        <w:right w:val="none" w:sz="0" w:space="0" w:color="auto"/>
      </w:divBdr>
    </w:div>
    <w:div w:id="1769690116">
      <w:bodyDiv w:val="1"/>
      <w:marLeft w:val="0"/>
      <w:marRight w:val="0"/>
      <w:marTop w:val="0"/>
      <w:marBottom w:val="0"/>
      <w:divBdr>
        <w:top w:val="none" w:sz="0" w:space="0" w:color="auto"/>
        <w:left w:val="none" w:sz="0" w:space="0" w:color="auto"/>
        <w:bottom w:val="none" w:sz="0" w:space="0" w:color="auto"/>
        <w:right w:val="none" w:sz="0" w:space="0" w:color="auto"/>
      </w:divBdr>
    </w:div>
    <w:div w:id="1905749446">
      <w:bodyDiv w:val="1"/>
      <w:marLeft w:val="0"/>
      <w:marRight w:val="0"/>
      <w:marTop w:val="0"/>
      <w:marBottom w:val="0"/>
      <w:divBdr>
        <w:top w:val="none" w:sz="0" w:space="0" w:color="auto"/>
        <w:left w:val="none" w:sz="0" w:space="0" w:color="auto"/>
        <w:bottom w:val="none" w:sz="0" w:space="0" w:color="auto"/>
        <w:right w:val="none" w:sz="0" w:space="0" w:color="auto"/>
      </w:divBdr>
    </w:div>
    <w:div w:id="1907256978">
      <w:bodyDiv w:val="1"/>
      <w:marLeft w:val="0"/>
      <w:marRight w:val="0"/>
      <w:marTop w:val="0"/>
      <w:marBottom w:val="0"/>
      <w:divBdr>
        <w:top w:val="none" w:sz="0" w:space="0" w:color="auto"/>
        <w:left w:val="none" w:sz="0" w:space="0" w:color="auto"/>
        <w:bottom w:val="none" w:sz="0" w:space="0" w:color="auto"/>
        <w:right w:val="none" w:sz="0" w:space="0" w:color="auto"/>
      </w:divBdr>
    </w:div>
    <w:div w:id="1949384607">
      <w:bodyDiv w:val="1"/>
      <w:marLeft w:val="0"/>
      <w:marRight w:val="0"/>
      <w:marTop w:val="0"/>
      <w:marBottom w:val="0"/>
      <w:divBdr>
        <w:top w:val="none" w:sz="0" w:space="0" w:color="auto"/>
        <w:left w:val="none" w:sz="0" w:space="0" w:color="auto"/>
        <w:bottom w:val="none" w:sz="0" w:space="0" w:color="auto"/>
        <w:right w:val="none" w:sz="0" w:space="0" w:color="auto"/>
      </w:divBdr>
    </w:div>
    <w:div w:id="205773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oas.org/es/sla/ddi/docs/publicacion_Ley_Modelo_Interamericana_2_0_sobre_Acceso_Informacion_Public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BF1B9-7108-4730-85CC-E9AA69976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66</Pages>
  <Words>30832</Words>
  <Characters>169577</Characters>
  <Application>Microsoft Office Word</Application>
  <DocSecurity>0</DocSecurity>
  <Lines>1413</Lines>
  <Paragraphs>400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200009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2023-11-06T22:04:00Z</cp:lastPrinted>
  <dcterms:created xsi:type="dcterms:W3CDTF">2023-11-06T22:04:00Z</dcterms:created>
  <dcterms:modified xsi:type="dcterms:W3CDTF">2023-11-06T22:05:00Z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-1393118432</vt:i4>
  </property>
</Properties>
</file>