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C5BE4" w14:textId="77777777" w:rsidR="00326C79" w:rsidRPr="008B7099" w:rsidRDefault="00326C79" w:rsidP="00375A21">
      <w:pPr>
        <w:spacing w:after="0" w:line="240" w:lineRule="auto"/>
        <w:rPr>
          <w:rFonts w:ascii="Verdana" w:hAnsi="Verdana"/>
          <w:b/>
          <w:color w:val="000000" w:themeColor="text1"/>
          <w:sz w:val="20"/>
          <w:szCs w:val="20"/>
        </w:rPr>
      </w:pPr>
    </w:p>
    <w:p w14:paraId="574DFBFD" w14:textId="77777777" w:rsidR="00D91AF5" w:rsidRPr="008B7099" w:rsidRDefault="00D91AF5" w:rsidP="00D91AF5">
      <w:pPr>
        <w:spacing w:after="0" w:line="240" w:lineRule="auto"/>
        <w:jc w:val="center"/>
        <w:rPr>
          <w:rFonts w:ascii="Verdana" w:hAnsi="Verdana"/>
          <w:b/>
          <w:color w:val="000000" w:themeColor="text1"/>
          <w:sz w:val="20"/>
          <w:szCs w:val="20"/>
        </w:rPr>
      </w:pPr>
    </w:p>
    <w:p w14:paraId="65C901A8" w14:textId="41C08A67" w:rsidR="00FF5E48" w:rsidRPr="008B7099" w:rsidRDefault="00D91AF5" w:rsidP="00D91AF5">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CORTE INTERAMERICANA DE DERECHOS HUMANOS</w:t>
      </w:r>
    </w:p>
    <w:p w14:paraId="6B5187AF" w14:textId="77777777" w:rsidR="00D91AF5" w:rsidRPr="008B7099" w:rsidRDefault="00D91AF5" w:rsidP="00D91AF5">
      <w:pPr>
        <w:spacing w:after="0" w:line="240" w:lineRule="auto"/>
        <w:jc w:val="center"/>
        <w:rPr>
          <w:rFonts w:ascii="Verdana" w:hAnsi="Verdana"/>
          <w:b/>
          <w:color w:val="000000" w:themeColor="text1"/>
          <w:sz w:val="20"/>
          <w:szCs w:val="20"/>
        </w:rPr>
      </w:pPr>
    </w:p>
    <w:p w14:paraId="31CF35DE" w14:textId="3E3363EC" w:rsidR="00D91AF5" w:rsidRPr="008B7099" w:rsidRDefault="00D91AF5" w:rsidP="00D91AF5">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 xml:space="preserve">CASO </w:t>
      </w:r>
      <w:r w:rsidR="006A61D1" w:rsidRPr="008B7099">
        <w:rPr>
          <w:rFonts w:ascii="Verdana" w:hAnsi="Verdana"/>
          <w:b/>
          <w:color w:val="000000" w:themeColor="text1"/>
          <w:sz w:val="20"/>
          <w:szCs w:val="20"/>
        </w:rPr>
        <w:t xml:space="preserve">FEDERACIÓN NACIONAL DE TRABAJADORES MARÍTIMOS Y PORTUARIOS (FEMAPOR) </w:t>
      </w:r>
      <w:r w:rsidR="006A61D1" w:rsidRPr="008B7099">
        <w:rPr>
          <w:rFonts w:ascii="Verdana" w:hAnsi="Verdana"/>
          <w:b/>
          <w:i/>
          <w:iCs/>
          <w:color w:val="000000" w:themeColor="text1"/>
          <w:sz w:val="20"/>
          <w:szCs w:val="20"/>
        </w:rPr>
        <w:t>VS</w:t>
      </w:r>
      <w:r w:rsidR="006A61D1" w:rsidRPr="008B7099">
        <w:rPr>
          <w:rFonts w:ascii="Verdana" w:hAnsi="Verdana"/>
          <w:b/>
          <w:color w:val="000000" w:themeColor="text1"/>
          <w:sz w:val="20"/>
          <w:szCs w:val="20"/>
        </w:rPr>
        <w:t>. PERÚ</w:t>
      </w:r>
    </w:p>
    <w:p w14:paraId="755251B3" w14:textId="77777777" w:rsidR="00D91AF5" w:rsidRPr="008B7099" w:rsidRDefault="00D91AF5" w:rsidP="00D91AF5">
      <w:pPr>
        <w:spacing w:after="0" w:line="240" w:lineRule="auto"/>
        <w:jc w:val="center"/>
        <w:rPr>
          <w:rFonts w:ascii="Verdana" w:hAnsi="Verdana"/>
          <w:b/>
          <w:color w:val="000000" w:themeColor="text1"/>
          <w:sz w:val="20"/>
          <w:szCs w:val="20"/>
        </w:rPr>
      </w:pPr>
    </w:p>
    <w:p w14:paraId="721527E0" w14:textId="4FCBACB6" w:rsidR="00D91AF5" w:rsidRPr="008B7099" w:rsidRDefault="00D91AF5" w:rsidP="00D91AF5">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 xml:space="preserve">SENTENCIA DE </w:t>
      </w:r>
      <w:r w:rsidR="001E12E0">
        <w:rPr>
          <w:rFonts w:ascii="Verdana" w:hAnsi="Verdana"/>
          <w:b/>
          <w:color w:val="000000" w:themeColor="text1"/>
          <w:sz w:val="20"/>
          <w:szCs w:val="20"/>
        </w:rPr>
        <w:t>21</w:t>
      </w:r>
      <w:r w:rsidR="009D0958" w:rsidRPr="008B7099">
        <w:rPr>
          <w:rFonts w:ascii="Verdana" w:hAnsi="Verdana"/>
          <w:b/>
          <w:color w:val="000000" w:themeColor="text1"/>
          <w:sz w:val="20"/>
          <w:szCs w:val="20"/>
        </w:rPr>
        <w:t xml:space="preserve"> DE </w:t>
      </w:r>
      <w:r w:rsidR="001E12E0">
        <w:rPr>
          <w:rFonts w:ascii="Verdana" w:hAnsi="Verdana"/>
          <w:b/>
          <w:color w:val="000000" w:themeColor="text1"/>
          <w:sz w:val="20"/>
          <w:szCs w:val="20"/>
        </w:rPr>
        <w:t>NOVIEMBRE</w:t>
      </w:r>
      <w:r w:rsidR="009D0958" w:rsidRPr="008B7099">
        <w:rPr>
          <w:rFonts w:ascii="Verdana" w:hAnsi="Verdana"/>
          <w:b/>
          <w:color w:val="000000" w:themeColor="text1"/>
          <w:sz w:val="20"/>
          <w:szCs w:val="20"/>
        </w:rPr>
        <w:t xml:space="preserve"> DE </w:t>
      </w:r>
      <w:r w:rsidR="00EB7379" w:rsidRPr="008B7099">
        <w:rPr>
          <w:rFonts w:ascii="Verdana" w:hAnsi="Verdana"/>
          <w:b/>
          <w:color w:val="000000" w:themeColor="text1"/>
          <w:sz w:val="20"/>
          <w:szCs w:val="20"/>
        </w:rPr>
        <w:t>202</w:t>
      </w:r>
      <w:r w:rsidR="00A57FD4" w:rsidRPr="008B7099">
        <w:rPr>
          <w:rFonts w:ascii="Verdana" w:hAnsi="Verdana"/>
          <w:b/>
          <w:color w:val="000000" w:themeColor="text1"/>
          <w:sz w:val="20"/>
          <w:szCs w:val="20"/>
        </w:rPr>
        <w:t>2</w:t>
      </w:r>
    </w:p>
    <w:p w14:paraId="30A7B34A" w14:textId="77777777" w:rsidR="00D91AF5" w:rsidRPr="008B7099" w:rsidRDefault="00D91AF5" w:rsidP="00D91AF5">
      <w:pPr>
        <w:spacing w:after="0" w:line="240" w:lineRule="auto"/>
        <w:jc w:val="center"/>
        <w:rPr>
          <w:rFonts w:ascii="Verdana" w:hAnsi="Verdana"/>
          <w:b/>
          <w:color w:val="000000" w:themeColor="text1"/>
          <w:sz w:val="20"/>
          <w:szCs w:val="20"/>
        </w:rPr>
      </w:pPr>
    </w:p>
    <w:p w14:paraId="2C95DB8D" w14:textId="5EC2545E" w:rsidR="00D91AF5" w:rsidRPr="008B7099" w:rsidRDefault="00D91AF5" w:rsidP="00D91AF5">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w:t>
      </w:r>
      <w:r w:rsidRPr="008B7099">
        <w:rPr>
          <w:rFonts w:ascii="Verdana" w:hAnsi="Verdana"/>
          <w:b/>
          <w:i/>
          <w:color w:val="000000" w:themeColor="text1"/>
          <w:sz w:val="20"/>
          <w:szCs w:val="20"/>
        </w:rPr>
        <w:t>Interpretación de la Sentencia de</w:t>
      </w:r>
      <w:r w:rsidR="00A57FD4" w:rsidRPr="008B7099">
        <w:rPr>
          <w:rFonts w:ascii="Verdana" w:hAnsi="Verdana"/>
          <w:b/>
          <w:i/>
          <w:color w:val="000000" w:themeColor="text1"/>
          <w:sz w:val="20"/>
          <w:szCs w:val="20"/>
        </w:rPr>
        <w:t xml:space="preserve"> </w:t>
      </w:r>
      <w:r w:rsidR="006A61D1" w:rsidRPr="008B7099">
        <w:rPr>
          <w:rFonts w:ascii="Verdana" w:hAnsi="Verdana"/>
          <w:b/>
          <w:i/>
          <w:color w:val="000000" w:themeColor="text1"/>
          <w:sz w:val="20"/>
          <w:szCs w:val="20"/>
        </w:rPr>
        <w:t>Excepciones Preliminares</w:t>
      </w:r>
      <w:r w:rsidR="00A57FD4" w:rsidRPr="008B7099">
        <w:rPr>
          <w:rFonts w:ascii="Verdana" w:hAnsi="Verdana"/>
          <w:b/>
          <w:i/>
          <w:color w:val="000000" w:themeColor="text1"/>
          <w:sz w:val="20"/>
          <w:szCs w:val="20"/>
        </w:rPr>
        <w:t>,</w:t>
      </w:r>
      <w:r w:rsidRPr="008B7099">
        <w:rPr>
          <w:rFonts w:ascii="Verdana" w:hAnsi="Verdana"/>
          <w:b/>
          <w:i/>
          <w:color w:val="000000" w:themeColor="text1"/>
          <w:sz w:val="20"/>
          <w:szCs w:val="20"/>
        </w:rPr>
        <w:t xml:space="preserve"> Fondo</w:t>
      </w:r>
      <w:r w:rsidR="00CA0CED">
        <w:rPr>
          <w:rFonts w:ascii="Verdana" w:hAnsi="Verdana"/>
          <w:b/>
          <w:i/>
          <w:color w:val="000000" w:themeColor="text1"/>
          <w:sz w:val="20"/>
          <w:szCs w:val="20"/>
        </w:rPr>
        <w:t xml:space="preserve"> y</w:t>
      </w:r>
      <w:r w:rsidR="00A57FD4" w:rsidRPr="008B7099">
        <w:rPr>
          <w:rFonts w:ascii="Verdana" w:hAnsi="Verdana"/>
          <w:b/>
          <w:i/>
          <w:color w:val="000000" w:themeColor="text1"/>
          <w:sz w:val="20"/>
          <w:szCs w:val="20"/>
        </w:rPr>
        <w:t xml:space="preserve"> Reparaciones</w:t>
      </w:r>
      <w:r w:rsidR="00CA0CED">
        <w:rPr>
          <w:rFonts w:ascii="Verdana" w:hAnsi="Verdana"/>
          <w:b/>
          <w:i/>
          <w:color w:val="000000" w:themeColor="text1"/>
          <w:sz w:val="20"/>
          <w:szCs w:val="20"/>
        </w:rPr>
        <w:t>)</w:t>
      </w:r>
    </w:p>
    <w:p w14:paraId="08131B3E" w14:textId="77777777" w:rsidR="00D91AF5" w:rsidRPr="008B7099" w:rsidRDefault="00D91AF5" w:rsidP="00D91AF5">
      <w:pPr>
        <w:spacing w:after="0" w:line="240" w:lineRule="auto"/>
        <w:rPr>
          <w:rFonts w:ascii="Verdana" w:hAnsi="Verdana"/>
          <w:b/>
          <w:color w:val="000000" w:themeColor="text1"/>
          <w:sz w:val="20"/>
          <w:szCs w:val="20"/>
        </w:rPr>
      </w:pPr>
    </w:p>
    <w:p w14:paraId="6008CDF9" w14:textId="77777777" w:rsidR="00D91AF5" w:rsidRPr="008B7099" w:rsidRDefault="00D91AF5" w:rsidP="00D91AF5">
      <w:pPr>
        <w:spacing w:after="0" w:line="240" w:lineRule="auto"/>
        <w:rPr>
          <w:rFonts w:ascii="Verdana" w:hAnsi="Verdana"/>
          <w:b/>
          <w:color w:val="000000" w:themeColor="text1"/>
          <w:sz w:val="20"/>
          <w:szCs w:val="20"/>
        </w:rPr>
      </w:pPr>
    </w:p>
    <w:p w14:paraId="4CD2A8FD" w14:textId="05760D8A" w:rsidR="00D91AF5" w:rsidRPr="008B7099" w:rsidRDefault="00D91AF5" w:rsidP="00D91AF5">
      <w:pPr>
        <w:spacing w:after="0" w:line="240" w:lineRule="auto"/>
        <w:rPr>
          <w:rFonts w:ascii="Verdana" w:hAnsi="Verdana"/>
          <w:color w:val="000000" w:themeColor="text1"/>
          <w:sz w:val="20"/>
          <w:szCs w:val="20"/>
        </w:rPr>
      </w:pPr>
      <w:r w:rsidRPr="008B7099">
        <w:rPr>
          <w:rFonts w:ascii="Verdana" w:hAnsi="Verdana"/>
          <w:color w:val="000000" w:themeColor="text1"/>
          <w:sz w:val="20"/>
          <w:szCs w:val="20"/>
        </w:rPr>
        <w:t xml:space="preserve">En el caso </w:t>
      </w:r>
      <w:r w:rsidR="006A61D1" w:rsidRPr="008B7099">
        <w:rPr>
          <w:rFonts w:ascii="Verdana" w:hAnsi="Verdana"/>
          <w:i/>
          <w:color w:val="000000" w:themeColor="text1"/>
          <w:sz w:val="20"/>
          <w:szCs w:val="20"/>
        </w:rPr>
        <w:t>Federación Nacional de Trabajadores Marítimos y Portuarios (FEMAPOR) Vs. Perú</w:t>
      </w:r>
      <w:r w:rsidRPr="008B7099">
        <w:rPr>
          <w:rFonts w:ascii="Verdana" w:hAnsi="Verdana"/>
          <w:color w:val="000000" w:themeColor="text1"/>
          <w:sz w:val="20"/>
          <w:szCs w:val="20"/>
        </w:rPr>
        <w:t>,</w:t>
      </w:r>
    </w:p>
    <w:p w14:paraId="48A9E274" w14:textId="77777777" w:rsidR="00D91AF5" w:rsidRPr="008B7099" w:rsidRDefault="00D91AF5" w:rsidP="00D91AF5">
      <w:pPr>
        <w:spacing w:after="0" w:line="240" w:lineRule="auto"/>
        <w:rPr>
          <w:rFonts w:ascii="Verdana" w:hAnsi="Verdana"/>
          <w:color w:val="000000" w:themeColor="text1"/>
          <w:sz w:val="20"/>
          <w:szCs w:val="20"/>
        </w:rPr>
      </w:pPr>
    </w:p>
    <w:p w14:paraId="38614F3D" w14:textId="128A5FA5" w:rsidR="00D91AF5" w:rsidRPr="008B7099" w:rsidRDefault="00D91AF5" w:rsidP="00965CDE">
      <w:pPr>
        <w:spacing w:after="0" w:line="240" w:lineRule="auto"/>
        <w:jc w:val="both"/>
        <w:rPr>
          <w:rFonts w:ascii="Verdana" w:hAnsi="Verdana"/>
          <w:color w:val="000000" w:themeColor="text1"/>
          <w:sz w:val="20"/>
          <w:szCs w:val="20"/>
        </w:rPr>
      </w:pPr>
      <w:r w:rsidRPr="008B7099">
        <w:rPr>
          <w:rFonts w:ascii="Verdana" w:hAnsi="Verdana"/>
          <w:color w:val="000000" w:themeColor="text1"/>
          <w:sz w:val="20"/>
          <w:szCs w:val="20"/>
        </w:rPr>
        <w:t>la Corte Interamericana de Derechos Humanos (en adelante “la Corte Interamericana”, “la Corte” o “</w:t>
      </w:r>
      <w:r w:rsidR="00AA67ED" w:rsidRPr="008B7099">
        <w:rPr>
          <w:rFonts w:ascii="Verdana" w:hAnsi="Verdana"/>
          <w:color w:val="000000" w:themeColor="text1"/>
          <w:sz w:val="20"/>
          <w:szCs w:val="20"/>
        </w:rPr>
        <w:t>el</w:t>
      </w:r>
      <w:r w:rsidRPr="008B7099">
        <w:rPr>
          <w:rFonts w:ascii="Verdana" w:hAnsi="Verdana"/>
          <w:color w:val="000000" w:themeColor="text1"/>
          <w:sz w:val="20"/>
          <w:szCs w:val="20"/>
        </w:rPr>
        <w:t xml:space="preserve"> Tribunal”)</w:t>
      </w:r>
      <w:r w:rsidR="00EB7379" w:rsidRPr="008B7099">
        <w:rPr>
          <w:rFonts w:ascii="Verdana" w:hAnsi="Verdana"/>
          <w:color w:val="000000" w:themeColor="text1"/>
          <w:sz w:val="20"/>
          <w:szCs w:val="20"/>
        </w:rPr>
        <w:t>, integrada por los siguientes J</w:t>
      </w:r>
      <w:r w:rsidRPr="008B7099">
        <w:rPr>
          <w:rFonts w:ascii="Verdana" w:hAnsi="Verdana"/>
          <w:color w:val="000000" w:themeColor="text1"/>
          <w:sz w:val="20"/>
          <w:szCs w:val="20"/>
        </w:rPr>
        <w:t>ueces</w:t>
      </w:r>
      <w:r w:rsidR="00CF0B63" w:rsidRPr="008B7099">
        <w:rPr>
          <w:rStyle w:val="Refdenotaalpie"/>
          <w:rFonts w:ascii="Verdana" w:hAnsi="Verdana"/>
          <w:b/>
          <w:color w:val="000000" w:themeColor="text1"/>
          <w:sz w:val="20"/>
          <w:szCs w:val="20"/>
        </w:rPr>
        <w:footnoteReference w:customMarkFollows="1" w:id="1"/>
        <w:t>*</w:t>
      </w:r>
      <w:r w:rsidRPr="008B7099">
        <w:rPr>
          <w:rFonts w:ascii="Verdana" w:hAnsi="Verdana"/>
          <w:color w:val="000000" w:themeColor="text1"/>
          <w:sz w:val="20"/>
          <w:szCs w:val="20"/>
        </w:rPr>
        <w:t>:</w:t>
      </w:r>
    </w:p>
    <w:p w14:paraId="08299B80" w14:textId="77777777" w:rsidR="00D91AF5" w:rsidRPr="008B7099" w:rsidRDefault="00D91AF5" w:rsidP="00D91AF5">
      <w:pPr>
        <w:spacing w:after="0" w:line="240" w:lineRule="auto"/>
        <w:rPr>
          <w:rFonts w:ascii="Verdana" w:hAnsi="Verdana"/>
          <w:color w:val="000000" w:themeColor="text1"/>
          <w:sz w:val="20"/>
          <w:szCs w:val="20"/>
        </w:rPr>
      </w:pPr>
    </w:p>
    <w:p w14:paraId="4002B30C" w14:textId="4C487BD9" w:rsidR="006A61D1" w:rsidRPr="008B7099" w:rsidRDefault="006A61D1" w:rsidP="00D91AF5">
      <w:pPr>
        <w:spacing w:after="0" w:line="240" w:lineRule="auto"/>
        <w:rPr>
          <w:rFonts w:ascii="Verdana" w:hAnsi="Verdana"/>
          <w:color w:val="000000" w:themeColor="text1"/>
          <w:sz w:val="20"/>
          <w:szCs w:val="20"/>
        </w:rPr>
      </w:pPr>
      <w:r w:rsidRPr="008B7099">
        <w:rPr>
          <w:rFonts w:ascii="Verdana" w:hAnsi="Verdana"/>
          <w:color w:val="000000" w:themeColor="text1"/>
          <w:sz w:val="20"/>
          <w:szCs w:val="20"/>
        </w:rPr>
        <w:t>Elizabeth Odio Benito, Presidenta;</w:t>
      </w:r>
    </w:p>
    <w:p w14:paraId="744CCF40" w14:textId="53705A37" w:rsidR="00EB7379" w:rsidRPr="008B7099" w:rsidRDefault="00EB7379" w:rsidP="00D91AF5">
      <w:pPr>
        <w:spacing w:after="0" w:line="240" w:lineRule="auto"/>
        <w:rPr>
          <w:rFonts w:ascii="Verdana" w:hAnsi="Verdana"/>
          <w:color w:val="000000" w:themeColor="text1"/>
          <w:sz w:val="20"/>
          <w:szCs w:val="20"/>
        </w:rPr>
      </w:pPr>
      <w:r w:rsidRPr="008B7099">
        <w:rPr>
          <w:rFonts w:ascii="Verdana" w:hAnsi="Verdana"/>
          <w:color w:val="000000" w:themeColor="text1"/>
          <w:sz w:val="20"/>
          <w:szCs w:val="20"/>
        </w:rPr>
        <w:t xml:space="preserve">L. Patricio Pazmiño Freire, </w:t>
      </w:r>
      <w:r w:rsidR="006A61D1" w:rsidRPr="008B7099">
        <w:rPr>
          <w:rFonts w:ascii="Verdana" w:hAnsi="Verdana"/>
          <w:color w:val="000000" w:themeColor="text1"/>
          <w:sz w:val="20"/>
          <w:szCs w:val="20"/>
        </w:rPr>
        <w:t>Vicepresidente</w:t>
      </w:r>
      <w:r w:rsidRPr="008B7099">
        <w:rPr>
          <w:rFonts w:ascii="Verdana" w:hAnsi="Verdana"/>
          <w:color w:val="000000" w:themeColor="text1"/>
          <w:sz w:val="20"/>
          <w:szCs w:val="20"/>
        </w:rPr>
        <w:t xml:space="preserve">; </w:t>
      </w:r>
    </w:p>
    <w:p w14:paraId="42435CDF" w14:textId="19378A75" w:rsidR="00EB7379" w:rsidRPr="008B7099" w:rsidRDefault="00EB7379" w:rsidP="00916741">
      <w:pPr>
        <w:tabs>
          <w:tab w:val="left" w:pos="8672"/>
        </w:tabs>
        <w:spacing w:after="0" w:line="240" w:lineRule="auto"/>
        <w:rPr>
          <w:rFonts w:ascii="Verdana" w:hAnsi="Verdana"/>
          <w:color w:val="000000" w:themeColor="text1"/>
          <w:sz w:val="20"/>
          <w:szCs w:val="20"/>
        </w:rPr>
      </w:pPr>
      <w:r w:rsidRPr="008B7099">
        <w:rPr>
          <w:rFonts w:ascii="Verdana" w:hAnsi="Verdana"/>
          <w:color w:val="000000" w:themeColor="text1"/>
          <w:sz w:val="20"/>
          <w:szCs w:val="20"/>
        </w:rPr>
        <w:t xml:space="preserve">Humberto Antonio Sierra Porto, Juez; </w:t>
      </w:r>
      <w:r w:rsidR="00916741">
        <w:rPr>
          <w:rFonts w:ascii="Verdana" w:hAnsi="Verdana"/>
          <w:color w:val="000000" w:themeColor="text1"/>
          <w:sz w:val="20"/>
          <w:szCs w:val="20"/>
        </w:rPr>
        <w:tab/>
      </w:r>
    </w:p>
    <w:p w14:paraId="2D4EAFBA" w14:textId="77777777" w:rsidR="00EB7379" w:rsidRPr="008B7099" w:rsidRDefault="00EB7379" w:rsidP="00D91AF5">
      <w:pPr>
        <w:spacing w:after="0" w:line="240" w:lineRule="auto"/>
        <w:rPr>
          <w:rFonts w:ascii="Verdana" w:hAnsi="Verdana"/>
          <w:color w:val="000000" w:themeColor="text1"/>
          <w:sz w:val="20"/>
          <w:szCs w:val="20"/>
        </w:rPr>
      </w:pPr>
      <w:r w:rsidRPr="008B7099">
        <w:rPr>
          <w:rFonts w:ascii="Verdana" w:hAnsi="Verdana"/>
          <w:color w:val="000000" w:themeColor="text1"/>
          <w:sz w:val="20"/>
          <w:szCs w:val="20"/>
        </w:rPr>
        <w:t xml:space="preserve">Eduardo Ferrer Mac-Gregor Poisot, Juez; </w:t>
      </w:r>
    </w:p>
    <w:p w14:paraId="3EB84ECF" w14:textId="3D0FEFDA" w:rsidR="00EB7379" w:rsidRPr="008B7099" w:rsidRDefault="00EB7379" w:rsidP="00D91AF5">
      <w:pPr>
        <w:spacing w:after="0" w:line="240" w:lineRule="auto"/>
        <w:rPr>
          <w:rFonts w:ascii="Verdana" w:hAnsi="Verdana"/>
          <w:color w:val="000000" w:themeColor="text1"/>
          <w:sz w:val="20"/>
          <w:szCs w:val="20"/>
        </w:rPr>
      </w:pPr>
      <w:r w:rsidRPr="008B7099">
        <w:rPr>
          <w:rFonts w:ascii="Verdana" w:hAnsi="Verdana"/>
          <w:color w:val="000000" w:themeColor="text1"/>
          <w:sz w:val="20"/>
          <w:szCs w:val="20"/>
        </w:rPr>
        <w:t>Eugenio Raúl Zaffaroni, Juez, y</w:t>
      </w:r>
      <w:r w:rsidR="003A673A" w:rsidRPr="008B7099">
        <w:rPr>
          <w:rFonts w:ascii="Verdana" w:hAnsi="Verdana"/>
          <w:color w:val="000000" w:themeColor="text1"/>
          <w:sz w:val="20"/>
          <w:szCs w:val="20"/>
        </w:rPr>
        <w:t xml:space="preserve"> </w:t>
      </w:r>
    </w:p>
    <w:p w14:paraId="3FB425AE" w14:textId="01BD8AF5" w:rsidR="00BD5ECF" w:rsidRPr="008B7099" w:rsidRDefault="00EB7379" w:rsidP="00D91AF5">
      <w:pPr>
        <w:spacing w:after="0" w:line="240" w:lineRule="auto"/>
        <w:rPr>
          <w:rFonts w:ascii="Verdana" w:hAnsi="Verdana"/>
          <w:color w:val="000000" w:themeColor="text1"/>
          <w:sz w:val="20"/>
          <w:szCs w:val="20"/>
        </w:rPr>
      </w:pPr>
      <w:r w:rsidRPr="008B7099">
        <w:rPr>
          <w:rFonts w:ascii="Verdana" w:hAnsi="Verdana"/>
          <w:color w:val="000000" w:themeColor="text1"/>
          <w:sz w:val="20"/>
          <w:szCs w:val="20"/>
        </w:rPr>
        <w:t xml:space="preserve">Ricardo </w:t>
      </w:r>
      <w:r w:rsidR="00BA3E45">
        <w:rPr>
          <w:rFonts w:ascii="Verdana" w:hAnsi="Verdana"/>
          <w:color w:val="000000" w:themeColor="text1"/>
          <w:sz w:val="20"/>
          <w:szCs w:val="20"/>
        </w:rPr>
        <w:t xml:space="preserve">C. </w:t>
      </w:r>
      <w:r w:rsidRPr="008B7099">
        <w:rPr>
          <w:rFonts w:ascii="Verdana" w:hAnsi="Verdana"/>
          <w:color w:val="000000" w:themeColor="text1"/>
          <w:sz w:val="20"/>
          <w:szCs w:val="20"/>
        </w:rPr>
        <w:t>Pérez Manrique, Juez.</w:t>
      </w:r>
    </w:p>
    <w:p w14:paraId="7D164CD0" w14:textId="77777777" w:rsidR="00EB7379" w:rsidRPr="008B7099" w:rsidRDefault="00EB7379" w:rsidP="00D91AF5">
      <w:pPr>
        <w:spacing w:after="0" w:line="240" w:lineRule="auto"/>
        <w:rPr>
          <w:rFonts w:ascii="Verdana" w:hAnsi="Verdana"/>
          <w:color w:val="000000" w:themeColor="text1"/>
          <w:sz w:val="20"/>
          <w:szCs w:val="20"/>
        </w:rPr>
      </w:pPr>
    </w:p>
    <w:p w14:paraId="5B8DC823" w14:textId="77777777" w:rsidR="00BD5ECF" w:rsidRPr="008B7099" w:rsidRDefault="00BD5ECF" w:rsidP="00D91AF5">
      <w:pPr>
        <w:spacing w:after="0" w:line="240" w:lineRule="auto"/>
        <w:rPr>
          <w:rFonts w:ascii="Verdana" w:hAnsi="Verdana"/>
          <w:color w:val="000000" w:themeColor="text1"/>
          <w:sz w:val="20"/>
          <w:szCs w:val="20"/>
        </w:rPr>
      </w:pPr>
      <w:r w:rsidRPr="008B7099">
        <w:rPr>
          <w:rFonts w:ascii="Verdana" w:hAnsi="Verdana"/>
          <w:color w:val="000000" w:themeColor="text1"/>
          <w:sz w:val="20"/>
          <w:szCs w:val="20"/>
        </w:rPr>
        <w:t>presente</w:t>
      </w:r>
      <w:r w:rsidR="00EB7379" w:rsidRPr="008B7099">
        <w:rPr>
          <w:rFonts w:ascii="Verdana" w:hAnsi="Verdana"/>
          <w:color w:val="000000" w:themeColor="text1"/>
          <w:sz w:val="20"/>
          <w:szCs w:val="20"/>
        </w:rPr>
        <w:t>s</w:t>
      </w:r>
      <w:r w:rsidRPr="008B7099">
        <w:rPr>
          <w:rFonts w:ascii="Verdana" w:hAnsi="Verdana"/>
          <w:color w:val="000000" w:themeColor="text1"/>
          <w:sz w:val="20"/>
          <w:szCs w:val="20"/>
        </w:rPr>
        <w:t xml:space="preserve">, además, </w:t>
      </w:r>
    </w:p>
    <w:p w14:paraId="6943DB3A" w14:textId="77777777" w:rsidR="00BD5ECF" w:rsidRPr="008B7099" w:rsidRDefault="00BD5ECF" w:rsidP="00D91AF5">
      <w:pPr>
        <w:spacing w:after="0" w:line="240" w:lineRule="auto"/>
        <w:rPr>
          <w:rFonts w:ascii="Verdana" w:hAnsi="Verdana"/>
          <w:color w:val="000000" w:themeColor="text1"/>
          <w:sz w:val="20"/>
          <w:szCs w:val="20"/>
        </w:rPr>
      </w:pPr>
    </w:p>
    <w:p w14:paraId="6B3E2B37" w14:textId="77777777" w:rsidR="00BD5ECF" w:rsidRPr="008B7099" w:rsidRDefault="00BD5ECF" w:rsidP="00A03487">
      <w:pPr>
        <w:spacing w:after="0" w:line="240" w:lineRule="auto"/>
        <w:rPr>
          <w:rFonts w:ascii="Verdana" w:hAnsi="Verdana"/>
          <w:color w:val="000000" w:themeColor="text1"/>
          <w:sz w:val="20"/>
          <w:szCs w:val="20"/>
        </w:rPr>
      </w:pPr>
      <w:r w:rsidRPr="008B7099">
        <w:rPr>
          <w:rFonts w:ascii="Verdana" w:hAnsi="Verdana"/>
          <w:color w:val="000000" w:themeColor="text1"/>
          <w:sz w:val="20"/>
          <w:szCs w:val="20"/>
        </w:rPr>
        <w:t xml:space="preserve">Pablo Saavedra Alessandri, Secretario, </w:t>
      </w:r>
    </w:p>
    <w:p w14:paraId="4B0CD371" w14:textId="77777777" w:rsidR="00BD5ECF" w:rsidRPr="008B7099" w:rsidRDefault="00EB7379" w:rsidP="00D91AF5">
      <w:pPr>
        <w:spacing w:after="0" w:line="240" w:lineRule="auto"/>
        <w:rPr>
          <w:rFonts w:ascii="Verdana" w:hAnsi="Verdana"/>
          <w:color w:val="000000" w:themeColor="text1"/>
          <w:sz w:val="20"/>
          <w:szCs w:val="20"/>
        </w:rPr>
      </w:pPr>
      <w:r w:rsidRPr="008B7099">
        <w:rPr>
          <w:rFonts w:ascii="Verdana" w:hAnsi="Verdana"/>
          <w:color w:val="000000" w:themeColor="text1"/>
          <w:sz w:val="20"/>
          <w:szCs w:val="20"/>
        </w:rPr>
        <w:t>Romina I. Sijniensky, Secretaria Adjunta,</w:t>
      </w:r>
    </w:p>
    <w:p w14:paraId="461876A2" w14:textId="77777777" w:rsidR="00EB7379" w:rsidRPr="008B7099" w:rsidRDefault="00EB7379" w:rsidP="00D91AF5">
      <w:pPr>
        <w:spacing w:after="0" w:line="240" w:lineRule="auto"/>
        <w:rPr>
          <w:rFonts w:ascii="Verdana" w:hAnsi="Verdana"/>
          <w:color w:val="000000" w:themeColor="text1"/>
          <w:sz w:val="20"/>
          <w:szCs w:val="20"/>
        </w:rPr>
      </w:pPr>
    </w:p>
    <w:p w14:paraId="338C03DD" w14:textId="735A62DC" w:rsidR="00BD5ECF" w:rsidRPr="008B7099" w:rsidRDefault="00BD5ECF" w:rsidP="00BD5ECF">
      <w:pPr>
        <w:spacing w:after="0" w:line="240" w:lineRule="auto"/>
        <w:jc w:val="both"/>
        <w:rPr>
          <w:rFonts w:ascii="Verdana" w:hAnsi="Verdana"/>
          <w:color w:val="000000" w:themeColor="text1"/>
          <w:sz w:val="20"/>
          <w:szCs w:val="20"/>
        </w:rPr>
      </w:pPr>
      <w:r w:rsidRPr="008B7099">
        <w:rPr>
          <w:rFonts w:ascii="Verdana" w:hAnsi="Verdana"/>
          <w:color w:val="000000" w:themeColor="text1"/>
          <w:sz w:val="20"/>
          <w:szCs w:val="20"/>
        </w:rPr>
        <w:t xml:space="preserve">de conformidad con el artículo 67 de la Convención Americana sobre Derechos Humanos (en adelante </w:t>
      </w:r>
      <w:r w:rsidR="00726F1E" w:rsidRPr="008B7099">
        <w:rPr>
          <w:rFonts w:ascii="Verdana" w:hAnsi="Verdana"/>
          <w:color w:val="000000" w:themeColor="text1"/>
          <w:sz w:val="20"/>
          <w:szCs w:val="20"/>
        </w:rPr>
        <w:t xml:space="preserve">también </w:t>
      </w:r>
      <w:r w:rsidRPr="008B7099">
        <w:rPr>
          <w:rFonts w:ascii="Verdana" w:hAnsi="Verdana"/>
          <w:color w:val="000000" w:themeColor="text1"/>
          <w:sz w:val="20"/>
          <w:szCs w:val="20"/>
        </w:rPr>
        <w:t>“la Convención</w:t>
      </w:r>
      <w:r w:rsidR="00726F1E" w:rsidRPr="008B7099">
        <w:rPr>
          <w:rFonts w:ascii="Verdana" w:hAnsi="Verdana"/>
          <w:color w:val="000000" w:themeColor="text1"/>
          <w:sz w:val="20"/>
          <w:szCs w:val="20"/>
        </w:rPr>
        <w:t xml:space="preserve"> Americana</w:t>
      </w:r>
      <w:r w:rsidRPr="008B7099">
        <w:rPr>
          <w:rFonts w:ascii="Verdana" w:hAnsi="Verdana"/>
          <w:color w:val="000000" w:themeColor="text1"/>
          <w:sz w:val="20"/>
          <w:szCs w:val="20"/>
        </w:rPr>
        <w:t>”</w:t>
      </w:r>
      <w:r w:rsidR="00726F1E" w:rsidRPr="008B7099">
        <w:rPr>
          <w:rFonts w:ascii="Verdana" w:hAnsi="Verdana"/>
          <w:color w:val="000000" w:themeColor="text1"/>
          <w:sz w:val="20"/>
          <w:szCs w:val="20"/>
        </w:rPr>
        <w:t xml:space="preserve"> o “la Convención”</w:t>
      </w:r>
      <w:r w:rsidRPr="008B7099">
        <w:rPr>
          <w:rFonts w:ascii="Verdana" w:hAnsi="Verdana"/>
          <w:color w:val="000000" w:themeColor="text1"/>
          <w:sz w:val="20"/>
          <w:szCs w:val="20"/>
        </w:rPr>
        <w:t>) y el artículo 68 del Reglamento de la Corte (en adelante “el Reglamento”), resuelve la</w:t>
      </w:r>
      <w:r w:rsidR="00EB7379" w:rsidRPr="008B7099">
        <w:rPr>
          <w:rFonts w:ascii="Verdana" w:hAnsi="Verdana"/>
          <w:color w:val="000000" w:themeColor="text1"/>
          <w:sz w:val="20"/>
          <w:szCs w:val="20"/>
        </w:rPr>
        <w:t>s</w:t>
      </w:r>
      <w:r w:rsidRPr="008B7099">
        <w:rPr>
          <w:rFonts w:ascii="Verdana" w:hAnsi="Verdana"/>
          <w:color w:val="000000" w:themeColor="text1"/>
          <w:sz w:val="20"/>
          <w:szCs w:val="20"/>
        </w:rPr>
        <w:t xml:space="preserve"> solicitud</w:t>
      </w:r>
      <w:r w:rsidR="00EB7379" w:rsidRPr="008B7099">
        <w:rPr>
          <w:rFonts w:ascii="Verdana" w:hAnsi="Verdana"/>
          <w:color w:val="000000" w:themeColor="text1"/>
          <w:sz w:val="20"/>
          <w:szCs w:val="20"/>
        </w:rPr>
        <w:t>es</w:t>
      </w:r>
      <w:r w:rsidRPr="008B7099">
        <w:rPr>
          <w:rFonts w:ascii="Verdana" w:hAnsi="Verdana"/>
          <w:color w:val="000000" w:themeColor="text1"/>
          <w:sz w:val="20"/>
          <w:szCs w:val="20"/>
        </w:rPr>
        <w:t xml:space="preserve"> de interpretación de la Sentencia de </w:t>
      </w:r>
      <w:r w:rsidR="006A61D1" w:rsidRPr="008B7099">
        <w:rPr>
          <w:rFonts w:ascii="Verdana" w:hAnsi="Verdana"/>
          <w:color w:val="000000" w:themeColor="text1"/>
          <w:sz w:val="20"/>
          <w:szCs w:val="20"/>
        </w:rPr>
        <w:t>Excepciones Preliminares</w:t>
      </w:r>
      <w:r w:rsidR="00A57FD4" w:rsidRPr="008B7099">
        <w:rPr>
          <w:rFonts w:ascii="Verdana" w:hAnsi="Verdana"/>
          <w:color w:val="000000" w:themeColor="text1"/>
          <w:sz w:val="20"/>
          <w:szCs w:val="20"/>
        </w:rPr>
        <w:t xml:space="preserve">, </w:t>
      </w:r>
      <w:r w:rsidR="00726F1E" w:rsidRPr="008B7099">
        <w:rPr>
          <w:rFonts w:ascii="Verdana" w:hAnsi="Verdana"/>
          <w:color w:val="000000" w:themeColor="text1"/>
          <w:sz w:val="20"/>
          <w:szCs w:val="20"/>
        </w:rPr>
        <w:t>F</w:t>
      </w:r>
      <w:r w:rsidR="00EB7379" w:rsidRPr="008B7099">
        <w:rPr>
          <w:rFonts w:ascii="Verdana" w:hAnsi="Verdana"/>
          <w:color w:val="000000" w:themeColor="text1"/>
          <w:sz w:val="20"/>
          <w:szCs w:val="20"/>
        </w:rPr>
        <w:t>ondo</w:t>
      </w:r>
      <w:r w:rsidR="00B52065">
        <w:rPr>
          <w:rFonts w:ascii="Verdana" w:hAnsi="Verdana"/>
          <w:color w:val="000000" w:themeColor="text1"/>
          <w:sz w:val="20"/>
          <w:szCs w:val="20"/>
        </w:rPr>
        <w:t xml:space="preserve"> y</w:t>
      </w:r>
      <w:r w:rsidR="00A57FD4" w:rsidRPr="008B7099">
        <w:rPr>
          <w:rFonts w:ascii="Verdana" w:hAnsi="Verdana"/>
          <w:color w:val="000000" w:themeColor="text1"/>
          <w:sz w:val="20"/>
          <w:szCs w:val="20"/>
        </w:rPr>
        <w:t xml:space="preserve"> </w:t>
      </w:r>
      <w:r w:rsidR="00726F1E" w:rsidRPr="008B7099">
        <w:rPr>
          <w:rFonts w:ascii="Verdana" w:hAnsi="Verdana"/>
          <w:color w:val="000000" w:themeColor="text1"/>
          <w:sz w:val="20"/>
          <w:szCs w:val="20"/>
        </w:rPr>
        <w:t>Reparaciones</w:t>
      </w:r>
      <w:r w:rsidR="00A57FD4" w:rsidRPr="008B7099">
        <w:rPr>
          <w:rFonts w:ascii="Verdana" w:hAnsi="Verdana"/>
          <w:color w:val="000000" w:themeColor="text1"/>
          <w:sz w:val="20"/>
          <w:szCs w:val="20"/>
        </w:rPr>
        <w:t xml:space="preserve"> </w:t>
      </w:r>
      <w:r w:rsidR="004A56D9" w:rsidRPr="008B7099">
        <w:rPr>
          <w:rFonts w:ascii="Verdana" w:hAnsi="Verdana"/>
          <w:color w:val="000000" w:themeColor="text1"/>
          <w:sz w:val="20"/>
          <w:szCs w:val="20"/>
        </w:rPr>
        <w:t xml:space="preserve">emitida </w:t>
      </w:r>
      <w:r w:rsidRPr="008B7099">
        <w:rPr>
          <w:rFonts w:ascii="Verdana" w:hAnsi="Verdana"/>
          <w:color w:val="000000" w:themeColor="text1"/>
          <w:sz w:val="20"/>
          <w:szCs w:val="20"/>
        </w:rPr>
        <w:t xml:space="preserve">por este Tribunal el </w:t>
      </w:r>
      <w:r w:rsidR="006A61D1" w:rsidRPr="008B7099">
        <w:rPr>
          <w:rFonts w:ascii="Verdana" w:hAnsi="Verdana"/>
          <w:color w:val="000000" w:themeColor="text1"/>
          <w:sz w:val="20"/>
          <w:szCs w:val="20"/>
        </w:rPr>
        <w:t>1</w:t>
      </w:r>
      <w:r w:rsidRPr="008B7099">
        <w:rPr>
          <w:rFonts w:ascii="Verdana" w:hAnsi="Verdana"/>
          <w:color w:val="000000" w:themeColor="text1"/>
          <w:sz w:val="20"/>
          <w:szCs w:val="20"/>
        </w:rPr>
        <w:t xml:space="preserve"> de </w:t>
      </w:r>
      <w:r w:rsidR="006A61D1" w:rsidRPr="008B7099">
        <w:rPr>
          <w:rFonts w:ascii="Verdana" w:hAnsi="Verdana"/>
          <w:color w:val="000000" w:themeColor="text1"/>
          <w:sz w:val="20"/>
          <w:szCs w:val="20"/>
        </w:rPr>
        <w:t>febrero</w:t>
      </w:r>
      <w:r w:rsidR="00A57FD4" w:rsidRPr="008B7099">
        <w:rPr>
          <w:rFonts w:ascii="Verdana" w:hAnsi="Verdana"/>
          <w:color w:val="000000" w:themeColor="text1"/>
          <w:sz w:val="20"/>
          <w:szCs w:val="20"/>
        </w:rPr>
        <w:t xml:space="preserve"> de </w:t>
      </w:r>
      <w:r w:rsidR="006A61D1" w:rsidRPr="008B7099">
        <w:rPr>
          <w:rFonts w:ascii="Verdana" w:hAnsi="Verdana"/>
          <w:color w:val="000000" w:themeColor="text1"/>
          <w:sz w:val="20"/>
          <w:szCs w:val="20"/>
        </w:rPr>
        <w:t>2022</w:t>
      </w:r>
      <w:r w:rsidRPr="008B7099">
        <w:rPr>
          <w:rFonts w:ascii="Verdana" w:hAnsi="Verdana"/>
          <w:color w:val="000000" w:themeColor="text1"/>
          <w:sz w:val="20"/>
          <w:szCs w:val="20"/>
        </w:rPr>
        <w:t xml:space="preserve"> en el presente caso (en adelante también “la Sentencia”), interpuesta</w:t>
      </w:r>
      <w:r w:rsidR="00EB7379" w:rsidRPr="008B7099">
        <w:rPr>
          <w:rFonts w:ascii="Verdana" w:hAnsi="Verdana"/>
          <w:color w:val="000000" w:themeColor="text1"/>
          <w:sz w:val="20"/>
          <w:szCs w:val="20"/>
        </w:rPr>
        <w:t>s</w:t>
      </w:r>
      <w:r w:rsidR="00CC22B5" w:rsidRPr="008B7099">
        <w:rPr>
          <w:rFonts w:ascii="Verdana" w:hAnsi="Verdana"/>
          <w:color w:val="000000" w:themeColor="text1"/>
          <w:sz w:val="20"/>
          <w:szCs w:val="20"/>
        </w:rPr>
        <w:t xml:space="preserve"> </w:t>
      </w:r>
      <w:r w:rsidR="006A61D1" w:rsidRPr="008B7099">
        <w:rPr>
          <w:rFonts w:ascii="Verdana" w:hAnsi="Verdana"/>
          <w:color w:val="000000" w:themeColor="text1"/>
          <w:sz w:val="20"/>
          <w:szCs w:val="20"/>
        </w:rPr>
        <w:t>el 18 de julio de 20</w:t>
      </w:r>
      <w:r w:rsidR="00EC0683">
        <w:rPr>
          <w:rFonts w:ascii="Verdana" w:hAnsi="Verdana"/>
          <w:color w:val="000000" w:themeColor="text1"/>
          <w:sz w:val="20"/>
          <w:szCs w:val="20"/>
        </w:rPr>
        <w:t>2</w:t>
      </w:r>
      <w:r w:rsidR="006A61D1" w:rsidRPr="008B7099">
        <w:rPr>
          <w:rFonts w:ascii="Verdana" w:hAnsi="Verdana"/>
          <w:color w:val="000000" w:themeColor="text1"/>
          <w:sz w:val="20"/>
          <w:szCs w:val="20"/>
        </w:rPr>
        <w:t>2</w:t>
      </w:r>
      <w:r w:rsidR="00EB7379" w:rsidRPr="008B7099">
        <w:rPr>
          <w:rFonts w:ascii="Verdana" w:hAnsi="Verdana"/>
          <w:color w:val="000000" w:themeColor="text1"/>
          <w:sz w:val="20"/>
          <w:szCs w:val="20"/>
        </w:rPr>
        <w:t xml:space="preserve"> por el </w:t>
      </w:r>
      <w:r w:rsidR="00A57FD4" w:rsidRPr="008B7099">
        <w:rPr>
          <w:rFonts w:ascii="Verdana" w:hAnsi="Verdana"/>
          <w:color w:val="000000" w:themeColor="text1"/>
          <w:sz w:val="20"/>
          <w:szCs w:val="20"/>
        </w:rPr>
        <w:t xml:space="preserve">Estado de </w:t>
      </w:r>
      <w:r w:rsidR="006A61D1" w:rsidRPr="008B7099">
        <w:rPr>
          <w:rFonts w:ascii="Verdana" w:hAnsi="Verdana"/>
          <w:color w:val="000000" w:themeColor="text1"/>
          <w:sz w:val="20"/>
          <w:szCs w:val="20"/>
        </w:rPr>
        <w:t>Perú</w:t>
      </w:r>
      <w:r w:rsidR="00A57FD4" w:rsidRPr="008B7099">
        <w:rPr>
          <w:rFonts w:ascii="Verdana" w:hAnsi="Verdana"/>
          <w:color w:val="000000" w:themeColor="text1"/>
          <w:sz w:val="20"/>
          <w:szCs w:val="20"/>
        </w:rPr>
        <w:t xml:space="preserve"> (en adelante “el Estado” o “</w:t>
      </w:r>
      <w:r w:rsidR="00BA3E45">
        <w:rPr>
          <w:rFonts w:ascii="Verdana" w:hAnsi="Verdana"/>
          <w:color w:val="000000" w:themeColor="text1"/>
          <w:sz w:val="20"/>
          <w:szCs w:val="20"/>
        </w:rPr>
        <w:t>Perú</w:t>
      </w:r>
      <w:r w:rsidR="00A57FD4" w:rsidRPr="008B7099">
        <w:rPr>
          <w:rFonts w:ascii="Verdana" w:hAnsi="Verdana"/>
          <w:color w:val="000000" w:themeColor="text1"/>
          <w:sz w:val="20"/>
          <w:szCs w:val="20"/>
        </w:rPr>
        <w:t>”) y</w:t>
      </w:r>
      <w:r w:rsidR="00EC0683">
        <w:rPr>
          <w:rFonts w:ascii="Verdana" w:hAnsi="Verdana"/>
          <w:color w:val="000000" w:themeColor="text1"/>
          <w:sz w:val="20"/>
          <w:szCs w:val="20"/>
        </w:rPr>
        <w:t xml:space="preserve"> por</w:t>
      </w:r>
      <w:r w:rsidR="00A57FD4" w:rsidRPr="008B7099">
        <w:rPr>
          <w:rFonts w:ascii="Verdana" w:hAnsi="Verdana"/>
          <w:color w:val="000000" w:themeColor="text1"/>
          <w:sz w:val="20"/>
          <w:szCs w:val="20"/>
        </w:rPr>
        <w:t xml:space="preserve"> </w:t>
      </w:r>
      <w:r w:rsidR="006A61D1" w:rsidRPr="008B7099">
        <w:rPr>
          <w:rFonts w:ascii="Verdana" w:hAnsi="Verdana"/>
          <w:color w:val="000000" w:themeColor="text1"/>
          <w:sz w:val="20"/>
          <w:szCs w:val="20"/>
        </w:rPr>
        <w:t>la representante Dora Meneses Huayra</w:t>
      </w:r>
      <w:r w:rsidR="00EB7379" w:rsidRPr="008B7099">
        <w:rPr>
          <w:rFonts w:ascii="Verdana" w:hAnsi="Verdana"/>
          <w:color w:val="000000" w:themeColor="text1"/>
          <w:sz w:val="20"/>
          <w:szCs w:val="20"/>
        </w:rPr>
        <w:t xml:space="preserve"> </w:t>
      </w:r>
      <w:r w:rsidRPr="008B7099">
        <w:rPr>
          <w:rFonts w:ascii="Verdana" w:hAnsi="Verdana"/>
          <w:color w:val="000000" w:themeColor="text1"/>
          <w:sz w:val="20"/>
          <w:szCs w:val="20"/>
        </w:rPr>
        <w:t>(en adelante “</w:t>
      </w:r>
      <w:r w:rsidR="006A61D1" w:rsidRPr="008B7099">
        <w:rPr>
          <w:rFonts w:ascii="Verdana" w:hAnsi="Verdana"/>
          <w:color w:val="000000" w:themeColor="text1"/>
          <w:sz w:val="20"/>
          <w:szCs w:val="20"/>
        </w:rPr>
        <w:t>la representante Meneses Huayra</w:t>
      </w:r>
      <w:r w:rsidR="00A57FD4" w:rsidRPr="008B7099">
        <w:rPr>
          <w:rFonts w:ascii="Verdana" w:hAnsi="Verdana"/>
          <w:color w:val="000000" w:themeColor="text1"/>
          <w:sz w:val="20"/>
          <w:szCs w:val="20"/>
        </w:rPr>
        <w:t>”)</w:t>
      </w:r>
      <w:r w:rsidR="00991567" w:rsidRPr="008B7099">
        <w:rPr>
          <w:rFonts w:ascii="Verdana" w:hAnsi="Verdana"/>
          <w:color w:val="000000" w:themeColor="text1"/>
          <w:sz w:val="20"/>
          <w:szCs w:val="20"/>
        </w:rPr>
        <w:t>, respectivamente</w:t>
      </w:r>
      <w:r w:rsidR="00A57FD4" w:rsidRPr="008B7099">
        <w:rPr>
          <w:rFonts w:ascii="Verdana" w:hAnsi="Verdana"/>
          <w:color w:val="000000" w:themeColor="text1"/>
          <w:sz w:val="20"/>
          <w:szCs w:val="20"/>
        </w:rPr>
        <w:t>.</w:t>
      </w:r>
      <w:r w:rsidRPr="008B7099">
        <w:rPr>
          <w:rFonts w:ascii="Verdana" w:hAnsi="Verdana"/>
          <w:color w:val="000000" w:themeColor="text1"/>
          <w:sz w:val="20"/>
          <w:szCs w:val="20"/>
        </w:rPr>
        <w:t xml:space="preserve"> </w:t>
      </w:r>
    </w:p>
    <w:p w14:paraId="0F64C773" w14:textId="132410F3" w:rsidR="00EB5B4E" w:rsidRPr="008B7099" w:rsidRDefault="00EB5B4E" w:rsidP="00BD5ECF">
      <w:pPr>
        <w:spacing w:after="0" w:line="240" w:lineRule="auto"/>
        <w:jc w:val="both"/>
        <w:rPr>
          <w:rFonts w:ascii="Verdana" w:hAnsi="Verdana"/>
          <w:color w:val="000000" w:themeColor="text1"/>
          <w:sz w:val="20"/>
          <w:szCs w:val="20"/>
        </w:rPr>
      </w:pPr>
    </w:p>
    <w:p w14:paraId="5DD1BD4D" w14:textId="77777777" w:rsidR="00BD5ECF" w:rsidRPr="008B7099" w:rsidRDefault="00BD5ECF" w:rsidP="00CB2E7C">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I</w:t>
      </w:r>
    </w:p>
    <w:p w14:paraId="52581B0C" w14:textId="77777777" w:rsidR="00BD5ECF" w:rsidRPr="008B7099" w:rsidRDefault="00BD5ECF" w:rsidP="00CB2E7C">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SOLICITUD DE INTERPRETACIÓN Y PROCEDIMIENTO ANTE LA CORTE</w:t>
      </w:r>
    </w:p>
    <w:p w14:paraId="191280AA" w14:textId="77777777" w:rsidR="00CB2E7C" w:rsidRPr="008B7099" w:rsidRDefault="00CB2E7C" w:rsidP="00CB2E7C">
      <w:pPr>
        <w:spacing w:after="0" w:line="240" w:lineRule="auto"/>
        <w:jc w:val="center"/>
        <w:rPr>
          <w:rFonts w:ascii="Verdana" w:hAnsi="Verdana"/>
          <w:b/>
          <w:color w:val="000000" w:themeColor="text1"/>
          <w:sz w:val="20"/>
          <w:szCs w:val="20"/>
        </w:rPr>
      </w:pPr>
    </w:p>
    <w:p w14:paraId="75DEC369" w14:textId="54B08778" w:rsidR="00BD5ECF" w:rsidRPr="008B7099" w:rsidRDefault="00CB2E7C" w:rsidP="00CB2E7C">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El </w:t>
      </w:r>
      <w:r w:rsidR="0014562D" w:rsidRPr="008B7099">
        <w:rPr>
          <w:rFonts w:ascii="Verdana" w:hAnsi="Verdana"/>
          <w:color w:val="000000" w:themeColor="text1"/>
          <w:sz w:val="20"/>
          <w:szCs w:val="20"/>
        </w:rPr>
        <w:t>1</w:t>
      </w:r>
      <w:r w:rsidR="00A57FD4" w:rsidRPr="008B7099">
        <w:rPr>
          <w:rFonts w:ascii="Verdana" w:hAnsi="Verdana"/>
          <w:color w:val="000000" w:themeColor="text1"/>
          <w:sz w:val="20"/>
          <w:szCs w:val="20"/>
        </w:rPr>
        <w:t xml:space="preserve"> de </w:t>
      </w:r>
      <w:r w:rsidR="0014562D" w:rsidRPr="008B7099">
        <w:rPr>
          <w:rFonts w:ascii="Verdana" w:hAnsi="Verdana"/>
          <w:color w:val="000000" w:themeColor="text1"/>
          <w:sz w:val="20"/>
          <w:szCs w:val="20"/>
        </w:rPr>
        <w:t xml:space="preserve">febrero </w:t>
      </w:r>
      <w:r w:rsidR="00A57FD4" w:rsidRPr="008B7099">
        <w:rPr>
          <w:rFonts w:ascii="Verdana" w:hAnsi="Verdana"/>
          <w:color w:val="000000" w:themeColor="text1"/>
          <w:sz w:val="20"/>
          <w:szCs w:val="20"/>
        </w:rPr>
        <w:t>de 202</w:t>
      </w:r>
      <w:r w:rsidR="0014562D" w:rsidRPr="008B7099">
        <w:rPr>
          <w:rFonts w:ascii="Verdana" w:hAnsi="Verdana"/>
          <w:color w:val="000000" w:themeColor="text1"/>
          <w:sz w:val="20"/>
          <w:szCs w:val="20"/>
        </w:rPr>
        <w:t>2</w:t>
      </w:r>
      <w:r w:rsidR="00A57FD4" w:rsidRPr="008B7099">
        <w:rPr>
          <w:rFonts w:ascii="Verdana" w:hAnsi="Verdana"/>
          <w:color w:val="000000" w:themeColor="text1"/>
          <w:sz w:val="20"/>
          <w:szCs w:val="20"/>
        </w:rPr>
        <w:t xml:space="preserve"> </w:t>
      </w:r>
      <w:r w:rsidRPr="008B7099">
        <w:rPr>
          <w:rFonts w:ascii="Verdana" w:hAnsi="Verdana"/>
          <w:color w:val="000000" w:themeColor="text1"/>
          <w:sz w:val="20"/>
          <w:szCs w:val="20"/>
        </w:rPr>
        <w:t>la Corte Interamericana emitió la Sentencia</w:t>
      </w:r>
      <w:r w:rsidR="00185E1C" w:rsidRPr="008B7099">
        <w:rPr>
          <w:rFonts w:ascii="Verdana" w:hAnsi="Verdana"/>
          <w:color w:val="000000" w:themeColor="text1"/>
          <w:sz w:val="20"/>
          <w:szCs w:val="20"/>
        </w:rPr>
        <w:t xml:space="preserve"> en el presente caso</w:t>
      </w:r>
      <w:r w:rsidRPr="008B7099">
        <w:rPr>
          <w:rFonts w:ascii="Verdana" w:hAnsi="Verdana"/>
          <w:color w:val="000000" w:themeColor="text1"/>
          <w:sz w:val="20"/>
          <w:szCs w:val="20"/>
        </w:rPr>
        <w:t xml:space="preserve">, la cual fue notificada a las partes y a la Comisión Interamericana de Derechos Humanos (en adelante “la Comisión Interamericana” o “la Comisión”) el </w:t>
      </w:r>
      <w:r w:rsidR="0014562D" w:rsidRPr="008B7099">
        <w:rPr>
          <w:rFonts w:ascii="Verdana" w:hAnsi="Verdana"/>
          <w:color w:val="000000" w:themeColor="text1"/>
          <w:sz w:val="20"/>
          <w:szCs w:val="20"/>
        </w:rPr>
        <w:t>18</w:t>
      </w:r>
      <w:r w:rsidRPr="008B7099">
        <w:rPr>
          <w:rFonts w:ascii="Verdana" w:hAnsi="Verdana"/>
          <w:color w:val="000000" w:themeColor="text1"/>
          <w:sz w:val="20"/>
          <w:szCs w:val="20"/>
        </w:rPr>
        <w:t xml:space="preserve"> de </w:t>
      </w:r>
      <w:r w:rsidR="0014562D" w:rsidRPr="008B7099">
        <w:rPr>
          <w:rFonts w:ascii="Verdana" w:hAnsi="Verdana"/>
          <w:color w:val="000000" w:themeColor="text1"/>
          <w:sz w:val="20"/>
          <w:szCs w:val="20"/>
        </w:rPr>
        <w:t>abril</w:t>
      </w:r>
      <w:r w:rsidRPr="008B7099">
        <w:rPr>
          <w:rFonts w:ascii="Verdana" w:hAnsi="Verdana"/>
          <w:color w:val="000000" w:themeColor="text1"/>
          <w:sz w:val="20"/>
          <w:szCs w:val="20"/>
        </w:rPr>
        <w:t xml:space="preserve"> del mismo año. </w:t>
      </w:r>
    </w:p>
    <w:p w14:paraId="7DFB822F" w14:textId="77777777" w:rsidR="00CB2E7C" w:rsidRPr="008B7099" w:rsidRDefault="00CB2E7C" w:rsidP="00CB2E7C">
      <w:pPr>
        <w:pStyle w:val="Prrafodelista"/>
        <w:spacing w:after="0" w:line="240" w:lineRule="auto"/>
        <w:ind w:left="0"/>
        <w:jc w:val="both"/>
        <w:rPr>
          <w:rFonts w:ascii="Verdana" w:hAnsi="Verdana"/>
          <w:color w:val="000000" w:themeColor="text1"/>
          <w:sz w:val="20"/>
          <w:szCs w:val="20"/>
        </w:rPr>
      </w:pPr>
    </w:p>
    <w:p w14:paraId="5EDB998E" w14:textId="2B5286D3" w:rsidR="004A56D9" w:rsidRPr="008B7099" w:rsidRDefault="00CB2E7C" w:rsidP="001676DD">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El </w:t>
      </w:r>
      <w:r w:rsidR="0014562D" w:rsidRPr="008B7099">
        <w:rPr>
          <w:rFonts w:ascii="Verdana" w:hAnsi="Verdana"/>
          <w:color w:val="000000" w:themeColor="text1"/>
          <w:sz w:val="20"/>
          <w:szCs w:val="20"/>
        </w:rPr>
        <w:t xml:space="preserve">18 de julio de </w:t>
      </w:r>
      <w:r w:rsidR="001F283B" w:rsidRPr="008B7099">
        <w:rPr>
          <w:rFonts w:ascii="Verdana" w:hAnsi="Verdana"/>
          <w:color w:val="000000" w:themeColor="text1"/>
          <w:sz w:val="20"/>
          <w:szCs w:val="20"/>
        </w:rPr>
        <w:t>2022</w:t>
      </w:r>
      <w:r w:rsidR="00991567" w:rsidRPr="008B7099">
        <w:rPr>
          <w:rFonts w:ascii="Verdana" w:hAnsi="Verdana"/>
          <w:color w:val="000000" w:themeColor="text1"/>
          <w:sz w:val="20"/>
          <w:szCs w:val="20"/>
        </w:rPr>
        <w:t xml:space="preserve"> el Estado </w:t>
      </w:r>
      <w:r w:rsidR="001F283B" w:rsidRPr="008B7099">
        <w:rPr>
          <w:rFonts w:ascii="Verdana" w:hAnsi="Verdana"/>
          <w:color w:val="000000" w:themeColor="text1"/>
          <w:sz w:val="20"/>
          <w:szCs w:val="20"/>
        </w:rPr>
        <w:t xml:space="preserve">de </w:t>
      </w:r>
      <w:r w:rsidR="0014562D" w:rsidRPr="008B7099">
        <w:rPr>
          <w:rFonts w:ascii="Verdana" w:hAnsi="Verdana"/>
          <w:color w:val="000000" w:themeColor="text1"/>
          <w:sz w:val="20"/>
          <w:szCs w:val="20"/>
        </w:rPr>
        <w:t>Perú</w:t>
      </w:r>
      <w:r w:rsidR="006A44D4" w:rsidRPr="008B7099">
        <w:rPr>
          <w:rFonts w:ascii="Verdana" w:hAnsi="Verdana"/>
          <w:color w:val="000000" w:themeColor="text1"/>
          <w:sz w:val="20"/>
          <w:szCs w:val="20"/>
        </w:rPr>
        <w:t xml:space="preserve"> presentó</w:t>
      </w:r>
      <w:r w:rsidR="001F283B" w:rsidRPr="008B7099">
        <w:rPr>
          <w:rFonts w:ascii="Verdana" w:hAnsi="Verdana"/>
          <w:color w:val="000000" w:themeColor="text1"/>
          <w:sz w:val="20"/>
          <w:szCs w:val="20"/>
        </w:rPr>
        <w:t xml:space="preserve"> </w:t>
      </w:r>
      <w:r w:rsidRPr="008B7099">
        <w:rPr>
          <w:rFonts w:ascii="Verdana" w:hAnsi="Verdana"/>
          <w:color w:val="000000" w:themeColor="text1"/>
          <w:sz w:val="20"/>
          <w:szCs w:val="20"/>
        </w:rPr>
        <w:t>a la Corte una solicitud</w:t>
      </w:r>
      <w:r w:rsidR="004A56D9" w:rsidRPr="008B7099">
        <w:rPr>
          <w:rFonts w:ascii="Verdana" w:hAnsi="Verdana"/>
          <w:color w:val="000000" w:themeColor="text1"/>
          <w:sz w:val="20"/>
          <w:szCs w:val="20"/>
        </w:rPr>
        <w:t xml:space="preserve"> de interpretación</w:t>
      </w:r>
      <w:r w:rsidRPr="008B7099">
        <w:rPr>
          <w:rFonts w:ascii="Verdana" w:hAnsi="Verdana"/>
          <w:color w:val="000000" w:themeColor="text1"/>
          <w:sz w:val="20"/>
          <w:szCs w:val="20"/>
        </w:rPr>
        <w:t xml:space="preserve"> en relación con </w:t>
      </w:r>
      <w:r w:rsidR="003446D4" w:rsidRPr="008B7099">
        <w:rPr>
          <w:rFonts w:ascii="Verdana" w:hAnsi="Verdana"/>
          <w:color w:val="000000" w:themeColor="text1"/>
          <w:sz w:val="20"/>
          <w:szCs w:val="20"/>
        </w:rPr>
        <w:t>e</w:t>
      </w:r>
      <w:r w:rsidR="0096691C" w:rsidRPr="008B7099">
        <w:rPr>
          <w:rFonts w:ascii="Verdana" w:hAnsi="Verdana"/>
          <w:color w:val="000000" w:themeColor="text1"/>
          <w:sz w:val="20"/>
          <w:szCs w:val="20"/>
        </w:rPr>
        <w:t>l mandato de pago ordenado en el punto resolutivo 7 de dicha Sentencia</w:t>
      </w:r>
      <w:r w:rsidR="0096691C" w:rsidRPr="008B7099">
        <w:rPr>
          <w:rStyle w:val="Refdenotaalpie"/>
          <w:rFonts w:ascii="Verdana" w:hAnsi="Verdana"/>
          <w:color w:val="000000" w:themeColor="text1"/>
          <w:sz w:val="20"/>
          <w:szCs w:val="20"/>
        </w:rPr>
        <w:footnoteReference w:id="2"/>
      </w:r>
      <w:r w:rsidR="00CD19D0" w:rsidRPr="008B7099">
        <w:rPr>
          <w:rFonts w:ascii="Verdana" w:hAnsi="Verdana"/>
          <w:color w:val="000000" w:themeColor="text1"/>
          <w:sz w:val="20"/>
          <w:szCs w:val="20"/>
        </w:rPr>
        <w:t>.</w:t>
      </w:r>
      <w:r w:rsidR="006F1078" w:rsidRPr="008B7099">
        <w:rPr>
          <w:rFonts w:ascii="Verdana" w:hAnsi="Verdana"/>
          <w:color w:val="000000" w:themeColor="text1"/>
          <w:sz w:val="20"/>
          <w:szCs w:val="20"/>
        </w:rPr>
        <w:t xml:space="preserve"> </w:t>
      </w:r>
      <w:r w:rsidR="006F1078" w:rsidRPr="008B7099">
        <w:rPr>
          <w:rFonts w:ascii="Verdana" w:hAnsi="Verdana"/>
          <w:color w:val="000000" w:themeColor="text1"/>
          <w:sz w:val="20"/>
          <w:szCs w:val="20"/>
        </w:rPr>
        <w:lastRenderedPageBreak/>
        <w:t xml:space="preserve">Asimismo, </w:t>
      </w:r>
      <w:r w:rsidR="003446D4" w:rsidRPr="008B7099">
        <w:rPr>
          <w:rFonts w:ascii="Verdana" w:hAnsi="Verdana"/>
          <w:color w:val="000000" w:themeColor="text1"/>
          <w:sz w:val="20"/>
          <w:szCs w:val="20"/>
        </w:rPr>
        <w:t>ese mismo día la representante Meneses Huayra</w:t>
      </w:r>
      <w:r w:rsidR="003446D4" w:rsidRPr="008B7099">
        <w:rPr>
          <w:rStyle w:val="Refdenotaalpie"/>
          <w:rFonts w:ascii="Verdana" w:hAnsi="Verdana"/>
          <w:color w:val="000000" w:themeColor="text1"/>
          <w:sz w:val="20"/>
          <w:szCs w:val="20"/>
        </w:rPr>
        <w:footnoteReference w:id="3"/>
      </w:r>
      <w:r w:rsidR="00991567" w:rsidRPr="008B7099">
        <w:rPr>
          <w:rFonts w:ascii="Verdana" w:hAnsi="Verdana"/>
          <w:color w:val="000000" w:themeColor="text1"/>
          <w:sz w:val="20"/>
          <w:szCs w:val="20"/>
        </w:rPr>
        <w:t xml:space="preserve"> </w:t>
      </w:r>
      <w:r w:rsidR="003446D4" w:rsidRPr="008B7099">
        <w:rPr>
          <w:rFonts w:ascii="Verdana" w:hAnsi="Verdana"/>
          <w:color w:val="000000" w:themeColor="text1"/>
          <w:sz w:val="20"/>
          <w:szCs w:val="20"/>
        </w:rPr>
        <w:t>sometió</w:t>
      </w:r>
      <w:r w:rsidR="004A56D9" w:rsidRPr="008B7099">
        <w:rPr>
          <w:rFonts w:ascii="Verdana" w:hAnsi="Verdana"/>
          <w:color w:val="000000" w:themeColor="text1"/>
          <w:sz w:val="20"/>
          <w:szCs w:val="20"/>
        </w:rPr>
        <w:t xml:space="preserve"> a la Corte una solicitud de interpretaci</w:t>
      </w:r>
      <w:r w:rsidR="00901CDD" w:rsidRPr="008B7099">
        <w:rPr>
          <w:rFonts w:ascii="Verdana" w:hAnsi="Verdana"/>
          <w:color w:val="000000" w:themeColor="text1"/>
          <w:sz w:val="20"/>
          <w:szCs w:val="20"/>
        </w:rPr>
        <w:t xml:space="preserve">ón relacionada con </w:t>
      </w:r>
      <w:r w:rsidR="003446D4" w:rsidRPr="008B7099">
        <w:rPr>
          <w:rFonts w:ascii="Verdana" w:hAnsi="Verdana"/>
          <w:color w:val="000000" w:themeColor="text1"/>
          <w:sz w:val="20"/>
          <w:szCs w:val="20"/>
        </w:rPr>
        <w:t xml:space="preserve">la reclamación que deberían realizar a nivel interno el grupo de 1.773 trabajadores recogidos en el Anexo III de la Sentencia por la correcta liquidación del </w:t>
      </w:r>
      <w:r w:rsidR="001676DD" w:rsidRPr="008B7099">
        <w:rPr>
          <w:rFonts w:ascii="Verdana" w:hAnsi="Verdana"/>
          <w:color w:val="000000" w:themeColor="text1"/>
          <w:sz w:val="20"/>
          <w:szCs w:val="20"/>
        </w:rPr>
        <w:t>a) incremento adicional de las remuneraciones, b) el reintegro de derechos y beneficios sociales, c) el pago de la campaña escolar y d) los intereses.</w:t>
      </w:r>
    </w:p>
    <w:p w14:paraId="299ECC28" w14:textId="77777777" w:rsidR="00326C79" w:rsidRPr="008B7099" w:rsidRDefault="00326C79" w:rsidP="00326C79">
      <w:pPr>
        <w:pStyle w:val="Prrafodelista"/>
        <w:spacing w:after="0" w:line="240" w:lineRule="auto"/>
        <w:ind w:left="0"/>
        <w:jc w:val="both"/>
        <w:rPr>
          <w:rFonts w:ascii="Verdana" w:hAnsi="Verdana"/>
          <w:color w:val="000000" w:themeColor="text1"/>
          <w:sz w:val="20"/>
          <w:szCs w:val="20"/>
        </w:rPr>
      </w:pPr>
    </w:p>
    <w:p w14:paraId="4C0ADFC4" w14:textId="1C223080" w:rsidR="00BB324D" w:rsidRPr="008B7099" w:rsidRDefault="00BB324D" w:rsidP="00BB324D">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El </w:t>
      </w:r>
      <w:r w:rsidR="001676DD" w:rsidRPr="008B7099">
        <w:rPr>
          <w:rFonts w:ascii="Verdana" w:hAnsi="Verdana"/>
          <w:color w:val="000000" w:themeColor="text1"/>
          <w:sz w:val="20"/>
          <w:szCs w:val="20"/>
        </w:rPr>
        <w:t>19 de julio de 2022</w:t>
      </w:r>
      <w:r w:rsidRPr="008B7099">
        <w:rPr>
          <w:rFonts w:ascii="Verdana" w:hAnsi="Verdana"/>
          <w:color w:val="000000" w:themeColor="text1"/>
          <w:sz w:val="20"/>
          <w:szCs w:val="20"/>
        </w:rPr>
        <w:t xml:space="preserve">, </w:t>
      </w:r>
      <w:r w:rsidR="006F1078" w:rsidRPr="008B7099">
        <w:rPr>
          <w:rFonts w:ascii="Verdana" w:hAnsi="Verdana"/>
          <w:color w:val="000000" w:themeColor="text1"/>
          <w:sz w:val="20"/>
          <w:szCs w:val="20"/>
        </w:rPr>
        <w:t xml:space="preserve">de conformidad con el artículo 68.2 del Reglamento de la Corte y </w:t>
      </w:r>
      <w:r w:rsidRPr="008B7099">
        <w:rPr>
          <w:rFonts w:ascii="Verdana" w:hAnsi="Verdana"/>
          <w:color w:val="000000" w:themeColor="text1"/>
          <w:sz w:val="20"/>
          <w:szCs w:val="20"/>
        </w:rPr>
        <w:t xml:space="preserve">siguiendo instrucciones </w:t>
      </w:r>
      <w:r w:rsidR="004A56D9" w:rsidRPr="008B7099">
        <w:rPr>
          <w:rFonts w:ascii="Verdana" w:hAnsi="Verdana"/>
          <w:color w:val="000000" w:themeColor="text1"/>
          <w:sz w:val="20"/>
          <w:szCs w:val="20"/>
        </w:rPr>
        <w:t xml:space="preserve">de la </w:t>
      </w:r>
      <w:r w:rsidR="006F1078" w:rsidRPr="008B7099">
        <w:rPr>
          <w:rFonts w:ascii="Verdana" w:hAnsi="Verdana"/>
          <w:color w:val="000000" w:themeColor="text1"/>
          <w:sz w:val="20"/>
          <w:szCs w:val="20"/>
        </w:rPr>
        <w:t>Presidencia</w:t>
      </w:r>
      <w:r w:rsidRPr="008B7099">
        <w:rPr>
          <w:rFonts w:ascii="Verdana" w:hAnsi="Verdana"/>
          <w:color w:val="000000" w:themeColor="text1"/>
          <w:sz w:val="20"/>
          <w:szCs w:val="20"/>
        </w:rPr>
        <w:t xml:space="preserve"> de la Corte, la Secretaría del Tribunal transmitió la</w:t>
      </w:r>
      <w:r w:rsidR="004A56D9" w:rsidRPr="008B7099">
        <w:rPr>
          <w:rFonts w:ascii="Verdana" w:hAnsi="Verdana"/>
          <w:color w:val="000000" w:themeColor="text1"/>
          <w:sz w:val="20"/>
          <w:szCs w:val="20"/>
        </w:rPr>
        <w:t>s</w:t>
      </w:r>
      <w:r w:rsidRPr="008B7099">
        <w:rPr>
          <w:rFonts w:ascii="Verdana" w:hAnsi="Verdana"/>
          <w:color w:val="000000" w:themeColor="text1"/>
          <w:sz w:val="20"/>
          <w:szCs w:val="20"/>
        </w:rPr>
        <w:t xml:space="preserve"> referida</w:t>
      </w:r>
      <w:r w:rsidR="004B5867" w:rsidRPr="008B7099">
        <w:rPr>
          <w:rFonts w:ascii="Verdana" w:hAnsi="Verdana"/>
          <w:color w:val="000000" w:themeColor="text1"/>
          <w:sz w:val="20"/>
          <w:szCs w:val="20"/>
        </w:rPr>
        <w:t>s</w:t>
      </w:r>
      <w:r w:rsidRPr="008B7099">
        <w:rPr>
          <w:rFonts w:ascii="Verdana" w:hAnsi="Verdana"/>
          <w:color w:val="000000" w:themeColor="text1"/>
          <w:sz w:val="20"/>
          <w:szCs w:val="20"/>
        </w:rPr>
        <w:t xml:space="preserve"> </w:t>
      </w:r>
      <w:r w:rsidR="004A56D9" w:rsidRPr="008B7099">
        <w:rPr>
          <w:rFonts w:ascii="Verdana" w:hAnsi="Verdana"/>
          <w:color w:val="000000" w:themeColor="text1"/>
          <w:sz w:val="20"/>
          <w:szCs w:val="20"/>
        </w:rPr>
        <w:t xml:space="preserve">comunicaciones a las partes </w:t>
      </w:r>
      <w:r w:rsidRPr="008B7099">
        <w:rPr>
          <w:rFonts w:ascii="Verdana" w:hAnsi="Verdana"/>
          <w:color w:val="000000" w:themeColor="text1"/>
          <w:sz w:val="20"/>
          <w:szCs w:val="20"/>
        </w:rPr>
        <w:t xml:space="preserve">y a la Comisión Interamericana y les otorgó un plazo hasta el </w:t>
      </w:r>
      <w:r w:rsidR="001676DD" w:rsidRPr="008B7099">
        <w:rPr>
          <w:rFonts w:ascii="Verdana" w:hAnsi="Verdana"/>
          <w:color w:val="000000" w:themeColor="text1"/>
          <w:sz w:val="20"/>
          <w:szCs w:val="20"/>
        </w:rPr>
        <w:t>19</w:t>
      </w:r>
      <w:r w:rsidRPr="008B7099">
        <w:rPr>
          <w:rFonts w:ascii="Verdana" w:hAnsi="Verdana"/>
          <w:color w:val="000000" w:themeColor="text1"/>
          <w:sz w:val="20"/>
          <w:szCs w:val="20"/>
        </w:rPr>
        <w:t xml:space="preserve"> de </w:t>
      </w:r>
      <w:r w:rsidR="001676DD" w:rsidRPr="008B7099">
        <w:rPr>
          <w:rFonts w:ascii="Verdana" w:hAnsi="Verdana"/>
          <w:color w:val="000000" w:themeColor="text1"/>
          <w:sz w:val="20"/>
          <w:szCs w:val="20"/>
        </w:rPr>
        <w:t>agosto</w:t>
      </w:r>
      <w:r w:rsidR="007D4DDA" w:rsidRPr="008B7099">
        <w:rPr>
          <w:rFonts w:ascii="Verdana" w:hAnsi="Verdana"/>
          <w:color w:val="000000" w:themeColor="text1"/>
          <w:sz w:val="20"/>
          <w:szCs w:val="20"/>
        </w:rPr>
        <w:t xml:space="preserve"> de 2022</w:t>
      </w:r>
      <w:r w:rsidRPr="008B7099">
        <w:rPr>
          <w:rFonts w:ascii="Verdana" w:hAnsi="Verdana"/>
          <w:color w:val="000000" w:themeColor="text1"/>
          <w:sz w:val="20"/>
          <w:szCs w:val="20"/>
        </w:rPr>
        <w:t xml:space="preserve"> para presentar </w:t>
      </w:r>
      <w:r w:rsidR="005A46F0" w:rsidRPr="008B7099">
        <w:rPr>
          <w:rFonts w:ascii="Verdana" w:hAnsi="Verdana"/>
          <w:color w:val="000000" w:themeColor="text1"/>
          <w:sz w:val="20"/>
          <w:szCs w:val="20"/>
        </w:rPr>
        <w:t>sus observaciones escritas</w:t>
      </w:r>
      <w:r w:rsidR="007D4DDA" w:rsidRPr="008B7099">
        <w:rPr>
          <w:rFonts w:ascii="Verdana" w:hAnsi="Verdana"/>
          <w:color w:val="000000" w:themeColor="text1"/>
          <w:sz w:val="20"/>
          <w:szCs w:val="20"/>
        </w:rPr>
        <w:t>, en caso de que así lo estimaran pertinente</w:t>
      </w:r>
      <w:r w:rsidRPr="008B7099">
        <w:rPr>
          <w:rFonts w:ascii="Verdana" w:hAnsi="Verdana"/>
          <w:color w:val="000000" w:themeColor="text1"/>
          <w:sz w:val="20"/>
          <w:szCs w:val="20"/>
        </w:rPr>
        <w:t xml:space="preserve">. </w:t>
      </w:r>
    </w:p>
    <w:p w14:paraId="583735BF" w14:textId="77777777" w:rsidR="00BB324D" w:rsidRPr="008B7099" w:rsidRDefault="00BB324D" w:rsidP="00BB324D">
      <w:pPr>
        <w:pStyle w:val="Prrafodelista"/>
        <w:rPr>
          <w:rFonts w:ascii="Verdana" w:hAnsi="Verdana"/>
          <w:color w:val="000000" w:themeColor="text1"/>
          <w:sz w:val="20"/>
          <w:szCs w:val="20"/>
        </w:rPr>
      </w:pPr>
    </w:p>
    <w:p w14:paraId="34A111B2" w14:textId="4CCFDE77" w:rsidR="00185E1C" w:rsidRPr="008B7099" w:rsidRDefault="00BB324D" w:rsidP="001676DD">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El </w:t>
      </w:r>
      <w:r w:rsidR="001676DD" w:rsidRPr="008B7099">
        <w:rPr>
          <w:rFonts w:ascii="Verdana" w:hAnsi="Verdana"/>
          <w:color w:val="000000" w:themeColor="text1"/>
          <w:sz w:val="20"/>
          <w:szCs w:val="20"/>
        </w:rPr>
        <w:t xml:space="preserve">16 de agosto </w:t>
      </w:r>
      <w:r w:rsidR="00991567" w:rsidRPr="008B7099">
        <w:rPr>
          <w:rFonts w:ascii="Verdana" w:hAnsi="Verdana"/>
          <w:color w:val="000000" w:themeColor="text1"/>
          <w:sz w:val="20"/>
          <w:szCs w:val="20"/>
        </w:rPr>
        <w:t>de 202</w:t>
      </w:r>
      <w:r w:rsidR="00C214C5" w:rsidRPr="008B7099">
        <w:rPr>
          <w:rFonts w:ascii="Verdana" w:hAnsi="Verdana"/>
          <w:color w:val="000000" w:themeColor="text1"/>
          <w:sz w:val="20"/>
          <w:szCs w:val="20"/>
        </w:rPr>
        <w:t>2</w:t>
      </w:r>
      <w:r w:rsidR="00991567" w:rsidRPr="008B7099">
        <w:rPr>
          <w:rFonts w:ascii="Verdana" w:hAnsi="Verdana"/>
          <w:color w:val="000000" w:themeColor="text1"/>
          <w:sz w:val="20"/>
          <w:szCs w:val="20"/>
        </w:rPr>
        <w:t xml:space="preserve"> el </w:t>
      </w:r>
      <w:r w:rsidRPr="008B7099">
        <w:rPr>
          <w:rFonts w:ascii="Verdana" w:hAnsi="Verdana"/>
          <w:color w:val="000000" w:themeColor="text1"/>
          <w:sz w:val="20"/>
          <w:szCs w:val="20"/>
        </w:rPr>
        <w:t xml:space="preserve">Estado </w:t>
      </w:r>
      <w:r w:rsidR="00991567" w:rsidRPr="008B7099">
        <w:rPr>
          <w:rFonts w:ascii="Verdana" w:hAnsi="Verdana"/>
          <w:color w:val="000000" w:themeColor="text1"/>
          <w:sz w:val="20"/>
          <w:szCs w:val="20"/>
        </w:rPr>
        <w:t xml:space="preserve">presentó sus observaciones escritas respecto de la solicitud de interpretación interpuesta por </w:t>
      </w:r>
      <w:r w:rsidR="001676DD" w:rsidRPr="008B7099">
        <w:rPr>
          <w:rFonts w:ascii="Verdana" w:hAnsi="Verdana"/>
          <w:color w:val="000000" w:themeColor="text1"/>
          <w:sz w:val="20"/>
          <w:szCs w:val="20"/>
        </w:rPr>
        <w:t>la señora Meneses Huayra</w:t>
      </w:r>
      <w:r w:rsidR="00991567" w:rsidRPr="008B7099">
        <w:rPr>
          <w:rFonts w:ascii="Verdana" w:hAnsi="Verdana"/>
          <w:color w:val="000000" w:themeColor="text1"/>
          <w:sz w:val="20"/>
          <w:szCs w:val="20"/>
        </w:rPr>
        <w:t xml:space="preserve">. El </w:t>
      </w:r>
      <w:r w:rsidR="001676DD" w:rsidRPr="008B7099">
        <w:rPr>
          <w:rFonts w:ascii="Verdana" w:hAnsi="Verdana"/>
          <w:color w:val="000000" w:themeColor="text1"/>
          <w:sz w:val="20"/>
          <w:szCs w:val="20"/>
        </w:rPr>
        <w:t>17 de agosto de 2022 la representante Meneses Huayra remitió sus observaciones a la solicitud de interpretación de Sentencia presentada por el Estado. El 19 de agosto de 2022 la Comisión Interamericana remitió sus observaciones a la solicitud de interpretación de Sentencia presentada por el Estado. Ese mismo día</w:t>
      </w:r>
      <w:r w:rsidR="00BA3E45">
        <w:rPr>
          <w:rFonts w:ascii="Verdana" w:hAnsi="Verdana"/>
          <w:color w:val="000000" w:themeColor="text1"/>
          <w:sz w:val="20"/>
          <w:szCs w:val="20"/>
        </w:rPr>
        <w:t>,</w:t>
      </w:r>
      <w:r w:rsidR="001676DD" w:rsidRPr="008B7099">
        <w:rPr>
          <w:rFonts w:ascii="Verdana" w:hAnsi="Verdana"/>
          <w:color w:val="000000" w:themeColor="text1"/>
          <w:sz w:val="20"/>
          <w:szCs w:val="20"/>
        </w:rPr>
        <w:t xml:space="preserve"> los representantes Sergio Santiago Valdivia Ayala, Víctor J. Guerrero Cassuso y Julio G. Rossi Mérida</w:t>
      </w:r>
      <w:r w:rsidR="001B3038" w:rsidRPr="008B7099">
        <w:rPr>
          <w:rFonts w:ascii="Verdana" w:hAnsi="Verdana"/>
          <w:color w:val="000000" w:themeColor="text1"/>
          <w:sz w:val="20"/>
          <w:szCs w:val="20"/>
        </w:rPr>
        <w:t xml:space="preserve"> y</w:t>
      </w:r>
      <w:r w:rsidR="001676DD" w:rsidRPr="008B7099">
        <w:rPr>
          <w:rFonts w:ascii="Verdana" w:hAnsi="Verdana"/>
          <w:color w:val="000000" w:themeColor="text1"/>
          <w:sz w:val="20"/>
          <w:szCs w:val="20"/>
        </w:rPr>
        <w:t xml:space="preserve"> María Luisa Gabriela Valdivia Bocanegra remitieron sus observaciones a la solicitud de interpretación de Sentencia presentada por el Estado y a la solicitud de interpretación de Sentencia presentada por la representante Meneses Huayra.</w:t>
      </w:r>
    </w:p>
    <w:p w14:paraId="5D9C27E3" w14:textId="77777777" w:rsidR="00611D1B" w:rsidRPr="008B7099" w:rsidRDefault="00611D1B" w:rsidP="00611D1B">
      <w:pPr>
        <w:pStyle w:val="Prrafodelista"/>
        <w:rPr>
          <w:rFonts w:ascii="Verdana" w:hAnsi="Verdana"/>
          <w:color w:val="000000" w:themeColor="text1"/>
          <w:sz w:val="20"/>
          <w:szCs w:val="20"/>
        </w:rPr>
      </w:pPr>
    </w:p>
    <w:p w14:paraId="2230AEC9" w14:textId="77777777" w:rsidR="00185E1C" w:rsidRPr="008B7099" w:rsidRDefault="00185E1C" w:rsidP="00185E1C">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II</w:t>
      </w:r>
    </w:p>
    <w:p w14:paraId="40AE15AF" w14:textId="77777777" w:rsidR="00185E1C" w:rsidRPr="008B7099" w:rsidRDefault="00185E1C" w:rsidP="00185E1C">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COMPETENCIA</w:t>
      </w:r>
    </w:p>
    <w:p w14:paraId="7182AB0B" w14:textId="77777777" w:rsidR="00BB324D" w:rsidRPr="008B7099" w:rsidRDefault="00BB324D" w:rsidP="00BB324D">
      <w:pPr>
        <w:pStyle w:val="Prrafodelista"/>
        <w:rPr>
          <w:rFonts w:ascii="Verdana" w:hAnsi="Verdana"/>
          <w:color w:val="000000" w:themeColor="text1"/>
          <w:sz w:val="20"/>
          <w:szCs w:val="20"/>
        </w:rPr>
      </w:pPr>
    </w:p>
    <w:p w14:paraId="3CE8C859" w14:textId="77777777" w:rsidR="00BB324D" w:rsidRPr="008B7099" w:rsidRDefault="00BB324D" w:rsidP="00BB324D">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El artículo 67 de la Convención establece que:</w:t>
      </w:r>
    </w:p>
    <w:p w14:paraId="495AC1D8" w14:textId="77777777" w:rsidR="00BB324D" w:rsidRPr="008B7099" w:rsidRDefault="00BB324D" w:rsidP="00BB324D">
      <w:pPr>
        <w:pStyle w:val="Prrafodelista"/>
        <w:rPr>
          <w:rFonts w:ascii="Verdana" w:hAnsi="Verdana"/>
          <w:color w:val="000000" w:themeColor="text1"/>
          <w:sz w:val="20"/>
          <w:szCs w:val="20"/>
        </w:rPr>
      </w:pPr>
    </w:p>
    <w:p w14:paraId="39CB4832" w14:textId="77777777" w:rsidR="00F42B42" w:rsidRPr="005F2507" w:rsidRDefault="00F42B42" w:rsidP="00400784">
      <w:pPr>
        <w:pStyle w:val="Prrafodelista"/>
        <w:spacing w:after="0" w:line="240" w:lineRule="auto"/>
        <w:ind w:right="815"/>
        <w:jc w:val="both"/>
        <w:rPr>
          <w:rFonts w:ascii="Verdana" w:hAnsi="Verdana"/>
          <w:color w:val="000000" w:themeColor="text1"/>
          <w:sz w:val="18"/>
          <w:szCs w:val="18"/>
        </w:rPr>
      </w:pPr>
      <w:r w:rsidRPr="005F2507">
        <w:rPr>
          <w:rFonts w:ascii="Verdana" w:hAnsi="Verdana"/>
          <w:color w:val="000000" w:themeColor="text1"/>
          <w:sz w:val="18"/>
          <w:szCs w:val="18"/>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469D8001" w14:textId="77777777" w:rsidR="00F42B42" w:rsidRPr="008B7099" w:rsidRDefault="00F42B42" w:rsidP="00BB324D">
      <w:pPr>
        <w:pStyle w:val="Prrafodelista"/>
        <w:rPr>
          <w:rFonts w:ascii="Verdana" w:hAnsi="Verdana"/>
          <w:color w:val="000000" w:themeColor="text1"/>
          <w:sz w:val="20"/>
          <w:szCs w:val="20"/>
        </w:rPr>
      </w:pPr>
    </w:p>
    <w:p w14:paraId="2344780A" w14:textId="08AEDA5A" w:rsidR="00BB324D" w:rsidRPr="008B7099" w:rsidRDefault="00BB324D" w:rsidP="004B5867">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De conformidad con el artículo citado, la Corte es competente para interpretar sus fallos. Para realizar el examen de la</w:t>
      </w:r>
      <w:r w:rsidR="00BA3E45">
        <w:rPr>
          <w:rFonts w:ascii="Verdana" w:hAnsi="Verdana"/>
          <w:color w:val="000000" w:themeColor="text1"/>
          <w:sz w:val="20"/>
          <w:szCs w:val="20"/>
        </w:rPr>
        <w:t>s</w:t>
      </w:r>
      <w:r w:rsidRPr="008B7099">
        <w:rPr>
          <w:rFonts w:ascii="Verdana" w:hAnsi="Verdana"/>
          <w:color w:val="000000" w:themeColor="text1"/>
          <w:sz w:val="20"/>
          <w:szCs w:val="20"/>
        </w:rPr>
        <w:t xml:space="preserve"> solicitud</w:t>
      </w:r>
      <w:r w:rsidR="00BA3E45">
        <w:rPr>
          <w:rFonts w:ascii="Verdana" w:hAnsi="Verdana"/>
          <w:color w:val="000000" w:themeColor="text1"/>
          <w:sz w:val="20"/>
          <w:szCs w:val="20"/>
        </w:rPr>
        <w:t>es</w:t>
      </w:r>
      <w:r w:rsidRPr="008B7099">
        <w:rPr>
          <w:rFonts w:ascii="Verdana" w:hAnsi="Verdana"/>
          <w:color w:val="000000" w:themeColor="text1"/>
          <w:sz w:val="20"/>
          <w:szCs w:val="20"/>
        </w:rPr>
        <w:t xml:space="preserve"> de interpretación y resolver lo que a este respecto corresponda, el Tribunal debe tener, si es posible, la misma composición </w:t>
      </w:r>
      <w:r w:rsidR="00F42B42" w:rsidRPr="008B7099">
        <w:rPr>
          <w:rFonts w:ascii="Verdana" w:hAnsi="Verdana"/>
          <w:color w:val="000000" w:themeColor="text1"/>
          <w:sz w:val="20"/>
          <w:szCs w:val="20"/>
        </w:rPr>
        <w:t xml:space="preserve">que tenía al dictar la Sentencia respectiva, de acuerdo con el artículo 68.3 del Reglamento. </w:t>
      </w:r>
      <w:r w:rsidR="006A044A" w:rsidRPr="008B7099">
        <w:rPr>
          <w:rFonts w:ascii="Verdana" w:hAnsi="Verdana"/>
          <w:color w:val="000000" w:themeColor="text1"/>
          <w:sz w:val="20"/>
          <w:szCs w:val="20"/>
        </w:rPr>
        <w:t>En esta ocasión, la Corte está integrada, en su mayoría, por los mismos Jueces que dictaron la Sentencia cuya interpretación ha sido solicitada.</w:t>
      </w:r>
    </w:p>
    <w:p w14:paraId="14BDCAA9" w14:textId="097CC302" w:rsidR="00F42B42" w:rsidRDefault="00F42B42" w:rsidP="00A03487">
      <w:pPr>
        <w:pStyle w:val="Prrafodelista"/>
        <w:spacing w:after="0" w:line="240" w:lineRule="auto"/>
        <w:rPr>
          <w:rFonts w:ascii="Verdana" w:hAnsi="Verdana"/>
          <w:color w:val="000000" w:themeColor="text1"/>
          <w:sz w:val="20"/>
          <w:szCs w:val="20"/>
        </w:rPr>
      </w:pPr>
    </w:p>
    <w:p w14:paraId="1251D302" w14:textId="77777777" w:rsidR="00DD7DD1" w:rsidRPr="008B7099" w:rsidRDefault="00DD7DD1" w:rsidP="00A03487">
      <w:pPr>
        <w:pStyle w:val="Prrafodelista"/>
        <w:spacing w:after="0" w:line="240" w:lineRule="auto"/>
        <w:rPr>
          <w:rFonts w:ascii="Verdana" w:hAnsi="Verdana"/>
          <w:color w:val="000000" w:themeColor="text1"/>
          <w:sz w:val="20"/>
          <w:szCs w:val="20"/>
        </w:rPr>
      </w:pPr>
    </w:p>
    <w:p w14:paraId="5014839E" w14:textId="77777777" w:rsidR="00F42B42" w:rsidRPr="008B7099" w:rsidRDefault="00F42B42" w:rsidP="00F42B42">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III</w:t>
      </w:r>
    </w:p>
    <w:p w14:paraId="3E0A3684" w14:textId="77777777" w:rsidR="00F42B42" w:rsidRPr="008B7099" w:rsidRDefault="00F42B42" w:rsidP="00F42B42">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ADMISIBILIDAD</w:t>
      </w:r>
    </w:p>
    <w:p w14:paraId="28DA31EF" w14:textId="77777777" w:rsidR="00F42B42" w:rsidRPr="008B7099" w:rsidRDefault="00F42B42" w:rsidP="00F42B42">
      <w:pPr>
        <w:spacing w:after="0" w:line="240" w:lineRule="auto"/>
        <w:rPr>
          <w:rFonts w:ascii="Verdana" w:hAnsi="Verdana"/>
          <w:color w:val="000000" w:themeColor="text1"/>
          <w:sz w:val="20"/>
          <w:szCs w:val="20"/>
        </w:rPr>
      </w:pPr>
    </w:p>
    <w:p w14:paraId="55BA5858" w14:textId="6FFD5F93" w:rsidR="005A46F0" w:rsidRPr="008B7099" w:rsidRDefault="00F42B42" w:rsidP="006F1078">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Corresponde a la Corte verificar si la</w:t>
      </w:r>
      <w:r w:rsidR="00376909" w:rsidRPr="008B7099">
        <w:rPr>
          <w:rFonts w:ascii="Verdana" w:hAnsi="Verdana"/>
          <w:color w:val="000000" w:themeColor="text1"/>
          <w:sz w:val="20"/>
          <w:szCs w:val="20"/>
        </w:rPr>
        <w:t>s</w:t>
      </w:r>
      <w:r w:rsidRPr="008B7099">
        <w:rPr>
          <w:rFonts w:ascii="Verdana" w:hAnsi="Verdana"/>
          <w:color w:val="000000" w:themeColor="text1"/>
          <w:sz w:val="20"/>
          <w:szCs w:val="20"/>
        </w:rPr>
        <w:t xml:space="preserve"> </w:t>
      </w:r>
      <w:r w:rsidR="00376909" w:rsidRPr="008B7099">
        <w:rPr>
          <w:rFonts w:ascii="Verdana" w:hAnsi="Verdana"/>
          <w:color w:val="000000" w:themeColor="text1"/>
          <w:sz w:val="20"/>
          <w:szCs w:val="20"/>
        </w:rPr>
        <w:t>solicitudes</w:t>
      </w:r>
      <w:r w:rsidRPr="008B7099">
        <w:rPr>
          <w:rFonts w:ascii="Verdana" w:hAnsi="Verdana"/>
          <w:color w:val="000000" w:themeColor="text1"/>
          <w:sz w:val="20"/>
          <w:szCs w:val="20"/>
        </w:rPr>
        <w:t xml:space="preserve"> presentada</w:t>
      </w:r>
      <w:r w:rsidR="00376909" w:rsidRPr="008B7099">
        <w:rPr>
          <w:rFonts w:ascii="Verdana" w:hAnsi="Verdana"/>
          <w:color w:val="000000" w:themeColor="text1"/>
          <w:sz w:val="20"/>
          <w:szCs w:val="20"/>
        </w:rPr>
        <w:t>s</w:t>
      </w:r>
      <w:r w:rsidRPr="008B7099">
        <w:rPr>
          <w:rFonts w:ascii="Verdana" w:hAnsi="Verdana"/>
          <w:color w:val="000000" w:themeColor="text1"/>
          <w:sz w:val="20"/>
          <w:szCs w:val="20"/>
        </w:rPr>
        <w:t xml:space="preserve"> por </w:t>
      </w:r>
      <w:r w:rsidR="001F283B" w:rsidRPr="008B7099">
        <w:rPr>
          <w:rFonts w:ascii="Verdana" w:hAnsi="Verdana"/>
          <w:color w:val="000000" w:themeColor="text1"/>
          <w:sz w:val="20"/>
          <w:szCs w:val="20"/>
        </w:rPr>
        <w:t xml:space="preserve">el Estado y </w:t>
      </w:r>
      <w:r w:rsidR="00030E4B" w:rsidRPr="008B7099">
        <w:rPr>
          <w:rFonts w:ascii="Verdana" w:hAnsi="Verdana"/>
          <w:color w:val="000000" w:themeColor="text1"/>
          <w:sz w:val="20"/>
          <w:szCs w:val="20"/>
        </w:rPr>
        <w:t>la representante Meneses Huayra</w:t>
      </w:r>
      <w:r w:rsidR="00376909" w:rsidRPr="008B7099">
        <w:rPr>
          <w:rFonts w:ascii="Verdana" w:hAnsi="Verdana"/>
          <w:color w:val="000000" w:themeColor="text1"/>
          <w:sz w:val="20"/>
          <w:szCs w:val="20"/>
        </w:rPr>
        <w:t xml:space="preserve"> </w:t>
      </w:r>
      <w:r w:rsidRPr="008B7099">
        <w:rPr>
          <w:rFonts w:ascii="Verdana" w:hAnsi="Verdana"/>
          <w:color w:val="000000" w:themeColor="text1"/>
          <w:sz w:val="20"/>
          <w:szCs w:val="20"/>
        </w:rPr>
        <w:t>cumple</w:t>
      </w:r>
      <w:r w:rsidR="00376909" w:rsidRPr="008B7099">
        <w:rPr>
          <w:rFonts w:ascii="Verdana" w:hAnsi="Verdana"/>
          <w:color w:val="000000" w:themeColor="text1"/>
          <w:sz w:val="20"/>
          <w:szCs w:val="20"/>
        </w:rPr>
        <w:t>n</w:t>
      </w:r>
      <w:r w:rsidRPr="008B7099">
        <w:rPr>
          <w:rFonts w:ascii="Verdana" w:hAnsi="Verdana"/>
          <w:color w:val="000000" w:themeColor="text1"/>
          <w:sz w:val="20"/>
          <w:szCs w:val="20"/>
        </w:rPr>
        <w:t xml:space="preserve"> con los requisitos establecidos en las normas aplicables a una solicitud de interpretación de Sentencia, a saber, </w:t>
      </w:r>
      <w:r w:rsidR="006F1078" w:rsidRPr="008B7099">
        <w:rPr>
          <w:rFonts w:ascii="Verdana" w:hAnsi="Verdana"/>
          <w:color w:val="000000" w:themeColor="text1"/>
          <w:sz w:val="20"/>
          <w:szCs w:val="20"/>
        </w:rPr>
        <w:t xml:space="preserve">el artículo 67 de la Convención </w:t>
      </w:r>
      <w:r w:rsidR="006F1078" w:rsidRPr="008B7099">
        <w:rPr>
          <w:rFonts w:ascii="Verdana" w:hAnsi="Verdana"/>
          <w:color w:val="000000" w:themeColor="text1"/>
          <w:sz w:val="20"/>
          <w:szCs w:val="20"/>
        </w:rPr>
        <w:lastRenderedPageBreak/>
        <w:t xml:space="preserve">anteriormente citado y </w:t>
      </w:r>
      <w:r w:rsidR="005A46F0" w:rsidRPr="008B7099">
        <w:rPr>
          <w:rFonts w:ascii="Verdana" w:hAnsi="Verdana"/>
          <w:color w:val="000000" w:themeColor="text1"/>
          <w:sz w:val="20"/>
          <w:szCs w:val="20"/>
        </w:rPr>
        <w:t>el artículo 68 del Reglamento. Asimismo, el artículo 31.3 del Reglamento establece que “[c]ontra las sentencias y resoluciones de la Corte no procede ningún medio de impugnación”.</w:t>
      </w:r>
    </w:p>
    <w:p w14:paraId="04C6190F" w14:textId="77777777" w:rsidR="006B478B" w:rsidRPr="008B7099" w:rsidRDefault="006B478B">
      <w:pPr>
        <w:pStyle w:val="Prrafodelista"/>
        <w:spacing w:after="0" w:line="240" w:lineRule="auto"/>
        <w:ind w:left="0"/>
        <w:jc w:val="both"/>
        <w:rPr>
          <w:rFonts w:ascii="Verdana" w:hAnsi="Verdana"/>
          <w:color w:val="000000" w:themeColor="text1"/>
          <w:sz w:val="20"/>
          <w:szCs w:val="20"/>
        </w:rPr>
      </w:pPr>
    </w:p>
    <w:p w14:paraId="3EBC06BA" w14:textId="4297774E" w:rsidR="006B478B" w:rsidRPr="008B7099" w:rsidRDefault="001F283B" w:rsidP="00F42B42">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A estos efecto</w:t>
      </w:r>
      <w:r w:rsidR="006F1078" w:rsidRPr="008B7099">
        <w:rPr>
          <w:rFonts w:ascii="Verdana" w:hAnsi="Verdana"/>
          <w:color w:val="000000" w:themeColor="text1"/>
          <w:sz w:val="20"/>
          <w:szCs w:val="20"/>
        </w:rPr>
        <w:t>s</w:t>
      </w:r>
      <w:r w:rsidRPr="008B7099">
        <w:rPr>
          <w:rFonts w:ascii="Verdana" w:hAnsi="Verdana"/>
          <w:color w:val="000000" w:themeColor="text1"/>
          <w:sz w:val="20"/>
          <w:szCs w:val="20"/>
        </w:rPr>
        <w:t>, l</w:t>
      </w:r>
      <w:r w:rsidR="006B478B" w:rsidRPr="008B7099">
        <w:rPr>
          <w:rFonts w:ascii="Verdana" w:hAnsi="Verdana"/>
          <w:color w:val="000000" w:themeColor="text1"/>
          <w:sz w:val="20"/>
          <w:szCs w:val="20"/>
        </w:rPr>
        <w:t xml:space="preserve">a Corte </w:t>
      </w:r>
      <w:r w:rsidR="00185E1C" w:rsidRPr="008B7099">
        <w:rPr>
          <w:rFonts w:ascii="Verdana" w:hAnsi="Verdana"/>
          <w:color w:val="000000" w:themeColor="text1"/>
          <w:sz w:val="20"/>
          <w:szCs w:val="20"/>
        </w:rPr>
        <w:t>advierte</w:t>
      </w:r>
      <w:r w:rsidR="006B478B" w:rsidRPr="008B7099">
        <w:rPr>
          <w:rFonts w:ascii="Verdana" w:hAnsi="Verdana"/>
          <w:color w:val="000000" w:themeColor="text1"/>
          <w:sz w:val="20"/>
          <w:szCs w:val="20"/>
        </w:rPr>
        <w:t xml:space="preserve"> que </w:t>
      </w:r>
      <w:r w:rsidRPr="008B7099">
        <w:rPr>
          <w:rFonts w:ascii="Verdana" w:hAnsi="Verdana"/>
          <w:color w:val="000000" w:themeColor="text1"/>
          <w:sz w:val="20"/>
          <w:szCs w:val="20"/>
        </w:rPr>
        <w:t xml:space="preserve">el Estado y </w:t>
      </w:r>
      <w:r w:rsidR="00030E4B" w:rsidRPr="008B7099">
        <w:rPr>
          <w:rFonts w:ascii="Verdana" w:hAnsi="Verdana"/>
          <w:color w:val="000000" w:themeColor="text1"/>
          <w:sz w:val="20"/>
          <w:szCs w:val="20"/>
        </w:rPr>
        <w:t>la representante Meneses Huaya</w:t>
      </w:r>
      <w:r w:rsidR="00376909" w:rsidRPr="008B7099">
        <w:rPr>
          <w:rFonts w:ascii="Verdana" w:hAnsi="Verdana"/>
          <w:color w:val="000000" w:themeColor="text1"/>
          <w:sz w:val="20"/>
          <w:szCs w:val="20"/>
        </w:rPr>
        <w:t xml:space="preserve"> </w:t>
      </w:r>
      <w:r w:rsidR="006B478B" w:rsidRPr="008B7099">
        <w:rPr>
          <w:rFonts w:ascii="Verdana" w:hAnsi="Verdana"/>
          <w:color w:val="000000" w:themeColor="text1"/>
          <w:sz w:val="20"/>
          <w:szCs w:val="20"/>
        </w:rPr>
        <w:t>presentaron su</w:t>
      </w:r>
      <w:r w:rsidR="007233F3">
        <w:rPr>
          <w:rFonts w:ascii="Verdana" w:hAnsi="Verdana"/>
          <w:color w:val="000000" w:themeColor="text1"/>
          <w:sz w:val="20"/>
          <w:szCs w:val="20"/>
        </w:rPr>
        <w:t>s</w:t>
      </w:r>
      <w:r w:rsidR="006B478B" w:rsidRPr="008B7099">
        <w:rPr>
          <w:rFonts w:ascii="Verdana" w:hAnsi="Verdana"/>
          <w:color w:val="000000" w:themeColor="text1"/>
          <w:sz w:val="20"/>
          <w:szCs w:val="20"/>
        </w:rPr>
        <w:t xml:space="preserve"> solicitud</w:t>
      </w:r>
      <w:r w:rsidR="007233F3">
        <w:rPr>
          <w:rFonts w:ascii="Verdana" w:hAnsi="Verdana"/>
          <w:color w:val="000000" w:themeColor="text1"/>
          <w:sz w:val="20"/>
          <w:szCs w:val="20"/>
        </w:rPr>
        <w:t>es</w:t>
      </w:r>
      <w:r w:rsidR="006B478B" w:rsidRPr="008B7099">
        <w:rPr>
          <w:rFonts w:ascii="Verdana" w:hAnsi="Verdana"/>
          <w:color w:val="000000" w:themeColor="text1"/>
          <w:sz w:val="20"/>
          <w:szCs w:val="20"/>
        </w:rPr>
        <w:t xml:space="preserve"> de interpretación de la Sentencia </w:t>
      </w:r>
      <w:r w:rsidR="00030E4B" w:rsidRPr="008B7099">
        <w:rPr>
          <w:rFonts w:ascii="Verdana" w:hAnsi="Verdana"/>
          <w:color w:val="000000" w:themeColor="text1"/>
          <w:sz w:val="20"/>
          <w:szCs w:val="20"/>
        </w:rPr>
        <w:t>el 18 de julio de 2022</w:t>
      </w:r>
      <w:r w:rsidR="00376909" w:rsidRPr="008B7099">
        <w:rPr>
          <w:rFonts w:ascii="Verdana" w:hAnsi="Verdana"/>
          <w:color w:val="000000" w:themeColor="text1"/>
          <w:sz w:val="20"/>
          <w:szCs w:val="20"/>
        </w:rPr>
        <w:t xml:space="preserve">, esto es, </w:t>
      </w:r>
      <w:r w:rsidR="006B478B" w:rsidRPr="008B7099">
        <w:rPr>
          <w:rFonts w:ascii="Verdana" w:hAnsi="Verdana"/>
          <w:color w:val="000000" w:themeColor="text1"/>
          <w:sz w:val="20"/>
          <w:szCs w:val="20"/>
        </w:rPr>
        <w:t xml:space="preserve">dentro del plazo de </w:t>
      </w:r>
      <w:r w:rsidR="006F1078" w:rsidRPr="008B7099">
        <w:rPr>
          <w:rFonts w:ascii="Verdana" w:hAnsi="Verdana"/>
          <w:color w:val="000000" w:themeColor="text1"/>
          <w:sz w:val="20"/>
          <w:szCs w:val="20"/>
        </w:rPr>
        <w:t>90</w:t>
      </w:r>
      <w:r w:rsidR="006B478B" w:rsidRPr="008B7099">
        <w:rPr>
          <w:rFonts w:ascii="Verdana" w:hAnsi="Verdana"/>
          <w:color w:val="000000" w:themeColor="text1"/>
          <w:sz w:val="20"/>
          <w:szCs w:val="20"/>
        </w:rPr>
        <w:t xml:space="preserve"> días establecido en el artículo 67 de la Convención, ya que la misma fue notificada </w:t>
      </w:r>
      <w:r w:rsidR="00376909" w:rsidRPr="008B7099">
        <w:rPr>
          <w:rFonts w:ascii="Verdana" w:hAnsi="Verdana"/>
          <w:color w:val="000000" w:themeColor="text1"/>
          <w:sz w:val="20"/>
          <w:szCs w:val="20"/>
        </w:rPr>
        <w:t xml:space="preserve">a las partes y a la Comisión el </w:t>
      </w:r>
      <w:r w:rsidR="00030E4B" w:rsidRPr="008B7099">
        <w:rPr>
          <w:rFonts w:ascii="Verdana" w:hAnsi="Verdana"/>
          <w:color w:val="000000" w:themeColor="text1"/>
          <w:sz w:val="20"/>
          <w:szCs w:val="20"/>
        </w:rPr>
        <w:t>18 de abril d</w:t>
      </w:r>
      <w:r w:rsidR="00376909" w:rsidRPr="008B7099">
        <w:rPr>
          <w:rFonts w:ascii="Verdana" w:hAnsi="Verdana"/>
          <w:color w:val="000000" w:themeColor="text1"/>
          <w:sz w:val="20"/>
          <w:szCs w:val="20"/>
        </w:rPr>
        <w:t>e 202</w:t>
      </w:r>
      <w:r w:rsidR="00030E4B" w:rsidRPr="008B7099">
        <w:rPr>
          <w:rFonts w:ascii="Verdana" w:hAnsi="Verdana"/>
          <w:color w:val="000000" w:themeColor="text1"/>
          <w:sz w:val="20"/>
          <w:szCs w:val="20"/>
        </w:rPr>
        <w:t>2</w:t>
      </w:r>
      <w:r w:rsidR="006B478B" w:rsidRPr="008B7099">
        <w:rPr>
          <w:rFonts w:ascii="Verdana" w:hAnsi="Verdana"/>
          <w:color w:val="000000" w:themeColor="text1"/>
          <w:sz w:val="20"/>
          <w:szCs w:val="20"/>
        </w:rPr>
        <w:t xml:space="preserve">. Por ende, </w:t>
      </w:r>
      <w:r w:rsidR="00376909" w:rsidRPr="008B7099">
        <w:rPr>
          <w:rFonts w:ascii="Verdana" w:hAnsi="Verdana"/>
          <w:color w:val="000000" w:themeColor="text1"/>
          <w:sz w:val="20"/>
          <w:szCs w:val="20"/>
        </w:rPr>
        <w:t>ambas solicitudes</w:t>
      </w:r>
      <w:r w:rsidR="006B478B" w:rsidRPr="008B7099">
        <w:rPr>
          <w:rFonts w:ascii="Verdana" w:hAnsi="Verdana"/>
          <w:color w:val="000000" w:themeColor="text1"/>
          <w:sz w:val="20"/>
          <w:szCs w:val="20"/>
        </w:rPr>
        <w:t xml:space="preserve"> resulta</w:t>
      </w:r>
      <w:r w:rsidR="00376909" w:rsidRPr="008B7099">
        <w:rPr>
          <w:rFonts w:ascii="Verdana" w:hAnsi="Verdana"/>
          <w:color w:val="000000" w:themeColor="text1"/>
          <w:sz w:val="20"/>
          <w:szCs w:val="20"/>
        </w:rPr>
        <w:t>n</w:t>
      </w:r>
      <w:r w:rsidR="006B478B" w:rsidRPr="008B7099">
        <w:rPr>
          <w:rFonts w:ascii="Verdana" w:hAnsi="Verdana"/>
          <w:color w:val="000000" w:themeColor="text1"/>
          <w:sz w:val="20"/>
          <w:szCs w:val="20"/>
        </w:rPr>
        <w:t xml:space="preserve"> admisible</w:t>
      </w:r>
      <w:r w:rsidR="00376909" w:rsidRPr="008B7099">
        <w:rPr>
          <w:rFonts w:ascii="Verdana" w:hAnsi="Verdana"/>
          <w:color w:val="000000" w:themeColor="text1"/>
          <w:sz w:val="20"/>
          <w:szCs w:val="20"/>
        </w:rPr>
        <w:t>s</w:t>
      </w:r>
      <w:r w:rsidR="006B478B" w:rsidRPr="008B7099">
        <w:rPr>
          <w:rFonts w:ascii="Verdana" w:hAnsi="Verdana"/>
          <w:color w:val="000000" w:themeColor="text1"/>
          <w:sz w:val="20"/>
          <w:szCs w:val="20"/>
        </w:rPr>
        <w:t xml:space="preserve"> en lo que se refiere al plazo de su presentación. En cuanto a los demás requisitos, la Corte realizará el análisis respectivo al examinar el contenido de </w:t>
      </w:r>
      <w:r w:rsidR="00376909" w:rsidRPr="008B7099">
        <w:rPr>
          <w:rFonts w:ascii="Verdana" w:hAnsi="Verdana"/>
          <w:color w:val="000000" w:themeColor="text1"/>
          <w:sz w:val="20"/>
          <w:szCs w:val="20"/>
        </w:rPr>
        <w:t>dichas solicitudes</w:t>
      </w:r>
      <w:r w:rsidR="006B478B" w:rsidRPr="008B7099">
        <w:rPr>
          <w:rFonts w:ascii="Verdana" w:hAnsi="Verdana"/>
          <w:color w:val="000000" w:themeColor="text1"/>
          <w:sz w:val="20"/>
          <w:szCs w:val="20"/>
        </w:rPr>
        <w:t xml:space="preserve"> en el </w:t>
      </w:r>
      <w:r w:rsidR="00185E1C" w:rsidRPr="008B7099">
        <w:rPr>
          <w:rFonts w:ascii="Verdana" w:hAnsi="Verdana"/>
          <w:color w:val="000000" w:themeColor="text1"/>
          <w:sz w:val="20"/>
          <w:szCs w:val="20"/>
        </w:rPr>
        <w:t>siguiente</w:t>
      </w:r>
      <w:r w:rsidR="006B478B" w:rsidRPr="008B7099">
        <w:rPr>
          <w:rFonts w:ascii="Verdana" w:hAnsi="Verdana"/>
          <w:color w:val="000000" w:themeColor="text1"/>
          <w:sz w:val="20"/>
          <w:szCs w:val="20"/>
        </w:rPr>
        <w:t xml:space="preserve"> capítulo. </w:t>
      </w:r>
    </w:p>
    <w:p w14:paraId="51D77086" w14:textId="77777777" w:rsidR="00FE0809" w:rsidRPr="008B7099" w:rsidRDefault="00FE0809" w:rsidP="00A03487">
      <w:pPr>
        <w:pStyle w:val="Prrafodelista"/>
        <w:spacing w:after="0" w:line="240" w:lineRule="auto"/>
        <w:rPr>
          <w:rFonts w:ascii="Verdana" w:hAnsi="Verdana"/>
          <w:color w:val="000000" w:themeColor="text1"/>
          <w:sz w:val="20"/>
          <w:szCs w:val="20"/>
        </w:rPr>
      </w:pPr>
    </w:p>
    <w:p w14:paraId="0FBD20B5" w14:textId="709F12CF" w:rsidR="00A57ACC" w:rsidRPr="008B7099" w:rsidRDefault="00A57ACC" w:rsidP="00A57ACC">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IV</w:t>
      </w:r>
    </w:p>
    <w:p w14:paraId="659C87FC" w14:textId="77777777" w:rsidR="00A57ACC" w:rsidRPr="008B7099" w:rsidRDefault="00A57ACC" w:rsidP="00A57ACC">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ANÁLISIS DE LA PROCEDENCIA DE LA</w:t>
      </w:r>
      <w:r w:rsidR="00CC22B5" w:rsidRPr="008B7099">
        <w:rPr>
          <w:rFonts w:ascii="Verdana" w:hAnsi="Verdana"/>
          <w:b/>
          <w:color w:val="000000" w:themeColor="text1"/>
          <w:sz w:val="20"/>
          <w:szCs w:val="20"/>
        </w:rPr>
        <w:t>S</w:t>
      </w:r>
      <w:r w:rsidRPr="008B7099">
        <w:rPr>
          <w:rFonts w:ascii="Verdana" w:hAnsi="Verdana"/>
          <w:b/>
          <w:color w:val="000000" w:themeColor="text1"/>
          <w:sz w:val="20"/>
          <w:szCs w:val="20"/>
        </w:rPr>
        <w:t xml:space="preserve"> SOLICITUD</w:t>
      </w:r>
      <w:r w:rsidR="00CC22B5" w:rsidRPr="008B7099">
        <w:rPr>
          <w:rFonts w:ascii="Verdana" w:hAnsi="Verdana"/>
          <w:b/>
          <w:color w:val="000000" w:themeColor="text1"/>
          <w:sz w:val="20"/>
          <w:szCs w:val="20"/>
        </w:rPr>
        <w:t>ES</w:t>
      </w:r>
      <w:r w:rsidRPr="008B7099">
        <w:rPr>
          <w:rFonts w:ascii="Verdana" w:hAnsi="Verdana"/>
          <w:b/>
          <w:color w:val="000000" w:themeColor="text1"/>
          <w:sz w:val="20"/>
          <w:szCs w:val="20"/>
        </w:rPr>
        <w:t xml:space="preserve"> DE INTERPRETACIÓN</w:t>
      </w:r>
    </w:p>
    <w:p w14:paraId="4119AC48" w14:textId="77777777" w:rsidR="00A57ACC" w:rsidRPr="008B7099" w:rsidRDefault="00A57ACC" w:rsidP="00A57ACC">
      <w:pPr>
        <w:spacing w:after="0" w:line="240" w:lineRule="auto"/>
        <w:rPr>
          <w:rFonts w:ascii="Verdana" w:hAnsi="Verdana"/>
          <w:b/>
          <w:color w:val="000000" w:themeColor="text1"/>
          <w:sz w:val="20"/>
          <w:szCs w:val="20"/>
        </w:rPr>
      </w:pPr>
    </w:p>
    <w:p w14:paraId="10F328EA" w14:textId="50E1C2A9" w:rsidR="00A57ACC" w:rsidRPr="008B7099" w:rsidRDefault="00A57ACC" w:rsidP="001A3EFE">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A continuación, la Corte analizará </w:t>
      </w:r>
      <w:r w:rsidR="001A3EFE" w:rsidRPr="008B7099">
        <w:rPr>
          <w:rFonts w:ascii="Verdana" w:hAnsi="Verdana"/>
          <w:color w:val="000000" w:themeColor="text1"/>
          <w:sz w:val="20"/>
          <w:szCs w:val="20"/>
        </w:rPr>
        <w:t xml:space="preserve">las solicitudes </w:t>
      </w:r>
      <w:r w:rsidR="001F283B" w:rsidRPr="008B7099">
        <w:rPr>
          <w:rFonts w:ascii="Verdana" w:hAnsi="Verdana"/>
          <w:color w:val="000000" w:themeColor="text1"/>
          <w:sz w:val="20"/>
          <w:szCs w:val="20"/>
        </w:rPr>
        <w:t xml:space="preserve">del Estado y de </w:t>
      </w:r>
      <w:r w:rsidR="00030E4B" w:rsidRPr="008B7099">
        <w:rPr>
          <w:rFonts w:ascii="Verdana" w:hAnsi="Verdana"/>
          <w:color w:val="000000" w:themeColor="text1"/>
          <w:sz w:val="20"/>
          <w:szCs w:val="20"/>
        </w:rPr>
        <w:t>la representante Meneses Huaya</w:t>
      </w:r>
      <w:r w:rsidR="001A3EFE" w:rsidRPr="008B7099">
        <w:rPr>
          <w:rFonts w:ascii="Verdana" w:hAnsi="Verdana"/>
          <w:color w:val="000000" w:themeColor="text1"/>
          <w:sz w:val="20"/>
          <w:szCs w:val="20"/>
        </w:rPr>
        <w:t xml:space="preserve"> </w:t>
      </w:r>
      <w:r w:rsidRPr="008B7099">
        <w:rPr>
          <w:rFonts w:ascii="Verdana" w:hAnsi="Verdana"/>
          <w:color w:val="000000" w:themeColor="text1"/>
          <w:sz w:val="20"/>
          <w:szCs w:val="20"/>
        </w:rPr>
        <w:t xml:space="preserve">para determinar si, de acuerdo </w:t>
      </w:r>
      <w:r w:rsidR="00F911EA" w:rsidRPr="008B7099">
        <w:rPr>
          <w:rFonts w:ascii="Verdana" w:hAnsi="Verdana"/>
          <w:color w:val="000000" w:themeColor="text1"/>
          <w:sz w:val="20"/>
          <w:szCs w:val="20"/>
        </w:rPr>
        <w:t>con</w:t>
      </w:r>
      <w:r w:rsidRPr="008B7099">
        <w:rPr>
          <w:rFonts w:ascii="Verdana" w:hAnsi="Verdana"/>
          <w:color w:val="000000" w:themeColor="text1"/>
          <w:sz w:val="20"/>
          <w:szCs w:val="20"/>
        </w:rPr>
        <w:t xml:space="preserve"> la normativa </w:t>
      </w:r>
      <w:r w:rsidR="0016672D" w:rsidRPr="008B7099">
        <w:rPr>
          <w:rFonts w:ascii="Verdana" w:hAnsi="Verdana"/>
          <w:color w:val="000000" w:themeColor="text1"/>
          <w:sz w:val="20"/>
          <w:szCs w:val="20"/>
        </w:rPr>
        <w:t>y</w:t>
      </w:r>
      <w:r w:rsidRPr="008B7099">
        <w:rPr>
          <w:rFonts w:ascii="Verdana" w:hAnsi="Verdana"/>
          <w:color w:val="000000" w:themeColor="text1"/>
          <w:sz w:val="20"/>
          <w:szCs w:val="20"/>
        </w:rPr>
        <w:t xml:space="preserve"> los </w:t>
      </w:r>
      <w:r w:rsidR="0016672D" w:rsidRPr="008B7099">
        <w:rPr>
          <w:rFonts w:ascii="Verdana" w:hAnsi="Verdana"/>
          <w:color w:val="000000" w:themeColor="text1"/>
          <w:sz w:val="20"/>
          <w:szCs w:val="20"/>
        </w:rPr>
        <w:t>estándares</w:t>
      </w:r>
      <w:r w:rsidRPr="008B7099">
        <w:rPr>
          <w:rFonts w:ascii="Verdana" w:hAnsi="Verdana"/>
          <w:color w:val="000000" w:themeColor="text1"/>
          <w:sz w:val="20"/>
          <w:szCs w:val="20"/>
        </w:rPr>
        <w:t xml:space="preserve"> desarrollados en su jurisprudencia, procede aclarar el sentido o alcance de algún punto de la Sentencia. </w:t>
      </w:r>
    </w:p>
    <w:p w14:paraId="5B755BEB" w14:textId="77777777" w:rsidR="00A57ACC" w:rsidRPr="008B7099" w:rsidRDefault="00A57ACC" w:rsidP="00A57ACC">
      <w:pPr>
        <w:pStyle w:val="Prrafodelista"/>
        <w:spacing w:after="0" w:line="240" w:lineRule="auto"/>
        <w:ind w:left="0"/>
        <w:jc w:val="both"/>
        <w:rPr>
          <w:rFonts w:ascii="Verdana" w:hAnsi="Verdana"/>
          <w:color w:val="000000" w:themeColor="text1"/>
          <w:sz w:val="20"/>
          <w:szCs w:val="20"/>
        </w:rPr>
      </w:pPr>
    </w:p>
    <w:p w14:paraId="40542814" w14:textId="53472FD0" w:rsidR="00A57ACC" w:rsidRPr="008B7099" w:rsidRDefault="005A46F0" w:rsidP="001A3EFE">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L</w:t>
      </w:r>
      <w:r w:rsidR="00A57ACC" w:rsidRPr="008B7099">
        <w:rPr>
          <w:rFonts w:ascii="Verdana" w:hAnsi="Verdana"/>
          <w:color w:val="000000" w:themeColor="text1"/>
          <w:sz w:val="20"/>
          <w:szCs w:val="20"/>
        </w:rPr>
        <w:t xml:space="preserve">a Corte </w:t>
      </w:r>
      <w:r w:rsidRPr="008B7099">
        <w:rPr>
          <w:rFonts w:ascii="Verdana" w:hAnsi="Verdana"/>
          <w:color w:val="000000" w:themeColor="text1"/>
          <w:sz w:val="20"/>
          <w:szCs w:val="20"/>
        </w:rPr>
        <w:t xml:space="preserve">ha señalado que </w:t>
      </w:r>
      <w:r w:rsidR="00A57ACC" w:rsidRPr="008B7099">
        <w:rPr>
          <w:rFonts w:ascii="Verdana" w:hAnsi="Verdana"/>
          <w:color w:val="000000" w:themeColor="text1"/>
          <w:sz w:val="20"/>
          <w:szCs w:val="20"/>
        </w:rPr>
        <w:t>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0016672D" w:rsidRPr="008B7099">
        <w:rPr>
          <w:rStyle w:val="Refdenotaalpie"/>
          <w:rFonts w:ascii="Verdana" w:hAnsi="Verdana"/>
          <w:color w:val="000000" w:themeColor="text1"/>
          <w:sz w:val="20"/>
          <w:szCs w:val="20"/>
        </w:rPr>
        <w:footnoteReference w:id="4"/>
      </w:r>
      <w:r w:rsidR="00A57ACC" w:rsidRPr="008B7099">
        <w:rPr>
          <w:rFonts w:ascii="Verdana" w:hAnsi="Verdana"/>
          <w:color w:val="000000" w:themeColor="text1"/>
          <w:sz w:val="20"/>
          <w:szCs w:val="20"/>
        </w:rPr>
        <w:t>. Por lo tanto, no se puede solicitar la modificación o anulación de la sentencia respectiva a través de una solicitud de interpretación</w:t>
      </w:r>
      <w:r w:rsidR="00A57ACC" w:rsidRPr="008B7099">
        <w:rPr>
          <w:rStyle w:val="Refdenotaalpie"/>
          <w:rFonts w:ascii="Verdana" w:hAnsi="Verdana"/>
          <w:color w:val="000000" w:themeColor="text1"/>
          <w:sz w:val="20"/>
          <w:szCs w:val="20"/>
        </w:rPr>
        <w:footnoteReference w:id="5"/>
      </w:r>
      <w:r w:rsidR="00A57ACC" w:rsidRPr="008B7099">
        <w:rPr>
          <w:rFonts w:ascii="Verdana" w:hAnsi="Verdana"/>
          <w:color w:val="000000" w:themeColor="text1"/>
          <w:sz w:val="20"/>
          <w:szCs w:val="20"/>
        </w:rPr>
        <w:t>.</w:t>
      </w:r>
    </w:p>
    <w:p w14:paraId="77925BB5" w14:textId="77777777" w:rsidR="00EF6514" w:rsidRPr="008B7099" w:rsidRDefault="00EF6514" w:rsidP="00EF6514">
      <w:pPr>
        <w:pStyle w:val="Prrafodelista"/>
        <w:rPr>
          <w:rFonts w:ascii="Verdana" w:hAnsi="Verdana"/>
          <w:color w:val="000000" w:themeColor="text1"/>
          <w:sz w:val="20"/>
          <w:szCs w:val="20"/>
        </w:rPr>
      </w:pPr>
    </w:p>
    <w:p w14:paraId="3FCAF218" w14:textId="77777777" w:rsidR="005A46F0" w:rsidRPr="008B7099" w:rsidRDefault="005A46F0" w:rsidP="008002A7">
      <w:pPr>
        <w:pStyle w:val="Prrafodelista"/>
        <w:numPr>
          <w:ilvl w:val="0"/>
          <w:numId w:val="1"/>
        </w:numPr>
        <w:spacing w:after="0" w:line="240" w:lineRule="auto"/>
        <w:ind w:left="0" w:firstLine="0"/>
        <w:jc w:val="both"/>
        <w:rPr>
          <w:rFonts w:ascii="Verdana" w:eastAsia="Times" w:hAnsi="Verdana"/>
          <w:color w:val="000000" w:themeColor="text1"/>
          <w:sz w:val="20"/>
          <w:szCs w:val="20"/>
          <w:lang w:val="es-ES_tradnl"/>
        </w:rPr>
      </w:pPr>
      <w:r w:rsidRPr="008B7099">
        <w:rPr>
          <w:rFonts w:ascii="Verdana" w:hAnsi="Verdana"/>
          <w:color w:val="000000" w:themeColor="text1"/>
          <w:sz w:val="20"/>
          <w:szCs w:val="20"/>
        </w:rPr>
        <w:t>Adicionalmente, la Corte ha sostenido la improcedencia de utilizar una solicitud de interpretación para someter consideraciones sobre cuestiones de hecho y de derecho que ya fueron planteadas en su oportunidad procesal y sobre las cuales la Corte ya adoptó una decisión</w:t>
      </w:r>
      <w:r w:rsidRPr="008B7099">
        <w:rPr>
          <w:rStyle w:val="Refdenotaalpie"/>
          <w:rFonts w:ascii="Verdana" w:hAnsi="Verdana"/>
          <w:color w:val="000000" w:themeColor="text1"/>
          <w:sz w:val="20"/>
          <w:szCs w:val="20"/>
        </w:rPr>
        <w:footnoteReference w:id="6"/>
      </w:r>
      <w:r w:rsidRPr="008B7099">
        <w:rPr>
          <w:rFonts w:ascii="Verdana" w:hAnsi="Verdana"/>
          <w:color w:val="000000" w:themeColor="text1"/>
          <w:sz w:val="20"/>
          <w:szCs w:val="20"/>
        </w:rPr>
        <w:t>, así como para pretender que la Corte valore nuevamente cuestiones que ya han sido resueltas en la Sentencia</w:t>
      </w:r>
      <w:r w:rsidRPr="008B7099">
        <w:rPr>
          <w:rStyle w:val="Refdenotaalpie"/>
          <w:rFonts w:ascii="Verdana" w:hAnsi="Verdana"/>
          <w:color w:val="000000" w:themeColor="text1"/>
          <w:sz w:val="20"/>
          <w:szCs w:val="20"/>
        </w:rPr>
        <w:footnoteReference w:id="7"/>
      </w:r>
      <w:r w:rsidRPr="008B7099">
        <w:rPr>
          <w:rFonts w:ascii="Verdana" w:hAnsi="Verdana"/>
          <w:color w:val="000000" w:themeColor="text1"/>
          <w:sz w:val="20"/>
          <w:szCs w:val="20"/>
        </w:rPr>
        <w:t>. De igual manera, por esta vía tampoco se puede intentar que se amplíe el alcance de una medida de reparación ordenada oportunamente</w:t>
      </w:r>
      <w:r w:rsidRPr="008B7099">
        <w:rPr>
          <w:rStyle w:val="Refdenotaalpie"/>
          <w:rFonts w:ascii="Verdana" w:hAnsi="Verdana"/>
          <w:color w:val="000000" w:themeColor="text1"/>
          <w:sz w:val="20"/>
          <w:szCs w:val="20"/>
        </w:rPr>
        <w:footnoteReference w:id="8"/>
      </w:r>
      <w:r w:rsidRPr="008B7099">
        <w:rPr>
          <w:rFonts w:ascii="Verdana" w:hAnsi="Verdana"/>
          <w:color w:val="000000" w:themeColor="text1"/>
          <w:sz w:val="20"/>
          <w:szCs w:val="20"/>
        </w:rPr>
        <w:t>.</w:t>
      </w:r>
    </w:p>
    <w:p w14:paraId="67B66A44" w14:textId="0902E5BE" w:rsidR="005A46F0" w:rsidRPr="008B7099" w:rsidRDefault="00236B2C" w:rsidP="00236B2C">
      <w:pPr>
        <w:pStyle w:val="Prrafodelista"/>
        <w:tabs>
          <w:tab w:val="left" w:pos="2175"/>
        </w:tabs>
        <w:spacing w:after="0" w:line="240" w:lineRule="auto"/>
        <w:ind w:left="0"/>
        <w:jc w:val="both"/>
        <w:rPr>
          <w:rFonts w:ascii="Verdana" w:eastAsia="Times" w:hAnsi="Verdana"/>
          <w:color w:val="000000" w:themeColor="text1"/>
          <w:sz w:val="20"/>
          <w:szCs w:val="20"/>
          <w:lang w:val="es-ES_tradnl"/>
        </w:rPr>
      </w:pPr>
      <w:r w:rsidRPr="008B7099">
        <w:rPr>
          <w:rFonts w:ascii="Verdana" w:eastAsia="Times" w:hAnsi="Verdana"/>
          <w:color w:val="000000" w:themeColor="text1"/>
          <w:sz w:val="20"/>
          <w:szCs w:val="20"/>
          <w:lang w:val="es-ES_tradnl"/>
        </w:rPr>
        <w:tab/>
      </w:r>
    </w:p>
    <w:p w14:paraId="2E771780" w14:textId="70EFE24B" w:rsidR="00A53C30" w:rsidRPr="008B7099" w:rsidRDefault="00BC3CC7" w:rsidP="00CD19D0">
      <w:pPr>
        <w:pStyle w:val="Prrafodelista"/>
        <w:numPr>
          <w:ilvl w:val="0"/>
          <w:numId w:val="1"/>
        </w:numPr>
        <w:spacing w:after="0" w:line="240" w:lineRule="auto"/>
        <w:ind w:left="0" w:firstLine="0"/>
        <w:jc w:val="both"/>
        <w:rPr>
          <w:rFonts w:ascii="Verdana" w:hAnsi="Verdana"/>
          <w:b/>
          <w:color w:val="000000" w:themeColor="text1"/>
          <w:sz w:val="20"/>
          <w:szCs w:val="20"/>
        </w:rPr>
      </w:pPr>
      <w:r w:rsidRPr="008B7099">
        <w:rPr>
          <w:rFonts w:ascii="Verdana" w:eastAsia="Times" w:hAnsi="Verdana"/>
          <w:color w:val="000000" w:themeColor="text1"/>
          <w:sz w:val="20"/>
          <w:szCs w:val="20"/>
        </w:rPr>
        <w:t>L</w:t>
      </w:r>
      <w:r w:rsidR="005A46F0" w:rsidRPr="008B7099">
        <w:rPr>
          <w:rFonts w:ascii="Verdana" w:eastAsia="Times" w:hAnsi="Verdana"/>
          <w:color w:val="000000" w:themeColor="text1"/>
          <w:sz w:val="20"/>
          <w:szCs w:val="20"/>
        </w:rPr>
        <w:t xml:space="preserve">a Corte Interamericana examinará las cuestiones planteadas en el siguiente orden: </w:t>
      </w:r>
      <w:r w:rsidR="00503125" w:rsidRPr="008B7099">
        <w:rPr>
          <w:rFonts w:ascii="Verdana" w:eastAsia="Times" w:hAnsi="Verdana"/>
          <w:color w:val="000000" w:themeColor="text1"/>
          <w:sz w:val="20"/>
          <w:szCs w:val="20"/>
        </w:rPr>
        <w:t>(i)</w:t>
      </w:r>
      <w:r w:rsidR="00503125" w:rsidRPr="008B7099">
        <w:rPr>
          <w:rFonts w:ascii="Verdana" w:hAnsi="Verdana"/>
          <w:color w:val="000000" w:themeColor="text1"/>
          <w:sz w:val="20"/>
          <w:szCs w:val="20"/>
        </w:rPr>
        <w:t xml:space="preserve"> </w:t>
      </w:r>
      <w:r w:rsidR="00236B2C" w:rsidRPr="008B7099">
        <w:rPr>
          <w:rFonts w:ascii="Verdana" w:hAnsi="Verdana"/>
          <w:color w:val="000000" w:themeColor="text1"/>
          <w:sz w:val="20"/>
          <w:szCs w:val="20"/>
        </w:rPr>
        <w:t xml:space="preserve">la solicitud </w:t>
      </w:r>
      <w:r w:rsidR="00CD19D0" w:rsidRPr="008B7099">
        <w:rPr>
          <w:rFonts w:ascii="Verdana" w:hAnsi="Verdana"/>
          <w:color w:val="000000" w:themeColor="text1"/>
          <w:sz w:val="20"/>
          <w:szCs w:val="20"/>
        </w:rPr>
        <w:t xml:space="preserve">de interpretación </w:t>
      </w:r>
      <w:r w:rsidR="00D67FAA" w:rsidRPr="008B7099">
        <w:rPr>
          <w:rFonts w:ascii="Verdana" w:hAnsi="Verdana"/>
          <w:color w:val="000000" w:themeColor="text1"/>
          <w:sz w:val="20"/>
          <w:szCs w:val="20"/>
        </w:rPr>
        <w:t xml:space="preserve">interpuesta por </w:t>
      </w:r>
      <w:r w:rsidR="00CD19D0" w:rsidRPr="008B7099">
        <w:rPr>
          <w:rFonts w:ascii="Verdana" w:hAnsi="Verdana"/>
          <w:color w:val="000000" w:themeColor="text1"/>
          <w:sz w:val="20"/>
          <w:szCs w:val="20"/>
        </w:rPr>
        <w:t>el Estado</w:t>
      </w:r>
      <w:r w:rsidR="00503125" w:rsidRPr="008B7099">
        <w:rPr>
          <w:rFonts w:ascii="Verdana" w:eastAsia="Times" w:hAnsi="Verdana"/>
          <w:color w:val="000000" w:themeColor="text1"/>
          <w:sz w:val="20"/>
          <w:szCs w:val="20"/>
        </w:rPr>
        <w:t xml:space="preserve"> y (ii) </w:t>
      </w:r>
      <w:r w:rsidR="00236B2C" w:rsidRPr="008B7099">
        <w:rPr>
          <w:rFonts w:ascii="Verdana" w:eastAsia="Times" w:hAnsi="Verdana"/>
          <w:color w:val="000000" w:themeColor="text1"/>
          <w:sz w:val="20"/>
          <w:szCs w:val="20"/>
        </w:rPr>
        <w:t xml:space="preserve">la solicitud </w:t>
      </w:r>
      <w:r w:rsidR="00CD19D0" w:rsidRPr="008B7099">
        <w:rPr>
          <w:rFonts w:ascii="Verdana" w:eastAsia="Times" w:hAnsi="Verdana"/>
          <w:color w:val="000000" w:themeColor="text1"/>
          <w:sz w:val="20"/>
          <w:szCs w:val="20"/>
        </w:rPr>
        <w:t xml:space="preserve">de interpretación </w:t>
      </w:r>
      <w:r w:rsidR="007513BE">
        <w:rPr>
          <w:rFonts w:ascii="Verdana" w:eastAsia="Times" w:hAnsi="Verdana"/>
          <w:color w:val="000000" w:themeColor="text1"/>
          <w:sz w:val="20"/>
          <w:szCs w:val="20"/>
        </w:rPr>
        <w:t>i</w:t>
      </w:r>
      <w:r w:rsidR="007513BE" w:rsidRPr="008B7099">
        <w:rPr>
          <w:rFonts w:ascii="Verdana" w:hAnsi="Verdana"/>
          <w:color w:val="000000" w:themeColor="text1"/>
          <w:sz w:val="20"/>
          <w:szCs w:val="20"/>
        </w:rPr>
        <w:t xml:space="preserve">nterpuesta </w:t>
      </w:r>
      <w:r w:rsidR="00D67FAA" w:rsidRPr="008B7099">
        <w:rPr>
          <w:rFonts w:ascii="Verdana" w:eastAsia="Times" w:hAnsi="Verdana"/>
          <w:color w:val="000000" w:themeColor="text1"/>
          <w:sz w:val="20"/>
          <w:szCs w:val="20"/>
        </w:rPr>
        <w:t xml:space="preserve">por </w:t>
      </w:r>
      <w:r w:rsidR="00030E4B" w:rsidRPr="008B7099">
        <w:rPr>
          <w:rFonts w:ascii="Verdana" w:eastAsia="Times" w:hAnsi="Verdana"/>
          <w:color w:val="000000" w:themeColor="text1"/>
          <w:sz w:val="20"/>
          <w:szCs w:val="20"/>
        </w:rPr>
        <w:t xml:space="preserve">la </w:t>
      </w:r>
      <w:r w:rsidR="007513BE">
        <w:rPr>
          <w:rFonts w:ascii="Verdana" w:eastAsia="Times" w:hAnsi="Verdana"/>
          <w:color w:val="000000" w:themeColor="text1"/>
          <w:sz w:val="20"/>
          <w:szCs w:val="20"/>
        </w:rPr>
        <w:t>representante</w:t>
      </w:r>
      <w:r w:rsidR="007513BE" w:rsidRPr="008B7099">
        <w:rPr>
          <w:rFonts w:ascii="Verdana" w:eastAsia="Times" w:hAnsi="Verdana"/>
          <w:color w:val="000000" w:themeColor="text1"/>
          <w:sz w:val="20"/>
          <w:szCs w:val="20"/>
        </w:rPr>
        <w:t xml:space="preserve"> </w:t>
      </w:r>
      <w:r w:rsidR="00030E4B" w:rsidRPr="008B7099">
        <w:rPr>
          <w:rFonts w:ascii="Verdana" w:eastAsia="Times" w:hAnsi="Verdana"/>
          <w:color w:val="000000" w:themeColor="text1"/>
          <w:sz w:val="20"/>
          <w:szCs w:val="20"/>
        </w:rPr>
        <w:t>Meneses Huayra</w:t>
      </w:r>
      <w:r w:rsidR="00CD19D0" w:rsidRPr="008B7099">
        <w:rPr>
          <w:rFonts w:ascii="Verdana" w:eastAsia="Times" w:hAnsi="Verdana"/>
          <w:color w:val="000000" w:themeColor="text1"/>
          <w:sz w:val="20"/>
          <w:szCs w:val="20"/>
        </w:rPr>
        <w:t>.</w:t>
      </w:r>
    </w:p>
    <w:p w14:paraId="557278AB" w14:textId="77777777" w:rsidR="00CB4AC8" w:rsidRPr="008B7099" w:rsidRDefault="00CB4AC8" w:rsidP="00CB4AC8">
      <w:pPr>
        <w:pStyle w:val="Prrafodelista"/>
        <w:rPr>
          <w:rFonts w:ascii="Verdana" w:hAnsi="Verdana"/>
          <w:b/>
          <w:color w:val="000000" w:themeColor="text1"/>
          <w:sz w:val="20"/>
          <w:szCs w:val="20"/>
        </w:rPr>
      </w:pPr>
    </w:p>
    <w:p w14:paraId="6069C668" w14:textId="5C469632" w:rsidR="00CB4AC8" w:rsidRPr="008B7099" w:rsidRDefault="00CB4AC8" w:rsidP="00CB4AC8">
      <w:pPr>
        <w:pStyle w:val="Prrafodelista"/>
        <w:numPr>
          <w:ilvl w:val="0"/>
          <w:numId w:val="2"/>
        </w:numPr>
        <w:spacing w:after="0" w:line="240" w:lineRule="auto"/>
        <w:ind w:left="426"/>
        <w:jc w:val="both"/>
        <w:rPr>
          <w:rFonts w:ascii="Verdana" w:hAnsi="Verdana"/>
          <w:b/>
          <w:color w:val="000000" w:themeColor="text1"/>
          <w:sz w:val="20"/>
          <w:szCs w:val="20"/>
        </w:rPr>
      </w:pPr>
      <w:r w:rsidRPr="008B7099">
        <w:rPr>
          <w:rFonts w:ascii="Verdana" w:hAnsi="Verdana"/>
          <w:b/>
          <w:color w:val="000000" w:themeColor="text1"/>
          <w:sz w:val="20"/>
          <w:szCs w:val="20"/>
        </w:rPr>
        <w:t>Solicitud de interpretación interpuesta por el Estado</w:t>
      </w:r>
    </w:p>
    <w:p w14:paraId="359AB7F1" w14:textId="2E7394E3" w:rsidR="00CD19D0" w:rsidRPr="008B7099" w:rsidRDefault="00CD19D0" w:rsidP="00CD19D0">
      <w:pPr>
        <w:spacing w:after="0" w:line="240" w:lineRule="auto"/>
        <w:jc w:val="both"/>
        <w:rPr>
          <w:rFonts w:ascii="Verdana" w:hAnsi="Verdana"/>
          <w:b/>
          <w:color w:val="000000" w:themeColor="text1"/>
          <w:sz w:val="20"/>
          <w:szCs w:val="20"/>
        </w:rPr>
      </w:pPr>
    </w:p>
    <w:p w14:paraId="26B7D74C" w14:textId="2419D0EC" w:rsidR="00CD19D0" w:rsidRPr="008B7099" w:rsidRDefault="002A5213" w:rsidP="00CD19D0">
      <w:pPr>
        <w:spacing w:after="0" w:line="240" w:lineRule="auto"/>
        <w:ind w:firstLine="708"/>
        <w:jc w:val="both"/>
        <w:rPr>
          <w:rFonts w:ascii="Verdana" w:hAnsi="Verdana"/>
          <w:i/>
          <w:color w:val="000000" w:themeColor="text1"/>
          <w:sz w:val="20"/>
          <w:szCs w:val="20"/>
        </w:rPr>
      </w:pPr>
      <w:r w:rsidRPr="008B7099">
        <w:rPr>
          <w:rFonts w:ascii="Verdana" w:hAnsi="Verdana"/>
          <w:i/>
          <w:color w:val="000000" w:themeColor="text1"/>
          <w:sz w:val="20"/>
          <w:szCs w:val="20"/>
        </w:rPr>
        <w:t>A</w:t>
      </w:r>
      <w:r w:rsidR="00CD19D0" w:rsidRPr="008B7099">
        <w:rPr>
          <w:rFonts w:ascii="Verdana" w:hAnsi="Verdana"/>
          <w:i/>
          <w:color w:val="000000" w:themeColor="text1"/>
          <w:sz w:val="20"/>
          <w:szCs w:val="20"/>
        </w:rPr>
        <w:t xml:space="preserve">.1. Argumentos de las partes y de la Comisión </w:t>
      </w:r>
    </w:p>
    <w:p w14:paraId="65623A35" w14:textId="77777777" w:rsidR="001928E4" w:rsidRPr="008B7099" w:rsidRDefault="001928E4" w:rsidP="001928E4">
      <w:pPr>
        <w:pStyle w:val="Prrafodelista"/>
        <w:spacing w:after="0" w:line="240" w:lineRule="auto"/>
        <w:ind w:left="426"/>
        <w:jc w:val="both"/>
        <w:rPr>
          <w:rFonts w:ascii="Verdana" w:hAnsi="Verdana"/>
          <w:b/>
          <w:color w:val="000000" w:themeColor="text1"/>
          <w:sz w:val="20"/>
          <w:szCs w:val="20"/>
        </w:rPr>
      </w:pPr>
    </w:p>
    <w:p w14:paraId="51EBECAA" w14:textId="512D2C39" w:rsidR="00030E4B" w:rsidRPr="008B7099" w:rsidRDefault="00CD19D0" w:rsidP="00672E61">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El </w:t>
      </w:r>
      <w:r w:rsidRPr="008B7099">
        <w:rPr>
          <w:rFonts w:ascii="Verdana" w:hAnsi="Verdana"/>
          <w:b/>
          <w:bCs/>
          <w:i/>
          <w:iCs/>
          <w:color w:val="000000" w:themeColor="text1"/>
          <w:sz w:val="20"/>
          <w:szCs w:val="20"/>
        </w:rPr>
        <w:t>Estado</w:t>
      </w:r>
      <w:r w:rsidRPr="008B7099">
        <w:rPr>
          <w:rFonts w:ascii="Verdana" w:hAnsi="Verdana"/>
          <w:color w:val="000000" w:themeColor="text1"/>
          <w:sz w:val="20"/>
          <w:szCs w:val="20"/>
        </w:rPr>
        <w:t xml:space="preserve"> </w:t>
      </w:r>
      <w:r w:rsidR="00FF1466" w:rsidRPr="008B7099">
        <w:rPr>
          <w:rFonts w:ascii="Verdana" w:hAnsi="Verdana"/>
          <w:color w:val="000000" w:themeColor="text1"/>
          <w:sz w:val="20"/>
          <w:szCs w:val="20"/>
        </w:rPr>
        <w:t xml:space="preserve">hizo referencia al punto resolutivo 7 de la Sentencia, </w:t>
      </w:r>
      <w:r w:rsidR="00BA3E45">
        <w:rPr>
          <w:rFonts w:ascii="Verdana" w:hAnsi="Verdana"/>
          <w:color w:val="000000" w:themeColor="text1"/>
          <w:sz w:val="20"/>
          <w:szCs w:val="20"/>
        </w:rPr>
        <w:t xml:space="preserve">mediante </w:t>
      </w:r>
      <w:r w:rsidR="00FF1466" w:rsidRPr="008B7099">
        <w:rPr>
          <w:rFonts w:ascii="Verdana" w:hAnsi="Verdana"/>
          <w:color w:val="000000" w:themeColor="text1"/>
          <w:sz w:val="20"/>
          <w:szCs w:val="20"/>
        </w:rPr>
        <w:t xml:space="preserve">el cual </w:t>
      </w:r>
      <w:r w:rsidR="00BA3E45">
        <w:rPr>
          <w:rFonts w:ascii="Verdana" w:hAnsi="Verdana"/>
          <w:color w:val="000000" w:themeColor="text1"/>
          <w:sz w:val="20"/>
          <w:szCs w:val="20"/>
        </w:rPr>
        <w:t>s</w:t>
      </w:r>
      <w:r w:rsidR="00FF1466" w:rsidRPr="008B7099">
        <w:rPr>
          <w:rFonts w:ascii="Verdana" w:hAnsi="Verdana"/>
          <w:color w:val="000000" w:themeColor="text1"/>
          <w:sz w:val="20"/>
          <w:szCs w:val="20"/>
        </w:rPr>
        <w:t>e ordenó realizar “</w:t>
      </w:r>
      <w:r w:rsidR="00EE3758">
        <w:rPr>
          <w:rFonts w:ascii="Verdana" w:hAnsi="Verdana"/>
          <w:color w:val="000000" w:themeColor="text1"/>
          <w:sz w:val="20"/>
          <w:szCs w:val="20"/>
        </w:rPr>
        <w:t>[</w:t>
      </w:r>
      <w:r w:rsidR="00FF1466" w:rsidRPr="008B7099">
        <w:rPr>
          <w:rFonts w:ascii="Verdana" w:hAnsi="Verdana"/>
          <w:color w:val="000000" w:themeColor="text1"/>
          <w:sz w:val="20"/>
          <w:szCs w:val="20"/>
        </w:rPr>
        <w:t>e</w:t>
      </w:r>
      <w:r w:rsidR="00EE3758">
        <w:rPr>
          <w:rFonts w:ascii="Verdana" w:hAnsi="Verdana"/>
          <w:color w:val="000000" w:themeColor="text1"/>
          <w:sz w:val="20"/>
          <w:szCs w:val="20"/>
        </w:rPr>
        <w:t>]</w:t>
      </w:r>
      <w:r w:rsidR="00FF1466" w:rsidRPr="008B7099">
        <w:rPr>
          <w:rFonts w:ascii="Verdana" w:hAnsi="Verdana"/>
          <w:color w:val="000000" w:themeColor="text1"/>
          <w:sz w:val="20"/>
          <w:szCs w:val="20"/>
        </w:rPr>
        <w:t xml:space="preserve">l pago efectivo de los reintegros pendientes de pago por concepto de lo dispuesto por la sentencia de 12 de febrero de 1992, en los términos de los párrafos 125 y 143 a 148 de la </w:t>
      </w:r>
      <w:r w:rsidR="00BA3E45">
        <w:rPr>
          <w:rFonts w:ascii="Verdana" w:hAnsi="Verdana"/>
          <w:color w:val="000000" w:themeColor="text1"/>
          <w:sz w:val="20"/>
          <w:szCs w:val="20"/>
        </w:rPr>
        <w:t>[…]</w:t>
      </w:r>
      <w:r w:rsidR="00BA3E45" w:rsidRPr="008B7099">
        <w:rPr>
          <w:rFonts w:ascii="Verdana" w:hAnsi="Verdana"/>
          <w:color w:val="000000" w:themeColor="text1"/>
          <w:sz w:val="20"/>
          <w:szCs w:val="20"/>
        </w:rPr>
        <w:t xml:space="preserve"> </w:t>
      </w:r>
      <w:r w:rsidR="00FF1466" w:rsidRPr="008B7099">
        <w:rPr>
          <w:rFonts w:ascii="Verdana" w:hAnsi="Verdana"/>
          <w:color w:val="000000" w:themeColor="text1"/>
          <w:sz w:val="20"/>
          <w:szCs w:val="20"/>
        </w:rPr>
        <w:t>Sentencia”.</w:t>
      </w:r>
      <w:r w:rsidR="00AD5FDF" w:rsidRPr="008B7099">
        <w:rPr>
          <w:rFonts w:ascii="Verdana" w:hAnsi="Verdana"/>
          <w:color w:val="000000" w:themeColor="text1"/>
          <w:sz w:val="20"/>
          <w:szCs w:val="20"/>
        </w:rPr>
        <w:t xml:space="preserve"> Según lo señalado en el indicado párrafo 125</w:t>
      </w:r>
      <w:r w:rsidR="00D306D1">
        <w:rPr>
          <w:rFonts w:ascii="Verdana" w:hAnsi="Verdana"/>
          <w:color w:val="000000" w:themeColor="text1"/>
          <w:sz w:val="20"/>
          <w:szCs w:val="20"/>
        </w:rPr>
        <w:t>,</w:t>
      </w:r>
      <w:r w:rsidR="00AD5FDF" w:rsidRPr="008B7099">
        <w:rPr>
          <w:rFonts w:ascii="Verdana" w:hAnsi="Verdana"/>
          <w:color w:val="000000" w:themeColor="text1"/>
          <w:sz w:val="20"/>
          <w:szCs w:val="20"/>
        </w:rPr>
        <w:t xml:space="preserve"> el Estado debe garantizar el “pago efectivo de los reintegros pendientes de pago por concepto de lo dispuesto por la sentencia de 12 de febrero de 1992 y, en particular, en el Informe Pericial No. 240-2015-PJ-EV de 2 de diciembre de 2015, a las 2.317 víctimas enumeradas en el Anexo II o a sus derechohabientes conforme al derecho interno aplicable”. En su escrito de solicitud de interpretación, el Estado alegó que, en virtud de una sentencia del Tribunal Constitucional de 30 de noviembre de 2021</w:t>
      </w:r>
      <w:r w:rsidR="00BA3E45">
        <w:rPr>
          <w:rFonts w:ascii="Verdana" w:hAnsi="Verdana"/>
          <w:color w:val="000000" w:themeColor="text1"/>
          <w:sz w:val="20"/>
          <w:szCs w:val="20"/>
        </w:rPr>
        <w:t>,</w:t>
      </w:r>
      <w:r w:rsidR="00AD5FDF" w:rsidRPr="008B7099">
        <w:rPr>
          <w:rFonts w:ascii="Verdana" w:hAnsi="Verdana"/>
          <w:color w:val="000000" w:themeColor="text1"/>
          <w:sz w:val="20"/>
          <w:szCs w:val="20"/>
        </w:rPr>
        <w:t xml:space="preserve"> el referido Informe Pericial fue declarado nulo lo cual, según el Estado</w:t>
      </w:r>
      <w:r w:rsidR="00C4080F">
        <w:rPr>
          <w:rFonts w:ascii="Verdana" w:hAnsi="Verdana"/>
          <w:color w:val="000000" w:themeColor="text1"/>
          <w:sz w:val="20"/>
          <w:szCs w:val="20"/>
        </w:rPr>
        <w:t>,</w:t>
      </w:r>
      <w:r w:rsidR="00AD5FDF" w:rsidRPr="008B7099">
        <w:rPr>
          <w:rFonts w:ascii="Verdana" w:hAnsi="Verdana"/>
          <w:color w:val="000000" w:themeColor="text1"/>
          <w:sz w:val="20"/>
          <w:szCs w:val="20"/>
        </w:rPr>
        <w:t xml:space="preserve"> “indefectiblemente repercute en el alcance del punto resolutivo 7 de la Sentencia”.</w:t>
      </w:r>
      <w:r w:rsidR="00D65E05" w:rsidRPr="008B7099">
        <w:rPr>
          <w:rFonts w:ascii="Verdana" w:hAnsi="Verdana"/>
          <w:color w:val="000000" w:themeColor="text1"/>
          <w:sz w:val="20"/>
          <w:szCs w:val="20"/>
        </w:rPr>
        <w:t xml:space="preserve"> Adicionalmente, el Estado indicó a la Corte que la referida reparación pecuniaria lo colocaría en “imposibilidad material de cumplimiento de la Sentencia” durante la etapa de supervisión, toda vez que el monto aprobado en virtud del Informe Pericial N° 240-2015-PJ-EV “colisiona</w:t>
      </w:r>
      <w:r w:rsidR="00D306D1">
        <w:rPr>
          <w:rFonts w:ascii="Verdana" w:hAnsi="Verdana"/>
          <w:color w:val="000000" w:themeColor="text1"/>
          <w:sz w:val="20"/>
          <w:szCs w:val="20"/>
        </w:rPr>
        <w:t>[ría]</w:t>
      </w:r>
      <w:r w:rsidR="00D65E05" w:rsidRPr="008B7099">
        <w:rPr>
          <w:rFonts w:ascii="Verdana" w:hAnsi="Verdana"/>
          <w:color w:val="000000" w:themeColor="text1"/>
          <w:sz w:val="20"/>
          <w:szCs w:val="20"/>
        </w:rPr>
        <w:t xml:space="preserve"> con el derecho interno, pues </w:t>
      </w:r>
      <w:r w:rsidR="00286CB0">
        <w:rPr>
          <w:rFonts w:ascii="Verdana" w:hAnsi="Verdana"/>
          <w:color w:val="000000" w:themeColor="text1"/>
          <w:sz w:val="20"/>
          <w:szCs w:val="20"/>
        </w:rPr>
        <w:t>[…]</w:t>
      </w:r>
      <w:r w:rsidR="00D65E05" w:rsidRPr="008B7099">
        <w:rPr>
          <w:rFonts w:ascii="Verdana" w:hAnsi="Verdana"/>
          <w:color w:val="000000" w:themeColor="text1"/>
          <w:sz w:val="20"/>
          <w:szCs w:val="20"/>
        </w:rPr>
        <w:t xml:space="preserve"> carece de efectos jurídicos como consecuencia de la declaración de nulidad de las resoluciones que lo aprobaron”.</w:t>
      </w:r>
      <w:r w:rsidR="00F52525" w:rsidRPr="008B7099">
        <w:rPr>
          <w:rFonts w:ascii="Verdana" w:hAnsi="Verdana"/>
          <w:color w:val="000000" w:themeColor="text1"/>
          <w:sz w:val="20"/>
          <w:szCs w:val="20"/>
        </w:rPr>
        <w:t xml:space="preserve"> En vista de lo anterior, solicitó a la Corte que </w:t>
      </w:r>
      <w:r w:rsidR="00E048E7">
        <w:rPr>
          <w:rFonts w:ascii="Verdana" w:hAnsi="Verdana"/>
          <w:color w:val="000000" w:themeColor="text1"/>
          <w:sz w:val="20"/>
          <w:szCs w:val="20"/>
        </w:rPr>
        <w:t>confirmara</w:t>
      </w:r>
      <w:r w:rsidR="00F52525" w:rsidRPr="008B7099">
        <w:rPr>
          <w:rFonts w:ascii="Verdana" w:hAnsi="Verdana"/>
          <w:color w:val="000000" w:themeColor="text1"/>
          <w:sz w:val="20"/>
          <w:szCs w:val="20"/>
        </w:rPr>
        <w:t xml:space="preserve"> la imposibilidad de la ejecución de la orden de pago ordenada en el punto resolutivo 7 de la Sentencia. </w:t>
      </w:r>
    </w:p>
    <w:p w14:paraId="36A52CEA" w14:textId="77777777" w:rsidR="00AD5FDF" w:rsidRPr="008B7099" w:rsidRDefault="00AD5FDF" w:rsidP="00AD5FDF">
      <w:pPr>
        <w:spacing w:after="0" w:line="240" w:lineRule="auto"/>
        <w:jc w:val="both"/>
        <w:rPr>
          <w:rFonts w:ascii="Verdana" w:hAnsi="Verdana"/>
          <w:color w:val="000000" w:themeColor="text1"/>
          <w:sz w:val="20"/>
          <w:szCs w:val="20"/>
        </w:rPr>
      </w:pPr>
    </w:p>
    <w:p w14:paraId="7865E3EF" w14:textId="154F42BD" w:rsidR="006440E3" w:rsidRPr="008B7099" w:rsidRDefault="00030E4B" w:rsidP="00D805E7">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La </w:t>
      </w:r>
      <w:r w:rsidR="00CD19D0" w:rsidRPr="008B7099">
        <w:rPr>
          <w:rFonts w:ascii="Verdana" w:hAnsi="Verdana"/>
          <w:b/>
          <w:bCs/>
          <w:i/>
          <w:iCs/>
          <w:color w:val="000000" w:themeColor="text1"/>
          <w:sz w:val="20"/>
          <w:szCs w:val="20"/>
        </w:rPr>
        <w:t>representante</w:t>
      </w:r>
      <w:r w:rsidRPr="008B7099">
        <w:rPr>
          <w:rFonts w:ascii="Verdana" w:hAnsi="Verdana"/>
          <w:b/>
          <w:bCs/>
          <w:i/>
          <w:iCs/>
          <w:color w:val="000000" w:themeColor="text1"/>
          <w:sz w:val="20"/>
          <w:szCs w:val="20"/>
        </w:rPr>
        <w:t xml:space="preserve"> Meneses Huaya</w:t>
      </w:r>
      <w:r w:rsidR="006440E3" w:rsidRPr="008B7099">
        <w:rPr>
          <w:rFonts w:ascii="Verdana" w:hAnsi="Verdana"/>
          <w:color w:val="000000" w:themeColor="text1"/>
          <w:sz w:val="20"/>
          <w:szCs w:val="20"/>
        </w:rPr>
        <w:t xml:space="preserve">, por su parte, </w:t>
      </w:r>
      <w:r w:rsidRPr="008B7099">
        <w:rPr>
          <w:rFonts w:ascii="Verdana" w:hAnsi="Verdana"/>
          <w:color w:val="000000" w:themeColor="text1"/>
          <w:sz w:val="20"/>
          <w:szCs w:val="20"/>
        </w:rPr>
        <w:t>indicó</w:t>
      </w:r>
      <w:r w:rsidR="006440E3" w:rsidRPr="008B7099">
        <w:rPr>
          <w:rFonts w:ascii="Verdana" w:hAnsi="Verdana"/>
          <w:color w:val="000000" w:themeColor="text1"/>
          <w:sz w:val="20"/>
          <w:szCs w:val="20"/>
        </w:rPr>
        <w:t xml:space="preserve"> que</w:t>
      </w:r>
      <w:r w:rsidR="00212F77" w:rsidRPr="008B7099">
        <w:rPr>
          <w:rFonts w:ascii="Verdana" w:hAnsi="Verdana"/>
          <w:color w:val="000000" w:themeColor="text1"/>
          <w:sz w:val="20"/>
          <w:szCs w:val="20"/>
        </w:rPr>
        <w:t xml:space="preserve"> el mecanismo de interpretación de sentencia no habilita para que se sometan cuestiones de hecho que fueron planteadas en su oportunidad ni valorar cuestiones que ya fueron resueltas ni tampoco se puede pretender modificar el sentido o alcances de la sentencia</w:t>
      </w:r>
      <w:r w:rsidR="00336410" w:rsidRPr="008B7099">
        <w:rPr>
          <w:rFonts w:ascii="Verdana" w:hAnsi="Verdana"/>
          <w:color w:val="000000" w:themeColor="text1"/>
          <w:sz w:val="20"/>
          <w:szCs w:val="20"/>
        </w:rPr>
        <w:t xml:space="preserve">. Añadió que la Corte ya revisó y analizó las cuestiones relativas al conflicto derivado del pago dispuesto en el Informe Pericial No. 240-2015-PJ-EV y, como tal, </w:t>
      </w:r>
      <w:r w:rsidR="00084A09" w:rsidRPr="008B7099">
        <w:rPr>
          <w:rFonts w:ascii="Verdana" w:hAnsi="Verdana"/>
          <w:color w:val="000000" w:themeColor="text1"/>
          <w:sz w:val="20"/>
          <w:szCs w:val="20"/>
        </w:rPr>
        <w:t>en virtud de</w:t>
      </w:r>
      <w:r w:rsidR="00336410" w:rsidRPr="008B7099">
        <w:rPr>
          <w:rFonts w:ascii="Verdana" w:hAnsi="Verdana"/>
          <w:color w:val="000000" w:themeColor="text1"/>
          <w:sz w:val="20"/>
          <w:szCs w:val="20"/>
        </w:rPr>
        <w:t xml:space="preserve"> la jurisprudencia uniforme desarrollada por la Corte, ya no es factible </w:t>
      </w:r>
      <w:r w:rsidR="00E048E7">
        <w:rPr>
          <w:rFonts w:ascii="Verdana" w:hAnsi="Verdana"/>
          <w:color w:val="000000" w:themeColor="text1"/>
          <w:sz w:val="20"/>
          <w:szCs w:val="20"/>
        </w:rPr>
        <w:t xml:space="preserve">que </w:t>
      </w:r>
      <w:r w:rsidR="00336410" w:rsidRPr="008B7099">
        <w:rPr>
          <w:rFonts w:ascii="Verdana" w:hAnsi="Verdana"/>
          <w:color w:val="000000" w:themeColor="text1"/>
          <w:sz w:val="20"/>
          <w:szCs w:val="20"/>
        </w:rPr>
        <w:t xml:space="preserve">pueda ser alegado nuevamente </w:t>
      </w:r>
      <w:r w:rsidR="00E048E7">
        <w:rPr>
          <w:rFonts w:ascii="Verdana" w:hAnsi="Verdana"/>
          <w:color w:val="000000" w:themeColor="text1"/>
          <w:sz w:val="20"/>
          <w:szCs w:val="20"/>
        </w:rPr>
        <w:t>una</w:t>
      </w:r>
      <w:r w:rsidR="00336410" w:rsidRPr="008B7099">
        <w:rPr>
          <w:rFonts w:ascii="Verdana" w:hAnsi="Verdana"/>
          <w:color w:val="000000" w:themeColor="text1"/>
          <w:sz w:val="20"/>
          <w:szCs w:val="20"/>
        </w:rPr>
        <w:t xml:space="preserve"> cuestión vía interpretación de la </w:t>
      </w:r>
      <w:r w:rsidR="00E048E7">
        <w:rPr>
          <w:rFonts w:ascii="Verdana" w:hAnsi="Verdana"/>
          <w:color w:val="000000" w:themeColor="text1"/>
          <w:sz w:val="20"/>
          <w:szCs w:val="20"/>
        </w:rPr>
        <w:t>S</w:t>
      </w:r>
      <w:r w:rsidR="00336410" w:rsidRPr="008B7099">
        <w:rPr>
          <w:rFonts w:ascii="Verdana" w:hAnsi="Verdana"/>
          <w:color w:val="000000" w:themeColor="text1"/>
          <w:sz w:val="20"/>
          <w:szCs w:val="20"/>
        </w:rPr>
        <w:t xml:space="preserve">entencia. </w:t>
      </w:r>
      <w:r w:rsidR="00286CB0">
        <w:rPr>
          <w:rFonts w:ascii="Verdana" w:hAnsi="Verdana"/>
          <w:color w:val="000000" w:themeColor="text1"/>
          <w:sz w:val="20"/>
          <w:szCs w:val="20"/>
        </w:rPr>
        <w:t>Indicó, además,</w:t>
      </w:r>
      <w:r w:rsidR="00336410" w:rsidRPr="008B7099">
        <w:rPr>
          <w:rFonts w:ascii="Verdana" w:hAnsi="Verdana"/>
          <w:color w:val="000000" w:themeColor="text1"/>
          <w:sz w:val="20"/>
          <w:szCs w:val="20"/>
        </w:rPr>
        <w:t xml:space="preserve"> q</w:t>
      </w:r>
      <w:r w:rsidR="00D805E7" w:rsidRPr="008B7099">
        <w:rPr>
          <w:rFonts w:ascii="Verdana" w:hAnsi="Verdana"/>
          <w:color w:val="000000" w:themeColor="text1"/>
          <w:sz w:val="20"/>
          <w:szCs w:val="20"/>
        </w:rPr>
        <w:t xml:space="preserve">ue la </w:t>
      </w:r>
      <w:r w:rsidR="00286CB0">
        <w:rPr>
          <w:rFonts w:ascii="Verdana" w:hAnsi="Verdana"/>
          <w:color w:val="000000" w:themeColor="text1"/>
          <w:sz w:val="20"/>
          <w:szCs w:val="20"/>
        </w:rPr>
        <w:t>referida s</w:t>
      </w:r>
      <w:r w:rsidR="00D805E7" w:rsidRPr="008B7099">
        <w:rPr>
          <w:rFonts w:ascii="Verdana" w:hAnsi="Verdana"/>
          <w:color w:val="000000" w:themeColor="text1"/>
          <w:sz w:val="20"/>
          <w:szCs w:val="20"/>
        </w:rPr>
        <w:t xml:space="preserve">entencia </w:t>
      </w:r>
      <w:r w:rsidR="00286CB0">
        <w:rPr>
          <w:rFonts w:ascii="Verdana" w:hAnsi="Verdana"/>
          <w:color w:val="000000" w:themeColor="text1"/>
          <w:sz w:val="20"/>
          <w:szCs w:val="20"/>
        </w:rPr>
        <w:t>de</w:t>
      </w:r>
      <w:r w:rsidR="00D805E7" w:rsidRPr="008B7099">
        <w:rPr>
          <w:rFonts w:ascii="Verdana" w:hAnsi="Verdana"/>
          <w:color w:val="000000" w:themeColor="text1"/>
          <w:sz w:val="20"/>
          <w:szCs w:val="20"/>
        </w:rPr>
        <w:t xml:space="preserve"> 30 de noviembre de 2021 </w:t>
      </w:r>
      <w:r w:rsidR="00286CB0">
        <w:rPr>
          <w:rFonts w:ascii="Verdana" w:hAnsi="Verdana"/>
          <w:color w:val="000000" w:themeColor="text1"/>
          <w:sz w:val="20"/>
          <w:szCs w:val="20"/>
        </w:rPr>
        <w:t>emitida por el</w:t>
      </w:r>
      <w:r w:rsidR="00D805E7" w:rsidRPr="008B7099">
        <w:rPr>
          <w:rFonts w:ascii="Verdana" w:hAnsi="Verdana"/>
          <w:color w:val="000000" w:themeColor="text1"/>
          <w:sz w:val="20"/>
          <w:szCs w:val="20"/>
        </w:rPr>
        <w:t xml:space="preserve"> Tribunal Constitucional no </w:t>
      </w:r>
      <w:r w:rsidR="00286CB0">
        <w:rPr>
          <w:rFonts w:ascii="Verdana" w:hAnsi="Verdana"/>
          <w:color w:val="000000" w:themeColor="text1"/>
          <w:sz w:val="20"/>
          <w:szCs w:val="20"/>
        </w:rPr>
        <w:t>podría</w:t>
      </w:r>
      <w:r w:rsidR="00D805E7" w:rsidRPr="008B7099">
        <w:rPr>
          <w:rFonts w:ascii="Verdana" w:hAnsi="Verdana"/>
          <w:color w:val="000000" w:themeColor="text1"/>
          <w:sz w:val="20"/>
          <w:szCs w:val="20"/>
        </w:rPr>
        <w:t xml:space="preserve"> surtir aún efecto alguno en </w:t>
      </w:r>
      <w:r w:rsidR="00286CB0">
        <w:rPr>
          <w:rFonts w:ascii="Verdana" w:hAnsi="Verdana"/>
          <w:color w:val="000000" w:themeColor="text1"/>
          <w:sz w:val="20"/>
          <w:szCs w:val="20"/>
        </w:rPr>
        <w:t>s</w:t>
      </w:r>
      <w:r w:rsidR="00D805E7" w:rsidRPr="008B7099">
        <w:rPr>
          <w:rFonts w:ascii="Verdana" w:hAnsi="Verdana"/>
          <w:color w:val="000000" w:themeColor="text1"/>
          <w:sz w:val="20"/>
          <w:szCs w:val="20"/>
        </w:rPr>
        <w:t xml:space="preserve">ede interna debido a un “vicio insubsanable” de carácter procesal incurrido en dichos actuados y que el 4 de marzo de 2022 se había solicitado la nulidad de dicho fallo, sin que hasta la fecha se hubiera obtenido </w:t>
      </w:r>
      <w:r w:rsidR="00286CB0">
        <w:rPr>
          <w:rFonts w:ascii="Verdana" w:hAnsi="Verdana"/>
          <w:color w:val="000000" w:themeColor="text1"/>
          <w:sz w:val="20"/>
          <w:szCs w:val="20"/>
        </w:rPr>
        <w:t>respuesta. P</w:t>
      </w:r>
      <w:r w:rsidR="00D805E7" w:rsidRPr="008B7099">
        <w:rPr>
          <w:rFonts w:ascii="Verdana" w:hAnsi="Verdana"/>
          <w:color w:val="000000" w:themeColor="text1"/>
          <w:sz w:val="20"/>
          <w:szCs w:val="20"/>
        </w:rPr>
        <w:t>or lo tanto, dicha sentencia no podía generar a</w:t>
      </w:r>
      <w:r w:rsidR="00C4080F">
        <w:rPr>
          <w:rFonts w:ascii="Verdana" w:hAnsi="Verdana"/>
          <w:color w:val="000000" w:themeColor="text1"/>
          <w:sz w:val="20"/>
          <w:szCs w:val="20"/>
        </w:rPr>
        <w:t>ú</w:t>
      </w:r>
      <w:r w:rsidR="00D805E7" w:rsidRPr="008B7099">
        <w:rPr>
          <w:rFonts w:ascii="Verdana" w:hAnsi="Verdana"/>
          <w:color w:val="000000" w:themeColor="text1"/>
          <w:sz w:val="20"/>
          <w:szCs w:val="20"/>
        </w:rPr>
        <w:t>n efecto alguno.</w:t>
      </w:r>
    </w:p>
    <w:p w14:paraId="09BD80DB" w14:textId="77777777" w:rsidR="00030E4B" w:rsidRPr="008B7099" w:rsidRDefault="00030E4B" w:rsidP="00030E4B">
      <w:pPr>
        <w:pStyle w:val="Prrafodelista"/>
        <w:rPr>
          <w:rFonts w:ascii="Verdana" w:hAnsi="Verdana"/>
          <w:color w:val="000000" w:themeColor="text1"/>
          <w:sz w:val="20"/>
          <w:szCs w:val="20"/>
        </w:rPr>
      </w:pPr>
    </w:p>
    <w:p w14:paraId="2914844D" w14:textId="357957D8" w:rsidR="00030E4B" w:rsidRPr="008B7099" w:rsidRDefault="00030E4B" w:rsidP="007001F9">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Los </w:t>
      </w:r>
      <w:r w:rsidRPr="002520DC">
        <w:rPr>
          <w:rFonts w:ascii="Verdana" w:hAnsi="Verdana"/>
          <w:b/>
          <w:bCs/>
          <w:i/>
          <w:iCs/>
          <w:color w:val="000000" w:themeColor="text1"/>
          <w:sz w:val="20"/>
          <w:szCs w:val="20"/>
        </w:rPr>
        <w:t>representantes Valdivia Ayala, Guerrero Cassuso, Rossi Mérida y Valdivia Bocanegra</w:t>
      </w:r>
      <w:r w:rsidRPr="002520DC">
        <w:rPr>
          <w:rFonts w:ascii="Verdana" w:hAnsi="Verdana"/>
          <w:i/>
          <w:iCs/>
          <w:color w:val="000000" w:themeColor="text1"/>
          <w:sz w:val="20"/>
          <w:szCs w:val="20"/>
        </w:rPr>
        <w:t xml:space="preserve"> </w:t>
      </w:r>
      <w:r w:rsidRPr="008B7099">
        <w:rPr>
          <w:rFonts w:ascii="Verdana" w:hAnsi="Verdana"/>
          <w:color w:val="000000" w:themeColor="text1"/>
          <w:sz w:val="20"/>
          <w:szCs w:val="20"/>
        </w:rPr>
        <w:t xml:space="preserve">señalaron que </w:t>
      </w:r>
      <w:r w:rsidR="00047DCD" w:rsidRPr="008B7099">
        <w:rPr>
          <w:rFonts w:ascii="Verdana" w:hAnsi="Verdana"/>
          <w:color w:val="000000" w:themeColor="text1"/>
          <w:sz w:val="20"/>
          <w:szCs w:val="20"/>
        </w:rPr>
        <w:t xml:space="preserve">la solicitud de interpretación no </w:t>
      </w:r>
      <w:r w:rsidR="00286CB0">
        <w:rPr>
          <w:rFonts w:ascii="Verdana" w:hAnsi="Verdana"/>
          <w:color w:val="000000" w:themeColor="text1"/>
          <w:sz w:val="20"/>
          <w:szCs w:val="20"/>
        </w:rPr>
        <w:t>podía</w:t>
      </w:r>
      <w:r w:rsidR="00047DCD" w:rsidRPr="008B7099">
        <w:rPr>
          <w:rFonts w:ascii="Verdana" w:hAnsi="Verdana"/>
          <w:color w:val="000000" w:themeColor="text1"/>
          <w:sz w:val="20"/>
          <w:szCs w:val="20"/>
        </w:rPr>
        <w:t xml:space="preserve"> conducir al recorte de los derechos de las víctimas. Añadieron que el Estado pretend</w:t>
      </w:r>
      <w:r w:rsidR="00E048E7">
        <w:rPr>
          <w:rFonts w:ascii="Verdana" w:hAnsi="Verdana"/>
          <w:color w:val="000000" w:themeColor="text1"/>
          <w:sz w:val="20"/>
          <w:szCs w:val="20"/>
        </w:rPr>
        <w:t>ía</w:t>
      </w:r>
      <w:r w:rsidR="00047DCD" w:rsidRPr="008B7099">
        <w:rPr>
          <w:rFonts w:ascii="Verdana" w:hAnsi="Verdana"/>
          <w:color w:val="000000" w:themeColor="text1"/>
          <w:sz w:val="20"/>
          <w:szCs w:val="20"/>
        </w:rPr>
        <w:t xml:space="preserve"> que la Corte </w:t>
      </w:r>
      <w:r w:rsidR="00E048E7">
        <w:rPr>
          <w:rFonts w:ascii="Verdana" w:hAnsi="Verdana"/>
          <w:color w:val="000000" w:themeColor="text1"/>
          <w:sz w:val="20"/>
          <w:szCs w:val="20"/>
        </w:rPr>
        <w:t>volviera</w:t>
      </w:r>
      <w:r w:rsidR="00047DCD" w:rsidRPr="008B7099">
        <w:rPr>
          <w:rFonts w:ascii="Verdana" w:hAnsi="Verdana"/>
          <w:color w:val="000000" w:themeColor="text1"/>
          <w:sz w:val="20"/>
          <w:szCs w:val="20"/>
        </w:rPr>
        <w:t xml:space="preserve"> a resolver sobre la excepción de agotamiento de la vía interna, la cual fue desestimad</w:t>
      </w:r>
      <w:r w:rsidR="00C4080F">
        <w:rPr>
          <w:rFonts w:ascii="Verdana" w:hAnsi="Verdana"/>
          <w:color w:val="000000" w:themeColor="text1"/>
          <w:sz w:val="20"/>
          <w:szCs w:val="20"/>
        </w:rPr>
        <w:t>a</w:t>
      </w:r>
      <w:r w:rsidR="00286CB0">
        <w:rPr>
          <w:rFonts w:ascii="Verdana" w:hAnsi="Verdana"/>
          <w:color w:val="000000" w:themeColor="text1"/>
          <w:sz w:val="20"/>
          <w:szCs w:val="20"/>
        </w:rPr>
        <w:t xml:space="preserve"> y</w:t>
      </w:r>
      <w:r w:rsidR="00047DCD" w:rsidRPr="008B7099">
        <w:rPr>
          <w:rFonts w:ascii="Verdana" w:hAnsi="Verdana"/>
          <w:color w:val="000000" w:themeColor="text1"/>
          <w:sz w:val="20"/>
          <w:szCs w:val="20"/>
        </w:rPr>
        <w:t xml:space="preserve"> “</w:t>
      </w:r>
      <w:r w:rsidR="00BC4F1F">
        <w:rPr>
          <w:rFonts w:ascii="Verdana" w:hAnsi="Verdana"/>
          <w:color w:val="000000" w:themeColor="text1"/>
          <w:sz w:val="20"/>
          <w:szCs w:val="20"/>
        </w:rPr>
        <w:t>[</w:t>
      </w:r>
      <w:r w:rsidR="00047DCD" w:rsidRPr="008B7099">
        <w:rPr>
          <w:rFonts w:ascii="Verdana" w:hAnsi="Verdana"/>
          <w:color w:val="000000" w:themeColor="text1"/>
          <w:sz w:val="20"/>
          <w:szCs w:val="20"/>
        </w:rPr>
        <w:t>s</w:t>
      </w:r>
      <w:r w:rsidR="00BC4F1F">
        <w:rPr>
          <w:rFonts w:ascii="Verdana" w:hAnsi="Verdana"/>
          <w:color w:val="000000" w:themeColor="text1"/>
          <w:sz w:val="20"/>
          <w:szCs w:val="20"/>
        </w:rPr>
        <w:t>]</w:t>
      </w:r>
      <w:r w:rsidR="00047DCD" w:rsidRPr="008B7099">
        <w:rPr>
          <w:rFonts w:ascii="Verdana" w:hAnsi="Verdana"/>
          <w:color w:val="000000" w:themeColor="text1"/>
          <w:sz w:val="20"/>
          <w:szCs w:val="20"/>
        </w:rPr>
        <w:t>eguir discutiendo el fondo del proceso que ya fue resuelto por la Corte”. Finalmente, advirtieron de la intención del Estado de no realizar los pagos</w:t>
      </w:r>
      <w:r w:rsidR="00286CB0">
        <w:rPr>
          <w:rFonts w:ascii="Verdana" w:hAnsi="Verdana"/>
          <w:color w:val="000000" w:themeColor="text1"/>
          <w:sz w:val="20"/>
          <w:szCs w:val="20"/>
        </w:rPr>
        <w:t xml:space="preserve"> </w:t>
      </w:r>
      <w:r w:rsidR="00047DCD" w:rsidRPr="008B7099">
        <w:rPr>
          <w:rFonts w:ascii="Verdana" w:hAnsi="Verdana"/>
          <w:color w:val="000000" w:themeColor="text1"/>
          <w:sz w:val="20"/>
          <w:szCs w:val="20"/>
        </w:rPr>
        <w:t>“sería absolutamente injust</w:t>
      </w:r>
      <w:r w:rsidR="00E048E7">
        <w:rPr>
          <w:rFonts w:ascii="Verdana" w:hAnsi="Verdana"/>
          <w:color w:val="000000" w:themeColor="text1"/>
          <w:sz w:val="20"/>
          <w:szCs w:val="20"/>
        </w:rPr>
        <w:t>[a]</w:t>
      </w:r>
      <w:r w:rsidR="00047DCD" w:rsidRPr="008B7099">
        <w:rPr>
          <w:rFonts w:ascii="Verdana" w:hAnsi="Verdana"/>
          <w:color w:val="000000" w:themeColor="text1"/>
          <w:sz w:val="20"/>
          <w:szCs w:val="20"/>
        </w:rPr>
        <w:t xml:space="preserve"> e irrespetuos</w:t>
      </w:r>
      <w:r w:rsidR="00E048E7">
        <w:rPr>
          <w:rFonts w:ascii="Verdana" w:hAnsi="Verdana"/>
          <w:color w:val="000000" w:themeColor="text1"/>
          <w:sz w:val="20"/>
          <w:szCs w:val="20"/>
        </w:rPr>
        <w:t>[a]</w:t>
      </w:r>
      <w:r w:rsidR="00047DCD" w:rsidRPr="008B7099">
        <w:rPr>
          <w:rFonts w:ascii="Verdana" w:hAnsi="Verdana"/>
          <w:color w:val="000000" w:themeColor="text1"/>
          <w:sz w:val="20"/>
          <w:szCs w:val="20"/>
        </w:rPr>
        <w:t xml:space="preserve"> con la investidura de la Corte”. </w:t>
      </w:r>
    </w:p>
    <w:p w14:paraId="5F835822" w14:textId="77777777" w:rsidR="00047DCD" w:rsidRPr="008B7099" w:rsidRDefault="00047DCD" w:rsidP="00047DCD">
      <w:pPr>
        <w:autoSpaceDE w:val="0"/>
        <w:autoSpaceDN w:val="0"/>
        <w:adjustRightInd w:val="0"/>
        <w:spacing w:after="0" w:line="240" w:lineRule="auto"/>
        <w:rPr>
          <w:rFonts w:ascii="Verdana" w:hAnsi="Verdana"/>
          <w:color w:val="000000" w:themeColor="text1"/>
          <w:sz w:val="20"/>
          <w:szCs w:val="20"/>
        </w:rPr>
      </w:pPr>
    </w:p>
    <w:p w14:paraId="641E1FE0" w14:textId="54BAF9CD" w:rsidR="006440E3" w:rsidRPr="008B7099" w:rsidRDefault="00CD19D0" w:rsidP="00107501">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La </w:t>
      </w:r>
      <w:r w:rsidRPr="008B7099">
        <w:rPr>
          <w:rFonts w:ascii="Verdana" w:hAnsi="Verdana"/>
          <w:b/>
          <w:bCs/>
          <w:i/>
          <w:iCs/>
          <w:color w:val="000000" w:themeColor="text1"/>
          <w:sz w:val="20"/>
          <w:szCs w:val="20"/>
        </w:rPr>
        <w:t>Comisión</w:t>
      </w:r>
      <w:r w:rsidR="006440E3" w:rsidRPr="008B7099">
        <w:rPr>
          <w:rFonts w:ascii="Verdana" w:hAnsi="Verdana"/>
          <w:color w:val="000000" w:themeColor="text1"/>
          <w:sz w:val="20"/>
          <w:szCs w:val="20"/>
        </w:rPr>
        <w:t xml:space="preserve"> </w:t>
      </w:r>
      <w:r w:rsidR="00107501" w:rsidRPr="008B7099">
        <w:rPr>
          <w:rFonts w:ascii="Verdana" w:hAnsi="Verdana"/>
          <w:color w:val="000000" w:themeColor="text1"/>
          <w:sz w:val="20"/>
          <w:szCs w:val="20"/>
        </w:rPr>
        <w:t>recordó que, conforme a lo estipulado en el artículo 67 de la Convención Americana, “el fallo de la Corte será definitivo e inapelable”. Destacó, además, que el Estado no informó a la Corte oportunamente sobre la decisión emitida por el Tribunal Constitucional el 30 de noviembre de 2021, momento</w:t>
      </w:r>
      <w:r w:rsidR="00286CB0">
        <w:rPr>
          <w:rFonts w:ascii="Verdana" w:hAnsi="Verdana"/>
          <w:color w:val="000000" w:themeColor="text1"/>
          <w:sz w:val="20"/>
          <w:szCs w:val="20"/>
        </w:rPr>
        <w:t xml:space="preserve"> en el cual</w:t>
      </w:r>
      <w:r w:rsidR="00107501" w:rsidRPr="008B7099">
        <w:rPr>
          <w:rFonts w:ascii="Verdana" w:hAnsi="Verdana"/>
          <w:color w:val="000000" w:themeColor="text1"/>
          <w:sz w:val="20"/>
          <w:szCs w:val="20"/>
        </w:rPr>
        <w:t xml:space="preserve"> aún no se había adoptado la sentencia en el presente caso. Concluyó indicando que la validez del referido Informe Pericial y de las sentencias emitidas por las autoridades nacionales fue debidamente analizado por la Corte y es suficientemente claro en la </w:t>
      </w:r>
      <w:r w:rsidR="00286CB0">
        <w:rPr>
          <w:rFonts w:ascii="Verdana" w:hAnsi="Verdana"/>
          <w:color w:val="000000" w:themeColor="text1"/>
          <w:sz w:val="20"/>
          <w:szCs w:val="20"/>
        </w:rPr>
        <w:t>S</w:t>
      </w:r>
      <w:r w:rsidR="00107501" w:rsidRPr="008B7099">
        <w:rPr>
          <w:rFonts w:ascii="Verdana" w:hAnsi="Verdana"/>
          <w:color w:val="000000" w:themeColor="text1"/>
          <w:sz w:val="20"/>
          <w:szCs w:val="20"/>
        </w:rPr>
        <w:t xml:space="preserve">entencia y que, además, el planteamiento estatal implicaría en los hechos una impugnación de la </w:t>
      </w:r>
      <w:r w:rsidR="00E048E7">
        <w:rPr>
          <w:rFonts w:ascii="Verdana" w:hAnsi="Verdana"/>
          <w:color w:val="000000" w:themeColor="text1"/>
          <w:sz w:val="20"/>
          <w:szCs w:val="20"/>
        </w:rPr>
        <w:t>S</w:t>
      </w:r>
      <w:r w:rsidR="00107501" w:rsidRPr="008B7099">
        <w:rPr>
          <w:rFonts w:ascii="Verdana" w:hAnsi="Verdana"/>
          <w:color w:val="000000" w:themeColor="text1"/>
          <w:sz w:val="20"/>
          <w:szCs w:val="20"/>
        </w:rPr>
        <w:t xml:space="preserve">entencia, lo cual sería contrario a lo estipulado en el artículo 31.3 del Reglamento, </w:t>
      </w:r>
      <w:r w:rsidR="00E048E7">
        <w:rPr>
          <w:rFonts w:ascii="Verdana" w:hAnsi="Verdana"/>
          <w:color w:val="000000" w:themeColor="text1"/>
          <w:sz w:val="20"/>
          <w:szCs w:val="20"/>
        </w:rPr>
        <w:t xml:space="preserve">el cual </w:t>
      </w:r>
      <w:r w:rsidR="00107501" w:rsidRPr="008B7099">
        <w:rPr>
          <w:rFonts w:ascii="Verdana" w:hAnsi="Verdana"/>
          <w:color w:val="000000" w:themeColor="text1"/>
          <w:sz w:val="20"/>
          <w:szCs w:val="20"/>
        </w:rPr>
        <w:t>establece que “</w:t>
      </w:r>
      <w:r w:rsidR="00FF1EE1">
        <w:rPr>
          <w:rFonts w:ascii="Verdana" w:hAnsi="Verdana"/>
          <w:color w:val="000000" w:themeColor="text1"/>
          <w:sz w:val="20"/>
          <w:szCs w:val="20"/>
        </w:rPr>
        <w:t>[</w:t>
      </w:r>
      <w:r w:rsidR="00107501" w:rsidRPr="008B7099">
        <w:rPr>
          <w:rFonts w:ascii="Verdana" w:hAnsi="Verdana"/>
          <w:color w:val="000000" w:themeColor="text1"/>
          <w:sz w:val="20"/>
          <w:szCs w:val="20"/>
        </w:rPr>
        <w:t>c</w:t>
      </w:r>
      <w:r w:rsidR="00FF1EE1">
        <w:rPr>
          <w:rFonts w:ascii="Verdana" w:hAnsi="Verdana"/>
          <w:color w:val="000000" w:themeColor="text1"/>
          <w:sz w:val="20"/>
          <w:szCs w:val="20"/>
        </w:rPr>
        <w:t>]</w:t>
      </w:r>
      <w:r w:rsidR="00107501" w:rsidRPr="008B7099">
        <w:rPr>
          <w:rFonts w:ascii="Verdana" w:hAnsi="Verdana"/>
          <w:color w:val="000000" w:themeColor="text1"/>
          <w:sz w:val="20"/>
          <w:szCs w:val="20"/>
        </w:rPr>
        <w:t>ontra las sentencias y resoluciones de la Corte no procede ningún medio de impugnación”.</w:t>
      </w:r>
    </w:p>
    <w:p w14:paraId="3D968473" w14:textId="445E491F" w:rsidR="003A673A" w:rsidRPr="008B7099" w:rsidRDefault="003A673A" w:rsidP="003A673A">
      <w:pPr>
        <w:spacing w:after="0" w:line="240" w:lineRule="auto"/>
        <w:ind w:firstLine="708"/>
        <w:jc w:val="both"/>
        <w:rPr>
          <w:rFonts w:ascii="Verdana" w:hAnsi="Verdana"/>
          <w:i/>
          <w:color w:val="000000" w:themeColor="text1"/>
          <w:sz w:val="20"/>
          <w:szCs w:val="20"/>
        </w:rPr>
      </w:pPr>
    </w:p>
    <w:p w14:paraId="7ABD92FA" w14:textId="44E0B3D3" w:rsidR="003A673A" w:rsidRPr="008B7099" w:rsidRDefault="002A5213" w:rsidP="003A673A">
      <w:pPr>
        <w:spacing w:after="0" w:line="240" w:lineRule="auto"/>
        <w:ind w:firstLine="708"/>
        <w:jc w:val="both"/>
        <w:rPr>
          <w:rFonts w:ascii="Verdana" w:hAnsi="Verdana"/>
          <w:i/>
          <w:color w:val="000000" w:themeColor="text1"/>
          <w:sz w:val="20"/>
          <w:szCs w:val="20"/>
        </w:rPr>
      </w:pPr>
      <w:r w:rsidRPr="008B7099">
        <w:rPr>
          <w:rFonts w:ascii="Verdana" w:hAnsi="Verdana"/>
          <w:i/>
          <w:color w:val="000000" w:themeColor="text1"/>
          <w:sz w:val="20"/>
          <w:szCs w:val="20"/>
        </w:rPr>
        <w:t>A.</w:t>
      </w:r>
      <w:r w:rsidR="003A673A" w:rsidRPr="008B7099">
        <w:rPr>
          <w:rFonts w:ascii="Verdana" w:hAnsi="Verdana"/>
          <w:i/>
          <w:color w:val="000000" w:themeColor="text1"/>
          <w:sz w:val="20"/>
          <w:szCs w:val="20"/>
        </w:rPr>
        <w:t xml:space="preserve">2. Consideraciones de la Corte </w:t>
      </w:r>
    </w:p>
    <w:p w14:paraId="164FA859" w14:textId="77777777" w:rsidR="00CC78F1" w:rsidRDefault="00CC78F1" w:rsidP="001F6CBA">
      <w:pPr>
        <w:pStyle w:val="Prrafodelista"/>
        <w:spacing w:after="0" w:line="240" w:lineRule="auto"/>
        <w:ind w:left="0"/>
        <w:jc w:val="both"/>
        <w:rPr>
          <w:rFonts w:ascii="Verdana" w:hAnsi="Verdana"/>
          <w:color w:val="000000" w:themeColor="text1"/>
          <w:sz w:val="20"/>
          <w:szCs w:val="20"/>
        </w:rPr>
      </w:pPr>
    </w:p>
    <w:p w14:paraId="46EAA5E0" w14:textId="33ABC22F" w:rsidR="00032504" w:rsidRDefault="001F6CBA" w:rsidP="001F6CBA">
      <w:pPr>
        <w:pStyle w:val="Prrafodelista"/>
        <w:numPr>
          <w:ilvl w:val="0"/>
          <w:numId w:val="1"/>
        </w:numPr>
        <w:spacing w:after="0" w:line="240" w:lineRule="auto"/>
        <w:ind w:left="0" w:firstLine="0"/>
        <w:jc w:val="both"/>
        <w:rPr>
          <w:rFonts w:ascii="Verdana" w:hAnsi="Verdana"/>
          <w:color w:val="000000" w:themeColor="text1"/>
          <w:sz w:val="20"/>
          <w:szCs w:val="20"/>
        </w:rPr>
      </w:pPr>
      <w:r w:rsidRPr="001F6CBA">
        <w:rPr>
          <w:rFonts w:ascii="Verdana" w:hAnsi="Verdana"/>
          <w:color w:val="000000" w:themeColor="text1"/>
          <w:sz w:val="20"/>
          <w:szCs w:val="20"/>
        </w:rPr>
        <w:lastRenderedPageBreak/>
        <w:t>En lo que concierne a la medida de restitución ordenada en la Sentencia</w:t>
      </w:r>
      <w:r w:rsidR="00952282">
        <w:rPr>
          <w:rFonts w:ascii="Verdana" w:hAnsi="Verdana"/>
          <w:color w:val="000000" w:themeColor="text1"/>
          <w:sz w:val="20"/>
          <w:szCs w:val="20"/>
        </w:rPr>
        <w:t xml:space="preserve"> y que es objeto de </w:t>
      </w:r>
      <w:r w:rsidR="00C4080F">
        <w:rPr>
          <w:rFonts w:ascii="Verdana" w:hAnsi="Verdana"/>
          <w:color w:val="000000" w:themeColor="text1"/>
          <w:sz w:val="20"/>
          <w:szCs w:val="20"/>
        </w:rPr>
        <w:t xml:space="preserve">la solicitud de interpretación </w:t>
      </w:r>
      <w:r w:rsidR="00952282">
        <w:rPr>
          <w:rFonts w:ascii="Verdana" w:hAnsi="Verdana"/>
          <w:color w:val="000000" w:themeColor="text1"/>
          <w:sz w:val="20"/>
          <w:szCs w:val="20"/>
        </w:rPr>
        <w:t>por parte del Estado</w:t>
      </w:r>
      <w:r w:rsidRPr="001F6CBA">
        <w:rPr>
          <w:rFonts w:ascii="Verdana" w:hAnsi="Verdana"/>
          <w:color w:val="000000" w:themeColor="text1"/>
          <w:sz w:val="20"/>
          <w:szCs w:val="20"/>
        </w:rPr>
        <w:t xml:space="preserve">, este </w:t>
      </w:r>
      <w:r w:rsidRPr="001F6CBA">
        <w:rPr>
          <w:rFonts w:ascii="Verdana" w:hAnsi="Verdana"/>
          <w:b/>
          <w:bCs/>
          <w:i/>
          <w:iCs/>
          <w:color w:val="000000" w:themeColor="text1"/>
          <w:sz w:val="20"/>
          <w:szCs w:val="20"/>
        </w:rPr>
        <w:t>Tribunal</w:t>
      </w:r>
      <w:r w:rsidRPr="001F6CBA">
        <w:rPr>
          <w:rFonts w:ascii="Verdana" w:hAnsi="Verdana"/>
          <w:color w:val="000000" w:themeColor="text1"/>
          <w:sz w:val="20"/>
          <w:szCs w:val="20"/>
        </w:rPr>
        <w:t xml:space="preserve"> recuerda que </w:t>
      </w:r>
      <w:r>
        <w:rPr>
          <w:rFonts w:ascii="Verdana" w:hAnsi="Verdana"/>
          <w:color w:val="000000" w:themeColor="text1"/>
          <w:sz w:val="20"/>
          <w:szCs w:val="20"/>
        </w:rPr>
        <w:t xml:space="preserve">el punto resolutivo 7 de </w:t>
      </w:r>
      <w:r w:rsidR="00E048E7">
        <w:rPr>
          <w:rFonts w:ascii="Verdana" w:hAnsi="Verdana"/>
          <w:color w:val="000000" w:themeColor="text1"/>
          <w:sz w:val="20"/>
          <w:szCs w:val="20"/>
        </w:rPr>
        <w:t>dicha</w:t>
      </w:r>
      <w:r>
        <w:rPr>
          <w:rFonts w:ascii="Verdana" w:hAnsi="Verdana"/>
          <w:color w:val="000000" w:themeColor="text1"/>
          <w:sz w:val="20"/>
          <w:szCs w:val="20"/>
        </w:rPr>
        <w:t xml:space="preserve"> Sentencia dispuso lo siguiente</w:t>
      </w:r>
      <w:r w:rsidRPr="001F6CBA">
        <w:rPr>
          <w:rFonts w:ascii="Verdana" w:hAnsi="Verdana"/>
          <w:color w:val="000000" w:themeColor="text1"/>
          <w:sz w:val="20"/>
          <w:szCs w:val="20"/>
        </w:rPr>
        <w:t>:</w:t>
      </w:r>
    </w:p>
    <w:p w14:paraId="6DE45C71" w14:textId="77777777" w:rsidR="001F6CBA" w:rsidRDefault="001F6CBA" w:rsidP="001F6CBA">
      <w:pPr>
        <w:pStyle w:val="Prrafodelista"/>
        <w:spacing w:after="0" w:line="240" w:lineRule="auto"/>
        <w:ind w:left="0"/>
        <w:jc w:val="both"/>
        <w:rPr>
          <w:rFonts w:ascii="Verdana" w:hAnsi="Verdana"/>
          <w:color w:val="000000" w:themeColor="text1"/>
          <w:sz w:val="20"/>
          <w:szCs w:val="20"/>
        </w:rPr>
      </w:pPr>
    </w:p>
    <w:p w14:paraId="1240D155" w14:textId="7705B375" w:rsidR="001F6CBA" w:rsidRPr="00E048E7" w:rsidRDefault="001F6CBA" w:rsidP="001F6CBA">
      <w:pPr>
        <w:spacing w:after="0" w:line="240" w:lineRule="auto"/>
        <w:ind w:left="851" w:right="815"/>
        <w:jc w:val="both"/>
        <w:rPr>
          <w:rFonts w:ascii="Verdana" w:hAnsi="Verdana"/>
          <w:color w:val="000000" w:themeColor="text1"/>
          <w:sz w:val="18"/>
          <w:szCs w:val="18"/>
        </w:rPr>
      </w:pPr>
      <w:r w:rsidRPr="00E048E7">
        <w:rPr>
          <w:rFonts w:ascii="Verdana" w:hAnsi="Verdana"/>
          <w:sz w:val="18"/>
          <w:szCs w:val="18"/>
        </w:rPr>
        <w:t xml:space="preserve">El Estado realizará el pago efectivo de los reintegros pendientes de pago por concepto de lo dispuesto por la sentencia de 12 de febrero de 1992, en los términos de los párrafos 125 y 143 a 148 de la </w:t>
      </w:r>
      <w:r w:rsidR="00C4080F">
        <w:rPr>
          <w:rFonts w:ascii="Verdana" w:hAnsi="Verdana"/>
          <w:sz w:val="18"/>
          <w:szCs w:val="18"/>
        </w:rPr>
        <w:t>[…]</w:t>
      </w:r>
      <w:r w:rsidR="00C4080F" w:rsidRPr="00E048E7">
        <w:rPr>
          <w:rFonts w:ascii="Verdana" w:hAnsi="Verdana"/>
          <w:sz w:val="18"/>
          <w:szCs w:val="18"/>
        </w:rPr>
        <w:t xml:space="preserve"> </w:t>
      </w:r>
      <w:r w:rsidRPr="00E048E7">
        <w:rPr>
          <w:rFonts w:ascii="Verdana" w:hAnsi="Verdana"/>
          <w:sz w:val="18"/>
          <w:szCs w:val="18"/>
        </w:rPr>
        <w:t>Sentencia.</w:t>
      </w:r>
    </w:p>
    <w:p w14:paraId="0C6E550C" w14:textId="77777777" w:rsidR="001F6CBA" w:rsidRPr="008B7099" w:rsidRDefault="001F6CBA" w:rsidP="00F579E4">
      <w:pPr>
        <w:pStyle w:val="Prrafodelista"/>
        <w:spacing w:after="0" w:line="240" w:lineRule="auto"/>
        <w:ind w:left="0"/>
        <w:jc w:val="both"/>
        <w:rPr>
          <w:rFonts w:ascii="Verdana" w:hAnsi="Verdana"/>
          <w:color w:val="000000" w:themeColor="text1"/>
          <w:sz w:val="20"/>
          <w:szCs w:val="20"/>
        </w:rPr>
      </w:pPr>
    </w:p>
    <w:p w14:paraId="4B48A29A" w14:textId="1EEE9EDC" w:rsidR="001F6CBA" w:rsidRDefault="001F6CBA" w:rsidP="00F579E4">
      <w:pPr>
        <w:pStyle w:val="Prrafodelista"/>
        <w:numPr>
          <w:ilvl w:val="0"/>
          <w:numId w:val="1"/>
        </w:numPr>
        <w:spacing w:after="0" w:line="240" w:lineRule="auto"/>
        <w:ind w:left="0" w:firstLine="0"/>
        <w:jc w:val="both"/>
        <w:rPr>
          <w:rFonts w:ascii="Verdana" w:hAnsi="Verdana"/>
          <w:color w:val="000000" w:themeColor="text1"/>
          <w:sz w:val="20"/>
          <w:szCs w:val="20"/>
        </w:rPr>
      </w:pPr>
      <w:r>
        <w:rPr>
          <w:rFonts w:ascii="Verdana" w:hAnsi="Verdana"/>
          <w:color w:val="000000" w:themeColor="text1"/>
          <w:sz w:val="20"/>
          <w:szCs w:val="20"/>
        </w:rPr>
        <w:t xml:space="preserve">Asimismo, y en tanto es pertinente para la resolución de la presente solicitud de interpretación, el Tribunal también recuerda lo señalado en el párrafo 125 de la referida Sentencia: </w:t>
      </w:r>
    </w:p>
    <w:p w14:paraId="4351294D" w14:textId="13732BB4" w:rsidR="001F6CBA" w:rsidRDefault="001F6CBA" w:rsidP="001F6CBA">
      <w:pPr>
        <w:spacing w:after="0" w:line="240" w:lineRule="auto"/>
        <w:jc w:val="both"/>
        <w:rPr>
          <w:rFonts w:ascii="Verdana" w:hAnsi="Verdana"/>
          <w:color w:val="000000" w:themeColor="text1"/>
          <w:sz w:val="20"/>
          <w:szCs w:val="20"/>
        </w:rPr>
      </w:pPr>
    </w:p>
    <w:p w14:paraId="44605DC6" w14:textId="3113B71C" w:rsidR="001F6CBA" w:rsidRPr="00E048E7" w:rsidRDefault="001F6CBA" w:rsidP="001F6CBA">
      <w:pPr>
        <w:spacing w:after="0" w:line="240" w:lineRule="auto"/>
        <w:ind w:left="851" w:right="815"/>
        <w:jc w:val="both"/>
        <w:rPr>
          <w:rFonts w:ascii="Verdana" w:hAnsi="Verdana"/>
          <w:sz w:val="18"/>
          <w:szCs w:val="18"/>
        </w:rPr>
      </w:pPr>
      <w:r w:rsidRPr="00E048E7">
        <w:rPr>
          <w:rFonts w:ascii="Verdana" w:hAnsi="Verdana"/>
          <w:sz w:val="18"/>
          <w:szCs w:val="18"/>
        </w:rPr>
        <w:t>En el presente caso, el Tribunal concluyó que, respecto al subgrupo de 2.317 trabajadores que continuaron reclamando cantidades adeudadas en ejecución de la sentencia de 12 de febrero de 1992, pese a haber transcurrido más de 29 años desde su emisión, el proceso de ejecución de la referida sentencia todavía se encuentra abierto porque aún no se ha hecho efectivo el pago determinado en virtud de lo establecido en el Informe Pericial No. 240-2015-PJ-EV de 2 de diciembre de 2015. Por tanto, la Corte ordena al Estado que proceda con el cumplimiento de las resoluciones dictadas a nivel interno y, de tal forma, garantice el pago efectivo de los reintegros pendientes de pago por concepto de lo dispuesto por la sentencia de 12 de febrero de 1992 y, en particular, en el Informe Pericial No. 240-2015-PJ-EV de 2 de diciembre de 2015, a las 2.317 víctimas enumeradas en el Anexo II o a sus derechohabientes conforme al derecho interno aplicable, de acuerdo con los montos establecidos en dicha lista que derivan del referido Informe Pericial y que hacen un total de USD$ 242,601,058.98 (doscientos cuarenta y dos mil millones, seiscientos un mil cincuenta y ocho dólares con noventa y ocho centavos de dólares los Estados Unidos de América). […]</w:t>
      </w:r>
    </w:p>
    <w:p w14:paraId="5F5F8B86" w14:textId="77777777" w:rsidR="001F6CBA" w:rsidRDefault="001F6CBA" w:rsidP="001F6CBA">
      <w:pPr>
        <w:pStyle w:val="Prrafodelista"/>
        <w:spacing w:after="0" w:line="240" w:lineRule="auto"/>
        <w:ind w:left="0"/>
        <w:jc w:val="both"/>
        <w:rPr>
          <w:rFonts w:ascii="Verdana" w:hAnsi="Verdana"/>
          <w:color w:val="000000" w:themeColor="text1"/>
          <w:sz w:val="20"/>
          <w:szCs w:val="20"/>
        </w:rPr>
      </w:pPr>
    </w:p>
    <w:p w14:paraId="3982A306" w14:textId="1FB71185" w:rsidR="00286CB0" w:rsidRDefault="00CD19D0" w:rsidP="00F579E4">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La </w:t>
      </w:r>
      <w:r w:rsidRPr="001F6CBA">
        <w:rPr>
          <w:rFonts w:ascii="Verdana" w:hAnsi="Verdana"/>
          <w:color w:val="000000" w:themeColor="text1"/>
          <w:sz w:val="20"/>
          <w:szCs w:val="20"/>
        </w:rPr>
        <w:t>Corte</w:t>
      </w:r>
      <w:r w:rsidRPr="008B7099">
        <w:rPr>
          <w:rFonts w:ascii="Verdana" w:hAnsi="Verdana"/>
          <w:color w:val="000000" w:themeColor="text1"/>
          <w:sz w:val="20"/>
          <w:szCs w:val="20"/>
        </w:rPr>
        <w:t xml:space="preserve"> </w:t>
      </w:r>
      <w:r w:rsidR="00E048E7">
        <w:rPr>
          <w:rFonts w:ascii="Verdana" w:hAnsi="Verdana"/>
          <w:color w:val="000000" w:themeColor="text1"/>
          <w:sz w:val="20"/>
          <w:szCs w:val="20"/>
        </w:rPr>
        <w:t>observa</w:t>
      </w:r>
      <w:r w:rsidR="006440E3" w:rsidRPr="008B7099">
        <w:rPr>
          <w:rFonts w:ascii="Verdana" w:hAnsi="Verdana"/>
          <w:color w:val="000000" w:themeColor="text1"/>
          <w:sz w:val="20"/>
          <w:szCs w:val="20"/>
        </w:rPr>
        <w:t xml:space="preserve"> que la solicitud de interpretación realizada por el Estado </w:t>
      </w:r>
      <w:r w:rsidR="0043503C" w:rsidRPr="008B7099">
        <w:rPr>
          <w:rFonts w:ascii="Verdana" w:hAnsi="Verdana"/>
          <w:color w:val="000000" w:themeColor="text1"/>
          <w:sz w:val="20"/>
          <w:szCs w:val="20"/>
        </w:rPr>
        <w:t xml:space="preserve">se centra en su disconformidad con </w:t>
      </w:r>
      <w:r w:rsidR="00286CB0">
        <w:rPr>
          <w:rFonts w:ascii="Verdana" w:hAnsi="Verdana"/>
          <w:color w:val="000000" w:themeColor="text1"/>
          <w:sz w:val="20"/>
          <w:szCs w:val="20"/>
        </w:rPr>
        <w:t>la indemnización pecuniaria ordenada en el punto resolutivo número 7 de la Sentencia, aduciendo que</w:t>
      </w:r>
      <w:r w:rsidR="00952282">
        <w:rPr>
          <w:rFonts w:ascii="Verdana" w:hAnsi="Verdana"/>
          <w:color w:val="000000" w:themeColor="text1"/>
          <w:sz w:val="20"/>
          <w:szCs w:val="20"/>
        </w:rPr>
        <w:t xml:space="preserve"> el señalado</w:t>
      </w:r>
      <w:r w:rsidR="00286CB0">
        <w:rPr>
          <w:rFonts w:ascii="Verdana" w:hAnsi="Verdana"/>
          <w:color w:val="000000" w:themeColor="text1"/>
          <w:sz w:val="20"/>
          <w:szCs w:val="20"/>
        </w:rPr>
        <w:t xml:space="preserve"> </w:t>
      </w:r>
      <w:r w:rsidR="00286CB0" w:rsidRPr="008B7099">
        <w:rPr>
          <w:rFonts w:ascii="Verdana" w:hAnsi="Verdana"/>
          <w:color w:val="000000" w:themeColor="text1"/>
          <w:sz w:val="20"/>
          <w:szCs w:val="20"/>
        </w:rPr>
        <w:t>Informe Pericial No. 240-2015-PJ-EV</w:t>
      </w:r>
      <w:r w:rsidR="00E048E7">
        <w:rPr>
          <w:rFonts w:ascii="Verdana" w:hAnsi="Verdana"/>
          <w:color w:val="000000" w:themeColor="text1"/>
          <w:sz w:val="20"/>
          <w:szCs w:val="20"/>
        </w:rPr>
        <w:t>,</w:t>
      </w:r>
      <w:r w:rsidR="00286CB0" w:rsidRPr="008B7099">
        <w:rPr>
          <w:rFonts w:ascii="Verdana" w:hAnsi="Verdana"/>
          <w:color w:val="000000" w:themeColor="text1"/>
          <w:sz w:val="20"/>
          <w:szCs w:val="20"/>
        </w:rPr>
        <w:t xml:space="preserve"> de 2 de diciembre de 2015</w:t>
      </w:r>
      <w:r w:rsidR="00E048E7">
        <w:rPr>
          <w:rFonts w:ascii="Verdana" w:hAnsi="Verdana"/>
          <w:color w:val="000000" w:themeColor="text1"/>
          <w:sz w:val="20"/>
          <w:szCs w:val="20"/>
        </w:rPr>
        <w:t>,</w:t>
      </w:r>
      <w:r w:rsidR="00286CB0">
        <w:rPr>
          <w:rFonts w:ascii="Verdana" w:hAnsi="Verdana"/>
          <w:color w:val="000000" w:themeColor="text1"/>
          <w:sz w:val="20"/>
          <w:szCs w:val="20"/>
        </w:rPr>
        <w:t xml:space="preserve"> que sirvió de base para determinar las cantidades a pagar a cada una de las víctimas indicadas en el Anexo II</w:t>
      </w:r>
      <w:r w:rsidR="00E048E7">
        <w:rPr>
          <w:rFonts w:ascii="Verdana" w:hAnsi="Verdana"/>
          <w:color w:val="000000" w:themeColor="text1"/>
          <w:sz w:val="20"/>
          <w:szCs w:val="20"/>
        </w:rPr>
        <w:t>,</w:t>
      </w:r>
      <w:r w:rsidR="00286CB0">
        <w:rPr>
          <w:rFonts w:ascii="Verdana" w:hAnsi="Verdana"/>
          <w:color w:val="000000" w:themeColor="text1"/>
          <w:sz w:val="20"/>
          <w:szCs w:val="20"/>
        </w:rPr>
        <w:t xml:space="preserve"> habría sido declarado nulo en sede interna en virtud de </w:t>
      </w:r>
      <w:r w:rsidR="00286CB0" w:rsidRPr="008B7099">
        <w:rPr>
          <w:rFonts w:ascii="Verdana" w:hAnsi="Verdana"/>
          <w:color w:val="000000" w:themeColor="text1"/>
          <w:sz w:val="20"/>
          <w:szCs w:val="20"/>
        </w:rPr>
        <w:t>una sentencia del Tribunal Constitucional de 30 de noviembre de 2021</w:t>
      </w:r>
      <w:r w:rsidR="00286CB0">
        <w:rPr>
          <w:rFonts w:ascii="Verdana" w:hAnsi="Verdana"/>
          <w:color w:val="000000" w:themeColor="text1"/>
          <w:sz w:val="20"/>
          <w:szCs w:val="20"/>
        </w:rPr>
        <w:t>.</w:t>
      </w:r>
      <w:r w:rsidR="0043503C" w:rsidRPr="008B7099">
        <w:rPr>
          <w:rFonts w:ascii="Verdana" w:hAnsi="Verdana"/>
          <w:color w:val="000000" w:themeColor="text1"/>
          <w:sz w:val="20"/>
          <w:szCs w:val="20"/>
        </w:rPr>
        <w:t xml:space="preserve"> </w:t>
      </w:r>
    </w:p>
    <w:p w14:paraId="54165004" w14:textId="77777777" w:rsidR="00CC78F1" w:rsidRDefault="00CC78F1" w:rsidP="00286CB0">
      <w:pPr>
        <w:pStyle w:val="Prrafodelista"/>
        <w:spacing w:after="0" w:line="240" w:lineRule="auto"/>
        <w:ind w:left="0"/>
        <w:jc w:val="both"/>
        <w:rPr>
          <w:rFonts w:ascii="Verdana" w:hAnsi="Verdana"/>
          <w:color w:val="000000" w:themeColor="text1"/>
          <w:sz w:val="20"/>
          <w:szCs w:val="20"/>
        </w:rPr>
      </w:pPr>
    </w:p>
    <w:p w14:paraId="34EA563F" w14:textId="35C28BA3" w:rsidR="006900B2" w:rsidRPr="006900B2" w:rsidRDefault="001D49E0" w:rsidP="00DC602E">
      <w:pPr>
        <w:pStyle w:val="Prrafodelista"/>
        <w:numPr>
          <w:ilvl w:val="0"/>
          <w:numId w:val="1"/>
        </w:numPr>
        <w:spacing w:after="0" w:line="240" w:lineRule="auto"/>
        <w:ind w:left="0" w:firstLine="0"/>
        <w:jc w:val="both"/>
        <w:rPr>
          <w:rFonts w:ascii="Verdana" w:hAnsi="Verdana"/>
          <w:b/>
          <w:bCs/>
          <w:color w:val="000000" w:themeColor="text1"/>
          <w:sz w:val="20"/>
          <w:szCs w:val="20"/>
        </w:rPr>
      </w:pPr>
      <w:r>
        <w:rPr>
          <w:rFonts w:ascii="Verdana" w:hAnsi="Verdana"/>
          <w:color w:val="000000" w:themeColor="text1"/>
          <w:sz w:val="20"/>
          <w:szCs w:val="20"/>
        </w:rPr>
        <w:t>La Corte</w:t>
      </w:r>
      <w:r w:rsidR="00D54196" w:rsidRPr="00E31713">
        <w:rPr>
          <w:rFonts w:ascii="Verdana" w:hAnsi="Verdana"/>
          <w:color w:val="000000" w:themeColor="text1"/>
          <w:sz w:val="20"/>
          <w:szCs w:val="20"/>
        </w:rPr>
        <w:t xml:space="preserve"> advierte que la consulta realizada por el Estado no corresponde a los supuestos de interpretación establecidos en el artículo 67 de la Convención, ya que no versa sobre el sentido o alcance del fallo, sino sobre </w:t>
      </w:r>
      <w:r w:rsidR="00F61B14">
        <w:rPr>
          <w:rFonts w:ascii="Verdana" w:hAnsi="Verdana"/>
          <w:color w:val="000000" w:themeColor="text1"/>
          <w:sz w:val="20"/>
          <w:szCs w:val="20"/>
        </w:rPr>
        <w:t xml:space="preserve">su disconformidad con lo ordenado </w:t>
      </w:r>
      <w:r w:rsidR="00E048E7">
        <w:rPr>
          <w:rFonts w:ascii="Verdana" w:hAnsi="Verdana"/>
          <w:color w:val="000000" w:themeColor="text1"/>
          <w:sz w:val="20"/>
          <w:szCs w:val="20"/>
        </w:rPr>
        <w:t xml:space="preserve">en la Sentencia </w:t>
      </w:r>
      <w:r w:rsidR="00F61B14">
        <w:rPr>
          <w:rFonts w:ascii="Verdana" w:hAnsi="Verdana"/>
          <w:color w:val="000000" w:themeColor="text1"/>
          <w:sz w:val="20"/>
          <w:szCs w:val="20"/>
        </w:rPr>
        <w:t>sobre la base de</w:t>
      </w:r>
      <w:r w:rsidR="00D54196" w:rsidRPr="00E31713">
        <w:rPr>
          <w:rFonts w:ascii="Verdana" w:hAnsi="Verdana"/>
          <w:color w:val="000000" w:themeColor="text1"/>
          <w:sz w:val="20"/>
          <w:szCs w:val="20"/>
        </w:rPr>
        <w:t xml:space="preserve"> nuevos alegatos que no fueron puestos en conocimiento del Tribunal en los momentos procesales oportunos para ello. </w:t>
      </w:r>
      <w:r w:rsidR="002520DC" w:rsidRPr="00E31713">
        <w:rPr>
          <w:rFonts w:ascii="Verdana" w:hAnsi="Verdana"/>
          <w:color w:val="000000" w:themeColor="text1"/>
          <w:sz w:val="20"/>
          <w:szCs w:val="20"/>
        </w:rPr>
        <w:t>A</w:t>
      </w:r>
      <w:r w:rsidR="00F61B14">
        <w:rPr>
          <w:rFonts w:ascii="Verdana" w:hAnsi="Verdana"/>
          <w:color w:val="000000" w:themeColor="text1"/>
          <w:sz w:val="20"/>
          <w:szCs w:val="20"/>
        </w:rPr>
        <w:t>l respecto</w:t>
      </w:r>
      <w:r w:rsidR="002520DC" w:rsidRPr="00E31713">
        <w:rPr>
          <w:rFonts w:ascii="Verdana" w:hAnsi="Verdana"/>
          <w:color w:val="000000" w:themeColor="text1"/>
          <w:sz w:val="20"/>
          <w:szCs w:val="20"/>
        </w:rPr>
        <w:t xml:space="preserve">, el Tribunal destaca que </w:t>
      </w:r>
      <w:r w:rsidR="00286CB0" w:rsidRPr="00E31713">
        <w:rPr>
          <w:rFonts w:ascii="Verdana" w:hAnsi="Verdana"/>
          <w:color w:val="000000" w:themeColor="text1"/>
          <w:sz w:val="20"/>
          <w:szCs w:val="20"/>
        </w:rPr>
        <w:t xml:space="preserve">la Sentencia </w:t>
      </w:r>
      <w:r w:rsidR="009C0EBA" w:rsidRPr="00E31713">
        <w:rPr>
          <w:rFonts w:ascii="Verdana" w:hAnsi="Verdana"/>
          <w:color w:val="000000" w:themeColor="text1"/>
          <w:sz w:val="20"/>
          <w:szCs w:val="20"/>
        </w:rPr>
        <w:t xml:space="preserve">emitida por </w:t>
      </w:r>
      <w:r w:rsidR="002520DC" w:rsidRPr="00E31713">
        <w:rPr>
          <w:rFonts w:ascii="Verdana" w:hAnsi="Verdana"/>
          <w:color w:val="000000" w:themeColor="text1"/>
          <w:sz w:val="20"/>
          <w:szCs w:val="20"/>
        </w:rPr>
        <w:t>esta Corte</w:t>
      </w:r>
      <w:r w:rsidR="00286CB0" w:rsidRPr="00E31713">
        <w:rPr>
          <w:rFonts w:ascii="Verdana" w:hAnsi="Verdana"/>
          <w:color w:val="000000" w:themeColor="text1"/>
          <w:sz w:val="20"/>
          <w:szCs w:val="20"/>
        </w:rPr>
        <w:t xml:space="preserve"> fue deliberada durante los días 31 de enero y 1 de febrero de 2022</w:t>
      </w:r>
      <w:r w:rsidR="00286CB0" w:rsidRPr="000429E9">
        <w:rPr>
          <w:rStyle w:val="Refdenotaalpie"/>
          <w:rFonts w:ascii="Verdana" w:hAnsi="Verdana"/>
          <w:color w:val="000000" w:themeColor="text1"/>
          <w:sz w:val="20"/>
          <w:szCs w:val="20"/>
        </w:rPr>
        <w:footnoteReference w:id="9"/>
      </w:r>
      <w:r w:rsidR="00286CB0" w:rsidRPr="00E31713">
        <w:rPr>
          <w:rFonts w:ascii="Verdana" w:hAnsi="Verdana"/>
          <w:color w:val="000000" w:themeColor="text1"/>
          <w:sz w:val="20"/>
          <w:szCs w:val="20"/>
        </w:rPr>
        <w:t xml:space="preserve">. </w:t>
      </w:r>
      <w:r w:rsidR="009C0EBA" w:rsidRPr="00E31713">
        <w:rPr>
          <w:rFonts w:ascii="Verdana" w:hAnsi="Verdana"/>
          <w:color w:val="000000" w:themeColor="text1"/>
          <w:sz w:val="20"/>
          <w:szCs w:val="20"/>
        </w:rPr>
        <w:t>No obstante, l</w:t>
      </w:r>
      <w:r w:rsidR="00286CB0" w:rsidRPr="00E31713">
        <w:rPr>
          <w:rFonts w:ascii="Verdana" w:hAnsi="Verdana"/>
          <w:color w:val="000000" w:themeColor="text1"/>
          <w:sz w:val="20"/>
          <w:szCs w:val="20"/>
        </w:rPr>
        <w:t xml:space="preserve">a sentencia del Tribunal Constitucional a la que hace referencia el Estado </w:t>
      </w:r>
      <w:r w:rsidR="009C0EBA" w:rsidRPr="00E31713">
        <w:rPr>
          <w:rFonts w:ascii="Verdana" w:hAnsi="Verdana"/>
          <w:color w:val="000000" w:themeColor="text1"/>
          <w:sz w:val="20"/>
          <w:szCs w:val="20"/>
        </w:rPr>
        <w:t xml:space="preserve">y que habría declarado la nulidad del referido Informe Pericial </w:t>
      </w:r>
      <w:r w:rsidR="00286CB0" w:rsidRPr="00E31713">
        <w:rPr>
          <w:rFonts w:ascii="Verdana" w:hAnsi="Verdana"/>
          <w:color w:val="000000" w:themeColor="text1"/>
          <w:sz w:val="20"/>
          <w:szCs w:val="20"/>
        </w:rPr>
        <w:t>es de</w:t>
      </w:r>
      <w:r w:rsidR="00E048E7">
        <w:rPr>
          <w:rFonts w:ascii="Verdana" w:hAnsi="Verdana"/>
          <w:color w:val="000000" w:themeColor="text1"/>
          <w:sz w:val="20"/>
          <w:szCs w:val="20"/>
        </w:rPr>
        <w:t xml:space="preserve"> un momento anterior, esto es, de</w:t>
      </w:r>
      <w:r w:rsidR="00286CB0" w:rsidRPr="00E31713">
        <w:rPr>
          <w:rFonts w:ascii="Verdana" w:hAnsi="Verdana"/>
          <w:color w:val="000000" w:themeColor="text1"/>
          <w:sz w:val="20"/>
          <w:szCs w:val="20"/>
        </w:rPr>
        <w:t xml:space="preserve"> 30 de noviembre de 2021</w:t>
      </w:r>
      <w:r w:rsidR="00B4636E" w:rsidRPr="00E31713">
        <w:rPr>
          <w:rFonts w:ascii="Verdana" w:hAnsi="Verdana"/>
          <w:color w:val="000000" w:themeColor="text1"/>
          <w:sz w:val="20"/>
          <w:szCs w:val="20"/>
        </w:rPr>
        <w:t xml:space="preserve">. El Estado tuvo la posibilidad, como así lo habilita el artículo 57 del Reglamento, </w:t>
      </w:r>
      <w:r w:rsidR="0051621C" w:rsidRPr="00E31713">
        <w:rPr>
          <w:rFonts w:ascii="Verdana" w:hAnsi="Verdana"/>
          <w:color w:val="000000" w:themeColor="text1"/>
          <w:sz w:val="20"/>
          <w:szCs w:val="20"/>
        </w:rPr>
        <w:t>de</w:t>
      </w:r>
      <w:r w:rsidR="00B4636E" w:rsidRPr="00E31713">
        <w:rPr>
          <w:rFonts w:ascii="Verdana" w:hAnsi="Verdana"/>
          <w:color w:val="000000" w:themeColor="text1"/>
          <w:sz w:val="20"/>
          <w:szCs w:val="20"/>
        </w:rPr>
        <w:t xml:space="preserve"> presentar dicha sentencia ante este Tribunal</w:t>
      </w:r>
      <w:r w:rsidR="00952282">
        <w:rPr>
          <w:rFonts w:ascii="Verdana" w:hAnsi="Verdana"/>
          <w:color w:val="000000" w:themeColor="text1"/>
          <w:sz w:val="20"/>
          <w:szCs w:val="20"/>
        </w:rPr>
        <w:t xml:space="preserve"> antes de que se produjera la deliberación de la Sentencia dictada por la Corte</w:t>
      </w:r>
      <w:r w:rsidR="00B4636E" w:rsidRPr="00C714C8">
        <w:rPr>
          <w:rFonts w:ascii="Verdana" w:hAnsi="Verdana"/>
          <w:color w:val="000000" w:themeColor="text1"/>
          <w:sz w:val="20"/>
          <w:szCs w:val="20"/>
        </w:rPr>
        <w:t xml:space="preserve">. </w:t>
      </w:r>
      <w:r w:rsidR="009C0EBA" w:rsidRPr="00E31713">
        <w:rPr>
          <w:rFonts w:ascii="Verdana" w:hAnsi="Verdana"/>
          <w:color w:val="000000" w:themeColor="text1"/>
          <w:sz w:val="20"/>
          <w:szCs w:val="20"/>
        </w:rPr>
        <w:t xml:space="preserve">Lo anterior también habría permitido al Tribunal oír el parecer de los representantes y </w:t>
      </w:r>
      <w:r w:rsidR="00F61B14">
        <w:rPr>
          <w:rFonts w:ascii="Verdana" w:hAnsi="Verdana"/>
          <w:color w:val="000000" w:themeColor="text1"/>
          <w:sz w:val="20"/>
          <w:szCs w:val="20"/>
        </w:rPr>
        <w:t>de</w:t>
      </w:r>
      <w:r w:rsidR="00F61B14" w:rsidRPr="00E31713">
        <w:rPr>
          <w:rFonts w:ascii="Verdana" w:hAnsi="Verdana"/>
          <w:color w:val="000000" w:themeColor="text1"/>
          <w:sz w:val="20"/>
          <w:szCs w:val="20"/>
        </w:rPr>
        <w:t xml:space="preserve"> </w:t>
      </w:r>
      <w:r w:rsidR="009C0EBA" w:rsidRPr="00E31713">
        <w:rPr>
          <w:rFonts w:ascii="Verdana" w:hAnsi="Verdana"/>
          <w:color w:val="000000" w:themeColor="text1"/>
          <w:sz w:val="20"/>
          <w:szCs w:val="20"/>
        </w:rPr>
        <w:t xml:space="preserve">la Comisión sobre estos </w:t>
      </w:r>
      <w:r w:rsidR="00CE1F02" w:rsidRPr="00E31713">
        <w:rPr>
          <w:rFonts w:ascii="Verdana" w:hAnsi="Verdana"/>
          <w:color w:val="000000" w:themeColor="text1"/>
          <w:sz w:val="20"/>
          <w:szCs w:val="20"/>
        </w:rPr>
        <w:t xml:space="preserve">alegados </w:t>
      </w:r>
      <w:r w:rsidR="009C0EBA" w:rsidRPr="00E31713">
        <w:rPr>
          <w:rFonts w:ascii="Verdana" w:hAnsi="Verdana"/>
          <w:color w:val="000000" w:themeColor="text1"/>
          <w:sz w:val="20"/>
          <w:szCs w:val="20"/>
        </w:rPr>
        <w:t xml:space="preserve">nuevos hechos. </w:t>
      </w:r>
      <w:r w:rsidR="00B4636E" w:rsidRPr="00E31713">
        <w:rPr>
          <w:rFonts w:ascii="Verdana" w:hAnsi="Verdana"/>
          <w:color w:val="000000" w:themeColor="text1"/>
          <w:sz w:val="20"/>
          <w:szCs w:val="20"/>
        </w:rPr>
        <w:t xml:space="preserve">No obstante, el Estado no remitió dicho documento </w:t>
      </w:r>
      <w:r w:rsidR="00F61B14">
        <w:rPr>
          <w:rFonts w:ascii="Verdana" w:hAnsi="Verdana"/>
          <w:color w:val="000000" w:themeColor="text1"/>
          <w:sz w:val="20"/>
          <w:szCs w:val="20"/>
        </w:rPr>
        <w:t>oportunamente, por lo que</w:t>
      </w:r>
      <w:r w:rsidR="00B4636E" w:rsidRPr="00E31713">
        <w:rPr>
          <w:rFonts w:ascii="Verdana" w:hAnsi="Verdana"/>
          <w:color w:val="000000" w:themeColor="text1"/>
          <w:sz w:val="20"/>
          <w:szCs w:val="20"/>
        </w:rPr>
        <w:t xml:space="preserve"> </w:t>
      </w:r>
      <w:r w:rsidR="00D765BC">
        <w:rPr>
          <w:rFonts w:ascii="Verdana" w:hAnsi="Verdana"/>
          <w:color w:val="000000" w:themeColor="text1"/>
          <w:sz w:val="20"/>
          <w:szCs w:val="20"/>
        </w:rPr>
        <w:t>la Corte</w:t>
      </w:r>
      <w:r w:rsidR="00B4636E" w:rsidRPr="00E31713">
        <w:rPr>
          <w:rFonts w:ascii="Verdana" w:hAnsi="Verdana"/>
          <w:color w:val="000000" w:themeColor="text1"/>
          <w:sz w:val="20"/>
          <w:szCs w:val="20"/>
        </w:rPr>
        <w:t xml:space="preserve"> decidió con base en </w:t>
      </w:r>
      <w:r w:rsidR="00CE1F02" w:rsidRPr="00E31713">
        <w:rPr>
          <w:rFonts w:ascii="Verdana" w:hAnsi="Verdana"/>
          <w:color w:val="000000" w:themeColor="text1"/>
          <w:sz w:val="20"/>
          <w:szCs w:val="20"/>
        </w:rPr>
        <w:t>los alegatos y prueba remitida por las partes y la Comisión</w:t>
      </w:r>
      <w:r w:rsidR="00952282">
        <w:rPr>
          <w:rFonts w:ascii="Verdana" w:hAnsi="Verdana"/>
          <w:color w:val="000000" w:themeColor="text1"/>
          <w:sz w:val="20"/>
          <w:szCs w:val="20"/>
        </w:rPr>
        <w:t xml:space="preserve"> hasta el momento de la deliberación</w:t>
      </w:r>
      <w:r w:rsidR="00CE1F02" w:rsidRPr="00E31713">
        <w:rPr>
          <w:rFonts w:ascii="Verdana" w:hAnsi="Verdana"/>
          <w:color w:val="000000" w:themeColor="text1"/>
          <w:sz w:val="20"/>
          <w:szCs w:val="20"/>
        </w:rPr>
        <w:t>, debidamente admitid</w:t>
      </w:r>
      <w:r w:rsidR="007311BD">
        <w:rPr>
          <w:rFonts w:ascii="Verdana" w:hAnsi="Verdana"/>
          <w:color w:val="000000" w:themeColor="text1"/>
          <w:sz w:val="20"/>
          <w:szCs w:val="20"/>
        </w:rPr>
        <w:t>os</w:t>
      </w:r>
      <w:r w:rsidR="00CE1F02" w:rsidRPr="00E31713">
        <w:rPr>
          <w:rFonts w:ascii="Verdana" w:hAnsi="Verdana"/>
          <w:color w:val="000000" w:themeColor="text1"/>
          <w:sz w:val="20"/>
          <w:szCs w:val="20"/>
        </w:rPr>
        <w:t xml:space="preserve"> en el marco del procedimiento.</w:t>
      </w:r>
      <w:r w:rsidR="00B4636E" w:rsidRPr="00E31713">
        <w:rPr>
          <w:rFonts w:ascii="Verdana" w:hAnsi="Verdana"/>
          <w:color w:val="000000" w:themeColor="text1"/>
          <w:sz w:val="20"/>
          <w:szCs w:val="20"/>
        </w:rPr>
        <w:t xml:space="preserve"> </w:t>
      </w:r>
      <w:bookmarkStart w:id="0" w:name="_Hlk109801584"/>
    </w:p>
    <w:p w14:paraId="7674735D" w14:textId="77777777" w:rsidR="006900B2" w:rsidRPr="006900B2" w:rsidRDefault="006900B2" w:rsidP="006900B2">
      <w:pPr>
        <w:pStyle w:val="Prrafodelista"/>
        <w:spacing w:after="0" w:line="240" w:lineRule="auto"/>
        <w:ind w:left="0"/>
        <w:jc w:val="both"/>
        <w:rPr>
          <w:rFonts w:ascii="Verdana" w:hAnsi="Verdana"/>
          <w:b/>
          <w:bCs/>
          <w:color w:val="000000" w:themeColor="text1"/>
          <w:sz w:val="20"/>
          <w:szCs w:val="20"/>
        </w:rPr>
      </w:pPr>
    </w:p>
    <w:p w14:paraId="02F64E9A" w14:textId="26102483" w:rsidR="006900B2" w:rsidRPr="00C714C8" w:rsidRDefault="00E31713" w:rsidP="006900B2">
      <w:pPr>
        <w:pStyle w:val="Prrafodelista"/>
        <w:numPr>
          <w:ilvl w:val="0"/>
          <w:numId w:val="1"/>
        </w:numPr>
        <w:spacing w:after="0" w:line="240" w:lineRule="auto"/>
        <w:ind w:left="0" w:firstLine="0"/>
        <w:jc w:val="both"/>
        <w:rPr>
          <w:rFonts w:ascii="Verdana" w:hAnsi="Verdana"/>
          <w:color w:val="000000" w:themeColor="text1"/>
          <w:sz w:val="20"/>
          <w:szCs w:val="20"/>
        </w:rPr>
      </w:pPr>
      <w:r w:rsidRPr="00C714C8">
        <w:rPr>
          <w:rFonts w:ascii="Verdana" w:hAnsi="Verdana"/>
          <w:color w:val="000000" w:themeColor="text1"/>
          <w:sz w:val="20"/>
          <w:szCs w:val="20"/>
        </w:rPr>
        <w:lastRenderedPageBreak/>
        <w:t xml:space="preserve">A lo anterior se añade el hecho de que </w:t>
      </w:r>
      <w:r w:rsidR="002520DC" w:rsidRPr="00C714C8">
        <w:rPr>
          <w:rFonts w:ascii="Verdana" w:hAnsi="Verdana"/>
          <w:color w:val="000000" w:themeColor="text1"/>
          <w:sz w:val="20"/>
          <w:szCs w:val="20"/>
        </w:rPr>
        <w:t xml:space="preserve">la representante Meneses Huayra señaló </w:t>
      </w:r>
      <w:r w:rsidRPr="00C714C8">
        <w:rPr>
          <w:rFonts w:ascii="Verdana" w:hAnsi="Verdana"/>
          <w:color w:val="000000" w:themeColor="text1"/>
          <w:sz w:val="20"/>
          <w:szCs w:val="20"/>
        </w:rPr>
        <w:t xml:space="preserve">en su escrito de observaciones a la solicitud de interpretación del Estado </w:t>
      </w:r>
      <w:r w:rsidR="002520DC" w:rsidRPr="00C714C8">
        <w:rPr>
          <w:rFonts w:ascii="Verdana" w:hAnsi="Verdana"/>
          <w:color w:val="000000" w:themeColor="text1"/>
          <w:sz w:val="20"/>
          <w:szCs w:val="20"/>
        </w:rPr>
        <w:t>que</w:t>
      </w:r>
      <w:r w:rsidR="00DB2018" w:rsidRPr="00C714C8">
        <w:rPr>
          <w:rFonts w:ascii="Verdana" w:hAnsi="Verdana"/>
          <w:color w:val="000000" w:themeColor="text1"/>
          <w:sz w:val="20"/>
          <w:szCs w:val="20"/>
        </w:rPr>
        <w:t>,</w:t>
      </w:r>
      <w:r w:rsidR="002520DC" w:rsidRPr="00C714C8">
        <w:rPr>
          <w:rFonts w:ascii="Verdana" w:hAnsi="Verdana"/>
          <w:color w:val="000000" w:themeColor="text1"/>
          <w:sz w:val="20"/>
          <w:szCs w:val="20"/>
        </w:rPr>
        <w:t xml:space="preserve"> con fecha 4 de marzo de 2022</w:t>
      </w:r>
      <w:r w:rsidR="00DB2018" w:rsidRPr="00C714C8">
        <w:rPr>
          <w:rFonts w:ascii="Verdana" w:hAnsi="Verdana"/>
          <w:color w:val="000000" w:themeColor="text1"/>
          <w:sz w:val="20"/>
          <w:szCs w:val="20"/>
        </w:rPr>
        <w:t>,</w:t>
      </w:r>
      <w:r w:rsidR="002520DC" w:rsidRPr="00C714C8">
        <w:rPr>
          <w:rFonts w:ascii="Verdana" w:hAnsi="Verdana"/>
          <w:color w:val="000000" w:themeColor="text1"/>
          <w:sz w:val="20"/>
          <w:szCs w:val="20"/>
        </w:rPr>
        <w:t xml:space="preserve"> solicitó la nulidad de la referida sentencia del Tribunal Constitucional a la que hace referencia el Estado, desconociendo est</w:t>
      </w:r>
      <w:r w:rsidR="00B11181">
        <w:rPr>
          <w:rFonts w:ascii="Verdana" w:hAnsi="Verdana"/>
          <w:color w:val="000000" w:themeColor="text1"/>
          <w:sz w:val="20"/>
          <w:szCs w:val="20"/>
        </w:rPr>
        <w:t>a Corte</w:t>
      </w:r>
      <w:r w:rsidR="002520DC" w:rsidRPr="00C714C8">
        <w:rPr>
          <w:rFonts w:ascii="Verdana" w:hAnsi="Verdana"/>
          <w:color w:val="000000" w:themeColor="text1"/>
          <w:sz w:val="20"/>
          <w:szCs w:val="20"/>
        </w:rPr>
        <w:t xml:space="preserve"> </w:t>
      </w:r>
      <w:r w:rsidR="00DB2018" w:rsidRPr="00C714C8">
        <w:rPr>
          <w:rFonts w:ascii="Verdana" w:hAnsi="Verdana"/>
          <w:color w:val="000000" w:themeColor="text1"/>
          <w:sz w:val="20"/>
          <w:szCs w:val="20"/>
        </w:rPr>
        <w:t>si</w:t>
      </w:r>
      <w:r w:rsidR="006900B2" w:rsidRPr="00C714C8">
        <w:rPr>
          <w:rFonts w:ascii="Verdana" w:hAnsi="Verdana"/>
          <w:color w:val="000000" w:themeColor="text1"/>
          <w:sz w:val="20"/>
          <w:szCs w:val="20"/>
        </w:rPr>
        <w:t>,</w:t>
      </w:r>
      <w:r w:rsidR="00DB2018" w:rsidRPr="00C714C8">
        <w:rPr>
          <w:rFonts w:ascii="Verdana" w:hAnsi="Verdana"/>
          <w:color w:val="000000" w:themeColor="text1"/>
          <w:sz w:val="20"/>
          <w:szCs w:val="20"/>
        </w:rPr>
        <w:t xml:space="preserve"> a</w:t>
      </w:r>
      <w:r w:rsidR="006129FC">
        <w:rPr>
          <w:rFonts w:ascii="Verdana" w:hAnsi="Verdana"/>
          <w:color w:val="000000" w:themeColor="text1"/>
          <w:sz w:val="20"/>
          <w:szCs w:val="20"/>
        </w:rPr>
        <w:t>l</w:t>
      </w:r>
      <w:r w:rsidR="00DB2018" w:rsidRPr="00C714C8">
        <w:rPr>
          <w:rFonts w:ascii="Verdana" w:hAnsi="Verdana"/>
          <w:color w:val="000000" w:themeColor="text1"/>
          <w:sz w:val="20"/>
          <w:szCs w:val="20"/>
        </w:rPr>
        <w:t xml:space="preserve"> día de hoy</w:t>
      </w:r>
      <w:r w:rsidR="006900B2" w:rsidRPr="00C714C8">
        <w:rPr>
          <w:rFonts w:ascii="Verdana" w:hAnsi="Verdana"/>
          <w:color w:val="000000" w:themeColor="text1"/>
          <w:sz w:val="20"/>
          <w:szCs w:val="20"/>
        </w:rPr>
        <w:t>,</w:t>
      </w:r>
      <w:r w:rsidR="00DB2018" w:rsidRPr="00C714C8">
        <w:rPr>
          <w:rFonts w:ascii="Verdana" w:hAnsi="Verdana"/>
          <w:color w:val="000000" w:themeColor="text1"/>
          <w:sz w:val="20"/>
          <w:szCs w:val="20"/>
        </w:rPr>
        <w:t xml:space="preserve"> dicha solicitud contin</w:t>
      </w:r>
      <w:r w:rsidR="00611DFF" w:rsidRPr="00C714C8">
        <w:rPr>
          <w:rFonts w:ascii="Verdana" w:hAnsi="Verdana"/>
          <w:color w:val="000000" w:themeColor="text1"/>
          <w:sz w:val="20"/>
          <w:szCs w:val="20"/>
        </w:rPr>
        <w:t>ú</w:t>
      </w:r>
      <w:r w:rsidR="00DB2018" w:rsidRPr="00C714C8">
        <w:rPr>
          <w:rFonts w:ascii="Verdana" w:hAnsi="Verdana"/>
          <w:color w:val="000000" w:themeColor="text1"/>
          <w:sz w:val="20"/>
          <w:szCs w:val="20"/>
        </w:rPr>
        <w:t>a en trámite o ya se dispone de un</w:t>
      </w:r>
      <w:r w:rsidR="002520DC" w:rsidRPr="00C714C8">
        <w:rPr>
          <w:rFonts w:ascii="Verdana" w:hAnsi="Verdana"/>
          <w:color w:val="000000" w:themeColor="text1"/>
          <w:sz w:val="20"/>
          <w:szCs w:val="20"/>
        </w:rPr>
        <w:t xml:space="preserve"> eventual resultado.</w:t>
      </w:r>
      <w:r w:rsidR="006900B2" w:rsidRPr="00C714C8">
        <w:rPr>
          <w:rFonts w:ascii="Verdana" w:hAnsi="Verdana"/>
          <w:color w:val="000000" w:themeColor="text1"/>
          <w:sz w:val="20"/>
          <w:szCs w:val="20"/>
        </w:rPr>
        <w:t xml:space="preserve"> En este sentido</w:t>
      </w:r>
      <w:r w:rsidR="00DB2018" w:rsidRPr="00C714C8">
        <w:rPr>
          <w:rFonts w:ascii="Verdana" w:hAnsi="Verdana"/>
          <w:color w:val="000000" w:themeColor="text1"/>
          <w:sz w:val="20"/>
          <w:szCs w:val="20"/>
        </w:rPr>
        <w:t xml:space="preserve">, el Tribunal recuerda que en la Sentencia relativa al presente caso </w:t>
      </w:r>
      <w:r w:rsidR="000429E9" w:rsidRPr="00C714C8">
        <w:rPr>
          <w:rFonts w:ascii="Verdana" w:hAnsi="Verdana"/>
          <w:color w:val="000000" w:themeColor="text1"/>
          <w:sz w:val="20"/>
          <w:szCs w:val="20"/>
        </w:rPr>
        <w:t>concluyó</w:t>
      </w:r>
      <w:r w:rsidR="00DB2018" w:rsidRPr="00C714C8">
        <w:rPr>
          <w:rFonts w:ascii="Verdana" w:hAnsi="Verdana"/>
          <w:color w:val="000000" w:themeColor="text1"/>
          <w:sz w:val="20"/>
          <w:szCs w:val="20"/>
        </w:rPr>
        <w:t>,</w:t>
      </w:r>
      <w:r w:rsidR="00B11181">
        <w:rPr>
          <w:rFonts w:ascii="Verdana" w:hAnsi="Verdana"/>
          <w:color w:val="000000" w:themeColor="text1"/>
          <w:sz w:val="20"/>
          <w:szCs w:val="20"/>
        </w:rPr>
        <w:t xml:space="preserve"> entre otros</w:t>
      </w:r>
      <w:r w:rsidR="00DB2018" w:rsidRPr="00C714C8">
        <w:rPr>
          <w:rFonts w:ascii="Verdana" w:hAnsi="Verdana"/>
          <w:color w:val="000000" w:themeColor="text1"/>
          <w:sz w:val="20"/>
          <w:szCs w:val="20"/>
        </w:rPr>
        <w:t>, q</w:t>
      </w:r>
      <w:r w:rsidR="000429E9" w:rsidRPr="00C714C8">
        <w:rPr>
          <w:rFonts w:ascii="Verdana" w:hAnsi="Verdana"/>
          <w:color w:val="000000" w:themeColor="text1"/>
          <w:sz w:val="20"/>
          <w:szCs w:val="20"/>
        </w:rPr>
        <w:t xml:space="preserve">ue el Estado era responsable por el incumplimiento de la sentencia </w:t>
      </w:r>
      <w:r w:rsidR="00DB2018" w:rsidRPr="00C714C8">
        <w:rPr>
          <w:rFonts w:ascii="Verdana" w:hAnsi="Verdana"/>
          <w:color w:val="000000" w:themeColor="text1"/>
          <w:sz w:val="20"/>
          <w:szCs w:val="20"/>
        </w:rPr>
        <w:t xml:space="preserve">interna </w:t>
      </w:r>
      <w:r w:rsidR="000429E9" w:rsidRPr="00C714C8">
        <w:rPr>
          <w:rFonts w:ascii="Verdana" w:hAnsi="Verdana"/>
          <w:color w:val="000000" w:themeColor="text1"/>
          <w:sz w:val="20"/>
          <w:szCs w:val="20"/>
        </w:rPr>
        <w:t>de 12 de febrero de 1992</w:t>
      </w:r>
      <w:r w:rsidR="00DB2018" w:rsidRPr="00C714C8">
        <w:rPr>
          <w:rStyle w:val="Refdenotaalpie"/>
          <w:rFonts w:ascii="Verdana" w:hAnsi="Verdana"/>
          <w:color w:val="000000" w:themeColor="text1"/>
          <w:sz w:val="20"/>
          <w:szCs w:val="20"/>
        </w:rPr>
        <w:footnoteReference w:id="10"/>
      </w:r>
      <w:r w:rsidR="000429E9" w:rsidRPr="00C714C8">
        <w:rPr>
          <w:rFonts w:ascii="Verdana" w:hAnsi="Verdana"/>
          <w:color w:val="000000" w:themeColor="text1"/>
          <w:sz w:val="20"/>
          <w:szCs w:val="20"/>
        </w:rPr>
        <w:t>, señalando específicamente que este comportamiento tuvo “un impacto en la garantía del plazo razonable</w:t>
      </w:r>
      <w:r w:rsidR="002F571A" w:rsidRPr="00C714C8">
        <w:rPr>
          <w:rFonts w:ascii="Verdana" w:hAnsi="Verdana"/>
          <w:color w:val="000000" w:themeColor="text1"/>
          <w:sz w:val="20"/>
          <w:szCs w:val="20"/>
        </w:rPr>
        <w:t>”</w:t>
      </w:r>
      <w:r w:rsidR="00DB2018" w:rsidRPr="00C714C8">
        <w:rPr>
          <w:rFonts w:ascii="Verdana" w:hAnsi="Verdana"/>
          <w:color w:val="000000" w:themeColor="text1"/>
          <w:sz w:val="20"/>
          <w:szCs w:val="20"/>
        </w:rPr>
        <w:t>,</w:t>
      </w:r>
      <w:r w:rsidR="000429E9" w:rsidRPr="00C714C8">
        <w:rPr>
          <w:rFonts w:ascii="Verdana" w:hAnsi="Verdana"/>
          <w:color w:val="000000" w:themeColor="text1"/>
          <w:sz w:val="20"/>
          <w:szCs w:val="20"/>
        </w:rPr>
        <w:t xml:space="preserve"> toda vez que</w:t>
      </w:r>
      <w:r w:rsidR="002F571A" w:rsidRPr="00C714C8">
        <w:rPr>
          <w:rFonts w:ascii="Verdana" w:hAnsi="Verdana"/>
          <w:color w:val="000000" w:themeColor="text1"/>
          <w:sz w:val="20"/>
          <w:szCs w:val="20"/>
        </w:rPr>
        <w:t xml:space="preserve"> habían transcurrido </w:t>
      </w:r>
      <w:r w:rsidR="000429E9" w:rsidRPr="00C714C8">
        <w:rPr>
          <w:rFonts w:ascii="Verdana" w:hAnsi="Verdana"/>
          <w:color w:val="000000" w:themeColor="text1"/>
          <w:sz w:val="20"/>
          <w:szCs w:val="20"/>
        </w:rPr>
        <w:t xml:space="preserve">más de 29 años desde que se emitió la referida sentencia </w:t>
      </w:r>
      <w:r w:rsidR="00457955" w:rsidRPr="00C714C8">
        <w:rPr>
          <w:rFonts w:ascii="Verdana" w:hAnsi="Verdana"/>
          <w:color w:val="000000" w:themeColor="text1"/>
          <w:sz w:val="20"/>
          <w:szCs w:val="20"/>
        </w:rPr>
        <w:t xml:space="preserve">interna </w:t>
      </w:r>
      <w:r w:rsidR="00DB2018" w:rsidRPr="00C714C8">
        <w:rPr>
          <w:rFonts w:ascii="Verdana" w:hAnsi="Verdana"/>
          <w:color w:val="000000" w:themeColor="text1"/>
          <w:sz w:val="20"/>
          <w:szCs w:val="20"/>
        </w:rPr>
        <w:t>hasta el día de emisión de la Sentencia de excepciones preliminares, fondo y reparaciones</w:t>
      </w:r>
      <w:r w:rsidR="000429E9" w:rsidRPr="00C714C8">
        <w:rPr>
          <w:rStyle w:val="Refdenotaalpie"/>
          <w:rFonts w:ascii="Verdana" w:hAnsi="Verdana"/>
          <w:sz w:val="20"/>
          <w:szCs w:val="20"/>
        </w:rPr>
        <w:footnoteReference w:id="11"/>
      </w:r>
      <w:r w:rsidR="00457955" w:rsidRPr="00C714C8">
        <w:rPr>
          <w:rFonts w:ascii="Verdana" w:hAnsi="Verdana"/>
          <w:color w:val="000000" w:themeColor="text1"/>
          <w:sz w:val="20"/>
          <w:szCs w:val="20"/>
        </w:rPr>
        <w:t>,</w:t>
      </w:r>
      <w:r w:rsidR="006900B2" w:rsidRPr="00C714C8">
        <w:rPr>
          <w:rFonts w:ascii="Verdana" w:hAnsi="Verdana"/>
          <w:color w:val="000000" w:themeColor="text1"/>
          <w:sz w:val="20"/>
          <w:szCs w:val="20"/>
        </w:rPr>
        <w:t xml:space="preserve"> sin que </w:t>
      </w:r>
      <w:r w:rsidR="006F54E6">
        <w:rPr>
          <w:rFonts w:ascii="Verdana" w:hAnsi="Verdana"/>
          <w:color w:val="000000" w:themeColor="text1"/>
          <w:sz w:val="20"/>
          <w:szCs w:val="20"/>
        </w:rPr>
        <w:t>aquella</w:t>
      </w:r>
      <w:r w:rsidR="006F54E6" w:rsidRPr="00C714C8">
        <w:rPr>
          <w:rFonts w:ascii="Verdana" w:hAnsi="Verdana"/>
          <w:color w:val="000000" w:themeColor="text1"/>
          <w:sz w:val="20"/>
          <w:szCs w:val="20"/>
        </w:rPr>
        <w:t xml:space="preserve"> </w:t>
      </w:r>
      <w:r w:rsidR="006900B2" w:rsidRPr="00C714C8">
        <w:rPr>
          <w:rFonts w:ascii="Verdana" w:hAnsi="Verdana"/>
          <w:color w:val="000000" w:themeColor="text1"/>
          <w:sz w:val="20"/>
          <w:szCs w:val="20"/>
        </w:rPr>
        <w:t>se hubiera ejecutado en su totalidad</w:t>
      </w:r>
      <w:r w:rsidR="000429E9" w:rsidRPr="00C714C8">
        <w:rPr>
          <w:rFonts w:ascii="Verdana" w:hAnsi="Verdana"/>
          <w:sz w:val="20"/>
          <w:szCs w:val="20"/>
        </w:rPr>
        <w:t xml:space="preserve">. </w:t>
      </w:r>
      <w:r w:rsidR="00DB2018" w:rsidRPr="00C714C8">
        <w:rPr>
          <w:rFonts w:ascii="Verdana" w:hAnsi="Verdana"/>
          <w:color w:val="000000" w:themeColor="text1"/>
          <w:sz w:val="20"/>
          <w:szCs w:val="20"/>
        </w:rPr>
        <w:t>El</w:t>
      </w:r>
      <w:r w:rsidR="002F571A" w:rsidRPr="00C714C8">
        <w:rPr>
          <w:rFonts w:ascii="Verdana" w:hAnsi="Verdana"/>
          <w:color w:val="000000" w:themeColor="text1"/>
          <w:sz w:val="20"/>
          <w:szCs w:val="20"/>
        </w:rPr>
        <w:t xml:space="preserve"> impacto </w:t>
      </w:r>
      <w:r w:rsidR="00DB2018" w:rsidRPr="00C714C8">
        <w:rPr>
          <w:rFonts w:ascii="Verdana" w:hAnsi="Verdana"/>
          <w:color w:val="000000" w:themeColor="text1"/>
          <w:sz w:val="20"/>
          <w:szCs w:val="20"/>
        </w:rPr>
        <w:t xml:space="preserve">de tal retraso </w:t>
      </w:r>
      <w:r w:rsidR="002F571A" w:rsidRPr="00C714C8">
        <w:rPr>
          <w:rFonts w:ascii="Verdana" w:hAnsi="Verdana"/>
          <w:color w:val="000000" w:themeColor="text1"/>
          <w:sz w:val="20"/>
          <w:szCs w:val="20"/>
        </w:rPr>
        <w:t xml:space="preserve">ha sido particularmente grave </w:t>
      </w:r>
      <w:r w:rsidR="00DB2018" w:rsidRPr="00C714C8">
        <w:rPr>
          <w:rFonts w:ascii="Verdana" w:hAnsi="Verdana"/>
          <w:color w:val="000000" w:themeColor="text1"/>
          <w:sz w:val="20"/>
          <w:szCs w:val="20"/>
        </w:rPr>
        <w:t>en</w:t>
      </w:r>
      <w:r w:rsidR="002F571A" w:rsidRPr="00C714C8">
        <w:rPr>
          <w:rFonts w:ascii="Verdana" w:hAnsi="Verdana"/>
          <w:color w:val="000000" w:themeColor="text1"/>
          <w:sz w:val="20"/>
          <w:szCs w:val="20"/>
        </w:rPr>
        <w:t xml:space="preserve"> las víctimas del presente caso</w:t>
      </w:r>
      <w:r w:rsidR="00DB2018" w:rsidRPr="00C714C8">
        <w:rPr>
          <w:rFonts w:ascii="Verdana" w:hAnsi="Verdana"/>
          <w:color w:val="000000" w:themeColor="text1"/>
          <w:sz w:val="20"/>
          <w:szCs w:val="20"/>
        </w:rPr>
        <w:t xml:space="preserve">, las cuales </w:t>
      </w:r>
      <w:r w:rsidR="002F571A" w:rsidRPr="00C714C8">
        <w:rPr>
          <w:rFonts w:ascii="Verdana" w:hAnsi="Verdana"/>
          <w:color w:val="000000" w:themeColor="text1"/>
          <w:sz w:val="20"/>
          <w:szCs w:val="20"/>
        </w:rPr>
        <w:t xml:space="preserve">tienen una edad que oscila entre los 80 y 90 años, habiendo </w:t>
      </w:r>
      <w:r w:rsidR="00DB2018" w:rsidRPr="00C714C8">
        <w:rPr>
          <w:rFonts w:ascii="Verdana" w:hAnsi="Verdana"/>
          <w:color w:val="000000" w:themeColor="text1"/>
          <w:sz w:val="20"/>
          <w:szCs w:val="20"/>
        </w:rPr>
        <w:t xml:space="preserve">incluso </w:t>
      </w:r>
      <w:r w:rsidR="002F571A" w:rsidRPr="00C714C8">
        <w:rPr>
          <w:rFonts w:ascii="Verdana" w:hAnsi="Verdana"/>
          <w:color w:val="000000" w:themeColor="text1"/>
          <w:sz w:val="20"/>
          <w:szCs w:val="20"/>
        </w:rPr>
        <w:t>fallecido algunas de ellas</w:t>
      </w:r>
      <w:r w:rsidR="00C714C8">
        <w:rPr>
          <w:rStyle w:val="Refdenotaalpie"/>
          <w:rFonts w:ascii="Verdana" w:hAnsi="Verdana"/>
          <w:color w:val="000000" w:themeColor="text1"/>
          <w:sz w:val="20"/>
          <w:szCs w:val="20"/>
        </w:rPr>
        <w:footnoteReference w:id="12"/>
      </w:r>
      <w:r w:rsidR="002F571A" w:rsidRPr="00C714C8">
        <w:rPr>
          <w:rFonts w:ascii="Verdana" w:hAnsi="Verdana"/>
          <w:color w:val="000000" w:themeColor="text1"/>
          <w:sz w:val="20"/>
          <w:szCs w:val="20"/>
        </w:rPr>
        <w:t xml:space="preserve">. </w:t>
      </w:r>
      <w:r w:rsidR="006900B2" w:rsidRPr="00C714C8">
        <w:rPr>
          <w:rFonts w:ascii="Verdana" w:hAnsi="Verdana"/>
          <w:color w:val="000000" w:themeColor="text1"/>
          <w:sz w:val="20"/>
          <w:szCs w:val="20"/>
        </w:rPr>
        <w:t xml:space="preserve">El Tribunal advierte que la actual pretensión del Estado, además de exceder los límites del mecanismo de solicitud de interpretación de Sentencia, contribuiría a un litigio </w:t>
      </w:r>
      <w:r w:rsidR="006900B2" w:rsidRPr="00C714C8">
        <w:rPr>
          <w:rFonts w:ascii="Verdana" w:hAnsi="Verdana"/>
          <w:i/>
          <w:iCs/>
          <w:color w:val="000000" w:themeColor="text1"/>
          <w:sz w:val="20"/>
          <w:szCs w:val="20"/>
        </w:rPr>
        <w:t>sine die</w:t>
      </w:r>
      <w:r w:rsidR="006900B2" w:rsidRPr="00C714C8">
        <w:rPr>
          <w:rFonts w:ascii="Verdana" w:hAnsi="Verdana"/>
          <w:color w:val="000000" w:themeColor="text1"/>
          <w:sz w:val="20"/>
          <w:szCs w:val="20"/>
        </w:rPr>
        <w:t xml:space="preserve">, tanto </w:t>
      </w:r>
      <w:r w:rsidR="00457955" w:rsidRPr="00C714C8">
        <w:rPr>
          <w:rFonts w:ascii="Verdana" w:hAnsi="Verdana"/>
          <w:color w:val="000000" w:themeColor="text1"/>
          <w:sz w:val="20"/>
          <w:szCs w:val="20"/>
        </w:rPr>
        <w:t xml:space="preserve">a nivel </w:t>
      </w:r>
      <w:r w:rsidR="006900B2" w:rsidRPr="00C714C8">
        <w:rPr>
          <w:rFonts w:ascii="Verdana" w:hAnsi="Verdana"/>
          <w:color w:val="000000" w:themeColor="text1"/>
          <w:sz w:val="20"/>
          <w:szCs w:val="20"/>
        </w:rPr>
        <w:t xml:space="preserve">nacional como internacional, </w:t>
      </w:r>
      <w:r w:rsidR="00457955" w:rsidRPr="00C714C8">
        <w:rPr>
          <w:rFonts w:ascii="Verdana" w:hAnsi="Verdana"/>
          <w:color w:val="000000" w:themeColor="text1"/>
          <w:sz w:val="20"/>
          <w:szCs w:val="20"/>
        </w:rPr>
        <w:t>lo cual</w:t>
      </w:r>
      <w:r w:rsidR="006900B2" w:rsidRPr="00C714C8">
        <w:rPr>
          <w:rFonts w:ascii="Verdana" w:hAnsi="Verdana"/>
          <w:color w:val="000000" w:themeColor="text1"/>
          <w:sz w:val="20"/>
          <w:szCs w:val="20"/>
        </w:rPr>
        <w:t xml:space="preserve"> </w:t>
      </w:r>
      <w:r w:rsidR="00952282">
        <w:rPr>
          <w:rFonts w:ascii="Verdana" w:hAnsi="Verdana"/>
          <w:color w:val="000000" w:themeColor="text1"/>
          <w:sz w:val="20"/>
          <w:szCs w:val="20"/>
        </w:rPr>
        <w:t xml:space="preserve">perpetuaría y </w:t>
      </w:r>
      <w:r w:rsidR="003416A3" w:rsidRPr="00C714C8">
        <w:rPr>
          <w:rFonts w:ascii="Verdana" w:hAnsi="Verdana"/>
          <w:color w:val="000000" w:themeColor="text1"/>
          <w:sz w:val="20"/>
          <w:szCs w:val="20"/>
        </w:rPr>
        <w:t>potenciaría los efectos de las violaciones ya constatadas</w:t>
      </w:r>
      <w:r w:rsidR="006900B2" w:rsidRPr="00C714C8">
        <w:rPr>
          <w:rFonts w:ascii="Verdana" w:hAnsi="Verdana"/>
          <w:color w:val="000000" w:themeColor="text1"/>
          <w:sz w:val="20"/>
          <w:szCs w:val="20"/>
        </w:rPr>
        <w:t xml:space="preserve"> en la Sentencia.</w:t>
      </w:r>
    </w:p>
    <w:p w14:paraId="3A8F1F34" w14:textId="77777777" w:rsidR="009C0EBA" w:rsidRPr="008B7099" w:rsidRDefault="009C0EBA" w:rsidP="009C0EBA">
      <w:pPr>
        <w:pStyle w:val="Prrafodelista"/>
        <w:spacing w:after="0" w:line="240" w:lineRule="auto"/>
        <w:ind w:left="0"/>
        <w:jc w:val="both"/>
        <w:rPr>
          <w:rFonts w:ascii="Verdana" w:hAnsi="Verdana"/>
          <w:color w:val="000000" w:themeColor="text1"/>
          <w:sz w:val="20"/>
          <w:szCs w:val="20"/>
        </w:rPr>
      </w:pPr>
    </w:p>
    <w:bookmarkEnd w:id="0"/>
    <w:p w14:paraId="20C1747E" w14:textId="6C395075" w:rsidR="002F0DED" w:rsidRDefault="002F0DED" w:rsidP="002F0DED">
      <w:pPr>
        <w:pStyle w:val="Prrafodelista"/>
        <w:numPr>
          <w:ilvl w:val="0"/>
          <w:numId w:val="1"/>
        </w:numPr>
        <w:spacing w:after="0" w:line="240" w:lineRule="auto"/>
        <w:ind w:left="0" w:firstLine="0"/>
        <w:jc w:val="both"/>
        <w:rPr>
          <w:rFonts w:ascii="Verdana" w:hAnsi="Verdana"/>
          <w:color w:val="000000" w:themeColor="text1"/>
          <w:sz w:val="20"/>
          <w:szCs w:val="20"/>
        </w:rPr>
      </w:pPr>
      <w:r>
        <w:rPr>
          <w:rFonts w:ascii="Verdana" w:hAnsi="Verdana"/>
          <w:color w:val="000000" w:themeColor="text1"/>
          <w:sz w:val="20"/>
          <w:szCs w:val="20"/>
        </w:rPr>
        <w:t xml:space="preserve">Adicionalmente, </w:t>
      </w:r>
      <w:r w:rsidR="00164058">
        <w:rPr>
          <w:rFonts w:ascii="Verdana" w:hAnsi="Verdana"/>
          <w:color w:val="000000" w:themeColor="text1"/>
          <w:sz w:val="20"/>
          <w:szCs w:val="20"/>
        </w:rPr>
        <w:t>la Corte</w:t>
      </w:r>
      <w:r>
        <w:rPr>
          <w:rFonts w:ascii="Verdana" w:hAnsi="Verdana"/>
          <w:color w:val="000000" w:themeColor="text1"/>
          <w:sz w:val="20"/>
          <w:szCs w:val="20"/>
        </w:rPr>
        <w:t xml:space="preserve"> recuerda que la o</w:t>
      </w:r>
      <w:r w:rsidRPr="008B7099">
        <w:rPr>
          <w:rFonts w:ascii="Verdana" w:hAnsi="Verdana"/>
          <w:color w:val="000000" w:themeColor="text1"/>
          <w:sz w:val="20"/>
          <w:szCs w:val="20"/>
        </w:rPr>
        <w:t>bligación de pago</w:t>
      </w:r>
      <w:r>
        <w:rPr>
          <w:rFonts w:ascii="Verdana" w:hAnsi="Verdana"/>
          <w:color w:val="000000" w:themeColor="text1"/>
          <w:sz w:val="20"/>
          <w:szCs w:val="20"/>
        </w:rPr>
        <w:t xml:space="preserve"> de las cantidades establecidas en el</w:t>
      </w:r>
      <w:r w:rsidR="00E31713">
        <w:rPr>
          <w:rFonts w:ascii="Verdana" w:hAnsi="Verdana"/>
          <w:color w:val="000000" w:themeColor="text1"/>
          <w:sz w:val="20"/>
          <w:szCs w:val="20"/>
        </w:rPr>
        <w:t xml:space="preserve"> referido</w:t>
      </w:r>
      <w:r>
        <w:rPr>
          <w:rFonts w:ascii="Verdana" w:hAnsi="Verdana"/>
          <w:color w:val="000000" w:themeColor="text1"/>
          <w:sz w:val="20"/>
          <w:szCs w:val="20"/>
        </w:rPr>
        <w:t xml:space="preserve"> punto resolutivo número 7 </w:t>
      </w:r>
      <w:r w:rsidRPr="008B7099">
        <w:rPr>
          <w:rFonts w:ascii="Verdana" w:hAnsi="Verdana"/>
          <w:color w:val="000000" w:themeColor="text1"/>
          <w:sz w:val="20"/>
          <w:szCs w:val="20"/>
        </w:rPr>
        <w:t xml:space="preserve">nace de una reparación </w:t>
      </w:r>
      <w:r>
        <w:rPr>
          <w:rFonts w:ascii="Verdana" w:hAnsi="Verdana"/>
          <w:color w:val="000000" w:themeColor="text1"/>
          <w:sz w:val="20"/>
          <w:szCs w:val="20"/>
        </w:rPr>
        <w:t>determinada por el Tribunal, su obligado cumplimiento emana de lo dispuesto en el artículo 68 de la Convención Americana</w:t>
      </w:r>
      <w:r>
        <w:rPr>
          <w:rStyle w:val="Refdenotaalpie"/>
          <w:rFonts w:ascii="Verdana" w:hAnsi="Verdana"/>
          <w:color w:val="000000" w:themeColor="text1"/>
          <w:sz w:val="20"/>
          <w:szCs w:val="20"/>
        </w:rPr>
        <w:footnoteReference w:id="13"/>
      </w:r>
      <w:r>
        <w:rPr>
          <w:rFonts w:ascii="Verdana" w:hAnsi="Verdana"/>
          <w:color w:val="000000" w:themeColor="text1"/>
          <w:sz w:val="20"/>
          <w:szCs w:val="20"/>
        </w:rPr>
        <w:t xml:space="preserve"> y no depende, en esta etapa procesal, de resoluciones internas que se hayan podido </w:t>
      </w:r>
      <w:r w:rsidR="007311BD">
        <w:rPr>
          <w:rFonts w:ascii="Verdana" w:hAnsi="Verdana"/>
          <w:color w:val="000000" w:themeColor="text1"/>
          <w:sz w:val="20"/>
          <w:szCs w:val="20"/>
        </w:rPr>
        <w:t>dictar</w:t>
      </w:r>
      <w:r>
        <w:rPr>
          <w:rFonts w:ascii="Verdana" w:hAnsi="Verdana"/>
          <w:color w:val="000000" w:themeColor="text1"/>
          <w:sz w:val="20"/>
          <w:szCs w:val="20"/>
        </w:rPr>
        <w:t xml:space="preserve">, </w:t>
      </w:r>
      <w:r w:rsidRPr="008B7099">
        <w:rPr>
          <w:rFonts w:ascii="Verdana" w:hAnsi="Verdana"/>
          <w:color w:val="000000" w:themeColor="text1"/>
          <w:sz w:val="20"/>
          <w:szCs w:val="20"/>
        </w:rPr>
        <w:t xml:space="preserve">máxime cuando la Corte no </w:t>
      </w:r>
      <w:r>
        <w:rPr>
          <w:rFonts w:ascii="Verdana" w:hAnsi="Verdana"/>
          <w:color w:val="000000" w:themeColor="text1"/>
          <w:sz w:val="20"/>
          <w:szCs w:val="20"/>
        </w:rPr>
        <w:t>tuvo conocimiento de la misma y ni los representantes ni la Comisión pudieron realizar observaciones al respecto.</w:t>
      </w:r>
      <w:r w:rsidRPr="008B7099">
        <w:rPr>
          <w:rFonts w:ascii="Verdana" w:hAnsi="Verdana"/>
          <w:color w:val="000000" w:themeColor="text1"/>
          <w:sz w:val="20"/>
          <w:szCs w:val="20"/>
        </w:rPr>
        <w:t xml:space="preserve"> </w:t>
      </w:r>
    </w:p>
    <w:p w14:paraId="48AE0E2C" w14:textId="77777777" w:rsidR="002F0DED" w:rsidRPr="002F0DED" w:rsidRDefault="002F0DED" w:rsidP="005F2507">
      <w:pPr>
        <w:pStyle w:val="Prrafodelista"/>
        <w:spacing w:after="0" w:line="240" w:lineRule="auto"/>
        <w:ind w:left="0"/>
        <w:jc w:val="both"/>
        <w:rPr>
          <w:rFonts w:ascii="Verdana" w:hAnsi="Verdana"/>
          <w:color w:val="000000" w:themeColor="text1"/>
          <w:sz w:val="20"/>
          <w:szCs w:val="20"/>
        </w:rPr>
      </w:pPr>
    </w:p>
    <w:p w14:paraId="13D8ED42" w14:textId="241B2354" w:rsidR="00CD19D0" w:rsidRPr="008B7099" w:rsidRDefault="002F0DED" w:rsidP="00F579E4">
      <w:pPr>
        <w:pStyle w:val="Prrafodelista"/>
        <w:numPr>
          <w:ilvl w:val="0"/>
          <w:numId w:val="1"/>
        </w:numPr>
        <w:spacing w:after="0" w:line="240" w:lineRule="auto"/>
        <w:ind w:left="0" w:firstLine="0"/>
        <w:jc w:val="both"/>
        <w:rPr>
          <w:rFonts w:ascii="Verdana" w:hAnsi="Verdana"/>
          <w:color w:val="000000" w:themeColor="text1"/>
          <w:sz w:val="20"/>
          <w:szCs w:val="20"/>
        </w:rPr>
      </w:pPr>
      <w:r>
        <w:rPr>
          <w:rFonts w:ascii="Verdana" w:hAnsi="Verdana"/>
          <w:color w:val="000000" w:themeColor="text1"/>
          <w:sz w:val="20"/>
          <w:szCs w:val="20"/>
        </w:rPr>
        <w:t>En suma, e</w:t>
      </w:r>
      <w:r w:rsidR="00CD19D0" w:rsidRPr="008B7099">
        <w:rPr>
          <w:rFonts w:ascii="Verdana" w:hAnsi="Verdana"/>
          <w:color w:val="000000" w:themeColor="text1"/>
          <w:sz w:val="20"/>
          <w:szCs w:val="20"/>
        </w:rPr>
        <w:t>ste Tribunal recuerda la improcedencia de utilizar una solicitud de interpretación para someter cuestiones sobre las cuales ya adoptó una decisión</w:t>
      </w:r>
      <w:r w:rsidR="00CD19D0" w:rsidRPr="008B7099">
        <w:rPr>
          <w:rStyle w:val="Refdenotaalpie"/>
          <w:rFonts w:ascii="Verdana" w:hAnsi="Verdana"/>
          <w:color w:val="000000" w:themeColor="text1"/>
          <w:sz w:val="20"/>
          <w:szCs w:val="20"/>
        </w:rPr>
        <w:footnoteReference w:id="14"/>
      </w:r>
      <w:r w:rsidR="00CD19D0" w:rsidRPr="008B7099">
        <w:rPr>
          <w:rFonts w:ascii="Verdana" w:hAnsi="Verdana"/>
          <w:color w:val="000000" w:themeColor="text1"/>
          <w:sz w:val="20"/>
          <w:szCs w:val="20"/>
        </w:rPr>
        <w:t>, así como que ésta no puede utilizarse como medio de impugnación de la misma</w:t>
      </w:r>
      <w:r w:rsidR="00CD19D0" w:rsidRPr="008B7099">
        <w:rPr>
          <w:rStyle w:val="Refdenotaalpie"/>
          <w:rFonts w:ascii="Verdana" w:hAnsi="Verdana"/>
          <w:color w:val="000000" w:themeColor="text1"/>
          <w:sz w:val="20"/>
          <w:szCs w:val="20"/>
        </w:rPr>
        <w:footnoteReference w:id="15"/>
      </w:r>
      <w:r w:rsidR="00CD19D0" w:rsidRPr="008B7099">
        <w:rPr>
          <w:rFonts w:ascii="Verdana" w:hAnsi="Verdana"/>
          <w:color w:val="000000" w:themeColor="text1"/>
          <w:sz w:val="20"/>
          <w:szCs w:val="20"/>
        </w:rPr>
        <w:t xml:space="preserve">. En este sentido, la Corte advierte que, bajo la apariencia de una solicitud de interpretación, la posición del Estado evidencia una discrepancia con lo considerado, resuelto y ordenado por la Corte, por cuanto lo que se pretende es </w:t>
      </w:r>
      <w:r w:rsidR="009C0EBA">
        <w:rPr>
          <w:rFonts w:ascii="Verdana" w:hAnsi="Verdana"/>
          <w:color w:val="000000" w:themeColor="text1"/>
          <w:sz w:val="20"/>
          <w:szCs w:val="20"/>
        </w:rPr>
        <w:t>un análisis de nuevos alegatos -y, eventualmente, prueba- que no fue</w:t>
      </w:r>
      <w:r w:rsidR="00CE1F02">
        <w:rPr>
          <w:rFonts w:ascii="Verdana" w:hAnsi="Verdana"/>
          <w:color w:val="000000" w:themeColor="text1"/>
          <w:sz w:val="20"/>
          <w:szCs w:val="20"/>
        </w:rPr>
        <w:t xml:space="preserve">ron </w:t>
      </w:r>
      <w:r w:rsidR="009C0EBA">
        <w:rPr>
          <w:rFonts w:ascii="Verdana" w:hAnsi="Verdana"/>
          <w:color w:val="000000" w:themeColor="text1"/>
          <w:sz w:val="20"/>
          <w:szCs w:val="20"/>
        </w:rPr>
        <w:t>remitid</w:t>
      </w:r>
      <w:r w:rsidR="00CE1F02">
        <w:rPr>
          <w:rFonts w:ascii="Verdana" w:hAnsi="Verdana"/>
          <w:color w:val="000000" w:themeColor="text1"/>
          <w:sz w:val="20"/>
          <w:szCs w:val="20"/>
        </w:rPr>
        <w:t>os</w:t>
      </w:r>
      <w:r w:rsidR="009C0EBA">
        <w:rPr>
          <w:rFonts w:ascii="Verdana" w:hAnsi="Verdana"/>
          <w:color w:val="000000" w:themeColor="text1"/>
          <w:sz w:val="20"/>
          <w:szCs w:val="20"/>
        </w:rPr>
        <w:t xml:space="preserve"> en el momento procesal oportuno</w:t>
      </w:r>
      <w:r w:rsidR="00CE1F02">
        <w:rPr>
          <w:rFonts w:ascii="Verdana" w:hAnsi="Verdana"/>
          <w:color w:val="000000" w:themeColor="text1"/>
          <w:sz w:val="20"/>
          <w:szCs w:val="20"/>
        </w:rPr>
        <w:t xml:space="preserve"> ante la Corte</w:t>
      </w:r>
      <w:r w:rsidR="009C0EBA">
        <w:rPr>
          <w:rFonts w:ascii="Verdana" w:hAnsi="Verdana"/>
          <w:color w:val="000000" w:themeColor="text1"/>
          <w:sz w:val="20"/>
          <w:szCs w:val="20"/>
        </w:rPr>
        <w:t xml:space="preserve">, </w:t>
      </w:r>
      <w:r w:rsidR="00DA0F3F" w:rsidRPr="008B7099">
        <w:rPr>
          <w:rFonts w:ascii="Verdana" w:hAnsi="Verdana"/>
          <w:color w:val="000000" w:themeColor="text1"/>
          <w:sz w:val="20"/>
          <w:szCs w:val="20"/>
        </w:rPr>
        <w:t>cuestión</w:t>
      </w:r>
      <w:r w:rsidR="00CD19D0" w:rsidRPr="008B7099">
        <w:rPr>
          <w:rFonts w:ascii="Verdana" w:hAnsi="Verdana"/>
          <w:color w:val="000000" w:themeColor="text1"/>
          <w:sz w:val="20"/>
          <w:szCs w:val="20"/>
        </w:rPr>
        <w:t xml:space="preserve"> que excede el ámbito del artículo 67 de</w:t>
      </w:r>
      <w:r w:rsidR="0084657E">
        <w:rPr>
          <w:rFonts w:ascii="Verdana" w:hAnsi="Verdana"/>
          <w:color w:val="000000" w:themeColor="text1"/>
          <w:sz w:val="20"/>
          <w:szCs w:val="20"/>
        </w:rPr>
        <w:t xml:space="preserve"> </w:t>
      </w:r>
      <w:r w:rsidR="00CD19D0" w:rsidRPr="008B7099">
        <w:rPr>
          <w:rFonts w:ascii="Verdana" w:hAnsi="Verdana"/>
          <w:color w:val="000000" w:themeColor="text1"/>
          <w:sz w:val="20"/>
          <w:szCs w:val="20"/>
        </w:rPr>
        <w:t>l</w:t>
      </w:r>
      <w:r w:rsidR="0084657E">
        <w:rPr>
          <w:rFonts w:ascii="Verdana" w:hAnsi="Verdana"/>
          <w:color w:val="000000" w:themeColor="text1"/>
          <w:sz w:val="20"/>
          <w:szCs w:val="20"/>
        </w:rPr>
        <w:t>a</w:t>
      </w:r>
      <w:r w:rsidR="00CD19D0" w:rsidRPr="008B7099">
        <w:rPr>
          <w:rFonts w:ascii="Verdana" w:hAnsi="Verdana"/>
          <w:color w:val="000000" w:themeColor="text1"/>
          <w:sz w:val="20"/>
          <w:szCs w:val="20"/>
        </w:rPr>
        <w:t xml:space="preserve"> Conven</w:t>
      </w:r>
      <w:r w:rsidR="0084657E">
        <w:rPr>
          <w:rFonts w:ascii="Verdana" w:hAnsi="Verdana"/>
          <w:color w:val="000000" w:themeColor="text1"/>
          <w:sz w:val="20"/>
          <w:szCs w:val="20"/>
        </w:rPr>
        <w:t>ción</w:t>
      </w:r>
      <w:r w:rsidR="00CD19D0" w:rsidRPr="008B7099">
        <w:rPr>
          <w:rFonts w:ascii="Verdana" w:hAnsi="Verdana"/>
          <w:color w:val="000000" w:themeColor="text1"/>
          <w:sz w:val="20"/>
          <w:szCs w:val="20"/>
        </w:rPr>
        <w:t>.</w:t>
      </w:r>
    </w:p>
    <w:p w14:paraId="0536A0D2" w14:textId="77777777" w:rsidR="008B7BD5" w:rsidRPr="008B7099" w:rsidRDefault="008B7BD5" w:rsidP="00F579E4">
      <w:pPr>
        <w:pStyle w:val="Prrafodelista"/>
        <w:spacing w:after="0" w:line="240" w:lineRule="auto"/>
        <w:ind w:left="0"/>
        <w:jc w:val="both"/>
        <w:rPr>
          <w:rFonts w:ascii="Verdana" w:hAnsi="Verdana"/>
          <w:color w:val="000000" w:themeColor="text1"/>
          <w:sz w:val="20"/>
          <w:szCs w:val="20"/>
        </w:rPr>
      </w:pPr>
    </w:p>
    <w:p w14:paraId="5C4A40D6" w14:textId="2B4E352F" w:rsidR="00CD19D0" w:rsidRPr="008B7099" w:rsidRDefault="00CD19D0" w:rsidP="00F579E4">
      <w:pPr>
        <w:pStyle w:val="Prrafodelista"/>
        <w:numPr>
          <w:ilvl w:val="0"/>
          <w:numId w:val="1"/>
        </w:numPr>
        <w:spacing w:after="0" w:line="240" w:lineRule="auto"/>
        <w:ind w:left="0" w:firstLine="0"/>
        <w:jc w:val="both"/>
        <w:rPr>
          <w:rFonts w:ascii="Verdana" w:hAnsi="Verdana"/>
          <w:b/>
          <w:color w:val="000000" w:themeColor="text1"/>
          <w:sz w:val="20"/>
          <w:szCs w:val="20"/>
        </w:rPr>
      </w:pPr>
      <w:r w:rsidRPr="008B7099">
        <w:rPr>
          <w:rFonts w:ascii="Verdana" w:hAnsi="Verdana"/>
          <w:color w:val="000000" w:themeColor="text1"/>
          <w:sz w:val="20"/>
          <w:szCs w:val="20"/>
        </w:rPr>
        <w:t>En razón</w:t>
      </w:r>
      <w:r w:rsidR="007311BD">
        <w:rPr>
          <w:rFonts w:ascii="Verdana" w:hAnsi="Verdana"/>
          <w:color w:val="000000" w:themeColor="text1"/>
          <w:sz w:val="20"/>
          <w:szCs w:val="20"/>
        </w:rPr>
        <w:t xml:space="preserve"> </w:t>
      </w:r>
      <w:r w:rsidRPr="008B7099">
        <w:rPr>
          <w:rFonts w:ascii="Verdana" w:hAnsi="Verdana"/>
          <w:color w:val="000000" w:themeColor="text1"/>
          <w:sz w:val="20"/>
          <w:szCs w:val="20"/>
        </w:rPr>
        <w:t>de lo anterior, este Tribunal considera que la solicitud del Estado es improcedente.</w:t>
      </w:r>
    </w:p>
    <w:p w14:paraId="3FE92DDD" w14:textId="77777777" w:rsidR="00A53C30" w:rsidRPr="008B7099" w:rsidRDefault="00A53C30" w:rsidP="00A53C30">
      <w:pPr>
        <w:spacing w:after="0" w:line="240" w:lineRule="auto"/>
        <w:jc w:val="both"/>
        <w:rPr>
          <w:rFonts w:ascii="Verdana" w:hAnsi="Verdana"/>
          <w:b/>
          <w:color w:val="000000" w:themeColor="text1"/>
          <w:sz w:val="20"/>
          <w:szCs w:val="20"/>
        </w:rPr>
      </w:pPr>
    </w:p>
    <w:p w14:paraId="6F915817" w14:textId="679CA2ED" w:rsidR="00A53C30" w:rsidRPr="008B7099" w:rsidRDefault="00CB4AC8" w:rsidP="00522A34">
      <w:pPr>
        <w:pStyle w:val="Prrafodelista"/>
        <w:numPr>
          <w:ilvl w:val="0"/>
          <w:numId w:val="2"/>
        </w:numPr>
        <w:spacing w:after="0" w:line="240" w:lineRule="auto"/>
        <w:ind w:left="426"/>
        <w:jc w:val="both"/>
        <w:rPr>
          <w:rFonts w:ascii="Verdana" w:hAnsi="Verdana"/>
          <w:b/>
          <w:color w:val="000000" w:themeColor="text1"/>
          <w:sz w:val="20"/>
          <w:szCs w:val="20"/>
        </w:rPr>
      </w:pPr>
      <w:r w:rsidRPr="008B7099">
        <w:rPr>
          <w:rFonts w:ascii="Verdana" w:hAnsi="Verdana"/>
          <w:b/>
          <w:color w:val="000000" w:themeColor="text1"/>
          <w:sz w:val="20"/>
          <w:szCs w:val="20"/>
        </w:rPr>
        <w:t xml:space="preserve">Solicitud de interpretación interpuesta por </w:t>
      </w:r>
      <w:r w:rsidR="00030E4B" w:rsidRPr="008B7099">
        <w:rPr>
          <w:rFonts w:ascii="Verdana" w:hAnsi="Verdana"/>
          <w:b/>
          <w:color w:val="000000" w:themeColor="text1"/>
          <w:sz w:val="20"/>
          <w:szCs w:val="20"/>
        </w:rPr>
        <w:t>la representante Meneses Huayra</w:t>
      </w:r>
    </w:p>
    <w:p w14:paraId="7F2359F3" w14:textId="4A3344CE" w:rsidR="00030E4B" w:rsidRPr="008B7099" w:rsidRDefault="00030E4B" w:rsidP="00030E4B">
      <w:pPr>
        <w:spacing w:after="0" w:line="240" w:lineRule="auto"/>
        <w:jc w:val="both"/>
        <w:rPr>
          <w:rFonts w:ascii="Verdana" w:hAnsi="Verdana"/>
          <w:b/>
          <w:color w:val="000000" w:themeColor="text1"/>
          <w:sz w:val="20"/>
          <w:szCs w:val="20"/>
        </w:rPr>
      </w:pPr>
    </w:p>
    <w:p w14:paraId="5192FA93" w14:textId="3BBDE510" w:rsidR="00030E4B" w:rsidRPr="008B7099" w:rsidRDefault="00030E4B" w:rsidP="00030E4B">
      <w:pPr>
        <w:spacing w:after="0" w:line="240" w:lineRule="auto"/>
        <w:ind w:firstLine="708"/>
        <w:jc w:val="both"/>
        <w:rPr>
          <w:rFonts w:ascii="Verdana" w:hAnsi="Verdana"/>
          <w:i/>
          <w:color w:val="000000" w:themeColor="text1"/>
          <w:sz w:val="20"/>
          <w:szCs w:val="20"/>
        </w:rPr>
      </w:pPr>
      <w:r w:rsidRPr="008B7099">
        <w:rPr>
          <w:rFonts w:ascii="Verdana" w:hAnsi="Verdana"/>
          <w:i/>
          <w:color w:val="000000" w:themeColor="text1"/>
          <w:sz w:val="20"/>
          <w:szCs w:val="20"/>
        </w:rPr>
        <w:t xml:space="preserve">B.1. Argumentos de las partes y de la Comisión </w:t>
      </w:r>
    </w:p>
    <w:p w14:paraId="2BE37F2F" w14:textId="77777777" w:rsidR="00030E4B" w:rsidRPr="008B7099" w:rsidRDefault="00030E4B" w:rsidP="00030E4B">
      <w:pPr>
        <w:spacing w:after="0" w:line="240" w:lineRule="auto"/>
        <w:jc w:val="both"/>
        <w:rPr>
          <w:rFonts w:ascii="Verdana" w:hAnsi="Verdana"/>
          <w:b/>
          <w:color w:val="000000" w:themeColor="text1"/>
          <w:sz w:val="20"/>
          <w:szCs w:val="20"/>
        </w:rPr>
      </w:pPr>
    </w:p>
    <w:p w14:paraId="05A3039D" w14:textId="3F78E966" w:rsidR="00030E4B" w:rsidRPr="008B7099" w:rsidRDefault="00030E4B" w:rsidP="00F52525">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La </w:t>
      </w:r>
      <w:r w:rsidRPr="008B7099">
        <w:rPr>
          <w:rFonts w:ascii="Verdana" w:hAnsi="Verdana"/>
          <w:b/>
          <w:bCs/>
          <w:i/>
          <w:iCs/>
          <w:color w:val="000000" w:themeColor="text1"/>
          <w:sz w:val="20"/>
          <w:szCs w:val="20"/>
        </w:rPr>
        <w:t>representante Meneses Huay</w:t>
      </w:r>
      <w:r w:rsidR="00CE1F02">
        <w:rPr>
          <w:rFonts w:ascii="Verdana" w:hAnsi="Verdana"/>
          <w:b/>
          <w:bCs/>
          <w:i/>
          <w:iCs/>
          <w:color w:val="000000" w:themeColor="text1"/>
          <w:sz w:val="20"/>
          <w:szCs w:val="20"/>
        </w:rPr>
        <w:t>r</w:t>
      </w:r>
      <w:r w:rsidRPr="008B7099">
        <w:rPr>
          <w:rFonts w:ascii="Verdana" w:hAnsi="Verdana"/>
          <w:b/>
          <w:bCs/>
          <w:i/>
          <w:iCs/>
          <w:color w:val="000000" w:themeColor="text1"/>
          <w:sz w:val="20"/>
          <w:szCs w:val="20"/>
        </w:rPr>
        <w:t xml:space="preserve">a </w:t>
      </w:r>
      <w:r w:rsidR="00F52525" w:rsidRPr="008B7099">
        <w:rPr>
          <w:rFonts w:ascii="Verdana" w:hAnsi="Verdana"/>
          <w:color w:val="000000" w:themeColor="text1"/>
          <w:sz w:val="20"/>
          <w:szCs w:val="20"/>
        </w:rPr>
        <w:t xml:space="preserve">hizo referencia al subgrupo de 1.773 personas enumeradas en el Anexo III, las cuales no continuaron con sus reclamaciones judiciales a nivel </w:t>
      </w:r>
      <w:r w:rsidR="00F52525" w:rsidRPr="008B7099">
        <w:rPr>
          <w:rFonts w:ascii="Verdana" w:hAnsi="Verdana"/>
          <w:color w:val="000000" w:themeColor="text1"/>
          <w:sz w:val="20"/>
          <w:szCs w:val="20"/>
        </w:rPr>
        <w:lastRenderedPageBreak/>
        <w:t>interno</w:t>
      </w:r>
      <w:r w:rsidR="00DE4B91">
        <w:rPr>
          <w:rFonts w:ascii="Verdana" w:hAnsi="Verdana"/>
          <w:color w:val="000000" w:themeColor="text1"/>
          <w:sz w:val="20"/>
          <w:szCs w:val="20"/>
        </w:rPr>
        <w:t>,</w:t>
      </w:r>
      <w:r w:rsidR="00F52525" w:rsidRPr="008B7099">
        <w:rPr>
          <w:rFonts w:ascii="Verdana" w:hAnsi="Verdana"/>
          <w:color w:val="000000" w:themeColor="text1"/>
          <w:sz w:val="20"/>
          <w:szCs w:val="20"/>
        </w:rPr>
        <w:t xml:space="preserve"> y solicitó a este Tribunal que, vía interpretación, precisara si dicho grupo de trabajadores (o sus derechohabientes) pueden reclamar ante el juzgado de ejecución de sentencia la correcta liquidación del: a) incremento adicional de las remuneraciones, b) reintegro de derechos y beneficios sociales, c) pago de la campaña escolar y de los intereses</w:t>
      </w:r>
      <w:r w:rsidR="00DE4B91">
        <w:rPr>
          <w:rFonts w:ascii="Verdana" w:hAnsi="Verdana"/>
          <w:color w:val="000000" w:themeColor="text1"/>
          <w:sz w:val="20"/>
          <w:szCs w:val="20"/>
        </w:rPr>
        <w:t>,</w:t>
      </w:r>
      <w:r w:rsidR="00F52525" w:rsidRPr="008B7099">
        <w:rPr>
          <w:rFonts w:ascii="Verdana" w:hAnsi="Verdana"/>
          <w:color w:val="000000" w:themeColor="text1"/>
          <w:sz w:val="20"/>
          <w:szCs w:val="20"/>
        </w:rPr>
        <w:t xml:space="preserve"> o</w:t>
      </w:r>
      <w:r w:rsidR="00DE4B91">
        <w:rPr>
          <w:rFonts w:ascii="Verdana" w:hAnsi="Verdana"/>
          <w:color w:val="000000" w:themeColor="text1"/>
          <w:sz w:val="20"/>
          <w:szCs w:val="20"/>
        </w:rPr>
        <w:t xml:space="preserve"> si</w:t>
      </w:r>
      <w:r w:rsidR="00F52525" w:rsidRPr="008B7099">
        <w:rPr>
          <w:rFonts w:ascii="Verdana" w:hAnsi="Verdana"/>
          <w:color w:val="000000" w:themeColor="text1"/>
          <w:sz w:val="20"/>
          <w:szCs w:val="20"/>
        </w:rPr>
        <w:t xml:space="preserve"> dicho grupo ya no puede efectuar reclamo alguno al respecto en sede interna.</w:t>
      </w:r>
    </w:p>
    <w:p w14:paraId="5BC3572C" w14:textId="77777777" w:rsidR="00030E4B" w:rsidRPr="008B7099" w:rsidRDefault="00030E4B" w:rsidP="00030E4B">
      <w:pPr>
        <w:pStyle w:val="Prrafodelista"/>
        <w:spacing w:after="0" w:line="240" w:lineRule="auto"/>
        <w:ind w:left="0"/>
        <w:jc w:val="both"/>
        <w:rPr>
          <w:rFonts w:ascii="Verdana" w:hAnsi="Verdana"/>
          <w:color w:val="000000" w:themeColor="text1"/>
          <w:sz w:val="20"/>
          <w:szCs w:val="20"/>
        </w:rPr>
      </w:pPr>
    </w:p>
    <w:p w14:paraId="5963F382" w14:textId="64F2A650" w:rsidR="00030E4B" w:rsidRPr="0051621C" w:rsidRDefault="00030E4B" w:rsidP="00030E4B">
      <w:pPr>
        <w:pStyle w:val="Prrafodelista"/>
        <w:numPr>
          <w:ilvl w:val="0"/>
          <w:numId w:val="1"/>
        </w:numPr>
        <w:spacing w:after="0" w:line="240" w:lineRule="auto"/>
        <w:ind w:left="0" w:firstLine="0"/>
        <w:jc w:val="both"/>
        <w:rPr>
          <w:rFonts w:ascii="Verdana" w:hAnsi="Verdana"/>
          <w:color w:val="000000" w:themeColor="text1"/>
          <w:sz w:val="20"/>
          <w:szCs w:val="20"/>
        </w:rPr>
      </w:pPr>
      <w:r w:rsidRPr="0051621C">
        <w:rPr>
          <w:rFonts w:ascii="Verdana" w:hAnsi="Verdana"/>
          <w:color w:val="000000" w:themeColor="text1"/>
          <w:sz w:val="20"/>
          <w:szCs w:val="20"/>
        </w:rPr>
        <w:t xml:space="preserve">Los </w:t>
      </w:r>
      <w:r w:rsidRPr="0051621C">
        <w:rPr>
          <w:rFonts w:ascii="Verdana" w:hAnsi="Verdana"/>
          <w:b/>
          <w:bCs/>
          <w:i/>
          <w:iCs/>
          <w:color w:val="000000" w:themeColor="text1"/>
          <w:sz w:val="20"/>
          <w:szCs w:val="20"/>
        </w:rPr>
        <w:t>representantes Valdivia Ayala, Guerrero Cassuso, Rossi Mérida y Valdivia Bocanegra</w:t>
      </w:r>
      <w:r w:rsidRPr="0051621C">
        <w:rPr>
          <w:rFonts w:ascii="Verdana" w:hAnsi="Verdana"/>
          <w:color w:val="000000" w:themeColor="text1"/>
          <w:sz w:val="20"/>
          <w:szCs w:val="20"/>
        </w:rPr>
        <w:t xml:space="preserve"> </w:t>
      </w:r>
      <w:r w:rsidR="004973E1" w:rsidRPr="0051621C">
        <w:rPr>
          <w:rFonts w:ascii="Verdana" w:hAnsi="Verdana"/>
          <w:color w:val="000000" w:themeColor="text1"/>
          <w:sz w:val="20"/>
          <w:szCs w:val="20"/>
        </w:rPr>
        <w:t xml:space="preserve">manifestaron encontrarse sorprendidos por la consulta realizada </w:t>
      </w:r>
      <w:r w:rsidR="0051621C" w:rsidRPr="0051621C">
        <w:rPr>
          <w:rFonts w:ascii="Verdana" w:hAnsi="Verdana"/>
          <w:color w:val="000000" w:themeColor="text1"/>
          <w:sz w:val="20"/>
          <w:szCs w:val="20"/>
        </w:rPr>
        <w:t xml:space="preserve">por la representante Menese Huayra </w:t>
      </w:r>
      <w:r w:rsidR="004973E1" w:rsidRPr="0051621C">
        <w:rPr>
          <w:rFonts w:ascii="Verdana" w:hAnsi="Verdana"/>
          <w:color w:val="000000" w:themeColor="text1"/>
          <w:sz w:val="20"/>
          <w:szCs w:val="20"/>
        </w:rPr>
        <w:t>sobre un grupo que no es parte del Informe Pericial No. 240-2015-PJ-EV, toda vez que la Corte “claramente” señaló que las víctimas no solo pertenecían a este primer grupo, sino que atribuye derechos a la totalidad de las víctimas</w:t>
      </w:r>
      <w:r w:rsidR="0051621C" w:rsidRPr="0051621C">
        <w:rPr>
          <w:rFonts w:ascii="Verdana" w:hAnsi="Verdana"/>
          <w:color w:val="000000" w:themeColor="text1"/>
          <w:sz w:val="20"/>
          <w:szCs w:val="20"/>
        </w:rPr>
        <w:t xml:space="preserve"> e indicó que, para lograr plenamente la efectividad de la sentencia, la ejecución debía ser “completa, perfecta, integral y sin demora”.</w:t>
      </w:r>
      <w:r w:rsidR="004973E1" w:rsidRPr="0051621C">
        <w:rPr>
          <w:rFonts w:ascii="Verdana" w:hAnsi="Verdana"/>
          <w:color w:val="000000" w:themeColor="text1"/>
          <w:sz w:val="20"/>
          <w:szCs w:val="20"/>
        </w:rPr>
        <w:t xml:space="preserve"> </w:t>
      </w:r>
    </w:p>
    <w:p w14:paraId="6A81B012" w14:textId="77777777" w:rsidR="00030E4B" w:rsidRPr="008B7099" w:rsidRDefault="00030E4B" w:rsidP="00030E4B">
      <w:pPr>
        <w:pStyle w:val="Prrafodelista"/>
        <w:rPr>
          <w:rFonts w:ascii="Verdana" w:hAnsi="Verdana"/>
          <w:color w:val="000000" w:themeColor="text1"/>
          <w:sz w:val="20"/>
          <w:szCs w:val="20"/>
        </w:rPr>
      </w:pPr>
    </w:p>
    <w:p w14:paraId="2769F188" w14:textId="1C9EC32D" w:rsidR="00030E4B" w:rsidRPr="008B7099" w:rsidRDefault="00030E4B" w:rsidP="00F44498">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El </w:t>
      </w:r>
      <w:r w:rsidRPr="008B7099">
        <w:rPr>
          <w:rFonts w:ascii="Verdana" w:hAnsi="Verdana"/>
          <w:b/>
          <w:bCs/>
          <w:i/>
          <w:iCs/>
          <w:color w:val="000000" w:themeColor="text1"/>
          <w:sz w:val="20"/>
          <w:szCs w:val="20"/>
        </w:rPr>
        <w:t>Estado</w:t>
      </w:r>
      <w:r w:rsidRPr="008B7099">
        <w:rPr>
          <w:rFonts w:ascii="Verdana" w:hAnsi="Verdana"/>
          <w:i/>
          <w:iCs/>
          <w:color w:val="000000" w:themeColor="text1"/>
          <w:sz w:val="20"/>
          <w:szCs w:val="20"/>
        </w:rPr>
        <w:t xml:space="preserve">, </w:t>
      </w:r>
      <w:r w:rsidRPr="008B7099">
        <w:rPr>
          <w:rFonts w:ascii="Verdana" w:hAnsi="Verdana"/>
          <w:color w:val="000000" w:themeColor="text1"/>
          <w:sz w:val="20"/>
          <w:szCs w:val="20"/>
        </w:rPr>
        <w:t xml:space="preserve">por su parte, </w:t>
      </w:r>
      <w:r w:rsidR="00F579E4" w:rsidRPr="008B7099">
        <w:rPr>
          <w:rFonts w:ascii="Verdana" w:hAnsi="Verdana"/>
          <w:color w:val="000000" w:themeColor="text1"/>
          <w:sz w:val="20"/>
          <w:szCs w:val="20"/>
        </w:rPr>
        <w:t>consideró</w:t>
      </w:r>
      <w:r w:rsidRPr="008B7099">
        <w:rPr>
          <w:rFonts w:ascii="Verdana" w:hAnsi="Verdana"/>
          <w:color w:val="000000" w:themeColor="text1"/>
          <w:sz w:val="20"/>
          <w:szCs w:val="20"/>
        </w:rPr>
        <w:t xml:space="preserve"> que </w:t>
      </w:r>
      <w:r w:rsidR="00F579E4" w:rsidRPr="008B7099">
        <w:rPr>
          <w:rFonts w:ascii="Verdana" w:hAnsi="Verdana"/>
          <w:color w:val="000000" w:themeColor="text1"/>
          <w:sz w:val="20"/>
          <w:szCs w:val="20"/>
        </w:rPr>
        <w:t xml:space="preserve">la representante Meneses Huayra pretendía modificar los términos de la Sentencia de la Corte. Enfatizó que </w:t>
      </w:r>
      <w:r w:rsidR="00F579E4" w:rsidRPr="008B7099">
        <w:rPr>
          <w:rFonts w:ascii="Verdana" w:hAnsi="Verdana" w:cs="Arial"/>
          <w:sz w:val="20"/>
          <w:szCs w:val="20"/>
        </w:rPr>
        <w:t xml:space="preserve">las solicitudes de interpretación no tienen la virtud de modificar, ampliar, extender o anular los efectos de la sentencia y tampoco son capaces de </w:t>
      </w:r>
      <w:r w:rsidR="00F579E4" w:rsidRPr="008B7099">
        <w:rPr>
          <w:rFonts w:ascii="Verdana" w:hAnsi="Verdana"/>
          <w:color w:val="000000" w:themeColor="text1"/>
          <w:sz w:val="20"/>
          <w:szCs w:val="20"/>
        </w:rPr>
        <w:t>reabrir</w:t>
      </w:r>
      <w:r w:rsidR="00F579E4" w:rsidRPr="008B7099">
        <w:rPr>
          <w:rFonts w:ascii="Verdana" w:hAnsi="Verdana" w:cs="Arial"/>
          <w:sz w:val="20"/>
          <w:szCs w:val="20"/>
        </w:rPr>
        <w:t xml:space="preserve"> el </w:t>
      </w:r>
      <w:r w:rsidR="00F579E4" w:rsidRPr="008B7099">
        <w:rPr>
          <w:rFonts w:ascii="Verdana" w:hAnsi="Verdana"/>
          <w:color w:val="000000" w:themeColor="text1"/>
          <w:sz w:val="20"/>
          <w:szCs w:val="20"/>
        </w:rPr>
        <w:t>debate sobre las cuestiones de hecho o derecho que fueron previamente abordadas y definidas por dicho Tribunal. Recordó además que, con fecha 5 de marzo de 2010, solo 2317 ex trabajadores representados por FEMAPOR introdujeron las pretensiones laborales de pago de campaña escolar, intereses y otros, en el proceso de Ejecución de Sentencia, mientras que el restante grupo de 1.773 personas</w:t>
      </w:r>
      <w:r w:rsidR="007311BD">
        <w:rPr>
          <w:rFonts w:ascii="Verdana" w:hAnsi="Verdana"/>
          <w:color w:val="000000" w:themeColor="text1"/>
          <w:sz w:val="20"/>
          <w:szCs w:val="20"/>
        </w:rPr>
        <w:t xml:space="preserve"> al que hace referencia la representante Meneses Huayra</w:t>
      </w:r>
      <w:r w:rsidR="00F579E4" w:rsidRPr="008B7099">
        <w:rPr>
          <w:rFonts w:ascii="Verdana" w:hAnsi="Verdana"/>
          <w:color w:val="000000" w:themeColor="text1"/>
          <w:sz w:val="20"/>
          <w:szCs w:val="20"/>
        </w:rPr>
        <w:t xml:space="preserve"> no presentó solicitud alguna, ya sea por desinterés</w:t>
      </w:r>
      <w:r w:rsidR="005C38A3">
        <w:rPr>
          <w:rFonts w:ascii="Verdana" w:hAnsi="Verdana"/>
          <w:color w:val="000000" w:themeColor="text1"/>
          <w:sz w:val="20"/>
          <w:szCs w:val="20"/>
        </w:rPr>
        <w:t>,</w:t>
      </w:r>
      <w:r w:rsidR="00F579E4" w:rsidRPr="008B7099">
        <w:rPr>
          <w:rFonts w:ascii="Verdana" w:hAnsi="Verdana"/>
          <w:color w:val="000000" w:themeColor="text1"/>
          <w:sz w:val="20"/>
          <w:szCs w:val="20"/>
        </w:rPr>
        <w:t xml:space="preserve"> o porque se encontraban satisfechos con los pagos que, como ya se ha demostrado, fueron realizados por el Estado, dando cumplimiento a la sentencia de fecha 12 de febrero de 1992</w:t>
      </w:r>
      <w:r w:rsidR="007311BD">
        <w:rPr>
          <w:rFonts w:ascii="Verdana" w:hAnsi="Verdana"/>
          <w:color w:val="000000" w:themeColor="text1"/>
          <w:sz w:val="20"/>
          <w:szCs w:val="20"/>
        </w:rPr>
        <w:t xml:space="preserve"> emitida por la </w:t>
      </w:r>
      <w:r w:rsidR="007311BD" w:rsidRPr="007311BD">
        <w:rPr>
          <w:rFonts w:ascii="Verdana" w:hAnsi="Verdana"/>
          <w:color w:val="000000" w:themeColor="text1"/>
          <w:sz w:val="20"/>
          <w:szCs w:val="20"/>
        </w:rPr>
        <w:t>Corte Suprema de Justicia</w:t>
      </w:r>
      <w:r w:rsidR="00F579E4" w:rsidRPr="008B7099">
        <w:rPr>
          <w:rFonts w:ascii="Verdana" w:hAnsi="Verdana"/>
          <w:color w:val="000000" w:themeColor="text1"/>
          <w:sz w:val="20"/>
          <w:szCs w:val="20"/>
        </w:rPr>
        <w:t>. Indicó que la Corte</w:t>
      </w:r>
      <w:r w:rsidR="007311BD">
        <w:rPr>
          <w:rFonts w:ascii="Verdana" w:hAnsi="Verdana"/>
          <w:color w:val="000000" w:themeColor="text1"/>
          <w:sz w:val="20"/>
          <w:szCs w:val="20"/>
        </w:rPr>
        <w:t>,</w:t>
      </w:r>
      <w:r w:rsidR="00F579E4" w:rsidRPr="008B7099">
        <w:rPr>
          <w:rFonts w:ascii="Verdana" w:hAnsi="Verdana"/>
          <w:color w:val="000000" w:themeColor="text1"/>
          <w:sz w:val="20"/>
          <w:szCs w:val="20"/>
        </w:rPr>
        <w:t xml:space="preserve"> “de manera indubitable”</w:t>
      </w:r>
      <w:r w:rsidR="007311BD">
        <w:rPr>
          <w:rFonts w:ascii="Verdana" w:hAnsi="Verdana"/>
          <w:color w:val="000000" w:themeColor="text1"/>
          <w:sz w:val="20"/>
          <w:szCs w:val="20"/>
        </w:rPr>
        <w:t>,</w:t>
      </w:r>
      <w:r w:rsidR="00F579E4" w:rsidRPr="008B7099">
        <w:rPr>
          <w:rFonts w:ascii="Verdana" w:hAnsi="Verdana"/>
          <w:color w:val="000000" w:themeColor="text1"/>
          <w:sz w:val="20"/>
          <w:szCs w:val="20"/>
        </w:rPr>
        <w:t xml:space="preserve"> señaló</w:t>
      </w:r>
      <w:r w:rsidR="007311BD">
        <w:rPr>
          <w:rFonts w:ascii="Verdana" w:hAnsi="Verdana"/>
          <w:color w:val="000000" w:themeColor="text1"/>
          <w:sz w:val="20"/>
          <w:szCs w:val="20"/>
        </w:rPr>
        <w:t xml:space="preserve"> </w:t>
      </w:r>
      <w:r w:rsidR="00F579E4" w:rsidRPr="008B7099">
        <w:rPr>
          <w:rFonts w:ascii="Verdana" w:hAnsi="Verdana"/>
          <w:color w:val="000000" w:themeColor="text1"/>
          <w:sz w:val="20"/>
          <w:szCs w:val="20"/>
        </w:rPr>
        <w:t>respecto a las 1.773 personas que no realizaron ningún cuestionamiento posterior al pago realizado por el Estado</w:t>
      </w:r>
      <w:r w:rsidR="007311BD">
        <w:rPr>
          <w:rFonts w:ascii="Verdana" w:hAnsi="Verdana"/>
          <w:color w:val="000000" w:themeColor="text1"/>
          <w:sz w:val="20"/>
          <w:szCs w:val="20"/>
        </w:rPr>
        <w:t xml:space="preserve"> que </w:t>
      </w:r>
      <w:r w:rsidR="00F579E4" w:rsidRPr="008B7099">
        <w:rPr>
          <w:rFonts w:ascii="Verdana" w:hAnsi="Verdana"/>
          <w:color w:val="000000" w:themeColor="text1"/>
          <w:sz w:val="20"/>
          <w:szCs w:val="20"/>
        </w:rPr>
        <w:t>no se puede hacer extensivo el análisis efectuado por el Tribunal</w:t>
      </w:r>
      <w:r w:rsidR="00EE34AE" w:rsidRPr="008B7099">
        <w:rPr>
          <w:rFonts w:ascii="Verdana" w:hAnsi="Verdana"/>
          <w:color w:val="000000" w:themeColor="text1"/>
          <w:sz w:val="20"/>
          <w:szCs w:val="20"/>
        </w:rPr>
        <w:t>, p</w:t>
      </w:r>
      <w:r w:rsidR="00F579E4" w:rsidRPr="008B7099">
        <w:rPr>
          <w:rFonts w:ascii="Verdana" w:hAnsi="Verdana"/>
          <w:color w:val="000000" w:themeColor="text1"/>
          <w:sz w:val="20"/>
          <w:szCs w:val="20"/>
        </w:rPr>
        <w:t xml:space="preserve">or lo que no se </w:t>
      </w:r>
      <w:r w:rsidR="00EE34AE" w:rsidRPr="008B7099">
        <w:rPr>
          <w:rFonts w:ascii="Verdana" w:hAnsi="Verdana"/>
          <w:color w:val="000000" w:themeColor="text1"/>
          <w:sz w:val="20"/>
          <w:szCs w:val="20"/>
        </w:rPr>
        <w:t>podían</w:t>
      </w:r>
      <w:r w:rsidR="00F579E4" w:rsidRPr="008B7099">
        <w:rPr>
          <w:rFonts w:ascii="Verdana" w:hAnsi="Verdana"/>
          <w:color w:val="000000" w:themeColor="text1"/>
          <w:sz w:val="20"/>
          <w:szCs w:val="20"/>
        </w:rPr>
        <w:t xml:space="preserve"> ampliar los efectos de la sentencia a</w:t>
      </w:r>
      <w:r w:rsidR="00EE34AE" w:rsidRPr="008B7099">
        <w:rPr>
          <w:rFonts w:ascii="Verdana" w:hAnsi="Verdana"/>
          <w:color w:val="000000" w:themeColor="text1"/>
          <w:sz w:val="20"/>
          <w:szCs w:val="20"/>
        </w:rPr>
        <w:t xml:space="preserve"> </w:t>
      </w:r>
      <w:r w:rsidR="00F579E4" w:rsidRPr="008B7099">
        <w:rPr>
          <w:rFonts w:ascii="Verdana" w:hAnsi="Verdana"/>
          <w:color w:val="000000" w:themeColor="text1"/>
          <w:sz w:val="20"/>
          <w:szCs w:val="20"/>
        </w:rPr>
        <w:t>dicho grupo</w:t>
      </w:r>
      <w:r w:rsidR="00EE34AE" w:rsidRPr="008B7099">
        <w:rPr>
          <w:rFonts w:ascii="Verdana" w:hAnsi="Verdana"/>
          <w:color w:val="000000" w:themeColor="text1"/>
          <w:sz w:val="20"/>
          <w:szCs w:val="20"/>
        </w:rPr>
        <w:t>.</w:t>
      </w:r>
      <w:r w:rsidR="00047DCD" w:rsidRPr="008B7099">
        <w:rPr>
          <w:rFonts w:ascii="Verdana" w:hAnsi="Verdana"/>
          <w:color w:val="000000" w:themeColor="text1"/>
          <w:sz w:val="20"/>
          <w:szCs w:val="20"/>
        </w:rPr>
        <w:t xml:space="preserve"> A la vista de lo anterior, el Estado solicitó que se desestimara la solicitud de interpretación interpuesta por la señora Meneses Huayra.</w:t>
      </w:r>
    </w:p>
    <w:p w14:paraId="65AC8B54" w14:textId="77777777" w:rsidR="00030E4B" w:rsidRPr="008B7099" w:rsidRDefault="00030E4B" w:rsidP="00030E4B">
      <w:pPr>
        <w:pStyle w:val="Prrafodelista"/>
        <w:spacing w:after="0" w:line="240" w:lineRule="auto"/>
        <w:ind w:left="0"/>
        <w:jc w:val="both"/>
        <w:rPr>
          <w:rFonts w:ascii="Verdana" w:hAnsi="Verdana"/>
          <w:color w:val="000000" w:themeColor="text1"/>
          <w:sz w:val="20"/>
          <w:szCs w:val="20"/>
        </w:rPr>
      </w:pPr>
    </w:p>
    <w:p w14:paraId="0C4C95B5" w14:textId="6C90BE5D" w:rsidR="00030E4B" w:rsidRPr="008B7099" w:rsidRDefault="00030E4B" w:rsidP="00030E4B">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La </w:t>
      </w:r>
      <w:r w:rsidRPr="008B7099">
        <w:rPr>
          <w:rFonts w:ascii="Verdana" w:hAnsi="Verdana"/>
          <w:b/>
          <w:bCs/>
          <w:i/>
          <w:iCs/>
          <w:color w:val="000000" w:themeColor="text1"/>
          <w:sz w:val="20"/>
          <w:szCs w:val="20"/>
        </w:rPr>
        <w:t>Comisión</w:t>
      </w:r>
      <w:r w:rsidRPr="008B7099">
        <w:rPr>
          <w:rFonts w:ascii="Verdana" w:hAnsi="Verdana"/>
          <w:color w:val="000000" w:themeColor="text1"/>
          <w:sz w:val="20"/>
          <w:szCs w:val="20"/>
        </w:rPr>
        <w:t xml:space="preserve"> </w:t>
      </w:r>
      <w:r w:rsidR="00047DCD" w:rsidRPr="008B7099">
        <w:rPr>
          <w:rFonts w:ascii="Verdana" w:hAnsi="Verdana"/>
          <w:color w:val="000000" w:themeColor="text1"/>
          <w:sz w:val="20"/>
          <w:szCs w:val="20"/>
        </w:rPr>
        <w:t>no realizó ninguna observación a este respecto.</w:t>
      </w:r>
      <w:r w:rsidR="00874C2D">
        <w:rPr>
          <w:rFonts w:ascii="Verdana" w:hAnsi="Verdana"/>
          <w:color w:val="000000" w:themeColor="text1"/>
          <w:sz w:val="20"/>
          <w:szCs w:val="20"/>
        </w:rPr>
        <w:t xml:space="preserve"> </w:t>
      </w:r>
    </w:p>
    <w:p w14:paraId="6B089D81" w14:textId="77777777" w:rsidR="00030E4B" w:rsidRPr="008B7099" w:rsidRDefault="00030E4B" w:rsidP="00030E4B">
      <w:pPr>
        <w:pStyle w:val="Prrafodelista"/>
        <w:spacing w:after="0" w:line="240" w:lineRule="auto"/>
        <w:ind w:left="0"/>
        <w:jc w:val="both"/>
        <w:rPr>
          <w:rFonts w:ascii="Verdana" w:hAnsi="Verdana"/>
          <w:color w:val="000000" w:themeColor="text1"/>
          <w:sz w:val="20"/>
          <w:szCs w:val="20"/>
        </w:rPr>
      </w:pPr>
    </w:p>
    <w:p w14:paraId="69B8FCD7" w14:textId="77777777" w:rsidR="00A2244B" w:rsidRPr="008B7099" w:rsidRDefault="00A2244B" w:rsidP="00A2244B">
      <w:pPr>
        <w:spacing w:after="0" w:line="240" w:lineRule="auto"/>
        <w:ind w:firstLine="708"/>
        <w:jc w:val="both"/>
        <w:rPr>
          <w:rFonts w:ascii="Verdana" w:hAnsi="Verdana"/>
          <w:i/>
          <w:color w:val="000000" w:themeColor="text1"/>
          <w:sz w:val="20"/>
          <w:szCs w:val="20"/>
        </w:rPr>
      </w:pPr>
      <w:r w:rsidRPr="008B7099">
        <w:rPr>
          <w:rFonts w:ascii="Verdana" w:hAnsi="Verdana"/>
          <w:i/>
          <w:color w:val="000000" w:themeColor="text1"/>
          <w:sz w:val="20"/>
          <w:szCs w:val="20"/>
        </w:rPr>
        <w:t xml:space="preserve">B.2. Consideraciones de la Corte </w:t>
      </w:r>
    </w:p>
    <w:p w14:paraId="78C8B52B" w14:textId="77777777" w:rsidR="008A2975" w:rsidRPr="008B7099" w:rsidRDefault="008A2975" w:rsidP="008A2975">
      <w:pPr>
        <w:pStyle w:val="Prrafodelista"/>
        <w:rPr>
          <w:rFonts w:ascii="Verdana" w:hAnsi="Verdana"/>
          <w:color w:val="000000" w:themeColor="text1"/>
          <w:sz w:val="20"/>
          <w:szCs w:val="20"/>
        </w:rPr>
      </w:pPr>
    </w:p>
    <w:p w14:paraId="76E44B08" w14:textId="3CBBF626" w:rsidR="00030E4B" w:rsidRPr="00CE1F02" w:rsidRDefault="00030E4B" w:rsidP="00BD3CCC">
      <w:pPr>
        <w:pStyle w:val="Prrafodelista"/>
        <w:numPr>
          <w:ilvl w:val="0"/>
          <w:numId w:val="1"/>
        </w:numPr>
        <w:spacing w:after="0" w:line="240" w:lineRule="auto"/>
        <w:ind w:left="0" w:firstLine="0"/>
        <w:jc w:val="both"/>
        <w:rPr>
          <w:rFonts w:ascii="Verdana" w:hAnsi="Verdana"/>
          <w:b/>
          <w:color w:val="000000" w:themeColor="text1"/>
          <w:sz w:val="20"/>
          <w:szCs w:val="20"/>
        </w:rPr>
      </w:pPr>
      <w:r w:rsidRPr="00CE1F02">
        <w:rPr>
          <w:rFonts w:ascii="Verdana" w:hAnsi="Verdana"/>
          <w:color w:val="000000" w:themeColor="text1"/>
          <w:sz w:val="20"/>
          <w:szCs w:val="20"/>
        </w:rPr>
        <w:t xml:space="preserve">La </w:t>
      </w:r>
      <w:r w:rsidRPr="00CE1F02">
        <w:rPr>
          <w:rFonts w:ascii="Verdana" w:hAnsi="Verdana"/>
          <w:b/>
          <w:bCs/>
          <w:i/>
          <w:iCs/>
          <w:color w:val="000000" w:themeColor="text1"/>
          <w:sz w:val="20"/>
          <w:szCs w:val="20"/>
        </w:rPr>
        <w:t>Corte</w:t>
      </w:r>
      <w:r w:rsidRPr="00CE1F02">
        <w:rPr>
          <w:rFonts w:ascii="Verdana" w:hAnsi="Verdana"/>
          <w:color w:val="000000" w:themeColor="text1"/>
          <w:sz w:val="20"/>
          <w:szCs w:val="20"/>
        </w:rPr>
        <w:t xml:space="preserve"> advierte que la solicitud de interpretación realizada por </w:t>
      </w:r>
      <w:r w:rsidR="00CE1F02">
        <w:rPr>
          <w:rFonts w:ascii="Verdana" w:hAnsi="Verdana"/>
          <w:color w:val="000000" w:themeColor="text1"/>
          <w:sz w:val="20"/>
          <w:szCs w:val="20"/>
        </w:rPr>
        <w:t xml:space="preserve">la representante Meneses Huayra se centra en que la Corte determine si el subgrupo de víctimas </w:t>
      </w:r>
      <w:r w:rsidR="00F2212E">
        <w:rPr>
          <w:rFonts w:ascii="Verdana" w:hAnsi="Verdana"/>
          <w:color w:val="000000" w:themeColor="text1"/>
          <w:sz w:val="20"/>
          <w:szCs w:val="20"/>
        </w:rPr>
        <w:t>(</w:t>
      </w:r>
      <w:r w:rsidR="006811AE">
        <w:rPr>
          <w:rFonts w:ascii="Verdana" w:hAnsi="Verdana"/>
          <w:color w:val="000000" w:themeColor="text1"/>
          <w:sz w:val="20"/>
          <w:szCs w:val="20"/>
        </w:rPr>
        <w:t>identificadas</w:t>
      </w:r>
      <w:r w:rsidR="00F2212E">
        <w:rPr>
          <w:rFonts w:ascii="Verdana" w:hAnsi="Verdana"/>
          <w:color w:val="000000" w:themeColor="text1"/>
          <w:sz w:val="20"/>
          <w:szCs w:val="20"/>
        </w:rPr>
        <w:t xml:space="preserve"> </w:t>
      </w:r>
      <w:r w:rsidR="00CE1F02">
        <w:rPr>
          <w:rFonts w:ascii="Verdana" w:hAnsi="Verdana"/>
          <w:color w:val="000000" w:themeColor="text1"/>
          <w:sz w:val="20"/>
          <w:szCs w:val="20"/>
        </w:rPr>
        <w:t>en el Anexo III</w:t>
      </w:r>
      <w:r w:rsidR="00F2212E">
        <w:rPr>
          <w:rFonts w:ascii="Verdana" w:hAnsi="Verdana"/>
          <w:color w:val="000000" w:themeColor="text1"/>
          <w:sz w:val="20"/>
          <w:szCs w:val="20"/>
        </w:rPr>
        <w:t xml:space="preserve"> de la Sentencia)</w:t>
      </w:r>
      <w:r w:rsidR="00CE1F02">
        <w:rPr>
          <w:rFonts w:ascii="Verdana" w:hAnsi="Verdana"/>
          <w:color w:val="000000" w:themeColor="text1"/>
          <w:sz w:val="20"/>
          <w:szCs w:val="20"/>
        </w:rPr>
        <w:t xml:space="preserve"> que</w:t>
      </w:r>
      <w:r w:rsidR="006811AE">
        <w:rPr>
          <w:rFonts w:ascii="Verdana" w:hAnsi="Verdana"/>
          <w:color w:val="000000" w:themeColor="text1"/>
          <w:sz w:val="20"/>
          <w:szCs w:val="20"/>
        </w:rPr>
        <w:t xml:space="preserve"> n</w:t>
      </w:r>
      <w:r w:rsidR="00CE1F02">
        <w:rPr>
          <w:rFonts w:ascii="Verdana" w:hAnsi="Verdana"/>
          <w:color w:val="000000" w:themeColor="text1"/>
          <w:sz w:val="20"/>
          <w:szCs w:val="20"/>
        </w:rPr>
        <w:t xml:space="preserve">o continuó judicializando el reclamo por la correcta liquidación </w:t>
      </w:r>
      <w:r w:rsidR="00CE1F02" w:rsidRPr="008B7099">
        <w:rPr>
          <w:rFonts w:ascii="Verdana" w:hAnsi="Verdana"/>
          <w:color w:val="000000" w:themeColor="text1"/>
          <w:sz w:val="20"/>
          <w:szCs w:val="20"/>
        </w:rPr>
        <w:t xml:space="preserve">del a) incremento adicional de las remuneraciones, b) el reintegro de derechos y beneficios sociales, c) el pago de la campaña escolar y </w:t>
      </w:r>
      <w:r w:rsidR="006811AE">
        <w:rPr>
          <w:rFonts w:ascii="Verdana" w:hAnsi="Verdana"/>
          <w:color w:val="000000" w:themeColor="text1"/>
          <w:sz w:val="20"/>
          <w:szCs w:val="20"/>
        </w:rPr>
        <w:t xml:space="preserve">c) </w:t>
      </w:r>
      <w:r w:rsidR="00CE1F02" w:rsidRPr="008B7099">
        <w:rPr>
          <w:rFonts w:ascii="Verdana" w:hAnsi="Verdana"/>
          <w:color w:val="000000" w:themeColor="text1"/>
          <w:sz w:val="20"/>
          <w:szCs w:val="20"/>
        </w:rPr>
        <w:t xml:space="preserve">de los </w:t>
      </w:r>
      <w:r w:rsidR="00CE1F02">
        <w:rPr>
          <w:rFonts w:ascii="Verdana" w:hAnsi="Verdana"/>
          <w:color w:val="000000" w:themeColor="text1"/>
          <w:sz w:val="20"/>
          <w:szCs w:val="20"/>
        </w:rPr>
        <w:t>intereses</w:t>
      </w:r>
      <w:r w:rsidR="006811AE">
        <w:rPr>
          <w:rFonts w:ascii="Verdana" w:hAnsi="Verdana"/>
          <w:color w:val="000000" w:themeColor="text1"/>
          <w:sz w:val="20"/>
          <w:szCs w:val="20"/>
        </w:rPr>
        <w:t xml:space="preserve"> que legalmente correspondan</w:t>
      </w:r>
      <w:r w:rsidR="00CE1F02">
        <w:rPr>
          <w:rFonts w:ascii="Verdana" w:hAnsi="Verdana"/>
          <w:color w:val="000000" w:themeColor="text1"/>
          <w:sz w:val="20"/>
          <w:szCs w:val="20"/>
        </w:rPr>
        <w:t xml:space="preserve">, tiene </w:t>
      </w:r>
      <w:r w:rsidR="006811AE">
        <w:rPr>
          <w:rFonts w:ascii="Verdana" w:hAnsi="Verdana"/>
          <w:color w:val="000000" w:themeColor="text1"/>
          <w:sz w:val="20"/>
          <w:szCs w:val="20"/>
        </w:rPr>
        <w:t xml:space="preserve">actualmente </w:t>
      </w:r>
      <w:r w:rsidR="00CE1F02">
        <w:rPr>
          <w:rFonts w:ascii="Verdana" w:hAnsi="Verdana"/>
          <w:color w:val="000000" w:themeColor="text1"/>
          <w:sz w:val="20"/>
          <w:szCs w:val="20"/>
        </w:rPr>
        <w:t xml:space="preserve">derecho a reclamar ante las autoridades judiciales internas dichas cantidades. </w:t>
      </w:r>
    </w:p>
    <w:p w14:paraId="79240B47" w14:textId="77777777" w:rsidR="00CE1F02" w:rsidRPr="00CE1F02" w:rsidRDefault="00CE1F02" w:rsidP="00CE1F02">
      <w:pPr>
        <w:pStyle w:val="Prrafodelista"/>
        <w:spacing w:after="0" w:line="240" w:lineRule="auto"/>
        <w:ind w:left="0"/>
        <w:jc w:val="both"/>
        <w:rPr>
          <w:rFonts w:ascii="Verdana" w:hAnsi="Verdana"/>
          <w:b/>
          <w:color w:val="000000" w:themeColor="text1"/>
          <w:sz w:val="20"/>
          <w:szCs w:val="20"/>
        </w:rPr>
      </w:pPr>
    </w:p>
    <w:p w14:paraId="747F34C8" w14:textId="702D44F2" w:rsidR="00697633" w:rsidRPr="00697633" w:rsidRDefault="00CE1F02" w:rsidP="00030E4B">
      <w:pPr>
        <w:pStyle w:val="Prrafodelista"/>
        <w:numPr>
          <w:ilvl w:val="0"/>
          <w:numId w:val="1"/>
        </w:numPr>
        <w:spacing w:after="0" w:line="240" w:lineRule="auto"/>
        <w:ind w:left="0" w:firstLine="0"/>
        <w:jc w:val="both"/>
        <w:rPr>
          <w:rFonts w:ascii="Verdana" w:hAnsi="Verdana"/>
          <w:b/>
          <w:color w:val="000000" w:themeColor="text1"/>
          <w:sz w:val="20"/>
          <w:szCs w:val="20"/>
        </w:rPr>
      </w:pPr>
      <w:r w:rsidRPr="00F2212E">
        <w:rPr>
          <w:rFonts w:ascii="Verdana" w:hAnsi="Verdana"/>
          <w:color w:val="000000" w:themeColor="text1"/>
          <w:sz w:val="20"/>
          <w:szCs w:val="20"/>
        </w:rPr>
        <w:t>El Tribunal advierte</w:t>
      </w:r>
      <w:r w:rsidR="00F2212E" w:rsidRPr="00F2212E">
        <w:rPr>
          <w:rFonts w:ascii="Verdana" w:hAnsi="Verdana"/>
          <w:color w:val="000000" w:themeColor="text1"/>
          <w:sz w:val="20"/>
          <w:szCs w:val="20"/>
        </w:rPr>
        <w:t xml:space="preserve"> que dicha cuestión excede del marco fáctico</w:t>
      </w:r>
      <w:r w:rsidR="00EA69C5">
        <w:rPr>
          <w:rFonts w:ascii="Verdana" w:hAnsi="Verdana"/>
          <w:color w:val="000000" w:themeColor="text1"/>
          <w:sz w:val="20"/>
          <w:szCs w:val="20"/>
        </w:rPr>
        <w:t xml:space="preserve"> analizado por la Corte en la Sentencia</w:t>
      </w:r>
      <w:r w:rsidR="00F2212E" w:rsidRPr="00F2212E">
        <w:rPr>
          <w:rFonts w:ascii="Verdana" w:hAnsi="Verdana"/>
          <w:color w:val="000000" w:themeColor="text1"/>
          <w:sz w:val="20"/>
          <w:szCs w:val="20"/>
        </w:rPr>
        <w:t xml:space="preserve">, </w:t>
      </w:r>
      <w:r w:rsidR="00F2212E">
        <w:rPr>
          <w:rFonts w:ascii="Verdana" w:hAnsi="Verdana"/>
          <w:color w:val="000000" w:themeColor="text1"/>
          <w:sz w:val="20"/>
          <w:szCs w:val="20"/>
        </w:rPr>
        <w:t xml:space="preserve">consistente en (i) el proceso interno con respecto a la </w:t>
      </w:r>
      <w:r w:rsidR="00F2212E" w:rsidRPr="007311BD">
        <w:rPr>
          <w:rFonts w:ascii="Verdana" w:hAnsi="Verdana"/>
          <w:color w:val="000000" w:themeColor="text1"/>
          <w:sz w:val="20"/>
          <w:szCs w:val="20"/>
        </w:rPr>
        <w:t>totalidad de las víctimas</w:t>
      </w:r>
      <w:r w:rsidR="00F2212E">
        <w:rPr>
          <w:rFonts w:ascii="Verdana" w:hAnsi="Verdana"/>
          <w:color w:val="000000" w:themeColor="text1"/>
          <w:sz w:val="20"/>
          <w:szCs w:val="20"/>
        </w:rPr>
        <w:t xml:space="preserve"> </w:t>
      </w:r>
      <w:r w:rsidR="006811AE">
        <w:rPr>
          <w:rFonts w:ascii="Verdana" w:hAnsi="Verdana"/>
          <w:color w:val="000000" w:themeColor="text1"/>
          <w:sz w:val="20"/>
          <w:szCs w:val="20"/>
        </w:rPr>
        <w:t xml:space="preserve">(identificado en el Anexo I de la Sentencia) </w:t>
      </w:r>
      <w:r w:rsidR="005C38A3">
        <w:rPr>
          <w:rFonts w:ascii="Verdana" w:hAnsi="Verdana"/>
          <w:color w:val="000000" w:themeColor="text1"/>
          <w:sz w:val="20"/>
          <w:szCs w:val="20"/>
        </w:rPr>
        <w:t xml:space="preserve">con </w:t>
      </w:r>
      <w:r w:rsidR="006811AE">
        <w:rPr>
          <w:rFonts w:ascii="Verdana" w:hAnsi="Verdana"/>
          <w:color w:val="000000" w:themeColor="text1"/>
          <w:sz w:val="20"/>
          <w:szCs w:val="20"/>
        </w:rPr>
        <w:t>relación al</w:t>
      </w:r>
      <w:r w:rsidR="00F2212E" w:rsidRPr="00F2212E">
        <w:rPr>
          <w:rFonts w:ascii="Verdana" w:hAnsi="Verdana"/>
          <w:color w:val="000000" w:themeColor="text1"/>
          <w:sz w:val="20"/>
          <w:szCs w:val="20"/>
        </w:rPr>
        <w:t xml:space="preserve"> incumplimiento</w:t>
      </w:r>
      <w:r w:rsidR="006811AE">
        <w:rPr>
          <w:rFonts w:ascii="Verdana" w:hAnsi="Verdana"/>
          <w:color w:val="000000" w:themeColor="text1"/>
          <w:sz w:val="20"/>
          <w:szCs w:val="20"/>
        </w:rPr>
        <w:t xml:space="preserve"> estatal</w:t>
      </w:r>
      <w:r w:rsidR="00F2212E" w:rsidRPr="00F2212E">
        <w:rPr>
          <w:rFonts w:ascii="Verdana" w:hAnsi="Verdana"/>
          <w:color w:val="000000" w:themeColor="text1"/>
          <w:sz w:val="20"/>
          <w:szCs w:val="20"/>
        </w:rPr>
        <w:t xml:space="preserve"> en la ejecución de la sentencia de 12 de febrero de 1992</w:t>
      </w:r>
      <w:r w:rsidR="00F2212E">
        <w:rPr>
          <w:rFonts w:ascii="Verdana" w:hAnsi="Verdana"/>
          <w:color w:val="000000" w:themeColor="text1"/>
          <w:sz w:val="20"/>
          <w:szCs w:val="20"/>
        </w:rPr>
        <w:t>,</w:t>
      </w:r>
      <w:r w:rsidR="00F2212E" w:rsidRPr="00F2212E">
        <w:rPr>
          <w:rFonts w:ascii="Verdana" w:hAnsi="Verdana"/>
          <w:color w:val="000000" w:themeColor="text1"/>
          <w:sz w:val="20"/>
          <w:szCs w:val="20"/>
        </w:rPr>
        <w:t xml:space="preserve"> así </w:t>
      </w:r>
      <w:r w:rsidR="00F2212E">
        <w:rPr>
          <w:rFonts w:ascii="Verdana" w:hAnsi="Verdana"/>
          <w:color w:val="000000" w:themeColor="text1"/>
          <w:sz w:val="20"/>
          <w:szCs w:val="20"/>
        </w:rPr>
        <w:t xml:space="preserve">(ii) </w:t>
      </w:r>
      <w:r w:rsidR="00F2212E" w:rsidRPr="00F2212E">
        <w:rPr>
          <w:rFonts w:ascii="Verdana" w:hAnsi="Verdana"/>
          <w:color w:val="000000" w:themeColor="text1"/>
          <w:sz w:val="20"/>
          <w:szCs w:val="20"/>
        </w:rPr>
        <w:t xml:space="preserve">como </w:t>
      </w:r>
      <w:r w:rsidR="00F2212E">
        <w:rPr>
          <w:rFonts w:ascii="Verdana" w:hAnsi="Verdana"/>
          <w:color w:val="000000" w:themeColor="text1"/>
          <w:sz w:val="20"/>
          <w:szCs w:val="20"/>
        </w:rPr>
        <w:t xml:space="preserve">el posterior proceso interno </w:t>
      </w:r>
      <w:r w:rsidR="006811AE">
        <w:rPr>
          <w:rFonts w:ascii="Verdana" w:hAnsi="Verdana"/>
          <w:color w:val="000000" w:themeColor="text1"/>
          <w:sz w:val="20"/>
          <w:szCs w:val="20"/>
        </w:rPr>
        <w:t>seguido por</w:t>
      </w:r>
      <w:r w:rsidR="00F2212E">
        <w:rPr>
          <w:rFonts w:ascii="Verdana" w:hAnsi="Verdana"/>
          <w:color w:val="000000" w:themeColor="text1"/>
          <w:sz w:val="20"/>
          <w:szCs w:val="20"/>
        </w:rPr>
        <w:t xml:space="preserve"> un </w:t>
      </w:r>
      <w:r w:rsidR="00F2212E" w:rsidRPr="00F2212E">
        <w:rPr>
          <w:rFonts w:ascii="Verdana" w:hAnsi="Verdana"/>
          <w:color w:val="000000" w:themeColor="text1"/>
          <w:sz w:val="20"/>
          <w:szCs w:val="20"/>
        </w:rPr>
        <w:t xml:space="preserve">subgrupo </w:t>
      </w:r>
      <w:r w:rsidR="00F2212E">
        <w:rPr>
          <w:rFonts w:ascii="Verdana" w:hAnsi="Verdana"/>
          <w:color w:val="000000" w:themeColor="text1"/>
          <w:sz w:val="20"/>
          <w:szCs w:val="20"/>
        </w:rPr>
        <w:t xml:space="preserve">de víctimas (identificado en el Anexo II de la Sentencia) </w:t>
      </w:r>
      <w:r w:rsidR="00F2212E" w:rsidRPr="00F2212E">
        <w:rPr>
          <w:rFonts w:ascii="Verdana" w:hAnsi="Verdana"/>
          <w:color w:val="000000" w:themeColor="text1"/>
          <w:sz w:val="20"/>
          <w:szCs w:val="20"/>
        </w:rPr>
        <w:t xml:space="preserve">que </w:t>
      </w:r>
      <w:r w:rsidR="006811AE">
        <w:rPr>
          <w:rFonts w:ascii="Verdana" w:hAnsi="Verdana"/>
          <w:color w:val="000000" w:themeColor="text1"/>
          <w:sz w:val="20"/>
          <w:szCs w:val="20"/>
        </w:rPr>
        <w:t xml:space="preserve">sí </w:t>
      </w:r>
      <w:r w:rsidR="00F2212E" w:rsidRPr="00F2212E">
        <w:rPr>
          <w:rFonts w:ascii="Verdana" w:hAnsi="Verdana"/>
          <w:color w:val="000000" w:themeColor="text1"/>
          <w:sz w:val="20"/>
          <w:szCs w:val="20"/>
        </w:rPr>
        <w:t xml:space="preserve">continuó judicializando </w:t>
      </w:r>
      <w:r w:rsidR="00F2212E">
        <w:rPr>
          <w:rFonts w:ascii="Verdana" w:hAnsi="Verdana"/>
          <w:color w:val="000000" w:themeColor="text1"/>
          <w:sz w:val="20"/>
          <w:szCs w:val="20"/>
        </w:rPr>
        <w:t>el</w:t>
      </w:r>
      <w:r w:rsidR="00F2212E" w:rsidRPr="00F2212E">
        <w:rPr>
          <w:rFonts w:ascii="Verdana" w:hAnsi="Verdana"/>
          <w:color w:val="000000" w:themeColor="text1"/>
          <w:sz w:val="20"/>
          <w:szCs w:val="20"/>
        </w:rPr>
        <w:t xml:space="preserve"> reclamo por la correcta liquidación </w:t>
      </w:r>
      <w:r w:rsidR="00F2212E">
        <w:rPr>
          <w:rFonts w:ascii="Verdana" w:hAnsi="Verdana"/>
          <w:color w:val="000000" w:themeColor="text1"/>
          <w:sz w:val="20"/>
          <w:szCs w:val="20"/>
        </w:rPr>
        <w:t xml:space="preserve">del </w:t>
      </w:r>
      <w:r w:rsidR="00F2212E" w:rsidRPr="00F2212E">
        <w:rPr>
          <w:rFonts w:ascii="Verdana" w:hAnsi="Verdana"/>
          <w:color w:val="000000" w:themeColor="text1"/>
          <w:sz w:val="20"/>
          <w:szCs w:val="20"/>
        </w:rPr>
        <w:t>a) incremento adicional de las remuneraciones, b) reintegro de derechos y beneficios sociales, c) pago de la campaña escolar y d)</w:t>
      </w:r>
      <w:r w:rsidR="005C38A3">
        <w:rPr>
          <w:rFonts w:ascii="Verdana" w:hAnsi="Verdana"/>
          <w:color w:val="000000" w:themeColor="text1"/>
          <w:sz w:val="20"/>
          <w:szCs w:val="20"/>
        </w:rPr>
        <w:t xml:space="preserve"> de</w:t>
      </w:r>
      <w:r w:rsidR="00F2212E" w:rsidRPr="00F2212E">
        <w:rPr>
          <w:rFonts w:ascii="Verdana" w:hAnsi="Verdana"/>
          <w:color w:val="000000" w:themeColor="text1"/>
          <w:sz w:val="20"/>
          <w:szCs w:val="20"/>
        </w:rPr>
        <w:t xml:space="preserve"> los intereses que legalmente correspondan</w:t>
      </w:r>
      <w:r w:rsidR="00F2212E">
        <w:rPr>
          <w:rFonts w:ascii="Verdana" w:hAnsi="Verdana"/>
          <w:color w:val="000000" w:themeColor="text1"/>
          <w:sz w:val="20"/>
          <w:szCs w:val="20"/>
        </w:rPr>
        <w:t>.</w:t>
      </w:r>
      <w:r w:rsidR="00697633">
        <w:rPr>
          <w:rFonts w:ascii="Verdana" w:hAnsi="Verdana"/>
          <w:color w:val="000000" w:themeColor="text1"/>
          <w:sz w:val="20"/>
          <w:szCs w:val="20"/>
        </w:rPr>
        <w:t xml:space="preserve"> </w:t>
      </w:r>
    </w:p>
    <w:p w14:paraId="4F18C1E2" w14:textId="77777777" w:rsidR="00697633" w:rsidRPr="00697633" w:rsidRDefault="00697633" w:rsidP="00697633">
      <w:pPr>
        <w:pStyle w:val="Prrafodelista"/>
        <w:rPr>
          <w:rFonts w:ascii="Verdana" w:hAnsi="Verdana"/>
          <w:color w:val="000000" w:themeColor="text1"/>
          <w:sz w:val="20"/>
          <w:szCs w:val="20"/>
        </w:rPr>
      </w:pPr>
    </w:p>
    <w:p w14:paraId="33EF83EF" w14:textId="695655EE" w:rsidR="00030E4B" w:rsidRPr="00697633" w:rsidRDefault="00EA69C5" w:rsidP="00EA69C5">
      <w:pPr>
        <w:pStyle w:val="Prrafodelista"/>
        <w:numPr>
          <w:ilvl w:val="0"/>
          <w:numId w:val="1"/>
        </w:numPr>
        <w:spacing w:after="0" w:line="240" w:lineRule="auto"/>
        <w:ind w:left="0" w:firstLine="0"/>
        <w:jc w:val="both"/>
        <w:rPr>
          <w:rFonts w:ascii="Verdana" w:hAnsi="Verdana"/>
          <w:b/>
          <w:color w:val="000000" w:themeColor="text1"/>
          <w:sz w:val="20"/>
          <w:szCs w:val="20"/>
        </w:rPr>
      </w:pPr>
      <w:r w:rsidRPr="008B7099">
        <w:rPr>
          <w:rFonts w:ascii="Verdana" w:hAnsi="Verdana"/>
          <w:color w:val="000000" w:themeColor="text1"/>
          <w:sz w:val="20"/>
          <w:szCs w:val="20"/>
        </w:rPr>
        <w:t xml:space="preserve">En este sentido, la Corte advierte que, bajo la apariencia de una solicitud de interpretación, la </w:t>
      </w:r>
      <w:r>
        <w:rPr>
          <w:rFonts w:ascii="Verdana" w:hAnsi="Verdana"/>
          <w:color w:val="000000" w:themeColor="text1"/>
          <w:sz w:val="20"/>
          <w:szCs w:val="20"/>
        </w:rPr>
        <w:t xml:space="preserve">representante </w:t>
      </w:r>
      <w:r w:rsidR="006466E2">
        <w:rPr>
          <w:rFonts w:ascii="Verdana" w:hAnsi="Verdana"/>
          <w:color w:val="000000" w:themeColor="text1"/>
          <w:sz w:val="20"/>
          <w:szCs w:val="20"/>
        </w:rPr>
        <w:t>M</w:t>
      </w:r>
      <w:r>
        <w:rPr>
          <w:rFonts w:ascii="Verdana" w:hAnsi="Verdana"/>
          <w:color w:val="000000" w:themeColor="text1"/>
          <w:sz w:val="20"/>
          <w:szCs w:val="20"/>
        </w:rPr>
        <w:t xml:space="preserve">eneses Huayra </w:t>
      </w:r>
      <w:r w:rsidRPr="008B7099">
        <w:rPr>
          <w:rFonts w:ascii="Verdana" w:hAnsi="Verdana"/>
          <w:color w:val="000000" w:themeColor="text1"/>
          <w:sz w:val="20"/>
          <w:szCs w:val="20"/>
        </w:rPr>
        <w:t xml:space="preserve">pretende </w:t>
      </w:r>
      <w:r w:rsidR="007311BD">
        <w:rPr>
          <w:rFonts w:ascii="Verdana" w:hAnsi="Verdana"/>
          <w:color w:val="000000" w:themeColor="text1"/>
          <w:sz w:val="20"/>
          <w:szCs w:val="20"/>
        </w:rPr>
        <w:t>un</w:t>
      </w:r>
      <w:r>
        <w:rPr>
          <w:rFonts w:ascii="Verdana" w:hAnsi="Verdana"/>
          <w:color w:val="000000" w:themeColor="text1"/>
          <w:sz w:val="20"/>
          <w:szCs w:val="20"/>
        </w:rPr>
        <w:t xml:space="preserve"> análisis de hechos y de alegatos que no hacen </w:t>
      </w:r>
      <w:r>
        <w:rPr>
          <w:rFonts w:ascii="Verdana" w:hAnsi="Verdana"/>
          <w:color w:val="000000" w:themeColor="text1"/>
          <w:sz w:val="20"/>
          <w:szCs w:val="20"/>
        </w:rPr>
        <w:lastRenderedPageBreak/>
        <w:t xml:space="preserve">parte del caso resuelto por la Corte, </w:t>
      </w:r>
      <w:r w:rsidRPr="008B7099">
        <w:rPr>
          <w:rFonts w:ascii="Verdana" w:hAnsi="Verdana"/>
          <w:color w:val="000000" w:themeColor="text1"/>
          <w:sz w:val="20"/>
          <w:szCs w:val="20"/>
        </w:rPr>
        <w:t xml:space="preserve">cuestión que excede el ámbito </w:t>
      </w:r>
      <w:r>
        <w:rPr>
          <w:rFonts w:ascii="Verdana" w:hAnsi="Verdana"/>
          <w:color w:val="000000" w:themeColor="text1"/>
          <w:sz w:val="20"/>
          <w:szCs w:val="20"/>
        </w:rPr>
        <w:t xml:space="preserve">de una sentencia de interpretación. </w:t>
      </w:r>
      <w:r w:rsidR="007311BD">
        <w:rPr>
          <w:rFonts w:ascii="Verdana" w:hAnsi="Verdana"/>
          <w:color w:val="000000" w:themeColor="text1"/>
          <w:sz w:val="20"/>
          <w:szCs w:val="20"/>
        </w:rPr>
        <w:t>En suma, e</w:t>
      </w:r>
      <w:r>
        <w:rPr>
          <w:rFonts w:ascii="Verdana" w:hAnsi="Verdana"/>
          <w:color w:val="000000" w:themeColor="text1"/>
          <w:sz w:val="20"/>
          <w:szCs w:val="20"/>
        </w:rPr>
        <w:t xml:space="preserve">l </w:t>
      </w:r>
      <w:r w:rsidR="00F2212E" w:rsidRPr="00697633">
        <w:rPr>
          <w:rFonts w:ascii="Verdana" w:hAnsi="Verdana"/>
          <w:color w:val="000000" w:themeColor="text1"/>
          <w:sz w:val="20"/>
          <w:szCs w:val="20"/>
        </w:rPr>
        <w:t xml:space="preserve">Tribunal no puede pronunciarse sobre </w:t>
      </w:r>
      <w:r w:rsidR="00F2212E" w:rsidRPr="00697633">
        <w:rPr>
          <w:rFonts w:ascii="Verdana" w:hAnsi="Verdana"/>
          <w:bCs/>
          <w:color w:val="000000" w:themeColor="text1"/>
          <w:sz w:val="20"/>
          <w:szCs w:val="20"/>
        </w:rPr>
        <w:t>las</w:t>
      </w:r>
      <w:r w:rsidR="00F52525" w:rsidRPr="00697633">
        <w:rPr>
          <w:rFonts w:ascii="Verdana" w:hAnsi="Verdana"/>
          <w:bCs/>
          <w:color w:val="000000" w:themeColor="text1"/>
          <w:sz w:val="20"/>
          <w:szCs w:val="20"/>
        </w:rPr>
        <w:t xml:space="preserve"> eventuales acciones que </w:t>
      </w:r>
      <w:r w:rsidR="00F2212E" w:rsidRPr="00697633">
        <w:rPr>
          <w:rFonts w:ascii="Verdana" w:hAnsi="Verdana"/>
          <w:bCs/>
          <w:color w:val="000000" w:themeColor="text1"/>
          <w:sz w:val="20"/>
          <w:szCs w:val="20"/>
        </w:rPr>
        <w:t xml:space="preserve">el subgrupo de víctimas </w:t>
      </w:r>
      <w:r w:rsidR="00697633" w:rsidRPr="00697633">
        <w:rPr>
          <w:rFonts w:ascii="Verdana" w:hAnsi="Verdana"/>
          <w:bCs/>
          <w:color w:val="000000" w:themeColor="text1"/>
          <w:sz w:val="20"/>
          <w:szCs w:val="20"/>
        </w:rPr>
        <w:t>identificado</w:t>
      </w:r>
      <w:r w:rsidR="00F2212E" w:rsidRPr="00697633">
        <w:rPr>
          <w:rFonts w:ascii="Verdana" w:hAnsi="Verdana"/>
          <w:bCs/>
          <w:color w:val="000000" w:themeColor="text1"/>
          <w:sz w:val="20"/>
          <w:szCs w:val="20"/>
        </w:rPr>
        <w:t xml:space="preserve"> en el Anexo II</w:t>
      </w:r>
      <w:r w:rsidR="00697633" w:rsidRPr="00697633">
        <w:rPr>
          <w:rFonts w:ascii="Verdana" w:hAnsi="Verdana"/>
          <w:bCs/>
          <w:color w:val="000000" w:themeColor="text1"/>
          <w:sz w:val="20"/>
          <w:szCs w:val="20"/>
        </w:rPr>
        <w:t xml:space="preserve">I </w:t>
      </w:r>
      <w:r w:rsidR="00184857">
        <w:rPr>
          <w:rFonts w:ascii="Verdana" w:hAnsi="Verdana"/>
          <w:bCs/>
          <w:color w:val="000000" w:themeColor="text1"/>
          <w:sz w:val="20"/>
          <w:szCs w:val="20"/>
        </w:rPr>
        <w:t xml:space="preserve">de la Sentencia </w:t>
      </w:r>
      <w:r w:rsidR="00697633" w:rsidRPr="00697633">
        <w:rPr>
          <w:rFonts w:ascii="Verdana" w:hAnsi="Verdana"/>
          <w:bCs/>
          <w:color w:val="000000" w:themeColor="text1"/>
          <w:sz w:val="20"/>
          <w:szCs w:val="20"/>
        </w:rPr>
        <w:t>podría realizar en sede interna a</w:t>
      </w:r>
      <w:r w:rsidR="009852CA">
        <w:rPr>
          <w:rFonts w:ascii="Verdana" w:hAnsi="Verdana"/>
          <w:bCs/>
          <w:color w:val="000000" w:themeColor="text1"/>
          <w:sz w:val="20"/>
          <w:szCs w:val="20"/>
        </w:rPr>
        <w:t>l</w:t>
      </w:r>
      <w:r w:rsidR="00697633" w:rsidRPr="00697633">
        <w:rPr>
          <w:rFonts w:ascii="Verdana" w:hAnsi="Verdana"/>
          <w:bCs/>
          <w:color w:val="000000" w:themeColor="text1"/>
          <w:sz w:val="20"/>
          <w:szCs w:val="20"/>
        </w:rPr>
        <w:t xml:space="preserve"> día de hoy</w:t>
      </w:r>
      <w:r w:rsidR="00F52525" w:rsidRPr="00697633">
        <w:rPr>
          <w:rFonts w:ascii="Verdana" w:hAnsi="Verdana"/>
          <w:bCs/>
          <w:color w:val="000000" w:themeColor="text1"/>
          <w:sz w:val="20"/>
          <w:szCs w:val="20"/>
        </w:rPr>
        <w:t>, toda vez que</w:t>
      </w:r>
      <w:r w:rsidR="007311BD">
        <w:rPr>
          <w:rFonts w:ascii="Verdana" w:hAnsi="Verdana"/>
          <w:bCs/>
          <w:color w:val="000000" w:themeColor="text1"/>
          <w:sz w:val="20"/>
          <w:szCs w:val="20"/>
        </w:rPr>
        <w:t>, como ya se indicó,</w:t>
      </w:r>
      <w:r w:rsidR="00F52525" w:rsidRPr="00697633">
        <w:rPr>
          <w:rFonts w:ascii="Verdana" w:hAnsi="Verdana"/>
          <w:bCs/>
          <w:color w:val="000000" w:themeColor="text1"/>
          <w:sz w:val="20"/>
          <w:szCs w:val="20"/>
        </w:rPr>
        <w:t xml:space="preserve"> </w:t>
      </w:r>
      <w:r w:rsidR="00184857" w:rsidRPr="00697633">
        <w:rPr>
          <w:rFonts w:ascii="Verdana" w:hAnsi="Verdana"/>
          <w:bCs/>
          <w:color w:val="000000" w:themeColor="text1"/>
          <w:sz w:val="20"/>
          <w:szCs w:val="20"/>
        </w:rPr>
        <w:t xml:space="preserve">no entra dentro del marco fáctico de la Sentencia </w:t>
      </w:r>
      <w:r w:rsidR="00184857">
        <w:rPr>
          <w:rFonts w:ascii="Verdana" w:hAnsi="Verdana"/>
          <w:bCs/>
          <w:color w:val="000000" w:themeColor="text1"/>
          <w:sz w:val="20"/>
          <w:szCs w:val="20"/>
        </w:rPr>
        <w:t>y, constituye, además, u</w:t>
      </w:r>
      <w:r w:rsidR="00697633" w:rsidRPr="00697633">
        <w:rPr>
          <w:rFonts w:ascii="Verdana" w:hAnsi="Verdana"/>
          <w:bCs/>
          <w:color w:val="000000" w:themeColor="text1"/>
          <w:sz w:val="20"/>
          <w:szCs w:val="20"/>
        </w:rPr>
        <w:t xml:space="preserve">na cuestión </w:t>
      </w:r>
      <w:r w:rsidR="00184857">
        <w:rPr>
          <w:rFonts w:ascii="Verdana" w:hAnsi="Verdana"/>
          <w:bCs/>
          <w:color w:val="000000" w:themeColor="text1"/>
          <w:sz w:val="20"/>
          <w:szCs w:val="20"/>
        </w:rPr>
        <w:t xml:space="preserve">estrictamente </w:t>
      </w:r>
      <w:r w:rsidR="00697633" w:rsidRPr="00697633">
        <w:rPr>
          <w:rFonts w:ascii="Verdana" w:hAnsi="Verdana"/>
          <w:bCs/>
          <w:color w:val="000000" w:themeColor="text1"/>
          <w:sz w:val="20"/>
          <w:szCs w:val="20"/>
        </w:rPr>
        <w:t xml:space="preserve">de </w:t>
      </w:r>
      <w:r w:rsidR="00F52525" w:rsidRPr="00697633">
        <w:rPr>
          <w:rFonts w:ascii="Verdana" w:hAnsi="Verdana"/>
          <w:bCs/>
          <w:color w:val="000000" w:themeColor="text1"/>
          <w:sz w:val="20"/>
          <w:szCs w:val="20"/>
        </w:rPr>
        <w:t>derecho interno.</w:t>
      </w:r>
      <w:r w:rsidR="00697633" w:rsidRPr="00697633">
        <w:rPr>
          <w:rFonts w:ascii="Verdana" w:hAnsi="Verdana"/>
          <w:bCs/>
          <w:color w:val="000000" w:themeColor="text1"/>
          <w:sz w:val="20"/>
          <w:szCs w:val="20"/>
        </w:rPr>
        <w:t xml:space="preserve"> </w:t>
      </w:r>
      <w:r w:rsidR="00697633" w:rsidRPr="00697633">
        <w:rPr>
          <w:rFonts w:ascii="Verdana" w:hAnsi="Verdana"/>
          <w:color w:val="000000" w:themeColor="text1"/>
          <w:sz w:val="20"/>
          <w:szCs w:val="20"/>
        </w:rPr>
        <w:t xml:space="preserve">En razón de lo anterior, este Tribunal considera que la solicitud </w:t>
      </w:r>
      <w:r w:rsidR="00697633">
        <w:rPr>
          <w:rFonts w:ascii="Verdana" w:hAnsi="Verdana"/>
          <w:color w:val="000000" w:themeColor="text1"/>
          <w:sz w:val="20"/>
          <w:szCs w:val="20"/>
        </w:rPr>
        <w:t>de la representante Meneses Huayra es improcedente.</w:t>
      </w:r>
    </w:p>
    <w:p w14:paraId="27F72B0F" w14:textId="77777777" w:rsidR="00030E4B" w:rsidRPr="008B7099" w:rsidRDefault="00030E4B" w:rsidP="00030E4B">
      <w:pPr>
        <w:pStyle w:val="Prrafodelista"/>
        <w:spacing w:after="0" w:line="240" w:lineRule="auto"/>
        <w:ind w:left="0"/>
        <w:jc w:val="both"/>
        <w:rPr>
          <w:rFonts w:ascii="Verdana" w:hAnsi="Verdana"/>
          <w:color w:val="000000" w:themeColor="text1"/>
          <w:sz w:val="20"/>
          <w:szCs w:val="20"/>
        </w:rPr>
      </w:pPr>
    </w:p>
    <w:p w14:paraId="699CA4A1" w14:textId="77777777" w:rsidR="00A03487" w:rsidRPr="008B7099" w:rsidRDefault="00A03487" w:rsidP="00A03487">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V</w:t>
      </w:r>
    </w:p>
    <w:p w14:paraId="3964A050" w14:textId="77777777" w:rsidR="00A03487" w:rsidRPr="008B7099" w:rsidRDefault="00A03487" w:rsidP="00A03487">
      <w:pPr>
        <w:spacing w:after="0" w:line="240" w:lineRule="auto"/>
        <w:jc w:val="center"/>
        <w:rPr>
          <w:rFonts w:ascii="Verdana" w:hAnsi="Verdana"/>
          <w:b/>
          <w:color w:val="000000" w:themeColor="text1"/>
          <w:sz w:val="20"/>
          <w:szCs w:val="20"/>
        </w:rPr>
      </w:pPr>
      <w:r w:rsidRPr="008B7099">
        <w:rPr>
          <w:rFonts w:ascii="Verdana" w:hAnsi="Verdana"/>
          <w:b/>
          <w:color w:val="000000" w:themeColor="text1"/>
          <w:sz w:val="20"/>
          <w:szCs w:val="20"/>
        </w:rPr>
        <w:t>PUNTOS RESOLUTIVOS</w:t>
      </w:r>
    </w:p>
    <w:p w14:paraId="6466DF26" w14:textId="77777777" w:rsidR="00A03487" w:rsidRPr="008B7099" w:rsidRDefault="00A03487" w:rsidP="00A03487">
      <w:pPr>
        <w:spacing w:after="0" w:line="240" w:lineRule="auto"/>
        <w:rPr>
          <w:rFonts w:ascii="Verdana" w:hAnsi="Verdana"/>
          <w:color w:val="000000" w:themeColor="text1"/>
          <w:sz w:val="20"/>
          <w:szCs w:val="20"/>
        </w:rPr>
      </w:pPr>
    </w:p>
    <w:p w14:paraId="598B9696" w14:textId="77777777" w:rsidR="00A03487" w:rsidRPr="008B7099" w:rsidRDefault="00A03487" w:rsidP="006A044A">
      <w:pPr>
        <w:pStyle w:val="Prrafodelista"/>
        <w:numPr>
          <w:ilvl w:val="0"/>
          <w:numId w:val="1"/>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Por tanto,</w:t>
      </w:r>
    </w:p>
    <w:p w14:paraId="5B1CD3E7" w14:textId="77777777" w:rsidR="00A03487" w:rsidRPr="008B7099" w:rsidRDefault="00A03487" w:rsidP="00A03487">
      <w:pPr>
        <w:spacing w:after="0" w:line="240" w:lineRule="auto"/>
        <w:rPr>
          <w:rFonts w:ascii="Verdana" w:hAnsi="Verdana"/>
          <w:color w:val="000000" w:themeColor="text1"/>
          <w:sz w:val="20"/>
          <w:szCs w:val="20"/>
        </w:rPr>
      </w:pPr>
    </w:p>
    <w:p w14:paraId="7BFA35D5" w14:textId="77777777" w:rsidR="00A03487" w:rsidRPr="008B7099" w:rsidRDefault="00A03487" w:rsidP="00A03487">
      <w:pPr>
        <w:spacing w:after="0" w:line="240" w:lineRule="auto"/>
        <w:rPr>
          <w:rFonts w:ascii="Verdana" w:hAnsi="Verdana"/>
          <w:b/>
          <w:color w:val="000000" w:themeColor="text1"/>
          <w:sz w:val="20"/>
          <w:szCs w:val="20"/>
        </w:rPr>
      </w:pPr>
      <w:r w:rsidRPr="008B7099">
        <w:rPr>
          <w:rFonts w:ascii="Verdana" w:hAnsi="Verdana"/>
          <w:b/>
          <w:color w:val="000000" w:themeColor="text1"/>
          <w:sz w:val="20"/>
          <w:szCs w:val="20"/>
        </w:rPr>
        <w:t xml:space="preserve">LA CORTE, </w:t>
      </w:r>
    </w:p>
    <w:p w14:paraId="48F02251" w14:textId="77777777" w:rsidR="00A03487" w:rsidRPr="008B7099" w:rsidRDefault="00A03487" w:rsidP="00A03487">
      <w:pPr>
        <w:spacing w:after="0" w:line="240" w:lineRule="auto"/>
        <w:rPr>
          <w:rFonts w:ascii="Verdana" w:hAnsi="Verdana"/>
          <w:b/>
          <w:color w:val="000000" w:themeColor="text1"/>
          <w:sz w:val="20"/>
          <w:szCs w:val="20"/>
        </w:rPr>
      </w:pPr>
    </w:p>
    <w:p w14:paraId="3F6153AB" w14:textId="77777777" w:rsidR="00A03487" w:rsidRPr="008B7099" w:rsidRDefault="00A03487" w:rsidP="00A03487">
      <w:pPr>
        <w:spacing w:after="0" w:line="240" w:lineRule="auto"/>
        <w:rPr>
          <w:rFonts w:ascii="Verdana" w:hAnsi="Verdana"/>
          <w:color w:val="000000" w:themeColor="text1"/>
          <w:sz w:val="20"/>
          <w:szCs w:val="20"/>
        </w:rPr>
      </w:pPr>
      <w:r w:rsidRPr="008B7099">
        <w:rPr>
          <w:rFonts w:ascii="Verdana" w:hAnsi="Verdana"/>
          <w:color w:val="000000" w:themeColor="text1"/>
          <w:sz w:val="20"/>
          <w:szCs w:val="20"/>
        </w:rPr>
        <w:t>de conformidad con el artículo 67 de la Convención Americana sobre Derechos Humanos y los artículos 31.3 y 68 del Reglamento,</w:t>
      </w:r>
    </w:p>
    <w:p w14:paraId="13D3A396" w14:textId="77777777" w:rsidR="00A03487" w:rsidRPr="008B7099" w:rsidRDefault="00A03487" w:rsidP="00A03487">
      <w:pPr>
        <w:spacing w:after="0" w:line="240" w:lineRule="auto"/>
        <w:rPr>
          <w:rFonts w:ascii="Verdana" w:hAnsi="Verdana"/>
          <w:color w:val="000000" w:themeColor="text1"/>
          <w:sz w:val="20"/>
          <w:szCs w:val="20"/>
        </w:rPr>
      </w:pPr>
    </w:p>
    <w:p w14:paraId="39376A83" w14:textId="77777777" w:rsidR="00A03487" w:rsidRPr="008B7099" w:rsidRDefault="00A03487" w:rsidP="00A03487">
      <w:pPr>
        <w:spacing w:after="0" w:line="240" w:lineRule="auto"/>
        <w:rPr>
          <w:rFonts w:ascii="Verdana" w:hAnsi="Verdana"/>
          <w:b/>
          <w:color w:val="000000" w:themeColor="text1"/>
          <w:sz w:val="20"/>
          <w:szCs w:val="20"/>
        </w:rPr>
      </w:pPr>
      <w:r w:rsidRPr="008B7099">
        <w:rPr>
          <w:rFonts w:ascii="Verdana" w:hAnsi="Verdana"/>
          <w:b/>
          <w:color w:val="000000" w:themeColor="text1"/>
          <w:sz w:val="20"/>
          <w:szCs w:val="20"/>
        </w:rPr>
        <w:t>DECIDE:</w:t>
      </w:r>
    </w:p>
    <w:p w14:paraId="1DFE0633" w14:textId="77777777" w:rsidR="00A03487" w:rsidRPr="008B7099" w:rsidRDefault="00A03487" w:rsidP="00A03487">
      <w:pPr>
        <w:spacing w:after="0" w:line="240" w:lineRule="auto"/>
        <w:rPr>
          <w:rFonts w:ascii="Verdana" w:hAnsi="Verdana"/>
          <w:b/>
          <w:color w:val="000000" w:themeColor="text1"/>
          <w:sz w:val="20"/>
          <w:szCs w:val="20"/>
        </w:rPr>
      </w:pPr>
    </w:p>
    <w:p w14:paraId="35408781" w14:textId="1D88AF56" w:rsidR="00A03487" w:rsidRPr="008B7099" w:rsidRDefault="00A03487" w:rsidP="00A03487">
      <w:pPr>
        <w:spacing w:after="0" w:line="240" w:lineRule="auto"/>
        <w:rPr>
          <w:rFonts w:ascii="Verdana" w:hAnsi="Verdana"/>
          <w:color w:val="000000" w:themeColor="text1"/>
          <w:sz w:val="20"/>
          <w:szCs w:val="20"/>
        </w:rPr>
      </w:pPr>
      <w:r w:rsidRPr="008B7099">
        <w:rPr>
          <w:rFonts w:ascii="Verdana" w:hAnsi="Verdana"/>
          <w:color w:val="000000" w:themeColor="text1"/>
          <w:sz w:val="20"/>
          <w:szCs w:val="20"/>
        </w:rPr>
        <w:t xml:space="preserve">Por </w:t>
      </w:r>
      <w:r w:rsidR="00384A26">
        <w:rPr>
          <w:rFonts w:ascii="Verdana" w:hAnsi="Verdana"/>
          <w:color w:val="000000" w:themeColor="text1"/>
          <w:sz w:val="20"/>
          <w:szCs w:val="20"/>
        </w:rPr>
        <w:t>unanimidad</w:t>
      </w:r>
      <w:r w:rsidR="00384A26" w:rsidRPr="008B7099">
        <w:rPr>
          <w:rFonts w:ascii="Verdana" w:hAnsi="Verdana"/>
          <w:color w:val="000000" w:themeColor="text1"/>
          <w:sz w:val="20"/>
          <w:szCs w:val="20"/>
        </w:rPr>
        <w:t>,</w:t>
      </w:r>
    </w:p>
    <w:p w14:paraId="079B2374" w14:textId="77777777" w:rsidR="00A03487" w:rsidRPr="008B7099" w:rsidRDefault="00A03487" w:rsidP="00A03487">
      <w:pPr>
        <w:spacing w:after="0" w:line="240" w:lineRule="auto"/>
        <w:rPr>
          <w:rFonts w:ascii="Verdana" w:hAnsi="Verdana"/>
          <w:color w:val="000000" w:themeColor="text1"/>
          <w:sz w:val="20"/>
          <w:szCs w:val="20"/>
        </w:rPr>
      </w:pPr>
    </w:p>
    <w:p w14:paraId="78287C1E" w14:textId="22E944A2" w:rsidR="00434EA5" w:rsidRPr="008B7099" w:rsidRDefault="00434EA5" w:rsidP="00434EA5">
      <w:pPr>
        <w:pStyle w:val="Prrafodelista"/>
        <w:numPr>
          <w:ilvl w:val="0"/>
          <w:numId w:val="3"/>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Declarar admisible la solicitud de interpretación de la Sentencia de Excepci</w:t>
      </w:r>
      <w:r w:rsidR="0088232E" w:rsidRPr="008B7099">
        <w:rPr>
          <w:rFonts w:ascii="Verdana" w:hAnsi="Verdana"/>
          <w:color w:val="000000" w:themeColor="text1"/>
          <w:sz w:val="20"/>
          <w:szCs w:val="20"/>
        </w:rPr>
        <w:t>o</w:t>
      </w:r>
      <w:r w:rsidRPr="008B7099">
        <w:rPr>
          <w:rFonts w:ascii="Verdana" w:hAnsi="Verdana"/>
          <w:color w:val="000000" w:themeColor="text1"/>
          <w:sz w:val="20"/>
          <w:szCs w:val="20"/>
        </w:rPr>
        <w:t>n</w:t>
      </w:r>
      <w:r w:rsidR="0088232E" w:rsidRPr="008B7099">
        <w:rPr>
          <w:rFonts w:ascii="Verdana" w:hAnsi="Verdana"/>
          <w:color w:val="000000" w:themeColor="text1"/>
          <w:sz w:val="20"/>
          <w:szCs w:val="20"/>
        </w:rPr>
        <w:t>es</w:t>
      </w:r>
      <w:r w:rsidRPr="008B7099">
        <w:rPr>
          <w:rFonts w:ascii="Verdana" w:hAnsi="Verdana"/>
          <w:color w:val="000000" w:themeColor="text1"/>
          <w:sz w:val="20"/>
          <w:szCs w:val="20"/>
        </w:rPr>
        <w:t xml:space="preserve"> Preliminar</w:t>
      </w:r>
      <w:r w:rsidR="0088232E" w:rsidRPr="008B7099">
        <w:rPr>
          <w:rFonts w:ascii="Verdana" w:hAnsi="Verdana"/>
          <w:color w:val="000000" w:themeColor="text1"/>
          <w:sz w:val="20"/>
          <w:szCs w:val="20"/>
        </w:rPr>
        <w:t>es</w:t>
      </w:r>
      <w:r w:rsidRPr="008B7099">
        <w:rPr>
          <w:rFonts w:ascii="Verdana" w:hAnsi="Verdana"/>
          <w:color w:val="000000" w:themeColor="text1"/>
          <w:sz w:val="20"/>
          <w:szCs w:val="20"/>
        </w:rPr>
        <w:t xml:space="preserve">, </w:t>
      </w:r>
      <w:r w:rsidR="00B52065">
        <w:rPr>
          <w:rFonts w:ascii="Verdana" w:hAnsi="Verdana"/>
          <w:color w:val="000000" w:themeColor="text1"/>
          <w:sz w:val="20"/>
          <w:szCs w:val="20"/>
        </w:rPr>
        <w:t xml:space="preserve">Fondo y </w:t>
      </w:r>
      <w:r w:rsidRPr="008B7099">
        <w:rPr>
          <w:rFonts w:ascii="Verdana" w:hAnsi="Verdana"/>
          <w:color w:val="000000" w:themeColor="text1"/>
          <w:sz w:val="20"/>
          <w:szCs w:val="20"/>
        </w:rPr>
        <w:t xml:space="preserve">Reparaciones emitida en el </w:t>
      </w:r>
      <w:r w:rsidRPr="008B7099">
        <w:rPr>
          <w:rFonts w:ascii="Verdana" w:hAnsi="Verdana"/>
          <w:i/>
          <w:iCs/>
          <w:color w:val="000000" w:themeColor="text1"/>
          <w:sz w:val="20"/>
          <w:szCs w:val="20"/>
        </w:rPr>
        <w:t xml:space="preserve">Caso </w:t>
      </w:r>
      <w:r w:rsidR="0088232E" w:rsidRPr="008B7099">
        <w:rPr>
          <w:rFonts w:ascii="Verdana" w:hAnsi="Verdana"/>
          <w:i/>
          <w:iCs/>
          <w:color w:val="000000" w:themeColor="text1"/>
          <w:sz w:val="20"/>
          <w:szCs w:val="20"/>
        </w:rPr>
        <w:t xml:space="preserve">Federación Nacional de Trabajadores Marítimos y Portuarios (FEMAPOR) Vs. Perú, </w:t>
      </w:r>
      <w:r w:rsidRPr="008B7099">
        <w:rPr>
          <w:rFonts w:ascii="Verdana" w:hAnsi="Verdana"/>
          <w:color w:val="000000" w:themeColor="text1"/>
          <w:sz w:val="20"/>
          <w:szCs w:val="20"/>
        </w:rPr>
        <w:t xml:space="preserve">presentada por el Estado, en los términos del párrafo </w:t>
      </w:r>
      <w:r w:rsidR="006811AE">
        <w:rPr>
          <w:rFonts w:ascii="Verdana" w:hAnsi="Verdana"/>
          <w:color w:val="000000" w:themeColor="text1"/>
          <w:sz w:val="20"/>
          <w:szCs w:val="20"/>
        </w:rPr>
        <w:t>8</w:t>
      </w:r>
      <w:r w:rsidRPr="008B7099">
        <w:rPr>
          <w:rFonts w:ascii="Verdana" w:hAnsi="Verdana"/>
          <w:color w:val="000000" w:themeColor="text1"/>
          <w:sz w:val="20"/>
          <w:szCs w:val="20"/>
        </w:rPr>
        <w:t xml:space="preserve"> de la presente Sentencia de Interpretación.</w:t>
      </w:r>
    </w:p>
    <w:p w14:paraId="786FB189" w14:textId="77777777" w:rsidR="00434EA5" w:rsidRPr="008B7099" w:rsidRDefault="00434EA5" w:rsidP="00434EA5">
      <w:pPr>
        <w:spacing w:after="0" w:line="240" w:lineRule="auto"/>
        <w:jc w:val="both"/>
        <w:rPr>
          <w:rFonts w:ascii="Verdana" w:hAnsi="Verdana"/>
          <w:color w:val="000000" w:themeColor="text1"/>
          <w:sz w:val="20"/>
          <w:szCs w:val="20"/>
        </w:rPr>
      </w:pPr>
    </w:p>
    <w:p w14:paraId="1BFA323B" w14:textId="0554663D" w:rsidR="00434EA5" w:rsidRPr="008B7099" w:rsidRDefault="00434EA5" w:rsidP="00434EA5">
      <w:pPr>
        <w:pStyle w:val="Prrafodelista"/>
        <w:numPr>
          <w:ilvl w:val="0"/>
          <w:numId w:val="3"/>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Declarar admisible la solicitud de interpretación de la </w:t>
      </w:r>
      <w:r w:rsidR="0088232E" w:rsidRPr="008B7099">
        <w:rPr>
          <w:rFonts w:ascii="Verdana" w:hAnsi="Verdana"/>
          <w:color w:val="000000" w:themeColor="text1"/>
          <w:sz w:val="20"/>
          <w:szCs w:val="20"/>
        </w:rPr>
        <w:t xml:space="preserve">Sentencia de Excepciones Preliminares, </w:t>
      </w:r>
      <w:r w:rsidR="00B52065">
        <w:rPr>
          <w:rFonts w:ascii="Verdana" w:hAnsi="Verdana"/>
          <w:color w:val="000000" w:themeColor="text1"/>
          <w:sz w:val="20"/>
          <w:szCs w:val="20"/>
        </w:rPr>
        <w:t xml:space="preserve">Fondo y </w:t>
      </w:r>
      <w:r w:rsidR="00B52065" w:rsidRPr="008B7099">
        <w:rPr>
          <w:rFonts w:ascii="Verdana" w:hAnsi="Verdana"/>
          <w:color w:val="000000" w:themeColor="text1"/>
          <w:sz w:val="20"/>
          <w:szCs w:val="20"/>
        </w:rPr>
        <w:t xml:space="preserve">Reparaciones </w:t>
      </w:r>
      <w:r w:rsidR="0088232E" w:rsidRPr="008B7099">
        <w:rPr>
          <w:rFonts w:ascii="Verdana" w:hAnsi="Verdana"/>
          <w:color w:val="000000" w:themeColor="text1"/>
          <w:sz w:val="20"/>
          <w:szCs w:val="20"/>
        </w:rPr>
        <w:t xml:space="preserve">emitida en el </w:t>
      </w:r>
      <w:r w:rsidR="0088232E" w:rsidRPr="008B7099">
        <w:rPr>
          <w:rFonts w:ascii="Verdana" w:hAnsi="Verdana"/>
          <w:i/>
          <w:iCs/>
          <w:color w:val="000000" w:themeColor="text1"/>
          <w:sz w:val="20"/>
          <w:szCs w:val="20"/>
        </w:rPr>
        <w:t xml:space="preserve">Caso Federación Nacional de Trabajadores Marítimos y Portuarios (FEMAPOR) Vs. Perú, </w:t>
      </w:r>
      <w:r w:rsidRPr="008B7099">
        <w:rPr>
          <w:rFonts w:ascii="Verdana" w:hAnsi="Verdana"/>
          <w:color w:val="000000" w:themeColor="text1"/>
          <w:sz w:val="20"/>
          <w:szCs w:val="20"/>
        </w:rPr>
        <w:t xml:space="preserve">presentada por </w:t>
      </w:r>
      <w:r w:rsidR="0088232E" w:rsidRPr="008B7099">
        <w:rPr>
          <w:rFonts w:ascii="Verdana" w:hAnsi="Verdana"/>
          <w:color w:val="000000" w:themeColor="text1"/>
          <w:sz w:val="20"/>
          <w:szCs w:val="20"/>
        </w:rPr>
        <w:t>la representante Meneses Huayra</w:t>
      </w:r>
      <w:r w:rsidRPr="008B7099">
        <w:rPr>
          <w:rFonts w:ascii="Verdana" w:hAnsi="Verdana"/>
          <w:color w:val="000000" w:themeColor="text1"/>
          <w:sz w:val="20"/>
          <w:szCs w:val="20"/>
        </w:rPr>
        <w:t xml:space="preserve">, en los términos del párrafo </w:t>
      </w:r>
      <w:r w:rsidR="006811AE">
        <w:rPr>
          <w:rFonts w:ascii="Verdana" w:hAnsi="Verdana"/>
          <w:color w:val="000000" w:themeColor="text1"/>
          <w:sz w:val="20"/>
          <w:szCs w:val="20"/>
        </w:rPr>
        <w:t>8</w:t>
      </w:r>
      <w:r w:rsidRPr="008B7099">
        <w:rPr>
          <w:rFonts w:ascii="Verdana" w:hAnsi="Verdana"/>
          <w:color w:val="000000" w:themeColor="text1"/>
          <w:sz w:val="20"/>
          <w:szCs w:val="20"/>
        </w:rPr>
        <w:t xml:space="preserve"> de la presente Sentencia de Interpretación.</w:t>
      </w:r>
    </w:p>
    <w:p w14:paraId="3B60192B" w14:textId="77777777" w:rsidR="00434EA5" w:rsidRPr="008B7099" w:rsidRDefault="00434EA5" w:rsidP="00434EA5">
      <w:pPr>
        <w:spacing w:after="0" w:line="240" w:lineRule="auto"/>
        <w:jc w:val="both"/>
        <w:rPr>
          <w:rFonts w:ascii="Verdana" w:hAnsi="Verdana"/>
          <w:color w:val="000000" w:themeColor="text1"/>
          <w:sz w:val="20"/>
          <w:szCs w:val="20"/>
        </w:rPr>
      </w:pPr>
    </w:p>
    <w:p w14:paraId="6D1CEFE4" w14:textId="73F84660" w:rsidR="00B22E3D" w:rsidRPr="008B7099" w:rsidRDefault="00434EA5" w:rsidP="00434EA5">
      <w:pPr>
        <w:pStyle w:val="Prrafodelista"/>
        <w:numPr>
          <w:ilvl w:val="0"/>
          <w:numId w:val="3"/>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Desestimar por improcedente la solicitud de interpretación </w:t>
      </w:r>
      <w:r w:rsidR="00394024" w:rsidRPr="008B7099">
        <w:rPr>
          <w:rFonts w:ascii="Verdana" w:hAnsi="Verdana"/>
          <w:color w:val="000000" w:themeColor="text1"/>
          <w:sz w:val="20"/>
          <w:szCs w:val="20"/>
        </w:rPr>
        <w:t xml:space="preserve">de la Sentencia de Excepciones Preliminares, </w:t>
      </w:r>
      <w:r w:rsidR="00B52065">
        <w:rPr>
          <w:rFonts w:ascii="Verdana" w:hAnsi="Verdana"/>
          <w:color w:val="000000" w:themeColor="text1"/>
          <w:sz w:val="20"/>
          <w:szCs w:val="20"/>
        </w:rPr>
        <w:t xml:space="preserve">Fondo y </w:t>
      </w:r>
      <w:r w:rsidR="00B52065" w:rsidRPr="008B7099">
        <w:rPr>
          <w:rFonts w:ascii="Verdana" w:hAnsi="Verdana"/>
          <w:color w:val="000000" w:themeColor="text1"/>
          <w:sz w:val="20"/>
          <w:szCs w:val="20"/>
        </w:rPr>
        <w:t xml:space="preserve">Reparaciones </w:t>
      </w:r>
      <w:r w:rsidR="00394024" w:rsidRPr="008B7099">
        <w:rPr>
          <w:rFonts w:ascii="Verdana" w:hAnsi="Verdana"/>
          <w:color w:val="000000" w:themeColor="text1"/>
          <w:sz w:val="20"/>
          <w:szCs w:val="20"/>
        </w:rPr>
        <w:t xml:space="preserve">emitida en el </w:t>
      </w:r>
      <w:r w:rsidR="00394024" w:rsidRPr="008B7099">
        <w:rPr>
          <w:rFonts w:ascii="Verdana" w:hAnsi="Verdana"/>
          <w:i/>
          <w:iCs/>
          <w:color w:val="000000" w:themeColor="text1"/>
          <w:sz w:val="20"/>
          <w:szCs w:val="20"/>
        </w:rPr>
        <w:t xml:space="preserve">Caso Federación Nacional de Trabajadores Marítimos y Portuarios (FEMAPOR) Vs. Perú </w:t>
      </w:r>
      <w:r w:rsidRPr="008B7099">
        <w:rPr>
          <w:rFonts w:ascii="Verdana" w:hAnsi="Verdana"/>
          <w:color w:val="000000" w:themeColor="text1"/>
          <w:sz w:val="20"/>
          <w:szCs w:val="20"/>
        </w:rPr>
        <w:t xml:space="preserve">presentada por el Estado, en los términos de los párrafos </w:t>
      </w:r>
      <w:r w:rsidR="007311BD">
        <w:rPr>
          <w:rFonts w:ascii="Verdana" w:hAnsi="Verdana"/>
          <w:color w:val="000000" w:themeColor="text1"/>
          <w:sz w:val="20"/>
          <w:szCs w:val="20"/>
        </w:rPr>
        <w:t>17</w:t>
      </w:r>
      <w:r w:rsidRPr="008B7099">
        <w:rPr>
          <w:rFonts w:ascii="Verdana" w:hAnsi="Verdana"/>
          <w:color w:val="000000" w:themeColor="text1"/>
          <w:sz w:val="20"/>
          <w:szCs w:val="20"/>
        </w:rPr>
        <w:t xml:space="preserve"> a </w:t>
      </w:r>
      <w:r w:rsidR="006811AE">
        <w:rPr>
          <w:rFonts w:ascii="Verdana" w:hAnsi="Verdana"/>
          <w:color w:val="000000" w:themeColor="text1"/>
          <w:sz w:val="20"/>
          <w:szCs w:val="20"/>
        </w:rPr>
        <w:t>2</w:t>
      </w:r>
      <w:r w:rsidR="00110619">
        <w:rPr>
          <w:rFonts w:ascii="Verdana" w:hAnsi="Verdana"/>
          <w:color w:val="000000" w:themeColor="text1"/>
          <w:sz w:val="20"/>
          <w:szCs w:val="20"/>
        </w:rPr>
        <w:t>4</w:t>
      </w:r>
      <w:r w:rsidRPr="008B7099">
        <w:rPr>
          <w:rFonts w:ascii="Verdana" w:hAnsi="Verdana"/>
          <w:color w:val="000000" w:themeColor="text1"/>
          <w:sz w:val="20"/>
          <w:szCs w:val="20"/>
        </w:rPr>
        <w:t xml:space="preserve"> de la presente Sentencia de Interpretación.</w:t>
      </w:r>
    </w:p>
    <w:p w14:paraId="054C305B" w14:textId="77777777" w:rsidR="00434EA5" w:rsidRPr="008B7099" w:rsidRDefault="00434EA5" w:rsidP="00434EA5">
      <w:pPr>
        <w:pStyle w:val="Prrafodelista"/>
        <w:spacing w:after="0" w:line="240" w:lineRule="auto"/>
        <w:ind w:left="0"/>
        <w:jc w:val="both"/>
        <w:rPr>
          <w:rFonts w:ascii="Verdana" w:hAnsi="Verdana"/>
          <w:color w:val="000000" w:themeColor="text1"/>
          <w:sz w:val="20"/>
          <w:szCs w:val="20"/>
        </w:rPr>
      </w:pPr>
    </w:p>
    <w:p w14:paraId="32AFCE9F" w14:textId="769358BD" w:rsidR="00394024" w:rsidRPr="008B7099" w:rsidRDefault="00394024" w:rsidP="00394024">
      <w:pPr>
        <w:pStyle w:val="Prrafodelista"/>
        <w:numPr>
          <w:ilvl w:val="0"/>
          <w:numId w:val="3"/>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Desestimar por improcedente la solicitud de interpretación de la Sentencia de Excepciones Preliminares, </w:t>
      </w:r>
      <w:r w:rsidR="00B52065">
        <w:rPr>
          <w:rFonts w:ascii="Verdana" w:hAnsi="Verdana"/>
          <w:color w:val="000000" w:themeColor="text1"/>
          <w:sz w:val="20"/>
          <w:szCs w:val="20"/>
        </w:rPr>
        <w:t xml:space="preserve">Fondo y </w:t>
      </w:r>
      <w:r w:rsidR="00B52065" w:rsidRPr="008B7099">
        <w:rPr>
          <w:rFonts w:ascii="Verdana" w:hAnsi="Verdana"/>
          <w:color w:val="000000" w:themeColor="text1"/>
          <w:sz w:val="20"/>
          <w:szCs w:val="20"/>
        </w:rPr>
        <w:t xml:space="preserve">Reparaciones </w:t>
      </w:r>
      <w:r w:rsidRPr="008B7099">
        <w:rPr>
          <w:rFonts w:ascii="Verdana" w:hAnsi="Verdana"/>
          <w:color w:val="000000" w:themeColor="text1"/>
          <w:sz w:val="20"/>
          <w:szCs w:val="20"/>
        </w:rPr>
        <w:t xml:space="preserve">emitida en el </w:t>
      </w:r>
      <w:r w:rsidRPr="008B7099">
        <w:rPr>
          <w:rFonts w:ascii="Verdana" w:hAnsi="Verdana"/>
          <w:i/>
          <w:iCs/>
          <w:color w:val="000000" w:themeColor="text1"/>
          <w:sz w:val="20"/>
          <w:szCs w:val="20"/>
        </w:rPr>
        <w:t xml:space="preserve">Caso Federación Nacional de Trabajadores Marítimos y Portuarios (FEMAPOR) Vs. Perú </w:t>
      </w:r>
      <w:r w:rsidRPr="008B7099">
        <w:rPr>
          <w:rFonts w:ascii="Verdana" w:hAnsi="Verdana"/>
          <w:color w:val="000000" w:themeColor="text1"/>
          <w:sz w:val="20"/>
          <w:szCs w:val="20"/>
        </w:rPr>
        <w:t xml:space="preserve">presentada por la representante Meneses Huayra, en los términos de los párrafos </w:t>
      </w:r>
      <w:r w:rsidR="00C8748C">
        <w:rPr>
          <w:rFonts w:ascii="Verdana" w:hAnsi="Verdana"/>
          <w:color w:val="000000" w:themeColor="text1"/>
          <w:sz w:val="20"/>
          <w:szCs w:val="20"/>
        </w:rPr>
        <w:t>29</w:t>
      </w:r>
      <w:r w:rsidR="00C8748C" w:rsidRPr="008B7099">
        <w:rPr>
          <w:rFonts w:ascii="Verdana" w:hAnsi="Verdana"/>
          <w:color w:val="000000" w:themeColor="text1"/>
          <w:sz w:val="20"/>
          <w:szCs w:val="20"/>
        </w:rPr>
        <w:t xml:space="preserve"> </w:t>
      </w:r>
      <w:r w:rsidR="00C8748C">
        <w:rPr>
          <w:rFonts w:ascii="Verdana" w:hAnsi="Verdana"/>
          <w:color w:val="000000" w:themeColor="text1"/>
          <w:sz w:val="20"/>
          <w:szCs w:val="20"/>
        </w:rPr>
        <w:t>a</w:t>
      </w:r>
      <w:r w:rsidRPr="008B7099">
        <w:rPr>
          <w:rFonts w:ascii="Verdana" w:hAnsi="Verdana"/>
          <w:color w:val="000000" w:themeColor="text1"/>
          <w:sz w:val="20"/>
          <w:szCs w:val="20"/>
        </w:rPr>
        <w:t xml:space="preserve"> </w:t>
      </w:r>
      <w:r w:rsidR="00C8748C">
        <w:rPr>
          <w:rFonts w:ascii="Verdana" w:hAnsi="Verdana"/>
          <w:color w:val="000000" w:themeColor="text1"/>
          <w:sz w:val="20"/>
          <w:szCs w:val="20"/>
        </w:rPr>
        <w:t>31</w:t>
      </w:r>
      <w:r w:rsidRPr="008B7099">
        <w:rPr>
          <w:rFonts w:ascii="Verdana" w:hAnsi="Verdana"/>
          <w:color w:val="000000" w:themeColor="text1"/>
          <w:sz w:val="20"/>
          <w:szCs w:val="20"/>
        </w:rPr>
        <w:t xml:space="preserve"> de la presente Sentencia de Interpretación.</w:t>
      </w:r>
    </w:p>
    <w:p w14:paraId="5424F195" w14:textId="77777777" w:rsidR="00522A34" w:rsidRPr="008B7099" w:rsidRDefault="00522A34" w:rsidP="00522A34">
      <w:pPr>
        <w:pStyle w:val="Prrafodelista"/>
        <w:spacing w:after="0" w:line="240" w:lineRule="auto"/>
        <w:ind w:left="0"/>
        <w:jc w:val="both"/>
        <w:rPr>
          <w:rFonts w:ascii="Verdana" w:hAnsi="Verdana"/>
          <w:color w:val="000000" w:themeColor="text1"/>
          <w:sz w:val="20"/>
          <w:szCs w:val="20"/>
        </w:rPr>
      </w:pPr>
    </w:p>
    <w:p w14:paraId="582E14A7" w14:textId="19827BD8" w:rsidR="008976FB" w:rsidRPr="008B7099" w:rsidRDefault="008976FB" w:rsidP="00A03487">
      <w:pPr>
        <w:pStyle w:val="Prrafodelista"/>
        <w:numPr>
          <w:ilvl w:val="0"/>
          <w:numId w:val="3"/>
        </w:numPr>
        <w:spacing w:after="0" w:line="240" w:lineRule="auto"/>
        <w:ind w:left="0" w:firstLine="0"/>
        <w:jc w:val="both"/>
        <w:rPr>
          <w:rFonts w:ascii="Verdana" w:hAnsi="Verdana"/>
          <w:color w:val="000000" w:themeColor="text1"/>
          <w:sz w:val="20"/>
          <w:szCs w:val="20"/>
        </w:rPr>
      </w:pPr>
      <w:r w:rsidRPr="008B7099">
        <w:rPr>
          <w:rFonts w:ascii="Verdana" w:hAnsi="Verdana"/>
          <w:color w:val="000000" w:themeColor="text1"/>
          <w:sz w:val="20"/>
          <w:szCs w:val="20"/>
        </w:rPr>
        <w:t xml:space="preserve">Disponer que la Secretaría de la Corte notifique la presente Sentencia de </w:t>
      </w:r>
      <w:r w:rsidR="007311BD">
        <w:rPr>
          <w:rFonts w:ascii="Verdana" w:hAnsi="Verdana"/>
          <w:color w:val="000000" w:themeColor="text1"/>
          <w:sz w:val="20"/>
          <w:szCs w:val="20"/>
        </w:rPr>
        <w:t>I</w:t>
      </w:r>
      <w:r w:rsidRPr="008B7099">
        <w:rPr>
          <w:rFonts w:ascii="Verdana" w:hAnsi="Verdana"/>
          <w:color w:val="000000" w:themeColor="text1"/>
          <w:sz w:val="20"/>
          <w:szCs w:val="20"/>
        </w:rPr>
        <w:t xml:space="preserve">nterpretación a la República </w:t>
      </w:r>
      <w:r w:rsidR="00710618" w:rsidRPr="008B7099">
        <w:rPr>
          <w:rFonts w:ascii="Verdana" w:hAnsi="Verdana"/>
          <w:color w:val="000000" w:themeColor="text1"/>
          <w:sz w:val="20"/>
          <w:szCs w:val="20"/>
        </w:rPr>
        <w:t xml:space="preserve">de </w:t>
      </w:r>
      <w:r w:rsidR="00A7146F">
        <w:rPr>
          <w:rFonts w:ascii="Verdana" w:hAnsi="Verdana"/>
          <w:color w:val="000000" w:themeColor="text1"/>
          <w:sz w:val="20"/>
          <w:szCs w:val="20"/>
        </w:rPr>
        <w:t>Perú</w:t>
      </w:r>
      <w:r w:rsidRPr="008B7099">
        <w:rPr>
          <w:rFonts w:ascii="Verdana" w:hAnsi="Verdana"/>
          <w:color w:val="000000" w:themeColor="text1"/>
          <w:sz w:val="20"/>
          <w:szCs w:val="20"/>
        </w:rPr>
        <w:t>, a</w:t>
      </w:r>
      <w:r w:rsidR="001D3FC0" w:rsidRPr="008B7099">
        <w:rPr>
          <w:rFonts w:ascii="Verdana" w:hAnsi="Verdana"/>
          <w:color w:val="000000" w:themeColor="text1"/>
          <w:sz w:val="20"/>
          <w:szCs w:val="20"/>
        </w:rPr>
        <w:t xml:space="preserve"> los representantes </w:t>
      </w:r>
      <w:r w:rsidRPr="008B7099">
        <w:rPr>
          <w:rFonts w:ascii="Verdana" w:hAnsi="Verdana"/>
          <w:color w:val="000000" w:themeColor="text1"/>
          <w:sz w:val="20"/>
          <w:szCs w:val="20"/>
        </w:rPr>
        <w:t>de las víctimas y a la Comisión Interamericana de Derechos Humanos.</w:t>
      </w:r>
    </w:p>
    <w:p w14:paraId="25BA61B3" w14:textId="2DA49636" w:rsidR="00326C79" w:rsidRDefault="00326C79" w:rsidP="00326C79">
      <w:pPr>
        <w:pStyle w:val="Prrafodelista"/>
        <w:spacing w:after="0" w:line="240" w:lineRule="auto"/>
        <w:ind w:left="0"/>
        <w:jc w:val="both"/>
        <w:rPr>
          <w:rFonts w:ascii="Verdana" w:hAnsi="Verdana"/>
          <w:color w:val="000000" w:themeColor="text1"/>
          <w:sz w:val="20"/>
          <w:szCs w:val="20"/>
        </w:rPr>
      </w:pPr>
    </w:p>
    <w:p w14:paraId="1E23663E" w14:textId="4F161D15" w:rsidR="00161D3C" w:rsidRDefault="00161D3C" w:rsidP="00326C79">
      <w:pPr>
        <w:pStyle w:val="Prrafodelista"/>
        <w:spacing w:after="0" w:line="240" w:lineRule="auto"/>
        <w:ind w:left="0"/>
        <w:jc w:val="both"/>
        <w:rPr>
          <w:rFonts w:ascii="Verdana" w:hAnsi="Verdana"/>
          <w:color w:val="000000" w:themeColor="text1"/>
          <w:sz w:val="20"/>
          <w:szCs w:val="20"/>
        </w:rPr>
      </w:pPr>
    </w:p>
    <w:p w14:paraId="1E669030" w14:textId="16697C0B" w:rsidR="00161D3C" w:rsidRDefault="00161D3C" w:rsidP="00326C79">
      <w:pPr>
        <w:pStyle w:val="Prrafodelista"/>
        <w:spacing w:after="0" w:line="240" w:lineRule="auto"/>
        <w:ind w:left="0"/>
        <w:jc w:val="both"/>
        <w:rPr>
          <w:rFonts w:ascii="Verdana" w:hAnsi="Verdana"/>
          <w:color w:val="000000" w:themeColor="text1"/>
          <w:sz w:val="20"/>
          <w:szCs w:val="20"/>
        </w:rPr>
      </w:pPr>
    </w:p>
    <w:p w14:paraId="67C87B93" w14:textId="11399E7B" w:rsidR="00161D3C" w:rsidRDefault="00161D3C" w:rsidP="00326C79">
      <w:pPr>
        <w:pStyle w:val="Prrafodelista"/>
        <w:spacing w:after="0" w:line="240" w:lineRule="auto"/>
        <w:ind w:left="0"/>
        <w:jc w:val="both"/>
        <w:rPr>
          <w:rFonts w:ascii="Verdana" w:hAnsi="Verdana"/>
          <w:color w:val="000000" w:themeColor="text1"/>
          <w:sz w:val="20"/>
          <w:szCs w:val="20"/>
        </w:rPr>
      </w:pPr>
    </w:p>
    <w:p w14:paraId="6A81939F" w14:textId="08092AC9" w:rsidR="00161D3C" w:rsidRDefault="00161D3C" w:rsidP="00326C79">
      <w:pPr>
        <w:pStyle w:val="Prrafodelista"/>
        <w:spacing w:after="0" w:line="240" w:lineRule="auto"/>
        <w:ind w:left="0"/>
        <w:jc w:val="both"/>
        <w:rPr>
          <w:rFonts w:ascii="Verdana" w:hAnsi="Verdana"/>
          <w:color w:val="000000" w:themeColor="text1"/>
          <w:sz w:val="20"/>
          <w:szCs w:val="20"/>
        </w:rPr>
      </w:pPr>
    </w:p>
    <w:p w14:paraId="62BB0356" w14:textId="3B7BDB6D" w:rsidR="00161D3C" w:rsidRDefault="00161D3C" w:rsidP="00326C79">
      <w:pPr>
        <w:pStyle w:val="Prrafodelista"/>
        <w:spacing w:after="0" w:line="240" w:lineRule="auto"/>
        <w:ind w:left="0"/>
        <w:jc w:val="both"/>
        <w:rPr>
          <w:rFonts w:ascii="Verdana" w:hAnsi="Verdana"/>
          <w:color w:val="000000" w:themeColor="text1"/>
          <w:sz w:val="20"/>
          <w:szCs w:val="20"/>
        </w:rPr>
      </w:pPr>
    </w:p>
    <w:p w14:paraId="199DAEA1" w14:textId="51411BA5" w:rsidR="00161D3C" w:rsidRDefault="00161D3C" w:rsidP="00326C79">
      <w:pPr>
        <w:pStyle w:val="Prrafodelista"/>
        <w:spacing w:after="0" w:line="240" w:lineRule="auto"/>
        <w:ind w:left="0"/>
        <w:jc w:val="both"/>
        <w:rPr>
          <w:rFonts w:ascii="Verdana" w:hAnsi="Verdana"/>
          <w:color w:val="000000" w:themeColor="text1"/>
          <w:sz w:val="20"/>
          <w:szCs w:val="20"/>
        </w:rPr>
      </w:pPr>
    </w:p>
    <w:p w14:paraId="49CE7BE2" w14:textId="77777777" w:rsidR="00161D3C" w:rsidRDefault="00161D3C" w:rsidP="00326C79">
      <w:pPr>
        <w:pStyle w:val="Prrafodelista"/>
        <w:spacing w:after="0" w:line="240" w:lineRule="auto"/>
        <w:ind w:left="0"/>
        <w:jc w:val="both"/>
        <w:rPr>
          <w:rFonts w:ascii="Verdana" w:hAnsi="Verdana"/>
          <w:color w:val="000000" w:themeColor="text1"/>
          <w:sz w:val="20"/>
          <w:szCs w:val="20"/>
        </w:rPr>
      </w:pPr>
    </w:p>
    <w:p w14:paraId="1AA43578" w14:textId="77777777" w:rsidR="00161D3C" w:rsidRPr="00161D3C" w:rsidRDefault="00161D3C" w:rsidP="00161D3C">
      <w:pPr>
        <w:spacing w:after="0" w:line="240" w:lineRule="auto"/>
        <w:jc w:val="both"/>
        <w:rPr>
          <w:rFonts w:ascii="Verdana" w:eastAsia="Times" w:hAnsi="Verdana" w:cs="Times New Roman"/>
          <w:color w:val="000000" w:themeColor="text1"/>
          <w:sz w:val="20"/>
          <w:szCs w:val="20"/>
          <w:lang w:val="en-US"/>
        </w:rPr>
      </w:pPr>
      <w:r w:rsidRPr="00161D3C">
        <w:rPr>
          <w:rFonts w:ascii="Verdana" w:eastAsia="Times" w:hAnsi="Verdana" w:cs="Times New Roman"/>
          <w:color w:val="000000" w:themeColor="text1"/>
          <w:sz w:val="20"/>
          <w:szCs w:val="20"/>
          <w:lang w:val="es-ES"/>
        </w:rPr>
        <w:lastRenderedPageBreak/>
        <w:t xml:space="preserve">Corte IDH. </w:t>
      </w:r>
      <w:r w:rsidRPr="00161D3C">
        <w:rPr>
          <w:rFonts w:ascii="Verdana" w:eastAsia="Times" w:hAnsi="Verdana" w:cs="Times New Roman"/>
          <w:i/>
          <w:iCs/>
          <w:color w:val="000000" w:themeColor="text1"/>
          <w:sz w:val="20"/>
          <w:szCs w:val="20"/>
          <w:lang w:val="en-US"/>
        </w:rPr>
        <w:t xml:space="preserve">Caso </w:t>
      </w:r>
      <w:proofErr w:type="spellStart"/>
      <w:r w:rsidRPr="00161D3C">
        <w:rPr>
          <w:rFonts w:ascii="Verdana" w:eastAsia="Times" w:hAnsi="Verdana" w:cs="Times New Roman"/>
          <w:i/>
          <w:iCs/>
          <w:color w:val="000000" w:themeColor="text1"/>
          <w:sz w:val="20"/>
          <w:szCs w:val="20"/>
          <w:lang w:val="en-US"/>
        </w:rPr>
        <w:t>Federación</w:t>
      </w:r>
      <w:proofErr w:type="spellEnd"/>
      <w:r w:rsidRPr="00161D3C">
        <w:rPr>
          <w:rFonts w:ascii="Verdana" w:eastAsia="Times" w:hAnsi="Verdana" w:cs="Times New Roman"/>
          <w:i/>
          <w:iCs/>
          <w:color w:val="000000" w:themeColor="text1"/>
          <w:sz w:val="20"/>
          <w:szCs w:val="20"/>
          <w:lang w:val="en-US"/>
        </w:rPr>
        <w:t xml:space="preserve"> Nacional de </w:t>
      </w:r>
      <w:proofErr w:type="spellStart"/>
      <w:r w:rsidRPr="00161D3C">
        <w:rPr>
          <w:rFonts w:ascii="Verdana" w:eastAsia="Times" w:hAnsi="Verdana" w:cs="Times New Roman"/>
          <w:i/>
          <w:iCs/>
          <w:color w:val="000000" w:themeColor="text1"/>
          <w:sz w:val="20"/>
          <w:szCs w:val="20"/>
          <w:lang w:val="en-US"/>
        </w:rPr>
        <w:t>Trabajadores</w:t>
      </w:r>
      <w:proofErr w:type="spellEnd"/>
      <w:r w:rsidRPr="00161D3C">
        <w:rPr>
          <w:rFonts w:ascii="Verdana" w:eastAsia="Times" w:hAnsi="Verdana" w:cs="Times New Roman"/>
          <w:i/>
          <w:iCs/>
          <w:color w:val="000000" w:themeColor="text1"/>
          <w:sz w:val="20"/>
          <w:szCs w:val="20"/>
          <w:lang w:val="en-US"/>
        </w:rPr>
        <w:t xml:space="preserve"> </w:t>
      </w:r>
      <w:proofErr w:type="spellStart"/>
      <w:r w:rsidRPr="00161D3C">
        <w:rPr>
          <w:rFonts w:ascii="Verdana" w:eastAsia="Times" w:hAnsi="Verdana" w:cs="Times New Roman"/>
          <w:i/>
          <w:iCs/>
          <w:color w:val="000000" w:themeColor="text1"/>
          <w:sz w:val="20"/>
          <w:szCs w:val="20"/>
          <w:lang w:val="en-US"/>
        </w:rPr>
        <w:t>Marítimos</w:t>
      </w:r>
      <w:proofErr w:type="spellEnd"/>
      <w:r w:rsidRPr="00161D3C">
        <w:rPr>
          <w:rFonts w:ascii="Verdana" w:eastAsia="Times" w:hAnsi="Verdana" w:cs="Times New Roman"/>
          <w:i/>
          <w:iCs/>
          <w:color w:val="000000" w:themeColor="text1"/>
          <w:sz w:val="20"/>
          <w:szCs w:val="20"/>
          <w:lang w:val="en-US"/>
        </w:rPr>
        <w:t xml:space="preserve"> y </w:t>
      </w:r>
      <w:proofErr w:type="spellStart"/>
      <w:r w:rsidRPr="00161D3C">
        <w:rPr>
          <w:rFonts w:ascii="Verdana" w:eastAsia="Times" w:hAnsi="Verdana" w:cs="Times New Roman"/>
          <w:i/>
          <w:iCs/>
          <w:color w:val="000000" w:themeColor="text1"/>
          <w:sz w:val="20"/>
          <w:szCs w:val="20"/>
          <w:lang w:val="en-US"/>
        </w:rPr>
        <w:t>Portuarios</w:t>
      </w:r>
      <w:proofErr w:type="spellEnd"/>
      <w:r w:rsidRPr="00161D3C">
        <w:rPr>
          <w:rFonts w:ascii="Verdana" w:eastAsia="Times" w:hAnsi="Verdana" w:cs="Times New Roman"/>
          <w:i/>
          <w:iCs/>
          <w:color w:val="000000" w:themeColor="text1"/>
          <w:sz w:val="20"/>
          <w:szCs w:val="20"/>
          <w:lang w:val="en-US"/>
        </w:rPr>
        <w:t xml:space="preserve"> (FEMAPOR) Vs. Perú</w:t>
      </w:r>
      <w:r w:rsidRPr="00161D3C">
        <w:rPr>
          <w:rFonts w:ascii="Verdana" w:eastAsia="Times" w:hAnsi="Verdana" w:cs="Times New Roman"/>
          <w:i/>
          <w:color w:val="000000" w:themeColor="text1"/>
          <w:sz w:val="20"/>
          <w:szCs w:val="20"/>
          <w:lang w:val="es-ES"/>
        </w:rPr>
        <w:t xml:space="preserve">. Interpretación de la Sentencia de </w:t>
      </w:r>
      <w:proofErr w:type="spellStart"/>
      <w:r w:rsidRPr="00161D3C">
        <w:rPr>
          <w:rFonts w:ascii="Verdana" w:eastAsia="Times" w:hAnsi="Verdana" w:cs="Times New Roman"/>
          <w:color w:val="000000" w:themeColor="text1"/>
          <w:sz w:val="20"/>
          <w:szCs w:val="20"/>
          <w:lang w:val="en-US"/>
        </w:rPr>
        <w:t>Excepciones</w:t>
      </w:r>
      <w:proofErr w:type="spellEnd"/>
      <w:r w:rsidRPr="00161D3C">
        <w:rPr>
          <w:rFonts w:ascii="Verdana" w:eastAsia="Times" w:hAnsi="Verdana" w:cs="Times New Roman"/>
          <w:color w:val="000000" w:themeColor="text1"/>
          <w:sz w:val="20"/>
          <w:szCs w:val="20"/>
          <w:lang w:val="en-US"/>
        </w:rPr>
        <w:t xml:space="preserve"> </w:t>
      </w:r>
      <w:proofErr w:type="spellStart"/>
      <w:r w:rsidRPr="00161D3C">
        <w:rPr>
          <w:rFonts w:ascii="Verdana" w:eastAsia="Times" w:hAnsi="Verdana" w:cs="Times New Roman"/>
          <w:color w:val="000000" w:themeColor="text1"/>
          <w:sz w:val="20"/>
          <w:szCs w:val="20"/>
          <w:lang w:val="en-US"/>
        </w:rPr>
        <w:t>Preliminares</w:t>
      </w:r>
      <w:proofErr w:type="spellEnd"/>
      <w:r w:rsidRPr="00161D3C">
        <w:rPr>
          <w:rFonts w:ascii="Verdana" w:eastAsia="Times" w:hAnsi="Verdana" w:cs="Times New Roman"/>
          <w:color w:val="000000" w:themeColor="text1"/>
          <w:sz w:val="20"/>
          <w:szCs w:val="20"/>
          <w:lang w:val="en-US"/>
        </w:rPr>
        <w:t xml:space="preserve">, Fondo y </w:t>
      </w:r>
      <w:proofErr w:type="spellStart"/>
      <w:r w:rsidRPr="00161D3C">
        <w:rPr>
          <w:rFonts w:ascii="Verdana" w:eastAsia="Times" w:hAnsi="Verdana" w:cs="Times New Roman"/>
          <w:color w:val="000000" w:themeColor="text1"/>
          <w:sz w:val="20"/>
          <w:szCs w:val="20"/>
          <w:lang w:val="en-US"/>
        </w:rPr>
        <w:t>Reparaciones</w:t>
      </w:r>
      <w:proofErr w:type="spellEnd"/>
      <w:r w:rsidRPr="00161D3C">
        <w:rPr>
          <w:rFonts w:ascii="Verdana" w:eastAsia="Times" w:hAnsi="Verdana" w:cs="Times New Roman"/>
          <w:color w:val="000000" w:themeColor="text1"/>
          <w:sz w:val="20"/>
          <w:szCs w:val="20"/>
          <w:lang w:val="es-ES"/>
        </w:rPr>
        <w:t>. Sentencia de 21 de noviembre de 2022.</w:t>
      </w:r>
    </w:p>
    <w:p w14:paraId="28A3FE28" w14:textId="77777777" w:rsidR="00161D3C" w:rsidRPr="00161D3C" w:rsidRDefault="00161D3C" w:rsidP="00161D3C">
      <w:pPr>
        <w:spacing w:after="0" w:line="240" w:lineRule="auto"/>
        <w:jc w:val="both"/>
        <w:rPr>
          <w:rFonts w:ascii="Verdana" w:eastAsia="Times" w:hAnsi="Verdana" w:cs="Times New Roman"/>
          <w:sz w:val="20"/>
          <w:szCs w:val="20"/>
          <w:lang w:val="es-ES"/>
        </w:rPr>
      </w:pPr>
    </w:p>
    <w:p w14:paraId="365A1BE6" w14:textId="77777777" w:rsidR="00161D3C" w:rsidRPr="00161D3C" w:rsidRDefault="00161D3C" w:rsidP="00161D3C">
      <w:pPr>
        <w:spacing w:after="0" w:line="240" w:lineRule="auto"/>
        <w:jc w:val="center"/>
        <w:rPr>
          <w:rFonts w:ascii="Times" w:eastAsia="Times" w:hAnsi="Times" w:cs="Times New Roman"/>
          <w:sz w:val="24"/>
          <w:szCs w:val="20"/>
        </w:rPr>
      </w:pPr>
    </w:p>
    <w:p w14:paraId="39ED1874" w14:textId="77777777" w:rsidR="00161D3C" w:rsidRPr="00161D3C" w:rsidRDefault="00161D3C" w:rsidP="00161D3C">
      <w:pPr>
        <w:spacing w:after="0" w:line="240" w:lineRule="auto"/>
        <w:jc w:val="center"/>
        <w:rPr>
          <w:rFonts w:ascii="Times" w:eastAsia="Times" w:hAnsi="Times" w:cs="Times New Roman"/>
          <w:sz w:val="24"/>
          <w:szCs w:val="20"/>
        </w:rPr>
      </w:pPr>
    </w:p>
    <w:p w14:paraId="57CFE212" w14:textId="77777777" w:rsidR="00161D3C" w:rsidRPr="00161D3C" w:rsidRDefault="00161D3C" w:rsidP="00161D3C">
      <w:pPr>
        <w:spacing w:after="0" w:line="240" w:lineRule="auto"/>
        <w:jc w:val="center"/>
        <w:rPr>
          <w:rFonts w:ascii="Times" w:eastAsia="Times" w:hAnsi="Times" w:cs="Times New Roman"/>
          <w:sz w:val="24"/>
          <w:szCs w:val="20"/>
        </w:rPr>
      </w:pPr>
    </w:p>
    <w:p w14:paraId="5D20B4C3" w14:textId="77777777" w:rsidR="00161D3C" w:rsidRPr="00161D3C" w:rsidRDefault="00161D3C" w:rsidP="00161D3C">
      <w:pPr>
        <w:spacing w:after="0" w:line="240" w:lineRule="auto"/>
        <w:jc w:val="center"/>
        <w:rPr>
          <w:rFonts w:ascii="Verdana" w:eastAsia="Times" w:hAnsi="Verdana" w:cs="Times New Roman"/>
          <w:sz w:val="20"/>
          <w:szCs w:val="20"/>
          <w:lang w:val="es-ES"/>
        </w:rPr>
      </w:pPr>
    </w:p>
    <w:p w14:paraId="4AC39014" w14:textId="77777777" w:rsidR="00161D3C" w:rsidRPr="00161D3C" w:rsidRDefault="00161D3C" w:rsidP="00161D3C">
      <w:pPr>
        <w:spacing w:after="0" w:line="240" w:lineRule="auto"/>
        <w:jc w:val="center"/>
        <w:rPr>
          <w:rFonts w:ascii="Verdana" w:eastAsia="Times" w:hAnsi="Verdana" w:cs="Times New Roman"/>
          <w:sz w:val="20"/>
          <w:szCs w:val="20"/>
          <w:lang w:val="es-ES"/>
        </w:rPr>
      </w:pPr>
      <w:r w:rsidRPr="00161D3C">
        <w:rPr>
          <w:rFonts w:ascii="Verdana" w:eastAsia="Times" w:hAnsi="Verdana" w:cs="Times New Roman"/>
          <w:sz w:val="20"/>
          <w:szCs w:val="20"/>
          <w:lang w:val="es-ES"/>
        </w:rPr>
        <w:t>Elizabeth Odio Benito</w:t>
      </w:r>
    </w:p>
    <w:p w14:paraId="4B7B370A" w14:textId="77777777" w:rsidR="00161D3C" w:rsidRPr="00161D3C" w:rsidRDefault="00161D3C" w:rsidP="00161D3C">
      <w:pPr>
        <w:spacing w:after="0" w:line="240" w:lineRule="auto"/>
        <w:jc w:val="center"/>
        <w:rPr>
          <w:rFonts w:ascii="Verdana" w:eastAsia="Times" w:hAnsi="Verdana" w:cs="Times New Roman"/>
          <w:sz w:val="20"/>
          <w:szCs w:val="20"/>
          <w:lang w:val="es-ES"/>
        </w:rPr>
      </w:pPr>
      <w:r w:rsidRPr="00161D3C">
        <w:rPr>
          <w:rFonts w:ascii="Verdana" w:eastAsia="Times" w:hAnsi="Verdana" w:cs="Times New Roman"/>
          <w:sz w:val="20"/>
          <w:szCs w:val="20"/>
          <w:lang w:val="es-ES"/>
        </w:rPr>
        <w:t>Presidenta</w:t>
      </w:r>
    </w:p>
    <w:p w14:paraId="50FB6A6D" w14:textId="77777777" w:rsidR="00161D3C" w:rsidRPr="00161D3C" w:rsidRDefault="00161D3C" w:rsidP="00161D3C">
      <w:pPr>
        <w:spacing w:after="0" w:line="240" w:lineRule="auto"/>
        <w:jc w:val="center"/>
        <w:rPr>
          <w:rFonts w:ascii="Verdana" w:eastAsia="Times" w:hAnsi="Verdana" w:cs="Times New Roman"/>
          <w:sz w:val="20"/>
          <w:szCs w:val="20"/>
          <w:lang w:val="es-ES"/>
        </w:rPr>
      </w:pPr>
    </w:p>
    <w:p w14:paraId="582EB1BC" w14:textId="77777777" w:rsidR="00161D3C" w:rsidRPr="00161D3C" w:rsidRDefault="00161D3C" w:rsidP="00161D3C">
      <w:pPr>
        <w:spacing w:after="0" w:line="240" w:lineRule="auto"/>
        <w:rPr>
          <w:rFonts w:ascii="Verdana" w:eastAsia="Times" w:hAnsi="Verdana" w:cs="Times New Roman"/>
          <w:sz w:val="20"/>
          <w:szCs w:val="20"/>
          <w:lang w:val="es-ES"/>
        </w:rPr>
      </w:pPr>
    </w:p>
    <w:p w14:paraId="126566D8" w14:textId="77777777" w:rsidR="00161D3C" w:rsidRPr="00161D3C" w:rsidRDefault="00161D3C" w:rsidP="00161D3C">
      <w:pPr>
        <w:spacing w:after="0" w:line="240" w:lineRule="auto"/>
        <w:rPr>
          <w:rFonts w:ascii="Verdana" w:eastAsia="Times" w:hAnsi="Verdana" w:cs="Times New Roman"/>
          <w:sz w:val="20"/>
          <w:szCs w:val="20"/>
          <w:lang w:val="es-ES"/>
        </w:rPr>
      </w:pPr>
    </w:p>
    <w:p w14:paraId="5727355F" w14:textId="77777777" w:rsidR="00161D3C" w:rsidRPr="00161D3C" w:rsidRDefault="00161D3C" w:rsidP="00161D3C">
      <w:pPr>
        <w:spacing w:after="0" w:line="240" w:lineRule="auto"/>
        <w:jc w:val="center"/>
        <w:rPr>
          <w:rFonts w:ascii="Verdana" w:eastAsia="Times" w:hAnsi="Verdana" w:cs="Times New Roman"/>
          <w:sz w:val="20"/>
          <w:szCs w:val="20"/>
          <w:lang w:val="es-ES"/>
        </w:rPr>
      </w:pPr>
      <w:r w:rsidRPr="00161D3C">
        <w:rPr>
          <w:rFonts w:ascii="Verdana" w:eastAsia="Times" w:hAnsi="Verdana" w:cs="Times New Roman"/>
          <w:sz w:val="20"/>
          <w:szCs w:val="20"/>
          <w:lang w:val="es-ES"/>
        </w:rPr>
        <w:t>L. Patricio Pazmiño Freire</w:t>
      </w:r>
      <w:r w:rsidRPr="00161D3C">
        <w:rPr>
          <w:rFonts w:ascii="Verdana" w:eastAsia="Times" w:hAnsi="Verdana" w:cs="Times New Roman"/>
          <w:sz w:val="20"/>
          <w:szCs w:val="20"/>
          <w:lang w:val="es-ES"/>
        </w:rPr>
        <w:tab/>
      </w:r>
      <w:r w:rsidRPr="00161D3C">
        <w:rPr>
          <w:rFonts w:ascii="Verdana" w:eastAsia="Times" w:hAnsi="Verdana" w:cs="Times New Roman"/>
          <w:sz w:val="20"/>
          <w:szCs w:val="20"/>
          <w:lang w:val="es-ES"/>
        </w:rPr>
        <w:tab/>
      </w:r>
      <w:r w:rsidRPr="00161D3C">
        <w:rPr>
          <w:rFonts w:ascii="Verdana" w:eastAsia="Times" w:hAnsi="Verdana" w:cs="Times New Roman"/>
          <w:sz w:val="20"/>
          <w:szCs w:val="20"/>
          <w:lang w:val="es-ES"/>
        </w:rPr>
        <w:tab/>
      </w:r>
      <w:r w:rsidRPr="00161D3C">
        <w:rPr>
          <w:rFonts w:ascii="Verdana" w:eastAsia="Times" w:hAnsi="Verdana" w:cs="Times New Roman"/>
          <w:sz w:val="20"/>
          <w:szCs w:val="20"/>
          <w:lang w:val="es-ES"/>
        </w:rPr>
        <w:tab/>
      </w:r>
      <w:r w:rsidRPr="00161D3C">
        <w:rPr>
          <w:rFonts w:ascii="Verdana" w:eastAsia="Times" w:hAnsi="Verdana" w:cs="Times New Roman"/>
          <w:sz w:val="20"/>
          <w:szCs w:val="20"/>
          <w:lang w:val="es-ES"/>
        </w:rPr>
        <w:tab/>
        <w:t>Humberto Antonio Sierra Porto</w:t>
      </w:r>
      <w:r w:rsidRPr="00161D3C">
        <w:rPr>
          <w:rFonts w:ascii="Calibri" w:eastAsia="Times New Roman" w:hAnsi="Calibri" w:cs="Times New Roman"/>
          <w:noProof/>
          <w:lang w:val="es-ES" w:eastAsia="es-CR"/>
        </w:rPr>
        <w:t xml:space="preserve"> </w:t>
      </w:r>
    </w:p>
    <w:p w14:paraId="1637739A" w14:textId="77777777" w:rsidR="00161D3C" w:rsidRPr="00161D3C" w:rsidRDefault="00161D3C" w:rsidP="00161D3C">
      <w:pPr>
        <w:spacing w:after="0" w:line="240" w:lineRule="auto"/>
        <w:rPr>
          <w:rFonts w:ascii="Verdana" w:eastAsia="Times" w:hAnsi="Verdana" w:cs="Times New Roman"/>
          <w:sz w:val="20"/>
          <w:szCs w:val="20"/>
          <w:lang w:val="es-ES"/>
        </w:rPr>
      </w:pPr>
      <w:r w:rsidRPr="00161D3C">
        <w:rPr>
          <w:rFonts w:ascii="Verdana" w:eastAsia="Times" w:hAnsi="Verdana" w:cs="Times New Roman"/>
          <w:sz w:val="20"/>
          <w:szCs w:val="20"/>
          <w:lang w:val="es-ES"/>
        </w:rPr>
        <w:tab/>
      </w:r>
      <w:r w:rsidRPr="00161D3C">
        <w:rPr>
          <w:rFonts w:ascii="Verdana" w:eastAsia="Times" w:hAnsi="Verdana" w:cs="Times New Roman"/>
          <w:sz w:val="20"/>
          <w:szCs w:val="20"/>
          <w:lang w:val="es-ES"/>
        </w:rPr>
        <w:tab/>
      </w:r>
      <w:r w:rsidRPr="00161D3C">
        <w:rPr>
          <w:rFonts w:ascii="Verdana" w:eastAsia="Times" w:hAnsi="Verdana" w:cs="Times New Roman"/>
          <w:sz w:val="20"/>
          <w:szCs w:val="20"/>
          <w:lang w:val="es-ES"/>
        </w:rPr>
        <w:tab/>
      </w:r>
      <w:r w:rsidRPr="00161D3C">
        <w:rPr>
          <w:rFonts w:ascii="Verdana" w:eastAsia="Times" w:hAnsi="Verdana" w:cs="Times New Roman"/>
          <w:sz w:val="20"/>
          <w:szCs w:val="20"/>
          <w:lang w:val="es-ES"/>
        </w:rPr>
        <w:tab/>
      </w:r>
      <w:r w:rsidRPr="00161D3C">
        <w:rPr>
          <w:rFonts w:ascii="Verdana" w:eastAsia="Times" w:hAnsi="Verdana" w:cs="Times New Roman"/>
          <w:sz w:val="20"/>
          <w:szCs w:val="20"/>
          <w:lang w:val="es-ES"/>
        </w:rPr>
        <w:tab/>
      </w:r>
      <w:r w:rsidRPr="00161D3C">
        <w:rPr>
          <w:rFonts w:ascii="Verdana" w:eastAsia="Times" w:hAnsi="Verdana" w:cs="Times New Roman"/>
          <w:sz w:val="20"/>
          <w:szCs w:val="20"/>
          <w:lang w:val="es-ES"/>
        </w:rPr>
        <w:tab/>
      </w:r>
      <w:r w:rsidRPr="00161D3C">
        <w:rPr>
          <w:rFonts w:ascii="Verdana" w:eastAsia="Times" w:hAnsi="Verdana" w:cs="Times New Roman"/>
          <w:sz w:val="20"/>
          <w:szCs w:val="20"/>
          <w:lang w:val="es-ES"/>
        </w:rPr>
        <w:tab/>
      </w:r>
    </w:p>
    <w:p w14:paraId="685A989C" w14:textId="77777777" w:rsidR="00161D3C" w:rsidRPr="00161D3C" w:rsidRDefault="00161D3C" w:rsidP="00161D3C">
      <w:pPr>
        <w:spacing w:after="0" w:line="240" w:lineRule="auto"/>
        <w:rPr>
          <w:rFonts w:ascii="Verdana" w:eastAsia="Times" w:hAnsi="Verdana" w:cs="Times New Roman"/>
          <w:sz w:val="20"/>
          <w:szCs w:val="20"/>
          <w:lang w:val="es-ES"/>
        </w:rPr>
      </w:pPr>
    </w:p>
    <w:p w14:paraId="769D8551" w14:textId="77777777" w:rsidR="00161D3C" w:rsidRPr="00161D3C" w:rsidRDefault="00161D3C" w:rsidP="00161D3C">
      <w:pPr>
        <w:spacing w:after="0" w:line="240" w:lineRule="auto"/>
        <w:rPr>
          <w:rFonts w:ascii="Verdana" w:eastAsia="Times" w:hAnsi="Verdana" w:cs="Times New Roman"/>
          <w:sz w:val="20"/>
          <w:szCs w:val="20"/>
          <w:lang w:val="es-ES"/>
        </w:rPr>
      </w:pPr>
    </w:p>
    <w:p w14:paraId="14105CCE" w14:textId="77777777" w:rsidR="00161D3C" w:rsidRPr="00161D3C" w:rsidRDefault="00161D3C" w:rsidP="00161D3C">
      <w:pPr>
        <w:spacing w:after="0" w:line="240" w:lineRule="auto"/>
        <w:rPr>
          <w:rFonts w:ascii="Verdana" w:eastAsia="Times" w:hAnsi="Verdana" w:cs="Times New Roman"/>
          <w:sz w:val="20"/>
          <w:szCs w:val="20"/>
          <w:lang w:val="es-ES"/>
        </w:rPr>
      </w:pPr>
    </w:p>
    <w:p w14:paraId="52C4FF5C" w14:textId="77777777" w:rsidR="00161D3C" w:rsidRPr="00161D3C" w:rsidRDefault="00161D3C" w:rsidP="00161D3C">
      <w:pPr>
        <w:spacing w:after="0" w:line="240" w:lineRule="auto"/>
        <w:rPr>
          <w:rFonts w:ascii="Verdana" w:eastAsia="Times" w:hAnsi="Verdana" w:cs="Times New Roman"/>
          <w:sz w:val="20"/>
          <w:szCs w:val="20"/>
          <w:lang w:val="es-ES"/>
        </w:rPr>
      </w:pPr>
    </w:p>
    <w:p w14:paraId="6A8552EC" w14:textId="77777777" w:rsidR="00161D3C" w:rsidRPr="00161D3C" w:rsidRDefault="00161D3C" w:rsidP="00161D3C">
      <w:pPr>
        <w:spacing w:after="0" w:line="240" w:lineRule="auto"/>
        <w:rPr>
          <w:rFonts w:ascii="Verdana" w:eastAsia="Times" w:hAnsi="Verdana" w:cs="Times New Roman"/>
          <w:sz w:val="20"/>
          <w:szCs w:val="20"/>
          <w:lang w:val="es-ES"/>
        </w:rPr>
      </w:pPr>
    </w:p>
    <w:p w14:paraId="17CB1429" w14:textId="77777777" w:rsidR="00161D3C" w:rsidRPr="00161D3C" w:rsidRDefault="00161D3C" w:rsidP="00161D3C">
      <w:pPr>
        <w:spacing w:after="0" w:line="240" w:lineRule="auto"/>
        <w:rPr>
          <w:rFonts w:ascii="Verdana" w:eastAsia="Times" w:hAnsi="Verdana" w:cs="Times New Roman"/>
          <w:sz w:val="20"/>
          <w:szCs w:val="20"/>
          <w:lang w:val="es-ES"/>
        </w:rPr>
      </w:pPr>
    </w:p>
    <w:p w14:paraId="64D11600" w14:textId="77777777" w:rsidR="00161D3C" w:rsidRPr="00161D3C" w:rsidRDefault="00161D3C" w:rsidP="00161D3C">
      <w:pPr>
        <w:spacing w:after="0" w:line="240" w:lineRule="auto"/>
        <w:rPr>
          <w:rFonts w:ascii="Verdana" w:eastAsia="Times" w:hAnsi="Verdana" w:cs="Times New Roman"/>
          <w:sz w:val="20"/>
          <w:szCs w:val="20"/>
          <w:lang w:val="es-ES"/>
        </w:rPr>
      </w:pPr>
      <w:r w:rsidRPr="00161D3C">
        <w:rPr>
          <w:rFonts w:ascii="Verdana" w:eastAsia="Times" w:hAnsi="Verdana" w:cs="Times New Roman"/>
          <w:sz w:val="20"/>
          <w:szCs w:val="20"/>
          <w:lang w:val="es-ES"/>
        </w:rPr>
        <w:t>Eduardo Ferrer Mac-Gregor Poisot</w:t>
      </w:r>
      <w:proofErr w:type="gramStart"/>
      <w:r w:rsidRPr="00161D3C">
        <w:rPr>
          <w:rFonts w:ascii="Verdana" w:eastAsia="Times" w:hAnsi="Verdana" w:cs="Times New Roman"/>
          <w:sz w:val="20"/>
          <w:szCs w:val="20"/>
          <w:lang w:val="es-ES"/>
        </w:rPr>
        <w:tab/>
        <w:t xml:space="preserve">  </w:t>
      </w:r>
      <w:r w:rsidRPr="00161D3C">
        <w:rPr>
          <w:rFonts w:ascii="Verdana" w:eastAsia="Times" w:hAnsi="Verdana" w:cs="Times New Roman"/>
          <w:sz w:val="20"/>
          <w:szCs w:val="20"/>
          <w:lang w:val="es-ES"/>
        </w:rPr>
        <w:tab/>
      </w:r>
      <w:proofErr w:type="gramEnd"/>
      <w:r w:rsidRPr="00161D3C">
        <w:rPr>
          <w:rFonts w:ascii="Verdana" w:eastAsia="Times" w:hAnsi="Verdana" w:cs="Times New Roman"/>
          <w:sz w:val="20"/>
          <w:szCs w:val="20"/>
          <w:lang w:val="es-ES"/>
        </w:rPr>
        <w:tab/>
      </w:r>
      <w:r w:rsidRPr="00161D3C">
        <w:rPr>
          <w:rFonts w:ascii="Verdana" w:eastAsia="Times" w:hAnsi="Verdana" w:cs="Times New Roman"/>
          <w:sz w:val="20"/>
          <w:szCs w:val="20"/>
          <w:lang w:val="es-ES"/>
        </w:rPr>
        <w:tab/>
      </w:r>
      <w:r w:rsidRPr="00161D3C">
        <w:rPr>
          <w:rFonts w:ascii="Verdana" w:eastAsia="Times" w:hAnsi="Verdana" w:cs="Times New Roman"/>
          <w:sz w:val="20"/>
          <w:szCs w:val="20"/>
          <w:lang w:val="es-ES"/>
        </w:rPr>
        <w:tab/>
        <w:t xml:space="preserve">Eugenio Raúl Zaffaroni                                                 </w:t>
      </w:r>
    </w:p>
    <w:p w14:paraId="4445E52D" w14:textId="77777777" w:rsidR="00161D3C" w:rsidRPr="00161D3C" w:rsidRDefault="00161D3C" w:rsidP="00161D3C">
      <w:pPr>
        <w:spacing w:after="0" w:line="240" w:lineRule="auto"/>
        <w:rPr>
          <w:rFonts w:ascii="Verdana" w:eastAsia="Times" w:hAnsi="Verdana" w:cs="Times New Roman"/>
          <w:sz w:val="20"/>
          <w:szCs w:val="20"/>
          <w:lang w:val="es-ES"/>
        </w:rPr>
      </w:pPr>
    </w:p>
    <w:p w14:paraId="4875CDC2" w14:textId="77777777" w:rsidR="00161D3C" w:rsidRPr="00161D3C" w:rsidRDefault="00161D3C" w:rsidP="00161D3C">
      <w:pPr>
        <w:spacing w:after="0" w:line="240" w:lineRule="auto"/>
        <w:rPr>
          <w:rFonts w:ascii="Verdana" w:eastAsia="Times" w:hAnsi="Verdana" w:cs="Times New Roman"/>
          <w:sz w:val="20"/>
          <w:szCs w:val="20"/>
          <w:lang w:val="es-ES"/>
        </w:rPr>
      </w:pPr>
    </w:p>
    <w:p w14:paraId="6A636038" w14:textId="77777777" w:rsidR="00161D3C" w:rsidRPr="00161D3C" w:rsidRDefault="00161D3C" w:rsidP="00161D3C">
      <w:pPr>
        <w:spacing w:after="0" w:line="240" w:lineRule="auto"/>
        <w:rPr>
          <w:rFonts w:ascii="Verdana" w:eastAsia="Times" w:hAnsi="Verdana" w:cs="Times New Roman"/>
          <w:sz w:val="20"/>
          <w:szCs w:val="20"/>
          <w:lang w:val="es-ES"/>
        </w:rPr>
      </w:pPr>
    </w:p>
    <w:p w14:paraId="016F2EE5" w14:textId="77777777" w:rsidR="00161D3C" w:rsidRPr="00161D3C" w:rsidRDefault="00161D3C" w:rsidP="00161D3C">
      <w:pPr>
        <w:spacing w:after="0" w:line="240" w:lineRule="auto"/>
        <w:rPr>
          <w:rFonts w:ascii="Verdana" w:eastAsia="Times" w:hAnsi="Verdana" w:cs="Times New Roman"/>
          <w:sz w:val="20"/>
          <w:szCs w:val="20"/>
          <w:lang w:val="es-ES"/>
        </w:rPr>
      </w:pPr>
    </w:p>
    <w:p w14:paraId="2166C5E9" w14:textId="77777777" w:rsidR="00161D3C" w:rsidRPr="00161D3C" w:rsidRDefault="00161D3C" w:rsidP="00161D3C">
      <w:pPr>
        <w:spacing w:after="0" w:line="240" w:lineRule="auto"/>
        <w:rPr>
          <w:rFonts w:ascii="Verdana" w:eastAsia="Times" w:hAnsi="Verdana" w:cs="Times New Roman"/>
          <w:sz w:val="20"/>
          <w:szCs w:val="20"/>
          <w:lang w:val="es-ES"/>
        </w:rPr>
      </w:pPr>
    </w:p>
    <w:p w14:paraId="7EC33064" w14:textId="77777777" w:rsidR="00161D3C" w:rsidRPr="00161D3C" w:rsidRDefault="00161D3C" w:rsidP="00161D3C">
      <w:pPr>
        <w:spacing w:after="0" w:line="240" w:lineRule="auto"/>
        <w:rPr>
          <w:rFonts w:ascii="Verdana" w:eastAsia="Times" w:hAnsi="Verdana" w:cs="Times New Roman"/>
          <w:sz w:val="20"/>
          <w:szCs w:val="20"/>
          <w:lang w:val="es-ES"/>
        </w:rPr>
      </w:pPr>
    </w:p>
    <w:p w14:paraId="2124733D" w14:textId="77777777" w:rsidR="00161D3C" w:rsidRPr="00161D3C" w:rsidRDefault="00161D3C" w:rsidP="00161D3C">
      <w:pPr>
        <w:spacing w:after="0" w:line="240" w:lineRule="auto"/>
        <w:rPr>
          <w:rFonts w:ascii="Verdana" w:eastAsia="Times" w:hAnsi="Verdana" w:cs="Times New Roman"/>
          <w:sz w:val="20"/>
          <w:szCs w:val="20"/>
          <w:lang w:val="es-ES"/>
        </w:rPr>
      </w:pPr>
    </w:p>
    <w:p w14:paraId="0E65B39F" w14:textId="77777777" w:rsidR="00161D3C" w:rsidRPr="00161D3C" w:rsidRDefault="00161D3C" w:rsidP="00161D3C">
      <w:pPr>
        <w:spacing w:after="0" w:line="240" w:lineRule="auto"/>
        <w:jc w:val="center"/>
        <w:rPr>
          <w:rFonts w:ascii="Verdana" w:eastAsia="Times" w:hAnsi="Verdana" w:cs="Times New Roman"/>
          <w:sz w:val="20"/>
          <w:szCs w:val="20"/>
          <w:lang w:val="es-ES"/>
        </w:rPr>
      </w:pPr>
      <w:r w:rsidRPr="00161D3C">
        <w:rPr>
          <w:rFonts w:ascii="Verdana" w:eastAsia="Times" w:hAnsi="Verdana" w:cs="Times New Roman"/>
          <w:sz w:val="20"/>
          <w:szCs w:val="20"/>
          <w:lang w:val="es-ES"/>
        </w:rPr>
        <w:t>Ricardo C. Pérez Manrique</w:t>
      </w:r>
    </w:p>
    <w:p w14:paraId="6EA880AC" w14:textId="77777777" w:rsidR="00161D3C" w:rsidRPr="00161D3C" w:rsidRDefault="00161D3C" w:rsidP="00161D3C">
      <w:pPr>
        <w:spacing w:after="0" w:line="240" w:lineRule="auto"/>
        <w:jc w:val="both"/>
        <w:rPr>
          <w:rFonts w:ascii="Verdana" w:eastAsia="Times" w:hAnsi="Verdana" w:cs="Times New Roman"/>
          <w:sz w:val="20"/>
          <w:szCs w:val="20"/>
          <w:lang w:val="es-ES"/>
        </w:rPr>
      </w:pPr>
    </w:p>
    <w:p w14:paraId="515D433D" w14:textId="77777777" w:rsidR="00161D3C" w:rsidRPr="00161D3C" w:rsidRDefault="00161D3C" w:rsidP="00161D3C">
      <w:pPr>
        <w:spacing w:after="0" w:line="240" w:lineRule="auto"/>
        <w:jc w:val="both"/>
        <w:rPr>
          <w:rFonts w:ascii="Verdana" w:eastAsia="Times" w:hAnsi="Verdana" w:cs="Times New Roman"/>
          <w:sz w:val="20"/>
          <w:szCs w:val="20"/>
          <w:lang w:val="es-ES"/>
        </w:rPr>
      </w:pPr>
    </w:p>
    <w:p w14:paraId="01E965A3" w14:textId="77777777" w:rsidR="00161D3C" w:rsidRPr="00161D3C" w:rsidRDefault="00161D3C" w:rsidP="00161D3C">
      <w:pPr>
        <w:spacing w:after="0" w:line="240" w:lineRule="auto"/>
        <w:jc w:val="both"/>
        <w:rPr>
          <w:rFonts w:ascii="Verdana" w:eastAsia="Times" w:hAnsi="Verdana" w:cs="Times New Roman"/>
          <w:sz w:val="20"/>
          <w:szCs w:val="20"/>
          <w:lang w:val="es-ES"/>
        </w:rPr>
      </w:pPr>
    </w:p>
    <w:p w14:paraId="71ECD5F5" w14:textId="77777777" w:rsidR="00161D3C" w:rsidRPr="00161D3C" w:rsidRDefault="00161D3C" w:rsidP="00161D3C">
      <w:pPr>
        <w:spacing w:after="0" w:line="240" w:lineRule="auto"/>
        <w:jc w:val="both"/>
        <w:rPr>
          <w:rFonts w:ascii="Verdana" w:eastAsia="Times" w:hAnsi="Verdana" w:cs="Times New Roman"/>
          <w:sz w:val="20"/>
          <w:szCs w:val="20"/>
          <w:lang w:val="es-ES"/>
        </w:rPr>
      </w:pPr>
    </w:p>
    <w:p w14:paraId="25D91D9B" w14:textId="77777777" w:rsidR="00161D3C" w:rsidRPr="00161D3C" w:rsidRDefault="00161D3C" w:rsidP="00161D3C">
      <w:pPr>
        <w:spacing w:after="0" w:line="240" w:lineRule="auto"/>
        <w:jc w:val="both"/>
        <w:rPr>
          <w:rFonts w:ascii="Verdana" w:eastAsia="Times" w:hAnsi="Verdana" w:cs="Times New Roman"/>
          <w:sz w:val="20"/>
          <w:szCs w:val="20"/>
          <w:lang w:val="es-ES"/>
        </w:rPr>
      </w:pPr>
    </w:p>
    <w:p w14:paraId="1551889F" w14:textId="77777777" w:rsidR="00161D3C" w:rsidRPr="00161D3C" w:rsidRDefault="00161D3C" w:rsidP="00161D3C">
      <w:pPr>
        <w:spacing w:after="0" w:line="240" w:lineRule="auto"/>
        <w:jc w:val="center"/>
        <w:rPr>
          <w:rFonts w:ascii="Verdana" w:eastAsia="Times" w:hAnsi="Verdana" w:cs="Times New Roman"/>
          <w:sz w:val="20"/>
          <w:szCs w:val="20"/>
          <w:lang w:val="pt-BR"/>
        </w:rPr>
      </w:pPr>
      <w:r w:rsidRPr="00161D3C">
        <w:rPr>
          <w:rFonts w:ascii="Verdana" w:eastAsia="Times" w:hAnsi="Verdana" w:cs="Times New Roman"/>
          <w:sz w:val="20"/>
          <w:szCs w:val="20"/>
          <w:lang w:val="pt-BR"/>
        </w:rPr>
        <w:t>Pablo Saavedra Alessandri</w:t>
      </w:r>
    </w:p>
    <w:p w14:paraId="73F2EFE9" w14:textId="77777777" w:rsidR="00161D3C" w:rsidRPr="00161D3C" w:rsidRDefault="00161D3C" w:rsidP="00161D3C">
      <w:pPr>
        <w:spacing w:after="0" w:line="240" w:lineRule="auto"/>
        <w:jc w:val="center"/>
        <w:rPr>
          <w:rFonts w:ascii="Verdana" w:eastAsia="Times" w:hAnsi="Verdana" w:cs="Times New Roman"/>
          <w:sz w:val="20"/>
          <w:szCs w:val="20"/>
          <w:lang w:val="pt-BR"/>
        </w:rPr>
      </w:pPr>
      <w:r w:rsidRPr="00161D3C">
        <w:rPr>
          <w:rFonts w:ascii="Verdana" w:eastAsia="Times" w:hAnsi="Verdana" w:cs="Times New Roman"/>
          <w:sz w:val="20"/>
          <w:szCs w:val="20"/>
          <w:lang w:val="pt-BR"/>
        </w:rPr>
        <w:t>Secretario</w:t>
      </w:r>
    </w:p>
    <w:p w14:paraId="49EAA7AB" w14:textId="77777777" w:rsidR="00161D3C" w:rsidRPr="00161D3C" w:rsidRDefault="00161D3C" w:rsidP="00161D3C">
      <w:pPr>
        <w:spacing w:after="0" w:line="240" w:lineRule="auto"/>
        <w:jc w:val="both"/>
        <w:rPr>
          <w:rFonts w:ascii="Verdana" w:eastAsia="Times" w:hAnsi="Verdana" w:cs="Times New Roman"/>
          <w:sz w:val="20"/>
          <w:szCs w:val="20"/>
        </w:rPr>
      </w:pPr>
      <w:r w:rsidRPr="00161D3C">
        <w:rPr>
          <w:rFonts w:ascii="Verdana" w:eastAsia="Times" w:hAnsi="Verdana" w:cs="Times New Roman"/>
          <w:sz w:val="20"/>
          <w:szCs w:val="20"/>
        </w:rPr>
        <w:t>Comuníquese y ejecútese,</w:t>
      </w:r>
    </w:p>
    <w:p w14:paraId="4A2F25DC" w14:textId="77777777" w:rsidR="00161D3C" w:rsidRPr="00161D3C" w:rsidRDefault="00161D3C" w:rsidP="00161D3C">
      <w:pPr>
        <w:spacing w:after="0" w:line="240" w:lineRule="auto"/>
        <w:rPr>
          <w:rFonts w:ascii="Verdana" w:eastAsia="Times" w:hAnsi="Verdana" w:cs="Times New Roman"/>
          <w:sz w:val="20"/>
          <w:szCs w:val="20"/>
        </w:rPr>
      </w:pPr>
    </w:p>
    <w:p w14:paraId="0DCC417E" w14:textId="77777777" w:rsidR="00161D3C" w:rsidRPr="00161D3C" w:rsidRDefault="00161D3C" w:rsidP="00161D3C">
      <w:pPr>
        <w:spacing w:after="0" w:line="240" w:lineRule="auto"/>
        <w:jc w:val="center"/>
        <w:rPr>
          <w:rFonts w:ascii="Verdana" w:eastAsia="Times" w:hAnsi="Verdana" w:cs="Times New Roman"/>
          <w:sz w:val="20"/>
          <w:szCs w:val="20"/>
        </w:rPr>
      </w:pPr>
    </w:p>
    <w:p w14:paraId="6FF926B5" w14:textId="77777777" w:rsidR="00161D3C" w:rsidRPr="00161D3C" w:rsidRDefault="00161D3C" w:rsidP="00161D3C">
      <w:pPr>
        <w:spacing w:after="0" w:line="240" w:lineRule="auto"/>
        <w:jc w:val="center"/>
        <w:rPr>
          <w:rFonts w:ascii="Verdana" w:eastAsia="Times" w:hAnsi="Verdana" w:cs="Times New Roman"/>
          <w:sz w:val="20"/>
          <w:szCs w:val="20"/>
        </w:rPr>
      </w:pPr>
    </w:p>
    <w:p w14:paraId="444EE6D7" w14:textId="77777777" w:rsidR="00161D3C" w:rsidRPr="00161D3C" w:rsidRDefault="00161D3C" w:rsidP="00161D3C">
      <w:pPr>
        <w:spacing w:after="0" w:line="240" w:lineRule="auto"/>
        <w:jc w:val="right"/>
        <w:rPr>
          <w:rFonts w:ascii="Verdana" w:eastAsia="Times" w:hAnsi="Verdana" w:cs="Times New Roman"/>
          <w:sz w:val="20"/>
          <w:szCs w:val="20"/>
        </w:rPr>
      </w:pPr>
    </w:p>
    <w:p w14:paraId="21FA8DF7" w14:textId="77777777" w:rsidR="00161D3C" w:rsidRPr="00161D3C" w:rsidRDefault="00161D3C" w:rsidP="00161D3C">
      <w:pPr>
        <w:spacing w:after="0" w:line="240" w:lineRule="auto"/>
        <w:jc w:val="center"/>
        <w:rPr>
          <w:rFonts w:ascii="Verdana" w:eastAsia="Times" w:hAnsi="Verdana" w:cs="Times New Roman"/>
          <w:sz w:val="20"/>
          <w:szCs w:val="20"/>
        </w:rPr>
      </w:pPr>
      <w:r w:rsidRPr="00161D3C">
        <w:rPr>
          <w:rFonts w:ascii="Verdana" w:eastAsia="Times" w:hAnsi="Verdana" w:cs="Times New Roman"/>
          <w:sz w:val="20"/>
          <w:szCs w:val="20"/>
        </w:rPr>
        <w:t xml:space="preserve">                                                                                                Elizabeth Odio Benito</w:t>
      </w:r>
    </w:p>
    <w:p w14:paraId="2424F7A0" w14:textId="77777777" w:rsidR="00161D3C" w:rsidRPr="00161D3C" w:rsidRDefault="00161D3C" w:rsidP="00161D3C">
      <w:pPr>
        <w:spacing w:after="0" w:line="240" w:lineRule="auto"/>
        <w:ind w:left="6480" w:firstLine="720"/>
        <w:rPr>
          <w:rFonts w:ascii="Verdana" w:eastAsia="Times" w:hAnsi="Verdana" w:cs="Times New Roman"/>
          <w:sz w:val="20"/>
          <w:szCs w:val="20"/>
          <w:lang w:val="pt-BR"/>
        </w:rPr>
      </w:pPr>
      <w:r w:rsidRPr="00161D3C">
        <w:rPr>
          <w:rFonts w:ascii="Verdana" w:eastAsia="Times" w:hAnsi="Verdana" w:cs="Times New Roman"/>
          <w:sz w:val="20"/>
          <w:szCs w:val="20"/>
        </w:rPr>
        <w:t xml:space="preserve">     </w:t>
      </w:r>
      <w:r w:rsidRPr="00161D3C">
        <w:rPr>
          <w:rFonts w:ascii="Verdana" w:eastAsia="Times" w:hAnsi="Verdana" w:cs="Times New Roman"/>
          <w:sz w:val="20"/>
          <w:szCs w:val="20"/>
          <w:lang w:val="pt-BR"/>
        </w:rPr>
        <w:t>Presidenta</w:t>
      </w:r>
    </w:p>
    <w:p w14:paraId="393C8620" w14:textId="77777777" w:rsidR="00161D3C" w:rsidRPr="00161D3C" w:rsidRDefault="00161D3C" w:rsidP="00161D3C">
      <w:pPr>
        <w:spacing w:after="0" w:line="240" w:lineRule="auto"/>
        <w:jc w:val="both"/>
        <w:rPr>
          <w:rFonts w:ascii="Verdana" w:eastAsia="Times" w:hAnsi="Verdana" w:cs="Times New Roman"/>
          <w:sz w:val="20"/>
          <w:szCs w:val="20"/>
          <w:lang w:val="pt-BR"/>
        </w:rPr>
      </w:pPr>
    </w:p>
    <w:p w14:paraId="61F23AA9" w14:textId="77777777" w:rsidR="00161D3C" w:rsidRPr="00161D3C" w:rsidRDefault="00161D3C" w:rsidP="00161D3C">
      <w:pPr>
        <w:spacing w:after="0" w:line="240" w:lineRule="auto"/>
        <w:jc w:val="both"/>
        <w:rPr>
          <w:rFonts w:ascii="Verdana" w:eastAsia="Times" w:hAnsi="Verdana" w:cs="Times New Roman"/>
          <w:sz w:val="20"/>
          <w:szCs w:val="20"/>
          <w:lang w:val="pt-BR"/>
        </w:rPr>
      </w:pPr>
    </w:p>
    <w:p w14:paraId="24C158B6" w14:textId="77777777" w:rsidR="00161D3C" w:rsidRPr="00161D3C" w:rsidRDefault="00161D3C" w:rsidP="00161D3C">
      <w:pPr>
        <w:spacing w:after="0" w:line="240" w:lineRule="auto"/>
        <w:jc w:val="both"/>
        <w:rPr>
          <w:rFonts w:ascii="Verdana" w:eastAsia="Times" w:hAnsi="Verdana" w:cs="Times New Roman"/>
          <w:sz w:val="20"/>
          <w:szCs w:val="20"/>
          <w:lang w:val="pt-BR"/>
        </w:rPr>
      </w:pPr>
    </w:p>
    <w:p w14:paraId="28750680" w14:textId="77777777" w:rsidR="00161D3C" w:rsidRPr="00161D3C" w:rsidRDefault="00161D3C" w:rsidP="00161D3C">
      <w:pPr>
        <w:spacing w:after="0" w:line="240" w:lineRule="auto"/>
        <w:jc w:val="both"/>
        <w:rPr>
          <w:rFonts w:ascii="Verdana" w:eastAsia="Times" w:hAnsi="Verdana" w:cs="Times New Roman"/>
          <w:sz w:val="20"/>
          <w:szCs w:val="20"/>
          <w:lang w:val="pt-BR"/>
        </w:rPr>
      </w:pPr>
    </w:p>
    <w:p w14:paraId="2C8721CF" w14:textId="77777777" w:rsidR="00161D3C" w:rsidRPr="00161D3C" w:rsidRDefault="00161D3C" w:rsidP="00161D3C">
      <w:pPr>
        <w:spacing w:after="0" w:line="240" w:lineRule="auto"/>
        <w:jc w:val="both"/>
        <w:rPr>
          <w:rFonts w:ascii="Verdana" w:eastAsia="Times" w:hAnsi="Verdana" w:cs="Times New Roman"/>
          <w:sz w:val="20"/>
          <w:szCs w:val="20"/>
          <w:lang w:val="pt-BR"/>
        </w:rPr>
      </w:pPr>
    </w:p>
    <w:p w14:paraId="5728DCB6" w14:textId="77777777" w:rsidR="00161D3C" w:rsidRPr="00161D3C" w:rsidRDefault="00161D3C" w:rsidP="00161D3C">
      <w:pPr>
        <w:spacing w:after="0" w:line="240" w:lineRule="auto"/>
        <w:jc w:val="both"/>
        <w:rPr>
          <w:rFonts w:ascii="Verdana" w:eastAsia="Times" w:hAnsi="Verdana" w:cs="Times New Roman"/>
          <w:sz w:val="20"/>
          <w:szCs w:val="20"/>
          <w:lang w:val="pt-BR"/>
        </w:rPr>
      </w:pPr>
      <w:r w:rsidRPr="00161D3C">
        <w:rPr>
          <w:rFonts w:ascii="Verdana" w:eastAsia="Times" w:hAnsi="Verdana" w:cs="Times New Roman"/>
          <w:sz w:val="20"/>
          <w:szCs w:val="20"/>
          <w:lang w:val="pt-BR"/>
        </w:rPr>
        <w:t>Pablo Saavedra Alessandri</w:t>
      </w:r>
    </w:p>
    <w:p w14:paraId="6EE568A3" w14:textId="150B4098" w:rsidR="00161D3C" w:rsidRPr="00161D3C" w:rsidRDefault="00161D3C" w:rsidP="00161D3C">
      <w:pPr>
        <w:spacing w:after="0" w:line="240" w:lineRule="auto"/>
        <w:rPr>
          <w:rFonts w:ascii="Verdana" w:eastAsia="Times" w:hAnsi="Verdana" w:cs="Times New Roman"/>
          <w:sz w:val="20"/>
          <w:szCs w:val="20"/>
          <w:lang w:val="pt-BR"/>
        </w:rPr>
      </w:pPr>
      <w:r w:rsidRPr="00161D3C">
        <w:rPr>
          <w:rFonts w:ascii="Verdana" w:eastAsia="Times" w:hAnsi="Verdana" w:cs="Times New Roman"/>
          <w:sz w:val="20"/>
          <w:szCs w:val="20"/>
          <w:lang w:val="pt-BR"/>
        </w:rPr>
        <w:t xml:space="preserve">          Secret</w:t>
      </w:r>
      <w:r>
        <w:rPr>
          <w:rFonts w:ascii="Verdana" w:eastAsia="Times" w:hAnsi="Verdana" w:cs="Times New Roman"/>
          <w:sz w:val="20"/>
          <w:szCs w:val="20"/>
          <w:lang w:val="pt-BR"/>
        </w:rPr>
        <w:t>a</w:t>
      </w:r>
      <w:r w:rsidRPr="00161D3C">
        <w:rPr>
          <w:rFonts w:ascii="Verdana" w:eastAsia="Times" w:hAnsi="Verdana" w:cs="Times New Roman"/>
          <w:sz w:val="20"/>
          <w:szCs w:val="20"/>
          <w:lang w:val="pt-BR"/>
        </w:rPr>
        <w:t>rio</w:t>
      </w:r>
    </w:p>
    <w:sectPr w:rsidR="00161D3C" w:rsidRPr="00161D3C" w:rsidSect="00B14235">
      <w:footerReference w:type="default" r:id="rId8"/>
      <w:pgSz w:w="12240" w:h="15840"/>
      <w:pgMar w:top="1440" w:right="1247" w:bottom="144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F14D3" w14:textId="77777777" w:rsidR="00392F07" w:rsidRDefault="00392F07" w:rsidP="00A57ACC">
      <w:pPr>
        <w:spacing w:after="0" w:line="240" w:lineRule="auto"/>
      </w:pPr>
      <w:r>
        <w:separator/>
      </w:r>
    </w:p>
  </w:endnote>
  <w:endnote w:type="continuationSeparator" w:id="0">
    <w:p w14:paraId="560AD0B8" w14:textId="77777777" w:rsidR="00392F07" w:rsidRDefault="00392F07" w:rsidP="00A57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481121"/>
      <w:docPartObj>
        <w:docPartGallery w:val="Page Numbers (Bottom of Page)"/>
        <w:docPartUnique/>
      </w:docPartObj>
    </w:sdtPr>
    <w:sdtEndPr>
      <w:rPr>
        <w:noProof/>
      </w:rPr>
    </w:sdtEndPr>
    <w:sdtContent>
      <w:p w14:paraId="5870C9CE" w14:textId="3D1E5204" w:rsidR="00FE70DC" w:rsidRDefault="00FE70DC">
        <w:pPr>
          <w:pStyle w:val="Piedepgina"/>
          <w:jc w:val="center"/>
        </w:pPr>
        <w:r w:rsidRPr="00151723">
          <w:rPr>
            <w:rFonts w:ascii="Verdana" w:hAnsi="Verdana"/>
            <w:sz w:val="20"/>
            <w:szCs w:val="20"/>
          </w:rPr>
          <w:fldChar w:fldCharType="begin"/>
        </w:r>
        <w:r w:rsidRPr="00151723">
          <w:rPr>
            <w:rFonts w:ascii="Verdana" w:hAnsi="Verdana"/>
            <w:sz w:val="20"/>
            <w:szCs w:val="20"/>
          </w:rPr>
          <w:instrText xml:space="preserve"> PAGE   \* MERGEFORMAT </w:instrText>
        </w:r>
        <w:r w:rsidRPr="00151723">
          <w:rPr>
            <w:rFonts w:ascii="Verdana" w:hAnsi="Verdana"/>
            <w:sz w:val="20"/>
            <w:szCs w:val="20"/>
          </w:rPr>
          <w:fldChar w:fldCharType="separate"/>
        </w:r>
        <w:r w:rsidR="00E935A2">
          <w:rPr>
            <w:rFonts w:ascii="Verdana" w:hAnsi="Verdana"/>
            <w:noProof/>
            <w:sz w:val="20"/>
            <w:szCs w:val="20"/>
          </w:rPr>
          <w:t>8</w:t>
        </w:r>
        <w:r w:rsidRPr="00151723">
          <w:rPr>
            <w:rFonts w:ascii="Verdana" w:hAnsi="Verdana"/>
            <w:noProof/>
            <w:sz w:val="20"/>
            <w:szCs w:val="20"/>
          </w:rPr>
          <w:fldChar w:fldCharType="end"/>
        </w:r>
      </w:p>
    </w:sdtContent>
  </w:sdt>
  <w:p w14:paraId="79FADBA5" w14:textId="77777777" w:rsidR="00FE70DC" w:rsidRDefault="00FE70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149DC" w14:textId="77777777" w:rsidR="00392F07" w:rsidRDefault="00392F07" w:rsidP="00A57ACC">
      <w:pPr>
        <w:spacing w:after="0" w:line="240" w:lineRule="auto"/>
      </w:pPr>
      <w:r>
        <w:separator/>
      </w:r>
    </w:p>
  </w:footnote>
  <w:footnote w:type="continuationSeparator" w:id="0">
    <w:p w14:paraId="0206BEB0" w14:textId="77777777" w:rsidR="00392F07" w:rsidRDefault="00392F07" w:rsidP="00A57ACC">
      <w:pPr>
        <w:spacing w:after="0" w:line="240" w:lineRule="auto"/>
      </w:pPr>
      <w:r>
        <w:continuationSeparator/>
      </w:r>
    </w:p>
  </w:footnote>
  <w:footnote w:id="1">
    <w:p w14:paraId="618408B1" w14:textId="270A1211" w:rsidR="00CF0B63" w:rsidRPr="00874C2D" w:rsidRDefault="00CF0B63" w:rsidP="00874C2D">
      <w:pPr>
        <w:pStyle w:val="Textonotapie"/>
        <w:spacing w:before="20" w:after="20"/>
        <w:jc w:val="both"/>
        <w:rPr>
          <w:rFonts w:ascii="Verdana" w:hAnsi="Verdana"/>
          <w:sz w:val="16"/>
          <w:szCs w:val="16"/>
        </w:rPr>
      </w:pPr>
      <w:r w:rsidRPr="00874C2D">
        <w:rPr>
          <w:rStyle w:val="Refdenotaalpie"/>
          <w:rFonts w:ascii="Verdana" w:hAnsi="Verdana"/>
          <w:sz w:val="16"/>
          <w:szCs w:val="16"/>
        </w:rPr>
        <w:t>*</w:t>
      </w:r>
      <w:r w:rsidRPr="00874C2D">
        <w:rPr>
          <w:rFonts w:ascii="Verdana" w:hAnsi="Verdana"/>
          <w:sz w:val="16"/>
          <w:szCs w:val="16"/>
        </w:rPr>
        <w:t xml:space="preserve"> </w:t>
      </w:r>
      <w:r w:rsidRPr="00874C2D">
        <w:rPr>
          <w:rFonts w:ascii="Verdana" w:hAnsi="Verdana"/>
          <w:sz w:val="16"/>
          <w:szCs w:val="16"/>
        </w:rPr>
        <w:tab/>
        <w:t xml:space="preserve">La presente Sentencia de Interpretación se dicta en el </w:t>
      </w:r>
      <w:r w:rsidR="000539D8" w:rsidRPr="00874C2D">
        <w:rPr>
          <w:rFonts w:ascii="Verdana" w:hAnsi="Verdana"/>
          <w:sz w:val="16"/>
          <w:szCs w:val="16"/>
        </w:rPr>
        <w:t>154</w:t>
      </w:r>
      <w:r w:rsidR="00B14235" w:rsidRPr="00874C2D">
        <w:rPr>
          <w:rFonts w:ascii="Verdana" w:hAnsi="Verdana"/>
          <w:sz w:val="16"/>
          <w:szCs w:val="16"/>
        </w:rPr>
        <w:t xml:space="preserve">° </w:t>
      </w:r>
      <w:r w:rsidRPr="00874C2D">
        <w:rPr>
          <w:rFonts w:ascii="Verdana" w:hAnsi="Verdana"/>
          <w:sz w:val="16"/>
          <w:szCs w:val="16"/>
        </w:rPr>
        <w:t xml:space="preserve">Período </w:t>
      </w:r>
      <w:r w:rsidR="000539D8" w:rsidRPr="00874C2D">
        <w:rPr>
          <w:rFonts w:ascii="Verdana" w:hAnsi="Verdana"/>
          <w:sz w:val="16"/>
          <w:szCs w:val="16"/>
        </w:rPr>
        <w:t>Ordinario</w:t>
      </w:r>
      <w:r w:rsidR="00426A78" w:rsidRPr="00874C2D">
        <w:rPr>
          <w:rFonts w:ascii="Verdana" w:hAnsi="Verdana"/>
          <w:sz w:val="16"/>
          <w:szCs w:val="16"/>
        </w:rPr>
        <w:t xml:space="preserve"> </w:t>
      </w:r>
      <w:r w:rsidRPr="00874C2D">
        <w:rPr>
          <w:rFonts w:ascii="Verdana" w:hAnsi="Verdana"/>
          <w:sz w:val="16"/>
          <w:szCs w:val="16"/>
        </w:rPr>
        <w:t xml:space="preserve">de Sesiones de la Corte, el cual se llevó a cabo de forma no presencial utilizando los medios tecnológicos de conformidad con lo establecido en el Reglamento de la Corte. </w:t>
      </w:r>
      <w:r w:rsidR="006A61D1" w:rsidRPr="00874C2D">
        <w:rPr>
          <w:rFonts w:ascii="Verdana" w:hAnsi="Verdana"/>
          <w:sz w:val="16"/>
          <w:szCs w:val="16"/>
        </w:rPr>
        <w:t>E</w:t>
      </w:r>
      <w:r w:rsidRPr="00874C2D">
        <w:rPr>
          <w:rFonts w:ascii="Verdana" w:hAnsi="Verdana"/>
          <w:sz w:val="16"/>
          <w:szCs w:val="16"/>
        </w:rPr>
        <w:t xml:space="preserve">l Juez Eduardo Vio Grossi, por razones de fuerza mayor aceptadas por el Pleno del Tribunal, no </w:t>
      </w:r>
      <w:r w:rsidR="006A61D1" w:rsidRPr="00874C2D">
        <w:rPr>
          <w:rFonts w:ascii="Verdana" w:hAnsi="Verdana"/>
          <w:sz w:val="16"/>
          <w:szCs w:val="16"/>
        </w:rPr>
        <w:t>participó</w:t>
      </w:r>
      <w:r w:rsidRPr="00874C2D">
        <w:rPr>
          <w:rFonts w:ascii="Verdana" w:hAnsi="Verdana"/>
          <w:sz w:val="16"/>
          <w:szCs w:val="16"/>
        </w:rPr>
        <w:t xml:space="preserve"> en la deliberación y firma de la presente Sentencia de Interpretación.</w:t>
      </w:r>
    </w:p>
  </w:footnote>
  <w:footnote w:id="2">
    <w:p w14:paraId="14AA65F9" w14:textId="07E5E1B3" w:rsidR="0096691C" w:rsidRPr="00874C2D" w:rsidRDefault="0096691C" w:rsidP="00874C2D">
      <w:pPr>
        <w:pStyle w:val="Textonotapie"/>
        <w:spacing w:before="20" w:after="20"/>
        <w:jc w:val="both"/>
        <w:rPr>
          <w:rFonts w:ascii="Verdana" w:hAnsi="Verdana"/>
          <w:sz w:val="16"/>
          <w:szCs w:val="16"/>
        </w:rPr>
      </w:pPr>
      <w:r w:rsidRPr="00874C2D">
        <w:rPr>
          <w:rStyle w:val="Refdenotaalpie"/>
          <w:rFonts w:ascii="Verdana" w:hAnsi="Verdana"/>
          <w:sz w:val="16"/>
          <w:szCs w:val="16"/>
        </w:rPr>
        <w:footnoteRef/>
      </w:r>
      <w:r w:rsidRPr="00874C2D">
        <w:rPr>
          <w:rFonts w:ascii="Verdana" w:hAnsi="Verdana"/>
          <w:sz w:val="16"/>
          <w:szCs w:val="16"/>
        </w:rPr>
        <w:t xml:space="preserve"> </w:t>
      </w:r>
      <w:r w:rsidRPr="00874C2D">
        <w:rPr>
          <w:rFonts w:ascii="Verdana" w:hAnsi="Verdana"/>
          <w:sz w:val="16"/>
          <w:szCs w:val="16"/>
        </w:rPr>
        <w:tab/>
        <w:t xml:space="preserve">Dicho punto resolutivo ordenó al Estado de Perú realizar “el pago efectivo de los reintegros pendientes de pago por concepto de lo dispuesto por la sentencia de 12 de febrero de 1992, en los términos de los párrafos 125 y 143 a 148 de la presente Sentencia”. </w:t>
      </w:r>
    </w:p>
  </w:footnote>
  <w:footnote w:id="3">
    <w:p w14:paraId="6273C25D" w14:textId="2E602E8B" w:rsidR="003446D4" w:rsidRPr="00874C2D" w:rsidRDefault="003446D4" w:rsidP="00874C2D">
      <w:pPr>
        <w:pStyle w:val="Textonotapie"/>
        <w:spacing w:before="20" w:after="20"/>
        <w:jc w:val="both"/>
        <w:rPr>
          <w:rFonts w:ascii="Verdana" w:hAnsi="Verdana"/>
          <w:sz w:val="16"/>
          <w:szCs w:val="16"/>
        </w:rPr>
      </w:pPr>
      <w:r w:rsidRPr="00874C2D">
        <w:rPr>
          <w:rStyle w:val="Refdenotaalpie"/>
          <w:rFonts w:ascii="Verdana" w:hAnsi="Verdana"/>
          <w:sz w:val="16"/>
          <w:szCs w:val="16"/>
        </w:rPr>
        <w:footnoteRef/>
      </w:r>
      <w:r w:rsidRPr="00874C2D">
        <w:rPr>
          <w:rFonts w:ascii="Verdana" w:hAnsi="Verdana"/>
          <w:sz w:val="16"/>
          <w:szCs w:val="16"/>
        </w:rPr>
        <w:t xml:space="preserve"> </w:t>
      </w:r>
      <w:r w:rsidRPr="00874C2D">
        <w:rPr>
          <w:rFonts w:ascii="Verdana" w:hAnsi="Verdana"/>
          <w:sz w:val="16"/>
          <w:szCs w:val="16"/>
        </w:rPr>
        <w:tab/>
        <w:t xml:space="preserve">En el presente caso ejercieron la representación de las víctimas ante la Corte, por un lado, la señora Dora Meneses Huayra, quien representaba a 1560 víctimas y, por otro, los señores Sergio S. Valdivia Ayala, Víctor J. Guerrero Cassuso, Julio G. Rossi Mérida y María Luisa G. Valdivia, encargados de representar a las 2.530 víctimas restantes (para más información, ver Anexo I de la Sentencia de Excepciones Preliminares, </w:t>
      </w:r>
      <w:r w:rsidR="00B52065" w:rsidRPr="00874C2D">
        <w:rPr>
          <w:rFonts w:ascii="Verdana" w:hAnsi="Verdana"/>
          <w:sz w:val="16"/>
          <w:szCs w:val="16"/>
        </w:rPr>
        <w:t>Fondo y Reparaciones</w:t>
      </w:r>
      <w:r w:rsidRPr="00874C2D">
        <w:rPr>
          <w:rFonts w:ascii="Verdana" w:hAnsi="Verdana"/>
          <w:sz w:val="16"/>
          <w:szCs w:val="16"/>
        </w:rPr>
        <w:t>). Con fecha 3 de agosto de 2022, una vez transcurrido el plazo estipulado en el artículo 67 de la Convención Americana para interponer una solicitud de interpretación, el abogado Luis Enrique Mejía Montes se acreditó ante la Corte como abogado de 61 víctimas.</w:t>
      </w:r>
    </w:p>
  </w:footnote>
  <w:footnote w:id="4">
    <w:p w14:paraId="351C28D4" w14:textId="53C2A795" w:rsidR="00FE70DC" w:rsidRPr="00874C2D" w:rsidRDefault="00FE70DC" w:rsidP="00874C2D">
      <w:pPr>
        <w:pStyle w:val="Textonotapie"/>
        <w:spacing w:before="20" w:after="20"/>
        <w:jc w:val="both"/>
        <w:rPr>
          <w:rFonts w:ascii="Verdana" w:hAnsi="Verdana"/>
          <w:sz w:val="16"/>
          <w:szCs w:val="16"/>
        </w:rPr>
      </w:pPr>
      <w:r w:rsidRPr="00874C2D">
        <w:rPr>
          <w:rStyle w:val="Refdenotaalpie"/>
          <w:rFonts w:ascii="Verdana" w:hAnsi="Verdana"/>
          <w:sz w:val="16"/>
          <w:szCs w:val="16"/>
        </w:rPr>
        <w:footnoteRef/>
      </w:r>
      <w:r w:rsidRPr="00874C2D">
        <w:rPr>
          <w:rFonts w:ascii="Verdana" w:hAnsi="Verdana"/>
          <w:sz w:val="16"/>
          <w:szCs w:val="16"/>
        </w:rPr>
        <w:t xml:space="preserve"> </w:t>
      </w:r>
      <w:r w:rsidRPr="00874C2D">
        <w:rPr>
          <w:rFonts w:ascii="Verdana" w:hAnsi="Verdana"/>
          <w:sz w:val="16"/>
          <w:szCs w:val="16"/>
        </w:rPr>
        <w:tab/>
      </w:r>
      <w:r w:rsidRPr="00874C2D">
        <w:rPr>
          <w:rFonts w:ascii="Verdana" w:hAnsi="Verdana"/>
          <w:i/>
          <w:sz w:val="16"/>
          <w:szCs w:val="16"/>
        </w:rPr>
        <w:t>Cfr. Caso Loayza Tamayo Vs. Perú. Interpretación de la Sentencia de Fondo.</w:t>
      </w:r>
      <w:r w:rsidRPr="00874C2D">
        <w:rPr>
          <w:rFonts w:ascii="Verdana" w:hAnsi="Verdana"/>
          <w:sz w:val="16"/>
          <w:szCs w:val="16"/>
        </w:rPr>
        <w:t xml:space="preserve"> Resolución de la Corte Interamericana de Derechos Humanos de 8 de marzo de 1998. Serie C No. 47, párr. 16, y </w:t>
      </w:r>
      <w:r w:rsidR="001E3F2A" w:rsidRPr="00874C2D">
        <w:rPr>
          <w:rFonts w:ascii="Verdana" w:hAnsi="Verdana"/>
          <w:i/>
          <w:sz w:val="16"/>
          <w:szCs w:val="16"/>
        </w:rPr>
        <w:t xml:space="preserve">Caso </w:t>
      </w:r>
      <w:r w:rsidR="00F62793" w:rsidRPr="00874C2D">
        <w:rPr>
          <w:rFonts w:ascii="Verdana" w:hAnsi="Verdana"/>
          <w:i/>
          <w:sz w:val="16"/>
          <w:szCs w:val="16"/>
        </w:rPr>
        <w:t>Maidanik y otros Vs. Uruguay</w:t>
      </w:r>
      <w:r w:rsidR="001E3F2A" w:rsidRPr="00874C2D">
        <w:rPr>
          <w:rFonts w:ascii="Verdana" w:hAnsi="Verdana"/>
          <w:i/>
          <w:sz w:val="16"/>
          <w:szCs w:val="16"/>
        </w:rPr>
        <w:t xml:space="preserve">. Interpretación de la Sentencia de Excepciones preliminares, Fondo, Reparaciones y Costas. </w:t>
      </w:r>
      <w:r w:rsidR="001E3F2A" w:rsidRPr="00874C2D">
        <w:rPr>
          <w:rFonts w:ascii="Verdana" w:hAnsi="Verdana"/>
          <w:iCs/>
          <w:sz w:val="16"/>
          <w:szCs w:val="16"/>
        </w:rPr>
        <w:t xml:space="preserve">Sentencia de </w:t>
      </w:r>
      <w:r w:rsidR="00F62793" w:rsidRPr="00874C2D">
        <w:rPr>
          <w:rFonts w:ascii="Verdana" w:hAnsi="Verdana"/>
          <w:iCs/>
          <w:sz w:val="16"/>
          <w:szCs w:val="16"/>
        </w:rPr>
        <w:t>2</w:t>
      </w:r>
      <w:r w:rsidR="001E3F2A" w:rsidRPr="00874C2D">
        <w:rPr>
          <w:rFonts w:ascii="Verdana" w:hAnsi="Verdana"/>
          <w:iCs/>
          <w:sz w:val="16"/>
          <w:szCs w:val="16"/>
        </w:rPr>
        <w:t xml:space="preserve">1 de </w:t>
      </w:r>
      <w:r w:rsidR="00F62793" w:rsidRPr="00874C2D">
        <w:rPr>
          <w:rFonts w:ascii="Verdana" w:hAnsi="Verdana"/>
          <w:iCs/>
          <w:sz w:val="16"/>
          <w:szCs w:val="16"/>
        </w:rPr>
        <w:t xml:space="preserve">noviembre </w:t>
      </w:r>
      <w:r w:rsidR="001E3F2A" w:rsidRPr="00874C2D">
        <w:rPr>
          <w:rFonts w:ascii="Verdana" w:hAnsi="Verdana"/>
          <w:iCs/>
          <w:sz w:val="16"/>
          <w:szCs w:val="16"/>
        </w:rPr>
        <w:t>de 202</w:t>
      </w:r>
      <w:r w:rsidR="00F62793" w:rsidRPr="00874C2D">
        <w:rPr>
          <w:rFonts w:ascii="Verdana" w:hAnsi="Verdana"/>
          <w:iCs/>
          <w:sz w:val="16"/>
          <w:szCs w:val="16"/>
        </w:rPr>
        <w:t>2</w:t>
      </w:r>
      <w:r w:rsidR="001E3F2A" w:rsidRPr="00874C2D">
        <w:rPr>
          <w:rFonts w:ascii="Verdana" w:hAnsi="Verdana"/>
          <w:iCs/>
          <w:sz w:val="16"/>
          <w:szCs w:val="16"/>
        </w:rPr>
        <w:t>. Serie C No. 4</w:t>
      </w:r>
      <w:r w:rsidR="00F62793" w:rsidRPr="00874C2D">
        <w:rPr>
          <w:rFonts w:ascii="Verdana" w:hAnsi="Verdana"/>
          <w:iCs/>
          <w:sz w:val="16"/>
          <w:szCs w:val="16"/>
        </w:rPr>
        <w:t>78</w:t>
      </w:r>
      <w:r w:rsidR="001E3F2A" w:rsidRPr="00874C2D">
        <w:rPr>
          <w:rFonts w:ascii="Verdana" w:hAnsi="Verdana"/>
          <w:iCs/>
          <w:sz w:val="16"/>
          <w:szCs w:val="16"/>
        </w:rPr>
        <w:t xml:space="preserve">, párr. </w:t>
      </w:r>
      <w:r w:rsidR="00F62793" w:rsidRPr="00874C2D">
        <w:rPr>
          <w:rFonts w:ascii="Verdana" w:hAnsi="Verdana"/>
          <w:iCs/>
          <w:sz w:val="16"/>
          <w:szCs w:val="16"/>
        </w:rPr>
        <w:t>9</w:t>
      </w:r>
      <w:r w:rsidR="001E3F2A" w:rsidRPr="00874C2D">
        <w:rPr>
          <w:rFonts w:ascii="Verdana" w:hAnsi="Verdana"/>
          <w:iCs/>
          <w:sz w:val="16"/>
          <w:szCs w:val="16"/>
        </w:rPr>
        <w:t>.</w:t>
      </w:r>
    </w:p>
  </w:footnote>
  <w:footnote w:id="5">
    <w:p w14:paraId="14571B78" w14:textId="6109CB76" w:rsidR="00FE70DC" w:rsidRPr="00874C2D" w:rsidRDefault="00FE70DC" w:rsidP="00874C2D">
      <w:pPr>
        <w:pStyle w:val="Textonotapie"/>
        <w:spacing w:before="20" w:after="20"/>
        <w:jc w:val="both"/>
        <w:rPr>
          <w:rFonts w:ascii="Verdana" w:hAnsi="Verdana"/>
          <w:sz w:val="16"/>
          <w:szCs w:val="16"/>
        </w:rPr>
      </w:pPr>
      <w:r w:rsidRPr="00874C2D">
        <w:rPr>
          <w:rStyle w:val="Refdenotaalpie"/>
          <w:rFonts w:ascii="Verdana" w:hAnsi="Verdana"/>
          <w:sz w:val="16"/>
          <w:szCs w:val="16"/>
        </w:rPr>
        <w:footnoteRef/>
      </w:r>
      <w:r w:rsidRPr="00874C2D">
        <w:rPr>
          <w:rFonts w:ascii="Verdana" w:hAnsi="Verdana"/>
          <w:sz w:val="16"/>
          <w:szCs w:val="16"/>
        </w:rPr>
        <w:t xml:space="preserve"> </w:t>
      </w:r>
      <w:r w:rsidRPr="00874C2D">
        <w:rPr>
          <w:rFonts w:ascii="Verdana" w:hAnsi="Verdana"/>
          <w:sz w:val="16"/>
          <w:szCs w:val="16"/>
        </w:rPr>
        <w:tab/>
      </w:r>
      <w:r w:rsidRPr="00874C2D">
        <w:rPr>
          <w:rFonts w:ascii="Verdana" w:hAnsi="Verdana"/>
          <w:i/>
          <w:sz w:val="16"/>
          <w:szCs w:val="16"/>
        </w:rPr>
        <w:t>Cfr. Caso Loayza Tamayo Vs. Perú. Interpretación de la Sentencia de Fondo, supra,</w:t>
      </w:r>
      <w:r w:rsidRPr="00874C2D">
        <w:rPr>
          <w:rFonts w:ascii="Verdana" w:hAnsi="Verdana"/>
          <w:sz w:val="16"/>
          <w:szCs w:val="16"/>
        </w:rPr>
        <w:t xml:space="preserve"> párr. 16</w:t>
      </w:r>
      <w:r w:rsidR="001E3F2A" w:rsidRPr="00874C2D">
        <w:rPr>
          <w:rFonts w:ascii="Verdana" w:hAnsi="Verdana"/>
          <w:sz w:val="16"/>
          <w:szCs w:val="16"/>
        </w:rPr>
        <w:t xml:space="preserve">, y </w:t>
      </w:r>
      <w:r w:rsidR="001E3F2A" w:rsidRPr="00874C2D">
        <w:rPr>
          <w:rFonts w:ascii="Verdana" w:hAnsi="Verdana"/>
          <w:i/>
          <w:sz w:val="16"/>
          <w:szCs w:val="16"/>
        </w:rPr>
        <w:t xml:space="preserve">Caso </w:t>
      </w:r>
      <w:r w:rsidR="00F62793" w:rsidRPr="00874C2D">
        <w:rPr>
          <w:rFonts w:ascii="Verdana" w:hAnsi="Verdana"/>
          <w:i/>
          <w:sz w:val="16"/>
          <w:szCs w:val="16"/>
        </w:rPr>
        <w:t xml:space="preserve">Maidanik y otros </w:t>
      </w:r>
      <w:r w:rsidR="001E3F2A" w:rsidRPr="00874C2D">
        <w:rPr>
          <w:rFonts w:ascii="Verdana" w:hAnsi="Verdana"/>
          <w:i/>
          <w:sz w:val="16"/>
          <w:szCs w:val="16"/>
        </w:rPr>
        <w:t xml:space="preserve">Vs. </w:t>
      </w:r>
      <w:r w:rsidR="00F62793" w:rsidRPr="00874C2D">
        <w:rPr>
          <w:rFonts w:ascii="Verdana" w:hAnsi="Verdana"/>
          <w:i/>
          <w:sz w:val="16"/>
          <w:szCs w:val="16"/>
        </w:rPr>
        <w:t>Uruguay</w:t>
      </w:r>
      <w:r w:rsidR="001E3F2A" w:rsidRPr="00874C2D">
        <w:rPr>
          <w:rFonts w:ascii="Verdana" w:hAnsi="Verdana"/>
          <w:i/>
          <w:sz w:val="16"/>
          <w:szCs w:val="16"/>
        </w:rPr>
        <w:t>, supra</w:t>
      </w:r>
      <w:r w:rsidR="001E3F2A" w:rsidRPr="00874C2D">
        <w:rPr>
          <w:rFonts w:ascii="Verdana" w:hAnsi="Verdana"/>
          <w:iCs/>
          <w:sz w:val="16"/>
          <w:szCs w:val="16"/>
        </w:rPr>
        <w:t xml:space="preserve">, párr. </w:t>
      </w:r>
      <w:r w:rsidR="00F62793" w:rsidRPr="00874C2D">
        <w:rPr>
          <w:rFonts w:ascii="Verdana" w:hAnsi="Verdana"/>
          <w:iCs/>
          <w:sz w:val="16"/>
          <w:szCs w:val="16"/>
        </w:rPr>
        <w:t>9</w:t>
      </w:r>
      <w:r w:rsidR="001E3F2A" w:rsidRPr="00874C2D">
        <w:rPr>
          <w:rFonts w:ascii="Verdana" w:hAnsi="Verdana"/>
          <w:iCs/>
          <w:sz w:val="16"/>
          <w:szCs w:val="16"/>
        </w:rPr>
        <w:t>.</w:t>
      </w:r>
    </w:p>
  </w:footnote>
  <w:footnote w:id="6">
    <w:p w14:paraId="2D80245A" w14:textId="7734595D" w:rsidR="005A46F0" w:rsidRPr="00874C2D" w:rsidRDefault="005A46F0" w:rsidP="00874C2D">
      <w:pPr>
        <w:pStyle w:val="Textonotapie"/>
        <w:spacing w:before="20" w:after="20"/>
        <w:jc w:val="both"/>
        <w:rPr>
          <w:rFonts w:ascii="Verdana" w:hAnsi="Verdana"/>
          <w:sz w:val="16"/>
          <w:szCs w:val="16"/>
        </w:rPr>
      </w:pPr>
      <w:r w:rsidRPr="00874C2D">
        <w:rPr>
          <w:rStyle w:val="Refdenotaalpie"/>
          <w:rFonts w:ascii="Verdana" w:hAnsi="Verdana"/>
          <w:sz w:val="16"/>
          <w:szCs w:val="16"/>
        </w:rPr>
        <w:footnoteRef/>
      </w:r>
      <w:r w:rsidRPr="00874C2D">
        <w:rPr>
          <w:rFonts w:ascii="Verdana" w:hAnsi="Verdana"/>
          <w:sz w:val="16"/>
          <w:szCs w:val="16"/>
        </w:rPr>
        <w:t xml:space="preserve"> </w:t>
      </w:r>
      <w:r w:rsidRPr="00874C2D">
        <w:rPr>
          <w:rFonts w:ascii="Verdana" w:hAnsi="Verdana"/>
          <w:sz w:val="16"/>
          <w:szCs w:val="16"/>
        </w:rPr>
        <w:tab/>
      </w:r>
      <w:r w:rsidRPr="00874C2D">
        <w:rPr>
          <w:rFonts w:ascii="Verdana" w:hAnsi="Verdana"/>
          <w:i/>
          <w:sz w:val="16"/>
          <w:szCs w:val="16"/>
        </w:rPr>
        <w:t>Cfr. Caso Loayza Tamayo Vs. Perú. Interpretación de la Sentencia de Reparaciones y Costas</w:t>
      </w:r>
      <w:r w:rsidRPr="00874C2D">
        <w:rPr>
          <w:rFonts w:ascii="Verdana" w:hAnsi="Verdana"/>
          <w:sz w:val="16"/>
          <w:szCs w:val="16"/>
        </w:rPr>
        <w:t>,</w:t>
      </w:r>
      <w:r w:rsidRPr="00874C2D">
        <w:rPr>
          <w:rFonts w:ascii="Verdana" w:hAnsi="Verdana"/>
          <w:sz w:val="16"/>
          <w:szCs w:val="16"/>
          <w:lang w:val="es-ES"/>
        </w:rPr>
        <w:t xml:space="preserve"> </w:t>
      </w:r>
      <w:r w:rsidRPr="00874C2D">
        <w:rPr>
          <w:rFonts w:ascii="Verdana" w:hAnsi="Verdana"/>
          <w:i/>
          <w:sz w:val="16"/>
          <w:szCs w:val="16"/>
          <w:lang w:val="es-ES"/>
        </w:rPr>
        <w:t>supra</w:t>
      </w:r>
      <w:r w:rsidRPr="00874C2D">
        <w:rPr>
          <w:rFonts w:ascii="Verdana" w:hAnsi="Verdana"/>
          <w:sz w:val="16"/>
          <w:szCs w:val="16"/>
          <w:lang w:val="es-ES"/>
        </w:rPr>
        <w:t>,</w:t>
      </w:r>
      <w:r w:rsidRPr="00874C2D">
        <w:rPr>
          <w:rFonts w:ascii="Verdana" w:hAnsi="Verdana"/>
          <w:sz w:val="16"/>
          <w:szCs w:val="16"/>
        </w:rPr>
        <w:t xml:space="preserve"> párr. 15</w:t>
      </w:r>
      <w:r w:rsidR="001E3F2A" w:rsidRPr="00874C2D">
        <w:rPr>
          <w:rFonts w:ascii="Verdana" w:hAnsi="Verdana"/>
          <w:sz w:val="16"/>
          <w:szCs w:val="16"/>
        </w:rPr>
        <w:t xml:space="preserve">, y </w:t>
      </w:r>
      <w:r w:rsidR="001E3F2A" w:rsidRPr="00874C2D">
        <w:rPr>
          <w:rFonts w:ascii="Verdana" w:hAnsi="Verdana"/>
          <w:i/>
          <w:sz w:val="16"/>
          <w:szCs w:val="16"/>
        </w:rPr>
        <w:t xml:space="preserve">Caso </w:t>
      </w:r>
      <w:r w:rsidR="00F62793" w:rsidRPr="00874C2D">
        <w:rPr>
          <w:rFonts w:ascii="Verdana" w:hAnsi="Verdana"/>
          <w:i/>
          <w:sz w:val="16"/>
          <w:szCs w:val="16"/>
        </w:rPr>
        <w:t>Maidanik y otros</w:t>
      </w:r>
      <w:r w:rsidR="001E3F2A" w:rsidRPr="00874C2D">
        <w:rPr>
          <w:rFonts w:ascii="Verdana" w:hAnsi="Verdana"/>
          <w:i/>
          <w:sz w:val="16"/>
          <w:szCs w:val="16"/>
        </w:rPr>
        <w:t xml:space="preserve"> Vs. </w:t>
      </w:r>
      <w:r w:rsidR="00F62793" w:rsidRPr="00874C2D">
        <w:rPr>
          <w:rFonts w:ascii="Verdana" w:hAnsi="Verdana"/>
          <w:i/>
          <w:sz w:val="16"/>
          <w:szCs w:val="16"/>
        </w:rPr>
        <w:t>Uruguay</w:t>
      </w:r>
      <w:r w:rsidR="001E3F2A" w:rsidRPr="00874C2D">
        <w:rPr>
          <w:rFonts w:ascii="Verdana" w:hAnsi="Verdana"/>
          <w:i/>
          <w:sz w:val="16"/>
          <w:szCs w:val="16"/>
        </w:rPr>
        <w:t>, supra</w:t>
      </w:r>
      <w:r w:rsidR="001E3F2A" w:rsidRPr="00874C2D">
        <w:rPr>
          <w:rFonts w:ascii="Verdana" w:hAnsi="Verdana"/>
          <w:iCs/>
          <w:sz w:val="16"/>
          <w:szCs w:val="16"/>
        </w:rPr>
        <w:t>, párr. 1</w:t>
      </w:r>
      <w:r w:rsidR="00F62793" w:rsidRPr="00874C2D">
        <w:rPr>
          <w:rFonts w:ascii="Verdana" w:hAnsi="Verdana"/>
          <w:iCs/>
          <w:sz w:val="16"/>
          <w:szCs w:val="16"/>
        </w:rPr>
        <w:t>0</w:t>
      </w:r>
      <w:r w:rsidR="001E3F2A" w:rsidRPr="00874C2D">
        <w:rPr>
          <w:rFonts w:ascii="Verdana" w:hAnsi="Verdana"/>
          <w:iCs/>
          <w:sz w:val="16"/>
          <w:szCs w:val="16"/>
        </w:rPr>
        <w:t>.</w:t>
      </w:r>
    </w:p>
  </w:footnote>
  <w:footnote w:id="7">
    <w:p w14:paraId="27FF51BC" w14:textId="162AE7C5" w:rsidR="005A46F0" w:rsidRPr="00874C2D" w:rsidRDefault="005A46F0" w:rsidP="00874C2D">
      <w:pPr>
        <w:pStyle w:val="Textonotapie"/>
        <w:spacing w:before="20" w:after="20"/>
        <w:jc w:val="both"/>
        <w:rPr>
          <w:rFonts w:ascii="Verdana" w:hAnsi="Verdana"/>
          <w:sz w:val="16"/>
          <w:szCs w:val="16"/>
        </w:rPr>
      </w:pPr>
      <w:r w:rsidRPr="00874C2D">
        <w:rPr>
          <w:rStyle w:val="Refdenotaalpie"/>
          <w:rFonts w:ascii="Verdana" w:hAnsi="Verdana"/>
          <w:sz w:val="16"/>
          <w:szCs w:val="16"/>
        </w:rPr>
        <w:footnoteRef/>
      </w:r>
      <w:r w:rsidRPr="00874C2D">
        <w:rPr>
          <w:rFonts w:ascii="Verdana" w:hAnsi="Verdana"/>
          <w:sz w:val="16"/>
          <w:szCs w:val="16"/>
        </w:rPr>
        <w:t xml:space="preserve"> </w:t>
      </w:r>
      <w:r w:rsidRPr="00874C2D">
        <w:rPr>
          <w:rFonts w:ascii="Verdana" w:hAnsi="Verdana"/>
          <w:sz w:val="16"/>
          <w:szCs w:val="16"/>
        </w:rPr>
        <w:tab/>
      </w:r>
      <w:r w:rsidRPr="00874C2D">
        <w:rPr>
          <w:rFonts w:ascii="Verdana" w:hAnsi="Verdana"/>
          <w:i/>
          <w:sz w:val="16"/>
          <w:szCs w:val="16"/>
        </w:rPr>
        <w:t xml:space="preserve">Cfr. Caso Salvador Chiriboga Vs. Ecuador. Interpretación de la Sentencia de Reparaciones y Costas. </w:t>
      </w:r>
      <w:r w:rsidRPr="00874C2D">
        <w:rPr>
          <w:rFonts w:ascii="Verdana" w:hAnsi="Verdana"/>
          <w:sz w:val="16"/>
          <w:szCs w:val="16"/>
        </w:rPr>
        <w:t>Sentencia de 29 de agosto de 2011. Serie C No. 230, párr. 30</w:t>
      </w:r>
      <w:r w:rsidR="001E3F2A" w:rsidRPr="00874C2D">
        <w:rPr>
          <w:rFonts w:ascii="Verdana" w:hAnsi="Verdana"/>
          <w:sz w:val="16"/>
          <w:szCs w:val="16"/>
        </w:rPr>
        <w:t xml:space="preserve">, y </w:t>
      </w:r>
      <w:r w:rsidR="00F62793" w:rsidRPr="00874C2D">
        <w:rPr>
          <w:rFonts w:ascii="Verdana" w:hAnsi="Verdana"/>
          <w:i/>
          <w:sz w:val="16"/>
          <w:szCs w:val="16"/>
        </w:rPr>
        <w:t>Caso Maidanik y otros Vs. Uruguay, supra</w:t>
      </w:r>
      <w:r w:rsidR="00F62793" w:rsidRPr="00874C2D">
        <w:rPr>
          <w:rFonts w:ascii="Verdana" w:hAnsi="Verdana"/>
          <w:iCs/>
          <w:sz w:val="16"/>
          <w:szCs w:val="16"/>
        </w:rPr>
        <w:t>, párr. 10.</w:t>
      </w:r>
    </w:p>
  </w:footnote>
  <w:footnote w:id="8">
    <w:p w14:paraId="08EF6640" w14:textId="41561A3F" w:rsidR="005A46F0" w:rsidRPr="00874C2D" w:rsidRDefault="005A46F0" w:rsidP="00874C2D">
      <w:pPr>
        <w:pStyle w:val="Textonotapie"/>
        <w:spacing w:before="20" w:after="20"/>
        <w:jc w:val="both"/>
        <w:rPr>
          <w:rFonts w:ascii="Verdana" w:hAnsi="Verdana"/>
          <w:sz w:val="16"/>
          <w:szCs w:val="16"/>
        </w:rPr>
      </w:pPr>
      <w:r w:rsidRPr="00874C2D">
        <w:rPr>
          <w:rStyle w:val="Refdenotaalpie"/>
          <w:rFonts w:ascii="Verdana" w:hAnsi="Verdana"/>
          <w:sz w:val="16"/>
          <w:szCs w:val="16"/>
        </w:rPr>
        <w:footnoteRef/>
      </w:r>
      <w:r w:rsidRPr="00874C2D">
        <w:rPr>
          <w:rFonts w:ascii="Verdana" w:hAnsi="Verdana"/>
          <w:sz w:val="16"/>
          <w:szCs w:val="16"/>
        </w:rPr>
        <w:t xml:space="preserve"> </w:t>
      </w:r>
      <w:r w:rsidRPr="00874C2D">
        <w:rPr>
          <w:rFonts w:ascii="Verdana" w:hAnsi="Verdana"/>
          <w:sz w:val="16"/>
          <w:szCs w:val="16"/>
        </w:rPr>
        <w:tab/>
      </w:r>
      <w:r w:rsidRPr="00874C2D">
        <w:rPr>
          <w:rFonts w:ascii="Verdana" w:hAnsi="Verdana"/>
          <w:i/>
          <w:sz w:val="16"/>
          <w:szCs w:val="16"/>
        </w:rPr>
        <w:t>Cfr. Caso Escher y otros Vs. Brasil. Interpretación de la Sentencia de Excepciones Preliminares, Fondo, Reparaciones y Costas</w:t>
      </w:r>
      <w:r w:rsidRPr="00874C2D">
        <w:rPr>
          <w:rFonts w:ascii="Verdana" w:hAnsi="Verdana"/>
          <w:sz w:val="16"/>
          <w:szCs w:val="16"/>
        </w:rPr>
        <w:t>. Sentencia de 20 de noviembre de 2009. Serie C No. 208, párr. 11</w:t>
      </w:r>
      <w:r w:rsidR="001E3F2A" w:rsidRPr="00874C2D">
        <w:rPr>
          <w:rFonts w:ascii="Verdana" w:hAnsi="Verdana"/>
          <w:sz w:val="16"/>
          <w:szCs w:val="16"/>
        </w:rPr>
        <w:t xml:space="preserve">, y </w:t>
      </w:r>
      <w:r w:rsidR="00F62793" w:rsidRPr="00874C2D">
        <w:rPr>
          <w:rFonts w:ascii="Verdana" w:hAnsi="Verdana"/>
          <w:i/>
          <w:sz w:val="16"/>
          <w:szCs w:val="16"/>
        </w:rPr>
        <w:t>Caso Maidanik y otros Vs. Uruguay, supra</w:t>
      </w:r>
      <w:r w:rsidR="00F62793" w:rsidRPr="00874C2D">
        <w:rPr>
          <w:rFonts w:ascii="Verdana" w:hAnsi="Verdana"/>
          <w:iCs/>
          <w:sz w:val="16"/>
          <w:szCs w:val="16"/>
        </w:rPr>
        <w:t>, párr. 10.</w:t>
      </w:r>
    </w:p>
  </w:footnote>
  <w:footnote w:id="9">
    <w:p w14:paraId="358E1064" w14:textId="207FFC54" w:rsidR="00286CB0" w:rsidRPr="00874C2D" w:rsidRDefault="00286CB0" w:rsidP="00874C2D">
      <w:pPr>
        <w:pStyle w:val="Textonotapie"/>
        <w:spacing w:before="20" w:after="20"/>
        <w:jc w:val="both"/>
        <w:rPr>
          <w:rFonts w:ascii="Verdana" w:hAnsi="Verdana"/>
          <w:sz w:val="16"/>
          <w:szCs w:val="16"/>
          <w:lang w:val="es-ES"/>
        </w:rPr>
      </w:pPr>
      <w:r w:rsidRPr="00874C2D">
        <w:rPr>
          <w:rStyle w:val="Refdenotaalpie"/>
          <w:rFonts w:ascii="Verdana" w:hAnsi="Verdana"/>
          <w:sz w:val="16"/>
          <w:szCs w:val="16"/>
        </w:rPr>
        <w:footnoteRef/>
      </w:r>
      <w:r w:rsidRPr="00874C2D">
        <w:rPr>
          <w:rFonts w:ascii="Verdana" w:hAnsi="Verdana"/>
          <w:sz w:val="16"/>
          <w:szCs w:val="16"/>
        </w:rPr>
        <w:t xml:space="preserve"> </w:t>
      </w:r>
      <w:r w:rsidRPr="00874C2D">
        <w:rPr>
          <w:rFonts w:ascii="Verdana" w:hAnsi="Verdana"/>
          <w:sz w:val="16"/>
          <w:szCs w:val="16"/>
        </w:rPr>
        <w:tab/>
      </w:r>
      <w:r w:rsidRPr="00874C2D">
        <w:rPr>
          <w:rFonts w:ascii="Verdana" w:hAnsi="Verdana"/>
          <w:i/>
          <w:iCs/>
          <w:sz w:val="16"/>
          <w:szCs w:val="16"/>
        </w:rPr>
        <w:t xml:space="preserve">Cfr. </w:t>
      </w:r>
      <w:r w:rsidR="00C714C8" w:rsidRPr="00874C2D">
        <w:rPr>
          <w:rFonts w:ascii="Verdana" w:hAnsi="Verdana"/>
          <w:i/>
          <w:iCs/>
          <w:sz w:val="16"/>
          <w:szCs w:val="16"/>
        </w:rPr>
        <w:t>Caso Federación Nacional de Trabajadores Marítimos y Portuarios (FEMAPOR) Vs. Perú. Excepciones Preliminares, Fondo y Reparaciones</w:t>
      </w:r>
      <w:r w:rsidR="00C714C8" w:rsidRPr="00874C2D">
        <w:rPr>
          <w:rFonts w:ascii="Verdana" w:hAnsi="Verdana"/>
          <w:sz w:val="16"/>
          <w:szCs w:val="16"/>
        </w:rPr>
        <w:t>. Sentencia de 1 de febrero de 2022. Serie C No. 448</w:t>
      </w:r>
      <w:r w:rsidRPr="00874C2D">
        <w:rPr>
          <w:rFonts w:ascii="Verdana" w:hAnsi="Verdana"/>
          <w:sz w:val="16"/>
          <w:szCs w:val="16"/>
        </w:rPr>
        <w:t>, párr. 11.</w:t>
      </w:r>
    </w:p>
  </w:footnote>
  <w:footnote w:id="10">
    <w:p w14:paraId="68777414" w14:textId="40271213" w:rsidR="00DB2018" w:rsidRPr="00874C2D" w:rsidRDefault="00DB2018" w:rsidP="00874C2D">
      <w:pPr>
        <w:pStyle w:val="Textonotapie"/>
        <w:spacing w:before="20" w:after="20"/>
        <w:jc w:val="both"/>
        <w:rPr>
          <w:rFonts w:ascii="Verdana" w:hAnsi="Verdana"/>
          <w:sz w:val="16"/>
          <w:szCs w:val="16"/>
        </w:rPr>
      </w:pPr>
      <w:r w:rsidRPr="00874C2D">
        <w:rPr>
          <w:rStyle w:val="Refdenotaalpie"/>
          <w:rFonts w:ascii="Verdana" w:hAnsi="Verdana"/>
          <w:sz w:val="16"/>
          <w:szCs w:val="16"/>
        </w:rPr>
        <w:footnoteRef/>
      </w:r>
      <w:r w:rsidRPr="00874C2D">
        <w:rPr>
          <w:rFonts w:ascii="Verdana" w:hAnsi="Verdana"/>
          <w:sz w:val="16"/>
          <w:szCs w:val="16"/>
        </w:rPr>
        <w:t xml:space="preserve"> </w:t>
      </w:r>
      <w:r w:rsidRPr="00874C2D">
        <w:rPr>
          <w:rFonts w:ascii="Verdana" w:hAnsi="Verdana"/>
          <w:sz w:val="16"/>
          <w:szCs w:val="16"/>
        </w:rPr>
        <w:tab/>
      </w:r>
      <w:r w:rsidR="0084657E" w:rsidRPr="00874C2D">
        <w:rPr>
          <w:rFonts w:ascii="Verdana" w:hAnsi="Verdana"/>
          <w:sz w:val="16"/>
          <w:szCs w:val="16"/>
        </w:rPr>
        <w:t xml:space="preserve">Con </w:t>
      </w:r>
      <w:r w:rsidRPr="00874C2D">
        <w:rPr>
          <w:rFonts w:ascii="Verdana" w:hAnsi="Verdana"/>
          <w:sz w:val="16"/>
          <w:szCs w:val="16"/>
        </w:rPr>
        <w:t>relación al subgrupo de 2.317 trabajadores que continuaron judicializando su reclamo.</w:t>
      </w:r>
    </w:p>
  </w:footnote>
  <w:footnote w:id="11">
    <w:p w14:paraId="5F3A3057" w14:textId="71F93CF0" w:rsidR="000429E9" w:rsidRPr="00874C2D" w:rsidRDefault="000429E9" w:rsidP="00874C2D">
      <w:pPr>
        <w:pStyle w:val="Textonotapie"/>
        <w:spacing w:before="20" w:after="20"/>
        <w:jc w:val="both"/>
        <w:rPr>
          <w:rFonts w:ascii="Verdana" w:hAnsi="Verdana"/>
          <w:sz w:val="16"/>
          <w:szCs w:val="16"/>
        </w:rPr>
      </w:pPr>
      <w:r w:rsidRPr="00874C2D">
        <w:rPr>
          <w:rStyle w:val="Refdenotaalpie"/>
          <w:rFonts w:ascii="Verdana" w:hAnsi="Verdana"/>
          <w:sz w:val="16"/>
          <w:szCs w:val="16"/>
        </w:rPr>
        <w:footnoteRef/>
      </w:r>
      <w:r w:rsidRPr="00874C2D">
        <w:rPr>
          <w:rFonts w:ascii="Verdana" w:hAnsi="Verdana"/>
          <w:sz w:val="16"/>
          <w:szCs w:val="16"/>
        </w:rPr>
        <w:t xml:space="preserve"> </w:t>
      </w:r>
      <w:r w:rsidRPr="00874C2D">
        <w:rPr>
          <w:rFonts w:ascii="Verdana" w:hAnsi="Verdana"/>
          <w:sz w:val="16"/>
          <w:szCs w:val="16"/>
        </w:rPr>
        <w:tab/>
      </w:r>
      <w:r w:rsidRPr="00874C2D">
        <w:rPr>
          <w:rFonts w:ascii="Verdana" w:hAnsi="Verdana"/>
          <w:i/>
          <w:iCs/>
          <w:sz w:val="16"/>
          <w:szCs w:val="16"/>
        </w:rPr>
        <w:t>Cfr. Caso Federación Nacional de Trabajadores Marítimos y Portuarios (FEMAPOR) Vs. Perú, supra</w:t>
      </w:r>
      <w:r w:rsidRPr="00874C2D">
        <w:rPr>
          <w:rFonts w:ascii="Verdana" w:hAnsi="Verdana"/>
          <w:sz w:val="16"/>
          <w:szCs w:val="16"/>
        </w:rPr>
        <w:t>, párr. 98.</w:t>
      </w:r>
    </w:p>
  </w:footnote>
  <w:footnote w:id="12">
    <w:p w14:paraId="01B5E35E" w14:textId="031F22A1" w:rsidR="00C714C8" w:rsidRPr="00874C2D" w:rsidRDefault="00C714C8" w:rsidP="00874C2D">
      <w:pPr>
        <w:pStyle w:val="Textonotapie"/>
        <w:spacing w:before="20" w:after="20"/>
        <w:jc w:val="both"/>
        <w:rPr>
          <w:rFonts w:ascii="Verdana" w:hAnsi="Verdana"/>
          <w:sz w:val="16"/>
          <w:szCs w:val="16"/>
        </w:rPr>
      </w:pPr>
      <w:r w:rsidRPr="00874C2D">
        <w:rPr>
          <w:rStyle w:val="Refdenotaalpie"/>
          <w:rFonts w:ascii="Verdana" w:hAnsi="Verdana"/>
          <w:sz w:val="16"/>
          <w:szCs w:val="16"/>
        </w:rPr>
        <w:footnoteRef/>
      </w:r>
      <w:r w:rsidRPr="00874C2D">
        <w:rPr>
          <w:rFonts w:ascii="Verdana" w:hAnsi="Verdana"/>
          <w:sz w:val="16"/>
          <w:szCs w:val="16"/>
        </w:rPr>
        <w:t xml:space="preserve"> </w:t>
      </w:r>
      <w:r w:rsidRPr="00874C2D">
        <w:rPr>
          <w:rFonts w:ascii="Verdana" w:hAnsi="Verdana"/>
          <w:sz w:val="16"/>
          <w:szCs w:val="16"/>
        </w:rPr>
        <w:tab/>
      </w:r>
      <w:r w:rsidRPr="00874C2D">
        <w:rPr>
          <w:rFonts w:ascii="Verdana" w:hAnsi="Verdana"/>
          <w:i/>
          <w:iCs/>
          <w:sz w:val="16"/>
          <w:szCs w:val="16"/>
        </w:rPr>
        <w:t>Cfr. Caso Federación Nacional de Trabajadores Marítimos y Portuarios (FEMAPOR) Vs. Perú, supra</w:t>
      </w:r>
      <w:r w:rsidRPr="00874C2D">
        <w:rPr>
          <w:rFonts w:ascii="Verdana" w:hAnsi="Verdana"/>
          <w:sz w:val="16"/>
          <w:szCs w:val="16"/>
        </w:rPr>
        <w:t>, párr. 102.</w:t>
      </w:r>
    </w:p>
  </w:footnote>
  <w:footnote w:id="13">
    <w:p w14:paraId="389EC623" w14:textId="77777777" w:rsidR="002F0DED" w:rsidRPr="00874C2D" w:rsidRDefault="002F0DED" w:rsidP="00874C2D">
      <w:pPr>
        <w:pStyle w:val="Textonotapie"/>
        <w:spacing w:before="20" w:after="20"/>
        <w:jc w:val="both"/>
        <w:rPr>
          <w:rFonts w:ascii="Verdana" w:hAnsi="Verdana"/>
          <w:sz w:val="16"/>
          <w:szCs w:val="16"/>
          <w:lang w:val="es-ES"/>
        </w:rPr>
      </w:pPr>
      <w:r w:rsidRPr="00874C2D">
        <w:rPr>
          <w:rStyle w:val="Refdenotaalpie"/>
          <w:rFonts w:ascii="Verdana" w:hAnsi="Verdana"/>
          <w:sz w:val="16"/>
          <w:szCs w:val="16"/>
        </w:rPr>
        <w:footnoteRef/>
      </w:r>
      <w:r w:rsidRPr="00874C2D">
        <w:rPr>
          <w:rFonts w:ascii="Verdana" w:hAnsi="Verdana"/>
          <w:sz w:val="16"/>
          <w:szCs w:val="16"/>
        </w:rPr>
        <w:t xml:space="preserve"> </w:t>
      </w:r>
      <w:r w:rsidRPr="00874C2D">
        <w:rPr>
          <w:rFonts w:ascii="Verdana" w:hAnsi="Verdana"/>
          <w:sz w:val="16"/>
          <w:szCs w:val="16"/>
          <w:lang w:val="es-ES"/>
        </w:rPr>
        <w:tab/>
        <w:t>Dicho artículo señala lo siguiente:</w:t>
      </w:r>
    </w:p>
    <w:p w14:paraId="07476552" w14:textId="77777777" w:rsidR="002F0DED" w:rsidRPr="00874C2D" w:rsidRDefault="002F0DED" w:rsidP="00874C2D">
      <w:pPr>
        <w:pStyle w:val="Textonotapie"/>
        <w:spacing w:before="20" w:after="20"/>
        <w:ind w:left="708"/>
        <w:jc w:val="both"/>
        <w:rPr>
          <w:rFonts w:ascii="Verdana" w:hAnsi="Verdana"/>
          <w:sz w:val="16"/>
          <w:szCs w:val="16"/>
        </w:rPr>
      </w:pPr>
      <w:r w:rsidRPr="00874C2D">
        <w:rPr>
          <w:rFonts w:ascii="Verdana" w:hAnsi="Verdana"/>
          <w:sz w:val="16"/>
          <w:szCs w:val="16"/>
        </w:rPr>
        <w:t xml:space="preserve">1. Los </w:t>
      </w:r>
      <w:proofErr w:type="gramStart"/>
      <w:r w:rsidRPr="00874C2D">
        <w:rPr>
          <w:rFonts w:ascii="Verdana" w:hAnsi="Verdana"/>
          <w:sz w:val="16"/>
          <w:szCs w:val="16"/>
        </w:rPr>
        <w:t>Estados Partes</w:t>
      </w:r>
      <w:proofErr w:type="gramEnd"/>
      <w:r w:rsidRPr="00874C2D">
        <w:rPr>
          <w:rFonts w:ascii="Verdana" w:hAnsi="Verdana"/>
          <w:sz w:val="16"/>
          <w:szCs w:val="16"/>
        </w:rPr>
        <w:t xml:space="preserve"> en la Convención se comprometen a cumplir la decisión de la Corte en todo caso en que sean partes.</w:t>
      </w:r>
    </w:p>
    <w:p w14:paraId="7282FF6A" w14:textId="77777777" w:rsidR="002F0DED" w:rsidRPr="00874C2D" w:rsidRDefault="002F0DED" w:rsidP="00874C2D">
      <w:pPr>
        <w:pStyle w:val="Textonotapie"/>
        <w:spacing w:before="20" w:after="20"/>
        <w:ind w:left="708" w:firstLine="45"/>
        <w:jc w:val="both"/>
        <w:rPr>
          <w:rFonts w:ascii="Verdana" w:hAnsi="Verdana"/>
          <w:sz w:val="16"/>
          <w:szCs w:val="16"/>
        </w:rPr>
      </w:pPr>
      <w:r w:rsidRPr="00874C2D">
        <w:rPr>
          <w:rFonts w:ascii="Verdana" w:hAnsi="Verdana"/>
          <w:sz w:val="16"/>
          <w:szCs w:val="16"/>
        </w:rPr>
        <w:t>2. La parte del fallo que disponga indemnización compensatoria se podrá ejecutar en el respectivo país por el procedimiento interno vigente para la ejecución de sentencias contra el Estado.</w:t>
      </w:r>
    </w:p>
  </w:footnote>
  <w:footnote w:id="14">
    <w:p w14:paraId="27A63F70" w14:textId="46C7DF4F" w:rsidR="00CD19D0" w:rsidRPr="00874C2D" w:rsidRDefault="00CD19D0" w:rsidP="00874C2D">
      <w:pPr>
        <w:pStyle w:val="Textonotapie"/>
        <w:spacing w:before="20" w:after="20"/>
        <w:jc w:val="both"/>
        <w:rPr>
          <w:rFonts w:ascii="Verdana" w:hAnsi="Verdana"/>
          <w:sz w:val="16"/>
          <w:szCs w:val="16"/>
        </w:rPr>
      </w:pPr>
      <w:r w:rsidRPr="00874C2D">
        <w:rPr>
          <w:rStyle w:val="Refdenotaalpie"/>
          <w:rFonts w:ascii="Verdana" w:hAnsi="Verdana"/>
          <w:sz w:val="16"/>
          <w:szCs w:val="16"/>
        </w:rPr>
        <w:footnoteRef/>
      </w:r>
      <w:r w:rsidRPr="00874C2D">
        <w:rPr>
          <w:rFonts w:ascii="Verdana" w:hAnsi="Verdana"/>
          <w:sz w:val="16"/>
          <w:szCs w:val="16"/>
        </w:rPr>
        <w:t xml:space="preserve"> </w:t>
      </w:r>
      <w:r w:rsidRPr="00874C2D">
        <w:rPr>
          <w:rFonts w:ascii="Verdana" w:hAnsi="Verdana"/>
          <w:sz w:val="16"/>
          <w:szCs w:val="16"/>
        </w:rPr>
        <w:tab/>
      </w:r>
      <w:r w:rsidRPr="00874C2D">
        <w:rPr>
          <w:rFonts w:ascii="Verdana" w:hAnsi="Verdana"/>
          <w:i/>
          <w:sz w:val="16"/>
          <w:szCs w:val="16"/>
        </w:rPr>
        <w:t>Cfr. Caso Loayza Tamayo Vs. Perú. Interpretación de la Sentencia de Reparaciones y Costas, supra</w:t>
      </w:r>
      <w:r w:rsidRPr="00874C2D">
        <w:rPr>
          <w:rFonts w:ascii="Verdana" w:hAnsi="Verdana"/>
          <w:sz w:val="16"/>
          <w:szCs w:val="16"/>
        </w:rPr>
        <w:t xml:space="preserve">, párr. 15, y </w:t>
      </w:r>
      <w:r w:rsidR="00F62793" w:rsidRPr="00874C2D">
        <w:rPr>
          <w:rFonts w:ascii="Verdana" w:hAnsi="Verdana"/>
          <w:i/>
          <w:sz w:val="16"/>
          <w:szCs w:val="16"/>
        </w:rPr>
        <w:t>Caso Maidanik y otros Vs. Uruguay, supra</w:t>
      </w:r>
      <w:r w:rsidR="00F62793" w:rsidRPr="00874C2D">
        <w:rPr>
          <w:rFonts w:ascii="Verdana" w:hAnsi="Verdana"/>
          <w:iCs/>
          <w:sz w:val="16"/>
          <w:szCs w:val="16"/>
        </w:rPr>
        <w:t>, párr. 10.</w:t>
      </w:r>
    </w:p>
  </w:footnote>
  <w:footnote w:id="15">
    <w:p w14:paraId="2FDC8288" w14:textId="39C82D2F" w:rsidR="00CD19D0" w:rsidRPr="00874C2D" w:rsidRDefault="00CD19D0" w:rsidP="00874C2D">
      <w:pPr>
        <w:pStyle w:val="Textonotapie"/>
        <w:spacing w:before="20" w:after="20"/>
        <w:jc w:val="both"/>
        <w:rPr>
          <w:rFonts w:ascii="Verdana" w:hAnsi="Verdana"/>
          <w:sz w:val="16"/>
          <w:szCs w:val="16"/>
        </w:rPr>
      </w:pPr>
      <w:r w:rsidRPr="00874C2D">
        <w:rPr>
          <w:rStyle w:val="Refdenotaalpie"/>
          <w:rFonts w:ascii="Verdana" w:hAnsi="Verdana"/>
          <w:sz w:val="16"/>
          <w:szCs w:val="16"/>
        </w:rPr>
        <w:footnoteRef/>
      </w:r>
      <w:r w:rsidRPr="00874C2D">
        <w:rPr>
          <w:rFonts w:ascii="Verdana" w:hAnsi="Verdana"/>
          <w:sz w:val="16"/>
          <w:szCs w:val="16"/>
        </w:rPr>
        <w:t xml:space="preserve"> </w:t>
      </w:r>
      <w:r w:rsidRPr="00874C2D">
        <w:rPr>
          <w:rFonts w:ascii="Verdana" w:hAnsi="Verdana"/>
          <w:sz w:val="16"/>
          <w:szCs w:val="16"/>
        </w:rPr>
        <w:tab/>
      </w:r>
      <w:r w:rsidRPr="00874C2D">
        <w:rPr>
          <w:rFonts w:ascii="Verdana" w:hAnsi="Verdana"/>
          <w:i/>
          <w:sz w:val="16"/>
          <w:szCs w:val="16"/>
        </w:rPr>
        <w:t>Cfr. Caso Loayza Tamayo Vs. Perú, Interpretación de la Sentencia de Reparaciones y Costas, supra,</w:t>
      </w:r>
      <w:r w:rsidRPr="00874C2D">
        <w:rPr>
          <w:rFonts w:ascii="Verdana" w:hAnsi="Verdana"/>
          <w:sz w:val="16"/>
          <w:szCs w:val="16"/>
        </w:rPr>
        <w:t xml:space="preserve"> párr. 16, y </w:t>
      </w:r>
      <w:r w:rsidR="00F62793" w:rsidRPr="00874C2D">
        <w:rPr>
          <w:rFonts w:ascii="Verdana" w:hAnsi="Verdana"/>
          <w:i/>
          <w:sz w:val="16"/>
          <w:szCs w:val="16"/>
        </w:rPr>
        <w:t>Caso Maidanik y otros Vs. Uruguay, supra</w:t>
      </w:r>
      <w:r w:rsidR="00F62793" w:rsidRPr="00874C2D">
        <w:rPr>
          <w:rFonts w:ascii="Verdana" w:hAnsi="Verdana"/>
          <w:iCs/>
          <w:sz w:val="16"/>
          <w:szCs w:val="16"/>
        </w:rPr>
        <w:t>, párr. 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E3D3A"/>
    <w:multiLevelType w:val="hybridMultilevel"/>
    <w:tmpl w:val="7C400068"/>
    <w:lvl w:ilvl="0" w:tplc="EFD08706">
      <w:start w:val="1"/>
      <w:numFmt w:val="upperLetter"/>
      <w:lvlText w:val="%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1" w15:restartNumberingAfterBreak="0">
    <w:nsid w:val="4CBF02C5"/>
    <w:multiLevelType w:val="hybridMultilevel"/>
    <w:tmpl w:val="20D8799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6AC42F37"/>
    <w:multiLevelType w:val="hybridMultilevel"/>
    <w:tmpl w:val="A5A06084"/>
    <w:lvl w:ilvl="0" w:tplc="2328138C">
      <w:start w:val="1"/>
      <w:numFmt w:val="decimal"/>
      <w:lvlText w:val="%1."/>
      <w:lvlJc w:val="left"/>
      <w:pPr>
        <w:ind w:left="2771" w:hanging="360"/>
      </w:pPr>
      <w:rPr>
        <w:rFonts w:hint="default"/>
        <w:b w:val="0"/>
        <w:i w:val="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7CE64D32"/>
    <w:multiLevelType w:val="hybridMultilevel"/>
    <w:tmpl w:val="F94C7190"/>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1583639971">
    <w:abstractNumId w:val="2"/>
  </w:num>
  <w:num w:numId="2" w16cid:durableId="1392120266">
    <w:abstractNumId w:val="0"/>
  </w:num>
  <w:num w:numId="3" w16cid:durableId="2119717688">
    <w:abstractNumId w:val="1"/>
  </w:num>
  <w:num w:numId="4" w16cid:durableId="1075471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AF5"/>
    <w:rsid w:val="0000414B"/>
    <w:rsid w:val="00010071"/>
    <w:rsid w:val="00022DDF"/>
    <w:rsid w:val="00030E4B"/>
    <w:rsid w:val="00032504"/>
    <w:rsid w:val="000400A5"/>
    <w:rsid w:val="00040C34"/>
    <w:rsid w:val="000429E9"/>
    <w:rsid w:val="00042DCC"/>
    <w:rsid w:val="000460B7"/>
    <w:rsid w:val="00047DCD"/>
    <w:rsid w:val="000539D8"/>
    <w:rsid w:val="00060A5C"/>
    <w:rsid w:val="00063229"/>
    <w:rsid w:val="00073741"/>
    <w:rsid w:val="00074340"/>
    <w:rsid w:val="00084A09"/>
    <w:rsid w:val="00086243"/>
    <w:rsid w:val="00087B2C"/>
    <w:rsid w:val="0009227B"/>
    <w:rsid w:val="000931E7"/>
    <w:rsid w:val="00095380"/>
    <w:rsid w:val="000A3CBA"/>
    <w:rsid w:val="000A3FAC"/>
    <w:rsid w:val="000B52DB"/>
    <w:rsid w:val="000E7ADA"/>
    <w:rsid w:val="000F4D31"/>
    <w:rsid w:val="00101EC0"/>
    <w:rsid w:val="00107501"/>
    <w:rsid w:val="0011054A"/>
    <w:rsid w:val="00110619"/>
    <w:rsid w:val="00110F66"/>
    <w:rsid w:val="0011170C"/>
    <w:rsid w:val="001266A4"/>
    <w:rsid w:val="00133294"/>
    <w:rsid w:val="00133EE6"/>
    <w:rsid w:val="00144B69"/>
    <w:rsid w:val="0014562D"/>
    <w:rsid w:val="00145B65"/>
    <w:rsid w:val="00151723"/>
    <w:rsid w:val="00160B33"/>
    <w:rsid w:val="00161D3C"/>
    <w:rsid w:val="00164058"/>
    <w:rsid w:val="0016672D"/>
    <w:rsid w:val="001676DD"/>
    <w:rsid w:val="001708A3"/>
    <w:rsid w:val="00170E42"/>
    <w:rsid w:val="001710CC"/>
    <w:rsid w:val="00180C1E"/>
    <w:rsid w:val="001839D3"/>
    <w:rsid w:val="00184857"/>
    <w:rsid w:val="00185E1C"/>
    <w:rsid w:val="001928E4"/>
    <w:rsid w:val="001A3EFE"/>
    <w:rsid w:val="001A4938"/>
    <w:rsid w:val="001B3038"/>
    <w:rsid w:val="001D0605"/>
    <w:rsid w:val="001D3FC0"/>
    <w:rsid w:val="001D49E0"/>
    <w:rsid w:val="001D55D9"/>
    <w:rsid w:val="001D6B1C"/>
    <w:rsid w:val="001E12E0"/>
    <w:rsid w:val="001E2757"/>
    <w:rsid w:val="001E3F2A"/>
    <w:rsid w:val="001F0837"/>
    <w:rsid w:val="001F283B"/>
    <w:rsid w:val="001F6CBA"/>
    <w:rsid w:val="002033CA"/>
    <w:rsid w:val="00212F77"/>
    <w:rsid w:val="00226204"/>
    <w:rsid w:val="00236B2C"/>
    <w:rsid w:val="002471A6"/>
    <w:rsid w:val="002520DC"/>
    <w:rsid w:val="00261D91"/>
    <w:rsid w:val="002631D9"/>
    <w:rsid w:val="002656AA"/>
    <w:rsid w:val="00265EB7"/>
    <w:rsid w:val="00280381"/>
    <w:rsid w:val="00286CB0"/>
    <w:rsid w:val="002A5213"/>
    <w:rsid w:val="002A5974"/>
    <w:rsid w:val="002A7B26"/>
    <w:rsid w:val="002B371E"/>
    <w:rsid w:val="002B4B38"/>
    <w:rsid w:val="002C083D"/>
    <w:rsid w:val="002C624F"/>
    <w:rsid w:val="002D32C9"/>
    <w:rsid w:val="002E3C0B"/>
    <w:rsid w:val="002E5E50"/>
    <w:rsid w:val="002F0927"/>
    <w:rsid w:val="002F0DED"/>
    <w:rsid w:val="002F571A"/>
    <w:rsid w:val="003073E9"/>
    <w:rsid w:val="003170D7"/>
    <w:rsid w:val="00324613"/>
    <w:rsid w:val="00324C43"/>
    <w:rsid w:val="00326C79"/>
    <w:rsid w:val="003314C4"/>
    <w:rsid w:val="00332091"/>
    <w:rsid w:val="00336410"/>
    <w:rsid w:val="003402F5"/>
    <w:rsid w:val="003416A3"/>
    <w:rsid w:val="00341E9C"/>
    <w:rsid w:val="003446D4"/>
    <w:rsid w:val="0035795D"/>
    <w:rsid w:val="00361E2E"/>
    <w:rsid w:val="00373D50"/>
    <w:rsid w:val="00375475"/>
    <w:rsid w:val="00375A21"/>
    <w:rsid w:val="00376282"/>
    <w:rsid w:val="00376909"/>
    <w:rsid w:val="00384A26"/>
    <w:rsid w:val="00392F07"/>
    <w:rsid w:val="00394024"/>
    <w:rsid w:val="003A4B36"/>
    <w:rsid w:val="003A673A"/>
    <w:rsid w:val="003C0A35"/>
    <w:rsid w:val="003C1385"/>
    <w:rsid w:val="003D7AF2"/>
    <w:rsid w:val="003E11EF"/>
    <w:rsid w:val="003E4FE8"/>
    <w:rsid w:val="00400784"/>
    <w:rsid w:val="00401025"/>
    <w:rsid w:val="00410F7A"/>
    <w:rsid w:val="004204CB"/>
    <w:rsid w:val="00420FF8"/>
    <w:rsid w:val="00422CB4"/>
    <w:rsid w:val="00426A78"/>
    <w:rsid w:val="00427A9E"/>
    <w:rsid w:val="00427E24"/>
    <w:rsid w:val="00434EA5"/>
    <w:rsid w:val="0043503C"/>
    <w:rsid w:val="00457955"/>
    <w:rsid w:val="00460449"/>
    <w:rsid w:val="0046227F"/>
    <w:rsid w:val="00475ABD"/>
    <w:rsid w:val="00481570"/>
    <w:rsid w:val="004973E1"/>
    <w:rsid w:val="004A1FBC"/>
    <w:rsid w:val="004A56D9"/>
    <w:rsid w:val="004B3279"/>
    <w:rsid w:val="004B5867"/>
    <w:rsid w:val="004C1C3B"/>
    <w:rsid w:val="004C3C96"/>
    <w:rsid w:val="004C41BC"/>
    <w:rsid w:val="004D6574"/>
    <w:rsid w:val="004E5162"/>
    <w:rsid w:val="004F0814"/>
    <w:rsid w:val="004F36A8"/>
    <w:rsid w:val="004F636E"/>
    <w:rsid w:val="00503125"/>
    <w:rsid w:val="0051621C"/>
    <w:rsid w:val="00522A34"/>
    <w:rsid w:val="00544E1E"/>
    <w:rsid w:val="00556944"/>
    <w:rsid w:val="005777DE"/>
    <w:rsid w:val="00581803"/>
    <w:rsid w:val="005A0A84"/>
    <w:rsid w:val="005A26AE"/>
    <w:rsid w:val="005A46F0"/>
    <w:rsid w:val="005A693B"/>
    <w:rsid w:val="005C38A3"/>
    <w:rsid w:val="005E5674"/>
    <w:rsid w:val="005E758C"/>
    <w:rsid w:val="005F2507"/>
    <w:rsid w:val="005F3243"/>
    <w:rsid w:val="0060124A"/>
    <w:rsid w:val="00611D1B"/>
    <w:rsid w:val="00611DFF"/>
    <w:rsid w:val="006129FC"/>
    <w:rsid w:val="00615705"/>
    <w:rsid w:val="00621CF1"/>
    <w:rsid w:val="00631872"/>
    <w:rsid w:val="0064124E"/>
    <w:rsid w:val="006440E3"/>
    <w:rsid w:val="006466E2"/>
    <w:rsid w:val="006522B5"/>
    <w:rsid w:val="006531FA"/>
    <w:rsid w:val="00653764"/>
    <w:rsid w:val="006604DD"/>
    <w:rsid w:val="006811AE"/>
    <w:rsid w:val="006900B2"/>
    <w:rsid w:val="00697633"/>
    <w:rsid w:val="006A044A"/>
    <w:rsid w:val="006A44D4"/>
    <w:rsid w:val="006A4578"/>
    <w:rsid w:val="006A490F"/>
    <w:rsid w:val="006A61D1"/>
    <w:rsid w:val="006B1039"/>
    <w:rsid w:val="006B478B"/>
    <w:rsid w:val="006C3AA3"/>
    <w:rsid w:val="006D5D01"/>
    <w:rsid w:val="006E0069"/>
    <w:rsid w:val="006E0CDE"/>
    <w:rsid w:val="006F1078"/>
    <w:rsid w:val="006F14CA"/>
    <w:rsid w:val="006F54E6"/>
    <w:rsid w:val="006F7956"/>
    <w:rsid w:val="00707AFC"/>
    <w:rsid w:val="00710618"/>
    <w:rsid w:val="00713644"/>
    <w:rsid w:val="00714A27"/>
    <w:rsid w:val="00722496"/>
    <w:rsid w:val="007233F3"/>
    <w:rsid w:val="0072420A"/>
    <w:rsid w:val="00726F1E"/>
    <w:rsid w:val="007311BD"/>
    <w:rsid w:val="00734DB3"/>
    <w:rsid w:val="00746811"/>
    <w:rsid w:val="007513BE"/>
    <w:rsid w:val="00755EFA"/>
    <w:rsid w:val="00757E69"/>
    <w:rsid w:val="007B00E2"/>
    <w:rsid w:val="007D4DDA"/>
    <w:rsid w:val="007E2281"/>
    <w:rsid w:val="008002A7"/>
    <w:rsid w:val="008035C9"/>
    <w:rsid w:val="0081372F"/>
    <w:rsid w:val="0082431C"/>
    <w:rsid w:val="00833A6F"/>
    <w:rsid w:val="00844AF2"/>
    <w:rsid w:val="0084657E"/>
    <w:rsid w:val="00863220"/>
    <w:rsid w:val="00874C2D"/>
    <w:rsid w:val="0088232E"/>
    <w:rsid w:val="0089383C"/>
    <w:rsid w:val="008943BD"/>
    <w:rsid w:val="00896292"/>
    <w:rsid w:val="008976FB"/>
    <w:rsid w:val="008A2975"/>
    <w:rsid w:val="008B7099"/>
    <w:rsid w:val="008B7BD5"/>
    <w:rsid w:val="008B7F2D"/>
    <w:rsid w:val="008C46FA"/>
    <w:rsid w:val="008D7A23"/>
    <w:rsid w:val="008D7E03"/>
    <w:rsid w:val="008E5F15"/>
    <w:rsid w:val="008E6A91"/>
    <w:rsid w:val="00901C33"/>
    <w:rsid w:val="00901CDD"/>
    <w:rsid w:val="00911BEB"/>
    <w:rsid w:val="00916741"/>
    <w:rsid w:val="00920089"/>
    <w:rsid w:val="009261B6"/>
    <w:rsid w:val="00942BFC"/>
    <w:rsid w:val="00952282"/>
    <w:rsid w:val="00955192"/>
    <w:rsid w:val="0096287A"/>
    <w:rsid w:val="00965CDE"/>
    <w:rsid w:val="0096691C"/>
    <w:rsid w:val="009707BC"/>
    <w:rsid w:val="00970BC9"/>
    <w:rsid w:val="00970E39"/>
    <w:rsid w:val="0097477B"/>
    <w:rsid w:val="0097779B"/>
    <w:rsid w:val="009852CA"/>
    <w:rsid w:val="00991567"/>
    <w:rsid w:val="00996133"/>
    <w:rsid w:val="00997956"/>
    <w:rsid w:val="009C0EBA"/>
    <w:rsid w:val="009C24A3"/>
    <w:rsid w:val="009D0958"/>
    <w:rsid w:val="009D2EFC"/>
    <w:rsid w:val="009D3485"/>
    <w:rsid w:val="009D78B6"/>
    <w:rsid w:val="009F529A"/>
    <w:rsid w:val="00A03487"/>
    <w:rsid w:val="00A201FC"/>
    <w:rsid w:val="00A2244B"/>
    <w:rsid w:val="00A23800"/>
    <w:rsid w:val="00A45F76"/>
    <w:rsid w:val="00A51BBD"/>
    <w:rsid w:val="00A5214C"/>
    <w:rsid w:val="00A53C30"/>
    <w:rsid w:val="00A53CCD"/>
    <w:rsid w:val="00A56125"/>
    <w:rsid w:val="00A57ACC"/>
    <w:rsid w:val="00A57FD4"/>
    <w:rsid w:val="00A7146F"/>
    <w:rsid w:val="00A812AD"/>
    <w:rsid w:val="00A9174A"/>
    <w:rsid w:val="00A91FE9"/>
    <w:rsid w:val="00A95CF0"/>
    <w:rsid w:val="00A96F1F"/>
    <w:rsid w:val="00AA3653"/>
    <w:rsid w:val="00AA67ED"/>
    <w:rsid w:val="00AB6287"/>
    <w:rsid w:val="00AC029B"/>
    <w:rsid w:val="00AC4A3F"/>
    <w:rsid w:val="00AD3535"/>
    <w:rsid w:val="00AD5FDF"/>
    <w:rsid w:val="00AF1F82"/>
    <w:rsid w:val="00AF3AF1"/>
    <w:rsid w:val="00B0312F"/>
    <w:rsid w:val="00B11181"/>
    <w:rsid w:val="00B14235"/>
    <w:rsid w:val="00B201EF"/>
    <w:rsid w:val="00B22E3D"/>
    <w:rsid w:val="00B24464"/>
    <w:rsid w:val="00B42449"/>
    <w:rsid w:val="00B4304E"/>
    <w:rsid w:val="00B4636E"/>
    <w:rsid w:val="00B52065"/>
    <w:rsid w:val="00B56BD8"/>
    <w:rsid w:val="00B71305"/>
    <w:rsid w:val="00B71D94"/>
    <w:rsid w:val="00B77504"/>
    <w:rsid w:val="00B84743"/>
    <w:rsid w:val="00B84B9D"/>
    <w:rsid w:val="00B863FD"/>
    <w:rsid w:val="00B93039"/>
    <w:rsid w:val="00B952BD"/>
    <w:rsid w:val="00BA3E45"/>
    <w:rsid w:val="00BA4750"/>
    <w:rsid w:val="00BB2E11"/>
    <w:rsid w:val="00BB324D"/>
    <w:rsid w:val="00BB79B7"/>
    <w:rsid w:val="00BC3CC7"/>
    <w:rsid w:val="00BC4F1F"/>
    <w:rsid w:val="00BC7D2C"/>
    <w:rsid w:val="00BD5ECF"/>
    <w:rsid w:val="00BE4C99"/>
    <w:rsid w:val="00BF1009"/>
    <w:rsid w:val="00C04DFF"/>
    <w:rsid w:val="00C065CB"/>
    <w:rsid w:val="00C16757"/>
    <w:rsid w:val="00C211BE"/>
    <w:rsid w:val="00C214C5"/>
    <w:rsid w:val="00C4080F"/>
    <w:rsid w:val="00C46276"/>
    <w:rsid w:val="00C509E5"/>
    <w:rsid w:val="00C66FA1"/>
    <w:rsid w:val="00C714C8"/>
    <w:rsid w:val="00C807F4"/>
    <w:rsid w:val="00C8748C"/>
    <w:rsid w:val="00C92362"/>
    <w:rsid w:val="00C92789"/>
    <w:rsid w:val="00C92D55"/>
    <w:rsid w:val="00CA0CED"/>
    <w:rsid w:val="00CB2E7C"/>
    <w:rsid w:val="00CB4AC8"/>
    <w:rsid w:val="00CB6EA3"/>
    <w:rsid w:val="00CC0CC7"/>
    <w:rsid w:val="00CC22B5"/>
    <w:rsid w:val="00CC78F1"/>
    <w:rsid w:val="00CD19D0"/>
    <w:rsid w:val="00CD6805"/>
    <w:rsid w:val="00CE1F02"/>
    <w:rsid w:val="00CF0B63"/>
    <w:rsid w:val="00CF13B9"/>
    <w:rsid w:val="00CF1F29"/>
    <w:rsid w:val="00D306D1"/>
    <w:rsid w:val="00D36B82"/>
    <w:rsid w:val="00D54196"/>
    <w:rsid w:val="00D65E05"/>
    <w:rsid w:val="00D67FAA"/>
    <w:rsid w:val="00D765BC"/>
    <w:rsid w:val="00D805E7"/>
    <w:rsid w:val="00D86C19"/>
    <w:rsid w:val="00D900B1"/>
    <w:rsid w:val="00D91AF5"/>
    <w:rsid w:val="00D95718"/>
    <w:rsid w:val="00D9704A"/>
    <w:rsid w:val="00DA0F3F"/>
    <w:rsid w:val="00DB2018"/>
    <w:rsid w:val="00DB3CF0"/>
    <w:rsid w:val="00DB40C0"/>
    <w:rsid w:val="00DB501C"/>
    <w:rsid w:val="00DB6BFC"/>
    <w:rsid w:val="00DC6C13"/>
    <w:rsid w:val="00DD6E9C"/>
    <w:rsid w:val="00DD7DD1"/>
    <w:rsid w:val="00DE2817"/>
    <w:rsid w:val="00DE4B91"/>
    <w:rsid w:val="00DE4D62"/>
    <w:rsid w:val="00DF5C3F"/>
    <w:rsid w:val="00E02941"/>
    <w:rsid w:val="00E048E7"/>
    <w:rsid w:val="00E27624"/>
    <w:rsid w:val="00E31713"/>
    <w:rsid w:val="00E50A7F"/>
    <w:rsid w:val="00E5105D"/>
    <w:rsid w:val="00E537C8"/>
    <w:rsid w:val="00E717CE"/>
    <w:rsid w:val="00E91352"/>
    <w:rsid w:val="00E935A2"/>
    <w:rsid w:val="00EA3055"/>
    <w:rsid w:val="00EA35A6"/>
    <w:rsid w:val="00EA69C5"/>
    <w:rsid w:val="00EB5B4E"/>
    <w:rsid w:val="00EB7379"/>
    <w:rsid w:val="00EC0683"/>
    <w:rsid w:val="00EC4536"/>
    <w:rsid w:val="00EC4C5D"/>
    <w:rsid w:val="00EC7CC4"/>
    <w:rsid w:val="00EE2A07"/>
    <w:rsid w:val="00EE3104"/>
    <w:rsid w:val="00EE34AE"/>
    <w:rsid w:val="00EE3758"/>
    <w:rsid w:val="00EF49F3"/>
    <w:rsid w:val="00EF612F"/>
    <w:rsid w:val="00EF6514"/>
    <w:rsid w:val="00EF7F86"/>
    <w:rsid w:val="00F17E7D"/>
    <w:rsid w:val="00F2129C"/>
    <w:rsid w:val="00F2212E"/>
    <w:rsid w:val="00F22F09"/>
    <w:rsid w:val="00F25147"/>
    <w:rsid w:val="00F331C5"/>
    <w:rsid w:val="00F40A35"/>
    <w:rsid w:val="00F42B42"/>
    <w:rsid w:val="00F52525"/>
    <w:rsid w:val="00F579E4"/>
    <w:rsid w:val="00F61B14"/>
    <w:rsid w:val="00F62793"/>
    <w:rsid w:val="00F80AA4"/>
    <w:rsid w:val="00F911EA"/>
    <w:rsid w:val="00F964CF"/>
    <w:rsid w:val="00F96DF4"/>
    <w:rsid w:val="00FB66CD"/>
    <w:rsid w:val="00FD541B"/>
    <w:rsid w:val="00FD56E3"/>
    <w:rsid w:val="00FE0809"/>
    <w:rsid w:val="00FE1DB5"/>
    <w:rsid w:val="00FE70DC"/>
    <w:rsid w:val="00FF1466"/>
    <w:rsid w:val="00FF1EE1"/>
    <w:rsid w:val="00FF553B"/>
    <w:rsid w:val="00FF5E4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44627"/>
  <w15:docId w15:val="{CB04CBD7-1B72-494F-B82A-329EB104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2E7C"/>
    <w:pPr>
      <w:ind w:left="720"/>
      <w:contextualSpacing/>
    </w:p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xt,Ca"/>
    <w:basedOn w:val="Normal"/>
    <w:link w:val="TextonotapieCar"/>
    <w:unhideWhenUsed/>
    <w:qFormat/>
    <w:rsid w:val="00A57ACC"/>
    <w:pPr>
      <w:spacing w:after="0" w:line="240" w:lineRule="auto"/>
    </w:pPr>
    <w:rPr>
      <w:sz w:val="20"/>
      <w:szCs w:val="20"/>
    </w:rPr>
  </w:style>
  <w:style w:type="character" w:customStyle="1" w:styleId="TextonotapieCar">
    <w:name w:val="Texto nota pie Car"/>
    <w:aliases w:val="Footnote Text Char Char Char Char Char Car1,Footnote Text Char Char Char Char Car1,Footnote reference Car1,FA Fu Car1,Footnote Text Char Char Char Car1,Footnote Text Cha Car1,FA Fußnotentext Car1,FA Fuﬂnotentext Car1,Ca Car"/>
    <w:basedOn w:val="Fuentedeprrafopredeter"/>
    <w:link w:val="Textonotapie"/>
    <w:rsid w:val="00A57ACC"/>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A57ACC"/>
    <w:rPr>
      <w:vertAlign w:val="superscript"/>
    </w:rPr>
  </w:style>
  <w:style w:type="character" w:styleId="Nmerodelnea">
    <w:name w:val="line number"/>
    <w:basedOn w:val="Fuentedeprrafopredeter"/>
    <w:uiPriority w:val="99"/>
    <w:semiHidden/>
    <w:unhideWhenUsed/>
    <w:rsid w:val="00FE1DB5"/>
  </w:style>
  <w:style w:type="paragraph" w:styleId="Encabezado">
    <w:name w:val="header"/>
    <w:aliases w:val="encabezado"/>
    <w:basedOn w:val="Normal"/>
    <w:link w:val="EncabezadoCar"/>
    <w:uiPriority w:val="99"/>
    <w:unhideWhenUsed/>
    <w:rsid w:val="00FE1DB5"/>
    <w:pPr>
      <w:tabs>
        <w:tab w:val="center" w:pos="4680"/>
        <w:tab w:val="right" w:pos="9360"/>
      </w:tabs>
      <w:spacing w:after="0" w:line="240" w:lineRule="auto"/>
    </w:pPr>
  </w:style>
  <w:style w:type="character" w:customStyle="1" w:styleId="EncabezadoCar">
    <w:name w:val="Encabezado Car"/>
    <w:aliases w:val="encabezado Car"/>
    <w:basedOn w:val="Fuentedeprrafopredeter"/>
    <w:link w:val="Encabezado"/>
    <w:uiPriority w:val="99"/>
    <w:rsid w:val="00FE1DB5"/>
  </w:style>
  <w:style w:type="paragraph" w:styleId="Piedepgina">
    <w:name w:val="footer"/>
    <w:basedOn w:val="Normal"/>
    <w:link w:val="PiedepginaCar"/>
    <w:uiPriority w:val="99"/>
    <w:unhideWhenUsed/>
    <w:rsid w:val="00FE1DB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E1DB5"/>
  </w:style>
  <w:style w:type="paragraph" w:styleId="Textodeglobo">
    <w:name w:val="Balloon Text"/>
    <w:basedOn w:val="Normal"/>
    <w:link w:val="TextodegloboCar"/>
    <w:uiPriority w:val="99"/>
    <w:semiHidden/>
    <w:unhideWhenUsed/>
    <w:rsid w:val="00CB6EA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B6EA3"/>
    <w:rPr>
      <w:rFonts w:ascii="Tahoma" w:hAnsi="Tahoma" w:cs="Tahoma"/>
      <w:sz w:val="16"/>
      <w:szCs w:val="16"/>
    </w:rPr>
  </w:style>
  <w:style w:type="character" w:styleId="Refdecomentario">
    <w:name w:val="annotation reference"/>
    <w:basedOn w:val="Fuentedeprrafopredeter"/>
    <w:uiPriority w:val="99"/>
    <w:semiHidden/>
    <w:unhideWhenUsed/>
    <w:rsid w:val="005A46F0"/>
    <w:rPr>
      <w:sz w:val="16"/>
      <w:szCs w:val="16"/>
    </w:rPr>
  </w:style>
  <w:style w:type="paragraph" w:styleId="Textocomentario">
    <w:name w:val="annotation text"/>
    <w:basedOn w:val="Normal"/>
    <w:link w:val="TextocomentarioCar"/>
    <w:uiPriority w:val="99"/>
    <w:unhideWhenUsed/>
    <w:rsid w:val="005A46F0"/>
    <w:pPr>
      <w:spacing w:line="240" w:lineRule="auto"/>
    </w:pPr>
    <w:rPr>
      <w:sz w:val="20"/>
      <w:szCs w:val="20"/>
    </w:rPr>
  </w:style>
  <w:style w:type="character" w:customStyle="1" w:styleId="TextocomentarioCar">
    <w:name w:val="Texto comentario Car"/>
    <w:basedOn w:val="Fuentedeprrafopredeter"/>
    <w:link w:val="Textocomentario"/>
    <w:uiPriority w:val="99"/>
    <w:rsid w:val="005A46F0"/>
    <w:rPr>
      <w:sz w:val="20"/>
      <w:szCs w:val="20"/>
    </w:rPr>
  </w:style>
  <w:style w:type="paragraph" w:styleId="Asuntodelcomentario">
    <w:name w:val="annotation subject"/>
    <w:basedOn w:val="Textocomentario"/>
    <w:next w:val="Textocomentario"/>
    <w:link w:val="AsuntodelcomentarioCar"/>
    <w:uiPriority w:val="99"/>
    <w:semiHidden/>
    <w:unhideWhenUsed/>
    <w:rsid w:val="005A46F0"/>
    <w:rPr>
      <w:b/>
      <w:bCs/>
    </w:rPr>
  </w:style>
  <w:style w:type="character" w:customStyle="1" w:styleId="AsuntodelcomentarioCar">
    <w:name w:val="Asunto del comentario Car"/>
    <w:basedOn w:val="TextocomentarioCar"/>
    <w:link w:val="Asuntodelcomentario"/>
    <w:uiPriority w:val="99"/>
    <w:semiHidden/>
    <w:rsid w:val="005A46F0"/>
    <w:rPr>
      <w:b/>
      <w:bCs/>
      <w:sz w:val="20"/>
      <w:szCs w:val="20"/>
    </w:rPr>
  </w:style>
  <w:style w:type="character" w:customStyle="1" w:styleId="TextonotapieCar1">
    <w:name w:val="Texto nota pie Car1"/>
    <w:aliases w:val="Footnote Text Char Char Char Char Char Car,Footnote Text Char Char Char Char Car,Footnote reference Car,FA Fu Car,Footnote Text Char Char Char Car,Footnote Text Cha Car,FA Fußnotentext Car,FA Fuﬂnotentext Car,Texto nota pie Car Car"/>
    <w:basedOn w:val="Fuentedeprrafopredeter"/>
    <w:qFormat/>
    <w:rsid w:val="005A46F0"/>
    <w:rPr>
      <w:rFonts w:ascii="Calibri" w:eastAsia="Calibri" w:hAnsi="Calibri" w:cs="Times New Roman"/>
      <w:sz w:val="20"/>
      <w:szCs w:val="20"/>
      <w:lang w:val="x-none"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5A46F0"/>
    <w:pPr>
      <w:spacing w:after="0" w:line="240" w:lineRule="auto"/>
      <w:jc w:val="both"/>
    </w:pPr>
    <w:rPr>
      <w:vertAlign w:val="superscript"/>
    </w:rPr>
  </w:style>
  <w:style w:type="paragraph" w:styleId="Revisin">
    <w:name w:val="Revision"/>
    <w:hidden/>
    <w:uiPriority w:val="99"/>
    <w:semiHidden/>
    <w:rsid w:val="00F911EA"/>
    <w:pPr>
      <w:spacing w:after="0" w:line="240" w:lineRule="auto"/>
    </w:pPr>
  </w:style>
  <w:style w:type="paragraph" w:customStyle="1" w:styleId="Default">
    <w:name w:val="Default"/>
    <w:rsid w:val="00D65E05"/>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789419">
      <w:bodyDiv w:val="1"/>
      <w:marLeft w:val="0"/>
      <w:marRight w:val="0"/>
      <w:marTop w:val="0"/>
      <w:marBottom w:val="0"/>
      <w:divBdr>
        <w:top w:val="none" w:sz="0" w:space="0" w:color="auto"/>
        <w:left w:val="none" w:sz="0" w:space="0" w:color="auto"/>
        <w:bottom w:val="none" w:sz="0" w:space="0" w:color="auto"/>
        <w:right w:val="none" w:sz="0" w:space="0" w:color="auto"/>
      </w:divBdr>
    </w:div>
    <w:div w:id="163980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98E54C-461E-4AE1-9B75-05193B659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3914</Words>
  <Characters>21529</Characters>
  <Application>Microsoft Office Word</Application>
  <DocSecurity>0</DocSecurity>
  <Lines>179</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Tatiana Villalobos</cp:lastModifiedBy>
  <cp:revision>5</cp:revision>
  <cp:lastPrinted>2022-12-06T15:39:00Z</cp:lastPrinted>
  <dcterms:created xsi:type="dcterms:W3CDTF">2022-12-06T12:28:00Z</dcterms:created>
  <dcterms:modified xsi:type="dcterms:W3CDTF">2022-12-06T21:41:00Z</dcterms:modified>
</cp:coreProperties>
</file>